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9179" w14:textId="117C9BF3" w:rsidR="00012C61" w:rsidRPr="0048710D" w:rsidRDefault="00D365DC">
      <w:pPr>
        <w:pBdr>
          <w:top w:val="nil"/>
          <w:left w:val="nil"/>
          <w:bottom w:val="nil"/>
          <w:right w:val="nil"/>
          <w:between w:val="nil"/>
        </w:pBdr>
        <w:jc w:val="center"/>
        <w:rPr>
          <w:b/>
          <w:sz w:val="36"/>
          <w:szCs w:val="36"/>
        </w:rPr>
      </w:pPr>
      <w:r w:rsidRPr="0048710D">
        <w:rPr>
          <w:b/>
          <w:sz w:val="36"/>
          <w:szCs w:val="36"/>
        </w:rPr>
        <w:t>Vozes da solidão: análise do discurso de pessoas idosas do Distrito Federal</w:t>
      </w:r>
    </w:p>
    <w:p w14:paraId="0251169C" w14:textId="77777777" w:rsidR="00D53EC3" w:rsidRDefault="00D53EC3">
      <w:pPr>
        <w:rPr>
          <w:b/>
        </w:rPr>
      </w:pPr>
    </w:p>
    <w:p w14:paraId="4327B529" w14:textId="46AA69F3" w:rsidR="00012C61" w:rsidRPr="00D53EC3" w:rsidRDefault="00D53EC3">
      <w:pPr>
        <w:rPr>
          <w:bCs/>
        </w:rPr>
      </w:pPr>
      <w:r>
        <w:rPr>
          <w:b/>
        </w:rPr>
        <w:t>Nomes dos Autores</w:t>
      </w:r>
      <w:r w:rsidR="00D40B94">
        <w:rPr>
          <w:b/>
        </w:rPr>
        <w:t xml:space="preserve"> (omitidos para a revisão duplo-cego)</w:t>
      </w:r>
      <w:r>
        <w:rPr>
          <w:rStyle w:val="Appelnotedebasdep"/>
          <w:b/>
        </w:rPr>
        <w:footnoteReference w:id="1"/>
      </w:r>
    </w:p>
    <w:p w14:paraId="1D5391EB" w14:textId="7BDD0482" w:rsidR="00D53EC3" w:rsidRDefault="00D53EC3">
      <w:pPr>
        <w:rPr>
          <w:b/>
        </w:rPr>
      </w:pPr>
    </w:p>
    <w:p w14:paraId="6902E504" w14:textId="41DA14A2" w:rsidR="00D53EC3" w:rsidRPr="00D53EC3" w:rsidRDefault="00D53EC3">
      <w:pPr>
        <w:rPr>
          <w:bCs/>
          <w:i/>
          <w:iCs/>
        </w:rPr>
      </w:pPr>
      <w:r>
        <w:rPr>
          <w:bCs/>
          <w:i/>
          <w:iCs/>
        </w:rPr>
        <w:t>Afiliações Institucionais (</w:t>
      </w:r>
      <w:r w:rsidR="00D40B94">
        <w:rPr>
          <w:bCs/>
          <w:i/>
          <w:iCs/>
        </w:rPr>
        <w:t>omitidas para a</w:t>
      </w:r>
      <w:r>
        <w:rPr>
          <w:bCs/>
          <w:i/>
          <w:iCs/>
        </w:rPr>
        <w:t xml:space="preserve"> revisão duplo-cego)</w:t>
      </w:r>
      <w:r w:rsidRPr="00913457">
        <w:rPr>
          <w:rStyle w:val="Appelnotedebasdep"/>
          <w:bCs/>
        </w:rPr>
        <w:footnoteReference w:id="2"/>
      </w:r>
    </w:p>
    <w:p w14:paraId="655DB671" w14:textId="77777777" w:rsidR="00012C61" w:rsidRPr="0048710D" w:rsidRDefault="00012C61">
      <w:pPr>
        <w:rPr>
          <w:i/>
          <w:sz w:val="28"/>
          <w:szCs w:val="28"/>
        </w:rPr>
      </w:pPr>
    </w:p>
    <w:p w14:paraId="572CF101" w14:textId="77777777" w:rsidR="00012C61" w:rsidRPr="0048710D" w:rsidRDefault="00795D4C">
      <w:pPr>
        <w:rPr>
          <w:rFonts w:ascii="Times" w:eastAsia="Times" w:hAnsi="Times" w:cs="Times"/>
          <w:i/>
          <w:sz w:val="28"/>
          <w:szCs w:val="28"/>
        </w:rPr>
      </w:pPr>
      <w:r w:rsidRPr="0048710D">
        <w:rPr>
          <w:noProof/>
        </w:rPr>
        <mc:AlternateContent>
          <mc:Choice Requires="wpg">
            <w:drawing>
              <wp:anchor distT="4294967295" distB="4294967295" distL="114300" distR="114300" simplePos="0" relativeHeight="251658240" behindDoc="0" locked="0" layoutInCell="1" hidden="0" allowOverlap="1" wp14:anchorId="64A553D7" wp14:editId="358E5904">
                <wp:simplePos x="0" y="0"/>
                <wp:positionH relativeFrom="column">
                  <wp:posOffset>1</wp:posOffset>
                </wp:positionH>
                <wp:positionV relativeFrom="paragraph">
                  <wp:posOffset>55896</wp:posOffset>
                </wp:positionV>
                <wp:extent cx="6172200" cy="25400"/>
                <wp:effectExtent l="0" t="0" r="0" b="0"/>
                <wp:wrapNone/>
                <wp:docPr id="23" name="Straight Arrow Connector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2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172200" cy="25400"/>
                        </a:xfrm>
                        <a:prstGeom prst="rect"/>
                        <a:ln/>
                      </pic:spPr>
                    </pic:pic>
                  </a:graphicData>
                </a:graphic>
              </wp:anchor>
            </w:drawing>
          </mc:Fallback>
        </mc:AlternateContent>
      </w:r>
    </w:p>
    <w:p w14:paraId="7226990A" w14:textId="77777777" w:rsidR="00012C61" w:rsidRPr="0048710D" w:rsidRDefault="00012C61">
      <w:pPr>
        <w:rPr>
          <w:b/>
          <w:sz w:val="20"/>
          <w:szCs w:val="20"/>
        </w:rPr>
      </w:pPr>
    </w:p>
    <w:p w14:paraId="4DCA0121" w14:textId="23C65DE5" w:rsidR="00012C61" w:rsidRPr="0048710D" w:rsidRDefault="00D365DC">
      <w:pPr>
        <w:pBdr>
          <w:top w:val="nil"/>
          <w:left w:val="nil"/>
          <w:bottom w:val="nil"/>
          <w:right w:val="nil"/>
          <w:between w:val="nil"/>
        </w:pBdr>
        <w:spacing w:after="120"/>
        <w:jc w:val="center"/>
        <w:rPr>
          <w:b/>
          <w:smallCaps/>
          <w:sz w:val="20"/>
          <w:szCs w:val="20"/>
        </w:rPr>
      </w:pPr>
      <w:r w:rsidRPr="0048710D">
        <w:rPr>
          <w:b/>
          <w:smallCaps/>
          <w:sz w:val="20"/>
          <w:szCs w:val="20"/>
        </w:rPr>
        <w:t>RESUMO</w:t>
      </w:r>
    </w:p>
    <w:p w14:paraId="599A296D" w14:textId="0F63D581" w:rsidR="00012C61" w:rsidRPr="0048710D" w:rsidRDefault="00D365DC" w:rsidP="0048710D">
      <w:pPr>
        <w:jc w:val="both"/>
        <w:rPr>
          <w:sz w:val="20"/>
          <w:szCs w:val="20"/>
        </w:rPr>
      </w:pPr>
      <w:r w:rsidRPr="0048710D">
        <w:rPr>
          <w:sz w:val="20"/>
          <w:szCs w:val="20"/>
        </w:rPr>
        <w:t>O objetivo deste artigo é analisar o discurso de pessoas idosas do Distrito Federal, com o intuito de identificar as dimensões que compõem a solidão. Foi realizado um estudo descritivo-exploratório, com seis pessoas (</w:t>
      </w:r>
      <m:oMath>
        <m:r>
          <w:rPr>
            <w:rFonts w:ascii="Cambria Math" w:hAnsi="Cambria Math"/>
            <w:sz w:val="20"/>
            <w:szCs w:val="20"/>
          </w:rPr>
          <m:t>M=70,83</m:t>
        </m:r>
      </m:oMath>
      <w:r w:rsidR="0048710D">
        <w:rPr>
          <w:sz w:val="20"/>
          <w:szCs w:val="20"/>
        </w:rPr>
        <w:t xml:space="preserve"> anos, </w:t>
      </w:r>
      <m:oMath>
        <m:r>
          <w:rPr>
            <w:rFonts w:ascii="Cambria Math" w:hAnsi="Cambria Math"/>
            <w:sz w:val="20"/>
            <w:szCs w:val="20"/>
          </w:rPr>
          <m:t>DP=5,66</m:t>
        </m:r>
      </m:oMath>
      <w:r w:rsidR="0048710D">
        <w:rPr>
          <w:sz w:val="20"/>
          <w:szCs w:val="20"/>
        </w:rPr>
        <w:t>)</w:t>
      </w:r>
      <w:r w:rsidRPr="0048710D">
        <w:rPr>
          <w:sz w:val="20"/>
          <w:szCs w:val="20"/>
        </w:rPr>
        <w:t>. Os dados foram analisados pelo I</w:t>
      </w:r>
      <w:r w:rsidR="0048710D">
        <w:rPr>
          <w:sz w:val="20"/>
          <w:szCs w:val="20"/>
        </w:rPr>
        <w:t>R</w:t>
      </w:r>
      <w:r w:rsidRPr="0048710D">
        <w:rPr>
          <w:sz w:val="20"/>
          <w:szCs w:val="20"/>
        </w:rPr>
        <w:t xml:space="preserve">aMuTeQ e identificaram cinco classes:  Classe I - “Dificuldade de </w:t>
      </w:r>
      <w:r w:rsidR="0048710D">
        <w:rPr>
          <w:sz w:val="20"/>
          <w:szCs w:val="20"/>
        </w:rPr>
        <w:t>P</w:t>
      </w:r>
      <w:r w:rsidRPr="0048710D">
        <w:rPr>
          <w:sz w:val="20"/>
          <w:szCs w:val="20"/>
        </w:rPr>
        <w:t xml:space="preserve">edir </w:t>
      </w:r>
      <w:r w:rsidR="0048710D">
        <w:rPr>
          <w:sz w:val="20"/>
          <w:szCs w:val="20"/>
        </w:rPr>
        <w:t>A</w:t>
      </w:r>
      <w:r w:rsidRPr="0048710D">
        <w:rPr>
          <w:sz w:val="20"/>
          <w:szCs w:val="20"/>
        </w:rPr>
        <w:t>juda”, Classe II - “Atividades Cotidianas</w:t>
      </w:r>
      <w:r w:rsidR="0048710D">
        <w:rPr>
          <w:sz w:val="20"/>
          <w:szCs w:val="20"/>
        </w:rPr>
        <w:t>”</w:t>
      </w:r>
      <w:r w:rsidRPr="0048710D">
        <w:rPr>
          <w:sz w:val="20"/>
          <w:szCs w:val="20"/>
        </w:rPr>
        <w:t xml:space="preserve">, Classe III </w:t>
      </w:r>
      <w:r w:rsidR="0048710D">
        <w:rPr>
          <w:sz w:val="20"/>
          <w:szCs w:val="20"/>
        </w:rPr>
        <w:t>–</w:t>
      </w:r>
      <w:r w:rsidRPr="0048710D">
        <w:rPr>
          <w:sz w:val="20"/>
          <w:szCs w:val="20"/>
        </w:rPr>
        <w:t xml:space="preserve"> </w:t>
      </w:r>
      <w:r w:rsidR="0048710D">
        <w:rPr>
          <w:sz w:val="20"/>
          <w:szCs w:val="20"/>
        </w:rPr>
        <w:t>“</w:t>
      </w:r>
      <w:r w:rsidRPr="0048710D">
        <w:rPr>
          <w:sz w:val="20"/>
          <w:szCs w:val="20"/>
        </w:rPr>
        <w:t xml:space="preserve">Aceitação de </w:t>
      </w:r>
      <w:r w:rsidR="0048710D">
        <w:rPr>
          <w:sz w:val="20"/>
          <w:szCs w:val="20"/>
        </w:rPr>
        <w:t>A</w:t>
      </w:r>
      <w:r w:rsidRPr="0048710D">
        <w:rPr>
          <w:sz w:val="20"/>
          <w:szCs w:val="20"/>
        </w:rPr>
        <w:t>juda”, Classe IV - “Rede de Apoio”, Classe V - “Lidando com a Solidão”. Os resultados revelaram a complexa teia de fatores que moldam a experiência da solidão na velhice e permite traçar um panorama multifacetado da solidão na velhice, que se configura como um fenômeno complexo, influenciado por aspectos individuais, sociais e culturais.</w:t>
      </w:r>
      <w:r w:rsidR="0048710D">
        <w:rPr>
          <w:sz w:val="20"/>
          <w:szCs w:val="20"/>
        </w:rPr>
        <w:t xml:space="preserve"> </w:t>
      </w:r>
    </w:p>
    <w:p w14:paraId="0A341DA8" w14:textId="77777777" w:rsidR="00012C61" w:rsidRPr="0048710D" w:rsidRDefault="00012C61">
      <w:pPr>
        <w:rPr>
          <w:sz w:val="20"/>
          <w:szCs w:val="20"/>
        </w:rPr>
      </w:pPr>
    </w:p>
    <w:p w14:paraId="0C626E75" w14:textId="7E873C41" w:rsidR="00012C61" w:rsidRPr="0048710D" w:rsidRDefault="00D365DC">
      <w:pPr>
        <w:rPr>
          <w:b/>
          <w:sz w:val="20"/>
          <w:szCs w:val="20"/>
        </w:rPr>
      </w:pPr>
      <w:r w:rsidRPr="0048710D">
        <w:rPr>
          <w:b/>
          <w:sz w:val="20"/>
          <w:szCs w:val="20"/>
        </w:rPr>
        <w:t>Palavras-chave</w:t>
      </w:r>
    </w:p>
    <w:p w14:paraId="6E9BDE4B" w14:textId="235DBEB1" w:rsidR="00D365DC" w:rsidRPr="0048710D" w:rsidRDefault="00D365DC">
      <w:pPr>
        <w:jc w:val="both"/>
        <w:rPr>
          <w:sz w:val="20"/>
          <w:szCs w:val="20"/>
        </w:rPr>
      </w:pPr>
      <w:r w:rsidRPr="0048710D">
        <w:rPr>
          <w:sz w:val="20"/>
          <w:szCs w:val="20"/>
        </w:rPr>
        <w:t>pessoa idosa</w:t>
      </w:r>
      <w:r w:rsidR="00913457">
        <w:rPr>
          <w:sz w:val="20"/>
          <w:szCs w:val="20"/>
        </w:rPr>
        <w:t>,</w:t>
      </w:r>
      <w:r w:rsidRPr="0048710D">
        <w:rPr>
          <w:sz w:val="20"/>
          <w:szCs w:val="20"/>
        </w:rPr>
        <w:t xml:space="preserve"> solidão</w:t>
      </w:r>
      <w:r w:rsidR="00913457">
        <w:rPr>
          <w:sz w:val="20"/>
          <w:szCs w:val="20"/>
        </w:rPr>
        <w:t>,</w:t>
      </w:r>
      <w:r w:rsidRPr="0048710D">
        <w:rPr>
          <w:sz w:val="20"/>
          <w:szCs w:val="20"/>
        </w:rPr>
        <w:t xml:space="preserve"> intervenção psicossocial</w:t>
      </w:r>
    </w:p>
    <w:p w14:paraId="6723AABA" w14:textId="77777777" w:rsidR="00012C61" w:rsidRPr="0048710D" w:rsidRDefault="00012C61">
      <w:pPr>
        <w:jc w:val="both"/>
        <w:rPr>
          <w:sz w:val="20"/>
          <w:szCs w:val="20"/>
        </w:rPr>
      </w:pPr>
    </w:p>
    <w:p w14:paraId="5E598885" w14:textId="14B5F21F" w:rsidR="00012C61" w:rsidRPr="0048710D" w:rsidRDefault="00D365DC">
      <w:pPr>
        <w:pBdr>
          <w:top w:val="nil"/>
          <w:left w:val="nil"/>
          <w:bottom w:val="nil"/>
          <w:right w:val="nil"/>
          <w:between w:val="nil"/>
        </w:pBdr>
        <w:spacing w:after="120"/>
        <w:jc w:val="center"/>
        <w:rPr>
          <w:b/>
          <w:smallCaps/>
          <w:sz w:val="20"/>
          <w:szCs w:val="20"/>
          <w:lang w:val="en-US"/>
        </w:rPr>
      </w:pPr>
      <w:r w:rsidRPr="0048710D">
        <w:rPr>
          <w:b/>
          <w:smallCaps/>
          <w:sz w:val="20"/>
          <w:szCs w:val="20"/>
          <w:lang w:val="en-US"/>
        </w:rPr>
        <w:t>ABSTRACT</w:t>
      </w:r>
    </w:p>
    <w:p w14:paraId="7CAC5A2E" w14:textId="5E694FF6" w:rsidR="00012C61" w:rsidRPr="0048710D" w:rsidRDefault="00D365DC" w:rsidP="00D365DC">
      <w:pPr>
        <w:jc w:val="both"/>
        <w:rPr>
          <w:sz w:val="20"/>
          <w:szCs w:val="20"/>
          <w:lang w:val="en-US"/>
        </w:rPr>
      </w:pPr>
      <w:r w:rsidRPr="0048710D">
        <w:rPr>
          <w:sz w:val="20"/>
          <w:szCs w:val="20"/>
          <w:lang w:val="en-US"/>
        </w:rPr>
        <w:t xml:space="preserve">The objective of this article is to analyze the discourse of elderly people in the Distrito Federal, with the aim of identifying the dimensions that make up loneliness. A descriptive-exploratory study was carried out with six people </w:t>
      </w:r>
      <w:r w:rsidR="0048710D">
        <w:rPr>
          <w:sz w:val="20"/>
          <w:szCs w:val="20"/>
          <w:lang w:val="en-US"/>
        </w:rPr>
        <w:t>(</w:t>
      </w:r>
      <m:oMath>
        <m:r>
          <w:rPr>
            <w:rFonts w:ascii="Cambria Math" w:hAnsi="Cambria Math"/>
            <w:sz w:val="20"/>
            <w:szCs w:val="20"/>
          </w:rPr>
          <m:t>M</m:t>
        </m:r>
        <m:r>
          <w:rPr>
            <w:rFonts w:ascii="Cambria Math" w:hAnsi="Cambria Math"/>
            <w:sz w:val="20"/>
            <w:szCs w:val="20"/>
            <w:lang w:val="en-US"/>
          </w:rPr>
          <m:t>=70.83</m:t>
        </m:r>
      </m:oMath>
      <w:r w:rsidR="0048710D" w:rsidRPr="006F68B6">
        <w:rPr>
          <w:sz w:val="20"/>
          <w:szCs w:val="20"/>
          <w:lang w:val="en-US"/>
        </w:rPr>
        <w:t xml:space="preserve"> years, </w:t>
      </w:r>
      <m:oMath>
        <m:r>
          <w:rPr>
            <w:rFonts w:ascii="Cambria Math" w:hAnsi="Cambria Math"/>
            <w:sz w:val="20"/>
            <w:szCs w:val="20"/>
          </w:rPr>
          <m:t>SD</m:t>
        </m:r>
        <m:r>
          <w:rPr>
            <w:rFonts w:ascii="Cambria Math" w:hAnsi="Cambria Math"/>
            <w:sz w:val="20"/>
            <w:szCs w:val="20"/>
            <w:lang w:val="en-US"/>
          </w:rPr>
          <m:t>=5.66</m:t>
        </m:r>
      </m:oMath>
      <w:r w:rsidR="0048710D" w:rsidRPr="006F68B6">
        <w:rPr>
          <w:sz w:val="20"/>
          <w:szCs w:val="20"/>
          <w:lang w:val="en-US"/>
        </w:rPr>
        <w:t>)</w:t>
      </w:r>
      <w:r w:rsidRPr="0048710D">
        <w:rPr>
          <w:sz w:val="20"/>
          <w:szCs w:val="20"/>
          <w:lang w:val="en-US"/>
        </w:rPr>
        <w:t>. The data were analyzed by I</w:t>
      </w:r>
      <w:r w:rsidR="0048710D">
        <w:rPr>
          <w:sz w:val="20"/>
          <w:szCs w:val="20"/>
          <w:lang w:val="en-US"/>
        </w:rPr>
        <w:t>R</w:t>
      </w:r>
      <w:r w:rsidRPr="0048710D">
        <w:rPr>
          <w:sz w:val="20"/>
          <w:szCs w:val="20"/>
          <w:lang w:val="en-US"/>
        </w:rPr>
        <w:t xml:space="preserve">aMuTeQ and identified five classes: Class I - “Difficulty in </w:t>
      </w:r>
      <w:r w:rsidR="0048710D">
        <w:rPr>
          <w:sz w:val="20"/>
          <w:szCs w:val="20"/>
          <w:lang w:val="en-US"/>
        </w:rPr>
        <w:t>A</w:t>
      </w:r>
      <w:r w:rsidRPr="0048710D">
        <w:rPr>
          <w:sz w:val="20"/>
          <w:szCs w:val="20"/>
          <w:lang w:val="en-US"/>
        </w:rPr>
        <w:t xml:space="preserve">sking for </w:t>
      </w:r>
      <w:r w:rsidR="0048710D">
        <w:rPr>
          <w:sz w:val="20"/>
          <w:szCs w:val="20"/>
          <w:lang w:val="en-US"/>
        </w:rPr>
        <w:t>H</w:t>
      </w:r>
      <w:r w:rsidRPr="0048710D">
        <w:rPr>
          <w:sz w:val="20"/>
          <w:szCs w:val="20"/>
          <w:lang w:val="en-US"/>
        </w:rPr>
        <w:t xml:space="preserve">elp”, Class II - “Daily Activities”, Class III - “Accepting </w:t>
      </w:r>
      <w:r w:rsidR="0048710D">
        <w:rPr>
          <w:sz w:val="20"/>
          <w:szCs w:val="20"/>
          <w:lang w:val="en-US"/>
        </w:rPr>
        <w:t>H</w:t>
      </w:r>
      <w:r w:rsidRPr="0048710D">
        <w:rPr>
          <w:sz w:val="20"/>
          <w:szCs w:val="20"/>
          <w:lang w:val="en-US"/>
        </w:rPr>
        <w:t>elp”, Class IV - “Support Network”, Class V - “Dealing with Loneliness”. The results revealed the complex web of factors that shape the experience of loneliness in old age and allow us to outline a multifaceted panorama of loneliness in old age, which is configured as a complex and multifactorial phenomenon, influenced by individual, social</w:t>
      </w:r>
      <w:r w:rsidR="00913457">
        <w:rPr>
          <w:sz w:val="20"/>
          <w:szCs w:val="20"/>
          <w:lang w:val="en-US"/>
        </w:rPr>
        <w:t>,</w:t>
      </w:r>
      <w:r w:rsidRPr="0048710D">
        <w:rPr>
          <w:sz w:val="20"/>
          <w:szCs w:val="20"/>
          <w:lang w:val="en-US"/>
        </w:rPr>
        <w:t xml:space="preserve"> and cultural aspects.</w:t>
      </w:r>
    </w:p>
    <w:p w14:paraId="2E8E4600" w14:textId="77777777" w:rsidR="00D365DC" w:rsidRPr="0048710D" w:rsidRDefault="00D365DC">
      <w:pPr>
        <w:rPr>
          <w:sz w:val="20"/>
          <w:szCs w:val="20"/>
          <w:lang w:val="en-US"/>
        </w:rPr>
      </w:pPr>
    </w:p>
    <w:p w14:paraId="7B0C8022" w14:textId="1FFE6D92" w:rsidR="00012C61" w:rsidRPr="0048710D" w:rsidRDefault="00D365DC">
      <w:pPr>
        <w:jc w:val="both"/>
        <w:rPr>
          <w:b/>
          <w:sz w:val="20"/>
          <w:szCs w:val="20"/>
          <w:lang w:val="en-US"/>
        </w:rPr>
      </w:pPr>
      <w:r w:rsidRPr="0048710D">
        <w:rPr>
          <w:b/>
          <w:sz w:val="20"/>
          <w:szCs w:val="20"/>
          <w:lang w:val="en-US"/>
        </w:rPr>
        <w:t>Keywords</w:t>
      </w:r>
    </w:p>
    <w:p w14:paraId="0D78BE44" w14:textId="6F9CACE8" w:rsidR="00D365DC" w:rsidRPr="0048710D" w:rsidRDefault="00913457">
      <w:pPr>
        <w:jc w:val="both"/>
        <w:rPr>
          <w:sz w:val="20"/>
          <w:szCs w:val="20"/>
          <w:lang w:val="en-US"/>
        </w:rPr>
      </w:pPr>
      <w:r>
        <w:rPr>
          <w:sz w:val="20"/>
          <w:szCs w:val="20"/>
          <w:lang w:val="en-US"/>
        </w:rPr>
        <w:t>a</w:t>
      </w:r>
      <w:r w:rsidR="00D365DC" w:rsidRPr="0048710D">
        <w:rPr>
          <w:sz w:val="20"/>
          <w:szCs w:val="20"/>
          <w:lang w:val="en-US"/>
        </w:rPr>
        <w:t>ged</w:t>
      </w:r>
      <w:r>
        <w:rPr>
          <w:sz w:val="20"/>
          <w:szCs w:val="20"/>
          <w:lang w:val="en-US"/>
        </w:rPr>
        <w:t>,</w:t>
      </w:r>
      <w:r w:rsidR="00D365DC" w:rsidRPr="0048710D">
        <w:rPr>
          <w:sz w:val="20"/>
          <w:szCs w:val="20"/>
          <w:lang w:val="en-US"/>
        </w:rPr>
        <w:t xml:space="preserve"> loneliness</w:t>
      </w:r>
      <w:r>
        <w:rPr>
          <w:sz w:val="20"/>
          <w:szCs w:val="20"/>
          <w:lang w:val="en-US"/>
        </w:rPr>
        <w:t>,</w:t>
      </w:r>
      <w:r w:rsidR="00D365DC" w:rsidRPr="0048710D">
        <w:rPr>
          <w:sz w:val="20"/>
          <w:szCs w:val="20"/>
          <w:lang w:val="en-US"/>
        </w:rPr>
        <w:t xml:space="preserve"> psychosocial intervention</w:t>
      </w:r>
    </w:p>
    <w:p w14:paraId="751CEDC8" w14:textId="77777777" w:rsidR="00012C61" w:rsidRPr="0048710D" w:rsidRDefault="00012C61">
      <w:pPr>
        <w:rPr>
          <w:bCs/>
          <w:lang w:val="en-US"/>
        </w:rPr>
      </w:pPr>
    </w:p>
    <w:p w14:paraId="274CFF93" w14:textId="7E05C06D" w:rsidR="00D365DC" w:rsidRPr="006F68B6" w:rsidRDefault="00795D4C" w:rsidP="00D365DC">
      <w:pPr>
        <w:pBdr>
          <w:top w:val="nil"/>
          <w:left w:val="nil"/>
          <w:bottom w:val="nil"/>
          <w:right w:val="nil"/>
          <w:between w:val="nil"/>
        </w:pBdr>
        <w:rPr>
          <w:rFonts w:asciiTheme="majorBidi" w:hAnsiTheme="majorBidi" w:cstheme="majorBidi"/>
          <w:lang w:val="en-US"/>
        </w:rPr>
      </w:pPr>
      <w:r w:rsidRPr="006F68B6">
        <w:rPr>
          <w:lang w:val="en-US"/>
        </w:rPr>
        <w:br w:type="page"/>
      </w:r>
    </w:p>
    <w:p w14:paraId="43F7761D" w14:textId="6B0CD1F4" w:rsidR="00D53EC3" w:rsidRPr="006F68B6" w:rsidRDefault="00D53EC3" w:rsidP="00D365DC">
      <w:pPr>
        <w:pStyle w:val="ApaStyleGeneral"/>
        <w:ind w:firstLine="0"/>
        <w:jc w:val="center"/>
        <w:rPr>
          <w:lang w:val="en-US"/>
        </w:rPr>
      </w:pPr>
      <w:r w:rsidRPr="006F68B6">
        <w:rPr>
          <w:lang w:val="en-US"/>
        </w:rPr>
        <w:lastRenderedPageBreak/>
        <w:t>Voices of loneliness: discourse analysis of elderly people in the Distrito Federal</w:t>
      </w:r>
    </w:p>
    <w:p w14:paraId="2EECB237" w14:textId="38202FC0" w:rsidR="00D365DC" w:rsidRPr="0048710D" w:rsidRDefault="00D365DC" w:rsidP="00DF24CC">
      <w:pPr>
        <w:pStyle w:val="APALevel1"/>
      </w:pPr>
      <w:r w:rsidRPr="0048710D">
        <w:t>Introdução</w:t>
      </w:r>
    </w:p>
    <w:p w14:paraId="497DA4BF" w14:textId="3AEC8B24" w:rsidR="00D365DC" w:rsidRPr="0048710D" w:rsidRDefault="00D365DC" w:rsidP="00DF24CC">
      <w:pPr>
        <w:pStyle w:val="ApaStyleGeneral"/>
      </w:pPr>
      <w:r w:rsidRPr="0048710D">
        <w:t>O envelhecimento é um fenômeno complexo e multifatorial, que se manifesta de forma singular em cada indivíduo. Ao adentrar nas nuances desse processo, percebe-se que o envelhecimento não se limita a uma mera passagem do tempo cronológico, mas envolve uma série de transformações biológicas, psicológicas e sociais (de Oliveira Valadares &amp; Chariglione, 2024</w:t>
      </w:r>
      <w:r w:rsidR="00DF24CC" w:rsidRPr="0048710D">
        <w:t>; dos Santos, et al., 2024</w:t>
      </w:r>
      <w:r w:rsidRPr="0048710D">
        <w:t>). A psicogerontologia, por exemplo, dedica-se a compreender as mudanças cognitivas, emocionais e sociais que ocorrem ao longo da vida, buscando desvendar os mecanismos que influenciam a adaptação ao envelhecimento. Ao compreender os processos psicológicos que acompanham o envelhecimento, é possível desenvolver intervenções eficazes para promover a qualidade de vida das pessoas idosas, prevenir doenças como a depressão e a demência, e estimular a participação ativa dos idosos na sociedade (Ansara &amp; Dantas, 2021; de Oliveira Valadares &amp; Chariglione, 2024).</w:t>
      </w:r>
      <w:r w:rsidR="00DF24CC" w:rsidRPr="0048710D">
        <w:t xml:space="preserve"> </w:t>
      </w:r>
    </w:p>
    <w:p w14:paraId="74261923" w14:textId="432097E5" w:rsidR="00D365DC" w:rsidRPr="0048710D" w:rsidRDefault="00D365DC" w:rsidP="00B00E21">
      <w:pPr>
        <w:pStyle w:val="ApaStyleGeneral"/>
      </w:pPr>
      <w:r w:rsidRPr="0048710D">
        <w:t>Os avanços da medicina e da tecnologia no século XXI nos fazem voltar os olhos aos processos de envelhecimento mundo afora, visto o crescimento acelerado do número de pessoas idosas na população mundial (</w:t>
      </w:r>
      <w:r w:rsidR="00B00E21" w:rsidRPr="0048710D">
        <w:t>Organização das Nações Unidas</w:t>
      </w:r>
      <w:r w:rsidRPr="0048710D">
        <w:t xml:space="preserve">, 2023). O fenômeno do envelhecimento populacional nos força a repensar políticas de saúde e inclusão, através de um olhar humanitário para as diferentes formas de envelhecimento humano e suas implicações em um sistema cujo cerne é a produtividade (dos Santos Silva et al., 2021). Tendo em mente a lógica da produtividade, a pessoa idosa no Brasil se encontra em situação de desamparo social e laboral. É evidente a necessidade de políticas que garantam aos indivíduos a possibilidade de criação própria de condições para seu desenvolvimento na velhice, como a participação social, </w:t>
      </w:r>
      <w:r w:rsidR="00B00E21" w:rsidRPr="0048710D">
        <w:t xml:space="preserve">a </w:t>
      </w:r>
      <w:r w:rsidRPr="0048710D">
        <w:t xml:space="preserve">autonomia e </w:t>
      </w:r>
      <w:r w:rsidR="00B00E21" w:rsidRPr="0048710D">
        <w:t xml:space="preserve">a </w:t>
      </w:r>
      <w:r w:rsidRPr="0048710D">
        <w:t xml:space="preserve">integração ao sistema (Silva &amp; Galindo, 2023). </w:t>
      </w:r>
    </w:p>
    <w:p w14:paraId="749F472D" w14:textId="0956B5C8" w:rsidR="00D365DC" w:rsidRPr="0048710D" w:rsidRDefault="00D365DC" w:rsidP="00B00E21">
      <w:pPr>
        <w:pStyle w:val="ApaStyleGeneral"/>
      </w:pPr>
      <w:r w:rsidRPr="0048710D">
        <w:t xml:space="preserve">Pensando como sociedade, o termo </w:t>
      </w:r>
      <w:r w:rsidRPr="0048710D">
        <w:rPr>
          <w:i/>
          <w:iCs/>
        </w:rPr>
        <w:t>velho</w:t>
      </w:r>
      <w:r w:rsidRPr="0048710D">
        <w:t xml:space="preserve"> se refere a algo que é usado e improdutivo. Dessa forma, pessoas idosas, em um processo que perpassa cultura e identificação social, são colocadas à margem em uma sociedade que gira em torno da produtividade e mercado (Dardengo &amp; Mafra, 2018). Debert (2000) traz que a industrialização transformou as pessoas idosas em um peso para o Estado e a família, de forma que a sociedade moderna tenha imposto um destino isento de papel social àqueles que envelhecem. Gonçalves</w:t>
      </w:r>
      <w:r w:rsidR="00B00E21" w:rsidRPr="0048710D">
        <w:t xml:space="preserve"> et al.</w:t>
      </w:r>
      <w:r w:rsidRPr="0048710D">
        <w:t xml:space="preserve"> (2024) afirmam a importância de incluir pessoas idosas em papéis sociais, destacando as contradições do envelhecimento como fundamentais para a promoção do desenvolvimento e transformação. Matos (2019) conclui, através da interpretação da autopercepção de pessoas idosas, que a valorização e </w:t>
      </w:r>
      <w:r w:rsidR="00B00E21" w:rsidRPr="0048710D">
        <w:t xml:space="preserve">o </w:t>
      </w:r>
      <w:r w:rsidRPr="0048710D">
        <w:t>respeito do papel social do idoso são ferramentas de enfrentamento à solidão vivenciada na velhice.</w:t>
      </w:r>
      <w:r w:rsidR="00B00E21" w:rsidRPr="0048710D">
        <w:t xml:space="preserve"> </w:t>
      </w:r>
    </w:p>
    <w:p w14:paraId="1D7A861B" w14:textId="670FEAA4" w:rsidR="00D365DC" w:rsidRPr="0048710D" w:rsidRDefault="00D365DC" w:rsidP="00B00E21">
      <w:pPr>
        <w:pStyle w:val="ApaStyleGeneral"/>
      </w:pPr>
      <w:r w:rsidRPr="0048710D">
        <w:lastRenderedPageBreak/>
        <w:t xml:space="preserve">A contextualização histórica sobre os diferentes processos de envelhecimento evidencia a evolução das concepções sobre a velhice. Ao adotar a perspectiva </w:t>
      </w:r>
      <w:r w:rsidRPr="0048710D">
        <w:rPr>
          <w:i/>
        </w:rPr>
        <w:t>Lifespan</w:t>
      </w:r>
      <w:r w:rsidRPr="0048710D">
        <w:t xml:space="preserve">, a heterogeneidade intraindividual e interindividual do envelhecimento torna-se central na análise, superando visões homogêneas e lineares. Destacando que a perspectiva </w:t>
      </w:r>
      <w:r w:rsidRPr="0048710D">
        <w:rPr>
          <w:i/>
        </w:rPr>
        <w:t>Lifespan</w:t>
      </w:r>
      <w:r w:rsidRPr="0048710D">
        <w:t xml:space="preserve"> é um marco teórico fundamental na psicogerontologia, concebendo o envelhecimento como um processo dinâmico e multifatorial, que se estende por todo o curso da vida. Essa abordagem diverge da visão tradicional, que considerava a velhice como um período de declínio inevitável (Neri, 2006, 2022). A</w:t>
      </w:r>
      <w:r w:rsidRPr="0048710D">
        <w:rPr>
          <w:i/>
        </w:rPr>
        <w:t xml:space="preserve"> Lifespan</w:t>
      </w:r>
      <w:r w:rsidRPr="0048710D">
        <w:t xml:space="preserve"> enfatiza a heterogeneidade do envelhecimento, reconhecendo que as experiências individuais, as condições socioculturais e os fatores biológicos moldam de forma singular o processo de cada pessoa. Essa perspectiva contribui significativamente para a compreensão da complexidade do envelhecimento, destacando a importância de considerar tanto os aspectos universais quanto os aspectos idiossincráticos desse fenômeno, e abrindo caminho para intervenções mais personalizadas e eficazes nas complexas dimensões de envelhecer (Justo et al., 2022).</w:t>
      </w:r>
      <w:r w:rsidR="00B00E21" w:rsidRPr="0048710D">
        <w:t xml:space="preserve"> </w:t>
      </w:r>
    </w:p>
    <w:p w14:paraId="00777DEC" w14:textId="7BEDBA62" w:rsidR="00D365DC" w:rsidRPr="0048710D" w:rsidRDefault="00D365DC" w:rsidP="009F0FE1">
      <w:pPr>
        <w:pStyle w:val="ApaStyleGeneral"/>
        <w:rPr>
          <w:highlight w:val="white"/>
        </w:rPr>
      </w:pPr>
      <w:r w:rsidRPr="0048710D">
        <w:rPr>
          <w:highlight w:val="white"/>
        </w:rPr>
        <w:t xml:space="preserve">Na grande complexidade das dimensões do envelhecimento, entra em questão a solidão, que é um sentimento estereotipicamente associado a esse processo, apesar de estar presente em todas as faixas etárias. Esse sentimento não é intrínseco ao envelhecimento, mas está relacionado a fatores psicossociais da velhice que acarretam um aumento desse fenômeno na adultez tardia. A solidão é uma experiência subjetiva e negativa relacionada a uma falta de conexões profundas com outras pessoas. Essa </w:t>
      </w:r>
      <w:r w:rsidRPr="0048710D">
        <w:rPr>
          <w:i/>
          <w:iCs/>
          <w:highlight w:val="white"/>
        </w:rPr>
        <w:t>falta</w:t>
      </w:r>
      <w:r w:rsidRPr="0048710D">
        <w:rPr>
          <w:highlight w:val="white"/>
        </w:rPr>
        <w:t xml:space="preserve"> descreve o contraste entre a expectativa ou preferência do indivíduo e a experiência prática, tendo uma relação forte com a percepção subjetiva (</w:t>
      </w:r>
      <w:r w:rsidR="003F1987" w:rsidRPr="0048710D">
        <w:rPr>
          <w:highlight w:val="white"/>
        </w:rPr>
        <w:t>Pr</w:t>
      </w:r>
      <w:r w:rsidRPr="0048710D">
        <w:rPr>
          <w:highlight w:val="white"/>
        </w:rPr>
        <w:t>ohaska, et al.</w:t>
      </w:r>
      <w:r w:rsidR="009F0FE1" w:rsidRPr="0048710D">
        <w:rPr>
          <w:highlight w:val="white"/>
        </w:rPr>
        <w:t>,</w:t>
      </w:r>
      <w:r w:rsidRPr="0048710D">
        <w:rPr>
          <w:highlight w:val="white"/>
        </w:rPr>
        <w:t xml:space="preserve"> 2020). Elementos naturais dessa fase da vida, como a morte de familiares e amigos próximos, saída dos filhos de casa e limitações devido a transformações cognitivas e de saúde contribuem para esse aumento, assim como fatores sociais, tais como a rejeição social, etarismo e falta de comunidade (Sandy et al.</w:t>
      </w:r>
      <w:r w:rsidR="007C1DCD" w:rsidRPr="0048710D">
        <w:rPr>
          <w:highlight w:val="white"/>
        </w:rPr>
        <w:t>,</w:t>
      </w:r>
      <w:r w:rsidRPr="0048710D">
        <w:rPr>
          <w:highlight w:val="white"/>
        </w:rPr>
        <w:t xml:space="preserve"> 2023). A solidão na pessoa idosa também está diretamente ligada ao papel social do idoso, especialmente quando se fala de seu aspecto na percepção subjetiva. Em um contexto capitalista de hiperprodutividade, o idoso é</w:t>
      </w:r>
      <w:r w:rsidR="007C1DCD" w:rsidRPr="0048710D">
        <w:rPr>
          <w:highlight w:val="white"/>
        </w:rPr>
        <w:t>,</w:t>
      </w:r>
      <w:r w:rsidRPr="0048710D">
        <w:rPr>
          <w:highlight w:val="white"/>
        </w:rPr>
        <w:t xml:space="preserve"> muitas vezes, socialmente visto como um “peso” para a família, além de estar associado a um processo de finitude e incapacidade, construindo uma percepção social sobre o idoso que dificulta o processo de aceitação e permite o enfrentamento da solidão nessa faixa etária (Matos, 201</w:t>
      </w:r>
      <w:r w:rsidR="006F68B6">
        <w:rPr>
          <w:highlight w:val="white"/>
        </w:rPr>
        <w:t>9</w:t>
      </w:r>
      <w:r w:rsidRPr="0048710D">
        <w:rPr>
          <w:highlight w:val="white"/>
        </w:rPr>
        <w:t xml:space="preserve">). </w:t>
      </w:r>
    </w:p>
    <w:p w14:paraId="03267E7C" w14:textId="71C144C6" w:rsidR="00D365DC" w:rsidRPr="0048710D" w:rsidRDefault="00D365DC" w:rsidP="007C1DCD">
      <w:pPr>
        <w:pStyle w:val="ApaStyleGeneral"/>
        <w:rPr>
          <w:highlight w:val="white"/>
        </w:rPr>
      </w:pPr>
      <w:r w:rsidRPr="0048710D">
        <w:rPr>
          <w:highlight w:val="white"/>
        </w:rPr>
        <w:t>Esse sentimento tende a ser mais prevalente em mulheres idosas, pessoas idosas que moram sozinhas e pessoas idosas com 80 anos ou mais (Sandy et al.</w:t>
      </w:r>
      <w:r w:rsidR="007C1DCD" w:rsidRPr="0048710D">
        <w:rPr>
          <w:highlight w:val="white"/>
        </w:rPr>
        <w:t>,</w:t>
      </w:r>
      <w:r w:rsidRPr="0048710D">
        <w:rPr>
          <w:highlight w:val="white"/>
        </w:rPr>
        <w:t xml:space="preserve"> 2023), e é apontado como ocasionando impactos tanto na saúde mental, aumentando o risco do desenvolvimento de </w:t>
      </w:r>
      <w:r w:rsidRPr="0048710D">
        <w:rPr>
          <w:highlight w:val="white"/>
        </w:rPr>
        <w:lastRenderedPageBreak/>
        <w:t>ansiedade e depressão, quanto na saúde física, aumentando o risco do desenvolvimento de doenças crônicas como hipertensão arterial (De Lima et al.,</w:t>
      </w:r>
      <w:r w:rsidR="007C1DCD" w:rsidRPr="0048710D">
        <w:rPr>
          <w:highlight w:val="white"/>
        </w:rPr>
        <w:t xml:space="preserve"> </w:t>
      </w:r>
      <w:r w:rsidRPr="0048710D">
        <w:rPr>
          <w:highlight w:val="white"/>
        </w:rPr>
        <w:t>2024). Diante desse cenário, é importante a investigação acerca dos fatores protetivos para a saúde mental das pessoas idosas focalizando esse sentimento, os elementos que o intensificam e que medidas podem ser tomadas para diminuir seus efeitos na saúde mental e física de pessoas na adultez tardia. O conhecimento desses impactos é essencial para fundamentar a implementação de políticas públicas voltadas para o bem-estar dessa população (Ferreira &amp; Casemiro, 2021).</w:t>
      </w:r>
      <w:r w:rsidR="007C1DCD" w:rsidRPr="0048710D">
        <w:rPr>
          <w:highlight w:val="white"/>
        </w:rPr>
        <w:t xml:space="preserve"> </w:t>
      </w:r>
    </w:p>
    <w:p w14:paraId="76CF13EA" w14:textId="31BE5D02" w:rsidR="00D365DC" w:rsidRPr="0048710D" w:rsidRDefault="00D365DC" w:rsidP="0026088C">
      <w:pPr>
        <w:pStyle w:val="ApaStyleGeneral"/>
        <w:rPr>
          <w:highlight w:val="white"/>
        </w:rPr>
      </w:pPr>
      <w:r w:rsidRPr="0048710D">
        <w:tab/>
      </w:r>
      <w:r w:rsidRPr="0048710D">
        <w:rPr>
          <w:highlight w:val="white"/>
        </w:rPr>
        <w:t>Os fatores citados de estado civil, saída dos filhos de casa, perda de entes próximos e saúde física, rejeição social e falta de comunidade são primordiais para se estudar a solidão em pessoas idosas. Fatores esses que causam o isolamento social e, consequentemente, níveis de dependência e depressão que afetam a autonomia do indivíduo (De Lima et al., 2024). Tendo em mente a solidão como um fenômeno que afeta não somente a saúde mental do indivíduo, mas também física, a depressão é destacada na literatura como uma das principais condições na velhice relacionadas à solidão (</w:t>
      </w:r>
      <w:r w:rsidR="0026088C" w:rsidRPr="0048710D">
        <w:rPr>
          <w:highlight w:val="white"/>
        </w:rPr>
        <w:t xml:space="preserve">Afonso et al., 2019; </w:t>
      </w:r>
      <w:r w:rsidRPr="0048710D">
        <w:rPr>
          <w:highlight w:val="white"/>
        </w:rPr>
        <w:t>Damas et al., 2023; Pocinho &amp; Macedo, 2017). Mesmo que seja difícil o diagnóstico diferencial entre causa e efeito da solidão na sintomatologia depressiva, o fato é que estão associadas. Os estudos têm como cerne a forma como a solidão pode se desenvolver em doença, seja ela psíquica ou física. Não obstante, a solidão também é associada ao risco de demências no processo de envelhecimento (Harison, 2012; Pereira, 2022). Dessa forma, compreende-se a solidão como um fenômeno que afeta a autonomia e qualidade de vida do indivíduo que a vivencia e valorizam-se as intervenções psicossociais em grupo para estimular a socialização e rede de apoio.</w:t>
      </w:r>
      <w:r w:rsidR="001D21B7" w:rsidRPr="0048710D">
        <w:rPr>
          <w:highlight w:val="white"/>
        </w:rPr>
        <w:t xml:space="preserve"> </w:t>
      </w:r>
    </w:p>
    <w:p w14:paraId="013BFE8B" w14:textId="2C63C271" w:rsidR="00D365DC" w:rsidRPr="0048710D" w:rsidRDefault="00D365DC" w:rsidP="001D21B7">
      <w:pPr>
        <w:pStyle w:val="ApaStyleGeneral"/>
      </w:pPr>
      <w:r w:rsidRPr="0048710D">
        <w:t xml:space="preserve">Nessa análise da solidão, a intervenção psicossocial é uma ferramenta extremamente poderosa. É uma estratégia fundamentalmente estruturada com foco no indivíduo e seu contexto, havendo uma ligação direta com a realidade social (Costa &amp; Lordello, 2019). E, assim como os processos de envelhecimento não são únicos, também não se pode individualizar o contexto da solidão, sendo esse perpassado por diversos aspectos. Com isso, essas intervenções ocupam um espaço essencial no estudo da solidão como fenômeno psicossocial, envolvendo indivíduo, família, comunidade e política. Além do mais, as possibilidades terapêuticas, especialmente ligadas </w:t>
      </w:r>
      <w:r w:rsidR="005435CC">
        <w:t>a</w:t>
      </w:r>
      <w:r w:rsidRPr="0048710D">
        <w:t xml:space="preserve"> intervenções grupais, permitem a troca de experiências interpessoais e controle da narrativa pelos próprios idosos, proporcionando reflexões sobre si, seus relacionamentos, a coletividade de modo geral e outros aspectos sociais (Rabelo &amp; Nery, 2013).</w:t>
      </w:r>
      <w:r w:rsidR="001D21B7" w:rsidRPr="0048710D">
        <w:t xml:space="preserve"> </w:t>
      </w:r>
    </w:p>
    <w:p w14:paraId="75A0CF78" w14:textId="5A64F593" w:rsidR="00D365DC" w:rsidRPr="0048710D" w:rsidRDefault="00D365DC" w:rsidP="001D21B7">
      <w:pPr>
        <w:pStyle w:val="ApaStyleGeneral"/>
      </w:pPr>
      <w:r w:rsidRPr="0048710D">
        <w:t xml:space="preserve">No Brasil, alguns estudos retratam a solidão como um fenômeno social. Santos et al. (2021) trazem a solidão como um advento da globalização e modernização da sociedade, através das novas formas de interação pelas tecnologias de comunicação que redefinem o que </w:t>
      </w:r>
      <w:r w:rsidRPr="0048710D">
        <w:lastRenderedPageBreak/>
        <w:t>antes se entendia por socialização. Ao mesmo tempo que a tecnologia aproxima, ela também afasta as conexões diretas individuais, e isso não seria diferente para pessoas idosas. Investigando as representações sociais da solidão, a ausência de relacionamentos ou insatisfação com relacionamentos foi observada como fator relevante na solidão (Dornelas et al., 2021), que integrada à compreensão do contexto individual, permite uma análise psicossocial importante. O afastamento na relação familiar é trazido como destaque nas principais causas da solidão em pessoas idosas, em contraposição à espiritualidade como fator protetivo a esse sentimento (Colombo &amp; Brognoli, 2024), sendo um possível ponto a se explorar em intervenções psicossociais. De forma geral, estuda-se a solidão em suas várias facetas, explorando nuances sociais, cognitivas e culturais desse fenômeno multidimensional.</w:t>
      </w:r>
      <w:r w:rsidR="001D21B7" w:rsidRPr="0048710D">
        <w:t xml:space="preserve"> </w:t>
      </w:r>
    </w:p>
    <w:p w14:paraId="3544188B" w14:textId="748910F2" w:rsidR="00D365DC" w:rsidRPr="0048710D" w:rsidRDefault="00D365DC" w:rsidP="001D21B7">
      <w:pPr>
        <w:pStyle w:val="ApaStyleGeneral"/>
      </w:pPr>
      <w:r w:rsidRPr="0048710D">
        <w:t xml:space="preserve">Frente às informações supracitadas, a solidão é entendida como a discrepância entre as relações sociais desejadas e as relações sociais experimentadas, representando um desafio significativo para o bem-estar das pessoas idosas. Assim, o presente artigo tem como objetivo analisar o discurso de pessoas idosas do Distrito Federal, com o intuito de identificar as dimensões que compõem esse fenômeno. </w:t>
      </w:r>
    </w:p>
    <w:p w14:paraId="106E6BBC" w14:textId="77777777" w:rsidR="00D365DC" w:rsidRPr="0048710D" w:rsidRDefault="00D365DC" w:rsidP="00DF24CC">
      <w:pPr>
        <w:pStyle w:val="APALevel1"/>
      </w:pPr>
      <w:r w:rsidRPr="0048710D">
        <w:t>Método</w:t>
      </w:r>
    </w:p>
    <w:p w14:paraId="7727B999" w14:textId="77777777" w:rsidR="00D365DC" w:rsidRPr="0048710D" w:rsidRDefault="00D365DC" w:rsidP="001D21B7">
      <w:pPr>
        <w:pStyle w:val="APALevel2"/>
      </w:pPr>
      <w:r w:rsidRPr="0048710D">
        <w:t>Delineamento da Pesquisa</w:t>
      </w:r>
    </w:p>
    <w:p w14:paraId="4A082C86" w14:textId="45191E65" w:rsidR="00D365DC" w:rsidRPr="0048710D" w:rsidRDefault="00D365DC" w:rsidP="001D21B7">
      <w:pPr>
        <w:pStyle w:val="ApaStyleGeneral"/>
      </w:pPr>
      <w:r w:rsidRPr="0048710D">
        <w:t xml:space="preserve">Trata-se de estudo descritivo-exploratório, de abordagem qualitativa. A pesquisa qualitativa tem seu foco na subjetividade do participante, nas relações humanas e nas suas atitudes. O fenômeno pode ser melhor analisado quando estudado no contexto onde os participantes estão inseridos (Severino, 2007). Vilela </w:t>
      </w:r>
      <w:r w:rsidR="00157717" w:rsidRPr="0048710D">
        <w:t>e</w:t>
      </w:r>
      <w:r w:rsidRPr="0048710D">
        <w:t xml:space="preserve"> Passos (2020) justificaram que há uma relação subjetiva entre quem pesquisa, o objeto estudado e o meio social dos participantes que não pode ser analisada exclusivamente por técnicas quantitativas. </w:t>
      </w:r>
    </w:p>
    <w:p w14:paraId="36A0F9F4" w14:textId="3F62FCF1" w:rsidR="00D365DC" w:rsidRPr="0048710D" w:rsidRDefault="00D365DC" w:rsidP="001D21B7">
      <w:pPr>
        <w:pStyle w:val="ApaStyleGeneral"/>
      </w:pPr>
      <w:r w:rsidRPr="0048710D">
        <w:t>Este estudo faz parte de uma pesquisa guarda-chuva cujo fenômeno estudado foram as intervenções psicossociais para pessoas idosas na assistência social. Os dados aqui apresentados têm enfoque na solidão, fenômeno que não se referia à análise inicial do estudo previsto, mas que foi frequente no discurso dos participantes.</w:t>
      </w:r>
      <w:r w:rsidR="001D21B7" w:rsidRPr="0048710D">
        <w:t xml:space="preserve"> </w:t>
      </w:r>
    </w:p>
    <w:p w14:paraId="58A1E759" w14:textId="77777777" w:rsidR="00D365DC" w:rsidRPr="0048710D" w:rsidRDefault="00D365DC" w:rsidP="001D21B7">
      <w:pPr>
        <w:pStyle w:val="APALevel2"/>
      </w:pPr>
      <w:r w:rsidRPr="0048710D">
        <w:t>Participantes</w:t>
      </w:r>
    </w:p>
    <w:p w14:paraId="563515C6" w14:textId="68BF529B" w:rsidR="00D365DC" w:rsidRPr="0048710D" w:rsidRDefault="00D365DC" w:rsidP="001658B6">
      <w:pPr>
        <w:pStyle w:val="ApaStyleGeneral"/>
      </w:pPr>
      <w:r w:rsidRPr="0048710D">
        <w:t>Participaram efetivamente da pesquisa seis pessoas idosas com média de idade de 70,83 anos</w:t>
      </w:r>
      <w:r w:rsidR="001658B6" w:rsidRPr="0048710D">
        <w:t xml:space="preserve"> (</w:t>
      </w:r>
      <m:oMath>
        <m:r>
          <w:rPr>
            <w:rFonts w:ascii="Cambria Math" w:hAnsi="Cambria Math"/>
          </w:rPr>
          <m:t>DP=5,66</m:t>
        </m:r>
      </m:oMath>
      <w:r w:rsidR="001658B6" w:rsidRPr="0048710D">
        <w:t>)</w:t>
      </w:r>
      <w:r w:rsidRPr="0048710D">
        <w:t xml:space="preserve">, variando entre 64 e 82 anos, sendo três pessoas do gênero masculino e as outras três do gênero feminino. Quanto à raça, uma pessoa se declarou preta, quatro pessoas pardas e uma branca. Quanto à renda, 16,66% declararam não possuir renda; 66,66% recebem até um salário mínimo; 16,66% de três a cinco salários mínimos, ou seja, somente uma pessoa idosa não se encontra em situação de baixa renda, pois recebe de três a cinco salários mínimos. </w:t>
      </w:r>
      <w:r w:rsidRPr="0048710D">
        <w:lastRenderedPageBreak/>
        <w:t xml:space="preserve">Ademais, todas as pessoas idosas se reconheceram como morando sozinhas, mesmo no caso de morar em uma república ou ter um outro familiar na residência. </w:t>
      </w:r>
    </w:p>
    <w:p w14:paraId="4D9141F8" w14:textId="74A2FE1A" w:rsidR="00D365DC" w:rsidRPr="0048710D" w:rsidRDefault="00D365DC" w:rsidP="001658B6">
      <w:pPr>
        <w:pStyle w:val="ApaStyleGeneral"/>
      </w:pPr>
      <w:r w:rsidRPr="0048710D">
        <w:t xml:space="preserve">Quanto aos critérios de inclusão, para participar da pesquisa, a pessoa idosa precisava estar em demanda reprimida para atendimento no CREAS </w:t>
      </w:r>
      <w:r w:rsidRPr="0048710D">
        <w:rPr>
          <w:iCs/>
        </w:rPr>
        <w:t>(</w:t>
      </w:r>
      <w:r w:rsidR="00D40B94" w:rsidRPr="00D40B94">
        <w:rPr>
          <w:bCs/>
        </w:rPr>
        <w:t>omitid</w:t>
      </w:r>
      <w:r w:rsidR="00485D0F">
        <w:rPr>
          <w:bCs/>
        </w:rPr>
        <w:t>o</w:t>
      </w:r>
      <w:r w:rsidR="00D40B94" w:rsidRPr="00D40B94">
        <w:rPr>
          <w:bCs/>
        </w:rPr>
        <w:t xml:space="preserve"> para a revisão duplo-cego</w:t>
      </w:r>
      <w:r w:rsidRPr="0048710D">
        <w:rPr>
          <w:iCs/>
        </w:rPr>
        <w:t>)</w:t>
      </w:r>
      <w:r w:rsidRPr="0048710D">
        <w:rPr>
          <w:i/>
        </w:rPr>
        <w:t xml:space="preserve"> </w:t>
      </w:r>
      <w:r w:rsidRPr="0048710D">
        <w:t>e aceitar participar voluntariamente da pesquisa, assinando o Termo de Consentimento Livre e Esclarecido (TCLE). Quanto aos critérios de exclusão, não puderam participar da pesquisa as pessoas idosas que relataram possuir problemas de mobilidade e/ou disponibilidade que impedissem a presença nos encontros coletivos. Também não puderam participar da pesquisa as pessoas idosas que, no resultado do Mini Exame do Estado Mental (MEEM), apresentarem escores inferiores a 17 pontos</w:t>
      </w:r>
      <w:r w:rsidR="00296EF5" w:rsidRPr="0048710D">
        <w:t>,</w:t>
      </w:r>
      <w:r w:rsidRPr="0048710D">
        <w:t xml:space="preserve"> para pessoas analfabetas; 22 pontos</w:t>
      </w:r>
      <w:r w:rsidR="00296EF5" w:rsidRPr="0048710D">
        <w:t>,</w:t>
      </w:r>
      <w:r w:rsidRPr="0048710D">
        <w:t xml:space="preserve"> para pessoas com escolaridade entre 1 e 4 anos; 24 pontos</w:t>
      </w:r>
      <w:r w:rsidR="00296EF5" w:rsidRPr="0048710D">
        <w:t>, para aquelas</w:t>
      </w:r>
      <w:r w:rsidRPr="0048710D">
        <w:t xml:space="preserve"> com escolaridade entre 5 a 8 anos; 26 pontos</w:t>
      </w:r>
      <w:r w:rsidR="00296EF5" w:rsidRPr="0048710D">
        <w:t xml:space="preserve">, para aquelas </w:t>
      </w:r>
      <w:r w:rsidRPr="0048710D">
        <w:t>com 9 ou mais anos de escolaridade. O corte foi definido conforme critérios usados pelo Estudo FIBRA (Neri et al.</w:t>
      </w:r>
      <w:r w:rsidR="00296EF5" w:rsidRPr="0048710D">
        <w:t>,</w:t>
      </w:r>
      <w:r w:rsidRPr="0048710D">
        <w:t xml:space="preserve"> 2013). </w:t>
      </w:r>
    </w:p>
    <w:p w14:paraId="589C964B" w14:textId="77777777" w:rsidR="00D365DC" w:rsidRPr="0048710D" w:rsidRDefault="00D365DC" w:rsidP="00296EF5">
      <w:pPr>
        <w:pStyle w:val="APALevel2"/>
      </w:pPr>
      <w:r w:rsidRPr="0048710D">
        <w:t>Instrumentos</w:t>
      </w:r>
    </w:p>
    <w:p w14:paraId="0A3E94DD" w14:textId="111BBED5" w:rsidR="00D365DC" w:rsidRPr="0048710D" w:rsidRDefault="00D365DC" w:rsidP="00296EF5">
      <w:pPr>
        <w:pStyle w:val="ApaStyleGeneral"/>
      </w:pPr>
      <w:r w:rsidRPr="0048710D">
        <w:t>Os instrumentos utilizados foram elaborados pela pesquisadora, excetuando o TCLE</w:t>
      </w:r>
      <w:r w:rsidR="00296EF5" w:rsidRPr="0048710D">
        <w:t>,</w:t>
      </w:r>
      <w:r w:rsidRPr="0048710D">
        <w:t xml:space="preserve"> que seguiu um modelo disponibilizado pelo Comitê de Ética em Pesquisa da Universidade </w:t>
      </w:r>
      <w:r w:rsidRPr="0048710D">
        <w:rPr>
          <w:iCs/>
        </w:rPr>
        <w:t>(</w:t>
      </w:r>
      <w:r w:rsidR="00D40B94" w:rsidRPr="00D40B94">
        <w:rPr>
          <w:bCs/>
        </w:rPr>
        <w:t>omitida para a revisão duplo-cego</w:t>
      </w:r>
      <w:r w:rsidRPr="0048710D">
        <w:rPr>
          <w:iCs/>
        </w:rPr>
        <w:t>)</w:t>
      </w:r>
      <w:r w:rsidRPr="0048710D">
        <w:rPr>
          <w:i/>
        </w:rPr>
        <w:t xml:space="preserve"> </w:t>
      </w:r>
      <w:r w:rsidRPr="0048710D">
        <w:t xml:space="preserve">e </w:t>
      </w:r>
      <w:r w:rsidR="00296EF5" w:rsidRPr="0048710D">
        <w:t>o MEEM</w:t>
      </w:r>
      <w:r w:rsidRPr="0048710D">
        <w:t>, conforme orientações de Brucki</w:t>
      </w:r>
      <w:r w:rsidR="00296EF5" w:rsidRPr="0048710D">
        <w:t xml:space="preserve"> et al.</w:t>
      </w:r>
      <w:r w:rsidRPr="0048710D">
        <w:t xml:space="preserve"> (2003). Além dos documentos supracitados, foi aplicado um questionário para uma melhor caracterização da amostra, uma ficha de registro e avaliação do encontro.</w:t>
      </w:r>
      <w:r w:rsidR="00296EF5" w:rsidRPr="0048710D">
        <w:t xml:space="preserve"> </w:t>
      </w:r>
    </w:p>
    <w:p w14:paraId="1DE19F0E" w14:textId="77777777" w:rsidR="00D365DC" w:rsidRPr="0048710D" w:rsidRDefault="00D365DC" w:rsidP="00296EF5">
      <w:pPr>
        <w:pStyle w:val="APALevel2"/>
      </w:pPr>
      <w:r w:rsidRPr="0048710D">
        <w:t>Procedimentos Metodológicos</w:t>
      </w:r>
    </w:p>
    <w:p w14:paraId="739F9B79" w14:textId="78668028" w:rsidR="00D365DC" w:rsidRPr="0048710D" w:rsidRDefault="00D365DC" w:rsidP="00296EF5">
      <w:pPr>
        <w:pStyle w:val="ApaStyleGeneral"/>
      </w:pPr>
      <w:r w:rsidRPr="0048710D">
        <w:t xml:space="preserve">Os </w:t>
      </w:r>
      <w:r w:rsidRPr="00D40B94">
        <w:t>procedimentos foram iniciados após aprovação pelo referido projeto no Comitê de Ética em Pesquisa da (</w:t>
      </w:r>
      <w:r w:rsidR="00D40B94" w:rsidRPr="00D40B94">
        <w:rPr>
          <w:bCs/>
        </w:rPr>
        <w:t>omitida para a revisão duplo-cego</w:t>
      </w:r>
      <w:r w:rsidRPr="00D40B94">
        <w:t>) sob CAEE: (</w:t>
      </w:r>
      <w:r w:rsidR="00D40B94" w:rsidRPr="00D40B94">
        <w:rPr>
          <w:bCs/>
        </w:rPr>
        <w:t>omitida para a revisão duplo-cego</w:t>
      </w:r>
      <w:r w:rsidRPr="00D40B94">
        <w:t>) e Parecer nº: (</w:t>
      </w:r>
      <w:r w:rsidR="00D40B94" w:rsidRPr="00D40B94">
        <w:rPr>
          <w:bCs/>
        </w:rPr>
        <w:t>omitida para a revisão duplo-cego</w:t>
      </w:r>
      <w:r w:rsidRPr="00D40B94">
        <w:t>). Quanto</w:t>
      </w:r>
      <w:r w:rsidRPr="0048710D">
        <w:t xml:space="preserve"> aos procedimentos metodológicos desta pesquisa, foram organizados em duas etapas: recrutamento e seleção da amostra</w:t>
      </w:r>
      <w:r w:rsidR="00296EF5" w:rsidRPr="0048710D">
        <w:t>;</w:t>
      </w:r>
      <w:r w:rsidRPr="0048710D">
        <w:t xml:space="preserve"> e intervenção psicossocial. Cada etapa </w:t>
      </w:r>
      <w:r w:rsidR="00296EF5" w:rsidRPr="0048710D">
        <w:t>é</w:t>
      </w:r>
      <w:r w:rsidRPr="0048710D">
        <w:t xml:space="preserve"> detalhada a seguir</w:t>
      </w:r>
      <w:r w:rsidR="00296EF5" w:rsidRPr="0048710D">
        <w:t xml:space="preserve">. </w:t>
      </w:r>
    </w:p>
    <w:p w14:paraId="4D1C646C" w14:textId="63E4D06D" w:rsidR="00D365DC" w:rsidRPr="0048710D" w:rsidRDefault="00D365DC" w:rsidP="00296EF5">
      <w:pPr>
        <w:pStyle w:val="APALevel3"/>
      </w:pPr>
      <w:r w:rsidRPr="0048710D">
        <w:t xml:space="preserve">Recrutamento e </w:t>
      </w:r>
      <w:r w:rsidR="00296EF5" w:rsidRPr="0048710D">
        <w:t>S</w:t>
      </w:r>
      <w:r w:rsidRPr="0048710D">
        <w:t xml:space="preserve">eleção da </w:t>
      </w:r>
      <w:r w:rsidR="00296EF5" w:rsidRPr="0048710D">
        <w:t>A</w:t>
      </w:r>
      <w:r w:rsidRPr="0048710D">
        <w:t>mostra</w:t>
      </w:r>
    </w:p>
    <w:p w14:paraId="554559A0" w14:textId="5E58EA87" w:rsidR="00D365DC" w:rsidRPr="0048710D" w:rsidRDefault="00D365DC" w:rsidP="00296EF5">
      <w:pPr>
        <w:pStyle w:val="ApaStyleGeneral"/>
      </w:pPr>
      <w:r w:rsidRPr="0048710D">
        <w:t xml:space="preserve">O recrutamento de participantes foi realizado com contato remoto (telefone e e-mail) junto ao CREAS </w:t>
      </w:r>
      <w:r w:rsidRPr="0048710D">
        <w:rPr>
          <w:iCs/>
        </w:rPr>
        <w:t>(</w:t>
      </w:r>
      <w:r w:rsidR="00D40B94" w:rsidRPr="00D40B94">
        <w:rPr>
          <w:bCs/>
        </w:rPr>
        <w:t>omitid</w:t>
      </w:r>
      <w:r w:rsidR="00485D0F">
        <w:rPr>
          <w:bCs/>
        </w:rPr>
        <w:t>o</w:t>
      </w:r>
      <w:r w:rsidR="00D40B94" w:rsidRPr="00D40B94">
        <w:rPr>
          <w:bCs/>
        </w:rPr>
        <w:t xml:space="preserve"> para a revisão duplo-cego</w:t>
      </w:r>
      <w:r w:rsidRPr="0048710D">
        <w:rPr>
          <w:iCs/>
        </w:rPr>
        <w:t>)</w:t>
      </w:r>
      <w:r w:rsidRPr="0048710D">
        <w:t>. A unidade selecionou as pessoas idosas que estavam em demanda reprimida, encaminhando à pesquisadora uma planilha inicial contendo 31 pessoas idosas, com os seus respectivos nomes, endereços e telefones. A etapa de seleção ocorreu entre os meses de março e abril de 2024.</w:t>
      </w:r>
      <w:r w:rsidR="00296EF5" w:rsidRPr="0048710D">
        <w:t xml:space="preserve"> </w:t>
      </w:r>
    </w:p>
    <w:p w14:paraId="608C3986" w14:textId="43D80AA2" w:rsidR="00D365DC" w:rsidRPr="0048710D" w:rsidRDefault="00D365DC" w:rsidP="00296EF5">
      <w:pPr>
        <w:pStyle w:val="ApaStyleGeneral"/>
      </w:pPr>
      <w:r w:rsidRPr="0048710D">
        <w:t xml:space="preserve">A pesquisadora tentou contato telefônico e/ou por visita domiciliar com todas as pessoas da lista. Do total, oito foram selecionadas por manifestarem interesse e preencherem os critérios de inclusão. Neste contato inicial, por meio de telefone, a pessoa idosa foi informada sobre a </w:t>
      </w:r>
      <w:r w:rsidRPr="0048710D">
        <w:lastRenderedPageBreak/>
        <w:t>pesquisa e seus procedimentos, sendo questionada sobre o interesse em participar e se havia como se deslocar até a unidade para participar de todas as etapas da pesquisa. Havendo o interesse, foi agendada a visita domiciliar para atendimento individual com a leitura e assinatura do TCLE, bem como aplicação do questionário. Neste primeiro momento, foi realizada a aplicação do MEEM. Ao finalizar as tentativas de contato com todas as pessoas da planilha, foi encerrado o processo de recrutamento de participantes.</w:t>
      </w:r>
      <w:r w:rsidR="00296EF5" w:rsidRPr="0048710D">
        <w:t xml:space="preserve"> </w:t>
      </w:r>
    </w:p>
    <w:p w14:paraId="7E87A0D1" w14:textId="77777777" w:rsidR="00D365DC" w:rsidRPr="0048710D" w:rsidRDefault="00D365DC" w:rsidP="00296EF5">
      <w:pPr>
        <w:pStyle w:val="APALevel3"/>
      </w:pPr>
      <w:r w:rsidRPr="0048710D">
        <w:t>Intervenção Psicossocial</w:t>
      </w:r>
    </w:p>
    <w:p w14:paraId="34317BA5" w14:textId="6ED6AD8E" w:rsidR="00D365DC" w:rsidRPr="0048710D" w:rsidRDefault="00D365DC" w:rsidP="00296EF5">
      <w:pPr>
        <w:pStyle w:val="ApaStyleGeneral"/>
      </w:pPr>
      <w:r w:rsidRPr="0048710D">
        <w:t xml:space="preserve">Esta etapa consistiu na execução de um grupo fechado com os participantes convidados. Foram organizados oito encontros coletivos com abordagem de temáticas relacionadas às demandas apresentadas no primeiro encontro coletivo. Cada encontro teve duração média de </w:t>
      </w:r>
      <w:r w:rsidR="00296EF5" w:rsidRPr="0048710D">
        <w:t>90 min</w:t>
      </w:r>
      <w:r w:rsidRPr="0048710D">
        <w:t xml:space="preserve">, com a proposta de acontecer uma vez a cada semana no CREAS </w:t>
      </w:r>
      <w:r w:rsidRPr="0048710D">
        <w:rPr>
          <w:iCs/>
        </w:rPr>
        <w:t>(</w:t>
      </w:r>
      <w:r w:rsidR="00D40B94" w:rsidRPr="00D40B94">
        <w:rPr>
          <w:bCs/>
        </w:rPr>
        <w:t>omitid</w:t>
      </w:r>
      <w:r w:rsidR="00485D0F">
        <w:rPr>
          <w:bCs/>
        </w:rPr>
        <w:t>o</w:t>
      </w:r>
      <w:r w:rsidR="00D40B94" w:rsidRPr="00D40B94">
        <w:rPr>
          <w:bCs/>
        </w:rPr>
        <w:t xml:space="preserve"> para a revisão duplo-cego</w:t>
      </w:r>
      <w:r w:rsidRPr="0048710D">
        <w:rPr>
          <w:iCs/>
        </w:rPr>
        <w:t>)</w:t>
      </w:r>
      <w:r w:rsidRPr="0048710D">
        <w:t xml:space="preserve">. No dia anterior a cada encontro, era realizado contato telefônico com cada participante, a fim de confirmação de presença. Apenas um participante não possuía contato telefônico, desta forma, era enviado um bilhete via entregador para sua casa. Esta etapa teve duração de </w:t>
      </w:r>
      <w:r w:rsidR="00296EF5" w:rsidRPr="0048710D">
        <w:t>12</w:t>
      </w:r>
      <w:r w:rsidRPr="0048710D">
        <w:t xml:space="preserve"> semanas, de abril a junho de 2024. Todos os encontros foram gravados com gravadores de voz e a equipe de pesquisa também fez anotações dos fatos observados durante cada sessão.</w:t>
      </w:r>
      <w:r w:rsidR="00D21E7B" w:rsidRPr="0048710D">
        <w:t xml:space="preserve"> </w:t>
      </w:r>
    </w:p>
    <w:p w14:paraId="69613D62" w14:textId="21B256B0" w:rsidR="00D365DC" w:rsidRPr="0048710D" w:rsidRDefault="00D365DC" w:rsidP="00296EF5">
      <w:pPr>
        <w:pStyle w:val="ApaStyleGeneral"/>
      </w:pPr>
      <w:r w:rsidRPr="0048710D">
        <w:t xml:space="preserve">Os encontros coletivos foram realizados em sala de reuniões designada pelo CREAS </w:t>
      </w:r>
      <w:r w:rsidRPr="0048710D">
        <w:rPr>
          <w:iCs/>
        </w:rPr>
        <w:t>(</w:t>
      </w:r>
      <w:r w:rsidR="00D40B94" w:rsidRPr="00D40B94">
        <w:rPr>
          <w:bCs/>
        </w:rPr>
        <w:t>omitid</w:t>
      </w:r>
      <w:r w:rsidR="00485D0F">
        <w:rPr>
          <w:bCs/>
        </w:rPr>
        <w:t>o</w:t>
      </w:r>
      <w:r w:rsidR="00D40B94" w:rsidRPr="00D40B94">
        <w:rPr>
          <w:bCs/>
        </w:rPr>
        <w:t xml:space="preserve"> para a revisão duplo-cego</w:t>
      </w:r>
      <w:r w:rsidRPr="0048710D">
        <w:rPr>
          <w:iCs/>
        </w:rPr>
        <w:t>)</w:t>
      </w:r>
      <w:r w:rsidRPr="0048710D">
        <w:t xml:space="preserve"> numa Organização da Sociedade Civil para pessoas idosas que ficava ao lado da unidade. Foi adotada uma metodologia participativa, o que significa que os participantes foram incentivados a colaborar com a solução para um problema elencado, motivando-os a protagonizarem a gestão de sua própria vida. As ações buscaram evocar o que cada participante percebia sobre sua situação atual e quais as motivações para a mudança. Em cada encontro, os participantes foram incentivados a explorar as possibilidades de mudanças em suas vidas, incluindo a identificação de estratégias de suporte e enfrentamento, conforme orientações de Rabelo e Neri (2013). Ademais, a coleta de dados foi realizada através da técnica de grupo focal e havia a presença de uma moderadora em cada sessão e mais duas pessoas observadoras que captaram e registraram as reações dos participantes. Para os momentos em que os participantes foram convocados a expor seus posicionamentos, seguiram-se as regras propostas por Gondim (2002): </w:t>
      </w:r>
      <w:r w:rsidR="00D21E7B" w:rsidRPr="0048710D">
        <w:t>(</w:t>
      </w:r>
      <w:r w:rsidRPr="0048710D">
        <w:t xml:space="preserve">1) falar uma pessoa de cada vez; </w:t>
      </w:r>
      <w:r w:rsidR="00D21E7B" w:rsidRPr="0048710D">
        <w:t>(</w:t>
      </w:r>
      <w:r w:rsidRPr="0048710D">
        <w:t xml:space="preserve">2) evitar discussões paralelas para que todos possam participar; </w:t>
      </w:r>
      <w:r w:rsidR="00D21E7B" w:rsidRPr="0048710D">
        <w:t>(</w:t>
      </w:r>
      <w:r w:rsidRPr="0048710D">
        <w:t xml:space="preserve">3) dizer livremente o que pensa; </w:t>
      </w:r>
      <w:r w:rsidR="00D21E7B" w:rsidRPr="0048710D">
        <w:t>(</w:t>
      </w:r>
      <w:r w:rsidRPr="0048710D">
        <w:t xml:space="preserve">4) evitar o domínio da discussão por parte de um dos integrantes; </w:t>
      </w:r>
      <w:r w:rsidR="00D21E7B" w:rsidRPr="0048710D">
        <w:t>(</w:t>
      </w:r>
      <w:r w:rsidRPr="0048710D">
        <w:t>5) manter a atenção e o discurso na temática em questão.</w:t>
      </w:r>
      <w:r w:rsidR="00D21E7B" w:rsidRPr="0048710D">
        <w:t xml:space="preserve"> </w:t>
      </w:r>
    </w:p>
    <w:p w14:paraId="527CCDA4" w14:textId="77777777" w:rsidR="00D365DC" w:rsidRPr="0048710D" w:rsidRDefault="00D365DC" w:rsidP="00D21E7B">
      <w:pPr>
        <w:pStyle w:val="APALevel2"/>
      </w:pPr>
      <w:r w:rsidRPr="0048710D">
        <w:lastRenderedPageBreak/>
        <w:t>Análise de Dados</w:t>
      </w:r>
    </w:p>
    <w:p w14:paraId="18E9DBC8" w14:textId="77B728D3" w:rsidR="00D365DC" w:rsidRPr="0048710D" w:rsidRDefault="00D365DC" w:rsidP="00D21E7B">
      <w:pPr>
        <w:pStyle w:val="ApaStyleGeneral"/>
      </w:pPr>
      <w:r w:rsidRPr="0048710D">
        <w:t xml:space="preserve">A análise dos dados sobre o perfil sociodemográfico foi realizada por meio de estatística descritiva simples. Já as falas das pessoas participantes de todas as </w:t>
      </w:r>
      <w:r w:rsidR="00D21E7B" w:rsidRPr="0048710D">
        <w:t xml:space="preserve">sessões </w:t>
      </w:r>
      <w:r w:rsidRPr="0048710D">
        <w:t>foram transcritas e inseridas em documento de texto no formato exigido para análise de corpus textual pelo software IRaMuTeQ (</w:t>
      </w:r>
      <w:r w:rsidRPr="0048710D">
        <w:rPr>
          <w:i/>
        </w:rPr>
        <w:t>Interface de R pour les Analyses Multidimensionnelles de Textes et de Questionnaires</w:t>
      </w:r>
      <w:r w:rsidRPr="0048710D">
        <w:t>), na versão 0.7 alpha 2/2020. Destaca-se que o recorte aqui analisado refere-se a todos os textos contidos no corpus que se referiam ao construto solidão.</w:t>
      </w:r>
      <w:r w:rsidR="00D21E7B" w:rsidRPr="0048710D">
        <w:t xml:space="preserve"> </w:t>
      </w:r>
    </w:p>
    <w:p w14:paraId="5EA13AE8" w14:textId="3EE92D65" w:rsidR="00D365DC" w:rsidRPr="0048710D" w:rsidRDefault="00D365DC" w:rsidP="00D21E7B">
      <w:pPr>
        <w:pStyle w:val="ApaStyleGeneral"/>
      </w:pPr>
      <w:r w:rsidRPr="0048710D">
        <w:rPr>
          <w:rFonts w:eastAsia="Arial Unicode MS"/>
        </w:rPr>
        <w:tab/>
        <w:t xml:space="preserve">A análise dos dados foi conduzida por meio de duas técnicas complementares: </w:t>
      </w:r>
      <w:r w:rsidR="00D21E7B" w:rsidRPr="0048710D">
        <w:rPr>
          <w:rFonts w:eastAsia="Arial Unicode MS"/>
        </w:rPr>
        <w:t>c</w:t>
      </w:r>
      <w:r w:rsidRPr="0048710D">
        <w:rPr>
          <w:rFonts w:eastAsia="Arial Unicode MS"/>
        </w:rPr>
        <w:t xml:space="preserve">lassificação </w:t>
      </w:r>
      <w:r w:rsidR="00D21E7B" w:rsidRPr="0048710D">
        <w:rPr>
          <w:rFonts w:eastAsia="Arial Unicode MS"/>
        </w:rPr>
        <w:t>h</w:t>
      </w:r>
      <w:r w:rsidRPr="0048710D">
        <w:rPr>
          <w:rFonts w:eastAsia="Arial Unicode MS"/>
        </w:rPr>
        <w:t xml:space="preserve">ierárquica </w:t>
      </w:r>
      <w:r w:rsidR="00D21E7B" w:rsidRPr="0048710D">
        <w:rPr>
          <w:rFonts w:eastAsia="Arial Unicode MS"/>
        </w:rPr>
        <w:t>d</w:t>
      </w:r>
      <w:r w:rsidRPr="0048710D">
        <w:rPr>
          <w:rFonts w:eastAsia="Arial Unicode MS"/>
        </w:rPr>
        <w:t xml:space="preserve">escendente (CHD) e </w:t>
      </w:r>
      <w:r w:rsidR="00D21E7B" w:rsidRPr="0048710D">
        <w:rPr>
          <w:rFonts w:eastAsia="Arial Unicode MS"/>
        </w:rPr>
        <w:t>a</w:t>
      </w:r>
      <w:r w:rsidRPr="0048710D">
        <w:rPr>
          <w:rFonts w:eastAsia="Arial Unicode MS"/>
        </w:rPr>
        <w:t xml:space="preserve">nálise de </w:t>
      </w:r>
      <w:r w:rsidR="00D21E7B" w:rsidRPr="0048710D">
        <w:rPr>
          <w:rFonts w:eastAsia="Arial Unicode MS"/>
        </w:rPr>
        <w:t>s</w:t>
      </w:r>
      <w:r w:rsidRPr="0048710D">
        <w:rPr>
          <w:rFonts w:eastAsia="Arial Unicode MS"/>
        </w:rPr>
        <w:t xml:space="preserve">imilitude. A CHD, um método de agrupamento hierárquico, permitiu a construção de uma classificação ascendente dos elementos textuais, evidenciando as relações semânticas e contextuais entre eles. A </w:t>
      </w:r>
      <w:r w:rsidR="00D21E7B" w:rsidRPr="0048710D">
        <w:rPr>
          <w:rFonts w:eastAsia="Arial Unicode MS"/>
        </w:rPr>
        <w:t>a</w:t>
      </w:r>
      <w:r w:rsidRPr="0048710D">
        <w:rPr>
          <w:rFonts w:eastAsia="Arial Unicode MS"/>
        </w:rPr>
        <w:t xml:space="preserve">nálise de </w:t>
      </w:r>
      <w:r w:rsidR="00D21E7B" w:rsidRPr="0048710D">
        <w:rPr>
          <w:rFonts w:eastAsia="Arial Unicode MS"/>
        </w:rPr>
        <w:t>s</w:t>
      </w:r>
      <w:r w:rsidRPr="0048710D">
        <w:rPr>
          <w:rFonts w:eastAsia="Arial Unicode MS"/>
        </w:rPr>
        <w:t xml:space="preserve">imilitude, fundamentada na teoria dos grafos, permitiu a identificação de relações entre palavras presentes no corpus textual. A significância estatística das associações entre palavras e classes foi estabelecida em </w:t>
      </w:r>
      <m:oMath>
        <m:r>
          <m:rPr>
            <m:sty m:val="p"/>
          </m:rPr>
          <w:rPr>
            <w:rFonts w:ascii="Cambria Math" w:eastAsia="Arial Unicode MS" w:hAnsi="Cambria Math"/>
          </w:rPr>
          <m:t>α</m:t>
        </m:r>
        <m:r>
          <w:rPr>
            <w:rFonts w:ascii="Cambria Math" w:eastAsia="Arial Unicode MS" w:hAnsi="Cambria Math"/>
          </w:rPr>
          <m:t>=0,05</m:t>
        </m:r>
      </m:oMath>
      <w:r w:rsidRPr="0048710D">
        <w:rPr>
          <w:rFonts w:eastAsia="Arial Unicode MS"/>
        </w:rPr>
        <w:t>.</w:t>
      </w:r>
      <w:r w:rsidR="00D21E7B" w:rsidRPr="0048710D">
        <w:rPr>
          <w:rFonts w:eastAsia="Arial Unicode MS"/>
        </w:rPr>
        <w:t xml:space="preserve"> </w:t>
      </w:r>
    </w:p>
    <w:p w14:paraId="6A5DB969" w14:textId="77777777" w:rsidR="00D365DC" w:rsidRPr="0048710D" w:rsidRDefault="00D365DC" w:rsidP="00DF24CC">
      <w:pPr>
        <w:pStyle w:val="APALevel1"/>
      </w:pPr>
      <w:r w:rsidRPr="0048710D">
        <w:t>Resultados</w:t>
      </w:r>
    </w:p>
    <w:p w14:paraId="289ED6E6" w14:textId="09E413A4" w:rsidR="00D365DC" w:rsidRPr="0048710D" w:rsidRDefault="00D365DC" w:rsidP="00D21E7B">
      <w:pPr>
        <w:pStyle w:val="ApaStyleGeneral"/>
      </w:pPr>
      <w:r w:rsidRPr="0048710D">
        <w:t xml:space="preserve">Inicialmente, foi feita uma leitura minuciosa </w:t>
      </w:r>
      <w:r w:rsidR="006F68B6">
        <w:t>d</w:t>
      </w:r>
      <w:r w:rsidRPr="0048710D">
        <w:t xml:space="preserve">o material de todos os encontros, a partir do qual foi selecionado todo conteúdo que, diretamente ou tangencialmente, se relacionava com a temática da solidão. Esse conteúdo compõe os dados textuais da presente análise. A análise dos resultados foi realizada com uma combinação de múltiplas técnicas de análise de conteúdo, a partir da ferramenta IRaMuTeQ. A CHD permitiu identificar as classes que apresentam vocabulário semelhante entre si e a </w:t>
      </w:r>
      <w:r w:rsidR="00D21E7B" w:rsidRPr="0048710D">
        <w:t>a</w:t>
      </w:r>
      <w:r w:rsidRPr="0048710D">
        <w:t xml:space="preserve">nálise de </w:t>
      </w:r>
      <w:r w:rsidR="00D21E7B" w:rsidRPr="0048710D">
        <w:t>s</w:t>
      </w:r>
      <w:r w:rsidRPr="0048710D">
        <w:t xml:space="preserve">imilitude proporcionou a identificação das conexões semânticas entre as palavras. </w:t>
      </w:r>
    </w:p>
    <w:p w14:paraId="61A98346" w14:textId="2F8ECC8F" w:rsidR="004153F4" w:rsidRPr="0048710D" w:rsidRDefault="004153F4" w:rsidP="004153F4">
      <w:pPr>
        <w:pStyle w:val="APALevel2"/>
      </w:pPr>
      <w:r w:rsidRPr="0048710D">
        <w:t>Classificação Hierárquica Descendente</w:t>
      </w:r>
    </w:p>
    <w:p w14:paraId="70A702A7" w14:textId="3A95FEA2" w:rsidR="00D365DC" w:rsidRPr="0048710D" w:rsidRDefault="00D365DC" w:rsidP="00E416F7">
      <w:pPr>
        <w:pStyle w:val="ApaStyleGeneral"/>
      </w:pPr>
      <w:r w:rsidRPr="0048710D">
        <w:t xml:space="preserve">O corpus foi constituído por oito textos, separados por 311 segmentos de texto (ST) com o aproveitamento de 250 ST (80,39%). Emergiram 10.666 ocorrências (formas, vocábulos ou palavras), compostas por 1.437 formas e 404 formas de ocorrência única (hápax). Apenas palavras com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de</w:t>
      </w:r>
      <w:r w:rsidRPr="0048710D">
        <w:rPr>
          <w:rFonts w:eastAsia="Arial Unicode MS"/>
        </w:rPr>
        <w:t xml:space="preserve"> associação à classe ≥ 3,84 (</w:t>
      </w:r>
      <w:r w:rsidRPr="0048710D">
        <w:rPr>
          <w:rFonts w:eastAsia="Arial Unicode MS"/>
          <w:i/>
          <w:iCs/>
        </w:rPr>
        <w:t>p</w:t>
      </w:r>
      <w:r w:rsidRPr="0048710D">
        <w:rPr>
          <w:rFonts w:eastAsia="Arial Unicode MS"/>
        </w:rPr>
        <w:t xml:space="preserve"> ≤ 0,05</w:t>
      </w:r>
      <w:r w:rsidRPr="0048710D">
        <w:t xml:space="preserve">) foram aceitas nessa análise, seguindo as orientações do próprio </w:t>
      </w:r>
      <w:r w:rsidRPr="0048710D">
        <w:rPr>
          <w:i/>
          <w:iCs/>
        </w:rPr>
        <w:t>software</w:t>
      </w:r>
      <w:r w:rsidRPr="0048710D">
        <w:t xml:space="preserve"> de análise (Ratinaud, 2009). </w:t>
      </w:r>
    </w:p>
    <w:p w14:paraId="521DBD59" w14:textId="236EA3B3" w:rsidR="00D365DC" w:rsidRPr="0048710D" w:rsidRDefault="00D365DC" w:rsidP="00E416F7">
      <w:pPr>
        <w:pStyle w:val="ApaStyleGeneral"/>
      </w:pPr>
      <w:r w:rsidRPr="0048710D">
        <w:tab/>
        <w:t xml:space="preserve">A partir da CHD foram identificadas cinco classes distintas, estáveis e interligadas, divididas em quatro ramificações: Classe I - “Dificuldade de </w:t>
      </w:r>
      <w:r w:rsidR="00074B65" w:rsidRPr="0048710D">
        <w:t>P</w:t>
      </w:r>
      <w:r w:rsidRPr="0048710D">
        <w:t xml:space="preserve">edir </w:t>
      </w:r>
      <w:r w:rsidR="00074B65" w:rsidRPr="0048710D">
        <w:t>A</w:t>
      </w:r>
      <w:r w:rsidRPr="0048710D">
        <w:t xml:space="preserve">juda”, com 50 ST (20,00%); Classe II - “Atividades </w:t>
      </w:r>
      <w:r w:rsidR="00074B65" w:rsidRPr="0048710D">
        <w:t>C</w:t>
      </w:r>
      <w:r w:rsidRPr="0048710D">
        <w:t xml:space="preserve">otidianas”, com 44 ST (17,60%); Classe III </w:t>
      </w:r>
      <w:r w:rsidR="00332EA9">
        <w:t>-</w:t>
      </w:r>
      <w:r w:rsidRPr="0048710D">
        <w:t xml:space="preserve"> </w:t>
      </w:r>
      <w:r w:rsidR="00332EA9">
        <w:t>“</w:t>
      </w:r>
      <w:r w:rsidRPr="0048710D">
        <w:t xml:space="preserve">Aceitação de </w:t>
      </w:r>
      <w:r w:rsidR="00074B65" w:rsidRPr="0048710D">
        <w:t>A</w:t>
      </w:r>
      <w:r w:rsidRPr="0048710D">
        <w:t xml:space="preserve">juda”, com 42 ST (16,80%); Classe IV - “Rede de </w:t>
      </w:r>
      <w:r w:rsidR="00074B65" w:rsidRPr="0048710D">
        <w:t>A</w:t>
      </w:r>
      <w:r w:rsidRPr="0048710D">
        <w:t xml:space="preserve">poio”, com 56 ST (22,40%); Classe V - “Lidando com a </w:t>
      </w:r>
      <w:r w:rsidR="00074B65" w:rsidRPr="0048710D">
        <w:t>S</w:t>
      </w:r>
      <w:r w:rsidRPr="0048710D">
        <w:t>olidão”, com 58 ST (23,20%); conforme a Figura 1.</w:t>
      </w:r>
      <w:r w:rsidR="00E416F7" w:rsidRPr="0048710D">
        <w:t xml:space="preserve"> </w:t>
      </w:r>
    </w:p>
    <w:p w14:paraId="46A4E9DF" w14:textId="672CA685" w:rsidR="00E416F7" w:rsidRPr="0048710D" w:rsidRDefault="00E416F7" w:rsidP="00E416F7">
      <w:pPr>
        <w:pStyle w:val="ApaStyleGeneral"/>
        <w:ind w:firstLine="0"/>
      </w:pPr>
      <w:r w:rsidRPr="0048710D">
        <w:br w:type="page"/>
      </w:r>
    </w:p>
    <w:p w14:paraId="389CAF91" w14:textId="14FAEBE8" w:rsidR="00E416F7" w:rsidRPr="0048710D" w:rsidRDefault="00E416F7" w:rsidP="00E416F7">
      <w:pPr>
        <w:pStyle w:val="ApaStyleGeneral"/>
        <w:ind w:firstLine="0"/>
        <w:rPr>
          <w:b/>
          <w:bCs/>
        </w:rPr>
      </w:pPr>
      <w:r w:rsidRPr="0048710D">
        <w:rPr>
          <w:b/>
          <w:bCs/>
        </w:rPr>
        <w:lastRenderedPageBreak/>
        <w:t xml:space="preserve">Figura </w:t>
      </w:r>
      <w:r w:rsidRPr="0048710D">
        <w:rPr>
          <w:b/>
          <w:bCs/>
        </w:rPr>
        <w:fldChar w:fldCharType="begin"/>
      </w:r>
      <w:r w:rsidRPr="0048710D">
        <w:rPr>
          <w:b/>
          <w:bCs/>
        </w:rPr>
        <w:instrText xml:space="preserve"> SEQ Figura \* ARABIC </w:instrText>
      </w:r>
      <w:r w:rsidRPr="0048710D">
        <w:rPr>
          <w:b/>
          <w:bCs/>
        </w:rPr>
        <w:fldChar w:fldCharType="separate"/>
      </w:r>
      <w:r w:rsidR="005435CC">
        <w:rPr>
          <w:b/>
          <w:bCs/>
          <w:noProof/>
        </w:rPr>
        <w:t>1</w:t>
      </w:r>
      <w:r w:rsidRPr="0048710D">
        <w:rPr>
          <w:b/>
          <w:bCs/>
        </w:rPr>
        <w:fldChar w:fldCharType="end"/>
      </w:r>
    </w:p>
    <w:p w14:paraId="1A4191AA" w14:textId="064FA5EA" w:rsidR="00E416F7" w:rsidRPr="0048710D" w:rsidRDefault="00E416F7" w:rsidP="00E416F7">
      <w:pPr>
        <w:pStyle w:val="ApaStyleGeneral"/>
        <w:ind w:firstLine="0"/>
        <w:rPr>
          <w:i/>
          <w:iCs/>
        </w:rPr>
      </w:pPr>
      <w:r w:rsidRPr="0048710D">
        <w:rPr>
          <w:i/>
          <w:iCs/>
        </w:rPr>
        <w:t>Dendrograma de Classificação Hierárquica Descendente</w:t>
      </w:r>
    </w:p>
    <w:p w14:paraId="003A7E6E" w14:textId="77777777" w:rsidR="00D365DC" w:rsidRPr="0048710D" w:rsidRDefault="00D365DC" w:rsidP="00E416F7">
      <w:pPr>
        <w:pStyle w:val="ApaStyleGeneral"/>
        <w:ind w:firstLine="0"/>
      </w:pPr>
      <w:r w:rsidRPr="0048710D">
        <w:rPr>
          <w:noProof/>
        </w:rPr>
        <w:drawing>
          <wp:inline distT="0" distB="0" distL="0" distR="0" wp14:anchorId="35A0EAB4" wp14:editId="767C3E6C">
            <wp:extent cx="4320000" cy="5611694"/>
            <wp:effectExtent l="0" t="0" r="444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0" cy="5611694"/>
                    </a:xfrm>
                    <a:prstGeom prst="rect">
                      <a:avLst/>
                    </a:prstGeom>
                    <a:noFill/>
                    <a:ln>
                      <a:noFill/>
                    </a:ln>
                  </pic:spPr>
                </pic:pic>
              </a:graphicData>
            </a:graphic>
          </wp:inline>
        </w:drawing>
      </w:r>
    </w:p>
    <w:p w14:paraId="2856FEDB" w14:textId="27A62CCC" w:rsidR="00D365DC" w:rsidRPr="0048710D" w:rsidRDefault="00D365DC" w:rsidP="004153F4">
      <w:pPr>
        <w:pStyle w:val="APALevel3"/>
      </w:pPr>
      <w:r w:rsidRPr="0048710D">
        <w:t xml:space="preserve">Classe I - “Dificuldade de </w:t>
      </w:r>
      <w:r w:rsidR="00E416F7" w:rsidRPr="0048710D">
        <w:t>P</w:t>
      </w:r>
      <w:r w:rsidRPr="0048710D">
        <w:t xml:space="preserve">edir </w:t>
      </w:r>
      <w:r w:rsidR="00E416F7" w:rsidRPr="0048710D">
        <w:t>A</w:t>
      </w:r>
      <w:r w:rsidRPr="0048710D">
        <w:t>juda”</w:t>
      </w:r>
    </w:p>
    <w:p w14:paraId="2C7BD527" w14:textId="6550B5F4" w:rsidR="00D365DC" w:rsidRPr="0048710D" w:rsidRDefault="00D365DC" w:rsidP="00E416F7">
      <w:pPr>
        <w:pStyle w:val="ApaStyleGeneral"/>
      </w:pPr>
      <w:r w:rsidRPr="0048710D">
        <w:t>Compreende 20,00% (</w:t>
      </w:r>
      <w:r w:rsidRPr="0048710D">
        <w:rPr>
          <w:i/>
          <w:iCs/>
        </w:rPr>
        <w:t>f</w:t>
      </w:r>
      <w:r w:rsidRPr="0048710D">
        <w:t xml:space="preserve"> = 50 ST) do corpus total analisado. Constituída por radicais e palavras no intervalo entre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4,13 (</w:t>
      </w:r>
      <w:r w:rsidR="00E416F7" w:rsidRPr="0048710D">
        <w:t>“</w:t>
      </w:r>
      <w:r w:rsidRPr="0048710D">
        <w:t>preciso</w:t>
      </w:r>
      <w:r w:rsidR="00E416F7" w:rsidRPr="0048710D">
        <w:t>”</w:t>
      </w:r>
      <w:r w:rsidRPr="0048710D">
        <w:t xml:space="preserve">) 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49,20 (</w:t>
      </w:r>
      <w:r w:rsidR="00E416F7" w:rsidRPr="0048710D">
        <w:t>“</w:t>
      </w:r>
      <w:r w:rsidRPr="0048710D">
        <w:t>pedir</w:t>
      </w:r>
      <w:r w:rsidR="00E416F7" w:rsidRPr="0048710D">
        <w:t>”</w:t>
      </w:r>
      <w:r w:rsidRPr="0048710D">
        <w:t>). Essa classe é composta por palavras como “precisar”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40,47), “ajuda”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31,80), “contar”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20,41), “vizinho”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20,41), “antes”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12,15) “apoio”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11,48) e “difícil”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5,10).</w:t>
      </w:r>
      <w:r w:rsidR="00E416F7" w:rsidRPr="0048710D">
        <w:t xml:space="preserve"> </w:t>
      </w:r>
    </w:p>
    <w:p w14:paraId="25ACF87C" w14:textId="28768A8D" w:rsidR="00D365DC" w:rsidRPr="0048710D" w:rsidRDefault="00D365DC" w:rsidP="00E416F7">
      <w:pPr>
        <w:pStyle w:val="ApaStyleGeneral"/>
      </w:pPr>
      <w:r w:rsidRPr="0048710D">
        <w:t xml:space="preserve">Essa classe explicita temáticas na ambivalência de precisar de ajuda e sentir desconforto buscando ou aceitando esta. Essa dificuldade, em muitos trechos, se apresentou associada à família e a uma expectativa de ajudar aos outros e uma resistência a receber ajuda. A análise semântica indica uma carga negativa na necessidade de ajuda e possível dependência nos </w:t>
      </w:r>
      <w:r w:rsidRPr="0048710D">
        <w:lastRenderedPageBreak/>
        <w:t>outros. Se destaca o medo de “perturbar” os outros pedindo ajuda, especialmente relacionado à membros da família como filhos e netos. A seguir, alguns trechos que corroboram esse dado</w:t>
      </w:r>
      <w:r w:rsidR="00E416F7" w:rsidRPr="0048710D">
        <w:t xml:space="preserve">: </w:t>
      </w:r>
    </w:p>
    <w:p w14:paraId="77C5732D" w14:textId="34A7E031" w:rsidR="00D365DC" w:rsidRPr="0048710D" w:rsidRDefault="00E416F7" w:rsidP="004153F4">
      <w:pPr>
        <w:pStyle w:val="Paragraphedeliste"/>
        <w:numPr>
          <w:ilvl w:val="0"/>
          <w:numId w:val="7"/>
        </w:numPr>
        <w:spacing w:line="360" w:lineRule="auto"/>
        <w:jc w:val="both"/>
        <w:rPr>
          <w:rFonts w:asciiTheme="majorBidi" w:hAnsiTheme="majorBidi" w:cstheme="majorBidi"/>
          <w:iCs/>
        </w:rPr>
      </w:pPr>
      <w:r w:rsidRPr="0048710D">
        <w:rPr>
          <w:rFonts w:asciiTheme="majorBidi" w:hAnsiTheme="majorBidi" w:cstheme="majorBidi"/>
          <w:iCs/>
        </w:rPr>
        <w:t>“</w:t>
      </w:r>
      <w:r w:rsidR="00D365DC" w:rsidRPr="0048710D">
        <w:rPr>
          <w:rFonts w:asciiTheme="majorBidi" w:hAnsiTheme="majorBidi" w:cstheme="majorBidi"/>
          <w:iCs/>
        </w:rPr>
        <w:t>Mas cada um tem seu companheiro e sua família. Então eu não posso chegar: bora parar isso pra cuidar de mim. Entendeu?</w:t>
      </w:r>
      <w:r w:rsidRPr="0048710D">
        <w:rPr>
          <w:rFonts w:asciiTheme="majorBidi" w:hAnsiTheme="majorBidi" w:cstheme="majorBidi"/>
          <w:iCs/>
        </w:rPr>
        <w:t>”</w:t>
      </w:r>
    </w:p>
    <w:p w14:paraId="6CE08626" w14:textId="235A24A0" w:rsidR="00D365DC" w:rsidRPr="0048710D" w:rsidRDefault="00E416F7" w:rsidP="004153F4">
      <w:pPr>
        <w:pStyle w:val="Paragraphedeliste"/>
        <w:numPr>
          <w:ilvl w:val="0"/>
          <w:numId w:val="7"/>
        </w:numPr>
        <w:spacing w:line="360" w:lineRule="auto"/>
        <w:jc w:val="both"/>
        <w:rPr>
          <w:rFonts w:asciiTheme="majorBidi" w:hAnsiTheme="majorBidi" w:cstheme="majorBidi"/>
          <w:iCs/>
        </w:rPr>
      </w:pPr>
      <w:r w:rsidRPr="0048710D">
        <w:rPr>
          <w:rFonts w:asciiTheme="majorBidi" w:hAnsiTheme="majorBidi" w:cstheme="majorBidi"/>
          <w:iCs/>
        </w:rPr>
        <w:t>“</w:t>
      </w:r>
      <w:r w:rsidR="00D365DC" w:rsidRPr="0048710D">
        <w:rPr>
          <w:rFonts w:asciiTheme="majorBidi" w:hAnsiTheme="majorBidi" w:cstheme="majorBidi"/>
          <w:iCs/>
        </w:rPr>
        <w:t>Eu nunca dependia desse apoio. É porque eu já trabalhava. É. Dos outros. É difícil, é duro. Eu acostumei. Eu acostumei a não depender de ninguém.”</w:t>
      </w:r>
    </w:p>
    <w:p w14:paraId="7C8742EE" w14:textId="56797B83" w:rsidR="00D365DC" w:rsidRPr="0048710D" w:rsidRDefault="00D365DC" w:rsidP="004153F4">
      <w:pPr>
        <w:pStyle w:val="Paragraphedeliste"/>
        <w:numPr>
          <w:ilvl w:val="0"/>
          <w:numId w:val="7"/>
        </w:numPr>
        <w:spacing w:line="360" w:lineRule="auto"/>
        <w:jc w:val="both"/>
        <w:rPr>
          <w:rFonts w:asciiTheme="majorBidi" w:hAnsiTheme="majorBidi" w:cstheme="majorBidi"/>
          <w:iCs/>
        </w:rPr>
      </w:pPr>
      <w:r w:rsidRPr="0048710D">
        <w:rPr>
          <w:rFonts w:asciiTheme="majorBidi" w:hAnsiTheme="majorBidi" w:cstheme="majorBidi"/>
          <w:iCs/>
        </w:rPr>
        <w:t xml:space="preserve">“Aí, minha vida inteira, nunca pensei em mim. Ajudando quando você não pode ajudar, </w:t>
      </w:r>
      <w:r w:rsidR="006F68B6">
        <w:rPr>
          <w:rFonts w:asciiTheme="majorBidi" w:hAnsiTheme="majorBidi" w:cstheme="majorBidi"/>
          <w:iCs/>
        </w:rPr>
        <w:t>o</w:t>
      </w:r>
      <w:r w:rsidRPr="0048710D">
        <w:rPr>
          <w:rFonts w:asciiTheme="majorBidi" w:hAnsiTheme="majorBidi" w:cstheme="majorBidi"/>
          <w:iCs/>
        </w:rPr>
        <w:t xml:space="preserve"> desprezo é muito grande.</w:t>
      </w:r>
      <w:r w:rsidR="00E416F7" w:rsidRPr="0048710D">
        <w:rPr>
          <w:rFonts w:asciiTheme="majorBidi" w:hAnsiTheme="majorBidi" w:cstheme="majorBidi"/>
          <w:iCs/>
        </w:rPr>
        <w:t>”</w:t>
      </w:r>
    </w:p>
    <w:p w14:paraId="6C1FB0A6" w14:textId="77777777" w:rsidR="00D365DC" w:rsidRPr="0048710D" w:rsidRDefault="00D365DC" w:rsidP="004153F4">
      <w:pPr>
        <w:pStyle w:val="APALevel3"/>
      </w:pPr>
      <w:r w:rsidRPr="0048710D">
        <w:t>Classe II - “Atividades Cotidianas”</w:t>
      </w:r>
    </w:p>
    <w:p w14:paraId="16C8CAD1" w14:textId="6EBCEC14" w:rsidR="00D365DC" w:rsidRPr="0048710D" w:rsidRDefault="00D365DC" w:rsidP="00E416F7">
      <w:pPr>
        <w:pStyle w:val="ApaStyleGeneral"/>
      </w:pPr>
      <w:r w:rsidRPr="0048710D">
        <w:t>Compreende 17,60% (</w:t>
      </w:r>
      <w:r w:rsidRPr="0048710D">
        <w:rPr>
          <w:i/>
          <w:iCs/>
        </w:rPr>
        <w:t>f</w:t>
      </w:r>
      <w:r w:rsidRPr="0048710D">
        <w:t xml:space="preserve"> = 44 ST) do corpus total analisado. Constituída por radicais e palavras no intervalo entre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3,94 (</w:t>
      </w:r>
      <w:r w:rsidR="00E416F7" w:rsidRPr="0048710D">
        <w:t>“</w:t>
      </w:r>
      <w:r w:rsidRPr="0048710D">
        <w:t>comigo</w:t>
      </w:r>
      <w:r w:rsidR="00E416F7" w:rsidRPr="0048710D">
        <w:t>”</w:t>
      </w:r>
      <w:r w:rsidRPr="0048710D">
        <w:t xml:space="preserve">) 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53,36 (</w:t>
      </w:r>
      <w:r w:rsidR="00E416F7" w:rsidRPr="0048710D">
        <w:t>“</w:t>
      </w:r>
      <w:r w:rsidRPr="0048710D">
        <w:t>vir</w:t>
      </w:r>
      <w:r w:rsidR="00E416F7" w:rsidRPr="0048710D">
        <w:t>”</w:t>
      </w:r>
      <w:r w:rsidRPr="0048710D">
        <w:t>). Essa classe é composta por palavras como “amigo”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29,63), “vamo”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19,03), “tarde”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18,32), “bem”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8,10), “parente”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7,76) e “hospital”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6,32).</w:t>
      </w:r>
      <w:r w:rsidR="00E416F7" w:rsidRPr="0048710D">
        <w:t xml:space="preserve"> </w:t>
      </w:r>
    </w:p>
    <w:p w14:paraId="301966CE" w14:textId="548469AF" w:rsidR="00D365DC" w:rsidRPr="0048710D" w:rsidRDefault="00D365DC" w:rsidP="00E416F7">
      <w:pPr>
        <w:pStyle w:val="ApaStyleGeneral"/>
      </w:pPr>
      <w:r w:rsidRPr="0048710D">
        <w:t xml:space="preserve">Essa classe explicita temáticas relacionadas à vida cotidiana, apresentando as manifestações da solidão nesses momentos diários. Questões relacionadas </w:t>
      </w:r>
      <w:r w:rsidR="00AC788A" w:rsidRPr="0048710D">
        <w:t>a</w:t>
      </w:r>
      <w:r w:rsidRPr="0048710D">
        <w:t xml:space="preserve"> transporte, atividades diárias e visitas a estabelecimentos de saúde entram em questão, assim como as pessoas que auxiliam essas movimentações diárias. Além disso, a partir da análise semântica também é indicada a frustração cotidiana com a comunicação e manutenção das relações e subsequente solidão. Entram em questão interações diárias com estranhos, amigos e parentes próximos que intensificam a solidão a partir da dificuldade da comunicação. A seguir, alguns trechos que corroboram esse dado:</w:t>
      </w:r>
      <w:r w:rsidR="00E416F7" w:rsidRPr="0048710D">
        <w:t xml:space="preserve"> </w:t>
      </w:r>
    </w:p>
    <w:p w14:paraId="5989AD20" w14:textId="4F1A6820" w:rsidR="00D365DC" w:rsidRPr="0048710D" w:rsidRDefault="00D365DC" w:rsidP="004153F4">
      <w:pPr>
        <w:pStyle w:val="ApaStyleGeneral"/>
        <w:numPr>
          <w:ilvl w:val="0"/>
          <w:numId w:val="4"/>
        </w:numPr>
        <w:ind w:left="1066" w:hanging="357"/>
      </w:pPr>
      <w:r w:rsidRPr="0048710D">
        <w:t>“Aí é porque eu moro sozinho, não tem parente aqui. Não tem família, não tem nada. Aí tem uns amigos aí e coisa e tal. Aí um ajuda o outro, né</w:t>
      </w:r>
      <w:r w:rsidR="005B6292" w:rsidRPr="0048710D">
        <w:t>.</w:t>
      </w:r>
      <w:r w:rsidRPr="0048710D">
        <w:t>”</w:t>
      </w:r>
    </w:p>
    <w:p w14:paraId="12F736FE" w14:textId="08B0227E" w:rsidR="00D365DC" w:rsidRPr="0048710D" w:rsidRDefault="00D365DC" w:rsidP="004153F4">
      <w:pPr>
        <w:pStyle w:val="ApaStyleGeneral"/>
        <w:numPr>
          <w:ilvl w:val="0"/>
          <w:numId w:val="4"/>
        </w:numPr>
        <w:ind w:left="1066" w:hanging="357"/>
      </w:pPr>
      <w:r w:rsidRPr="0048710D">
        <w:t>“Ontem mesmo ela veio me levar no hospital, mas só podia vir de tarde, a</w:t>
      </w:r>
      <w:r w:rsidR="005B6292" w:rsidRPr="0048710D">
        <w:t>í</w:t>
      </w:r>
      <w:r w:rsidRPr="0048710D">
        <w:t xml:space="preserve"> veio de tarde. Ela disse: Não coisa não que eu vou de tarde, para eu poder vir aqui no hospital</w:t>
      </w:r>
      <w:r w:rsidR="005B6292" w:rsidRPr="0048710D">
        <w:t>.</w:t>
      </w:r>
      <w:r w:rsidRPr="0048710D">
        <w:t>”</w:t>
      </w:r>
    </w:p>
    <w:p w14:paraId="31056FD6" w14:textId="6EB1C2D9" w:rsidR="00D365DC" w:rsidRPr="0048710D" w:rsidRDefault="00D365DC" w:rsidP="004153F4">
      <w:pPr>
        <w:pStyle w:val="APALevel3"/>
        <w:rPr>
          <w:highlight w:val="white"/>
        </w:rPr>
      </w:pPr>
      <w:r w:rsidRPr="0048710D">
        <w:t xml:space="preserve">Classe III </w:t>
      </w:r>
      <w:r w:rsidR="005B6292" w:rsidRPr="0048710D">
        <w:t>-</w:t>
      </w:r>
      <w:r w:rsidRPr="0048710D">
        <w:t xml:space="preserve"> </w:t>
      </w:r>
      <w:r w:rsidR="005B6292" w:rsidRPr="0048710D">
        <w:t>“</w:t>
      </w:r>
      <w:r w:rsidRPr="0048710D">
        <w:t xml:space="preserve">Aceitação da </w:t>
      </w:r>
      <w:r w:rsidR="005B6292" w:rsidRPr="0048710D">
        <w:t>A</w:t>
      </w:r>
      <w:r w:rsidRPr="0048710D">
        <w:t>juda”</w:t>
      </w:r>
    </w:p>
    <w:p w14:paraId="38A03C1C" w14:textId="39AFE8F2" w:rsidR="00D365DC" w:rsidRPr="0048710D" w:rsidRDefault="00D365DC" w:rsidP="005B6292">
      <w:pPr>
        <w:pStyle w:val="ApaStyleGeneral"/>
      </w:pPr>
      <w:r w:rsidRPr="0048710D">
        <w:t>Compreende 16,80% (</w:t>
      </w:r>
      <w:r w:rsidRPr="0048710D">
        <w:rPr>
          <w:i/>
          <w:iCs/>
        </w:rPr>
        <w:t>f</w:t>
      </w:r>
      <w:r w:rsidRPr="0048710D">
        <w:t xml:space="preserve"> = 42 ST) do corpus total analisado. Constituída por radicais e palavras no intervalo entre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4,05 (</w:t>
      </w:r>
      <w:r w:rsidR="005B6292" w:rsidRPr="0048710D">
        <w:t>“</w:t>
      </w:r>
      <w:r w:rsidRPr="0048710D">
        <w:t>até</w:t>
      </w:r>
      <w:r w:rsidR="005B6292" w:rsidRPr="0048710D">
        <w:t>”</w:t>
      </w:r>
      <w:r w:rsidRPr="0048710D">
        <w:t xml:space="preserve">) 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24,84 (</w:t>
      </w:r>
      <w:r w:rsidR="005B6292" w:rsidRPr="0048710D">
        <w:t>“</w:t>
      </w:r>
      <w:r w:rsidRPr="0048710D">
        <w:t>olhar</w:t>
      </w:r>
      <w:r w:rsidR="005B6292" w:rsidRPr="0048710D">
        <w:t>”</w:t>
      </w:r>
      <w:r w:rsidRPr="0048710D">
        <w:t>). Essa classe é composta por palavras como “viver”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24,84), “mudar”</w:t>
      </w:r>
      <w:r w:rsidR="005B6292" w:rsidRPr="0048710D">
        <w:t xml:space="preserve"> </w:t>
      </w:r>
      <w:r w:rsidRPr="0048710D">
        <w:t>(</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24,84), “bom”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19,80), “vida”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17,27), “aceitar”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14,58) e “deixar”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10,03). Essa classe explicita </w:t>
      </w:r>
      <w:r w:rsidR="005B6292" w:rsidRPr="0048710D">
        <w:t xml:space="preserve">que </w:t>
      </w:r>
      <w:r w:rsidRPr="0048710D">
        <w:t xml:space="preserve">a dificuldade em aceitar ajuda de terceiros no processo de envelhecimento é um fenômeno complexo com raízes multifacetadas. Do ponto de vista psicológico, a necessidade de ajuda pode ser percebida </w:t>
      </w:r>
      <w:r w:rsidRPr="0048710D">
        <w:lastRenderedPageBreak/>
        <w:t>como uma ameaça à autonomia e independência, valores altamente prezados por muitas pessoas idosas. A aceitação da dependência pode evocar sentimentos de vulnerabilidade, perda de controle e diminuição da autoestima, impactando a identidade pessoal e o senso de utilidade. A experiência de discriminação etária e a falta de reconhecimento do valor e da contribuição das pessoas idosas para a sociedade também podem reforçar a relutância em aceitar o apoio. É crucial ressaltar que a aceitação da ajuda é um processo individual e dinâmico, influenciado por experiências de vida, personalidade, cultura e contexto social. A seguir, alguns trechos que corroboram esse dado:</w:t>
      </w:r>
      <w:r w:rsidR="005B6292" w:rsidRPr="0048710D">
        <w:t xml:space="preserve"> </w:t>
      </w:r>
    </w:p>
    <w:p w14:paraId="762ED011" w14:textId="48E1EF72" w:rsidR="00D365DC" w:rsidRPr="0048710D" w:rsidRDefault="00D365DC" w:rsidP="004153F4">
      <w:pPr>
        <w:pStyle w:val="ApaStyleGeneral"/>
        <w:numPr>
          <w:ilvl w:val="0"/>
          <w:numId w:val="5"/>
        </w:numPr>
        <w:ind w:left="1066" w:hanging="357"/>
      </w:pPr>
      <w:r w:rsidRPr="0048710D">
        <w:t>“Aí então eu sou dependente de um jeito e independente de outro. Eu passei mal, fiquei duas semanas no hospital. Ninguém veio e falou que eu tinha que ir. Eu que liguei e falei que eu precisava ir.”</w:t>
      </w:r>
    </w:p>
    <w:p w14:paraId="7CF10A78" w14:textId="77777777" w:rsidR="00D365DC" w:rsidRPr="0048710D" w:rsidRDefault="00D365DC" w:rsidP="004153F4">
      <w:pPr>
        <w:pStyle w:val="ApaStyleGeneral"/>
        <w:numPr>
          <w:ilvl w:val="0"/>
          <w:numId w:val="5"/>
        </w:numPr>
        <w:ind w:left="1066" w:hanging="357"/>
      </w:pPr>
      <w:r w:rsidRPr="0048710D">
        <w:t>“Precisa de ajuda? Se alguém pode te ajudar então, você apoia e pede ajuda pra aquele ali, é assim que a gente tem que fazer, apesar que eu nunca gostei de estar pedindo ajuda pra ninguém, mas agora eu vou ter que pedir.”</w:t>
      </w:r>
    </w:p>
    <w:p w14:paraId="462B85D2" w14:textId="77777777" w:rsidR="00D365DC" w:rsidRPr="0048710D" w:rsidRDefault="00D365DC" w:rsidP="004153F4">
      <w:pPr>
        <w:pStyle w:val="APALevel3"/>
      </w:pPr>
      <w:r w:rsidRPr="0048710D">
        <w:t>Classe IV - “Rede de Apoio”</w:t>
      </w:r>
    </w:p>
    <w:p w14:paraId="0EB9963E" w14:textId="285F0BCB" w:rsidR="00D365DC" w:rsidRPr="0048710D" w:rsidRDefault="00D365DC" w:rsidP="00D365DC">
      <w:pPr>
        <w:spacing w:line="360" w:lineRule="auto"/>
        <w:ind w:firstLine="720"/>
        <w:jc w:val="both"/>
        <w:rPr>
          <w:rFonts w:asciiTheme="majorBidi" w:hAnsiTheme="majorBidi" w:cstheme="majorBidi"/>
        </w:rPr>
      </w:pPr>
      <w:r w:rsidRPr="0048710D">
        <w:rPr>
          <w:rFonts w:asciiTheme="majorBidi" w:hAnsiTheme="majorBidi" w:cstheme="majorBidi"/>
        </w:rPr>
        <w:t>Compreende 22,40% (</w:t>
      </w:r>
      <w:r w:rsidRPr="0048710D">
        <w:rPr>
          <w:rFonts w:asciiTheme="majorBidi" w:hAnsiTheme="majorBidi" w:cstheme="majorBidi"/>
          <w:i/>
          <w:iCs/>
        </w:rPr>
        <w:t>f</w:t>
      </w:r>
      <w:r w:rsidRPr="0048710D">
        <w:rPr>
          <w:rFonts w:asciiTheme="majorBidi" w:hAnsiTheme="majorBidi" w:cstheme="majorBidi"/>
        </w:rPr>
        <w:t xml:space="preserve"> = 56 ST) do corpus total analisado. Constituída por  radicais e palavras no intervalo entre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4,05 (</w:t>
      </w:r>
      <w:r w:rsidR="008D309C" w:rsidRPr="0048710D">
        <w:rPr>
          <w:rFonts w:asciiTheme="majorBidi" w:hAnsiTheme="majorBidi" w:cstheme="majorBidi"/>
        </w:rPr>
        <w:t>“</w:t>
      </w:r>
      <w:r w:rsidRPr="0048710D">
        <w:rPr>
          <w:rFonts w:asciiTheme="majorBidi" w:hAnsiTheme="majorBidi" w:cstheme="majorBidi"/>
        </w:rPr>
        <w:t>ligar</w:t>
      </w:r>
      <w:r w:rsidR="008D309C" w:rsidRPr="0048710D">
        <w:rPr>
          <w:rFonts w:asciiTheme="majorBidi" w:hAnsiTheme="majorBidi" w:cstheme="majorBidi"/>
        </w:rPr>
        <w:t>”</w:t>
      </w:r>
      <w:r w:rsidRPr="0048710D">
        <w:rPr>
          <w:rFonts w:asciiTheme="majorBidi" w:hAnsiTheme="majorBidi" w:cstheme="majorBidi"/>
        </w:rPr>
        <w:t xml:space="preserve">) 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52,83 (</w:t>
      </w:r>
      <w:r w:rsidR="008D309C" w:rsidRPr="0048710D">
        <w:rPr>
          <w:rFonts w:asciiTheme="majorBidi" w:hAnsiTheme="majorBidi" w:cstheme="majorBidi"/>
        </w:rPr>
        <w:t>“</w:t>
      </w:r>
      <w:r w:rsidRPr="0048710D">
        <w:rPr>
          <w:rFonts w:asciiTheme="majorBidi" w:hAnsiTheme="majorBidi" w:cstheme="majorBidi"/>
        </w:rPr>
        <w:t>irmão</w:t>
      </w:r>
      <w:r w:rsidR="008D309C" w:rsidRPr="0048710D">
        <w:rPr>
          <w:rFonts w:asciiTheme="majorBidi" w:hAnsiTheme="majorBidi" w:cstheme="majorBidi"/>
        </w:rPr>
        <w:t>”</w:t>
      </w:r>
      <w:r w:rsidRPr="0048710D">
        <w:rPr>
          <w:rFonts w:asciiTheme="majorBidi" w:hAnsiTheme="majorBidi" w:cstheme="majorBidi"/>
        </w:rPr>
        <w:t xml:space="preserve">). Essa classe é composta por palavras como </w:t>
      </w:r>
      <w:r w:rsidR="008D309C" w:rsidRPr="0048710D">
        <w:rPr>
          <w:rFonts w:asciiTheme="majorBidi" w:hAnsiTheme="majorBidi" w:cstheme="majorBidi"/>
        </w:rPr>
        <w:t>“</w:t>
      </w:r>
      <w:r w:rsidRPr="0048710D">
        <w:rPr>
          <w:rFonts w:asciiTheme="majorBidi" w:hAnsiTheme="majorBidi" w:cstheme="majorBidi"/>
        </w:rPr>
        <w:t>irmão</w:t>
      </w:r>
      <w:r w:rsidR="008D309C" w:rsidRPr="0048710D">
        <w:rPr>
          <w:rFonts w:asciiTheme="majorBidi" w:hAnsiTheme="majorBidi" w:cstheme="majorBidi"/>
        </w:rPr>
        <w:t>”</w:t>
      </w:r>
      <w:r w:rsidRPr="0048710D">
        <w:rPr>
          <w:rFonts w:asciiTheme="majorBidi" w:hAnsiTheme="majorBidi" w:cstheme="majorBidi"/>
        </w:rPr>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52,83), </w:t>
      </w:r>
      <w:r w:rsidR="008D309C" w:rsidRPr="0048710D">
        <w:rPr>
          <w:rFonts w:asciiTheme="majorBidi" w:hAnsiTheme="majorBidi" w:cstheme="majorBidi"/>
        </w:rPr>
        <w:t>“</w:t>
      </w:r>
      <w:r w:rsidRPr="0048710D">
        <w:rPr>
          <w:rFonts w:asciiTheme="majorBidi" w:hAnsiTheme="majorBidi" w:cstheme="majorBidi"/>
        </w:rPr>
        <w:t>mãe”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008D309C" w:rsidRPr="0048710D">
        <w:rPr>
          <w:rFonts w:asciiTheme="majorBidi" w:hAnsiTheme="majorBidi" w:cstheme="majorBidi"/>
        </w:rPr>
        <w:t xml:space="preserve"> </w:t>
      </w:r>
      <w:r w:rsidRPr="0048710D">
        <w:rPr>
          <w:rFonts w:asciiTheme="majorBidi" w:hAnsiTheme="majorBidi" w:cstheme="majorBidi"/>
        </w:rPr>
        <w:t xml:space="preserve">= 39,86), </w:t>
      </w:r>
      <w:r w:rsidR="008D309C" w:rsidRPr="0048710D">
        <w:rPr>
          <w:rFonts w:asciiTheme="majorBidi" w:hAnsiTheme="majorBidi" w:cstheme="majorBidi"/>
        </w:rPr>
        <w:t>“</w:t>
      </w:r>
      <w:r w:rsidRPr="0048710D">
        <w:rPr>
          <w:rFonts w:asciiTheme="majorBidi" w:hAnsiTheme="majorBidi" w:cstheme="majorBidi"/>
        </w:rPr>
        <w:t>morrer</w:t>
      </w:r>
      <w:r w:rsidR="008D309C" w:rsidRPr="0048710D">
        <w:rPr>
          <w:rFonts w:asciiTheme="majorBidi" w:hAnsiTheme="majorBidi" w:cstheme="majorBidi"/>
        </w:rPr>
        <w:t>”</w:t>
      </w:r>
      <w:r w:rsidRPr="0048710D">
        <w:rPr>
          <w:rFonts w:asciiTheme="majorBidi" w:hAnsiTheme="majorBidi" w:cstheme="majorBidi"/>
        </w:rPr>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34,79), </w:t>
      </w:r>
      <w:r w:rsidR="008D309C" w:rsidRPr="0048710D">
        <w:rPr>
          <w:rFonts w:asciiTheme="majorBidi" w:hAnsiTheme="majorBidi" w:cstheme="majorBidi"/>
        </w:rPr>
        <w:t>“</w:t>
      </w:r>
      <w:r w:rsidRPr="0048710D">
        <w:rPr>
          <w:rFonts w:asciiTheme="majorBidi" w:hAnsiTheme="majorBidi" w:cstheme="majorBidi"/>
        </w:rPr>
        <w:t>cuidar</w:t>
      </w:r>
      <w:r w:rsidR="008D309C" w:rsidRPr="0048710D">
        <w:rPr>
          <w:rFonts w:asciiTheme="majorBidi" w:hAnsiTheme="majorBidi" w:cstheme="majorBidi"/>
        </w:rPr>
        <w:t>”</w:t>
      </w:r>
      <w:r w:rsidRPr="0048710D">
        <w:rPr>
          <w:rFonts w:asciiTheme="majorBidi" w:hAnsiTheme="majorBidi" w:cstheme="majorBidi"/>
        </w:rPr>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34,20), </w:t>
      </w:r>
      <w:r w:rsidR="008D309C" w:rsidRPr="0048710D">
        <w:rPr>
          <w:rFonts w:asciiTheme="majorBidi" w:hAnsiTheme="majorBidi" w:cstheme="majorBidi"/>
        </w:rPr>
        <w:t>“</w:t>
      </w:r>
      <w:r w:rsidRPr="0048710D">
        <w:rPr>
          <w:rFonts w:asciiTheme="majorBidi" w:hAnsiTheme="majorBidi" w:cstheme="majorBidi"/>
        </w:rPr>
        <w:t>ano</w:t>
      </w:r>
      <w:r w:rsidR="008D309C" w:rsidRPr="0048710D">
        <w:rPr>
          <w:rFonts w:asciiTheme="majorBidi" w:hAnsiTheme="majorBidi" w:cstheme="majorBidi"/>
        </w:rPr>
        <w:t>”</w:t>
      </w:r>
      <w:r w:rsidRPr="0048710D">
        <w:rPr>
          <w:rFonts w:asciiTheme="majorBidi" w:hAnsiTheme="majorBidi" w:cstheme="majorBidi"/>
        </w:rPr>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24,95), </w:t>
      </w:r>
      <w:r w:rsidR="008D309C" w:rsidRPr="0048710D">
        <w:rPr>
          <w:rFonts w:asciiTheme="majorBidi" w:hAnsiTheme="majorBidi" w:cstheme="majorBidi"/>
        </w:rPr>
        <w:t>“</w:t>
      </w:r>
      <w:r w:rsidRPr="0048710D">
        <w:rPr>
          <w:rFonts w:asciiTheme="majorBidi" w:hAnsiTheme="majorBidi" w:cstheme="majorBidi"/>
        </w:rPr>
        <w:t>morar</w:t>
      </w:r>
      <w:r w:rsidR="008D309C" w:rsidRPr="0048710D">
        <w:rPr>
          <w:rFonts w:asciiTheme="majorBidi" w:hAnsiTheme="majorBidi" w:cstheme="majorBidi"/>
        </w:rPr>
        <w:t>”</w:t>
      </w:r>
      <w:r w:rsidRPr="0048710D">
        <w:rPr>
          <w:rFonts w:asciiTheme="majorBidi" w:hAnsiTheme="majorBidi" w:cstheme="majorBidi"/>
        </w:rPr>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19,14), </w:t>
      </w:r>
      <w:r w:rsidR="008D309C" w:rsidRPr="0048710D">
        <w:rPr>
          <w:rFonts w:asciiTheme="majorBidi" w:hAnsiTheme="majorBidi" w:cstheme="majorBidi"/>
        </w:rPr>
        <w:t>“</w:t>
      </w:r>
      <w:r w:rsidRPr="0048710D">
        <w:rPr>
          <w:rFonts w:asciiTheme="majorBidi" w:hAnsiTheme="majorBidi" w:cstheme="majorBidi"/>
        </w:rPr>
        <w:t>aniversário</w:t>
      </w:r>
      <w:r w:rsidR="008D309C" w:rsidRPr="0048710D">
        <w:rPr>
          <w:rFonts w:asciiTheme="majorBidi" w:hAnsiTheme="majorBidi" w:cstheme="majorBidi"/>
        </w:rPr>
        <w:t>”</w:t>
      </w:r>
      <w:r w:rsidRPr="0048710D">
        <w:rPr>
          <w:rFonts w:asciiTheme="majorBidi" w:hAnsiTheme="majorBidi" w:cstheme="majorBidi"/>
        </w:rPr>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17,67), </w:t>
      </w:r>
      <w:r w:rsidR="008D309C" w:rsidRPr="0048710D">
        <w:rPr>
          <w:rFonts w:asciiTheme="majorBidi" w:hAnsiTheme="majorBidi" w:cstheme="majorBidi"/>
        </w:rPr>
        <w:t>“</w:t>
      </w:r>
      <w:r w:rsidRPr="0048710D">
        <w:rPr>
          <w:rFonts w:asciiTheme="majorBidi" w:hAnsiTheme="majorBidi" w:cstheme="majorBidi"/>
        </w:rPr>
        <w:t>filho</w:t>
      </w:r>
      <w:r w:rsidR="008D309C" w:rsidRPr="0048710D">
        <w:rPr>
          <w:rFonts w:asciiTheme="majorBidi" w:hAnsiTheme="majorBidi" w:cstheme="majorBidi"/>
        </w:rPr>
        <w:t>”</w:t>
      </w:r>
      <w:r w:rsidRPr="0048710D">
        <w:rPr>
          <w:rFonts w:asciiTheme="majorBidi" w:hAnsiTheme="majorBidi" w:cstheme="majorBidi"/>
        </w:rPr>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16,51), </w:t>
      </w:r>
      <w:r w:rsidR="008D309C" w:rsidRPr="0048710D">
        <w:rPr>
          <w:rFonts w:asciiTheme="majorBidi" w:hAnsiTheme="majorBidi" w:cstheme="majorBidi"/>
        </w:rPr>
        <w:t>“</w:t>
      </w:r>
      <w:r w:rsidRPr="0048710D">
        <w:rPr>
          <w:rFonts w:asciiTheme="majorBidi" w:hAnsiTheme="majorBidi" w:cstheme="majorBidi"/>
        </w:rPr>
        <w:t>pai</w:t>
      </w:r>
      <w:r w:rsidR="008D309C" w:rsidRPr="0048710D">
        <w:rPr>
          <w:rFonts w:asciiTheme="majorBidi" w:hAnsiTheme="majorBidi" w:cstheme="majorBidi"/>
        </w:rPr>
        <w:t>”</w:t>
      </w:r>
      <w:r w:rsidRPr="0048710D">
        <w:rPr>
          <w:rFonts w:asciiTheme="majorBidi" w:hAnsiTheme="majorBidi" w:cstheme="majorBidi"/>
        </w:rPr>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16,47), </w:t>
      </w:r>
      <w:r w:rsidR="008D309C" w:rsidRPr="0048710D">
        <w:rPr>
          <w:rFonts w:asciiTheme="majorBidi" w:hAnsiTheme="majorBidi" w:cstheme="majorBidi"/>
        </w:rPr>
        <w:t>“</w:t>
      </w:r>
      <w:r w:rsidRPr="0048710D">
        <w:rPr>
          <w:rFonts w:asciiTheme="majorBidi" w:hAnsiTheme="majorBidi" w:cstheme="majorBidi"/>
        </w:rPr>
        <w:t>sobrinho</w:t>
      </w:r>
      <w:r w:rsidR="008D309C" w:rsidRPr="0048710D">
        <w:rPr>
          <w:rFonts w:asciiTheme="majorBidi" w:hAnsiTheme="majorBidi" w:cstheme="majorBidi"/>
        </w:rPr>
        <w:t>”</w:t>
      </w:r>
      <w:r w:rsidRPr="0048710D">
        <w:rPr>
          <w:rFonts w:asciiTheme="majorBidi" w:hAnsiTheme="majorBidi" w:cstheme="majorBidi"/>
        </w:rPr>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13,58) e </w:t>
      </w:r>
      <w:r w:rsidR="008D309C" w:rsidRPr="0048710D">
        <w:rPr>
          <w:rFonts w:asciiTheme="majorBidi" w:hAnsiTheme="majorBidi" w:cstheme="majorBidi"/>
        </w:rPr>
        <w:t>“</w:t>
      </w:r>
      <w:r w:rsidRPr="0048710D">
        <w:rPr>
          <w:rFonts w:asciiTheme="majorBidi" w:hAnsiTheme="majorBidi" w:cstheme="majorBidi"/>
        </w:rPr>
        <w:t>receber</w:t>
      </w:r>
      <w:r w:rsidR="008D309C" w:rsidRPr="0048710D">
        <w:rPr>
          <w:rFonts w:asciiTheme="majorBidi" w:hAnsiTheme="majorBidi" w:cstheme="majorBidi"/>
        </w:rPr>
        <w:t>”</w:t>
      </w:r>
      <w:r w:rsidRPr="0048710D">
        <w:rPr>
          <w:rFonts w:asciiTheme="majorBidi" w:hAnsiTheme="majorBidi" w:cstheme="majorBidi"/>
        </w:rPr>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rPr>
          <w:rFonts w:asciiTheme="majorBidi" w:hAnsiTheme="majorBidi" w:cstheme="majorBidi"/>
        </w:rPr>
        <w:t xml:space="preserve"> = 13,58). </w:t>
      </w:r>
    </w:p>
    <w:p w14:paraId="00C590E9" w14:textId="0274BDD1" w:rsidR="00D365DC" w:rsidRPr="0048710D" w:rsidRDefault="00D365DC" w:rsidP="004153F4">
      <w:pPr>
        <w:pStyle w:val="ApaStyleGeneral"/>
      </w:pPr>
      <w:r w:rsidRPr="0048710D">
        <w:t>Essa classe mostra uma forte associação com a esfera familiar e com a relação dos indivíduos com as pessoas presentes em suas vidas. A análise semântica indica a importância da dinâmica familiar em acontecimentos da vida, além de meios de contato com as pessoas que formam a rede de apoio do indivíduo. Esses termos refletem a necessidade de se ter pessoas por perto como um apoio para lidar com dificuldades, e as dificuldades que passam os indivíduos que não possuem uma forte rede de apoio. A seguir, alguns trechos que corroboram esse dado:</w:t>
      </w:r>
      <w:r w:rsidR="004153F4" w:rsidRPr="0048710D">
        <w:t xml:space="preserve"> </w:t>
      </w:r>
    </w:p>
    <w:p w14:paraId="3654D997" w14:textId="72A3D3C5" w:rsidR="00D365DC" w:rsidRPr="0048710D" w:rsidRDefault="00D365DC" w:rsidP="004153F4">
      <w:pPr>
        <w:pStyle w:val="ApaStyleGeneral"/>
        <w:numPr>
          <w:ilvl w:val="0"/>
          <w:numId w:val="6"/>
        </w:numPr>
        <w:ind w:left="1066" w:hanging="357"/>
      </w:pPr>
      <w:r w:rsidRPr="0048710D">
        <w:t xml:space="preserve">“E eu passei muito mal por causa da diabetes, ai de mim se eu estivesse sozinha. Da família só tem sobrinho, e morreram os irmãos todos, né. Os outros sobrinhos moram lá pro sul de </w:t>
      </w:r>
      <w:r w:rsidR="004153F4" w:rsidRPr="0048710D">
        <w:t>M</w:t>
      </w:r>
      <w:r w:rsidRPr="0048710D">
        <w:t>inas.”</w:t>
      </w:r>
    </w:p>
    <w:p w14:paraId="702C505E" w14:textId="77777777" w:rsidR="00D365DC" w:rsidRPr="0048710D" w:rsidRDefault="00D365DC" w:rsidP="004153F4">
      <w:pPr>
        <w:pStyle w:val="ApaStyleGeneral"/>
        <w:numPr>
          <w:ilvl w:val="0"/>
          <w:numId w:val="6"/>
        </w:numPr>
        <w:ind w:left="1066" w:hanging="357"/>
      </w:pPr>
      <w:r w:rsidRPr="0048710D">
        <w:t>“Eu precisava sair e ela dava até alimentação para minha mãe. Então essa enfermeira foi como se fosse a família para mim.”</w:t>
      </w:r>
    </w:p>
    <w:p w14:paraId="6F141BA2" w14:textId="77777777" w:rsidR="00D365DC" w:rsidRPr="0048710D" w:rsidRDefault="00D365DC" w:rsidP="004153F4">
      <w:pPr>
        <w:pStyle w:val="APALevel3"/>
      </w:pPr>
      <w:r w:rsidRPr="0048710D">
        <w:lastRenderedPageBreak/>
        <w:t>Classe V - “Lidando com a Solidão”</w:t>
      </w:r>
    </w:p>
    <w:p w14:paraId="71750EDC" w14:textId="5845AB58" w:rsidR="00D365DC" w:rsidRPr="0048710D" w:rsidRDefault="00D365DC" w:rsidP="004153F4">
      <w:pPr>
        <w:pStyle w:val="ApaStyleGeneral"/>
      </w:pPr>
      <w:r w:rsidRPr="0048710D">
        <w:t>Compreende 23,20% (</w:t>
      </w:r>
      <w:r w:rsidRPr="0048710D">
        <w:rPr>
          <w:i/>
          <w:iCs/>
        </w:rPr>
        <w:t>f</w:t>
      </w:r>
      <w:r w:rsidRPr="0048710D">
        <w:t xml:space="preserve"> = 58 ST) do corpus total analisado. Constituída por radicais e palavras no intervalo entre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3,88 (</w:t>
      </w:r>
      <w:r w:rsidR="004153F4" w:rsidRPr="0048710D">
        <w:t>“</w:t>
      </w:r>
      <w:r w:rsidRPr="0048710D">
        <w:t>perto</w:t>
      </w:r>
      <w:r w:rsidR="004153F4" w:rsidRPr="0048710D">
        <w:t>”</w:t>
      </w:r>
      <w:r w:rsidRPr="0048710D">
        <w:t xml:space="preserve">) 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41,73 (</w:t>
      </w:r>
      <w:r w:rsidR="004153F4" w:rsidRPr="0048710D">
        <w:t>“</w:t>
      </w:r>
      <w:r w:rsidRPr="0048710D">
        <w:t>dormir</w:t>
      </w:r>
      <w:r w:rsidR="004153F4" w:rsidRPr="0048710D">
        <w:t>”</w:t>
      </w:r>
      <w:r w:rsidRPr="0048710D">
        <w:t xml:space="preserve">). Essa classe é composta por palavras como </w:t>
      </w:r>
      <w:r w:rsidR="004153F4" w:rsidRPr="0048710D">
        <w:t>“</w:t>
      </w:r>
      <w:r w:rsidRPr="0048710D">
        <w:t>dormir</w:t>
      </w:r>
      <w:r w:rsidR="004153F4" w:rsidRPr="0048710D">
        <w:t>”</w:t>
      </w:r>
      <w:r w:rsidRPr="0048710D">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41,73), </w:t>
      </w:r>
      <w:r w:rsidR="004153F4" w:rsidRPr="0048710D">
        <w:t>“</w:t>
      </w:r>
      <w:r w:rsidRPr="0048710D">
        <w:t>aguentar</w:t>
      </w:r>
      <w:r w:rsidR="004153F4" w:rsidRPr="0048710D">
        <w:t>”</w:t>
      </w:r>
      <w:r w:rsidRPr="0048710D">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29,61), </w:t>
      </w:r>
      <w:r w:rsidR="004153F4" w:rsidRPr="0048710D">
        <w:t>“</w:t>
      </w:r>
      <w:r w:rsidRPr="0048710D">
        <w:t>ouvir</w:t>
      </w:r>
      <w:r w:rsidR="004153F4" w:rsidRPr="0048710D">
        <w:t>”</w:t>
      </w:r>
      <w:r w:rsidRPr="0048710D">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27,36), </w:t>
      </w:r>
      <w:r w:rsidR="004153F4" w:rsidRPr="0048710D">
        <w:t>“</w:t>
      </w:r>
      <w:r w:rsidRPr="0048710D">
        <w:t>dentro</w:t>
      </w:r>
      <w:r w:rsidR="004153F4" w:rsidRPr="0048710D">
        <w:t>”</w:t>
      </w:r>
      <w:r w:rsidRPr="0048710D">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27,36), </w:t>
      </w:r>
      <w:r w:rsidR="004153F4" w:rsidRPr="0048710D">
        <w:t>“</w:t>
      </w:r>
      <w:r w:rsidRPr="0048710D">
        <w:t>adiantar</w:t>
      </w:r>
      <w:r w:rsidR="004153F4" w:rsidRPr="0048710D">
        <w:t>”</w:t>
      </w:r>
      <w:r w:rsidRPr="0048710D">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22,19), </w:t>
      </w:r>
      <w:r w:rsidR="004153F4" w:rsidRPr="0048710D">
        <w:t>“</w:t>
      </w:r>
      <w:r w:rsidRPr="0048710D">
        <w:t>casa</w:t>
      </w:r>
      <w:r w:rsidR="004153F4" w:rsidRPr="0048710D">
        <w:t>”</w:t>
      </w:r>
      <w:r w:rsidRPr="0048710D">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20,62), </w:t>
      </w:r>
      <w:r w:rsidR="004153F4" w:rsidRPr="0048710D">
        <w:t>“</w:t>
      </w:r>
      <w:r w:rsidRPr="0048710D">
        <w:t>andar</w:t>
      </w:r>
      <w:r w:rsidR="004153F4" w:rsidRPr="0048710D">
        <w:t>”</w:t>
      </w:r>
      <w:r w:rsidRPr="0048710D">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20,35), </w:t>
      </w:r>
      <w:r w:rsidR="004153F4" w:rsidRPr="0048710D">
        <w:t>“</w:t>
      </w:r>
      <w:r w:rsidRPr="0048710D">
        <w:t>sábado</w:t>
      </w:r>
      <w:r w:rsidR="004153F4" w:rsidRPr="0048710D">
        <w:t>”</w:t>
      </w:r>
      <w:r w:rsidRPr="0048710D">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20,35), </w:t>
      </w:r>
      <w:r w:rsidR="004153F4" w:rsidRPr="0048710D">
        <w:t>“</w:t>
      </w:r>
      <w:r w:rsidRPr="0048710D">
        <w:t>hora</w:t>
      </w:r>
      <w:r w:rsidR="004153F4" w:rsidRPr="0048710D">
        <w:t>”</w:t>
      </w:r>
      <w:r w:rsidRPr="0048710D">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18,98), </w:t>
      </w:r>
      <w:r w:rsidR="004153F4" w:rsidRPr="0048710D">
        <w:t>“</w:t>
      </w:r>
      <w:r w:rsidRPr="0048710D">
        <w:t>ficar</w:t>
      </w:r>
      <w:r w:rsidR="004153F4" w:rsidRPr="0048710D">
        <w:t>”</w:t>
      </w:r>
      <w:r w:rsidRPr="0048710D">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18,6</w:t>
      </w:r>
      <w:r w:rsidR="004153F4" w:rsidRPr="0048710D">
        <w:t>0</w:t>
      </w:r>
      <w:r w:rsidRPr="0048710D">
        <w:t xml:space="preserve">) e </w:t>
      </w:r>
      <w:r w:rsidR="004153F4" w:rsidRPr="0048710D">
        <w:t>“</w:t>
      </w:r>
      <w:r w:rsidRPr="0048710D">
        <w:t>entender</w:t>
      </w:r>
      <w:r w:rsidR="004153F4" w:rsidRPr="0048710D">
        <w:t>”</w:t>
      </w:r>
      <w:r w:rsidRPr="0048710D">
        <w:t xml:space="preserve"> (</w:t>
      </w:r>
      <m:oMath>
        <m:sSup>
          <m:sSupPr>
            <m:ctrlPr>
              <w:rPr>
                <w:rFonts w:ascii="Cambria Math" w:hAnsi="Cambria Math"/>
                <w:i/>
              </w:rPr>
            </m:ctrlPr>
          </m:sSupPr>
          <m:e>
            <m:r>
              <m:rPr>
                <m:sty m:val="p"/>
              </m:rPr>
              <w:rPr>
                <w:rFonts w:ascii="Cambria Math" w:hAnsi="Cambria Math"/>
              </w:rPr>
              <m:t>χ</m:t>
            </m:r>
            <m:ctrlPr>
              <w:rPr>
                <w:rFonts w:ascii="Cambria Math" w:hAnsi="Cambria Math"/>
                <w:iCs/>
              </w:rPr>
            </m:ctrlPr>
          </m:e>
          <m:sup>
            <m:r>
              <w:rPr>
                <w:rFonts w:ascii="Cambria Math" w:hAnsi="Cambria Math"/>
              </w:rPr>
              <m:t>2</m:t>
            </m:r>
          </m:sup>
        </m:sSup>
      </m:oMath>
      <w:r w:rsidRPr="0048710D">
        <w:t xml:space="preserve"> = 18,06). </w:t>
      </w:r>
    </w:p>
    <w:p w14:paraId="32C7F540" w14:textId="6DD257DA" w:rsidR="00D365DC" w:rsidRPr="0048710D" w:rsidRDefault="00D365DC" w:rsidP="004153F4">
      <w:pPr>
        <w:pStyle w:val="ApaStyleGeneral"/>
      </w:pPr>
      <w:r w:rsidRPr="0048710D">
        <w:t xml:space="preserve">Essa classe mostra a relação dos indivíduos com as atividades em seu tempo livre. Há uma associação do tempo durante a semana com afazeres cotidianos, com termos que remetem ao tédio e </w:t>
      </w:r>
      <w:r w:rsidR="004153F4" w:rsidRPr="0048710D">
        <w:t xml:space="preserve">à </w:t>
      </w:r>
      <w:r w:rsidRPr="0048710D">
        <w:t>desesperança. As diferentes atividades destacadas mostram ações e sentimentos persistentes na rotina de forma monótona. Em uma análise semântica, as atividades são colocadas como a forma que os sujeitos lidam com uma rotina sem a presença de outras pessoas. A seguir, alguns trechos que corroboram esse dado:</w:t>
      </w:r>
      <w:r w:rsidR="004153F4" w:rsidRPr="0048710D">
        <w:t xml:space="preserve"> </w:t>
      </w:r>
    </w:p>
    <w:p w14:paraId="3C185E4F" w14:textId="3981311E" w:rsidR="00D365DC" w:rsidRPr="0048710D" w:rsidRDefault="00D365DC" w:rsidP="004153F4">
      <w:pPr>
        <w:pStyle w:val="ApaStyleGeneral"/>
        <w:numPr>
          <w:ilvl w:val="0"/>
          <w:numId w:val="8"/>
        </w:numPr>
        <w:ind w:left="1066" w:hanging="357"/>
      </w:pPr>
      <w:r w:rsidRPr="0048710D">
        <w:t>“Eu não trabalho, não faço nada. Passo o dia todo em casa. Quando não tem nada para fazer, eu vou dormir.”</w:t>
      </w:r>
    </w:p>
    <w:p w14:paraId="0DE6D02C" w14:textId="77777777" w:rsidR="00D365DC" w:rsidRPr="0048710D" w:rsidRDefault="00D365DC" w:rsidP="004153F4">
      <w:pPr>
        <w:pStyle w:val="ApaStyleGeneral"/>
        <w:numPr>
          <w:ilvl w:val="0"/>
          <w:numId w:val="8"/>
        </w:numPr>
        <w:ind w:left="1066" w:hanging="357"/>
      </w:pPr>
      <w:r w:rsidRPr="0048710D">
        <w:t>“Não quero ficar mais fazendo nada, assim, não. Quero mais ficar tranquilo ouvindo meu rádio, ouvindo a palavra, né.”</w:t>
      </w:r>
    </w:p>
    <w:p w14:paraId="6ACCE8CC" w14:textId="77777777" w:rsidR="00D365DC" w:rsidRPr="0048710D" w:rsidRDefault="00D365DC" w:rsidP="004153F4">
      <w:pPr>
        <w:pStyle w:val="ApaStyleGeneral"/>
        <w:numPr>
          <w:ilvl w:val="0"/>
          <w:numId w:val="8"/>
        </w:numPr>
        <w:ind w:left="1066" w:hanging="357"/>
      </w:pPr>
      <w:r w:rsidRPr="0048710D">
        <w:t>“Estou tranquilo em casa, não tenho nada para fazer. Nem vou procurar. Não adianta. Ah, todo mundo ocupado, todo mundo fazendo suas coisas, todo mundo. Eu vou fazer o que lá?”</w:t>
      </w:r>
    </w:p>
    <w:p w14:paraId="04871232" w14:textId="55CBC0CC" w:rsidR="004153F4" w:rsidRPr="0048710D" w:rsidRDefault="004153F4" w:rsidP="004153F4">
      <w:pPr>
        <w:pStyle w:val="APALevel2"/>
      </w:pPr>
      <w:r w:rsidRPr="0048710D">
        <w:t>Análise de Similitude</w:t>
      </w:r>
    </w:p>
    <w:p w14:paraId="520BB885" w14:textId="04CE4B81" w:rsidR="00D365DC" w:rsidRPr="0048710D" w:rsidRDefault="00D365DC" w:rsidP="004153F4">
      <w:pPr>
        <w:pStyle w:val="ApaStyleGeneral"/>
      </w:pPr>
      <w:r w:rsidRPr="0048710D">
        <w:t xml:space="preserve">Em segunda análise, tem-se a análise de similitude, fundamentada na teoria dos grafos, que demonstra um padrão no corpus textual. A Figura 2 mostra um núcleo central composto pela palavra </w:t>
      </w:r>
      <w:r w:rsidR="004153F4" w:rsidRPr="0048710D">
        <w:t>“</w:t>
      </w:r>
      <w:r w:rsidRPr="0048710D">
        <w:t>não</w:t>
      </w:r>
      <w:r w:rsidR="004153F4" w:rsidRPr="0048710D">
        <w:t>”</w:t>
      </w:r>
      <w:r w:rsidRPr="0048710D">
        <w:t xml:space="preserve"> como ponto de convergência para outros oito temas nucleares, representados por </w:t>
      </w:r>
      <w:r w:rsidR="004153F4" w:rsidRPr="0048710D">
        <w:t>“</w:t>
      </w:r>
      <w:r w:rsidRPr="0048710D">
        <w:t>casa</w:t>
      </w:r>
      <w:r w:rsidR="004153F4" w:rsidRPr="0048710D">
        <w:t>”</w:t>
      </w:r>
      <w:r w:rsidRPr="0048710D">
        <w:t xml:space="preserve">, </w:t>
      </w:r>
      <w:r w:rsidR="004153F4" w:rsidRPr="0048710D">
        <w:t>“</w:t>
      </w:r>
      <w:r w:rsidRPr="0048710D">
        <w:t>dia</w:t>
      </w:r>
      <w:r w:rsidR="004153F4" w:rsidRPr="0048710D">
        <w:t>”</w:t>
      </w:r>
      <w:r w:rsidRPr="0048710D">
        <w:t xml:space="preserve">, </w:t>
      </w:r>
      <w:r w:rsidR="004153F4" w:rsidRPr="0048710D">
        <w:t>“</w:t>
      </w:r>
      <w:r w:rsidRPr="0048710D">
        <w:t>passar</w:t>
      </w:r>
      <w:r w:rsidR="004153F4" w:rsidRPr="0048710D">
        <w:t>”</w:t>
      </w:r>
      <w:r w:rsidRPr="0048710D">
        <w:t xml:space="preserve">, </w:t>
      </w:r>
      <w:r w:rsidR="004153F4" w:rsidRPr="0048710D">
        <w:t>“</w:t>
      </w:r>
      <w:r w:rsidRPr="0048710D">
        <w:t>irmão</w:t>
      </w:r>
      <w:r w:rsidR="004153F4" w:rsidRPr="0048710D">
        <w:t>”</w:t>
      </w:r>
      <w:r w:rsidRPr="0048710D">
        <w:t xml:space="preserve">, </w:t>
      </w:r>
      <w:r w:rsidR="004153F4" w:rsidRPr="0048710D">
        <w:t>“</w:t>
      </w:r>
      <w:r w:rsidRPr="0048710D">
        <w:t>lá</w:t>
      </w:r>
      <w:r w:rsidR="004153F4" w:rsidRPr="0048710D">
        <w:t>”</w:t>
      </w:r>
      <w:r w:rsidRPr="0048710D">
        <w:t xml:space="preserve">, </w:t>
      </w:r>
      <w:r w:rsidR="004153F4" w:rsidRPr="0048710D">
        <w:t>“</w:t>
      </w:r>
      <w:r w:rsidRPr="0048710D">
        <w:t>também</w:t>
      </w:r>
      <w:r w:rsidR="004153F4" w:rsidRPr="0048710D">
        <w:t>”</w:t>
      </w:r>
      <w:r w:rsidRPr="0048710D">
        <w:t xml:space="preserve">, </w:t>
      </w:r>
      <w:r w:rsidR="004153F4" w:rsidRPr="0048710D">
        <w:t>“</w:t>
      </w:r>
      <w:r w:rsidRPr="0048710D">
        <w:t>aí</w:t>
      </w:r>
      <w:r w:rsidR="004153F4" w:rsidRPr="0048710D">
        <w:t>”</w:t>
      </w:r>
      <w:r w:rsidRPr="0048710D">
        <w:t xml:space="preserve"> e </w:t>
      </w:r>
      <w:r w:rsidR="004153F4" w:rsidRPr="0048710D">
        <w:t>“</w:t>
      </w:r>
      <w:r w:rsidRPr="0048710D">
        <w:t>bom</w:t>
      </w:r>
      <w:r w:rsidR="004153F4" w:rsidRPr="0048710D">
        <w:t>”</w:t>
      </w:r>
      <w:r w:rsidRPr="0048710D">
        <w:t xml:space="preserve">. Essa rede gráfica expõe um pensamento estruturado de forma negativa relacionado aos núcleos de forma predominante. </w:t>
      </w:r>
    </w:p>
    <w:p w14:paraId="2436D5C4" w14:textId="79334517" w:rsidR="00DF24CC" w:rsidRPr="0048710D" w:rsidRDefault="00DF24CC" w:rsidP="004153F4">
      <w:pPr>
        <w:pStyle w:val="ApaStyleGeneral"/>
      </w:pPr>
      <w:r w:rsidRPr="0048710D">
        <w:t>A Figura 2 exibe uma rede semântica densa, onde os nós representam palavras e suas conexões indicam a frequência de co-ocorrência no corpus. A disposição dos elementos sugere a existência de clusters temáticos diferentes, evidenciados pelos núcleos e agrupamentos.</w:t>
      </w:r>
      <w:r w:rsidR="004153F4" w:rsidRPr="0048710D">
        <w:t xml:space="preserve"> </w:t>
      </w:r>
    </w:p>
    <w:p w14:paraId="674632EB" w14:textId="716F0D9E" w:rsidR="00DF24CC" w:rsidRPr="0048710D" w:rsidRDefault="00DF24CC" w:rsidP="004153F4">
      <w:pPr>
        <w:pStyle w:val="ApaStyleGeneral"/>
      </w:pPr>
      <w:r w:rsidRPr="0048710D">
        <w:t xml:space="preserve">O núcleo central da rede é dominado por termos como </w:t>
      </w:r>
      <w:r w:rsidR="004153F4" w:rsidRPr="0048710D">
        <w:t>“</w:t>
      </w:r>
      <w:r w:rsidRPr="0048710D">
        <w:t>não</w:t>
      </w:r>
      <w:r w:rsidR="004153F4" w:rsidRPr="0048710D">
        <w:t>”</w:t>
      </w:r>
      <w:r w:rsidRPr="0048710D">
        <w:t xml:space="preserve">, </w:t>
      </w:r>
      <w:r w:rsidR="004153F4" w:rsidRPr="0048710D">
        <w:t>“</w:t>
      </w:r>
      <w:r w:rsidRPr="0048710D">
        <w:t>nada</w:t>
      </w:r>
      <w:r w:rsidR="004153F4" w:rsidRPr="0048710D">
        <w:t>”</w:t>
      </w:r>
      <w:r w:rsidRPr="0048710D">
        <w:t xml:space="preserve">, </w:t>
      </w:r>
      <w:r w:rsidR="004153F4" w:rsidRPr="0048710D">
        <w:t>“</w:t>
      </w:r>
      <w:r w:rsidRPr="0048710D">
        <w:t>sozinho</w:t>
      </w:r>
      <w:r w:rsidR="004153F4" w:rsidRPr="0048710D">
        <w:t>”</w:t>
      </w:r>
      <w:r w:rsidRPr="0048710D">
        <w:t xml:space="preserve"> e </w:t>
      </w:r>
      <w:r w:rsidR="004153F4" w:rsidRPr="0048710D">
        <w:t>“</w:t>
      </w:r>
      <w:r w:rsidRPr="0048710D">
        <w:t>falar</w:t>
      </w:r>
      <w:r w:rsidR="004153F4" w:rsidRPr="0048710D">
        <w:t>”</w:t>
      </w:r>
      <w:r w:rsidRPr="0048710D">
        <w:t xml:space="preserve">, indicando um discurso marcado por negações, interjeições e justificativas. Isso pode indicar uma estrutura argumentativa que enfatiza dificuldades, incertezas ou resistência diante de determinadas situações. A interconexão desses termos com outros verbos e substantivos reforça uma construção discursiva pautada na explicação e no contraste entre diferentes ideias. </w:t>
      </w:r>
      <w:r w:rsidRPr="0048710D">
        <w:lastRenderedPageBreak/>
        <w:t xml:space="preserve">Esse contraste mostra a pluralidade de ideias e pensamentos pautados no corpus. Assim, a análise de similitude permite organizar as ideias e relacionar os termos destacados. </w:t>
      </w:r>
    </w:p>
    <w:p w14:paraId="167FAFAD" w14:textId="05C19A0A" w:rsidR="004153F4" w:rsidRPr="0048710D" w:rsidRDefault="004153F4" w:rsidP="004153F4">
      <w:pPr>
        <w:pStyle w:val="ApaStyleGeneral"/>
        <w:ind w:firstLine="0"/>
        <w:rPr>
          <w:b/>
          <w:bCs/>
        </w:rPr>
      </w:pPr>
      <w:r w:rsidRPr="0048710D">
        <w:rPr>
          <w:b/>
          <w:bCs/>
        </w:rPr>
        <w:t xml:space="preserve">Figura </w:t>
      </w:r>
      <w:r w:rsidRPr="0048710D">
        <w:rPr>
          <w:b/>
          <w:bCs/>
        </w:rPr>
        <w:fldChar w:fldCharType="begin"/>
      </w:r>
      <w:r w:rsidRPr="0048710D">
        <w:rPr>
          <w:b/>
          <w:bCs/>
        </w:rPr>
        <w:instrText xml:space="preserve"> SEQ Figura \* ARABIC </w:instrText>
      </w:r>
      <w:r w:rsidRPr="0048710D">
        <w:rPr>
          <w:b/>
          <w:bCs/>
        </w:rPr>
        <w:fldChar w:fldCharType="separate"/>
      </w:r>
      <w:r w:rsidR="005435CC">
        <w:rPr>
          <w:b/>
          <w:bCs/>
          <w:noProof/>
        </w:rPr>
        <w:t>2</w:t>
      </w:r>
      <w:r w:rsidRPr="0048710D">
        <w:rPr>
          <w:b/>
          <w:bCs/>
        </w:rPr>
        <w:fldChar w:fldCharType="end"/>
      </w:r>
      <w:r w:rsidRPr="0048710D">
        <w:rPr>
          <w:b/>
          <w:bCs/>
        </w:rPr>
        <w:t xml:space="preserve"> </w:t>
      </w:r>
    </w:p>
    <w:p w14:paraId="3B2F619C" w14:textId="05B5475F" w:rsidR="004153F4" w:rsidRPr="0048710D" w:rsidRDefault="004153F4" w:rsidP="004153F4">
      <w:pPr>
        <w:pStyle w:val="ApaStyleGeneral"/>
        <w:ind w:firstLine="0"/>
        <w:rPr>
          <w:i/>
          <w:iCs/>
        </w:rPr>
      </w:pPr>
      <w:r w:rsidRPr="0048710D">
        <w:rPr>
          <w:i/>
          <w:iCs/>
        </w:rPr>
        <w:t>Análise de Similitude</w:t>
      </w:r>
    </w:p>
    <w:p w14:paraId="1375B3B8" w14:textId="77777777" w:rsidR="00D365DC" w:rsidRPr="0048710D" w:rsidRDefault="00D365DC" w:rsidP="00D365DC">
      <w:pPr>
        <w:spacing w:line="360" w:lineRule="auto"/>
        <w:jc w:val="both"/>
        <w:rPr>
          <w:rFonts w:asciiTheme="majorBidi" w:hAnsiTheme="majorBidi" w:cstheme="majorBidi"/>
        </w:rPr>
      </w:pPr>
      <w:r w:rsidRPr="0048710D">
        <w:rPr>
          <w:rFonts w:asciiTheme="majorBidi" w:hAnsiTheme="majorBidi" w:cstheme="majorBidi"/>
          <w:noProof/>
        </w:rPr>
        <w:drawing>
          <wp:inline distT="0" distB="0" distL="0" distR="0" wp14:anchorId="5E441DC3" wp14:editId="784DDCA0">
            <wp:extent cx="4320000" cy="4311562"/>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000" cy="4311562"/>
                    </a:xfrm>
                    <a:prstGeom prst="rect">
                      <a:avLst/>
                    </a:prstGeom>
                    <a:noFill/>
                    <a:ln>
                      <a:noFill/>
                    </a:ln>
                  </pic:spPr>
                </pic:pic>
              </a:graphicData>
            </a:graphic>
          </wp:inline>
        </w:drawing>
      </w:r>
    </w:p>
    <w:p w14:paraId="265DD466" w14:textId="2365EB4A" w:rsidR="00D365DC" w:rsidRPr="0048710D" w:rsidRDefault="00D365DC" w:rsidP="00074B65">
      <w:pPr>
        <w:pStyle w:val="ApaStyleGeneral"/>
      </w:pPr>
      <w:r w:rsidRPr="0048710D">
        <w:tab/>
        <w:t xml:space="preserve">A conexão com termos como “irmão”, “pai”, “sobrinho” e “filho” indica a forte presença de pautas voltadas às relações familiares no discurso, que envolve aspectos afetivos e interações interpessoais de forma negativa, relacionadas com o núcleo central “não”. Essas conexões expõem o teor negativo dado a essas relações e </w:t>
      </w:r>
      <w:r w:rsidR="00074B65" w:rsidRPr="0048710D">
        <w:t>à</w:t>
      </w:r>
      <w:r w:rsidRPr="0048710D">
        <w:t xml:space="preserve"> importância de se fazer uma análise mais aprofundada. Além disso, as ramificações como “morrer”, “problema” e “tempo” demonstram preocupações com situações da vida cotidiana e dificuldades enfrentadas vistas de forma negativa no corpus. As ramificações do núcleo negativo com ações e interações mostram a dificuldade em estabelecer uma mobilidade e comunicação durante as situações. </w:t>
      </w:r>
    </w:p>
    <w:p w14:paraId="78AA21A5" w14:textId="5B7E663A" w:rsidR="00D365DC" w:rsidRPr="0048710D" w:rsidRDefault="00D365DC" w:rsidP="00074B65">
      <w:pPr>
        <w:pStyle w:val="ApaStyleGeneral"/>
      </w:pPr>
      <w:r w:rsidRPr="0048710D">
        <w:t xml:space="preserve">A estrutura gráfica da rede semântica evidencia uma organização discursiva que alterna entre afirmações e negações, concretude e abstração. Esse padrão sugere que os discursos analisados são permeados por dilemas, preocupações e reflexões sobre diferentes aspectos da vida cotidiana. A presença de termos relacionados a problemas, família e comunicação pode indicar um foco narrativo voltado para desafios interpessoais e experiências subjetivas. </w:t>
      </w:r>
      <w:r w:rsidRPr="0048710D">
        <w:lastRenderedPageBreak/>
        <w:t>Ademais, essa análise aborda a velhice como um período de transição complexo, permeado por desafios, potencialidades e demandas específicas, permeado por tensões entre a aceitação e a resistência, a passividade e a ação, a individualidade e a sociabilidade.</w:t>
      </w:r>
      <w:r w:rsidR="00074B65" w:rsidRPr="0048710D">
        <w:t xml:space="preserve"> </w:t>
      </w:r>
    </w:p>
    <w:p w14:paraId="31D9B9EB" w14:textId="77777777" w:rsidR="00D365DC" w:rsidRPr="0048710D" w:rsidRDefault="00D365DC" w:rsidP="00DF24CC">
      <w:pPr>
        <w:pStyle w:val="APALevel1"/>
      </w:pPr>
      <w:r w:rsidRPr="0048710D">
        <w:t>Discussão</w:t>
      </w:r>
    </w:p>
    <w:p w14:paraId="08BE3355" w14:textId="77777777" w:rsidR="00D365DC" w:rsidRPr="0048710D" w:rsidRDefault="00D365DC" w:rsidP="00074B65">
      <w:pPr>
        <w:pStyle w:val="ApaStyleGeneral"/>
      </w:pPr>
      <w:r w:rsidRPr="0048710D">
        <w:t xml:space="preserve">O presente artigo buscou analisar o discurso de indivíduos com 60 anos ou mais residentes no Distrito Federal, buscando identificar as múltiplas dimensões que compõem o fenômeno complexo da solidão na velhice. A escolha por analisar o discurso de pessoas idosas se justifica pela necessidade de compreender a fundo as experiências e os significados atribuídos à solidão nessa fase da vida. Os resultados apresentados reforçam a presença de temáticas relacionadas à solidão no discurso dessas pessoas idosas e a necessidade de se fortalecer relações interpessoais e a autonomia do indivíduo nesse contexto. </w:t>
      </w:r>
    </w:p>
    <w:p w14:paraId="03C3F7E2" w14:textId="451808C0" w:rsidR="00D365DC" w:rsidRPr="0048710D" w:rsidRDefault="00D365DC" w:rsidP="00074B65">
      <w:pPr>
        <w:pStyle w:val="ApaStyleGeneral"/>
      </w:pPr>
      <w:r w:rsidRPr="0048710D">
        <w:t xml:space="preserve">Os resultados deste estudo revelam a complexa teia de fatores que moldam a experiência da solidão na velhice, ecoando e expandindo achados anteriores na literatura. A análise de agrupamentos de palavras-chave e a frequência com que emergem nos discursos dos participantes lança luz sobre a centralidade de temas como </w:t>
      </w:r>
      <w:r w:rsidR="00074B65" w:rsidRPr="0048710D">
        <w:t>“</w:t>
      </w:r>
      <w:r w:rsidRPr="0048710D">
        <w:t>Lidando com a Solidão</w:t>
      </w:r>
      <w:r w:rsidR="00074B65" w:rsidRPr="0048710D">
        <w:t>”</w:t>
      </w:r>
      <w:r w:rsidRPr="0048710D">
        <w:t xml:space="preserve"> (Classe V), </w:t>
      </w:r>
      <w:r w:rsidR="00074B65" w:rsidRPr="0048710D">
        <w:t>“</w:t>
      </w:r>
      <w:r w:rsidRPr="0048710D">
        <w:t>Rede de Apoio</w:t>
      </w:r>
      <w:r w:rsidR="00074B65" w:rsidRPr="0048710D">
        <w:t>”</w:t>
      </w:r>
      <w:r w:rsidRPr="0048710D">
        <w:t xml:space="preserve"> (Classe IV) e </w:t>
      </w:r>
      <w:r w:rsidR="00074B65" w:rsidRPr="0048710D">
        <w:t>“</w:t>
      </w:r>
      <w:r w:rsidRPr="0048710D">
        <w:t>Atividades Cotidianas</w:t>
      </w:r>
      <w:r w:rsidR="00074B65" w:rsidRPr="0048710D">
        <w:t>”</w:t>
      </w:r>
      <w:r w:rsidRPr="0048710D">
        <w:t xml:space="preserve"> (Classe II). A busca por estratégias para mitigar o sentimento de solidão perpassa tanto a esfera individual, com o desenvolvimento de mecanismos de enfrentamento e a reconfiguração de rotinas, quanto a esfera social, com a valorização das relações interpessoais e a participação em atividades prazerosas.</w:t>
      </w:r>
      <w:r w:rsidR="00074B65" w:rsidRPr="0048710D">
        <w:t xml:space="preserve"> </w:t>
      </w:r>
    </w:p>
    <w:p w14:paraId="10094ED4" w14:textId="30723A67" w:rsidR="00D365DC" w:rsidRPr="0048710D" w:rsidRDefault="00D365DC" w:rsidP="00074B65">
      <w:pPr>
        <w:pStyle w:val="ApaStyleGeneral"/>
      </w:pPr>
      <w:r w:rsidRPr="0048710D">
        <w:t xml:space="preserve">A dificuldade em </w:t>
      </w:r>
      <w:r w:rsidR="00074B65" w:rsidRPr="0048710D">
        <w:t>“</w:t>
      </w:r>
      <w:r w:rsidRPr="0048710D">
        <w:t>Precisar e Aceitar Ajuda</w:t>
      </w:r>
      <w:r w:rsidR="00074B65" w:rsidRPr="0048710D">
        <w:t>”</w:t>
      </w:r>
      <w:r w:rsidRPr="0048710D">
        <w:t xml:space="preserve"> (Classes I e III) surge como um ponto nevrálgico, revelando a ambivalência presente no discurso dos idosos. Se, por um lado, a autonomia e a independência são valores caros a essa população, por outro, o reconhecimento da necessidade de auxílio e a aceitação do cuidado podem ser vistas como um reconhecimento da própria vulnerabilidade.</w:t>
      </w:r>
      <w:r w:rsidR="00074B65" w:rsidRPr="0048710D">
        <w:t xml:space="preserve"> </w:t>
      </w:r>
    </w:p>
    <w:p w14:paraId="5021D78F" w14:textId="5704C991" w:rsidR="00D365DC" w:rsidRPr="0048710D" w:rsidRDefault="00D365DC" w:rsidP="00074B65">
      <w:pPr>
        <w:pStyle w:val="ApaStyleGeneral"/>
      </w:pPr>
      <w:r w:rsidRPr="0048710D">
        <w:t>Ao analisar a esfera individual, observa-se que a falta de dinamismo na rotina contribui para a sensação de monotonia, manifestando-se em um discurso marcado pelo tédio e pela desesperança. Palavras como “dormir” e “aguentar”, fortemente associadas ao núcleo central negativo da rede, evidenciam uma percepção de imobilidade e a negação da possibilidade de mudança. Esse padrão discursivo pode ser relacionado ao conceito de autoeficácia, a crença do indivíduo em sua capacidade de alcançar objetivos e enfrentar desafios. Alguns estudos (</w:t>
      </w:r>
      <w:r w:rsidR="00074B65" w:rsidRPr="0048710D">
        <w:t xml:space="preserve">Assunção et al., 2022; </w:t>
      </w:r>
      <w:r w:rsidRPr="0048710D">
        <w:t>Martinez et al., 2018) indicam que a baixa autoeficácia está associada a diversos aspectos da velhice, incluindo a depressão e a sensação de impotência diante da própria realidade. Assim, a ausência de expectativas de transformação no discurso pode refletir um estado psicológico caracterizado por baixa autoeficácia ao lidar com a solidão.</w:t>
      </w:r>
      <w:r w:rsidR="00074B65" w:rsidRPr="0048710D">
        <w:t xml:space="preserve"> </w:t>
      </w:r>
    </w:p>
    <w:p w14:paraId="3D5759CC" w14:textId="6F417B69" w:rsidR="00D365DC" w:rsidRPr="0048710D" w:rsidRDefault="00D365DC" w:rsidP="00074B65">
      <w:pPr>
        <w:pStyle w:val="ApaStyleGeneral"/>
      </w:pPr>
      <w:r w:rsidRPr="0048710D">
        <w:lastRenderedPageBreak/>
        <w:t xml:space="preserve">Além disso, os resultados apresentados corroboram com o estudo de Ferreira </w:t>
      </w:r>
      <w:r w:rsidR="00074B65" w:rsidRPr="0048710D">
        <w:t>e</w:t>
      </w:r>
      <w:r w:rsidRPr="0048710D">
        <w:t xml:space="preserve"> Casemiro (2021), que encontraram uma correlação negativa entre a solidão e a prática de atividades prazerosas. O estudo também explicitou uma correlação positiva entre solidão e sintomas depressivos, o que foi visto na presente análise com discursos de tristeza, dificuldade em se relacionar e falta de energia. </w:t>
      </w:r>
    </w:p>
    <w:p w14:paraId="5B1CC093" w14:textId="7E73529A" w:rsidR="00D365DC" w:rsidRPr="0048710D" w:rsidRDefault="00D365DC" w:rsidP="00074B65">
      <w:pPr>
        <w:pStyle w:val="ApaStyleGeneral"/>
      </w:pPr>
      <w:r w:rsidRPr="0048710D">
        <w:tab/>
        <w:t xml:space="preserve">A rede de apoio, caracterizada pelo envolvimento de outras pessoas no auxílio de atividades diárias, mostrou-se uma importante dimensão da solidão no discurso analisado. Assim, a privação de relacionamento com outras pessoas e o baixo envolvimento com familiares são alguns dos principais fatores que levam ao sentimento de solidão. Esse estudo também destacou o estado civil como fator importante para esse construto, o que pode ser ponderado na presente amostra, que conta com 100% dos participantes solteiros ou viúvos e corrobora com os resultados de De Lima et al. (2024). A relação entre as </w:t>
      </w:r>
      <w:r w:rsidR="00074B65" w:rsidRPr="0048710D">
        <w:t>C</w:t>
      </w:r>
      <w:r w:rsidRPr="0048710D">
        <w:t xml:space="preserve">lasses IV e V explicita a forma como a rede de apoio atua ao lidar com a solidão e, envoltas pelo discurso negativo exposto na </w:t>
      </w:r>
      <w:r w:rsidR="00074B65" w:rsidRPr="0048710D">
        <w:t>a</w:t>
      </w:r>
      <w:r w:rsidRPr="0048710D">
        <w:t xml:space="preserve">nálise de </w:t>
      </w:r>
      <w:r w:rsidR="00074B65" w:rsidRPr="0048710D">
        <w:t>s</w:t>
      </w:r>
      <w:r w:rsidRPr="0048710D">
        <w:t>imilitude, conclui-se que a falta de uma rede de apoio fortificada é uma barreira para lidar com sentimentos negativos do dia a dia.</w:t>
      </w:r>
      <w:r w:rsidR="00074B65" w:rsidRPr="0048710D">
        <w:t xml:space="preserve"> </w:t>
      </w:r>
    </w:p>
    <w:p w14:paraId="79149C98" w14:textId="5E4ED7E4" w:rsidR="00D365DC" w:rsidRPr="0048710D" w:rsidRDefault="00D365DC" w:rsidP="00074B65">
      <w:pPr>
        <w:pStyle w:val="ApaStyleGeneral"/>
      </w:pPr>
      <w:r w:rsidRPr="0048710D">
        <w:tab/>
        <w:t>É importante destacar que a família não foi a única forma de rede de apoio observada nos relatos. Apesar de a literatura destacar a família como a principal rede de apoio (Maia et al., 2016; Rodrigues et al., 2024), foi visto que, na sua ausência, vizinhos, profissionais da saúde e amigos exercem um papel importante no combate à solidão. Em muitas situações, essas pessoas são de mais fácil acesso, o que permite a conexão e trocas em momentos diários.</w:t>
      </w:r>
      <w:r w:rsidR="004D2C26" w:rsidRPr="0048710D">
        <w:t xml:space="preserve"> </w:t>
      </w:r>
    </w:p>
    <w:p w14:paraId="26C86137" w14:textId="086520C0" w:rsidR="00D365DC" w:rsidRPr="0048710D" w:rsidRDefault="00D365DC" w:rsidP="00074B65">
      <w:pPr>
        <w:pStyle w:val="ApaStyleGeneral"/>
      </w:pPr>
      <w:r w:rsidRPr="0048710D">
        <w:tab/>
        <w:t xml:space="preserve">Durante a análise, foi explicitado os aspectos cotidianos que evidenciam e potencializam a solidão nos participantes do estudo. Com a exceção de um, todos os participantes residem sozinhos, e as atividades cotidianas se mostraram interligadas à experiência de solitude, contextualizando as relações que as pessoas idosas mantêm. Essas relações desempenham um papel fundamental na comunicação e no suporte às pessoas idosas, e a tentativa de manutenção dessas configura como parte importante do seu cotidiano. Esses resultados vão </w:t>
      </w:r>
      <w:r w:rsidR="006F68B6">
        <w:t>a</w:t>
      </w:r>
      <w:r w:rsidRPr="0048710D">
        <w:t xml:space="preserve"> encontro </w:t>
      </w:r>
      <w:r w:rsidR="006F68B6">
        <w:t xml:space="preserve">de </w:t>
      </w:r>
      <w:r w:rsidRPr="0048710D">
        <w:t>estudos que discutem os discursos desse público que reside sozinho e apresentaram como essa experiência é modulada pela necessidade do outro, destacando a importância da manutenção de laços para a prevenção da solidão (</w:t>
      </w:r>
      <w:r w:rsidR="004D2C26" w:rsidRPr="0048710D">
        <w:t xml:space="preserve">Almeida et al., 2021; </w:t>
      </w:r>
      <w:r w:rsidRPr="0048710D">
        <w:t>Kawakami et al., 2020).</w:t>
      </w:r>
      <w:r w:rsidR="004D2C26" w:rsidRPr="0048710D">
        <w:t xml:space="preserve"> </w:t>
      </w:r>
    </w:p>
    <w:p w14:paraId="70464754" w14:textId="77777777" w:rsidR="00D365DC" w:rsidRPr="0048710D" w:rsidRDefault="00D365DC" w:rsidP="00074B65">
      <w:pPr>
        <w:pStyle w:val="ApaStyleGeneral"/>
      </w:pPr>
      <w:r w:rsidRPr="0048710D">
        <w:tab/>
        <w:t xml:space="preserve">Também presente no discurso está a fragmentação do ambiente social, além do isolamento social da pessoa idosa, gerando sentimentos de vulnerabilidade (Cassol et al., 2023). Essa vulnerabilidade e dependência no outro são temáticas presentes no decorrer de toda análise e, nesse contexto, se explicitam nessa dificuldade na criação e manutenção de laços. Essa </w:t>
      </w:r>
      <w:r w:rsidRPr="0048710D">
        <w:lastRenderedPageBreak/>
        <w:t xml:space="preserve">questão é especialmente presente para a pessoa idosa que mora sozinha, devido a dificuldades de sair de casa (Sandy et al., 2023) e, no caso dos participantes do atual estudo, reforçada por uma relutância em pedir ajuda e medo de incomodar os outros. </w:t>
      </w:r>
    </w:p>
    <w:p w14:paraId="42D7BB96" w14:textId="22382DCE" w:rsidR="00D365DC" w:rsidRPr="0048710D" w:rsidRDefault="00D365DC" w:rsidP="00074B65">
      <w:pPr>
        <w:pStyle w:val="ApaStyleGeneral"/>
      </w:pPr>
      <w:r w:rsidRPr="0048710D">
        <w:tab/>
        <w:t>A temática presente na ambivalência entre precisar de ajuda e a dificuldade de aceitar pedir ajuda é constante no discurso dos participantes do estudo. As pessoas idosas manifestaram dificuldade em aceitar o apoio de familiares e amigos, interligando a necessidade de ajuda e a dependência em outras pessoas. Essa dependência em relação ao outro, seja por fatores fisiológicos ou psicossociais, é percebida como uma ameaça à autonomia (Teo et al., 2022), uma vez que esta última está intimamente vinculada à funcionalidade global e à liberdade de realizar as atividades cotidianas (Gomes et al., 2021).</w:t>
      </w:r>
      <w:r w:rsidR="004D2C26" w:rsidRPr="0048710D">
        <w:t xml:space="preserve"> </w:t>
      </w:r>
      <w:r w:rsidRPr="0048710D">
        <w:t>Esses padrões de dificuldade de buscar ajuda, além de sentimentos negativos interligados ao impedimento de ajudar os outros são observados na literatura (</w:t>
      </w:r>
      <w:r w:rsidR="001B436E" w:rsidRPr="0048710D">
        <w:t xml:space="preserve">G. A. D. </w:t>
      </w:r>
      <w:r w:rsidRPr="0048710D">
        <w:t>Souza et al., 20</w:t>
      </w:r>
      <w:r w:rsidR="001B436E" w:rsidRPr="0048710D">
        <w:t>22</w:t>
      </w:r>
      <w:r w:rsidRPr="0048710D">
        <w:t xml:space="preserve">; </w:t>
      </w:r>
      <w:r w:rsidR="001B436E" w:rsidRPr="0048710D">
        <w:t xml:space="preserve">R. F. D. </w:t>
      </w:r>
      <w:r w:rsidRPr="0048710D">
        <w:t>Souza et al., 20</w:t>
      </w:r>
      <w:r w:rsidR="001B436E" w:rsidRPr="0048710D">
        <w:t>07</w:t>
      </w:r>
      <w:r w:rsidRPr="0048710D">
        <w:t>).</w:t>
      </w:r>
      <w:r w:rsidR="004D2C26" w:rsidRPr="0048710D">
        <w:t xml:space="preserve"> </w:t>
      </w:r>
    </w:p>
    <w:p w14:paraId="69444EF1" w14:textId="43110180" w:rsidR="00D365DC" w:rsidRPr="0048710D" w:rsidRDefault="00D365DC" w:rsidP="00074B65">
      <w:pPr>
        <w:pStyle w:val="ApaStyleGeneral"/>
      </w:pPr>
      <w:r w:rsidRPr="0048710D">
        <w:t>A aceitação dessa ajuda é, porém, essencial no processo de envelhecimento, e no discurso dos participantes está evidente a compreensão da inevitabilidade dessa dinâmica. Estudos apontam o suporte social como um fator positivo para a manutenção da autonomia na pessoa idosa (Gomes et al., 2021</w:t>
      </w:r>
      <w:r w:rsidR="005447A5" w:rsidRPr="0048710D">
        <w:t xml:space="preserve">; </w:t>
      </w:r>
      <w:r w:rsidR="005447A5" w:rsidRPr="0048710D">
        <w:rPr>
          <w:highlight w:val="white"/>
        </w:rPr>
        <w:t>Wichmann et al., 2013</w:t>
      </w:r>
      <w:r w:rsidRPr="0048710D">
        <w:t>), ressaltando a importância de estimular não apenas um contato social, mas uma interação social voltada para o fortalecimento da independência. Desenvolvendo, desta forma, um apoio que permite a manifestação de individualidade da pessoa idosa, sem a imposição de uma ajuda mas com uma construção mútua desse contato. Visando minimizar esse efeito de incômodo e a sensação de imposição relatado no presente estudo e anteriores na âmbito nacional e internacional(</w:t>
      </w:r>
      <w:r w:rsidR="005447A5" w:rsidRPr="0048710D">
        <w:t xml:space="preserve">Frost et al., 2020; </w:t>
      </w:r>
      <w:r w:rsidRPr="0048710D">
        <w:t>Wi</w:t>
      </w:r>
      <w:r w:rsidR="006F68B6">
        <w:t>c</w:t>
      </w:r>
      <w:r w:rsidRPr="0048710D">
        <w:t>hmann et al, 2013).</w:t>
      </w:r>
      <w:r w:rsidR="005447A5" w:rsidRPr="0048710D">
        <w:t xml:space="preserve"> </w:t>
      </w:r>
    </w:p>
    <w:p w14:paraId="7C957180" w14:textId="77777777" w:rsidR="00D365DC" w:rsidRPr="0048710D" w:rsidRDefault="00D365DC" w:rsidP="00DF24CC">
      <w:pPr>
        <w:pStyle w:val="APALevel1"/>
      </w:pPr>
      <w:r w:rsidRPr="0048710D">
        <w:t>Considerações Finais</w:t>
      </w:r>
    </w:p>
    <w:p w14:paraId="0C3048AB" w14:textId="5C7C9444" w:rsidR="00D365DC" w:rsidRPr="0048710D" w:rsidRDefault="00D365DC" w:rsidP="004E02AD">
      <w:pPr>
        <w:pStyle w:val="ApaStyleGeneral"/>
      </w:pPr>
      <w:r w:rsidRPr="0048710D">
        <w:t>A interação entre os diferentes temas analisados nos permite traçar um panorama multifacetado da solidão na velhice, que se configura como um fenômeno complexo e multifatorial, influenciado por aspectos individuais, sociais e culturais. Os dados aqui apresentados evidenciam a importância de uma abordagem integrada e interdisciplinar para o enfrentamento da solidão, que considere tanto as necessidades individuais quanto as demandas sociais e culturais dessa população.</w:t>
      </w:r>
      <w:r w:rsidR="004E02AD" w:rsidRPr="0048710D">
        <w:t xml:space="preserve"> </w:t>
      </w:r>
    </w:p>
    <w:p w14:paraId="715EF913" w14:textId="77777777" w:rsidR="004E02AD" w:rsidRPr="0048710D" w:rsidRDefault="00D365DC" w:rsidP="004E02AD">
      <w:pPr>
        <w:pStyle w:val="ApaStyleGeneral"/>
      </w:pPr>
      <w:r w:rsidRPr="0048710D">
        <w:t xml:space="preserve">Este estudo contribui para o aprofundamento sobre a temática, oferecendo reflexões valiosas para uma melhor compreensão desse fenômeno nessa etapa da vida. Os resultados sugerem a necessidade de ações que promovam a resiliência individual, o fortalecimento de redes de apoio social de qualidade e a criação de oportunidades para a participação social e o engajamento em atividades significativas. Entre as limitações destaca-se a homogeneidade da </w:t>
      </w:r>
      <w:r w:rsidRPr="0048710D">
        <w:lastRenderedPageBreak/>
        <w:t xml:space="preserve">amostra e uma análise implicada “apenas” em questões psicológicas e em um estudo que não buscava previamente uma análise desse fenômeno. </w:t>
      </w:r>
    </w:p>
    <w:p w14:paraId="336083B1" w14:textId="1A354D50" w:rsidR="00D365DC" w:rsidRPr="0048710D" w:rsidRDefault="00D365DC" w:rsidP="004E02AD">
      <w:pPr>
        <w:pStyle w:val="ApaStyleGeneral"/>
      </w:pPr>
      <w:r w:rsidRPr="0048710D">
        <w:t xml:space="preserve">Considerando a complexidade do tema e as limitações deste estudo, sugere-se que pesquisas futuras explorem: </w:t>
      </w:r>
      <w:r w:rsidR="004E02AD" w:rsidRPr="0048710D">
        <w:t>(</w:t>
      </w:r>
      <w:r w:rsidRPr="0048710D">
        <w:t xml:space="preserve">a) a influência de fatores como gênero, raça, classe social e nível de escolaridade na experiência da solidão na velhice; </w:t>
      </w:r>
      <w:r w:rsidR="004E02AD" w:rsidRPr="0048710D">
        <w:t>(</w:t>
      </w:r>
      <w:r w:rsidRPr="0048710D">
        <w:t xml:space="preserve">b) a relação entre solidão e outras condições de saúde física e mental na população idosa; e </w:t>
      </w:r>
      <w:r w:rsidR="004E02AD" w:rsidRPr="0048710D">
        <w:t>(</w:t>
      </w:r>
      <w:r w:rsidRPr="0048710D">
        <w:t>c) proposições de intervenções com esse público, com o objetivo de mitigar a solidão na velhice, como por exemplo: programas de apoio social, atividades em grupo e acompanhamento individualizado. Destacando que o combate à solidão na velhice é um desafio urgente e que requer o envolvimento mais proeminente da academia e de toda a sociedade.</w:t>
      </w:r>
      <w:r w:rsidR="004E02AD" w:rsidRPr="0048710D">
        <w:t xml:space="preserve"> </w:t>
      </w:r>
    </w:p>
    <w:p w14:paraId="18A8E04A" w14:textId="77777777" w:rsidR="00D365DC" w:rsidRPr="0048710D" w:rsidRDefault="00D365DC" w:rsidP="004E02AD">
      <w:pPr>
        <w:pStyle w:val="ApaStyleGeneral"/>
      </w:pPr>
      <w:r w:rsidRPr="0048710D">
        <w:br w:type="page"/>
      </w:r>
    </w:p>
    <w:p w14:paraId="21B13932" w14:textId="77777777" w:rsidR="00D365DC" w:rsidRPr="0048710D" w:rsidRDefault="00D365DC" w:rsidP="00DF24CC">
      <w:pPr>
        <w:pStyle w:val="APALevel1"/>
      </w:pPr>
      <w:r w:rsidRPr="0048710D">
        <w:lastRenderedPageBreak/>
        <w:t>Referências</w:t>
      </w:r>
    </w:p>
    <w:p w14:paraId="26EC037D" w14:textId="3814FCA8" w:rsidR="00D365DC" w:rsidRDefault="00D365DC" w:rsidP="004E02AD">
      <w:pPr>
        <w:pStyle w:val="APARefs"/>
      </w:pPr>
      <w:r w:rsidRPr="0048710D">
        <w:t xml:space="preserve">Afonso, R. M., Pereira, H., &amp; Patto, M. A. V. (2019). Solidão e sintomatologia depressiva na velhice. </w:t>
      </w:r>
      <w:r w:rsidRPr="0048710D">
        <w:rPr>
          <w:i/>
          <w:iCs/>
        </w:rPr>
        <w:t>Análise Psicológica</w:t>
      </w:r>
      <w:r w:rsidRPr="0048710D">
        <w:t xml:space="preserve">, </w:t>
      </w:r>
      <w:r w:rsidRPr="0048710D">
        <w:rPr>
          <w:i/>
          <w:iCs/>
        </w:rPr>
        <w:t>37</w:t>
      </w:r>
      <w:r w:rsidRPr="0048710D">
        <w:t>(1), 209</w:t>
      </w:r>
      <w:r w:rsidR="00DF24CC" w:rsidRPr="0048710D">
        <w:t>–</w:t>
      </w:r>
      <w:r w:rsidRPr="0048710D">
        <w:t xml:space="preserve">222. </w:t>
      </w:r>
      <w:hyperlink r:id="rId12" w:history="1">
        <w:r w:rsidR="0048710D" w:rsidRPr="00074E98">
          <w:rPr>
            <w:rStyle w:val="Lienhypertexte"/>
          </w:rPr>
          <w:t>https://doi.org/10.14417/ap.1549</w:t>
        </w:r>
      </w:hyperlink>
    </w:p>
    <w:p w14:paraId="474EA176" w14:textId="29D87FA4" w:rsidR="00D365DC" w:rsidRDefault="00D365DC" w:rsidP="004E02AD">
      <w:pPr>
        <w:pStyle w:val="APARefs"/>
      </w:pPr>
      <w:r w:rsidRPr="0048710D">
        <w:t>Almeida, P. K. P. D., Sena, R. M. D. C., Pessoa, J. M.,</w:t>
      </w:r>
      <w:r w:rsidR="004E02AD" w:rsidRPr="0048710D">
        <w:t xml:space="preserve"> Jr.,</w:t>
      </w:r>
      <w:r w:rsidRPr="0048710D">
        <w:t xml:space="preserve"> Dantas, J. L. D. L., Trigueiro, J. G., &amp; Nascimento, E. G. C. D. (2021). Vivências de pessoas idosas que moram sozinhas: </w:t>
      </w:r>
      <w:r w:rsidR="00DF24CC" w:rsidRPr="0048710D">
        <w:t>A</w:t>
      </w:r>
      <w:r w:rsidRPr="0048710D">
        <w:t xml:space="preserve">rranjos, escolhas e desafios. </w:t>
      </w:r>
      <w:r w:rsidRPr="0048710D">
        <w:rPr>
          <w:i/>
          <w:iCs/>
        </w:rPr>
        <w:t>Revista Brasileira de Geriatria e Gerontologia</w:t>
      </w:r>
      <w:r w:rsidRPr="0048710D">
        <w:t xml:space="preserve">, </w:t>
      </w:r>
      <w:r w:rsidRPr="0048710D">
        <w:rPr>
          <w:i/>
          <w:iCs/>
        </w:rPr>
        <w:t>23</w:t>
      </w:r>
      <w:r w:rsidRPr="0048710D">
        <w:t xml:space="preserve">, </w:t>
      </w:r>
      <w:r w:rsidR="00DF24CC" w:rsidRPr="0048710D">
        <w:t xml:space="preserve">Article </w:t>
      </w:r>
      <w:r w:rsidRPr="0048710D">
        <w:t>e200225.</w:t>
      </w:r>
      <w:r w:rsidR="00DF24CC" w:rsidRPr="0048710D">
        <w:t xml:space="preserve"> </w:t>
      </w:r>
      <w:hyperlink r:id="rId13" w:history="1">
        <w:r w:rsidR="0048710D" w:rsidRPr="00074E98">
          <w:rPr>
            <w:rStyle w:val="Lienhypertexte"/>
          </w:rPr>
          <w:t>https://doi.org/10.1590/1981-22562020023.200225</w:t>
        </w:r>
      </w:hyperlink>
    </w:p>
    <w:p w14:paraId="2E94F78C" w14:textId="663C831E" w:rsidR="00D365DC" w:rsidRDefault="00D365DC" w:rsidP="004E02AD">
      <w:pPr>
        <w:pStyle w:val="APARefs"/>
      </w:pPr>
      <w:r w:rsidRPr="0048710D">
        <w:t xml:space="preserve">Ansara, S., &amp; Dantas, B. S. do A. (2010). Intervenções psicossociais na comunidade: </w:t>
      </w:r>
      <w:r w:rsidR="00DF24CC" w:rsidRPr="0048710D">
        <w:t>D</w:t>
      </w:r>
      <w:r w:rsidRPr="0048710D">
        <w:t xml:space="preserve">esafios e práticas. </w:t>
      </w:r>
      <w:r w:rsidRPr="0048710D">
        <w:rPr>
          <w:i/>
          <w:iCs/>
        </w:rPr>
        <w:t>Psicologia &amp; Sociedade</w:t>
      </w:r>
      <w:r w:rsidRPr="0048710D">
        <w:t xml:space="preserve">, </w:t>
      </w:r>
      <w:r w:rsidRPr="0048710D">
        <w:rPr>
          <w:i/>
          <w:iCs/>
        </w:rPr>
        <w:t>22</w:t>
      </w:r>
      <w:r w:rsidRPr="0048710D">
        <w:t xml:space="preserve">(1), 95–103. </w:t>
      </w:r>
      <w:hyperlink r:id="rId14" w:history="1">
        <w:r w:rsidR="0048710D" w:rsidRPr="00074E98">
          <w:rPr>
            <w:rStyle w:val="Lienhypertexte"/>
          </w:rPr>
          <w:t>https://doi.org/10.1590/S0102-71822010000100012</w:t>
        </w:r>
      </w:hyperlink>
    </w:p>
    <w:p w14:paraId="23E97ADF" w14:textId="4F2D8877" w:rsidR="00D365DC" w:rsidRDefault="00D365DC" w:rsidP="004E02AD">
      <w:pPr>
        <w:pStyle w:val="APARefs"/>
      </w:pPr>
      <w:r w:rsidRPr="0048710D">
        <w:t xml:space="preserve">Assunção, J. L. A., de Melo, G. F., Rocha, F. de S., &amp; Chariglione, I. P. F. S. (2022). Autoeficácia e desenvolvimento pessoal: </w:t>
      </w:r>
      <w:r w:rsidR="00DF24CC" w:rsidRPr="0048710D">
        <w:t>U</w:t>
      </w:r>
      <w:r w:rsidRPr="0048710D">
        <w:t xml:space="preserve">m estudo sobre o envelhecimento neurocognitivo / Self-efficacy and personal development: </w:t>
      </w:r>
      <w:r w:rsidR="00DF24CC" w:rsidRPr="0048710D">
        <w:t>A</w:t>
      </w:r>
      <w:r w:rsidRPr="0048710D">
        <w:t xml:space="preserve"> study on neurocognitive aging. </w:t>
      </w:r>
      <w:r w:rsidRPr="0048710D">
        <w:rPr>
          <w:i/>
          <w:iCs/>
        </w:rPr>
        <w:t>Brazilian Journal of Development</w:t>
      </w:r>
      <w:r w:rsidRPr="0048710D">
        <w:t xml:space="preserve">, </w:t>
      </w:r>
      <w:r w:rsidRPr="0048710D">
        <w:rPr>
          <w:i/>
          <w:iCs/>
        </w:rPr>
        <w:t>8</w:t>
      </w:r>
      <w:r w:rsidRPr="0048710D">
        <w:t xml:space="preserve">(3), 22295–22311. </w:t>
      </w:r>
      <w:hyperlink r:id="rId15" w:history="1">
        <w:r w:rsidR="0048710D" w:rsidRPr="00074E98">
          <w:rPr>
            <w:rStyle w:val="Lienhypertexte"/>
          </w:rPr>
          <w:t>https://doi.org/10.34117/bjdv8n3-430</w:t>
        </w:r>
      </w:hyperlink>
    </w:p>
    <w:p w14:paraId="22D3E54E" w14:textId="56954E5A" w:rsidR="004E02AD" w:rsidRDefault="004E02AD" w:rsidP="004E02AD">
      <w:pPr>
        <w:pStyle w:val="APARefs"/>
      </w:pPr>
      <w:r w:rsidRPr="0048710D">
        <w:t xml:space="preserve">Brucki, S. M. D., Nitrini, R., Caramelli, P., Bertolucci, P. H. F., &amp; Okamoto, I. H. (2003). Sugestões para o uso do Mini-Exame do Estado Mental no Brasil. </w:t>
      </w:r>
      <w:r w:rsidRPr="0048710D">
        <w:rPr>
          <w:i/>
          <w:iCs/>
        </w:rPr>
        <w:t>Arquivos de Neuropsiquiatria</w:t>
      </w:r>
      <w:r w:rsidRPr="0048710D">
        <w:t xml:space="preserve">, </w:t>
      </w:r>
      <w:r w:rsidRPr="0048710D">
        <w:rPr>
          <w:i/>
          <w:iCs/>
        </w:rPr>
        <w:t>61</w:t>
      </w:r>
      <w:r w:rsidRPr="0048710D">
        <w:t xml:space="preserve">(3-B), 777–781. </w:t>
      </w:r>
      <w:hyperlink r:id="rId16" w:history="1">
        <w:r w:rsidR="0048710D" w:rsidRPr="00074E98">
          <w:rPr>
            <w:rStyle w:val="Lienhypertexte"/>
          </w:rPr>
          <w:t>https://doi.org/10.1590/S0004-282X2003000500014</w:t>
        </w:r>
      </w:hyperlink>
    </w:p>
    <w:p w14:paraId="6C6389CF" w14:textId="2122DA36" w:rsidR="00D365DC" w:rsidRDefault="00D365DC" w:rsidP="004E02AD">
      <w:pPr>
        <w:pStyle w:val="APARefs"/>
      </w:pPr>
      <w:r w:rsidRPr="0048710D">
        <w:t xml:space="preserve">Cassol, P. B., Garcia, E. L., &amp; de Lima, S. B. S. (2023). Envelhecimento e solidão: </w:t>
      </w:r>
      <w:r w:rsidR="004E02AD" w:rsidRPr="0048710D">
        <w:t>N</w:t>
      </w:r>
      <w:r w:rsidRPr="0048710D">
        <w:t xml:space="preserve">arrativas de idosos não institucionalizados. </w:t>
      </w:r>
      <w:r w:rsidRPr="0048710D">
        <w:rPr>
          <w:i/>
          <w:iCs/>
        </w:rPr>
        <w:t>Revista Enfermagem Atual In Derme</w:t>
      </w:r>
      <w:r w:rsidRPr="0048710D">
        <w:t xml:space="preserve">, </w:t>
      </w:r>
      <w:r w:rsidRPr="0048710D">
        <w:rPr>
          <w:i/>
          <w:iCs/>
        </w:rPr>
        <w:t>97</w:t>
      </w:r>
      <w:r w:rsidRPr="0048710D">
        <w:t xml:space="preserve">(1), </w:t>
      </w:r>
      <w:r w:rsidR="004E02AD" w:rsidRPr="0048710D">
        <w:t xml:space="preserve">Article </w:t>
      </w:r>
      <w:r w:rsidRPr="0048710D">
        <w:t xml:space="preserve">e023012. </w:t>
      </w:r>
      <w:hyperlink r:id="rId17" w:history="1">
        <w:r w:rsidR="0048710D" w:rsidRPr="00074E98">
          <w:rPr>
            <w:rStyle w:val="Lienhypertexte"/>
          </w:rPr>
          <w:t>https://doi.org/10.31011/reaid-2023-v.97-n.1-art.1442</w:t>
        </w:r>
      </w:hyperlink>
    </w:p>
    <w:p w14:paraId="41AAC9BA" w14:textId="12B77531" w:rsidR="00D365DC" w:rsidRDefault="00D365DC" w:rsidP="004E02AD">
      <w:pPr>
        <w:pStyle w:val="APARefs"/>
      </w:pPr>
      <w:r w:rsidRPr="0048710D">
        <w:t xml:space="preserve">Colombo, D. H., &amp; Brognoli, M. de O. (2024). Sozinho e não acompanhado: </w:t>
      </w:r>
      <w:r w:rsidR="004E02AD" w:rsidRPr="0048710D">
        <w:t>U</w:t>
      </w:r>
      <w:r w:rsidRPr="0048710D">
        <w:t xml:space="preserve">m estudo da solidão na perspectiva contemporânea. </w:t>
      </w:r>
      <w:r w:rsidRPr="0048710D">
        <w:rPr>
          <w:i/>
          <w:iCs/>
        </w:rPr>
        <w:t>Caderno Pedagógico</w:t>
      </w:r>
      <w:r w:rsidRPr="0048710D">
        <w:t xml:space="preserve">, </w:t>
      </w:r>
      <w:r w:rsidRPr="0048710D">
        <w:rPr>
          <w:i/>
          <w:iCs/>
        </w:rPr>
        <w:t>21</w:t>
      </w:r>
      <w:r w:rsidRPr="0048710D">
        <w:t>(9),</w:t>
      </w:r>
      <w:r w:rsidR="004E02AD" w:rsidRPr="0048710D">
        <w:t xml:space="preserve"> Article</w:t>
      </w:r>
      <w:r w:rsidRPr="0048710D">
        <w:t xml:space="preserve"> e7683. </w:t>
      </w:r>
      <w:hyperlink r:id="rId18" w:history="1">
        <w:r w:rsidR="0048710D" w:rsidRPr="00074E98">
          <w:rPr>
            <w:rStyle w:val="Lienhypertexte"/>
          </w:rPr>
          <w:t>https://doi.org/10.54033/cadpedv21n9-097</w:t>
        </w:r>
      </w:hyperlink>
    </w:p>
    <w:p w14:paraId="21C08979" w14:textId="060FB11D" w:rsidR="00D365DC" w:rsidRPr="0048710D" w:rsidRDefault="00D365DC" w:rsidP="004E02AD">
      <w:pPr>
        <w:pStyle w:val="APARefs"/>
      </w:pPr>
      <w:r w:rsidRPr="0048710D">
        <w:t>Costa, P.</w:t>
      </w:r>
      <w:r w:rsidR="004E02AD" w:rsidRPr="0048710D">
        <w:t xml:space="preserve"> </w:t>
      </w:r>
      <w:r w:rsidRPr="0048710D">
        <w:t>H.</w:t>
      </w:r>
      <w:r w:rsidR="004E02AD" w:rsidRPr="0048710D">
        <w:t xml:space="preserve"> </w:t>
      </w:r>
      <w:r w:rsidRPr="0048710D">
        <w:t>A.</w:t>
      </w:r>
      <w:r w:rsidR="004E02AD" w:rsidRPr="0048710D">
        <w:t>,</w:t>
      </w:r>
      <w:r w:rsidRPr="0048710D">
        <w:t xml:space="preserve"> &amp; Lordello,</w:t>
      </w:r>
      <w:r w:rsidR="004E02AD" w:rsidRPr="0048710D">
        <w:t xml:space="preserve"> </w:t>
      </w:r>
      <w:r w:rsidRPr="0048710D">
        <w:t>S.</w:t>
      </w:r>
      <w:r w:rsidR="004E02AD" w:rsidRPr="0048710D">
        <w:t xml:space="preserve"> </w:t>
      </w:r>
      <w:r w:rsidRPr="0048710D">
        <w:t>R.</w:t>
      </w:r>
      <w:r w:rsidR="004E02AD" w:rsidRPr="0048710D">
        <w:t xml:space="preserve"> </w:t>
      </w:r>
      <w:r w:rsidRPr="0048710D">
        <w:t xml:space="preserve">(2019). Psicologia e a realidade brasileira: </w:t>
      </w:r>
      <w:r w:rsidR="004E02AD" w:rsidRPr="0048710D">
        <w:t>N</w:t>
      </w:r>
      <w:r w:rsidRPr="0048710D">
        <w:t>otas preliminares para uma práxis psicossocial. In</w:t>
      </w:r>
      <w:r w:rsidR="004E02AD" w:rsidRPr="0048710D">
        <w:t xml:space="preserve"> C.</w:t>
      </w:r>
      <w:r w:rsidRPr="0048710D">
        <w:t xml:space="preserve"> Antloga, </w:t>
      </w:r>
      <w:r w:rsidR="004E02AD" w:rsidRPr="0048710D">
        <w:t xml:space="preserve">K. T. </w:t>
      </w:r>
      <w:r w:rsidRPr="0048710D">
        <w:t xml:space="preserve">Brasil, </w:t>
      </w:r>
      <w:r w:rsidR="004E02AD" w:rsidRPr="0048710D">
        <w:t xml:space="preserve">S. R. </w:t>
      </w:r>
      <w:r w:rsidRPr="0048710D">
        <w:t>Lordello</w:t>
      </w:r>
      <w:r w:rsidR="003F006B" w:rsidRPr="0048710D">
        <w:t>, M.</w:t>
      </w:r>
      <w:r w:rsidRPr="0048710D">
        <w:t xml:space="preserve"> Neubern, &amp; </w:t>
      </w:r>
      <w:r w:rsidR="003F006B" w:rsidRPr="0048710D">
        <w:t xml:space="preserve">E. </w:t>
      </w:r>
      <w:r w:rsidRPr="0048710D">
        <w:t>Queiroz. (Orgs</w:t>
      </w:r>
      <w:r w:rsidR="003F006B" w:rsidRPr="0048710D">
        <w:t>.</w:t>
      </w:r>
      <w:r w:rsidRPr="0048710D">
        <w:t xml:space="preserve">), </w:t>
      </w:r>
      <w:r w:rsidRPr="0048710D">
        <w:rPr>
          <w:i/>
          <w:iCs/>
        </w:rPr>
        <w:t xml:space="preserve">Psicologia </w:t>
      </w:r>
      <w:r w:rsidR="003F006B" w:rsidRPr="0048710D">
        <w:rPr>
          <w:i/>
          <w:iCs/>
        </w:rPr>
        <w:t>c</w:t>
      </w:r>
      <w:r w:rsidRPr="0048710D">
        <w:rPr>
          <w:i/>
          <w:iCs/>
        </w:rPr>
        <w:t xml:space="preserve">línica e </w:t>
      </w:r>
      <w:r w:rsidR="003F006B" w:rsidRPr="0048710D">
        <w:rPr>
          <w:i/>
          <w:iCs/>
        </w:rPr>
        <w:t>c</w:t>
      </w:r>
      <w:r w:rsidRPr="0048710D">
        <w:rPr>
          <w:i/>
          <w:iCs/>
        </w:rPr>
        <w:t xml:space="preserve">ultura </w:t>
      </w:r>
      <w:r w:rsidR="003F006B" w:rsidRPr="0048710D">
        <w:rPr>
          <w:i/>
          <w:iCs/>
        </w:rPr>
        <w:t>c</w:t>
      </w:r>
      <w:r w:rsidRPr="0048710D">
        <w:rPr>
          <w:i/>
          <w:iCs/>
        </w:rPr>
        <w:t>ontemporânea</w:t>
      </w:r>
      <w:r w:rsidRPr="0048710D">
        <w:t xml:space="preserve"> </w:t>
      </w:r>
      <w:r w:rsidR="003F006B" w:rsidRPr="0048710D">
        <w:t xml:space="preserve">(Vol., 4, </w:t>
      </w:r>
      <w:r w:rsidRPr="0048710D">
        <w:t>pp.</w:t>
      </w:r>
      <w:r w:rsidR="003F006B" w:rsidRPr="0048710D">
        <w:t xml:space="preserve"> </w:t>
      </w:r>
      <w:r w:rsidRPr="0048710D">
        <w:t>37</w:t>
      </w:r>
      <w:r w:rsidR="003F006B" w:rsidRPr="0048710D">
        <w:t>–</w:t>
      </w:r>
      <w:r w:rsidRPr="0048710D">
        <w:t>52</w:t>
      </w:r>
      <w:r w:rsidR="003F006B" w:rsidRPr="0048710D">
        <w:t>)</w:t>
      </w:r>
      <w:r w:rsidRPr="0048710D">
        <w:t>. Technopolitik</w:t>
      </w:r>
      <w:r w:rsidR="003F006B" w:rsidRPr="0048710D">
        <w:t xml:space="preserve">. </w:t>
      </w:r>
    </w:p>
    <w:p w14:paraId="7266A991" w14:textId="5DAF0B3F" w:rsidR="00D365DC" w:rsidRDefault="00D365DC" w:rsidP="0011498C">
      <w:pPr>
        <w:pStyle w:val="APARefs"/>
      </w:pPr>
      <w:r w:rsidRPr="0048710D">
        <w:t>Damas, C., Pereira, D., &amp; Vicente Castro, F. (2023). Impacto da solidão nas pessoas idosas</w:t>
      </w:r>
      <w:r w:rsidR="0011498C" w:rsidRPr="0048710D">
        <w:t>:</w:t>
      </w:r>
      <w:r w:rsidRPr="0048710D">
        <w:t xml:space="preserve"> </w:t>
      </w:r>
      <w:r w:rsidR="0011498C" w:rsidRPr="0048710D">
        <w:t>U</w:t>
      </w:r>
      <w:r w:rsidRPr="0048710D">
        <w:t xml:space="preserve">ma reflexão sobre a importância da intervenção dos assistentes sociais com pessoas idosas. </w:t>
      </w:r>
      <w:r w:rsidRPr="0048710D">
        <w:rPr>
          <w:i/>
          <w:iCs/>
        </w:rPr>
        <w:t xml:space="preserve">Revista INFAD </w:t>
      </w:r>
      <w:r w:rsidR="0011498C" w:rsidRPr="0048710D">
        <w:rPr>
          <w:i/>
          <w:iCs/>
        </w:rPr>
        <w:t>d</w:t>
      </w:r>
      <w:r w:rsidRPr="0048710D">
        <w:rPr>
          <w:i/>
          <w:iCs/>
        </w:rPr>
        <w:t>e Psicología</w:t>
      </w:r>
      <w:r w:rsidRPr="0048710D">
        <w:t xml:space="preserve">, </w:t>
      </w:r>
      <w:r w:rsidRPr="0048710D">
        <w:rPr>
          <w:i/>
          <w:iCs/>
        </w:rPr>
        <w:t>2</w:t>
      </w:r>
      <w:r w:rsidRPr="0048710D">
        <w:t xml:space="preserve">(1), 59–72. </w:t>
      </w:r>
      <w:hyperlink r:id="rId19" w:history="1">
        <w:r w:rsidR="0048710D" w:rsidRPr="00074E98">
          <w:rPr>
            <w:rStyle w:val="Lienhypertexte"/>
          </w:rPr>
          <w:t>https://doi.org/10.17060/ijodaep.2023.n1.v2.2479</w:t>
        </w:r>
      </w:hyperlink>
    </w:p>
    <w:p w14:paraId="67840BDF" w14:textId="23F6F9B4" w:rsidR="00D365DC" w:rsidRDefault="00D365DC" w:rsidP="0011498C">
      <w:pPr>
        <w:pStyle w:val="APARefs"/>
      </w:pPr>
      <w:r w:rsidRPr="0048710D">
        <w:lastRenderedPageBreak/>
        <w:t xml:space="preserve">Dardengo, C. F. R., &amp; Mafra, S. C. T. (2019). Os conceitos de velhice e envelhecimento ao longo do tempo: </w:t>
      </w:r>
      <w:r w:rsidR="0011498C" w:rsidRPr="0048710D">
        <w:t>C</w:t>
      </w:r>
      <w:r w:rsidRPr="0048710D">
        <w:t xml:space="preserve">ontradição ou adaptação? </w:t>
      </w:r>
      <w:r w:rsidRPr="0048710D">
        <w:rPr>
          <w:i/>
          <w:iCs/>
        </w:rPr>
        <w:t xml:space="preserve">Revista </w:t>
      </w:r>
      <w:r w:rsidR="0011498C" w:rsidRPr="0048710D">
        <w:rPr>
          <w:i/>
          <w:iCs/>
        </w:rPr>
        <w:t>d</w:t>
      </w:r>
      <w:r w:rsidRPr="0048710D">
        <w:rPr>
          <w:i/>
          <w:iCs/>
        </w:rPr>
        <w:t>e Ciências Humanas</w:t>
      </w:r>
      <w:r w:rsidRPr="0048710D">
        <w:t xml:space="preserve">, </w:t>
      </w:r>
      <w:r w:rsidRPr="0048710D">
        <w:rPr>
          <w:i/>
          <w:iCs/>
        </w:rPr>
        <w:t>18</w:t>
      </w:r>
      <w:r w:rsidRPr="0048710D">
        <w:t>(2)</w:t>
      </w:r>
      <w:r w:rsidR="0011498C" w:rsidRPr="0048710D">
        <w:t>, 1–23</w:t>
      </w:r>
      <w:r w:rsidRPr="0048710D">
        <w:t xml:space="preserve">. </w:t>
      </w:r>
      <w:hyperlink r:id="rId20" w:history="1">
        <w:r w:rsidR="0048710D" w:rsidRPr="00074E98">
          <w:rPr>
            <w:rStyle w:val="Lienhypertexte"/>
          </w:rPr>
          <w:t>https://periodicos.ufv.br/RCH/article/view/8923</w:t>
        </w:r>
      </w:hyperlink>
    </w:p>
    <w:p w14:paraId="528940BA" w14:textId="030F442A" w:rsidR="00D365DC" w:rsidRDefault="00D365DC" w:rsidP="00CC0F84">
      <w:pPr>
        <w:pStyle w:val="APARefs"/>
      </w:pPr>
      <w:r w:rsidRPr="0048710D">
        <w:t xml:space="preserve">De Lima, E. L. Q., Pinheiro, G. C. C., Freire, I. F. D. Q., De Sousa, M. E. S., &amp; Sousa, M. N. A. (2024). Solidão na pessoa idosa: </w:t>
      </w:r>
      <w:r w:rsidR="00CC0F84" w:rsidRPr="0048710D">
        <w:t>F</w:t>
      </w:r>
      <w:r w:rsidRPr="0048710D">
        <w:t xml:space="preserve">atores de risco, impactos e intervenções. </w:t>
      </w:r>
      <w:r w:rsidRPr="0048710D">
        <w:rPr>
          <w:i/>
          <w:iCs/>
        </w:rPr>
        <w:t>Revista Científica E-Locução</w:t>
      </w:r>
      <w:r w:rsidRPr="0048710D">
        <w:t xml:space="preserve">, </w:t>
      </w:r>
      <w:r w:rsidRPr="0048710D">
        <w:rPr>
          <w:i/>
          <w:iCs/>
        </w:rPr>
        <w:t>1</w:t>
      </w:r>
      <w:r w:rsidRPr="0048710D">
        <w:t xml:space="preserve">(25), </w:t>
      </w:r>
      <w:r w:rsidR="00CC0F84" w:rsidRPr="0048710D">
        <w:t xml:space="preserve">108–135. </w:t>
      </w:r>
      <w:hyperlink r:id="rId21" w:history="1">
        <w:r w:rsidR="0048710D" w:rsidRPr="00074E98">
          <w:rPr>
            <w:rStyle w:val="Lienhypertexte"/>
          </w:rPr>
          <w:t>https://doi.org/10.57209/e-locucao.v1i25.588</w:t>
        </w:r>
      </w:hyperlink>
    </w:p>
    <w:p w14:paraId="271CE225" w14:textId="0DC0A33D" w:rsidR="00CC0F84" w:rsidRDefault="00CC0F84" w:rsidP="00CC0F84">
      <w:pPr>
        <w:pStyle w:val="APARefs"/>
      </w:pPr>
      <w:r w:rsidRPr="0048710D">
        <w:t xml:space="preserve">de Oliveira Valadares, &amp; Chariglione, I. P. F. S. (2024). Psychosocial interventions with elderly people in social assistance: A scoping review: Intervenções psicossociais com pessoas idosas na assistência social: Uma scoping review. </w:t>
      </w:r>
      <w:r w:rsidRPr="0048710D">
        <w:rPr>
          <w:i/>
          <w:iCs/>
        </w:rPr>
        <w:t>Concilium</w:t>
      </w:r>
      <w:r w:rsidRPr="0048710D">
        <w:t xml:space="preserve">, </w:t>
      </w:r>
      <w:r w:rsidRPr="0048710D">
        <w:rPr>
          <w:i/>
          <w:iCs/>
        </w:rPr>
        <w:t>24</w:t>
      </w:r>
      <w:r w:rsidRPr="0048710D">
        <w:t xml:space="preserve">(16), 232–248. </w:t>
      </w:r>
      <w:hyperlink r:id="rId22" w:history="1">
        <w:r w:rsidR="0048710D" w:rsidRPr="00074E98">
          <w:rPr>
            <w:rStyle w:val="Lienhypertexte"/>
          </w:rPr>
          <w:t>https://clium.org/index.php/edicoes/article/view/3919</w:t>
        </w:r>
      </w:hyperlink>
    </w:p>
    <w:p w14:paraId="66E53CDE" w14:textId="08DB9BE5" w:rsidR="00D365DC" w:rsidRDefault="00D365DC" w:rsidP="00D365DC">
      <w:pPr>
        <w:pStyle w:val="APARefs"/>
      </w:pPr>
      <w:r w:rsidRPr="0048710D">
        <w:t>Debert, G</w:t>
      </w:r>
      <w:r w:rsidR="00CC0F84" w:rsidRPr="0048710D">
        <w:t xml:space="preserve">. </w:t>
      </w:r>
      <w:r w:rsidRPr="0048710D">
        <w:t>G</w:t>
      </w:r>
      <w:r w:rsidR="00CC0F84" w:rsidRPr="0048710D">
        <w:t>.</w:t>
      </w:r>
      <w:r w:rsidRPr="0048710D">
        <w:t xml:space="preserve"> (2000). O significado da velhice na sociedade brasileira. </w:t>
      </w:r>
      <w:r w:rsidR="00CC0F84" w:rsidRPr="0048710D">
        <w:rPr>
          <w:i/>
          <w:iCs/>
        </w:rPr>
        <w:t>Acta Paulista de Enfermagem</w:t>
      </w:r>
      <w:r w:rsidRPr="0048710D">
        <w:t xml:space="preserve">, </w:t>
      </w:r>
      <w:r w:rsidRPr="0048710D">
        <w:rPr>
          <w:i/>
          <w:iCs/>
        </w:rPr>
        <w:t>13</w:t>
      </w:r>
      <w:r w:rsidRPr="0048710D">
        <w:t>(</w:t>
      </w:r>
      <w:r w:rsidR="00CC0F84" w:rsidRPr="0048710D">
        <w:t>n.esp.</w:t>
      </w:r>
      <w:r w:rsidRPr="0048710D">
        <w:t>), 147</w:t>
      </w:r>
      <w:r w:rsidR="00CC0F84" w:rsidRPr="0048710D">
        <w:t>–</w:t>
      </w:r>
      <w:r w:rsidRPr="0048710D">
        <w:t>158.</w:t>
      </w:r>
      <w:r w:rsidR="00CC0F84" w:rsidRPr="0048710D">
        <w:t xml:space="preserve"> </w:t>
      </w:r>
      <w:hyperlink r:id="rId23" w:history="1">
        <w:r w:rsidR="0048710D" w:rsidRPr="00074E98">
          <w:rPr>
            <w:rStyle w:val="Lienhypertexte"/>
          </w:rPr>
          <w:t>https://acta-ape.org/en/article/o-significado-da-velhice-na-sociedade-brasileira/</w:t>
        </w:r>
      </w:hyperlink>
    </w:p>
    <w:p w14:paraId="035CEC4A" w14:textId="34AE50AA" w:rsidR="00D365DC" w:rsidRPr="006F68B6" w:rsidRDefault="00D365DC" w:rsidP="00CC0F84">
      <w:pPr>
        <w:pStyle w:val="APARefs"/>
        <w:rPr>
          <w:lang w:val="en-US"/>
        </w:rPr>
      </w:pPr>
      <w:r w:rsidRPr="0048710D">
        <w:t xml:space="preserve">Dornelas, K. C. A., de Souza, A. R., da Silva Bravim, B. M., de Almeida, K. R. N., da Silva Santos, F., Zippinotti, L. F., &amp; Nascimento, T. D. (2021). As representações sociais da solidão em diferentes níveis etários: ‘antes mal acompanhado do que só’. </w:t>
      </w:r>
      <w:r w:rsidRPr="006F68B6">
        <w:rPr>
          <w:i/>
          <w:iCs/>
          <w:lang w:val="en-US"/>
        </w:rPr>
        <w:t>Multi-Science Research</w:t>
      </w:r>
      <w:r w:rsidRPr="006F68B6">
        <w:rPr>
          <w:lang w:val="en-US"/>
        </w:rPr>
        <w:t xml:space="preserve">, </w:t>
      </w:r>
      <w:r w:rsidRPr="006F68B6">
        <w:rPr>
          <w:i/>
          <w:iCs/>
          <w:lang w:val="en-US"/>
        </w:rPr>
        <w:t>4</w:t>
      </w:r>
      <w:r w:rsidRPr="006F68B6">
        <w:rPr>
          <w:lang w:val="en-US"/>
        </w:rPr>
        <w:t>(2), 44</w:t>
      </w:r>
      <w:r w:rsidR="00CC0F84" w:rsidRPr="006F68B6">
        <w:rPr>
          <w:lang w:val="en-US"/>
        </w:rPr>
        <w:t>–</w:t>
      </w:r>
      <w:r w:rsidRPr="006F68B6">
        <w:rPr>
          <w:lang w:val="en-US"/>
        </w:rPr>
        <w:t>51.</w:t>
      </w:r>
      <w:r w:rsidR="00CC0F84" w:rsidRPr="006F68B6">
        <w:rPr>
          <w:lang w:val="en-US"/>
        </w:rPr>
        <w:t xml:space="preserve"> </w:t>
      </w:r>
      <w:hyperlink r:id="rId24" w:history="1">
        <w:r w:rsidR="0048710D" w:rsidRPr="006F68B6">
          <w:rPr>
            <w:rStyle w:val="Lienhypertexte"/>
            <w:lang w:val="en-US"/>
          </w:rPr>
          <w:t>https://msrreview.multivix.edu.br/index.php/msr/article/view/92/pdf</w:t>
        </w:r>
      </w:hyperlink>
    </w:p>
    <w:p w14:paraId="6B33886D" w14:textId="78B95AC7" w:rsidR="0048710D" w:rsidRDefault="00D365DC" w:rsidP="0048710D">
      <w:pPr>
        <w:pStyle w:val="APARefs"/>
      </w:pPr>
      <w:r w:rsidRPr="0048710D">
        <w:t xml:space="preserve">dos Santos, L. C., Leandro, S. S., Alves, V. P., &amp; Chariglione, I. P. F. S. (2024). Estudo </w:t>
      </w:r>
      <w:r w:rsidR="0048710D" w:rsidRPr="0048710D">
        <w:t>l</w:t>
      </w:r>
      <w:r w:rsidRPr="0048710D">
        <w:t xml:space="preserve">ongitudinal da </w:t>
      </w:r>
      <w:r w:rsidR="0048710D" w:rsidRPr="0048710D">
        <w:t>s</w:t>
      </w:r>
      <w:r w:rsidRPr="0048710D">
        <w:t xml:space="preserve">aúde do </w:t>
      </w:r>
      <w:r w:rsidR="0048710D" w:rsidRPr="0048710D">
        <w:t>i</w:t>
      </w:r>
      <w:r w:rsidRPr="0048710D">
        <w:t xml:space="preserve">doso na </w:t>
      </w:r>
      <w:r w:rsidR="0048710D" w:rsidRPr="0048710D">
        <w:t>p</w:t>
      </w:r>
      <w:r w:rsidRPr="0048710D">
        <w:t xml:space="preserve">erspectiva </w:t>
      </w:r>
      <w:r w:rsidR="0048710D" w:rsidRPr="0048710D">
        <w:t>p</w:t>
      </w:r>
      <w:r w:rsidRPr="0048710D">
        <w:t xml:space="preserve">sicossocial e </w:t>
      </w:r>
      <w:r w:rsidR="0048710D" w:rsidRPr="0048710D">
        <w:t>f</w:t>
      </w:r>
      <w:r w:rsidRPr="0048710D">
        <w:t xml:space="preserve">ísica. </w:t>
      </w:r>
      <w:r w:rsidRPr="0048710D">
        <w:rPr>
          <w:i/>
          <w:iCs/>
        </w:rPr>
        <w:t xml:space="preserve">Revista Psicologia </w:t>
      </w:r>
      <w:r w:rsidR="0048710D" w:rsidRPr="0048710D">
        <w:rPr>
          <w:i/>
          <w:iCs/>
        </w:rPr>
        <w:t>e</w:t>
      </w:r>
      <w:r w:rsidRPr="0048710D">
        <w:rPr>
          <w:i/>
          <w:iCs/>
        </w:rPr>
        <w:t xml:space="preserve"> Saúde</w:t>
      </w:r>
      <w:r w:rsidRPr="0048710D">
        <w:t xml:space="preserve">, </w:t>
      </w:r>
      <w:r w:rsidRPr="0048710D">
        <w:rPr>
          <w:i/>
          <w:iCs/>
        </w:rPr>
        <w:t>16</w:t>
      </w:r>
      <w:r w:rsidRPr="0048710D">
        <w:t xml:space="preserve">(2), </w:t>
      </w:r>
      <w:r w:rsidR="0048710D" w:rsidRPr="0048710D">
        <w:t xml:space="preserve">Article </w:t>
      </w:r>
      <w:r w:rsidRPr="0048710D">
        <w:t xml:space="preserve">e16252046. </w:t>
      </w:r>
      <w:hyperlink r:id="rId25" w:history="1">
        <w:r w:rsidR="0048710D" w:rsidRPr="00074E98">
          <w:rPr>
            <w:rStyle w:val="Lienhypertexte"/>
          </w:rPr>
          <w:t>https://doi.org/10.20435/pssa.v16i1.2046</w:t>
        </w:r>
      </w:hyperlink>
    </w:p>
    <w:p w14:paraId="5AE928CB" w14:textId="52D500D4" w:rsidR="001B436E" w:rsidRDefault="001B436E" w:rsidP="001B436E">
      <w:pPr>
        <w:pStyle w:val="APARefs"/>
      </w:pPr>
      <w:r w:rsidRPr="0048710D">
        <w:t xml:space="preserve">dos Santos Silva, A., Porath Azevedo Fassarella, B., de Sá Faria, B., Moreira El Nabbout, T. G., Moreira El Nabbout, H. G., &amp; da Costa d’Avila, J. (2021). Envelhecimento populacional: </w:t>
      </w:r>
      <w:r w:rsidR="0048710D" w:rsidRPr="0048710D">
        <w:t>R</w:t>
      </w:r>
      <w:r w:rsidRPr="0048710D">
        <w:t xml:space="preserve">ealidade atual e desafios. </w:t>
      </w:r>
      <w:r w:rsidRPr="0048710D">
        <w:rPr>
          <w:i/>
          <w:iCs/>
        </w:rPr>
        <w:t>Global Academic Nursing Journal</w:t>
      </w:r>
      <w:r w:rsidRPr="0048710D">
        <w:t xml:space="preserve">, </w:t>
      </w:r>
      <w:r w:rsidRPr="0048710D">
        <w:rPr>
          <w:i/>
          <w:iCs/>
        </w:rPr>
        <w:t>2</w:t>
      </w:r>
      <w:r w:rsidRPr="0048710D">
        <w:t xml:space="preserve">(Sup.3), </w:t>
      </w:r>
      <w:r w:rsidR="0048710D" w:rsidRPr="0048710D">
        <w:t xml:space="preserve">Article </w:t>
      </w:r>
      <w:r w:rsidRPr="0048710D">
        <w:t xml:space="preserve">e188. </w:t>
      </w:r>
      <w:hyperlink r:id="rId26" w:history="1">
        <w:r w:rsidR="0048710D" w:rsidRPr="00074E98">
          <w:rPr>
            <w:rStyle w:val="Lienhypertexte"/>
          </w:rPr>
          <w:t>https://doi.org/10.5935/2675-5602.20200188</w:t>
        </w:r>
      </w:hyperlink>
    </w:p>
    <w:p w14:paraId="26BC3A9B" w14:textId="7B58F32C" w:rsidR="00D365DC" w:rsidRPr="006F68B6" w:rsidRDefault="00D365DC" w:rsidP="00C00994">
      <w:pPr>
        <w:pStyle w:val="APARefs"/>
        <w:rPr>
          <w:lang w:val="en-US"/>
        </w:rPr>
      </w:pPr>
      <w:r w:rsidRPr="0048710D">
        <w:t xml:space="preserve">Ferreira, H. G., &amp; Casemiro, N. V. (2021). Solidão em idosos e fatores associados. </w:t>
      </w:r>
      <w:r w:rsidRPr="0048710D">
        <w:rPr>
          <w:i/>
          <w:iCs/>
        </w:rPr>
        <w:t>Revista Família, Ciclos de Vida e Saúde no Contexto Social</w:t>
      </w:r>
      <w:r w:rsidRPr="0048710D">
        <w:t xml:space="preserve">, </w:t>
      </w:r>
      <w:r w:rsidRPr="0048710D">
        <w:rPr>
          <w:i/>
          <w:iCs/>
        </w:rPr>
        <w:t>9</w:t>
      </w:r>
      <w:r w:rsidRPr="0048710D">
        <w:t>(1), 90</w:t>
      </w:r>
      <w:r w:rsidR="00C00994" w:rsidRPr="0048710D">
        <w:t>–</w:t>
      </w:r>
      <w:r w:rsidRPr="0048710D">
        <w:t>98.</w:t>
      </w:r>
      <w:r w:rsidR="00C00994" w:rsidRPr="0048710D">
        <w:t xml:space="preserve"> </w:t>
      </w:r>
      <w:hyperlink r:id="rId27" w:history="1">
        <w:r w:rsidR="0048710D" w:rsidRPr="006F68B6">
          <w:rPr>
            <w:rStyle w:val="Lienhypertexte"/>
            <w:lang w:val="en-US"/>
          </w:rPr>
          <w:t>https://doi.org/10.18554/refacs.v9i1.5199</w:t>
        </w:r>
      </w:hyperlink>
    </w:p>
    <w:p w14:paraId="1E211C8F" w14:textId="4BDEF614" w:rsidR="00D365DC" w:rsidRDefault="00D365DC" w:rsidP="00C00994">
      <w:pPr>
        <w:pStyle w:val="APARefs"/>
      </w:pPr>
      <w:r w:rsidRPr="006F68B6">
        <w:rPr>
          <w:lang w:val="en-US"/>
        </w:rPr>
        <w:t xml:space="preserve">Frost, R., Nair, P., Aw, S., Gould, R. L., Kharicha, K., Buszewicz, M., &amp; Walters, K. (2020). Supporting frail older people with depression and anxiety: </w:t>
      </w:r>
      <w:r w:rsidR="00C00994" w:rsidRPr="006F68B6">
        <w:rPr>
          <w:lang w:val="en-US"/>
        </w:rPr>
        <w:t>A</w:t>
      </w:r>
      <w:r w:rsidRPr="006F68B6">
        <w:rPr>
          <w:lang w:val="en-US"/>
        </w:rPr>
        <w:t xml:space="preserve"> qualitative study. </w:t>
      </w:r>
      <w:r w:rsidRPr="0048710D">
        <w:rPr>
          <w:i/>
          <w:iCs/>
        </w:rPr>
        <w:t xml:space="preserve">Aging &amp; </w:t>
      </w:r>
      <w:r w:rsidR="00C00994" w:rsidRPr="0048710D">
        <w:rPr>
          <w:i/>
          <w:iCs/>
        </w:rPr>
        <w:t>M</w:t>
      </w:r>
      <w:r w:rsidRPr="0048710D">
        <w:rPr>
          <w:i/>
          <w:iCs/>
        </w:rPr>
        <w:t xml:space="preserve">ental </w:t>
      </w:r>
      <w:r w:rsidR="00C00994" w:rsidRPr="0048710D">
        <w:rPr>
          <w:i/>
          <w:iCs/>
        </w:rPr>
        <w:t>H</w:t>
      </w:r>
      <w:r w:rsidRPr="0048710D">
        <w:rPr>
          <w:i/>
          <w:iCs/>
        </w:rPr>
        <w:t>ealth</w:t>
      </w:r>
      <w:r w:rsidRPr="0048710D">
        <w:t xml:space="preserve">, </w:t>
      </w:r>
      <w:r w:rsidRPr="0048710D">
        <w:rPr>
          <w:i/>
          <w:iCs/>
        </w:rPr>
        <w:t>24</w:t>
      </w:r>
      <w:r w:rsidRPr="0048710D">
        <w:t>(12), 1977</w:t>
      </w:r>
      <w:r w:rsidR="00C00994" w:rsidRPr="0048710D">
        <w:t>–</w:t>
      </w:r>
      <w:r w:rsidRPr="0048710D">
        <w:t>1984.</w:t>
      </w:r>
      <w:r w:rsidR="00C00994" w:rsidRPr="0048710D">
        <w:t xml:space="preserve"> </w:t>
      </w:r>
      <w:hyperlink r:id="rId28" w:history="1">
        <w:r w:rsidR="0048710D" w:rsidRPr="00074E98">
          <w:rPr>
            <w:rStyle w:val="Lienhypertexte"/>
          </w:rPr>
          <w:t>https://doi.org/10.1080/13607863.2019.1647132</w:t>
        </w:r>
      </w:hyperlink>
    </w:p>
    <w:p w14:paraId="77516207" w14:textId="5D75A72C" w:rsidR="00D365DC" w:rsidRDefault="00D365DC" w:rsidP="00C00994">
      <w:pPr>
        <w:pStyle w:val="APARefs"/>
      </w:pPr>
      <w:r w:rsidRPr="0048710D">
        <w:t xml:space="preserve">Gomes, G. C., Moreira, R. D. S., Maia, T. O., Santos, M. A. B. D., &amp; Silva, V. D. L. (2021). Fatores associados à autonomia pessoal em idosos: </w:t>
      </w:r>
      <w:r w:rsidR="00C00994" w:rsidRPr="0048710D">
        <w:t>R</w:t>
      </w:r>
      <w:r w:rsidRPr="0048710D">
        <w:t xml:space="preserve">evisão sistemática da literatura. </w:t>
      </w:r>
      <w:r w:rsidRPr="0048710D">
        <w:rPr>
          <w:i/>
          <w:iCs/>
        </w:rPr>
        <w:lastRenderedPageBreak/>
        <w:t>Ciência &amp; Saúde Coletiva</w:t>
      </w:r>
      <w:r w:rsidRPr="0048710D">
        <w:t xml:space="preserve">, </w:t>
      </w:r>
      <w:r w:rsidRPr="0048710D">
        <w:rPr>
          <w:i/>
          <w:iCs/>
        </w:rPr>
        <w:t>26</w:t>
      </w:r>
      <w:r w:rsidR="00C00994" w:rsidRPr="0048710D">
        <w:t>(3)</w:t>
      </w:r>
      <w:r w:rsidRPr="0048710D">
        <w:t>, 1035</w:t>
      </w:r>
      <w:r w:rsidR="00C00994" w:rsidRPr="0048710D">
        <w:t>–</w:t>
      </w:r>
      <w:r w:rsidRPr="0048710D">
        <w:t>1046.</w:t>
      </w:r>
      <w:r w:rsidR="00C00994" w:rsidRPr="0048710D">
        <w:t xml:space="preserve"> </w:t>
      </w:r>
      <w:hyperlink r:id="rId29" w:history="1">
        <w:r w:rsidR="0048710D" w:rsidRPr="00074E98">
          <w:rPr>
            <w:rStyle w:val="Lienhypertexte"/>
          </w:rPr>
          <w:t>https://doi.org/10.1590/1413-81232021263.08222019</w:t>
        </w:r>
      </w:hyperlink>
    </w:p>
    <w:p w14:paraId="65530C14" w14:textId="73CD9D47" w:rsidR="005557D6" w:rsidRDefault="00C00994" w:rsidP="00C00994">
      <w:pPr>
        <w:pStyle w:val="APARefs"/>
      </w:pPr>
      <w:r w:rsidRPr="0048710D">
        <w:t>Gonçalves, F. de C. P., Moraes, M. C. B., &amp; Câmara, S. M. B. da. (2024).</w:t>
      </w:r>
      <w:r w:rsidR="005557D6" w:rsidRPr="0048710D">
        <w:t xml:space="preserve"> O papel social da pessoa idosa: </w:t>
      </w:r>
      <w:r w:rsidRPr="0048710D">
        <w:t>R</w:t>
      </w:r>
      <w:r w:rsidR="005557D6" w:rsidRPr="0048710D">
        <w:t xml:space="preserve">eflexões sob as lentes da teoria crítica do envelhecimento. </w:t>
      </w:r>
      <w:r w:rsidR="005557D6" w:rsidRPr="0048710D">
        <w:rPr>
          <w:i/>
          <w:iCs/>
        </w:rPr>
        <w:t>Revista Teias</w:t>
      </w:r>
      <w:r w:rsidR="005557D6" w:rsidRPr="0048710D">
        <w:t xml:space="preserve">, </w:t>
      </w:r>
      <w:r w:rsidR="005557D6" w:rsidRPr="0048710D">
        <w:rPr>
          <w:i/>
          <w:iCs/>
        </w:rPr>
        <w:t>25</w:t>
      </w:r>
      <w:r w:rsidR="005557D6" w:rsidRPr="0048710D">
        <w:t xml:space="preserve">(77), 224–238. </w:t>
      </w:r>
      <w:hyperlink r:id="rId30" w:history="1">
        <w:r w:rsidR="0048710D" w:rsidRPr="00074E98">
          <w:rPr>
            <w:rStyle w:val="Lienhypertexte"/>
          </w:rPr>
          <w:t>https://doi.org/10.12957/teias.2014.81355</w:t>
        </w:r>
      </w:hyperlink>
    </w:p>
    <w:p w14:paraId="102FFB32" w14:textId="71DF46D8" w:rsidR="00C00994" w:rsidRDefault="00D365DC" w:rsidP="00C00994">
      <w:pPr>
        <w:pStyle w:val="APARefs"/>
      </w:pPr>
      <w:r w:rsidRPr="0048710D">
        <w:t xml:space="preserve">Gondim, S. M. G. (2002). Perfil profissional e mercado de trabalho: </w:t>
      </w:r>
      <w:r w:rsidR="00C00994" w:rsidRPr="0048710D">
        <w:t>R</w:t>
      </w:r>
      <w:r w:rsidRPr="0048710D">
        <w:t>elação com formação acadêmica pela perspectiva de estudantes universitários</w:t>
      </w:r>
      <w:r w:rsidR="00C00994" w:rsidRPr="0048710D">
        <w:t>.</w:t>
      </w:r>
      <w:r w:rsidRPr="0048710D">
        <w:t xml:space="preserve"> </w:t>
      </w:r>
      <w:r w:rsidRPr="0048710D">
        <w:rPr>
          <w:i/>
          <w:iCs/>
        </w:rPr>
        <w:t>Estud</w:t>
      </w:r>
      <w:r w:rsidR="00C00994" w:rsidRPr="0048710D">
        <w:rPr>
          <w:i/>
          <w:iCs/>
        </w:rPr>
        <w:t>os em</w:t>
      </w:r>
      <w:r w:rsidRPr="0048710D">
        <w:rPr>
          <w:i/>
          <w:iCs/>
        </w:rPr>
        <w:t xml:space="preserve"> Psicologia</w:t>
      </w:r>
      <w:r w:rsidRPr="0048710D">
        <w:t xml:space="preserve">, </w:t>
      </w:r>
      <w:r w:rsidR="00C00994" w:rsidRPr="0048710D">
        <w:rPr>
          <w:i/>
          <w:iCs/>
        </w:rPr>
        <w:t>7</w:t>
      </w:r>
      <w:r w:rsidR="00C00994" w:rsidRPr="0048710D">
        <w:t xml:space="preserve">(2), 299–309. </w:t>
      </w:r>
      <w:hyperlink r:id="rId31" w:history="1">
        <w:r w:rsidR="0048710D" w:rsidRPr="00074E98">
          <w:rPr>
            <w:rStyle w:val="Lienhypertexte"/>
          </w:rPr>
          <w:t>https://doi.org/10.1590/S1413-294X2002000200011</w:t>
        </w:r>
      </w:hyperlink>
    </w:p>
    <w:p w14:paraId="2714EE5D" w14:textId="2058EFC3" w:rsidR="00D365DC" w:rsidRDefault="00D365DC" w:rsidP="00C00994">
      <w:pPr>
        <w:pStyle w:val="APARefs"/>
      </w:pPr>
      <w:r w:rsidRPr="0048710D">
        <w:t>Harison, P. (2012</w:t>
      </w:r>
      <w:r w:rsidR="00C00994" w:rsidRPr="0048710D">
        <w:t>, 18 de dezembro</w:t>
      </w:r>
      <w:r w:rsidRPr="0048710D">
        <w:t xml:space="preserve">). </w:t>
      </w:r>
      <w:r w:rsidRPr="006F68B6">
        <w:rPr>
          <w:lang w:val="en-US"/>
        </w:rPr>
        <w:t xml:space="preserve">Loneliness increase dementia risk among the elderly. </w:t>
      </w:r>
      <w:r w:rsidR="00C00994" w:rsidRPr="0048710D">
        <w:rPr>
          <w:i/>
          <w:iCs/>
        </w:rPr>
        <w:t>Medscape</w:t>
      </w:r>
      <w:r w:rsidR="00C00994" w:rsidRPr="0048710D">
        <w:t xml:space="preserve">. </w:t>
      </w:r>
      <w:hyperlink r:id="rId32" w:history="1">
        <w:r w:rsidR="0048710D" w:rsidRPr="00074E98">
          <w:rPr>
            <w:rStyle w:val="Lienhypertexte"/>
          </w:rPr>
          <w:t>http://www.medscape.com/viewarticle/776327</w:t>
        </w:r>
      </w:hyperlink>
    </w:p>
    <w:p w14:paraId="6909240C" w14:textId="350E2DF6" w:rsidR="00D365DC" w:rsidRDefault="00D365DC" w:rsidP="00C00994">
      <w:pPr>
        <w:pStyle w:val="APARefs"/>
      </w:pPr>
      <w:r w:rsidRPr="0048710D">
        <w:t xml:space="preserve">Justo, A. M., da Silva, C. D., Amaral, M., &amp; Giraldi, B. M. (2022). Contribuições da </w:t>
      </w:r>
      <w:r w:rsidR="00C00994" w:rsidRPr="0048710D">
        <w:t>p</w:t>
      </w:r>
      <w:r w:rsidRPr="0048710D">
        <w:t xml:space="preserve">sicologia à experiência de envelhecer: </w:t>
      </w:r>
      <w:r w:rsidR="00C00994" w:rsidRPr="0048710D">
        <w:t>R</w:t>
      </w:r>
      <w:r w:rsidRPr="0048710D">
        <w:t xml:space="preserve">elatos de um programa de extensão. </w:t>
      </w:r>
      <w:r w:rsidRPr="0048710D">
        <w:rPr>
          <w:i/>
          <w:iCs/>
        </w:rPr>
        <w:t>Extensio: Revista Eletrônica de Extensão</w:t>
      </w:r>
      <w:r w:rsidRPr="0048710D">
        <w:t xml:space="preserve">, </w:t>
      </w:r>
      <w:r w:rsidRPr="0048710D">
        <w:rPr>
          <w:i/>
          <w:iCs/>
        </w:rPr>
        <w:t>19</w:t>
      </w:r>
      <w:r w:rsidRPr="0048710D">
        <w:t>(42), 26</w:t>
      </w:r>
      <w:r w:rsidR="00C00994" w:rsidRPr="0048710D">
        <w:t>–</w:t>
      </w:r>
      <w:r w:rsidRPr="0048710D">
        <w:t>41.</w:t>
      </w:r>
      <w:r w:rsidR="00C00994" w:rsidRPr="0048710D">
        <w:t xml:space="preserve"> </w:t>
      </w:r>
      <w:hyperlink r:id="rId33" w:history="1">
        <w:r w:rsidR="0048710D" w:rsidRPr="00074E98">
          <w:rPr>
            <w:rStyle w:val="Lienhypertexte"/>
          </w:rPr>
          <w:t>https://doi.org/10.5007/1807-0221.2022.e85595</w:t>
        </w:r>
      </w:hyperlink>
    </w:p>
    <w:p w14:paraId="27E91627" w14:textId="3805C7EF" w:rsidR="00C00994" w:rsidRDefault="00C00994" w:rsidP="00C00994">
      <w:pPr>
        <w:pStyle w:val="APARefs"/>
      </w:pPr>
      <w:r w:rsidRPr="0048710D">
        <w:t xml:space="preserve">Kawakami, R. M. da S. A., Azevedo, R. C. de Souza, Reiners, A. A. O., Almeida, N. A. de, Lima, I. de F., &amp; Souza, L. C. de. (2020). Experiências de solidão entre os idosos que moram só. </w:t>
      </w:r>
      <w:r w:rsidRPr="0048710D">
        <w:rPr>
          <w:i/>
          <w:iCs/>
        </w:rPr>
        <w:t>Saúde Coletiva</w:t>
      </w:r>
      <w:r w:rsidRPr="0048710D">
        <w:t xml:space="preserve">, </w:t>
      </w:r>
      <w:r w:rsidRPr="0048710D">
        <w:rPr>
          <w:i/>
          <w:iCs/>
        </w:rPr>
        <w:t>10</w:t>
      </w:r>
      <w:r w:rsidRPr="0048710D">
        <w:t xml:space="preserve">(57), 3729–3738. </w:t>
      </w:r>
      <w:hyperlink r:id="rId34" w:history="1">
        <w:r w:rsidR="0048710D" w:rsidRPr="00074E98">
          <w:rPr>
            <w:rStyle w:val="Lienhypertexte"/>
          </w:rPr>
          <w:t>https://doi.org/10.36489/saudecoletiva.2020v10i57p3729-3738</w:t>
        </w:r>
      </w:hyperlink>
    </w:p>
    <w:p w14:paraId="1EB8DE64" w14:textId="54E5003D" w:rsidR="00D365DC" w:rsidRPr="006F68B6" w:rsidRDefault="00D365DC" w:rsidP="00495142">
      <w:pPr>
        <w:pStyle w:val="APARefs"/>
        <w:rPr>
          <w:lang w:val="en-US"/>
        </w:rPr>
      </w:pPr>
      <w:r w:rsidRPr="0048710D">
        <w:t>Maia, C. M. L., Vicente</w:t>
      </w:r>
      <w:r w:rsidR="00495142" w:rsidRPr="0048710D">
        <w:t>,</w:t>
      </w:r>
      <w:r w:rsidRPr="0048710D">
        <w:t xml:space="preserve"> C. F., Fonseca, A. M. G. D., &amp; Ruiz F. M. I. (2016). Redes de apoio social e de suporte social e envelhecimento ativo. </w:t>
      </w:r>
      <w:r w:rsidRPr="006F68B6">
        <w:rPr>
          <w:i/>
          <w:iCs/>
          <w:lang w:val="en-US"/>
        </w:rPr>
        <w:t>International Journal of Developmental and Educational Psychology</w:t>
      </w:r>
      <w:r w:rsidRPr="006F68B6">
        <w:rPr>
          <w:lang w:val="en-US"/>
        </w:rPr>
        <w:t xml:space="preserve">, </w:t>
      </w:r>
      <w:r w:rsidRPr="006F68B6">
        <w:rPr>
          <w:i/>
          <w:iCs/>
          <w:lang w:val="en-US"/>
        </w:rPr>
        <w:t>1</w:t>
      </w:r>
      <w:r w:rsidRPr="006F68B6">
        <w:rPr>
          <w:lang w:val="en-US"/>
        </w:rPr>
        <w:t>(1), 293</w:t>
      </w:r>
      <w:r w:rsidR="00495142" w:rsidRPr="006F68B6">
        <w:rPr>
          <w:lang w:val="en-US"/>
        </w:rPr>
        <w:t>–</w:t>
      </w:r>
      <w:r w:rsidRPr="006F68B6">
        <w:rPr>
          <w:lang w:val="en-US"/>
        </w:rPr>
        <w:t>303.</w:t>
      </w:r>
      <w:r w:rsidR="00495142" w:rsidRPr="006F68B6">
        <w:rPr>
          <w:lang w:val="en-US"/>
        </w:rPr>
        <w:t xml:space="preserve"> </w:t>
      </w:r>
      <w:hyperlink r:id="rId35" w:history="1">
        <w:r w:rsidR="0048710D" w:rsidRPr="006F68B6">
          <w:rPr>
            <w:rStyle w:val="Lienhypertexte"/>
            <w:lang w:val="en-US"/>
          </w:rPr>
          <w:t>https://doi.org/10.17060/ijodaep.2016.n1.v1.279</w:t>
        </w:r>
      </w:hyperlink>
    </w:p>
    <w:p w14:paraId="353869BC" w14:textId="00FFAD49" w:rsidR="00D365DC" w:rsidRDefault="00D365DC" w:rsidP="00495142">
      <w:pPr>
        <w:pStyle w:val="APARefs"/>
      </w:pPr>
      <w:r w:rsidRPr="0048710D">
        <w:t>Martinez</w:t>
      </w:r>
      <w:r w:rsidR="00495142" w:rsidRPr="0048710D">
        <w:t>,</w:t>
      </w:r>
      <w:r w:rsidRPr="0048710D">
        <w:t xml:space="preserve"> L. C. F., Magalhães, C. M. C., &amp; Pedroso, J. S. (2018). Envelhecimento saudável e autoeficácia do idoso: </w:t>
      </w:r>
      <w:r w:rsidR="00495142" w:rsidRPr="0048710D">
        <w:t>R</w:t>
      </w:r>
      <w:r w:rsidRPr="0048710D">
        <w:t xml:space="preserve">evisão sistemática. </w:t>
      </w:r>
      <w:r w:rsidRPr="0048710D">
        <w:rPr>
          <w:i/>
          <w:iCs/>
        </w:rPr>
        <w:t>Revista de Psicologia da IMED</w:t>
      </w:r>
      <w:r w:rsidRPr="0048710D">
        <w:t xml:space="preserve">, </w:t>
      </w:r>
      <w:r w:rsidRPr="0048710D">
        <w:rPr>
          <w:i/>
          <w:iCs/>
        </w:rPr>
        <w:t>10</w:t>
      </w:r>
      <w:r w:rsidRPr="0048710D">
        <w:t>(2), 103</w:t>
      </w:r>
      <w:r w:rsidR="00495142" w:rsidRPr="0048710D">
        <w:t>–</w:t>
      </w:r>
      <w:r w:rsidRPr="0048710D">
        <w:t xml:space="preserve">118. </w:t>
      </w:r>
      <w:hyperlink r:id="rId36" w:history="1">
        <w:r w:rsidR="0048710D" w:rsidRPr="00074E98">
          <w:rPr>
            <w:rStyle w:val="Lienhypertexte"/>
          </w:rPr>
          <w:t>https://doi.org/10.18256/2175-5027.2018.v10i2.2790</w:t>
        </w:r>
      </w:hyperlink>
    </w:p>
    <w:p w14:paraId="56450888" w14:textId="22DFBF66" w:rsidR="00D365DC" w:rsidRDefault="00D365DC" w:rsidP="00495142">
      <w:pPr>
        <w:pStyle w:val="APARefs"/>
      </w:pPr>
      <w:r w:rsidRPr="0048710D">
        <w:t>Matos, V. L. R. (2019). O processo de envelhecimento. O lugar do idoso na sociedade</w:t>
      </w:r>
      <w:r w:rsidR="00495142" w:rsidRPr="0048710D">
        <w:t xml:space="preserve"> </w:t>
      </w:r>
      <w:r w:rsidRPr="0048710D">
        <w:t xml:space="preserve">brasileira. </w:t>
      </w:r>
      <w:r w:rsidRPr="0048710D">
        <w:rPr>
          <w:i/>
          <w:iCs/>
        </w:rPr>
        <w:t>Revista Longe Viver</w:t>
      </w:r>
      <w:r w:rsidRPr="0048710D">
        <w:t xml:space="preserve">, </w:t>
      </w:r>
      <w:r w:rsidRPr="0048710D">
        <w:rPr>
          <w:i/>
          <w:iCs/>
        </w:rPr>
        <w:t>1</w:t>
      </w:r>
      <w:r w:rsidRPr="0048710D">
        <w:t>(4), 4</w:t>
      </w:r>
      <w:r w:rsidR="00495142" w:rsidRPr="0048710D">
        <w:t>–</w:t>
      </w:r>
      <w:r w:rsidRPr="0048710D">
        <w:t>16.</w:t>
      </w:r>
      <w:r w:rsidR="00495142" w:rsidRPr="0048710D">
        <w:t xml:space="preserve"> </w:t>
      </w:r>
      <w:hyperlink r:id="rId37" w:history="1">
        <w:r w:rsidR="0048710D" w:rsidRPr="00074E98">
          <w:rPr>
            <w:rStyle w:val="Lienhypertexte"/>
          </w:rPr>
          <w:t>https://revistalongeviver.com.br/anteriores/index.php/revistaportal/article/view/801/870</w:t>
        </w:r>
      </w:hyperlink>
    </w:p>
    <w:p w14:paraId="31652E90" w14:textId="5F00721B" w:rsidR="00D365DC" w:rsidRPr="0048710D" w:rsidRDefault="00D365DC" w:rsidP="00495142">
      <w:pPr>
        <w:pStyle w:val="APARefs"/>
      </w:pPr>
      <w:r w:rsidRPr="0048710D">
        <w:t xml:space="preserve">Neri, A. L. (2013). Conceitos e teorias sobre o envelhecimento. In L. F. Malloy-Diniz, D. Fuentes, &amp; R. M. Cosenza (Orgs), </w:t>
      </w:r>
      <w:r w:rsidRPr="0048710D">
        <w:rPr>
          <w:i/>
          <w:iCs/>
        </w:rPr>
        <w:t xml:space="preserve">Neuropsicologia do envelhecimento: </w:t>
      </w:r>
      <w:r w:rsidR="00495142" w:rsidRPr="0048710D">
        <w:rPr>
          <w:i/>
          <w:iCs/>
        </w:rPr>
        <w:t>U</w:t>
      </w:r>
      <w:r w:rsidRPr="0048710D">
        <w:rPr>
          <w:i/>
          <w:iCs/>
        </w:rPr>
        <w:t>ma abordagem multidimensional</w:t>
      </w:r>
      <w:r w:rsidRPr="0048710D">
        <w:t xml:space="preserve"> (pp. 17</w:t>
      </w:r>
      <w:r w:rsidR="00495142" w:rsidRPr="0048710D">
        <w:t>–</w:t>
      </w:r>
      <w:r w:rsidRPr="0048710D">
        <w:t>42). Artmed.</w:t>
      </w:r>
      <w:r w:rsidR="00495142" w:rsidRPr="0048710D">
        <w:t xml:space="preserve"> </w:t>
      </w:r>
    </w:p>
    <w:p w14:paraId="01E12865" w14:textId="77777777" w:rsidR="00495142" w:rsidRPr="0048710D" w:rsidRDefault="00495142" w:rsidP="00495142">
      <w:pPr>
        <w:pStyle w:val="APARefs"/>
        <w:rPr>
          <w:rFonts w:eastAsia="Times New Roman"/>
        </w:rPr>
      </w:pPr>
      <w:r w:rsidRPr="0048710D">
        <w:rPr>
          <w:rFonts w:eastAsia="Times New Roman"/>
        </w:rPr>
        <w:lastRenderedPageBreak/>
        <w:t xml:space="preserve">Neri, A. L. (2022). Teorias psicológicas do envelhecimento: Percurso teórico e teorias atuais. In E. V. Freitas, L. Py, J. Doll, M. L. Gorzoni, &amp; K. L. Mohallem (Orgs.), </w:t>
      </w:r>
      <w:r w:rsidRPr="0048710D">
        <w:rPr>
          <w:rFonts w:eastAsia="Times New Roman"/>
          <w:i/>
          <w:iCs/>
        </w:rPr>
        <w:t>Tratado de geriatria e gerontologia</w:t>
      </w:r>
      <w:r w:rsidRPr="0048710D">
        <w:rPr>
          <w:rFonts w:eastAsia="Times New Roman"/>
        </w:rPr>
        <w:t xml:space="preserve"> (Vol. 1, 5ª ed., pp. 1224–1234). Guanabara Koogan. </w:t>
      </w:r>
    </w:p>
    <w:p w14:paraId="56925A09" w14:textId="71D476B5" w:rsidR="00495142" w:rsidRDefault="00495142" w:rsidP="00D365DC">
      <w:pPr>
        <w:pStyle w:val="APARefs"/>
      </w:pPr>
      <w:r w:rsidRPr="0048710D">
        <w:t xml:space="preserve">Neri, A. L., Yassuda, M. S., Araújo, L. F., Eulálio, M. C., Cabral, B. E., Siqueira, M. E. C., Santos, G. A., &amp; Moura, J. G. A. (2013). Metodologia e perfil sociodemográfico, cognitivo e de fragilidade de idosos comunitários de sete cidades brasileiras: Estudo FIBRA. </w:t>
      </w:r>
      <w:r w:rsidRPr="0048710D">
        <w:rPr>
          <w:i/>
          <w:iCs/>
        </w:rPr>
        <w:t>Cadernos de Saúde Pública</w:t>
      </w:r>
      <w:r w:rsidRPr="0048710D">
        <w:t xml:space="preserve">, </w:t>
      </w:r>
      <w:r w:rsidRPr="0048710D">
        <w:rPr>
          <w:i/>
          <w:iCs/>
        </w:rPr>
        <w:t>29</w:t>
      </w:r>
      <w:r w:rsidRPr="0048710D">
        <w:t xml:space="preserve">(4), 778–792. </w:t>
      </w:r>
      <w:hyperlink r:id="rId38" w:history="1">
        <w:r w:rsidR="0048710D" w:rsidRPr="00074E98">
          <w:rPr>
            <w:rStyle w:val="Lienhypertexte"/>
          </w:rPr>
          <w:t>https://doi.org/10.1590/S0102-311X2013000400015</w:t>
        </w:r>
      </w:hyperlink>
    </w:p>
    <w:p w14:paraId="435254E1" w14:textId="1EC1D63A" w:rsidR="001B436E" w:rsidRPr="006F68B6" w:rsidRDefault="001B436E" w:rsidP="001B436E">
      <w:pPr>
        <w:pStyle w:val="APARefs"/>
        <w:rPr>
          <w:lang w:val="en-US"/>
        </w:rPr>
      </w:pPr>
      <w:r w:rsidRPr="0048710D">
        <w:t xml:space="preserve">Organização das Nações Unidas. (2023, 12 de janeiro). ONU quer mais apoio para população em envelhecimento. </w:t>
      </w:r>
      <w:r w:rsidRPr="006F68B6">
        <w:rPr>
          <w:i/>
          <w:iCs/>
          <w:lang w:val="en-US"/>
        </w:rPr>
        <w:t>ONU News</w:t>
      </w:r>
      <w:r w:rsidRPr="006F68B6">
        <w:rPr>
          <w:lang w:val="en-US"/>
        </w:rPr>
        <w:t xml:space="preserve">. </w:t>
      </w:r>
      <w:hyperlink r:id="rId39" w:history="1">
        <w:r w:rsidR="0048710D" w:rsidRPr="006F68B6">
          <w:rPr>
            <w:rStyle w:val="Lienhypertexte"/>
            <w:lang w:val="en-US"/>
          </w:rPr>
          <w:t>https://news.un.org/pt/story/2023/01/1807992</w:t>
        </w:r>
      </w:hyperlink>
    </w:p>
    <w:p w14:paraId="5BCC31D4" w14:textId="14377971" w:rsidR="00D365DC" w:rsidRDefault="00D365DC" w:rsidP="00CE7F3A">
      <w:pPr>
        <w:pStyle w:val="APARefs"/>
      </w:pPr>
      <w:r w:rsidRPr="006F68B6">
        <w:rPr>
          <w:lang w:val="en-US"/>
        </w:rPr>
        <w:t xml:space="preserve">Pereira, M. M. D. (2022). </w:t>
      </w:r>
      <w:r w:rsidRPr="0048710D">
        <w:rPr>
          <w:i/>
          <w:iCs/>
        </w:rPr>
        <w:t xml:space="preserve">O </w:t>
      </w:r>
      <w:r w:rsidR="003F1987" w:rsidRPr="0048710D">
        <w:rPr>
          <w:i/>
          <w:iCs/>
        </w:rPr>
        <w:t>i</w:t>
      </w:r>
      <w:r w:rsidRPr="0048710D">
        <w:rPr>
          <w:i/>
          <w:iCs/>
        </w:rPr>
        <w:t xml:space="preserve">solamento </w:t>
      </w:r>
      <w:r w:rsidR="003F1987" w:rsidRPr="0048710D">
        <w:rPr>
          <w:i/>
          <w:iCs/>
        </w:rPr>
        <w:t>s</w:t>
      </w:r>
      <w:r w:rsidRPr="0048710D">
        <w:rPr>
          <w:i/>
          <w:iCs/>
        </w:rPr>
        <w:t xml:space="preserve">ocial e a </w:t>
      </w:r>
      <w:r w:rsidR="003F1987" w:rsidRPr="0048710D">
        <w:rPr>
          <w:i/>
          <w:iCs/>
        </w:rPr>
        <w:t>s</w:t>
      </w:r>
      <w:r w:rsidRPr="0048710D">
        <w:rPr>
          <w:i/>
          <w:iCs/>
        </w:rPr>
        <w:t xml:space="preserve">olidão na </w:t>
      </w:r>
      <w:r w:rsidR="003F1987" w:rsidRPr="0048710D">
        <w:rPr>
          <w:i/>
          <w:iCs/>
        </w:rPr>
        <w:t>d</w:t>
      </w:r>
      <w:r w:rsidRPr="0048710D">
        <w:rPr>
          <w:i/>
          <w:iCs/>
        </w:rPr>
        <w:t xml:space="preserve">emência: O </w:t>
      </w:r>
      <w:r w:rsidR="003F1987" w:rsidRPr="0048710D">
        <w:rPr>
          <w:i/>
          <w:iCs/>
        </w:rPr>
        <w:t>i</w:t>
      </w:r>
      <w:r w:rsidRPr="0048710D">
        <w:rPr>
          <w:i/>
          <w:iCs/>
        </w:rPr>
        <w:t xml:space="preserve">nimigo </w:t>
      </w:r>
      <w:r w:rsidR="003F1987" w:rsidRPr="0048710D">
        <w:rPr>
          <w:i/>
          <w:iCs/>
        </w:rPr>
        <w:t>o</w:t>
      </w:r>
      <w:r w:rsidRPr="0048710D">
        <w:rPr>
          <w:i/>
          <w:iCs/>
        </w:rPr>
        <w:t>culto</w:t>
      </w:r>
      <w:r w:rsidR="003F1987" w:rsidRPr="0048710D">
        <w:rPr>
          <w:i/>
          <w:iCs/>
        </w:rPr>
        <w:t xml:space="preserve"> </w:t>
      </w:r>
      <w:r w:rsidR="003F1987" w:rsidRPr="0048710D">
        <w:t xml:space="preserve">[Dissertação </w:t>
      </w:r>
      <w:r w:rsidRPr="0048710D">
        <w:t>de mestrado, Universidade da Beira Interior</w:t>
      </w:r>
      <w:r w:rsidR="003F1987" w:rsidRPr="0048710D">
        <w:t>]</w:t>
      </w:r>
      <w:r w:rsidRPr="0048710D">
        <w:t xml:space="preserve">. </w:t>
      </w:r>
      <w:r w:rsidR="003F1987" w:rsidRPr="0048710D">
        <w:t xml:space="preserve">Repositório Digital da UBI. </w:t>
      </w:r>
      <w:hyperlink r:id="rId40" w:history="1">
        <w:r w:rsidR="0048710D" w:rsidRPr="00074E98">
          <w:rPr>
            <w:rStyle w:val="Lienhypertexte"/>
          </w:rPr>
          <w:t>http://hdl.handle.net/10400.6/12866</w:t>
        </w:r>
      </w:hyperlink>
    </w:p>
    <w:p w14:paraId="43A07273" w14:textId="4048EE34" w:rsidR="00D365DC" w:rsidRDefault="00D365DC" w:rsidP="003F1987">
      <w:pPr>
        <w:pStyle w:val="APARefs"/>
      </w:pPr>
      <w:r w:rsidRPr="0048710D">
        <w:t xml:space="preserve">Pocinho, M., &amp; Macedo, E. (2017). Solidão: Um </w:t>
      </w:r>
      <w:r w:rsidR="003F1987" w:rsidRPr="0048710D">
        <w:t>c</w:t>
      </w:r>
      <w:r w:rsidRPr="0048710D">
        <w:t xml:space="preserve">onstruto </w:t>
      </w:r>
      <w:r w:rsidR="003F1987" w:rsidRPr="0048710D">
        <w:t>c</w:t>
      </w:r>
      <w:r w:rsidRPr="0048710D">
        <w:t>omplexo</w:t>
      </w:r>
      <w:r w:rsidRPr="0048710D">
        <w:rPr>
          <w:i/>
          <w:iCs/>
        </w:rPr>
        <w:t xml:space="preserve">. Interações: Sociedade </w:t>
      </w:r>
      <w:r w:rsidR="003F1987" w:rsidRPr="0048710D">
        <w:rPr>
          <w:i/>
          <w:iCs/>
        </w:rPr>
        <w:t>e</w:t>
      </w:r>
      <w:r w:rsidRPr="0048710D">
        <w:rPr>
          <w:i/>
          <w:iCs/>
        </w:rPr>
        <w:t xml:space="preserve"> As Novas Modernidades</w:t>
      </w:r>
      <w:r w:rsidRPr="0048710D">
        <w:t xml:space="preserve">, </w:t>
      </w:r>
      <w:r w:rsidRPr="0048710D">
        <w:rPr>
          <w:i/>
          <w:iCs/>
        </w:rPr>
        <w:t>32</w:t>
      </w:r>
      <w:r w:rsidR="003F1987" w:rsidRPr="0048710D">
        <w:t>, 53–66</w:t>
      </w:r>
      <w:r w:rsidRPr="0048710D">
        <w:t xml:space="preserve">. </w:t>
      </w:r>
      <w:hyperlink r:id="rId41" w:history="1">
        <w:r w:rsidR="0048710D" w:rsidRPr="00074E98">
          <w:rPr>
            <w:rStyle w:val="Lienhypertexte"/>
          </w:rPr>
          <w:t>https://www.interacoes-ismt.com/index.php/revista/article/view/399</w:t>
        </w:r>
      </w:hyperlink>
    </w:p>
    <w:p w14:paraId="2F3933E6" w14:textId="68C02705" w:rsidR="003F1987" w:rsidRDefault="003F1987" w:rsidP="003F1987">
      <w:pPr>
        <w:pStyle w:val="APARefs"/>
      </w:pPr>
      <w:r w:rsidRPr="006F68B6">
        <w:rPr>
          <w:lang w:val="en-US"/>
        </w:rPr>
        <w:t xml:space="preserve">Prohaska, T., Burholt, V., Burns, A., Golden, J., Hawkley, L., Lawlor, B., Leavey, G., Lubben, J., O’Sullivan, R., Perissinotto, C., van Tilburg, T., Tully, M., Victor, C., &amp; Fried, L. (2020). Consensus statement: Loneliness in older adults, the 21st century social determinant of health? </w:t>
      </w:r>
      <w:r w:rsidRPr="0048710D">
        <w:rPr>
          <w:i/>
          <w:iCs/>
        </w:rPr>
        <w:t>BMJ Open</w:t>
      </w:r>
      <w:r w:rsidRPr="0048710D">
        <w:t xml:space="preserve">, </w:t>
      </w:r>
      <w:r w:rsidRPr="0048710D">
        <w:rPr>
          <w:i/>
          <w:iCs/>
        </w:rPr>
        <w:t>10</w:t>
      </w:r>
      <w:r w:rsidRPr="0048710D">
        <w:t xml:space="preserve">(8), Article e034967. </w:t>
      </w:r>
      <w:hyperlink r:id="rId42" w:history="1">
        <w:r w:rsidR="0048710D" w:rsidRPr="00074E98">
          <w:rPr>
            <w:rStyle w:val="Lienhypertexte"/>
          </w:rPr>
          <w:t>https://doi.org/10.1136/bmjopen-2019-034967</w:t>
        </w:r>
      </w:hyperlink>
    </w:p>
    <w:p w14:paraId="5D06A264" w14:textId="42869F28" w:rsidR="003F1987" w:rsidRDefault="003F1987" w:rsidP="003F1987">
      <w:pPr>
        <w:pStyle w:val="APARefs"/>
      </w:pPr>
      <w:r w:rsidRPr="0048710D">
        <w:t xml:space="preserve">Rabelo, D. F., &amp; Neri, A. L. (2013). Intervenções psicossociais com grupos de idosos. </w:t>
      </w:r>
      <w:r w:rsidRPr="0048710D">
        <w:rPr>
          <w:i/>
          <w:iCs/>
        </w:rPr>
        <w:t>Revista Kairós-Gerontologia</w:t>
      </w:r>
      <w:r w:rsidRPr="0048710D">
        <w:t xml:space="preserve">, </w:t>
      </w:r>
      <w:r w:rsidRPr="0048710D">
        <w:rPr>
          <w:i/>
          <w:iCs/>
        </w:rPr>
        <w:t>16</w:t>
      </w:r>
      <w:r w:rsidRPr="0048710D">
        <w:t xml:space="preserve">(6), 43–63. </w:t>
      </w:r>
      <w:hyperlink r:id="rId43" w:history="1">
        <w:r w:rsidR="0048710D" w:rsidRPr="00074E98">
          <w:rPr>
            <w:rStyle w:val="Lienhypertexte"/>
          </w:rPr>
          <w:t>https://doi.org/10.23925/2176-901X.2013v16i4p43-63</w:t>
        </w:r>
      </w:hyperlink>
    </w:p>
    <w:p w14:paraId="6983AF55" w14:textId="77639916" w:rsidR="003F1987" w:rsidRDefault="003F1987" w:rsidP="003F1987">
      <w:pPr>
        <w:pStyle w:val="APARefs"/>
        <w:rPr>
          <w:rFonts w:eastAsia="Times New Roman"/>
        </w:rPr>
      </w:pPr>
      <w:r w:rsidRPr="0048710D">
        <w:rPr>
          <w:rFonts w:eastAsia="Times New Roman"/>
        </w:rPr>
        <w:t xml:space="preserve">Ratinaud, P. (2009). </w:t>
      </w:r>
      <w:r w:rsidRPr="006F68B6">
        <w:rPr>
          <w:rFonts w:eastAsia="Times New Roman"/>
          <w:i/>
          <w:iCs/>
          <w:lang w:val="fr-FR"/>
        </w:rPr>
        <w:t>IRaMuTeQ: Interface de R pour les Analyses Multidimensionnelles de Textes et de Questionnaires</w:t>
      </w:r>
      <w:r w:rsidRPr="006F68B6">
        <w:rPr>
          <w:rFonts w:eastAsia="Times New Roman"/>
          <w:lang w:val="fr-FR"/>
        </w:rPr>
        <w:t xml:space="preserve"> [Computer software]. </w:t>
      </w:r>
      <w:hyperlink r:id="rId44" w:history="1">
        <w:r w:rsidR="00EE185B" w:rsidRPr="00074E98">
          <w:rPr>
            <w:rStyle w:val="Lienhypertexte"/>
            <w:rFonts w:eastAsia="Times New Roman"/>
          </w:rPr>
          <w:t>http://www.IRaMuTeQ.org</w:t>
        </w:r>
      </w:hyperlink>
    </w:p>
    <w:p w14:paraId="06035135" w14:textId="7726394F" w:rsidR="00D365DC" w:rsidRDefault="00D365DC" w:rsidP="003F1987">
      <w:pPr>
        <w:pStyle w:val="APARefs"/>
      </w:pPr>
      <w:r w:rsidRPr="0048710D">
        <w:t xml:space="preserve">Rodrigues, E. F. S., da Silva, T. S., Pinto, R. G. S., Lino, M. R. B., da Silva, F. M., &amp; Lemos, M. H. da S. (2024). O papel da família na promoção do envelhecimento saudável em idosos: </w:t>
      </w:r>
      <w:r w:rsidR="003F1987" w:rsidRPr="0048710D">
        <w:t>U</w:t>
      </w:r>
      <w:r w:rsidRPr="0048710D">
        <w:t xml:space="preserve">ma revisão integrativa. </w:t>
      </w:r>
      <w:r w:rsidRPr="0048710D">
        <w:rPr>
          <w:i/>
          <w:iCs/>
        </w:rPr>
        <w:t xml:space="preserve">Revista JRG </w:t>
      </w:r>
      <w:r w:rsidR="003F1987" w:rsidRPr="0048710D">
        <w:rPr>
          <w:i/>
          <w:iCs/>
        </w:rPr>
        <w:t>d</w:t>
      </w:r>
      <w:r w:rsidRPr="0048710D">
        <w:rPr>
          <w:i/>
          <w:iCs/>
        </w:rPr>
        <w:t>e Estudos Acadêmicos</w:t>
      </w:r>
      <w:r w:rsidRPr="0048710D">
        <w:t xml:space="preserve">, </w:t>
      </w:r>
      <w:r w:rsidRPr="0048710D">
        <w:rPr>
          <w:i/>
          <w:iCs/>
        </w:rPr>
        <w:t>7</w:t>
      </w:r>
      <w:r w:rsidRPr="0048710D">
        <w:t>(14),</w:t>
      </w:r>
      <w:r w:rsidR="003F1987" w:rsidRPr="0048710D">
        <w:t xml:space="preserve"> Article</w:t>
      </w:r>
      <w:r w:rsidRPr="0048710D">
        <w:t xml:space="preserve"> e14940. </w:t>
      </w:r>
      <w:hyperlink r:id="rId45" w:history="1">
        <w:r w:rsidR="00EE185B" w:rsidRPr="00074E98">
          <w:rPr>
            <w:rStyle w:val="Lienhypertexte"/>
          </w:rPr>
          <w:t>https://doi.org/10.55892/jrg.v7i14.940</w:t>
        </w:r>
      </w:hyperlink>
    </w:p>
    <w:p w14:paraId="0845F8CA" w14:textId="5680C098" w:rsidR="00EE185B" w:rsidRDefault="00D365DC" w:rsidP="003F1987">
      <w:pPr>
        <w:pStyle w:val="APARefs"/>
      </w:pPr>
      <w:r w:rsidRPr="0048710D">
        <w:t xml:space="preserve">Sandy, P. A., Borim, F. S. A., &amp; Neri, A. L. (2023). Solidão e sua associação com indicadores sociodemográficos e de saúde em adultos e idosos brasileiros: ELSI-Brasil. </w:t>
      </w:r>
      <w:r w:rsidRPr="0048710D">
        <w:rPr>
          <w:i/>
          <w:iCs/>
        </w:rPr>
        <w:t>Cadernos de Saúde Pública</w:t>
      </w:r>
      <w:r w:rsidRPr="0048710D">
        <w:t xml:space="preserve">, </w:t>
      </w:r>
      <w:r w:rsidRPr="0048710D">
        <w:rPr>
          <w:i/>
          <w:iCs/>
        </w:rPr>
        <w:t>39</w:t>
      </w:r>
      <w:r w:rsidRPr="0048710D">
        <w:t xml:space="preserve">(7), </w:t>
      </w:r>
      <w:r w:rsidR="003F1987" w:rsidRPr="0048710D">
        <w:t xml:space="preserve">Article </w:t>
      </w:r>
      <w:r w:rsidRPr="0048710D">
        <w:t>e00213222.</w:t>
      </w:r>
      <w:r w:rsidR="003F1987" w:rsidRPr="0048710D">
        <w:t xml:space="preserve"> </w:t>
      </w:r>
      <w:hyperlink r:id="rId46" w:history="1">
        <w:r w:rsidR="00EE185B" w:rsidRPr="00074E98">
          <w:rPr>
            <w:rStyle w:val="Lienhypertexte"/>
          </w:rPr>
          <w:t>https://doi.org/10.1590/0102-311XPT213222</w:t>
        </w:r>
      </w:hyperlink>
    </w:p>
    <w:p w14:paraId="28B43CA2" w14:textId="046D6A9B" w:rsidR="00EE185B" w:rsidRDefault="00D365DC" w:rsidP="003F1987">
      <w:pPr>
        <w:pStyle w:val="APARefs"/>
      </w:pPr>
      <w:r w:rsidRPr="0048710D">
        <w:lastRenderedPageBreak/>
        <w:t xml:space="preserve">Santos, J. D. L. B., Gregório, S. R., &amp; Rosa, C. M. (2021). A solidão na contemporaneidade: </w:t>
      </w:r>
      <w:r w:rsidR="003F1987" w:rsidRPr="0048710D">
        <w:t>U</w:t>
      </w:r>
      <w:r w:rsidRPr="0048710D">
        <w:t xml:space="preserve">ma reflexão sobre as relações sociais. </w:t>
      </w:r>
      <w:r w:rsidRPr="0048710D">
        <w:rPr>
          <w:i/>
          <w:iCs/>
        </w:rPr>
        <w:t>PerCursos</w:t>
      </w:r>
      <w:r w:rsidRPr="0048710D">
        <w:t xml:space="preserve">, </w:t>
      </w:r>
      <w:r w:rsidRPr="0048710D">
        <w:rPr>
          <w:i/>
          <w:iCs/>
        </w:rPr>
        <w:t>22</w:t>
      </w:r>
      <w:r w:rsidRPr="0048710D">
        <w:t xml:space="preserve">(49), 316–339. </w:t>
      </w:r>
      <w:hyperlink r:id="rId47" w:history="1">
        <w:r w:rsidR="00EE185B" w:rsidRPr="00074E98">
          <w:rPr>
            <w:rStyle w:val="Lienhypertexte"/>
          </w:rPr>
          <w:t>https://doi.org/10.5965/1984724622492021316</w:t>
        </w:r>
      </w:hyperlink>
    </w:p>
    <w:p w14:paraId="1F45AD58" w14:textId="3007722F" w:rsidR="003F1987" w:rsidRPr="0048710D" w:rsidRDefault="003F1987" w:rsidP="003F1987">
      <w:pPr>
        <w:pStyle w:val="APARefs"/>
        <w:rPr>
          <w:rFonts w:eastAsia="Times New Roman"/>
        </w:rPr>
      </w:pPr>
      <w:r w:rsidRPr="0048710D">
        <w:rPr>
          <w:rFonts w:eastAsia="Times New Roman"/>
        </w:rPr>
        <w:t xml:space="preserve">Severino, A. J. (2007). </w:t>
      </w:r>
      <w:r w:rsidRPr="0048710D">
        <w:rPr>
          <w:rFonts w:eastAsia="Times New Roman"/>
          <w:i/>
          <w:iCs/>
        </w:rPr>
        <w:t>Metodologia do trabalho científico</w:t>
      </w:r>
      <w:r w:rsidRPr="0048710D">
        <w:rPr>
          <w:rFonts w:eastAsia="Times New Roman"/>
        </w:rPr>
        <w:t xml:space="preserve">. Cortez Editora. </w:t>
      </w:r>
    </w:p>
    <w:p w14:paraId="5273091B" w14:textId="7FA7804C" w:rsidR="00EE185B" w:rsidRDefault="00D365DC" w:rsidP="001B436E">
      <w:pPr>
        <w:pStyle w:val="APARefs"/>
      </w:pPr>
      <w:r w:rsidRPr="0048710D">
        <w:t xml:space="preserve">Silva, T. O. da, &amp; Galindo, D. C. G. (2023). Envelhecimento </w:t>
      </w:r>
      <w:r w:rsidR="001B436E" w:rsidRPr="0048710D">
        <w:t>p</w:t>
      </w:r>
      <w:r w:rsidRPr="0048710D">
        <w:t xml:space="preserve">opulacional: Os impactos nas políticas públicas. </w:t>
      </w:r>
      <w:r w:rsidRPr="0048710D">
        <w:rPr>
          <w:i/>
          <w:iCs/>
        </w:rPr>
        <w:t>Diversitas Journal</w:t>
      </w:r>
      <w:r w:rsidRPr="0048710D">
        <w:t xml:space="preserve">, </w:t>
      </w:r>
      <w:r w:rsidRPr="0048710D">
        <w:rPr>
          <w:i/>
          <w:iCs/>
        </w:rPr>
        <w:t>8</w:t>
      </w:r>
      <w:r w:rsidRPr="0048710D">
        <w:t xml:space="preserve">(4), 2681–2690. </w:t>
      </w:r>
      <w:hyperlink r:id="rId48" w:history="1">
        <w:r w:rsidR="00EE185B" w:rsidRPr="00074E98">
          <w:rPr>
            <w:rStyle w:val="Lienhypertexte"/>
          </w:rPr>
          <w:t>https://doi.org/10.48017/dj.v8i4.2516</w:t>
        </w:r>
      </w:hyperlink>
    </w:p>
    <w:p w14:paraId="1E824B86" w14:textId="3405B6C8" w:rsidR="00EE185B" w:rsidRDefault="00D365DC" w:rsidP="001B436E">
      <w:pPr>
        <w:pStyle w:val="APARefs"/>
      </w:pPr>
      <w:r w:rsidRPr="0048710D">
        <w:t xml:space="preserve">Souza, G. A. D., Giacomin, K. C., &amp; Firmo, J. O. A. (2022). A necessidade de cuidado na percepção de pessoas idosas em processo de fragilização. </w:t>
      </w:r>
      <w:r w:rsidRPr="0048710D">
        <w:rPr>
          <w:i/>
          <w:iCs/>
        </w:rPr>
        <w:t>Cadernos Saúde Coletiva</w:t>
      </w:r>
      <w:r w:rsidRPr="0048710D">
        <w:t xml:space="preserve">, </w:t>
      </w:r>
      <w:r w:rsidRPr="0048710D">
        <w:rPr>
          <w:i/>
          <w:iCs/>
        </w:rPr>
        <w:t>30</w:t>
      </w:r>
      <w:r w:rsidRPr="0048710D">
        <w:t>(4), 486</w:t>
      </w:r>
      <w:r w:rsidR="001B436E" w:rsidRPr="0048710D">
        <w:t>–</w:t>
      </w:r>
      <w:r w:rsidRPr="0048710D">
        <w:t>495.</w:t>
      </w:r>
      <w:r w:rsidR="001B436E" w:rsidRPr="0048710D">
        <w:t xml:space="preserve"> </w:t>
      </w:r>
      <w:hyperlink r:id="rId49" w:history="1">
        <w:r w:rsidR="00EE185B" w:rsidRPr="00074E98">
          <w:rPr>
            <w:rStyle w:val="Lienhypertexte"/>
          </w:rPr>
          <w:t>https://doi.org/10.1590/1414-462X202230040506</w:t>
        </w:r>
      </w:hyperlink>
    </w:p>
    <w:p w14:paraId="3E929EE9" w14:textId="184BFE88" w:rsidR="00EE185B" w:rsidRDefault="001B436E" w:rsidP="001B436E">
      <w:pPr>
        <w:pStyle w:val="APARefs"/>
      </w:pPr>
      <w:r w:rsidRPr="0048710D">
        <w:t xml:space="preserve">Souza, R. F. D., Skubs, T., &amp; Brêtas, A. C. P. (2007). Envelhecimento e família: Uma nova perspectiva para o cuidado de enfermagem. </w:t>
      </w:r>
      <w:r w:rsidRPr="0048710D">
        <w:rPr>
          <w:i/>
          <w:iCs/>
        </w:rPr>
        <w:t>Revista Brasileira de Enfermagem</w:t>
      </w:r>
      <w:r w:rsidRPr="0048710D">
        <w:t xml:space="preserve">, </w:t>
      </w:r>
      <w:r w:rsidRPr="0048710D">
        <w:rPr>
          <w:i/>
          <w:iCs/>
        </w:rPr>
        <w:t>60</w:t>
      </w:r>
      <w:r w:rsidRPr="0048710D">
        <w:t xml:space="preserve">, 263–267. </w:t>
      </w:r>
      <w:hyperlink r:id="rId50" w:history="1">
        <w:r w:rsidR="00EE185B" w:rsidRPr="00074E98">
          <w:rPr>
            <w:rStyle w:val="Lienhypertexte"/>
          </w:rPr>
          <w:t>https://doi.org/10.1590/S0034-71672007000300003</w:t>
        </w:r>
      </w:hyperlink>
    </w:p>
    <w:p w14:paraId="2D3D86BC" w14:textId="15D84CBD" w:rsidR="00EE185B" w:rsidRDefault="00D365DC" w:rsidP="001B436E">
      <w:pPr>
        <w:pStyle w:val="APARefs"/>
      </w:pPr>
      <w:r w:rsidRPr="0048710D">
        <w:t xml:space="preserve">Teo, K., Churchill, R., Riadi, I., Kervin, L., Wister, A. V., &amp; Cosco, T. D. (2022). </w:t>
      </w:r>
      <w:r w:rsidRPr="006F68B6">
        <w:rPr>
          <w:lang w:val="en-US"/>
        </w:rPr>
        <w:t xml:space="preserve">Help-seeking behaviors among older adults: </w:t>
      </w:r>
      <w:r w:rsidR="001B436E" w:rsidRPr="006F68B6">
        <w:rPr>
          <w:lang w:val="en-US"/>
        </w:rPr>
        <w:t>A</w:t>
      </w:r>
      <w:r w:rsidRPr="006F68B6">
        <w:rPr>
          <w:lang w:val="en-US"/>
        </w:rPr>
        <w:t xml:space="preserve"> scoping review. </w:t>
      </w:r>
      <w:r w:rsidRPr="006F68B6">
        <w:rPr>
          <w:i/>
          <w:iCs/>
          <w:lang w:val="en-US"/>
        </w:rPr>
        <w:t>Journal of Applied Gerontology</w:t>
      </w:r>
      <w:r w:rsidRPr="006F68B6">
        <w:rPr>
          <w:lang w:val="en-US"/>
        </w:rPr>
        <w:t xml:space="preserve">, </w:t>
      </w:r>
      <w:r w:rsidRPr="006F68B6">
        <w:rPr>
          <w:i/>
          <w:iCs/>
          <w:lang w:val="en-US"/>
        </w:rPr>
        <w:t>41</w:t>
      </w:r>
      <w:r w:rsidRPr="006F68B6">
        <w:rPr>
          <w:lang w:val="en-US"/>
        </w:rPr>
        <w:t>(5), 1500</w:t>
      </w:r>
      <w:r w:rsidR="001B436E" w:rsidRPr="006F68B6">
        <w:rPr>
          <w:lang w:val="en-US"/>
        </w:rPr>
        <w:t>–</w:t>
      </w:r>
      <w:r w:rsidRPr="006F68B6">
        <w:rPr>
          <w:lang w:val="en-US"/>
        </w:rPr>
        <w:t>1510.</w:t>
      </w:r>
      <w:r w:rsidR="001B436E" w:rsidRPr="006F68B6">
        <w:rPr>
          <w:lang w:val="en-US"/>
        </w:rPr>
        <w:t xml:space="preserve"> </w:t>
      </w:r>
      <w:hyperlink r:id="rId51" w:history="1">
        <w:r w:rsidR="00EE185B" w:rsidRPr="00074E98">
          <w:rPr>
            <w:rStyle w:val="Lienhypertexte"/>
          </w:rPr>
          <w:t>https://doi.org/10.1177/07334648211067710</w:t>
        </w:r>
      </w:hyperlink>
    </w:p>
    <w:p w14:paraId="6F0724EC" w14:textId="5D51FC00" w:rsidR="00D365DC" w:rsidRPr="0048710D" w:rsidRDefault="00D365DC" w:rsidP="001B436E">
      <w:pPr>
        <w:pStyle w:val="APARefs"/>
      </w:pPr>
      <w:r w:rsidRPr="0048710D">
        <w:t>Vilela, G. B.</w:t>
      </w:r>
      <w:r w:rsidR="001B436E" w:rsidRPr="0048710D">
        <w:t>, Jr., &amp;</w:t>
      </w:r>
      <w:r w:rsidRPr="0048710D">
        <w:t xml:space="preserve"> Passos, R. P. (2020). </w:t>
      </w:r>
      <w:r w:rsidRPr="0048710D">
        <w:rPr>
          <w:i/>
          <w:iCs/>
        </w:rPr>
        <w:t>Metodologia de pesquisa científica e bases epistemológicas</w:t>
      </w:r>
      <w:r w:rsidRPr="0048710D">
        <w:t>. CPAQV.</w:t>
      </w:r>
      <w:r w:rsidR="001B436E" w:rsidRPr="0048710D">
        <w:t xml:space="preserve"> </w:t>
      </w:r>
    </w:p>
    <w:p w14:paraId="13D3A50A" w14:textId="248BE011" w:rsidR="001B436E" w:rsidRDefault="00D365DC" w:rsidP="001B436E">
      <w:pPr>
        <w:pStyle w:val="APARefs"/>
      </w:pPr>
      <w:r w:rsidRPr="0048710D">
        <w:t xml:space="preserve">Wichmann, F. M. A., Couto, A. N., Areosa, S. V. C., &amp; Montañés, M. C. M. (2013). Grupos de convivência como suporte ao idoso na melhoria da saúde. </w:t>
      </w:r>
      <w:r w:rsidRPr="0048710D">
        <w:rPr>
          <w:i/>
          <w:iCs/>
        </w:rPr>
        <w:t>Revista Brasileira de Geriatria e Gerontologia</w:t>
      </w:r>
      <w:r w:rsidRPr="0048710D">
        <w:t xml:space="preserve">, </w:t>
      </w:r>
      <w:r w:rsidRPr="0048710D">
        <w:rPr>
          <w:i/>
          <w:iCs/>
        </w:rPr>
        <w:t>16</w:t>
      </w:r>
      <w:r w:rsidRPr="0048710D">
        <w:t>, 821</w:t>
      </w:r>
      <w:r w:rsidR="001B436E" w:rsidRPr="0048710D">
        <w:t>–</w:t>
      </w:r>
      <w:r w:rsidRPr="0048710D">
        <w:t>832.</w:t>
      </w:r>
      <w:r w:rsidR="001B436E" w:rsidRPr="0048710D">
        <w:t xml:space="preserve"> </w:t>
      </w:r>
      <w:hyperlink r:id="rId52" w:history="1">
        <w:r w:rsidR="00EE185B" w:rsidRPr="00074E98">
          <w:rPr>
            <w:rStyle w:val="Lienhypertexte"/>
          </w:rPr>
          <w:t>https://doi.org/10.1590/S1809-98232013000400016</w:t>
        </w:r>
      </w:hyperlink>
    </w:p>
    <w:p w14:paraId="6BE26DED" w14:textId="77777777" w:rsidR="00EE185B" w:rsidRPr="0048710D" w:rsidRDefault="00EE185B" w:rsidP="001B436E">
      <w:pPr>
        <w:pStyle w:val="APARefs"/>
      </w:pPr>
    </w:p>
    <w:sectPr w:rsidR="00EE185B" w:rsidRPr="0048710D" w:rsidSect="00D365DC">
      <w:headerReference w:type="even" r:id="rId53"/>
      <w:headerReference w:type="default" r:id="rId54"/>
      <w:footerReference w:type="even" r:id="rId55"/>
      <w:footerReference w:type="default" r:id="rId56"/>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95A3" w14:textId="77777777" w:rsidR="00E6342D" w:rsidRDefault="00E6342D">
      <w:r>
        <w:separator/>
      </w:r>
    </w:p>
  </w:endnote>
  <w:endnote w:type="continuationSeparator" w:id="0">
    <w:p w14:paraId="6C1361D4" w14:textId="77777777" w:rsidR="00E6342D" w:rsidRDefault="00E6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F951" w14:textId="403ACBFE" w:rsidR="00012C61" w:rsidRDefault="00795D4C" w:rsidP="00D365DC">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D365DC">
      <w:rPr>
        <w:rFonts w:ascii="Times" w:eastAsia="Times" w:hAnsi="Times" w:cs="Times"/>
        <w:noProof/>
        <w:color w:val="000000"/>
        <w:sz w:val="16"/>
        <w:szCs w:val="16"/>
      </w:rPr>
      <w:t>2</w:t>
    </w:r>
    <w:r>
      <w:rPr>
        <w:rFonts w:ascii="Times" w:eastAsia="Times" w:hAnsi="Times" w:cs="Time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B71C" w14:textId="4686DF60" w:rsidR="00012C61" w:rsidRDefault="00795D4C">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D365DC">
      <w:rPr>
        <w:rFonts w:ascii="Times" w:eastAsia="Times" w:hAnsi="Times" w:cs="Times"/>
        <w:noProof/>
        <w:color w:val="000000"/>
        <w:sz w:val="16"/>
        <w:szCs w:val="16"/>
      </w:rPr>
      <w:t>1</w:t>
    </w:r>
    <w:r>
      <w:rPr>
        <w:rFonts w:ascii="Times" w:eastAsia="Times" w:hAnsi="Times" w:cs="Time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DB0D" w14:textId="77777777" w:rsidR="00E6342D" w:rsidRDefault="00E6342D">
      <w:r>
        <w:separator/>
      </w:r>
    </w:p>
  </w:footnote>
  <w:footnote w:type="continuationSeparator" w:id="0">
    <w:p w14:paraId="37FB6AA4" w14:textId="77777777" w:rsidR="00E6342D" w:rsidRDefault="00E6342D">
      <w:r>
        <w:continuationSeparator/>
      </w:r>
    </w:p>
  </w:footnote>
  <w:footnote w:id="1">
    <w:p w14:paraId="22A0B05F" w14:textId="11B6DE91" w:rsidR="00D53EC3" w:rsidRPr="00D53EC3" w:rsidRDefault="00D53EC3" w:rsidP="00D53EC3">
      <w:pPr>
        <w:pStyle w:val="Notedebasdepage"/>
        <w:rPr>
          <w:lang w:val="en-US"/>
        </w:rPr>
      </w:pPr>
      <w:r w:rsidRPr="00D53EC3">
        <w:rPr>
          <w:rStyle w:val="Appelnotedebasdep"/>
          <w:lang w:val="en-US"/>
        </w:rPr>
        <w:footnoteRef/>
      </w:r>
      <w:r w:rsidRPr="00D53EC3">
        <w:rPr>
          <w:lang w:val="en-US"/>
        </w:rPr>
        <w:t xml:space="preserve"> Correspondence concerning this article should be addressed to </w:t>
      </w:r>
      <w:r w:rsidR="00D40B94">
        <w:rPr>
          <w:b/>
          <w:bCs/>
          <w:lang w:val="en-US"/>
        </w:rPr>
        <w:t>(omitted for double-blind review)</w:t>
      </w:r>
      <w:r w:rsidRPr="00D53EC3">
        <w:rPr>
          <w:lang w:val="en-US"/>
        </w:rPr>
        <w:t xml:space="preserve">: </w:t>
      </w:r>
      <w:hyperlink r:id="rId1" w:history="1">
        <w:r w:rsidRPr="00D53EC3">
          <w:rPr>
            <w:rStyle w:val="Lienhypertexte"/>
            <w:lang w:val="en-US"/>
          </w:rPr>
          <w:t>example@email.com</w:t>
        </w:r>
      </w:hyperlink>
    </w:p>
  </w:footnote>
  <w:footnote w:id="2">
    <w:p w14:paraId="4B193937" w14:textId="63AD4DCE" w:rsidR="00D53EC3" w:rsidRPr="006F68B6" w:rsidRDefault="00D53EC3">
      <w:pPr>
        <w:pStyle w:val="Notedebasdepage"/>
        <w:rPr>
          <w:lang w:val="en-US"/>
        </w:rPr>
      </w:pPr>
      <w:r w:rsidRPr="00D53EC3">
        <w:rPr>
          <w:rStyle w:val="Appelnotedebasdep"/>
          <w:lang w:val="en-US"/>
        </w:rPr>
        <w:footnoteRef/>
      </w:r>
      <w:r w:rsidRPr="00D53EC3">
        <w:rPr>
          <w:lang w:val="en-US"/>
        </w:rPr>
        <w:t xml:space="preserve"> </w:t>
      </w:r>
      <w:r w:rsidRPr="00D53EC3">
        <w:rPr>
          <w:b/>
          <w:bCs/>
          <w:i/>
          <w:iCs/>
          <w:lang w:val="en-US"/>
        </w:rPr>
        <w:t>Conflicts of Interest</w:t>
      </w:r>
      <w:r w:rsidRPr="00D53EC3">
        <w:rPr>
          <w:b/>
          <w:bCs/>
          <w:lang w:val="en-US"/>
        </w:rPr>
        <w:t>:</w:t>
      </w:r>
      <w:r w:rsidRPr="00D53EC3">
        <w:rPr>
          <w:lang w:val="en-US"/>
        </w:rPr>
        <w:t xml:space="preserve"> The authors declare that the research was conducted in the absence of any commercial or financial relationships that could be construed as a potential conflict of interest.</w:t>
      </w:r>
      <w:r w:rsidRPr="006F68B6">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FEA9" w14:textId="77777777" w:rsidR="00012C61" w:rsidRPr="00D365DC" w:rsidRDefault="00795D4C">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lang w:val="en-US"/>
      </w:rPr>
    </w:pPr>
    <w:r w:rsidRPr="00D365DC">
      <w:rPr>
        <w:rFonts w:ascii="Times" w:eastAsia="Times" w:hAnsi="Times" w:cs="Times"/>
        <w:smallCaps/>
        <w:color w:val="000000"/>
        <w:sz w:val="20"/>
        <w:szCs w:val="20"/>
        <w:lang w:val="en-US"/>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2894" w14:textId="77777777" w:rsidR="00012C61" w:rsidRPr="006F68B6" w:rsidRDefault="00795D4C">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r w:rsidRPr="006F68B6">
      <w:rPr>
        <w:rFonts w:ascii="Times" w:eastAsia="Times" w:hAnsi="Times" w:cs="Times"/>
        <w:b/>
        <w:i/>
        <w:color w:val="000000"/>
        <w:sz w:val="18"/>
        <w:szCs w:val="18"/>
      </w:rPr>
      <w:t>/Interamerican Journal of Psychology</w:t>
    </w:r>
    <w:r w:rsidRPr="00D365DC">
      <w:rPr>
        <w:noProof/>
        <w:lang w:val="en-US"/>
      </w:rPr>
      <w:drawing>
        <wp:anchor distT="0" distB="0" distL="114300" distR="114300" simplePos="0" relativeHeight="251658240" behindDoc="0" locked="0" layoutInCell="1" hidden="0" allowOverlap="1" wp14:anchorId="178E4C49" wp14:editId="49113D13">
          <wp:simplePos x="0" y="0"/>
          <wp:positionH relativeFrom="column">
            <wp:posOffset>64656</wp:posOffset>
          </wp:positionH>
          <wp:positionV relativeFrom="paragraph">
            <wp:posOffset>-253536</wp:posOffset>
          </wp:positionV>
          <wp:extent cx="681164" cy="628073"/>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17F36A71" w14:textId="77777777" w:rsidR="00012C61" w:rsidRPr="00D365DC" w:rsidRDefault="00795D4C">
    <w:pPr>
      <w:pBdr>
        <w:top w:val="nil"/>
        <w:left w:val="nil"/>
        <w:bottom w:val="nil"/>
        <w:right w:val="nil"/>
        <w:between w:val="nil"/>
      </w:pBdr>
      <w:tabs>
        <w:tab w:val="center" w:pos="4680"/>
        <w:tab w:val="right" w:pos="9360"/>
      </w:tabs>
      <w:jc w:val="right"/>
      <w:rPr>
        <w:rFonts w:ascii="Calibri" w:eastAsia="Calibri" w:hAnsi="Calibri" w:cs="Calibri"/>
        <w:color w:val="000000"/>
        <w:lang w:val="en-US"/>
      </w:rPr>
    </w:pPr>
    <w:r w:rsidRPr="00D365DC">
      <w:rPr>
        <w:rFonts w:ascii="Times" w:eastAsia="Times" w:hAnsi="Times" w:cs="Times"/>
        <w:i/>
        <w:color w:val="000000"/>
        <w:sz w:val="18"/>
        <w:szCs w:val="18"/>
        <w:lang w:val="en-U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A7F"/>
    <w:multiLevelType w:val="hybridMultilevel"/>
    <w:tmpl w:val="944222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864DCE"/>
    <w:multiLevelType w:val="hybridMultilevel"/>
    <w:tmpl w:val="3FA890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CA564F4"/>
    <w:multiLevelType w:val="multilevel"/>
    <w:tmpl w:val="426EF09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347D64D9"/>
    <w:multiLevelType w:val="hybridMultilevel"/>
    <w:tmpl w:val="40DA6A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ED819A1"/>
    <w:multiLevelType w:val="multilevel"/>
    <w:tmpl w:val="F9EEB0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3D8061B"/>
    <w:multiLevelType w:val="hybridMultilevel"/>
    <w:tmpl w:val="D2963C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FCF6133"/>
    <w:multiLevelType w:val="hybridMultilevel"/>
    <w:tmpl w:val="577CB72A"/>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7" w15:restartNumberingAfterBreak="0">
    <w:nsid w:val="66AD3E41"/>
    <w:multiLevelType w:val="hybridMultilevel"/>
    <w:tmpl w:val="1256BB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1552008">
    <w:abstractNumId w:val="4"/>
  </w:num>
  <w:num w:numId="2" w16cid:durableId="1596010525">
    <w:abstractNumId w:val="2"/>
  </w:num>
  <w:num w:numId="3" w16cid:durableId="1929805733">
    <w:abstractNumId w:val="7"/>
  </w:num>
  <w:num w:numId="4" w16cid:durableId="797846002">
    <w:abstractNumId w:val="3"/>
  </w:num>
  <w:num w:numId="5" w16cid:durableId="1903709181">
    <w:abstractNumId w:val="5"/>
  </w:num>
  <w:num w:numId="6" w16cid:durableId="444545886">
    <w:abstractNumId w:val="1"/>
  </w:num>
  <w:num w:numId="7" w16cid:durableId="1831019467">
    <w:abstractNumId w:val="6"/>
  </w:num>
  <w:num w:numId="8" w16cid:durableId="40168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61"/>
    <w:rsid w:val="00012C61"/>
    <w:rsid w:val="00074B65"/>
    <w:rsid w:val="0011498C"/>
    <w:rsid w:val="00157717"/>
    <w:rsid w:val="001658B6"/>
    <w:rsid w:val="001B436E"/>
    <w:rsid w:val="001D21B7"/>
    <w:rsid w:val="0026088C"/>
    <w:rsid w:val="00296EF5"/>
    <w:rsid w:val="002B5725"/>
    <w:rsid w:val="00332EA9"/>
    <w:rsid w:val="00365A60"/>
    <w:rsid w:val="003F006B"/>
    <w:rsid w:val="003F1987"/>
    <w:rsid w:val="004153F4"/>
    <w:rsid w:val="00485D0F"/>
    <w:rsid w:val="0048710D"/>
    <w:rsid w:val="00495142"/>
    <w:rsid w:val="004D2C26"/>
    <w:rsid w:val="004E02AD"/>
    <w:rsid w:val="005435CC"/>
    <w:rsid w:val="005447A5"/>
    <w:rsid w:val="005557D6"/>
    <w:rsid w:val="005B6292"/>
    <w:rsid w:val="006D15A5"/>
    <w:rsid w:val="006F3170"/>
    <w:rsid w:val="006F5410"/>
    <w:rsid w:val="006F68B6"/>
    <w:rsid w:val="00722A9D"/>
    <w:rsid w:val="00755EFC"/>
    <w:rsid w:val="00787B3F"/>
    <w:rsid w:val="00795D4C"/>
    <w:rsid w:val="007C0C14"/>
    <w:rsid w:val="007C1DCD"/>
    <w:rsid w:val="008D309C"/>
    <w:rsid w:val="00913457"/>
    <w:rsid w:val="009F0FE1"/>
    <w:rsid w:val="00AC788A"/>
    <w:rsid w:val="00B00E21"/>
    <w:rsid w:val="00B848CC"/>
    <w:rsid w:val="00BF0691"/>
    <w:rsid w:val="00C00994"/>
    <w:rsid w:val="00C114D4"/>
    <w:rsid w:val="00CC0F84"/>
    <w:rsid w:val="00CE7F3A"/>
    <w:rsid w:val="00D21E7B"/>
    <w:rsid w:val="00D365DC"/>
    <w:rsid w:val="00D40B94"/>
    <w:rsid w:val="00D53EC3"/>
    <w:rsid w:val="00DF24CC"/>
    <w:rsid w:val="00E416F7"/>
    <w:rsid w:val="00E6342D"/>
    <w:rsid w:val="00EE185B"/>
    <w:rsid w:val="00EF4720"/>
    <w:rsid w:val="00F6243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92315"/>
  <w15:docId w15:val="{E30A698C-C139-47D4-A44C-BBE95125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val="pt-BR" w:eastAsia="es-ES_tradnl"/>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tteCar">
    <w:name w:val="En-tête Car"/>
    <w:basedOn w:val="Policepardfaut"/>
    <w:link w:val="En-tte"/>
    <w:uiPriority w:val="99"/>
    <w:rsid w:val="00C413D4"/>
  </w:style>
  <w:style w:type="paragraph" w:styleId="Pieddepage">
    <w:name w:val="footer"/>
    <w:basedOn w:val="Normal"/>
    <w:link w:val="Pieddepage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depageCar">
    <w:name w:val="Pied de page Car"/>
    <w:basedOn w:val="Policepardfaut"/>
    <w:link w:val="Pieddepage"/>
    <w:uiPriority w:val="99"/>
    <w:rsid w:val="00C413D4"/>
  </w:style>
  <w:style w:type="character" w:customStyle="1" w:styleId="label3">
    <w:name w:val="label3"/>
    <w:basedOn w:val="Policepardfaut"/>
    <w:rsid w:val="00C413D4"/>
  </w:style>
  <w:style w:type="paragraph" w:styleId="Notedebasdepage">
    <w:name w:val="footnote text"/>
    <w:basedOn w:val="Normal"/>
    <w:link w:val="NotedebasdepageCar"/>
    <w:uiPriority w:val="99"/>
    <w:unhideWhenUsed/>
    <w:rsid w:val="00C413D4"/>
    <w:rPr>
      <w:sz w:val="20"/>
      <w:szCs w:val="20"/>
    </w:rPr>
  </w:style>
  <w:style w:type="character" w:customStyle="1" w:styleId="NotedebasdepageCar">
    <w:name w:val="Note de bas de page Car"/>
    <w:basedOn w:val="Policepardfaut"/>
    <w:link w:val="Notedebasdepage"/>
    <w:uiPriority w:val="99"/>
    <w:rsid w:val="00C413D4"/>
    <w:rPr>
      <w:rFonts w:ascii="Times New Roman" w:eastAsia="Times New Roman" w:hAnsi="Times New Roman" w:cs="Times New Roman"/>
      <w:sz w:val="20"/>
      <w:szCs w:val="20"/>
      <w:lang w:val="es-ES_tradnl" w:eastAsia="es-ES_tradnl"/>
    </w:rPr>
  </w:style>
  <w:style w:type="character" w:styleId="Appelnotedebasdep">
    <w:name w:val="footnote reference"/>
    <w:basedOn w:val="Policepardfaut"/>
    <w:uiPriority w:val="99"/>
    <w:semiHidden/>
    <w:unhideWhenUsed/>
    <w:rsid w:val="00C413D4"/>
    <w:rPr>
      <w:vertAlign w:val="superscript"/>
    </w:rPr>
  </w:style>
  <w:style w:type="character" w:styleId="Numrodepage">
    <w:name w:val="page number"/>
    <w:basedOn w:val="Policepardfaut"/>
    <w:uiPriority w:val="99"/>
    <w:semiHidden/>
    <w:unhideWhenUsed/>
    <w:rsid w:val="00C413D4"/>
  </w:style>
  <w:style w:type="paragraph" w:styleId="Corpsdetexte">
    <w:name w:val="Body Text"/>
    <w:basedOn w:val="Normal"/>
    <w:link w:val="CorpsdetexteCar"/>
    <w:rsid w:val="006F7E7E"/>
    <w:pPr>
      <w:spacing w:line="480" w:lineRule="auto"/>
      <w:ind w:firstLine="540"/>
    </w:pPr>
    <w:rPr>
      <w:szCs w:val="20"/>
      <w:lang w:val="en-US" w:eastAsia="en-US"/>
    </w:rPr>
  </w:style>
  <w:style w:type="character" w:customStyle="1" w:styleId="CorpsdetexteCar">
    <w:name w:val="Corps de texte Car"/>
    <w:basedOn w:val="Policepardfaut"/>
    <w:link w:val="Corpsdetex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Notedefin">
    <w:name w:val="endnote text"/>
    <w:basedOn w:val="Normal"/>
    <w:link w:val="NotedefinCar"/>
    <w:uiPriority w:val="99"/>
    <w:semiHidden/>
    <w:unhideWhenUsed/>
    <w:rsid w:val="007A7C7C"/>
    <w:rPr>
      <w:sz w:val="20"/>
      <w:szCs w:val="20"/>
    </w:rPr>
  </w:style>
  <w:style w:type="character" w:customStyle="1" w:styleId="NotedefinCar">
    <w:name w:val="Note de fin Car"/>
    <w:basedOn w:val="Policepardfaut"/>
    <w:link w:val="Notedefin"/>
    <w:uiPriority w:val="99"/>
    <w:semiHidden/>
    <w:rsid w:val="007A7C7C"/>
    <w:rPr>
      <w:rFonts w:ascii="Times New Roman" w:eastAsia="Times New Roman" w:hAnsi="Times New Roman" w:cs="Times New Roman"/>
      <w:sz w:val="20"/>
      <w:szCs w:val="20"/>
      <w:lang w:val="es-ES_tradnl" w:eastAsia="es-ES_tradnl"/>
    </w:rPr>
  </w:style>
  <w:style w:type="character" w:styleId="Appeldenotedefin">
    <w:name w:val="endnote reference"/>
    <w:basedOn w:val="Policepardfaut"/>
    <w:uiPriority w:val="99"/>
    <w:semiHidden/>
    <w:unhideWhenUsed/>
    <w:rsid w:val="007A7C7C"/>
    <w:rPr>
      <w:vertAlign w:val="superscript"/>
    </w:rPr>
  </w:style>
  <w:style w:type="character" w:styleId="Lienhypertexte">
    <w:name w:val="Hyperlink"/>
    <w:basedOn w:val="Policepardfaut"/>
    <w:uiPriority w:val="99"/>
    <w:unhideWhenUsed/>
    <w:rsid w:val="00B6522A"/>
    <w:rPr>
      <w:color w:val="0000FF"/>
      <w:u w:val="single"/>
    </w:rPr>
  </w:style>
  <w:style w:type="paragraph" w:styleId="Textedebulles">
    <w:name w:val="Balloon Text"/>
    <w:basedOn w:val="Normal"/>
    <w:link w:val="TextedebullesCar"/>
    <w:uiPriority w:val="99"/>
    <w:semiHidden/>
    <w:unhideWhenUsed/>
    <w:rsid w:val="00FB0419"/>
    <w:rPr>
      <w:sz w:val="18"/>
      <w:szCs w:val="18"/>
    </w:rPr>
  </w:style>
  <w:style w:type="character" w:customStyle="1" w:styleId="TextedebullesCar">
    <w:name w:val="Texte de bulles Car"/>
    <w:basedOn w:val="Policepardfaut"/>
    <w:link w:val="Textedebulles"/>
    <w:uiPriority w:val="99"/>
    <w:semiHidden/>
    <w:rsid w:val="00FB0419"/>
    <w:rPr>
      <w:rFonts w:ascii="Times New Roman" w:eastAsia="Times New Roman" w:hAnsi="Times New Roman" w:cs="Times New Roman"/>
      <w:sz w:val="18"/>
      <w:szCs w:val="18"/>
      <w:lang w:val="es-ES_tradnl" w:eastAsia="es-ES_tradnl"/>
    </w:rPr>
  </w:style>
  <w:style w:type="table" w:styleId="Grilledutableau">
    <w:name w:val="Table Grid"/>
    <w:basedOn w:val="Tableau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rPr>
  </w:style>
  <w:style w:type="paragraph" w:customStyle="1" w:styleId="Resumen">
    <w:name w:val="Resumen"/>
    <w:basedOn w:val="Normal"/>
    <w:autoRedefine/>
    <w:qFormat/>
    <w:rsid w:val="007E3B8D"/>
    <w:pPr>
      <w:jc w:val="both"/>
    </w:pPr>
    <w:rPr>
      <w:sz w:val="20"/>
      <w:szCs w:val="20"/>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rPr>
  </w:style>
  <w:style w:type="paragraph" w:customStyle="1" w:styleId="NombresAutores">
    <w:name w:val="Nombres Autores"/>
    <w:basedOn w:val="Normal"/>
    <w:qFormat/>
    <w:rsid w:val="00CE7D65"/>
    <w:rPr>
      <w:b/>
      <w:color w:val="222222"/>
      <w:sz w:val="28"/>
      <w:szCs w:val="28"/>
    </w:rPr>
  </w:style>
  <w:style w:type="paragraph" w:customStyle="1" w:styleId="Instituciones">
    <w:name w:val="Instituciones"/>
    <w:basedOn w:val="Normal"/>
    <w:qFormat/>
    <w:rsid w:val="00CE7D65"/>
    <w:rPr>
      <w:i/>
      <w:sz w:val="28"/>
      <w:szCs w:val="28"/>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rPr>
  </w:style>
  <w:style w:type="character" w:customStyle="1" w:styleId="TtulosinternosCar">
    <w:name w:val="Títulos internos Car"/>
    <w:basedOn w:val="Policepardfaut"/>
    <w:link w:val="Ttulosinternos"/>
    <w:rsid w:val="001516ED"/>
    <w:rPr>
      <w:rFonts w:ascii="Times New Roman" w:eastAsia="Times New Roman" w:hAnsi="Times New Roman" w:cs="Times New Roman"/>
      <w:b/>
    </w:rPr>
  </w:style>
  <w:style w:type="character" w:customStyle="1" w:styleId="Titre2Car">
    <w:name w:val="Titre 2 Car"/>
    <w:basedOn w:val="Policepardfaut"/>
    <w:link w:val="Titre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style>
  <w:style w:type="character" w:customStyle="1" w:styleId="TitulodeartculoCar">
    <w:name w:val="Titulo de artículo Car"/>
    <w:basedOn w:val="Policepardfau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Policepardfau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Policepardfaut"/>
    <w:link w:val="TtuloResumen"/>
    <w:rsid w:val="00C43335"/>
    <w:rPr>
      <w:rFonts w:ascii="Times New Roman" w:eastAsia="Times New Roman" w:hAnsi="Times New Roman" w:cs="Times New Roman"/>
      <w:b/>
      <w:smallCaps/>
      <w:sz w:val="20"/>
      <w:szCs w:val="20"/>
      <w:lang w:val="pt-BR" w:eastAsia="es-ES_tradnl"/>
    </w:rPr>
  </w:style>
  <w:style w:type="character" w:styleId="Mentionnonrsolue">
    <w:name w:val="Unresolved Mention"/>
    <w:basedOn w:val="Policepardfau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Policepardfaut"/>
    <w:link w:val="SubtituloInterno1"/>
    <w:rsid w:val="0078702D"/>
    <w:rPr>
      <w:rFonts w:ascii="Times New Roman" w:eastAsia="Times New Roman" w:hAnsi="Times New Roman" w:cs="Times New Roman"/>
      <w:i/>
      <w:lang w:val="es-A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eastAsia="Times New Roman"/>
    </w:rPr>
    <w:tblPr>
      <w:tblStyleRowBandSize w:val="1"/>
      <w:tblStyleColBandSize w:val="1"/>
    </w:tblPr>
  </w:style>
  <w:style w:type="paragraph" w:customStyle="1" w:styleId="APALevel1">
    <w:name w:val="APA Level 1"/>
    <w:basedOn w:val="Titre1"/>
    <w:next w:val="ApaStyleGeneral"/>
    <w:link w:val="APALevel1Char"/>
    <w:qFormat/>
    <w:rsid w:val="00DF24CC"/>
    <w:pPr>
      <w:spacing w:before="0" w:after="0" w:line="360" w:lineRule="auto"/>
      <w:jc w:val="center"/>
    </w:pPr>
    <w:rPr>
      <w:rFonts w:eastAsiaTheme="majorEastAsia"/>
      <w:bCs/>
      <w:sz w:val="24"/>
      <w:szCs w:val="24"/>
      <w:lang w:eastAsia="pt-BR"/>
    </w:rPr>
  </w:style>
  <w:style w:type="character" w:customStyle="1" w:styleId="APALevel1Char">
    <w:name w:val="APA Level 1 Char"/>
    <w:basedOn w:val="Policepardfaut"/>
    <w:link w:val="APALevel1"/>
    <w:rsid w:val="00DF24CC"/>
    <w:rPr>
      <w:rFonts w:eastAsiaTheme="majorEastAsia"/>
      <w:b/>
      <w:bCs/>
      <w:lang w:val="pt-BR"/>
    </w:rPr>
  </w:style>
  <w:style w:type="paragraph" w:customStyle="1" w:styleId="APALevel2">
    <w:name w:val="APA Level 2"/>
    <w:basedOn w:val="Titre2"/>
    <w:next w:val="ApaStyleGeneral"/>
    <w:link w:val="APALevel2Char"/>
    <w:qFormat/>
    <w:rsid w:val="00D365DC"/>
    <w:pPr>
      <w:spacing w:before="0" w:line="360" w:lineRule="auto"/>
      <w:jc w:val="both"/>
    </w:pPr>
    <w:rPr>
      <w:rFonts w:asciiTheme="majorBidi" w:hAnsiTheme="majorBidi"/>
      <w:b/>
      <w:i/>
      <w:iCs/>
      <w:color w:val="auto"/>
      <w:sz w:val="24"/>
      <w:szCs w:val="24"/>
      <w:lang w:eastAsia="pt-BR"/>
    </w:rPr>
  </w:style>
  <w:style w:type="paragraph" w:customStyle="1" w:styleId="ApaStyleGeneral">
    <w:name w:val="Apa Style General"/>
    <w:basedOn w:val="Normal"/>
    <w:link w:val="ApaStyleGeneralChar"/>
    <w:qFormat/>
    <w:rsid w:val="00D365DC"/>
    <w:pPr>
      <w:spacing w:line="360" w:lineRule="auto"/>
      <w:ind w:firstLine="709"/>
      <w:jc w:val="both"/>
    </w:pPr>
    <w:rPr>
      <w:rFonts w:asciiTheme="majorBidi" w:eastAsiaTheme="minorEastAsia" w:hAnsiTheme="majorBidi" w:cstheme="majorBidi"/>
      <w:lang w:eastAsia="pt-BR"/>
    </w:rPr>
  </w:style>
  <w:style w:type="character" w:customStyle="1" w:styleId="APALevel2Char">
    <w:name w:val="APA Level 2 Char"/>
    <w:basedOn w:val="Policepardfaut"/>
    <w:link w:val="APALevel2"/>
    <w:rsid w:val="00D365DC"/>
    <w:rPr>
      <w:rFonts w:asciiTheme="majorBidi" w:eastAsiaTheme="majorEastAsia" w:hAnsiTheme="majorBidi" w:cstheme="majorBidi"/>
      <w:b/>
      <w:i/>
      <w:iCs/>
      <w:lang w:val="pt-BR"/>
    </w:rPr>
  </w:style>
  <w:style w:type="character" w:customStyle="1" w:styleId="ApaStyleGeneralChar">
    <w:name w:val="Apa Style General Char"/>
    <w:basedOn w:val="Policepardfaut"/>
    <w:link w:val="ApaStyleGeneral"/>
    <w:rsid w:val="00D365DC"/>
    <w:rPr>
      <w:rFonts w:asciiTheme="majorBidi" w:eastAsiaTheme="minorEastAsia" w:hAnsiTheme="majorBidi" w:cstheme="majorBidi"/>
      <w:lang w:val="pt-BR"/>
    </w:rPr>
  </w:style>
  <w:style w:type="character" w:styleId="Marquedecommentaire">
    <w:name w:val="annotation reference"/>
    <w:basedOn w:val="Policepardfaut"/>
    <w:uiPriority w:val="99"/>
    <w:semiHidden/>
    <w:unhideWhenUsed/>
    <w:rsid w:val="00D365DC"/>
    <w:rPr>
      <w:sz w:val="16"/>
      <w:szCs w:val="16"/>
    </w:rPr>
  </w:style>
  <w:style w:type="paragraph" w:customStyle="1" w:styleId="APARefs">
    <w:name w:val="APA Refs"/>
    <w:basedOn w:val="Normal"/>
    <w:qFormat/>
    <w:rsid w:val="00D365DC"/>
    <w:pPr>
      <w:spacing w:line="360" w:lineRule="auto"/>
      <w:ind w:left="709" w:hanging="709"/>
      <w:jc w:val="both"/>
    </w:pPr>
    <w:rPr>
      <w:rFonts w:eastAsiaTheme="minorEastAsia" w:cstheme="majorBidi"/>
      <w:lang w:eastAsia="pt-BR"/>
    </w:rPr>
  </w:style>
  <w:style w:type="paragraph" w:customStyle="1" w:styleId="APALevel3">
    <w:name w:val="APA Level 3"/>
    <w:basedOn w:val="Titre3"/>
    <w:qFormat/>
    <w:rsid w:val="00296EF5"/>
    <w:pPr>
      <w:spacing w:before="0" w:after="0" w:line="360" w:lineRule="auto"/>
      <w:jc w:val="both"/>
    </w:pPr>
    <w:rPr>
      <w:rFonts w:asciiTheme="majorBidi" w:hAnsiTheme="majorBidi" w:cstheme="majorBidi"/>
      <w:b w:val="0"/>
      <w:i/>
      <w:sz w:val="24"/>
    </w:rPr>
  </w:style>
  <w:style w:type="paragraph" w:styleId="Lgende">
    <w:name w:val="caption"/>
    <w:basedOn w:val="Normal"/>
    <w:next w:val="Normal"/>
    <w:uiPriority w:val="35"/>
    <w:semiHidden/>
    <w:unhideWhenUsed/>
    <w:qFormat/>
    <w:rsid w:val="00E416F7"/>
    <w:pPr>
      <w:spacing w:after="200"/>
    </w:pPr>
    <w:rPr>
      <w:i/>
      <w:iCs/>
      <w:color w:val="44546A" w:themeColor="text2"/>
      <w:sz w:val="18"/>
      <w:szCs w:val="18"/>
    </w:rPr>
  </w:style>
  <w:style w:type="paragraph" w:styleId="Paragraphedeliste">
    <w:name w:val="List Paragraph"/>
    <w:basedOn w:val="Normal"/>
    <w:uiPriority w:val="34"/>
    <w:qFormat/>
    <w:rsid w:val="00E416F7"/>
    <w:pPr>
      <w:ind w:left="720"/>
      <w:contextualSpacing/>
    </w:pPr>
  </w:style>
  <w:style w:type="paragraph" w:styleId="Commentaire">
    <w:name w:val="annotation text"/>
    <w:basedOn w:val="Normal"/>
    <w:link w:val="CommentaireCar"/>
    <w:uiPriority w:val="99"/>
    <w:semiHidden/>
    <w:unhideWhenUsed/>
    <w:rsid w:val="005B6292"/>
    <w:rPr>
      <w:sz w:val="20"/>
      <w:szCs w:val="20"/>
    </w:rPr>
  </w:style>
  <w:style w:type="character" w:customStyle="1" w:styleId="CommentaireCar">
    <w:name w:val="Commentaire Car"/>
    <w:basedOn w:val="Policepardfaut"/>
    <w:link w:val="Commentaire"/>
    <w:uiPriority w:val="99"/>
    <w:semiHidden/>
    <w:rsid w:val="005B6292"/>
    <w:rPr>
      <w:sz w:val="20"/>
      <w:szCs w:val="20"/>
      <w:lang w:val="es-AR" w:eastAsia="es-ES_tradnl"/>
    </w:rPr>
  </w:style>
  <w:style w:type="paragraph" w:styleId="Objetducommentaire">
    <w:name w:val="annotation subject"/>
    <w:basedOn w:val="Commentaire"/>
    <w:next w:val="Commentaire"/>
    <w:link w:val="ObjetducommentaireCar"/>
    <w:uiPriority w:val="99"/>
    <w:semiHidden/>
    <w:unhideWhenUsed/>
    <w:rsid w:val="005B6292"/>
    <w:rPr>
      <w:b/>
      <w:bCs/>
    </w:rPr>
  </w:style>
  <w:style w:type="character" w:customStyle="1" w:styleId="ObjetducommentaireCar">
    <w:name w:val="Objet du commentaire Car"/>
    <w:basedOn w:val="CommentaireCar"/>
    <w:link w:val="Objetducommentaire"/>
    <w:uiPriority w:val="99"/>
    <w:semiHidden/>
    <w:rsid w:val="005B6292"/>
    <w:rPr>
      <w:b/>
      <w:bCs/>
      <w:sz w:val="20"/>
      <w:szCs w:val="20"/>
      <w:lang w:val="es-AR" w:eastAsia="es-ES_tradnl"/>
    </w:rPr>
  </w:style>
  <w:style w:type="character" w:styleId="Textedelespacerserv">
    <w:name w:val="Placeholder Text"/>
    <w:basedOn w:val="Policepardfaut"/>
    <w:uiPriority w:val="99"/>
    <w:semiHidden/>
    <w:rsid w:val="004871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4794">
      <w:bodyDiv w:val="1"/>
      <w:marLeft w:val="0"/>
      <w:marRight w:val="0"/>
      <w:marTop w:val="0"/>
      <w:marBottom w:val="0"/>
      <w:divBdr>
        <w:top w:val="none" w:sz="0" w:space="0" w:color="auto"/>
        <w:left w:val="none" w:sz="0" w:space="0" w:color="auto"/>
        <w:bottom w:val="none" w:sz="0" w:space="0" w:color="auto"/>
        <w:right w:val="none" w:sz="0" w:space="0" w:color="auto"/>
      </w:divBdr>
      <w:divsChild>
        <w:div w:id="14522122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1981-22562020023.200225" TargetMode="External"/><Relationship Id="rId18" Type="http://schemas.openxmlformats.org/officeDocument/2006/relationships/hyperlink" Target="https://doi.org/10.54033/cadpedv21n9-097" TargetMode="External"/><Relationship Id="rId26" Type="http://schemas.openxmlformats.org/officeDocument/2006/relationships/hyperlink" Target="https://doi.org/10.5935/2675-5602.20200188" TargetMode="External"/><Relationship Id="rId39" Type="http://schemas.openxmlformats.org/officeDocument/2006/relationships/hyperlink" Target="https://news.un.org/pt/story/2023/01/1807992" TargetMode="External"/><Relationship Id="rId21" Type="http://schemas.openxmlformats.org/officeDocument/2006/relationships/hyperlink" Target="https://doi.org/10.57209/e-locucao.v1i25.588" TargetMode="External"/><Relationship Id="rId34" Type="http://schemas.openxmlformats.org/officeDocument/2006/relationships/hyperlink" Target="https://doi.org/10.36489/saudecoletiva.2020v10i57p3729-3738" TargetMode="External"/><Relationship Id="rId42" Type="http://schemas.openxmlformats.org/officeDocument/2006/relationships/hyperlink" Target="https://doi.org/10.1136/bmjopen-2019-034967" TargetMode="External"/><Relationship Id="rId47" Type="http://schemas.openxmlformats.org/officeDocument/2006/relationships/hyperlink" Target="https://doi.org/10.5965/1984724622492021316" TargetMode="External"/><Relationship Id="rId50" Type="http://schemas.openxmlformats.org/officeDocument/2006/relationships/hyperlink" Target="https://doi.org/10.1590/S0034-71672007000300003"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590/S0004-282X2003000500014" TargetMode="External"/><Relationship Id="rId29" Type="http://schemas.openxmlformats.org/officeDocument/2006/relationships/hyperlink" Target="https://doi.org/10.1590/1413-81232021263.08222019" TargetMode="External"/><Relationship Id="rId11" Type="http://schemas.openxmlformats.org/officeDocument/2006/relationships/image" Target="media/image2.png"/><Relationship Id="rId24" Type="http://schemas.openxmlformats.org/officeDocument/2006/relationships/hyperlink" Target="https://msrreview.multivix.edu.br/index.php/msr/article/view/92/pdf" TargetMode="External"/><Relationship Id="rId32" Type="http://schemas.openxmlformats.org/officeDocument/2006/relationships/hyperlink" Target="http://www.medscape.com/viewarticle/776327" TargetMode="External"/><Relationship Id="rId37" Type="http://schemas.openxmlformats.org/officeDocument/2006/relationships/hyperlink" Target="https://revistalongeviver.com.br/anteriores/index.php/revistaportal/article/view/801/870" TargetMode="External"/><Relationship Id="rId40" Type="http://schemas.openxmlformats.org/officeDocument/2006/relationships/hyperlink" Target="http://hdl.handle.net/10400.6/12866" TargetMode="External"/><Relationship Id="rId45" Type="http://schemas.openxmlformats.org/officeDocument/2006/relationships/hyperlink" Target="https://doi.org/10.55892/jrg.v7i14.940"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doi.org/10.17060/ijodaep.2023.n1.v2.2479"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doi.org/10.1590/S0102-71822010000100012" TargetMode="External"/><Relationship Id="rId22" Type="http://schemas.openxmlformats.org/officeDocument/2006/relationships/hyperlink" Target="https://clium.org/index.php/edicoes/article/view/3919" TargetMode="External"/><Relationship Id="rId27" Type="http://schemas.openxmlformats.org/officeDocument/2006/relationships/hyperlink" Target="https://doi.org/10.18554/refacs.v9i1.5199" TargetMode="External"/><Relationship Id="rId30" Type="http://schemas.openxmlformats.org/officeDocument/2006/relationships/hyperlink" Target="https://doi.org/10.12957/teias.2014.81355" TargetMode="External"/><Relationship Id="rId35" Type="http://schemas.openxmlformats.org/officeDocument/2006/relationships/hyperlink" Target="https://doi.org/10.17060/ijodaep.2016.n1.v1.279" TargetMode="External"/><Relationship Id="rId43" Type="http://schemas.openxmlformats.org/officeDocument/2006/relationships/hyperlink" Target="https://doi.org/10.23925/2176-901X.2013v16i4p43-63" TargetMode="External"/><Relationship Id="rId48" Type="http://schemas.openxmlformats.org/officeDocument/2006/relationships/hyperlink" Target="https://doi.org/10.48017/dj.v8i4.2516" TargetMode="External"/><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doi.org/10.1177/07334648211067710" TargetMode="External"/><Relationship Id="rId3" Type="http://schemas.openxmlformats.org/officeDocument/2006/relationships/numbering" Target="numbering.xml"/><Relationship Id="rId12" Type="http://schemas.openxmlformats.org/officeDocument/2006/relationships/hyperlink" Target="https://doi.org/10.14417/ap.1549" TargetMode="External"/><Relationship Id="rId17" Type="http://schemas.openxmlformats.org/officeDocument/2006/relationships/hyperlink" Target="https://doi.org/10.31011/reaid-2023-v.97-n.1-art.1442" TargetMode="External"/><Relationship Id="rId25" Type="http://schemas.openxmlformats.org/officeDocument/2006/relationships/hyperlink" Target="https://doi.org/10.20435/pssa.v16i1.2046" TargetMode="External"/><Relationship Id="rId33" Type="http://schemas.openxmlformats.org/officeDocument/2006/relationships/hyperlink" Target="https://doi.org/10.5007/1807-0221.2022.e85595" TargetMode="External"/><Relationship Id="rId38" Type="http://schemas.openxmlformats.org/officeDocument/2006/relationships/hyperlink" Target="https://doi.org/10.1590/S0102-311X2013000400015" TargetMode="External"/><Relationship Id="rId46" Type="http://schemas.openxmlformats.org/officeDocument/2006/relationships/hyperlink" Target="https://doi.org/10.1590/0102-311XPT213222" TargetMode="External"/><Relationship Id="rId20" Type="http://schemas.openxmlformats.org/officeDocument/2006/relationships/hyperlink" Target="https://periodicos.ufv.br/RCH/article/view/8923" TargetMode="External"/><Relationship Id="rId41" Type="http://schemas.openxmlformats.org/officeDocument/2006/relationships/hyperlink" Target="https://www.interacoes-ismt.com/index.php/revista/article/view/399"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4117/bjdv8n3-430" TargetMode="External"/><Relationship Id="rId23" Type="http://schemas.openxmlformats.org/officeDocument/2006/relationships/hyperlink" Target="https://acta-ape.org/en/article/o-significado-da-velhice-na-sociedade-brasileira/" TargetMode="External"/><Relationship Id="rId28" Type="http://schemas.openxmlformats.org/officeDocument/2006/relationships/hyperlink" Target="https://doi.org/10.1080/13607863.2019.1647132" TargetMode="External"/><Relationship Id="rId36" Type="http://schemas.openxmlformats.org/officeDocument/2006/relationships/hyperlink" Target="https://doi.org/10.18256/2175-5027.2018.v10i2.2790" TargetMode="External"/><Relationship Id="rId49" Type="http://schemas.openxmlformats.org/officeDocument/2006/relationships/hyperlink" Target="https://doi.org/10.1590/1414-462X202230040506" TargetMode="External"/><Relationship Id="rId57"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hyperlink" Target="https://doi.org/10.1590/S1413-294X2002000200011" TargetMode="External"/><Relationship Id="rId44" Type="http://schemas.openxmlformats.org/officeDocument/2006/relationships/hyperlink" Target="http://www.IRaMuTeQ.org" TargetMode="External"/><Relationship Id="rId52" Type="http://schemas.openxmlformats.org/officeDocument/2006/relationships/hyperlink" Target="https://doi.org/10.1590/S1809-9823201300040001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xample@e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B7jxeItVJQAOk4Q53wZV98C/A==">CgMxLjA4AHIhMThXSEhrTHhka3lCdDdiendoYnA4RHZ2a1lQVHpKeGl3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224627-BB0C-4E43-A6B8-81A987CF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8366</Words>
  <Characters>46017</Characters>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2025-02-21T17:43:00Z</cp:lastPrinted>
  <dcterms:created xsi:type="dcterms:W3CDTF">2025-02-21T20:35:00Z</dcterms:created>
  <dcterms:modified xsi:type="dcterms:W3CDTF">2025-02-21T20:40:00Z</dcterms:modified>
</cp:coreProperties>
</file>