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200C9" w14:textId="277E97B7" w:rsidR="00E622C7" w:rsidRPr="001C5257" w:rsidRDefault="00E622C7" w:rsidP="00E622C7">
      <w:pPr>
        <w:spacing w:line="240" w:lineRule="auto"/>
        <w:ind w:firstLine="0"/>
        <w:rPr>
          <w:b/>
          <w:lang w:val="en-GB"/>
        </w:rPr>
      </w:pPr>
      <w:r w:rsidRPr="001C5257">
        <w:rPr>
          <w:b/>
          <w:lang w:val="en-GB"/>
        </w:rPr>
        <w:t>Generalised prejudice in Brazil: specific components and general components</w:t>
      </w:r>
    </w:p>
    <w:p w14:paraId="0718EF8B" w14:textId="77777777" w:rsidR="00E622C7" w:rsidRPr="001C5257" w:rsidRDefault="00E622C7" w:rsidP="00E622C7">
      <w:pPr>
        <w:spacing w:line="240" w:lineRule="auto"/>
        <w:ind w:firstLine="0"/>
        <w:jc w:val="center"/>
        <w:rPr>
          <w:b/>
          <w:lang w:val="en-GB"/>
        </w:rPr>
      </w:pPr>
    </w:p>
    <w:p w14:paraId="7689131F" w14:textId="6BD5E0AB" w:rsidR="0068300D" w:rsidRPr="001C5257" w:rsidRDefault="0068300D" w:rsidP="00E622C7">
      <w:pPr>
        <w:spacing w:line="240" w:lineRule="auto"/>
        <w:ind w:firstLine="0"/>
        <w:jc w:val="center"/>
        <w:rPr>
          <w:b/>
          <w:lang w:val="en-GB"/>
        </w:rPr>
      </w:pPr>
      <w:r w:rsidRPr="001C5257">
        <w:rPr>
          <w:b/>
          <w:lang w:val="en-GB"/>
        </w:rPr>
        <w:t>ABSTRACT</w:t>
      </w:r>
    </w:p>
    <w:p w14:paraId="3FAF5D03" w14:textId="4D7F8590" w:rsidR="00E622C7" w:rsidRPr="001C5257" w:rsidRDefault="00E622C7" w:rsidP="00E622C7">
      <w:pPr>
        <w:spacing w:line="240" w:lineRule="auto"/>
        <w:ind w:firstLine="0"/>
        <w:rPr>
          <w:bCs/>
          <w:lang w:val="en-GB"/>
        </w:rPr>
      </w:pPr>
      <w:r w:rsidRPr="001C5257">
        <w:rPr>
          <w:bCs/>
          <w:lang w:val="en-GB"/>
        </w:rPr>
        <w:t>With the aim of analysing generalised prejudice (GP) towards six minority groups in Brazil (LGBTQIAP⁺, women, black people, overweight people, people with disabilities and older people), a study was conducted with 305 people from several cities in the country with an average age of 30.9 years (</w:t>
      </w:r>
      <w:r w:rsidRPr="001C5257">
        <w:rPr>
          <w:bCs/>
          <w:i/>
          <w:iCs/>
          <w:lang w:val="en-GB"/>
        </w:rPr>
        <w:t>SD</w:t>
      </w:r>
      <w:r w:rsidRPr="001C5257">
        <w:rPr>
          <w:bCs/>
          <w:lang w:val="en-GB"/>
        </w:rPr>
        <w:t xml:space="preserve"> = 11.6). The results show positive correlations between the six prejudices. The racial prejudice was the most specific and showed a lower correlation with the other prejudices, and its variation was less explained by the general prejudice factor. Using the dual process approach, a factor analysis showed that LGBTQIAP+ people (38%) and women (19.9%) were perceived as </w:t>
      </w:r>
      <w:r w:rsidR="001B63D9" w:rsidRPr="001C5257">
        <w:rPr>
          <w:color w:val="231F20"/>
          <w:lang w:val="en-GB"/>
        </w:rPr>
        <w:t>dissident</w:t>
      </w:r>
      <w:r w:rsidRPr="001C5257">
        <w:rPr>
          <w:bCs/>
          <w:lang w:val="en-GB"/>
        </w:rPr>
        <w:t xml:space="preserve">; black people were isolated in the factor dangerous </w:t>
      </w:r>
      <w:r w:rsidR="004B2A55" w:rsidRPr="001C5257">
        <w:rPr>
          <w:bCs/>
          <w:lang w:val="en-GB"/>
        </w:rPr>
        <w:t xml:space="preserve">group </w:t>
      </w:r>
      <w:r w:rsidRPr="001C5257">
        <w:rPr>
          <w:bCs/>
          <w:lang w:val="en-GB"/>
        </w:rPr>
        <w:t xml:space="preserve">(13.2%); people with disabilities (89.9%), overweight people (82.5%) and older people (80.1%) formed the dimension of the </w:t>
      </w:r>
      <w:r w:rsidR="001B63D9" w:rsidRPr="001C5257">
        <w:rPr>
          <w:bCs/>
          <w:lang w:val="en-GB"/>
        </w:rPr>
        <w:t>d</w:t>
      </w:r>
      <w:r w:rsidR="001B63D9" w:rsidRPr="001C5257">
        <w:rPr>
          <w:color w:val="231F20"/>
          <w:lang w:val="en-GB"/>
        </w:rPr>
        <w:t>erogated</w:t>
      </w:r>
      <w:r w:rsidRPr="001C5257">
        <w:rPr>
          <w:bCs/>
          <w:lang w:val="en-GB"/>
        </w:rPr>
        <w:t>. Correlation and linear regression analyses with socio-demographic variables revealed different</w:t>
      </w:r>
      <w:r w:rsidR="004B2A55" w:rsidRPr="001C5257">
        <w:rPr>
          <w:bCs/>
          <w:lang w:val="en-GB"/>
        </w:rPr>
        <w:t>s</w:t>
      </w:r>
      <w:r w:rsidRPr="001C5257">
        <w:rPr>
          <w:bCs/>
          <w:lang w:val="en-GB"/>
        </w:rPr>
        <w:t xml:space="preserve"> pattern</w:t>
      </w:r>
      <w:r w:rsidR="004B2A55" w:rsidRPr="001C5257">
        <w:rPr>
          <w:bCs/>
          <w:lang w:val="en-GB"/>
        </w:rPr>
        <w:t>s</w:t>
      </w:r>
      <w:r w:rsidRPr="001C5257">
        <w:rPr>
          <w:bCs/>
          <w:lang w:val="en-GB"/>
        </w:rPr>
        <w:t xml:space="preserve"> (the same variable was positively associated with one prejudice and negatively associated with another). However, political position proved to be a consistent predictor of racial prejudice and </w:t>
      </w:r>
      <w:r w:rsidR="004B2A55" w:rsidRPr="001C5257">
        <w:rPr>
          <w:bCs/>
          <w:lang w:val="en-GB"/>
        </w:rPr>
        <w:t>GP</w:t>
      </w:r>
      <w:r w:rsidRPr="001C5257">
        <w:rPr>
          <w:bCs/>
          <w:lang w:val="en-GB"/>
        </w:rPr>
        <w:t xml:space="preserve">: the further to the right, the more racial </w:t>
      </w:r>
      <w:r w:rsidR="004B2A55" w:rsidRPr="001C5257">
        <w:rPr>
          <w:bCs/>
          <w:lang w:val="en-GB"/>
        </w:rPr>
        <w:t xml:space="preserve">and generalised </w:t>
      </w:r>
      <w:r w:rsidRPr="001C5257">
        <w:rPr>
          <w:bCs/>
          <w:lang w:val="en-GB"/>
        </w:rPr>
        <w:t>prejudice. The results are discussed on the basis of psychosocial theories about the common and specific elements of prejudices.</w:t>
      </w:r>
    </w:p>
    <w:p w14:paraId="3D064D68" w14:textId="77777777" w:rsidR="00E622C7" w:rsidRPr="001C5257" w:rsidRDefault="00E622C7" w:rsidP="00E622C7">
      <w:pPr>
        <w:spacing w:line="240" w:lineRule="auto"/>
        <w:ind w:firstLine="0"/>
        <w:rPr>
          <w:bCs/>
          <w:lang w:val="en-GB"/>
        </w:rPr>
      </w:pPr>
    </w:p>
    <w:p w14:paraId="1307817C" w14:textId="62B6D3A7" w:rsidR="0068300D" w:rsidRPr="001C5257" w:rsidRDefault="00E622C7" w:rsidP="00E622C7">
      <w:pPr>
        <w:spacing w:line="240" w:lineRule="auto"/>
        <w:ind w:firstLine="0"/>
        <w:rPr>
          <w:bCs/>
          <w:lang w:val="en-GB"/>
        </w:rPr>
      </w:pPr>
      <w:r w:rsidRPr="001C5257">
        <w:rPr>
          <w:bCs/>
          <w:lang w:val="en-GB"/>
        </w:rPr>
        <w:t>Keywords: generalised prejudice; Brazil; social minorities; political position</w:t>
      </w:r>
    </w:p>
    <w:p w14:paraId="700C1379" w14:textId="77777777" w:rsidR="00E622C7" w:rsidRPr="001C5257" w:rsidRDefault="00E622C7" w:rsidP="00E622C7">
      <w:pPr>
        <w:spacing w:line="240" w:lineRule="auto"/>
        <w:ind w:firstLine="0"/>
        <w:rPr>
          <w:b/>
          <w:lang w:val="en-GB"/>
        </w:rPr>
      </w:pPr>
    </w:p>
    <w:p w14:paraId="263FE19E" w14:textId="7BBF2C1B" w:rsidR="00E622C7" w:rsidRDefault="00E622C7" w:rsidP="00E622C7">
      <w:pPr>
        <w:spacing w:line="240" w:lineRule="auto"/>
        <w:ind w:firstLine="0"/>
        <w:rPr>
          <w:b/>
        </w:rPr>
      </w:pPr>
      <w:r w:rsidRPr="00FF5657">
        <w:rPr>
          <w:b/>
        </w:rPr>
        <w:t xml:space="preserve">Preconceito generalizado no Brasil: componentes específicos e componentes </w:t>
      </w:r>
      <w:r>
        <w:rPr>
          <w:b/>
        </w:rPr>
        <w:t>gerais</w:t>
      </w:r>
    </w:p>
    <w:p w14:paraId="2E519879" w14:textId="77777777" w:rsidR="00D50C46" w:rsidRDefault="00D50C46" w:rsidP="00E622C7">
      <w:pPr>
        <w:spacing w:line="240" w:lineRule="auto"/>
        <w:ind w:firstLine="0"/>
        <w:jc w:val="center"/>
        <w:rPr>
          <w:b/>
        </w:rPr>
      </w:pPr>
    </w:p>
    <w:p w14:paraId="00000012" w14:textId="1DD277FB" w:rsidR="00A95BBE" w:rsidRPr="00FF5657" w:rsidRDefault="0068300D" w:rsidP="00E622C7">
      <w:pPr>
        <w:spacing w:line="240" w:lineRule="auto"/>
        <w:ind w:firstLine="0"/>
        <w:jc w:val="center"/>
        <w:rPr>
          <w:b/>
        </w:rPr>
      </w:pPr>
      <w:r w:rsidRPr="00FF5657">
        <w:rPr>
          <w:b/>
        </w:rPr>
        <w:t xml:space="preserve">RESUMO </w:t>
      </w:r>
    </w:p>
    <w:p w14:paraId="00000013" w14:textId="6E58E6D3" w:rsidR="00A95BBE" w:rsidRPr="00FF5657" w:rsidRDefault="008571C7" w:rsidP="00E622C7">
      <w:pPr>
        <w:widowControl/>
        <w:pBdr>
          <w:top w:val="nil"/>
          <w:left w:val="nil"/>
          <w:bottom w:val="nil"/>
          <w:right w:val="nil"/>
          <w:between w:val="nil"/>
        </w:pBdr>
        <w:spacing w:line="240" w:lineRule="auto"/>
        <w:ind w:firstLine="0"/>
      </w:pPr>
      <w:r w:rsidRPr="00FF5657">
        <w:t xml:space="preserve">Com o objetivo de analisar o preconceito generalizado </w:t>
      </w:r>
      <w:r w:rsidR="00DB7957" w:rsidRPr="00FF5657">
        <w:t xml:space="preserve">(PG) </w:t>
      </w:r>
      <w:r w:rsidRPr="00FF5657">
        <w:t>contra seis grupos minoritários no Brasil (LGBTQIAP⁺, mulheres, negros, pessoas gordas, pessoas com deficiência e idosos) realiz</w:t>
      </w:r>
      <w:r w:rsidR="00E00D2C" w:rsidRPr="00FF5657">
        <w:t>ou-se</w:t>
      </w:r>
      <w:r w:rsidRPr="00FF5657">
        <w:t xml:space="preserve"> um estudo envolvendo 305 </w:t>
      </w:r>
      <w:r w:rsidR="0064757B" w:rsidRPr="00FF5657">
        <w:t>pessoas de várias cidades do país</w:t>
      </w:r>
      <w:r w:rsidRPr="00FF5657">
        <w:t>, com idade média de 30,9 anos (</w:t>
      </w:r>
      <w:r w:rsidRPr="00FF5657">
        <w:rPr>
          <w:i/>
          <w:iCs/>
        </w:rPr>
        <w:t>DP</w:t>
      </w:r>
      <w:r w:rsidRPr="00FF5657">
        <w:t xml:space="preserve"> = 11,6). Os resultados mostram correlações </w:t>
      </w:r>
      <w:r w:rsidR="0064757B" w:rsidRPr="00FF5657">
        <w:t xml:space="preserve">positivas </w:t>
      </w:r>
      <w:r w:rsidR="00FB6883" w:rsidRPr="00FF5657">
        <w:t>entre</w:t>
      </w:r>
      <w:r w:rsidR="0064757B" w:rsidRPr="00FF5657">
        <w:t xml:space="preserve"> os seis preconceitos.</w:t>
      </w:r>
      <w:r w:rsidRPr="00FF5657">
        <w:t xml:space="preserve"> O </w:t>
      </w:r>
      <w:r w:rsidR="0064757B" w:rsidRPr="00FF5657">
        <w:t xml:space="preserve">preconceito racial foi o </w:t>
      </w:r>
      <w:r w:rsidR="00E00D2C" w:rsidRPr="00FF5657">
        <w:t>mais</w:t>
      </w:r>
      <w:r w:rsidR="0064757B" w:rsidRPr="00FF5657">
        <w:t xml:space="preserve"> específico, com correlações mais baixas com os demais e tendo sua variação menos explicada pelo fator geral do preconceito. </w:t>
      </w:r>
      <w:r w:rsidR="00E00D2C" w:rsidRPr="00FF5657">
        <w:t xml:space="preserve">Adotando </w:t>
      </w:r>
      <w:r w:rsidR="0064757B" w:rsidRPr="00FF5657">
        <w:t xml:space="preserve">a abordagem do processo dual, </w:t>
      </w:r>
      <w:r w:rsidR="00DB7957" w:rsidRPr="00FF5657">
        <w:t xml:space="preserve">uma Análise Fatorial indicou </w:t>
      </w:r>
      <w:r w:rsidR="0064757B" w:rsidRPr="00FF5657">
        <w:t xml:space="preserve">que pessoas LGBTQIAP+ </w:t>
      </w:r>
      <w:r w:rsidR="008868D1" w:rsidRPr="00FF5657">
        <w:t xml:space="preserve">(38%) </w:t>
      </w:r>
      <w:r w:rsidR="00E00D2C" w:rsidRPr="00FF5657">
        <w:t>e</w:t>
      </w:r>
      <w:r w:rsidR="008868D1" w:rsidRPr="00FF5657">
        <w:t xml:space="preserve"> as mulheres (19,9%)</w:t>
      </w:r>
      <w:r w:rsidR="00DB7957" w:rsidRPr="00FF5657">
        <w:t xml:space="preserve"> foram percebidas como mais dissidentes;</w:t>
      </w:r>
      <w:r w:rsidR="0064757B" w:rsidRPr="00FF5657">
        <w:t xml:space="preserve"> </w:t>
      </w:r>
      <w:r w:rsidR="008868D1" w:rsidRPr="00FF5657">
        <w:t xml:space="preserve">pessoas negras </w:t>
      </w:r>
      <w:r w:rsidR="00FB6883" w:rsidRPr="00FF5657">
        <w:t xml:space="preserve">ficaram </w:t>
      </w:r>
      <w:r w:rsidR="00DB7957" w:rsidRPr="00FF5657">
        <w:t xml:space="preserve">isoladas no fator dos grupos percebidos </w:t>
      </w:r>
      <w:r w:rsidR="008868D1" w:rsidRPr="00FF5657">
        <w:t>como perigos</w:t>
      </w:r>
      <w:r w:rsidR="00DB7957" w:rsidRPr="00FF5657">
        <w:t>o</w:t>
      </w:r>
      <w:r w:rsidR="008868D1" w:rsidRPr="00FF5657">
        <w:t>s (13,2%</w:t>
      </w:r>
      <w:r w:rsidR="00E00D2C" w:rsidRPr="00FF5657">
        <w:t>);</w:t>
      </w:r>
      <w:r w:rsidR="00FB6883" w:rsidRPr="00FF5657">
        <w:t xml:space="preserve"> </w:t>
      </w:r>
      <w:r w:rsidR="00DB7957" w:rsidRPr="00FF5657">
        <w:t xml:space="preserve">pessoas com deficiência (89,9%), </w:t>
      </w:r>
      <w:r w:rsidR="008868D1" w:rsidRPr="00FF5657">
        <w:t>gordas</w:t>
      </w:r>
      <w:r w:rsidR="00DB7957" w:rsidRPr="00FF5657">
        <w:t xml:space="preserve"> (82,5%) e idos</w:t>
      </w:r>
      <w:r w:rsidR="00E00D2C" w:rsidRPr="00FF5657">
        <w:t>a</w:t>
      </w:r>
      <w:r w:rsidR="00DB7957" w:rsidRPr="00FF5657">
        <w:t>s (80,1%) compuseram a dimensão d</w:t>
      </w:r>
      <w:r w:rsidR="00E00D2C" w:rsidRPr="00FF5657">
        <w:t xml:space="preserve">os </w:t>
      </w:r>
      <w:r w:rsidR="008868D1" w:rsidRPr="00FF5657">
        <w:t>mais depreciad</w:t>
      </w:r>
      <w:r w:rsidR="00E00D2C" w:rsidRPr="00FF5657">
        <w:t>o</w:t>
      </w:r>
      <w:r w:rsidR="008868D1" w:rsidRPr="00FF5657">
        <w:t xml:space="preserve">s. </w:t>
      </w:r>
      <w:r w:rsidR="003F6614" w:rsidRPr="00FF5657">
        <w:t xml:space="preserve">Análises de correlação </w:t>
      </w:r>
      <w:r w:rsidR="00FB6883" w:rsidRPr="00FF5657">
        <w:t xml:space="preserve">e de Regressão Linear </w:t>
      </w:r>
      <w:r w:rsidR="003F6614" w:rsidRPr="00FF5657">
        <w:t>com as variáveis sociodemográficas indicaram padrão variado</w:t>
      </w:r>
      <w:r w:rsidR="00FB6883" w:rsidRPr="00FF5657">
        <w:t xml:space="preserve"> (</w:t>
      </w:r>
      <w:r w:rsidR="003F6614" w:rsidRPr="00FF5657">
        <w:t xml:space="preserve">uma </w:t>
      </w:r>
      <w:r w:rsidR="00FB6883" w:rsidRPr="00FF5657">
        <w:t xml:space="preserve">mesma </w:t>
      </w:r>
      <w:r w:rsidR="003F6614" w:rsidRPr="00FF5657">
        <w:t>variável se relacionando positivamente com um preconceito e negativamente com outro</w:t>
      </w:r>
      <w:r w:rsidR="00FB6883" w:rsidRPr="00FF5657">
        <w:t>)</w:t>
      </w:r>
      <w:r w:rsidR="003F6614" w:rsidRPr="00FF5657">
        <w:t xml:space="preserve">. Entretanto, a posição política mostrou-se consistente </w:t>
      </w:r>
      <w:r w:rsidR="00E00D2C" w:rsidRPr="00FF5657">
        <w:t>preditor d</w:t>
      </w:r>
      <w:r w:rsidR="003F6614" w:rsidRPr="00FF5657">
        <w:t>o preconceito racial e foi o único do PG</w:t>
      </w:r>
      <w:r w:rsidR="00E00D2C" w:rsidRPr="00FF5657">
        <w:t xml:space="preserve">: </w:t>
      </w:r>
      <w:r w:rsidR="003F6614" w:rsidRPr="00FF5657">
        <w:t xml:space="preserve">quanto mais à direita mais preconceito </w:t>
      </w:r>
      <w:r w:rsidR="00FB6883" w:rsidRPr="00FF5657">
        <w:t>racial e generalizado.</w:t>
      </w:r>
      <w:r w:rsidR="003F6614" w:rsidRPr="00FF5657">
        <w:t xml:space="preserve"> </w:t>
      </w:r>
      <w:r w:rsidR="00FB6883" w:rsidRPr="00FF5657">
        <w:t>Os resultados são discutidos com base nas teorias psicossociais sobre os elementos comuns e os específicos dos diversos preconceitos.</w:t>
      </w:r>
    </w:p>
    <w:p w14:paraId="19A2E204" w14:textId="77777777" w:rsidR="00FB6883" w:rsidRPr="00FF5657" w:rsidRDefault="00FB6883" w:rsidP="00E622C7">
      <w:pPr>
        <w:widowControl/>
        <w:pBdr>
          <w:top w:val="nil"/>
          <w:left w:val="nil"/>
          <w:bottom w:val="nil"/>
          <w:right w:val="nil"/>
          <w:between w:val="nil"/>
        </w:pBdr>
        <w:spacing w:line="240" w:lineRule="auto"/>
        <w:ind w:firstLine="0"/>
        <w:rPr>
          <w:highlight w:val="yellow"/>
        </w:rPr>
      </w:pPr>
    </w:p>
    <w:p w14:paraId="00000014" w14:textId="73EF38E4" w:rsidR="00A95BBE" w:rsidRPr="00FF5657" w:rsidRDefault="008571C7" w:rsidP="00E622C7">
      <w:pPr>
        <w:widowControl/>
        <w:pBdr>
          <w:top w:val="nil"/>
          <w:left w:val="nil"/>
          <w:bottom w:val="nil"/>
          <w:right w:val="nil"/>
          <w:between w:val="nil"/>
        </w:pBdr>
        <w:spacing w:line="240" w:lineRule="auto"/>
        <w:ind w:firstLine="0"/>
      </w:pPr>
      <w:r w:rsidRPr="00FF5657">
        <w:rPr>
          <w:i/>
        </w:rPr>
        <w:t xml:space="preserve">Palavras-chave: </w:t>
      </w:r>
      <w:r w:rsidRPr="00FF5657">
        <w:t>preconceito generalizado</w:t>
      </w:r>
      <w:r w:rsidR="0068300D" w:rsidRPr="00FF5657">
        <w:t>;</w:t>
      </w:r>
      <w:r w:rsidRPr="00FF5657">
        <w:t xml:space="preserve"> </w:t>
      </w:r>
      <w:r w:rsidR="0068300D" w:rsidRPr="00FF5657">
        <w:t xml:space="preserve">Brasil; </w:t>
      </w:r>
      <w:r w:rsidR="00FB6883" w:rsidRPr="00FF5657">
        <w:t xml:space="preserve">minorias sociais; </w:t>
      </w:r>
      <w:r w:rsidR="0068300D" w:rsidRPr="00FF5657">
        <w:t xml:space="preserve">posição política </w:t>
      </w:r>
    </w:p>
    <w:p w14:paraId="2BA3515D" w14:textId="77777777" w:rsidR="004D44BE" w:rsidRPr="00FF5657" w:rsidRDefault="004D44BE" w:rsidP="00E622C7">
      <w:pPr>
        <w:widowControl/>
        <w:spacing w:line="240" w:lineRule="auto"/>
        <w:ind w:firstLine="0"/>
        <w:jc w:val="left"/>
      </w:pPr>
    </w:p>
    <w:p w14:paraId="00000015" w14:textId="19D56C2A" w:rsidR="00A95BBE" w:rsidRPr="00FF5657" w:rsidRDefault="008571C7" w:rsidP="00E622C7">
      <w:pPr>
        <w:widowControl/>
        <w:spacing w:line="240" w:lineRule="auto"/>
        <w:ind w:firstLine="0"/>
        <w:jc w:val="left"/>
      </w:pPr>
      <w:r w:rsidRPr="00FF5657">
        <w:br w:type="page"/>
      </w:r>
    </w:p>
    <w:p w14:paraId="3A372B0B" w14:textId="77777777" w:rsidR="001C5257" w:rsidRPr="001C5257" w:rsidRDefault="001C5257" w:rsidP="001C5257">
      <w:pPr>
        <w:spacing w:line="240" w:lineRule="auto"/>
        <w:ind w:firstLine="0"/>
        <w:rPr>
          <w:b/>
          <w:lang w:val="en-GB"/>
        </w:rPr>
      </w:pPr>
      <w:r w:rsidRPr="001C5257">
        <w:rPr>
          <w:b/>
          <w:lang w:val="en-GB"/>
        </w:rPr>
        <w:lastRenderedPageBreak/>
        <w:t>Generalised prejudice in Brazil: specific components and general components</w:t>
      </w:r>
    </w:p>
    <w:p w14:paraId="7E9F240E" w14:textId="77777777" w:rsidR="001C5257" w:rsidRPr="001C5257" w:rsidRDefault="001C5257" w:rsidP="008409A4">
      <w:pPr>
        <w:ind w:firstLine="720"/>
        <w:jc w:val="center"/>
        <w:rPr>
          <w:b/>
          <w:bCs/>
          <w:lang w:val="en-GB"/>
        </w:rPr>
      </w:pPr>
    </w:p>
    <w:p w14:paraId="678C1B20" w14:textId="523CB957" w:rsidR="005D61BC" w:rsidRPr="001C5257" w:rsidRDefault="005D61BC" w:rsidP="008409A4">
      <w:pPr>
        <w:ind w:firstLine="720"/>
        <w:jc w:val="center"/>
        <w:rPr>
          <w:b/>
          <w:bCs/>
          <w:lang w:val="en-GB"/>
        </w:rPr>
      </w:pPr>
      <w:r w:rsidRPr="001C5257">
        <w:rPr>
          <w:b/>
          <w:bCs/>
          <w:lang w:val="en-GB"/>
        </w:rPr>
        <w:t>Introduction</w:t>
      </w:r>
    </w:p>
    <w:p w14:paraId="04F99B95" w14:textId="254C8EF2" w:rsidR="005D61BC" w:rsidRPr="001C5257" w:rsidRDefault="005D61BC" w:rsidP="005D61BC">
      <w:pPr>
        <w:ind w:firstLine="720"/>
        <w:rPr>
          <w:lang w:val="en-GB"/>
        </w:rPr>
      </w:pPr>
      <w:r w:rsidRPr="001C5257">
        <w:rPr>
          <w:lang w:val="en-GB"/>
        </w:rPr>
        <w:t>Prejudice, defined as a hostile attitude towards a person simply because they belong to a socially devalued group</w:t>
      </w:r>
      <w:r w:rsidR="001C5257">
        <w:rPr>
          <w:lang w:val="en-GB"/>
        </w:rPr>
        <w:t xml:space="preserve"> </w:t>
      </w:r>
      <w:r w:rsidR="001C5257" w:rsidRPr="001C5257">
        <w:rPr>
          <w:lang w:val="en-GB"/>
        </w:rPr>
        <w:t>(Allport, 1954/1979)</w:t>
      </w:r>
      <w:r w:rsidRPr="001C5257">
        <w:rPr>
          <w:lang w:val="en-GB"/>
        </w:rPr>
        <w:t>, is the breeding ground for all kinds of discrimination that occur in social life. Prejudice arises from and feeds on ignorance, xenophobia, authoritarianism and intolerance</w:t>
      </w:r>
      <w:r w:rsidR="001C5257">
        <w:rPr>
          <w:lang w:val="en-GB"/>
        </w:rPr>
        <w:t xml:space="preserve"> (Adorno et al., 1950)</w:t>
      </w:r>
      <w:r w:rsidRPr="001C5257">
        <w:rPr>
          <w:lang w:val="en-GB"/>
        </w:rPr>
        <w:t>. Throughout history, it has produced and continues to produce some of humanity's worst atrocities. Today, it threatens democracies (Parker &amp; Towler, 2019), relationships between groups and individuals (Lima, 2020), causes huge economic losses (Størling &amp; Tyran, 2018) and affects the physical well-being and mental health of its victims (Utsey et al., 2015).</w:t>
      </w:r>
    </w:p>
    <w:p w14:paraId="76D24764" w14:textId="3F287346" w:rsidR="005D61BC" w:rsidRPr="001C5257" w:rsidRDefault="005D61BC" w:rsidP="005D61BC">
      <w:pPr>
        <w:ind w:firstLine="720"/>
        <w:rPr>
          <w:lang w:val="en-GB"/>
        </w:rPr>
      </w:pPr>
      <w:r w:rsidRPr="001C5257">
        <w:rPr>
          <w:lang w:val="en-GB"/>
        </w:rPr>
        <w:t xml:space="preserve">Discrimination, the main by-product of prejudice, is widespread and worsening around the world. According to the World Justice Project (WJP, 2023), discrimination increased in 70% of countries between 2021 and 2022. In a ranking of 142 countries in terms of equal treatment </w:t>
      </w:r>
      <w:r w:rsidR="00D50C46" w:rsidRPr="001C5257">
        <w:rPr>
          <w:lang w:val="en-GB"/>
        </w:rPr>
        <w:t>or</w:t>
      </w:r>
      <w:r w:rsidRPr="001C5257">
        <w:rPr>
          <w:lang w:val="en-GB"/>
        </w:rPr>
        <w:t xml:space="preserve"> absence of discrimination based on gender, ethnicity, sexual orientation, socioeconomic status and national origin, Brazil ranks 80th. Data from Safernet (2023) shows that</w:t>
      </w:r>
      <w:r w:rsidR="001C5257" w:rsidRPr="001C5257">
        <w:rPr>
          <w:lang w:val="en-GB"/>
        </w:rPr>
        <w:t xml:space="preserve"> hate crimes</w:t>
      </w:r>
      <w:r w:rsidR="001C5257">
        <w:rPr>
          <w:lang w:val="en-GB"/>
        </w:rPr>
        <w:t>,</w:t>
      </w:r>
      <w:r w:rsidRPr="001C5257">
        <w:rPr>
          <w:lang w:val="en-GB"/>
        </w:rPr>
        <w:t xml:space="preserve"> another by-product of prejudice</w:t>
      </w:r>
      <w:r w:rsidR="001C5257">
        <w:rPr>
          <w:lang w:val="en-GB"/>
        </w:rPr>
        <w:t xml:space="preserve">, </w:t>
      </w:r>
      <w:r w:rsidRPr="001C5257">
        <w:rPr>
          <w:lang w:val="en-GB"/>
        </w:rPr>
        <w:t>increased by 650% in the first half of 2022 in Brazil, with almost 24,000 reports of racism, LGBT-phobia, xenophobia, neo-Nazism, sexism, a</w:t>
      </w:r>
      <w:r w:rsidR="001C5257">
        <w:rPr>
          <w:lang w:val="en-GB"/>
        </w:rPr>
        <w:t>pology</w:t>
      </w:r>
      <w:r w:rsidRPr="001C5257">
        <w:rPr>
          <w:lang w:val="en-GB"/>
        </w:rPr>
        <w:t xml:space="preserve"> of crimes against life and religious intolerance.</w:t>
      </w:r>
    </w:p>
    <w:p w14:paraId="7C09C43B" w14:textId="441F3554" w:rsidR="005D61BC" w:rsidRPr="001C5257" w:rsidRDefault="005D61BC" w:rsidP="005D61BC">
      <w:pPr>
        <w:ind w:firstLine="720"/>
        <w:rPr>
          <w:lang w:val="en-GB"/>
        </w:rPr>
      </w:pPr>
      <w:r w:rsidRPr="001C5257">
        <w:rPr>
          <w:lang w:val="en-GB"/>
        </w:rPr>
        <w:t xml:space="preserve">The </w:t>
      </w:r>
      <w:r w:rsidR="00D50C46" w:rsidRPr="001C5257">
        <w:rPr>
          <w:lang w:val="en-GB"/>
        </w:rPr>
        <w:t>main</w:t>
      </w:r>
      <w:r w:rsidRPr="001C5257">
        <w:rPr>
          <w:lang w:val="en-GB"/>
        </w:rPr>
        <w:t xml:space="preserve"> </w:t>
      </w:r>
      <w:r w:rsidR="00D50C46" w:rsidRPr="001C5257">
        <w:rPr>
          <w:lang w:val="en-GB"/>
        </w:rPr>
        <w:t>purpose</w:t>
      </w:r>
      <w:r w:rsidRPr="001C5257">
        <w:rPr>
          <w:lang w:val="en-GB"/>
        </w:rPr>
        <w:t xml:space="preserve"> of this article is to analyse the prejudices against different minorities in Brazil, taking into account their generalised and specific manifestations. Generalised prejudice is the tendency to hold negative attitudes towards a variety of social groups simultaneously (Bergh &amp; Akrami, 2016). Thus, someone who is racist is also likely to be sexist, homophobic and so on (Allport, 1954). The analysis of generalised prejudice begins with two of the most influential books ever written on prejudice: Adorno et al. (1950) on the authoritarian personality and Allport (1954) on the nature of prejudice (Bergh &amp; Brandt, 2023).</w:t>
      </w:r>
    </w:p>
    <w:p w14:paraId="4052E375" w14:textId="6D7EA4AA" w:rsidR="008409A4" w:rsidRPr="001C5257" w:rsidRDefault="005D61BC" w:rsidP="005D61BC">
      <w:pPr>
        <w:ind w:firstLine="720"/>
        <w:rPr>
          <w:lang w:val="en-GB"/>
        </w:rPr>
      </w:pPr>
      <w:r w:rsidRPr="001C5257">
        <w:rPr>
          <w:lang w:val="en-GB"/>
        </w:rPr>
        <w:t>Research has shown that prejudice towards different social groups is significantly and positively correlated, while factor analyses usually find a generalised prejudice factor that explains between 50% and 60% of the variance (Akrami et al., 2011; Bergh &amp; Brandt, 2023; Ekehammar &amp; Akrami, 2003). The remainder is explained by the specific dimension of each type of prejudice.</w:t>
      </w:r>
      <w:r w:rsidR="008409A4" w:rsidRPr="001C5257">
        <w:rPr>
          <w:lang w:val="en-GB"/>
        </w:rPr>
        <w:t xml:space="preserve"> </w:t>
      </w:r>
      <w:r w:rsidR="00D33F7E" w:rsidRPr="001C5257">
        <w:rPr>
          <w:lang w:val="en-GB"/>
        </w:rPr>
        <w:t xml:space="preserve">Generalised prejudices (GP) are influenced by </w:t>
      </w:r>
      <w:r w:rsidR="00D33F7E" w:rsidRPr="001C5257">
        <w:rPr>
          <w:lang w:val="en-GB"/>
        </w:rPr>
        <w:lastRenderedPageBreak/>
        <w:t>cognitive factors such as intolerance of ambiguity, closed-mindedness and moral conservatism (Allport, 1954; Forsberg et al., 2018), orientation towards social dominance and right-wing authoritarianism</w:t>
      </w:r>
      <w:r w:rsidR="008571C7" w:rsidRPr="001C5257">
        <w:rPr>
          <w:lang w:val="en-GB"/>
        </w:rPr>
        <w:t xml:space="preserve"> (Duckitt, 2001; Ekehammar et al., 2004). </w:t>
      </w:r>
      <w:r w:rsidR="008409A4" w:rsidRPr="001C5257">
        <w:rPr>
          <w:lang w:val="en-GB"/>
        </w:rPr>
        <w:t xml:space="preserve">But </w:t>
      </w:r>
      <w:r w:rsidR="001E6498" w:rsidRPr="001C5257">
        <w:rPr>
          <w:lang w:val="en-GB"/>
        </w:rPr>
        <w:t>also,</w:t>
      </w:r>
      <w:r w:rsidR="008409A4" w:rsidRPr="001C5257">
        <w:rPr>
          <w:lang w:val="en-GB"/>
        </w:rPr>
        <w:t xml:space="preserve"> through ideological and social status factors, such as the perception that stigmatised minorities have similar values and world views. For example, more conservative people may express G</w:t>
      </w:r>
      <w:r w:rsidR="00D33F7E" w:rsidRPr="001C5257">
        <w:rPr>
          <w:lang w:val="en-GB"/>
        </w:rPr>
        <w:t>P</w:t>
      </w:r>
      <w:r w:rsidR="008409A4" w:rsidRPr="001C5257">
        <w:rPr>
          <w:lang w:val="en-GB"/>
        </w:rPr>
        <w:t xml:space="preserve"> against groups that are perceived as liberal in terms of their values</w:t>
      </w:r>
      <w:r w:rsidR="001E6498">
        <w:rPr>
          <w:lang w:val="en-GB"/>
        </w:rPr>
        <w:t>;</w:t>
      </w:r>
      <w:r w:rsidR="008409A4" w:rsidRPr="001C5257">
        <w:rPr>
          <w:lang w:val="en-GB"/>
        </w:rPr>
        <w:t xml:space="preserve"> while liberals may express </w:t>
      </w:r>
      <w:r w:rsidR="00D33F7E" w:rsidRPr="001C5257">
        <w:rPr>
          <w:lang w:val="en-GB"/>
        </w:rPr>
        <w:t>GP</w:t>
      </w:r>
      <w:r w:rsidR="008409A4" w:rsidRPr="001C5257">
        <w:rPr>
          <w:lang w:val="en-GB"/>
        </w:rPr>
        <w:t xml:space="preserve"> against groups that are perceived as conservative (Bergh &amp; Brandt, 2023).</w:t>
      </w:r>
    </w:p>
    <w:p w14:paraId="2E0F1F8C" w14:textId="2C19091A" w:rsidR="008409A4" w:rsidRDefault="008409A4" w:rsidP="008409A4">
      <w:pPr>
        <w:ind w:firstLine="720"/>
      </w:pPr>
      <w:r w:rsidRPr="001C5257">
        <w:rPr>
          <w:lang w:val="en-GB"/>
        </w:rPr>
        <w:t xml:space="preserve">Generalised prejudice has been researched in several countries, with a focus on prejudice towards different minorities (Hadarics &amp; Kende, 2017; Meeusen &amp; Kern, 2016). However, in Brazil, only one study has been conducted on this phenomenon until 2024 (Cantal et al., 2014). This study, based on Duckitt's (2001) dual process model, examined the structure of generalised prejudice considering three target group categories — </w:t>
      </w:r>
      <w:r w:rsidR="00D33F7E" w:rsidRPr="001C5257">
        <w:rPr>
          <w:lang w:val="en-GB"/>
        </w:rPr>
        <w:t>derogated</w:t>
      </w:r>
      <w:r w:rsidRPr="001C5257">
        <w:rPr>
          <w:lang w:val="en-GB"/>
        </w:rPr>
        <w:t xml:space="preserve">, dangerous and dissident (Study 1) - and tested the relationships between these three </w:t>
      </w:r>
      <w:r w:rsidR="00D33F7E" w:rsidRPr="001C5257">
        <w:rPr>
          <w:lang w:val="en-GB"/>
        </w:rPr>
        <w:t>GP</w:t>
      </w:r>
      <w:r w:rsidRPr="001C5257">
        <w:rPr>
          <w:lang w:val="en-GB"/>
        </w:rPr>
        <w:t xml:space="preserve"> clusters and right-wing authoritarianism and social dominance orientation (Study 2). However, these authors do not assess the specific prejudices against minorities in Brazil to abstract their generalised dimension, as they use the generalised prejudice scale of Asbrock et al. </w:t>
      </w:r>
      <w:r>
        <w:t xml:space="preserve">(2010). </w:t>
      </w:r>
    </w:p>
    <w:p w14:paraId="3903E16E" w14:textId="3EDA17FE" w:rsidR="008409A4" w:rsidRPr="001C5257" w:rsidRDefault="008409A4" w:rsidP="008409A4">
      <w:pPr>
        <w:ind w:firstLine="720"/>
        <w:rPr>
          <w:lang w:val="en-GB"/>
        </w:rPr>
      </w:pPr>
      <w:r w:rsidRPr="001C5257">
        <w:rPr>
          <w:lang w:val="en-GB"/>
        </w:rPr>
        <w:t xml:space="preserve">Analysing </w:t>
      </w:r>
      <w:r w:rsidR="00D33F7E" w:rsidRPr="001C5257">
        <w:rPr>
          <w:lang w:val="en-GB"/>
        </w:rPr>
        <w:t>GP</w:t>
      </w:r>
      <w:r w:rsidRPr="001C5257">
        <w:rPr>
          <w:lang w:val="en-GB"/>
        </w:rPr>
        <w:t xml:space="preserve"> in Brazil today is an important task because: 1) there are few or almost no publications on the subject in Brazil; 2) the analysis of the generalised component, rooted in the most stable ideological, cognitive and personality structure of individuals, allows a better understanding of the expressions of prejudice; 3) the analysis of the specific components to each type of prejudice and related to most contextual characteristics allows a better understanding of the intergroup context in which prejudice arises; and 4) the correlations between the different prejudices and their relationships with socio-demographic variables allow a better understanding of the vectors that favour </w:t>
      </w:r>
      <w:r w:rsidR="00D33F7E" w:rsidRPr="001C5257">
        <w:rPr>
          <w:lang w:val="en-GB"/>
        </w:rPr>
        <w:t xml:space="preserve">specific </w:t>
      </w:r>
      <w:r w:rsidRPr="001C5257">
        <w:rPr>
          <w:lang w:val="en-GB"/>
        </w:rPr>
        <w:t>and generalised prejudice.</w:t>
      </w:r>
    </w:p>
    <w:p w14:paraId="0701BAA7" w14:textId="64EC0B74" w:rsidR="008409A4" w:rsidRPr="001C5257" w:rsidRDefault="008409A4" w:rsidP="008409A4">
      <w:pPr>
        <w:ind w:firstLine="720"/>
        <w:rPr>
          <w:lang w:val="en-GB"/>
        </w:rPr>
      </w:pPr>
      <w:r w:rsidRPr="001C5257">
        <w:rPr>
          <w:lang w:val="en-GB"/>
        </w:rPr>
        <w:t>There are many types of prejudice in Brazil. However, due to the limited possibilities to collect and analyse data, we included prejudice against sexual diversity (or heterosexism), sexism, racism, fatphobia, ageism and ableism in the study. According to a series of surveys representative of the national population, these six prejudices make up the list of the ten most serious (IBDFAM, 2024; WJP, 2024). These prejudices were categorised into the following three categories according to their main defining characteristic, taking into account their specificities.</w:t>
      </w:r>
    </w:p>
    <w:p w14:paraId="0000001A" w14:textId="77777777" w:rsidR="00A95BBE" w:rsidRPr="001C5257" w:rsidRDefault="00A95BBE" w:rsidP="00FF5657">
      <w:pPr>
        <w:widowControl/>
        <w:ind w:firstLine="720"/>
        <w:rPr>
          <w:lang w:val="en-GB"/>
        </w:rPr>
      </w:pPr>
    </w:p>
    <w:p w14:paraId="23EF7384" w14:textId="7B2E3B15" w:rsidR="00BB30B4" w:rsidRPr="001C5257" w:rsidRDefault="00BB30B4" w:rsidP="00BB30B4">
      <w:pPr>
        <w:ind w:firstLine="0"/>
        <w:rPr>
          <w:b/>
          <w:lang w:val="en-GB"/>
        </w:rPr>
      </w:pPr>
      <w:r w:rsidRPr="001C5257">
        <w:rPr>
          <w:b/>
          <w:lang w:val="en-GB"/>
        </w:rPr>
        <w:t>Gender and sexual prejudices</w:t>
      </w:r>
    </w:p>
    <w:p w14:paraId="342F613A" w14:textId="77777777" w:rsidR="00BB30B4" w:rsidRPr="001C5257" w:rsidRDefault="00BB30B4" w:rsidP="00BB30B4">
      <w:pPr>
        <w:ind w:firstLine="720"/>
        <w:rPr>
          <w:bCs/>
          <w:lang w:val="en-GB"/>
        </w:rPr>
      </w:pPr>
      <w:r w:rsidRPr="001C5257">
        <w:rPr>
          <w:bCs/>
          <w:lang w:val="en-GB"/>
        </w:rPr>
        <w:t>Sexism and heterosexism are essentially based on the devaluation of femininity. Sexism is a negative attitude towards women that encompasses beliefs, emotions and behaviours that devalue women and are consistent with a definition of gender roles that aims to perpetuate the unequal distribution of power, status and material resources between men and women (Biroli, 2018). Like other types of prejudice, sexism has taken on new forms in modern societies where blatant manifestations are not socially accepted (Becker &amp; Sibley, 2016), or at least they were not until recently. This gives rise to ambivalent sexism, modern sexism and neosexism. Ambivalent sexism, the most important of these theories, involves the simultaneous adoption of hostile and benevolent attitudes built on three ideological axes: 1) Paternalism, which portrays women as incapable and emphasises the need for male presence (dimension of dominant paternalism) or that women are dependent on men for protection and care (protective paternalism); 2) gender differentiation, which arises from the perception that women are not qualified for leadership positions but are valued for qualities that 'complement' male ones; and 3) the heterosexual intimacy dimension, which is based on the belief that women use their sexual power to dominate men (Becker &amp; Sibley, 2016). This theoretical framework of ambivalent sexism was confirmed by Glick and Fiske (1996) in six studies in which a measure of sexism was validated: the Ambivalent Sexism Inventory (ISA), which is probably the most widely used instrument to analyse sexism (Juarros-Basterretxea et al., 2023).</w:t>
      </w:r>
    </w:p>
    <w:p w14:paraId="32D98756" w14:textId="398682CF" w:rsidR="00BB30B4" w:rsidRPr="001C5257" w:rsidRDefault="00BB30B4" w:rsidP="00BB30B4">
      <w:pPr>
        <w:ind w:firstLine="720"/>
        <w:rPr>
          <w:bCs/>
          <w:lang w:val="en-GB"/>
        </w:rPr>
      </w:pPr>
      <w:r w:rsidRPr="001C5257">
        <w:rPr>
          <w:bCs/>
          <w:lang w:val="en-GB"/>
        </w:rPr>
        <w:t xml:space="preserve">Prejudice towards sexual and gender diversity (heterosexism) refers to hatred and negative beliefs towards people whose sexuality is perceived as deviating from the hegemonic heteronormative norms of sexual orientation (Herek &amp; Capitanio, 1999). Heterosexism is therefore a negative attitude towards people based on their sexual orientation, which is mainly directed against LGBT people. It is based on explicit expressions of prejudice, such as physical violence and marginalisation, which coexist with more hidden manifestations, such as avoidance and </w:t>
      </w:r>
      <w:r w:rsidR="00D33F7E" w:rsidRPr="001C5257">
        <w:rPr>
          <w:bCs/>
          <w:lang w:val="en-GB"/>
        </w:rPr>
        <w:t>mockery</w:t>
      </w:r>
      <w:r w:rsidRPr="001C5257">
        <w:rPr>
          <w:bCs/>
          <w:lang w:val="en-GB"/>
        </w:rPr>
        <w:t>. Heterosexist stereotypes define sexual and gender roles. In Brazil, women and effeminate people (gays, transsexuals and transvestites) are seen as submissive and dominated by men in a masculinist context characterised by machismo (Santos &amp; Cerqueira-Santos, 2020).</w:t>
      </w:r>
    </w:p>
    <w:p w14:paraId="000DEBEC" w14:textId="6C8B40CF" w:rsidR="00BB30B4" w:rsidRPr="001C5257" w:rsidRDefault="00A4612B" w:rsidP="00BB30B4">
      <w:pPr>
        <w:ind w:firstLine="720"/>
        <w:rPr>
          <w:bCs/>
          <w:lang w:val="en-GB"/>
        </w:rPr>
      </w:pPr>
      <w:r w:rsidRPr="001C5257">
        <w:rPr>
          <w:bCs/>
          <w:lang w:val="en-GB"/>
        </w:rPr>
        <w:t xml:space="preserve">Prejudice against Sexual and Gender Diversity Scale (EPDSG), developed by Costa et al. (2015) for the Brazilian context, is the first specific measure for analysing </w:t>
      </w:r>
      <w:r w:rsidRPr="001C5257">
        <w:rPr>
          <w:bCs/>
          <w:lang w:val="en-GB"/>
        </w:rPr>
        <w:lastRenderedPageBreak/>
        <w:t>heterosexism in Brazil that assesses prejudice against different sexual and gender minorities. The EPDSG is divided into two dimensions: Prejudice towards sexual orientation (e.g. “Sex between two men is totally wrong”) and prejudice towards gender non-conformity and transsexuality (e.g. “Transvestites disgust me”).</w:t>
      </w:r>
    </w:p>
    <w:p w14:paraId="460F248C" w14:textId="77777777" w:rsidR="00A4612B" w:rsidRPr="001C5257" w:rsidRDefault="00A4612B" w:rsidP="00FF5657">
      <w:pPr>
        <w:widowControl/>
        <w:ind w:firstLine="0"/>
        <w:rPr>
          <w:lang w:val="en-GB"/>
        </w:rPr>
      </w:pPr>
    </w:p>
    <w:p w14:paraId="47B27E9B" w14:textId="77777777" w:rsidR="004861D0" w:rsidRPr="001C5257" w:rsidRDefault="004861D0" w:rsidP="004861D0">
      <w:pPr>
        <w:widowControl/>
        <w:ind w:firstLine="0"/>
        <w:rPr>
          <w:b/>
          <w:lang w:val="en-GB"/>
        </w:rPr>
      </w:pPr>
      <w:r w:rsidRPr="001C5257">
        <w:rPr>
          <w:b/>
          <w:lang w:val="en-GB"/>
        </w:rPr>
        <w:t>Prejudice against physical appearance</w:t>
      </w:r>
    </w:p>
    <w:p w14:paraId="25AFDC79" w14:textId="76EBDFEC" w:rsidR="004861D0" w:rsidRPr="001C5257" w:rsidRDefault="004861D0" w:rsidP="004861D0">
      <w:pPr>
        <w:widowControl/>
        <w:ind w:firstLine="720"/>
        <w:rPr>
          <w:bCs/>
          <w:lang w:val="en-GB"/>
        </w:rPr>
      </w:pPr>
      <w:r w:rsidRPr="001C5257">
        <w:rPr>
          <w:bCs/>
          <w:lang w:val="en-GB"/>
        </w:rPr>
        <w:t>In this topic we will define and analyse racism and fatphobia. Racist prejudice manifests itself as a form of dehumanisation of the Other, whose difference is perceived/constructed in racialising or biologising terms (Lima, 2020). It manifests itself in different ways in historical, cultural and socio-economic contexts</w:t>
      </w:r>
      <w:r w:rsidR="00D33F7E" w:rsidRPr="001C5257">
        <w:rPr>
          <w:bCs/>
          <w:lang w:val="en-GB"/>
        </w:rPr>
        <w:t>. I</w:t>
      </w:r>
      <w:r w:rsidRPr="001C5257">
        <w:rPr>
          <w:bCs/>
          <w:lang w:val="en-GB"/>
        </w:rPr>
        <w:t>t is a problem of ancient origin, but one that is becoming increasingly topical given its permanence in modern societies. The belief in the existence of ethnic groups is linked to a process of social construction. A kind of social representation of otherness anchored in the idea that there are differences and biological determinants (physical essences) that characterise, separate and predefine human groups.</w:t>
      </w:r>
    </w:p>
    <w:p w14:paraId="1592EC70" w14:textId="6B2A5334" w:rsidR="004861D0" w:rsidRPr="001C5257" w:rsidRDefault="004861D0" w:rsidP="004861D0">
      <w:pPr>
        <w:widowControl/>
        <w:ind w:firstLine="720"/>
        <w:rPr>
          <w:bCs/>
          <w:lang w:val="en-GB"/>
        </w:rPr>
      </w:pPr>
      <w:r w:rsidRPr="001C5257">
        <w:rPr>
          <w:bCs/>
          <w:lang w:val="en-GB"/>
        </w:rPr>
        <w:t xml:space="preserve">In the psychosocial literature, racial prejudice is seen as analogous to racism (Brown, 1995). Since the end of the Second World War, racial prejudice has changed its forms of expression. Currently, most societies experience a type of racism without ethnicities and without racists (Bonilla-Silva, 2013). Nevertheless, racial prejudice in Brazil continues to be a problem for others, whether victims or perpetrators. Data from the Perseu Abramo Foundation shows that 87% of Brazilians claim that racism exists in Brazil, but only 4% describe themselves as racists (Venturi, 2005). In other words, in Brazil, racism is perceived by its victims as a rhetorical exaggeration. In this sense, Lima et al. (2020) developed a measure of racial prejudice adapted to the context of the spread of reactionary conservative narratives and policies in the country after 2013, outlining a scenario in which this type of prejudice is perceived by part of the population as a rhetorical-victimising exaggeration of the political left and the black population. This is the </w:t>
      </w:r>
      <w:r w:rsidR="00D33F7E" w:rsidRPr="001C5257">
        <w:rPr>
          <w:bCs/>
          <w:lang w:val="en-GB"/>
        </w:rPr>
        <w:t>Rev</w:t>
      </w:r>
      <w:r w:rsidRPr="001C5257">
        <w:rPr>
          <w:bCs/>
          <w:lang w:val="en-GB"/>
        </w:rPr>
        <w:t xml:space="preserve">ictimising </w:t>
      </w:r>
      <w:r w:rsidR="00D33F7E" w:rsidRPr="001C5257">
        <w:rPr>
          <w:bCs/>
          <w:lang w:val="en-GB"/>
        </w:rPr>
        <w:t>R</w:t>
      </w:r>
      <w:r w:rsidRPr="001C5257">
        <w:rPr>
          <w:bCs/>
          <w:lang w:val="en-GB"/>
        </w:rPr>
        <w:t xml:space="preserve">acism </w:t>
      </w:r>
      <w:r w:rsidR="0060377F" w:rsidRPr="001C5257">
        <w:rPr>
          <w:bCs/>
          <w:lang w:val="en-GB"/>
        </w:rPr>
        <w:t xml:space="preserve">Scale </w:t>
      </w:r>
      <w:r w:rsidRPr="001C5257">
        <w:rPr>
          <w:bCs/>
          <w:lang w:val="en-GB"/>
        </w:rPr>
        <w:t>(</w:t>
      </w:r>
      <w:r w:rsidR="00D33F7E" w:rsidRPr="001C5257">
        <w:rPr>
          <w:bCs/>
          <w:lang w:val="en-GB"/>
        </w:rPr>
        <w:t>RR</w:t>
      </w:r>
      <w:r w:rsidR="0060377F" w:rsidRPr="001C5257">
        <w:rPr>
          <w:bCs/>
          <w:lang w:val="en-GB"/>
        </w:rPr>
        <w:t>S</w:t>
      </w:r>
      <w:r w:rsidRPr="001C5257">
        <w:rPr>
          <w:bCs/>
          <w:lang w:val="en-GB"/>
        </w:rPr>
        <w:t>).</w:t>
      </w:r>
    </w:p>
    <w:p w14:paraId="5567A065" w14:textId="77777777" w:rsidR="00E3706D" w:rsidRPr="001C5257" w:rsidRDefault="004861D0" w:rsidP="00E3706D">
      <w:pPr>
        <w:widowControl/>
        <w:ind w:firstLine="720"/>
        <w:rPr>
          <w:bCs/>
          <w:lang w:val="en-GB"/>
        </w:rPr>
      </w:pPr>
      <w:r w:rsidRPr="001C5257">
        <w:rPr>
          <w:bCs/>
          <w:lang w:val="en-GB"/>
        </w:rPr>
        <w:t xml:space="preserve">Another type of prejudice whose stigmatising feature is external and visible (physical) and which leads to the attribution of internal, rigid and often unchangeable characteristics and the blaming of its victims is fatphobia. In this form of prejudice, the suffix “phobia” is synonymous with fear or aversion. This aversion to fat people is related to negative attitudes resulting from the acceptance of aesthetic standards for thinness (Robinson et al., 1993). Discrimination against this social category has increased by 66% </w:t>
      </w:r>
      <w:r w:rsidRPr="001C5257">
        <w:rPr>
          <w:bCs/>
          <w:lang w:val="en-GB"/>
        </w:rPr>
        <w:lastRenderedPageBreak/>
        <w:t>in the last ten years, reaching prevalence rates comparable to those of racism (Danielsdottir et al., 2010). One of the most important international measurement methods for fatphobia, the Antifat Attitudes Test (AFAT), which has already been adapted and evaluated in Brazil (Obara &amp; Alvarenga, 2018), assumes that this type of prejudice is structured in three dimensions: 1) social and character devaluation (e.g. “</w:t>
      </w:r>
      <w:r w:rsidR="00E3706D" w:rsidRPr="001C5257">
        <w:rPr>
          <w:bCs/>
          <w:lang w:val="en-GB"/>
        </w:rPr>
        <w:t>I don't think a person of normal weight would marry a fat person")</w:t>
      </w:r>
      <w:r w:rsidRPr="001C5257">
        <w:rPr>
          <w:bCs/>
          <w:lang w:val="en-GB"/>
        </w:rPr>
        <w:t xml:space="preserve">.E.g. "I do not think a normal-weight person would marry a fat person”); </w:t>
      </w:r>
      <w:r w:rsidR="00E3706D" w:rsidRPr="001C5257">
        <w:rPr>
          <w:bCs/>
          <w:lang w:val="en-GB"/>
        </w:rPr>
        <w:t>2) physical denigration (e.g. "It's disgusting to see fat people eating") and 3) blame (e.g. "Most fat people are lazy").</w:t>
      </w:r>
    </w:p>
    <w:p w14:paraId="0CABCE03" w14:textId="77777777" w:rsidR="00E3706D" w:rsidRPr="001C5257" w:rsidRDefault="00E3706D" w:rsidP="00E3706D">
      <w:pPr>
        <w:widowControl/>
        <w:ind w:firstLine="0"/>
        <w:rPr>
          <w:bCs/>
          <w:lang w:val="en-GB"/>
        </w:rPr>
      </w:pPr>
    </w:p>
    <w:p w14:paraId="5FCE1C52" w14:textId="0381266D" w:rsidR="004861D0" w:rsidRPr="001C5257" w:rsidRDefault="004861D0" w:rsidP="00E3706D">
      <w:pPr>
        <w:widowControl/>
        <w:ind w:firstLine="0"/>
        <w:rPr>
          <w:b/>
          <w:lang w:val="en-GB"/>
        </w:rPr>
      </w:pPr>
      <w:r w:rsidRPr="001C5257">
        <w:rPr>
          <w:b/>
          <w:lang w:val="en-GB"/>
        </w:rPr>
        <w:t>Prejudices against the concept of capacity</w:t>
      </w:r>
    </w:p>
    <w:p w14:paraId="01215DB8" w14:textId="5D6E6505" w:rsidR="004861D0" w:rsidRPr="001C5257" w:rsidRDefault="004861D0" w:rsidP="004861D0">
      <w:pPr>
        <w:ind w:firstLine="708"/>
        <w:rPr>
          <w:bCs/>
          <w:lang w:val="en-GB"/>
        </w:rPr>
      </w:pPr>
      <w:r w:rsidRPr="001C5257">
        <w:rPr>
          <w:bCs/>
          <w:lang w:val="en-GB"/>
        </w:rPr>
        <w:t>This topic defines and analyses ageism and ableism, which are combined in this analysis because both involve the assumption of incapacity. Ageism is the prejudice against people based on their age, whether because they are too young or too old compared to a socially valued age norm. Our interest in this article is ageism against older people.</w:t>
      </w:r>
    </w:p>
    <w:p w14:paraId="2E01BE90" w14:textId="77777777" w:rsidR="00E3706D" w:rsidRPr="001C5257" w:rsidRDefault="004861D0" w:rsidP="004861D0">
      <w:pPr>
        <w:ind w:firstLine="708"/>
        <w:rPr>
          <w:bCs/>
          <w:lang w:val="en-GB"/>
        </w:rPr>
      </w:pPr>
      <w:r w:rsidRPr="001C5257">
        <w:rPr>
          <w:bCs/>
          <w:lang w:val="en-GB"/>
        </w:rPr>
        <w:t xml:space="preserve">Ageism can be defined as the association of negative stereotypes, feelings and beliefs with older people. Palmore (2015) suggests that the most common ageist stereotypes are: Impotence, ugliness, mental decline, mental illness, uselessness, isolation, poverty and depression. In this context, the disease stereotype consists of the belief that most older people are sick or incapacitated and that they are associated with weakness and fatigue. As for impotence, it is often assumed that older people no longer engage in sexual activity or desire, and those who still do are seen as morally reprehensible. The category of ugliness associates ageing with a lack of attractiveness. Mental decline is characterised by the belief that older people lose the ability to learn and remember and thus become less valuable. In the case of mental illness, there is the idea that older people are affected by mental disorders. Futility refers to the idea that older people are unproductive and unable to work. In terms of isolation, many believe that older people are socially isolated. Related to the stereotype of poverty, it is common to believe that older people are close to destitution. Finally, the association with depression arises from the interpretation of supposedly sad expressions of older people who believe that they are miserable. </w:t>
      </w:r>
    </w:p>
    <w:p w14:paraId="7BC7837A" w14:textId="78E0123D" w:rsidR="004861D0" w:rsidRPr="001C5257" w:rsidRDefault="004861D0" w:rsidP="004861D0">
      <w:pPr>
        <w:ind w:firstLine="708"/>
        <w:rPr>
          <w:bCs/>
          <w:lang w:val="en-GB"/>
        </w:rPr>
      </w:pPr>
      <w:r w:rsidRPr="001C5257">
        <w:rPr>
          <w:bCs/>
          <w:lang w:val="en-GB"/>
        </w:rPr>
        <w:t xml:space="preserve">Ageism also manifests itself in two facets: a more overt or blatant and a more subtle or veiled one. The subtle, benevolent or paternalistic face leads young adults to harbour feelings of pity or compassion for older people. The overt face is hostile and </w:t>
      </w:r>
      <w:r w:rsidRPr="001C5257">
        <w:rPr>
          <w:bCs/>
          <w:lang w:val="en-GB"/>
        </w:rPr>
        <w:lastRenderedPageBreak/>
        <w:t>manifests itself in pejorative language and aggressive behaviour (Vieira, 2018; World Health Organisation, 2021). The Ambivalent Ageism Scale (</w:t>
      </w:r>
      <w:r w:rsidR="00E3706D" w:rsidRPr="001C5257">
        <w:rPr>
          <w:bCs/>
          <w:lang w:val="en-GB"/>
        </w:rPr>
        <w:t>AAS</w:t>
      </w:r>
      <w:r w:rsidRPr="001C5257">
        <w:rPr>
          <w:bCs/>
          <w:lang w:val="en-GB"/>
        </w:rPr>
        <w:t>), validated for Brazil by Vieira (2018), allows us to measure the influence of two subtypes of attitudes towards the elderly, considering the dimensions of hostile ageism (e.g. “The elderly are a problem for the health system and the country’s economy”) and benevolent ageism (e.g. “People should protect the elderly from sad news because they get emotional easily”).</w:t>
      </w:r>
    </w:p>
    <w:p w14:paraId="61D0CFED" w14:textId="5FBCF127" w:rsidR="004861D0" w:rsidRPr="001C5257" w:rsidRDefault="004861D0" w:rsidP="004861D0">
      <w:pPr>
        <w:ind w:firstLine="720"/>
        <w:rPr>
          <w:lang w:val="en-GB"/>
        </w:rPr>
      </w:pPr>
      <w:r w:rsidRPr="001C5257">
        <w:rPr>
          <w:lang w:val="en-GB"/>
        </w:rPr>
        <w:t xml:space="preserve">Finally, ableism refers to prejudice against people with disabilities (PwD). Culturally, a standard is constructed for an acceptable and desirable body that is considered perfect. Those who deviate from this standard are considered “defective", sick, inferior, inadequate, insufficient for themselves and for the world. The significant increase in the number of people with disabilities worldwide, influenced by medical advances, ageing populations, technological changes, conflicts and accidents, highlights the complexity and social dynamics of disability (Gesser &amp; Toneli, 2012). In line with these postulates, an important research tool on the topic of ableism is the scale on </w:t>
      </w:r>
      <w:r w:rsidR="00E3706D" w:rsidRPr="001C5257">
        <w:rPr>
          <w:lang w:val="en-GB"/>
        </w:rPr>
        <w:t>beliefs</w:t>
      </w:r>
      <w:r w:rsidRPr="001C5257">
        <w:rPr>
          <w:lang w:val="en-GB"/>
        </w:rPr>
        <w:t xml:space="preserve"> about disability (</w:t>
      </w:r>
      <w:r w:rsidR="00E3706D" w:rsidRPr="001C5257">
        <w:rPr>
          <w:lang w:val="en-GB"/>
        </w:rPr>
        <w:t>SB</w:t>
      </w:r>
      <w:r w:rsidRPr="001C5257">
        <w:rPr>
          <w:lang w:val="en-GB"/>
        </w:rPr>
        <w:t xml:space="preserve">D) developed by Leite and Lacerda (2018) for the national context. This scale measures perceptions or beliefs about the causes of disability based on four dimensions: organic, psychosocial, historical-cultural and metaphysical. </w:t>
      </w:r>
    </w:p>
    <w:p w14:paraId="45CD9845" w14:textId="7B575E7D" w:rsidR="004861D0" w:rsidRPr="001C5257" w:rsidRDefault="004861D0" w:rsidP="004861D0">
      <w:pPr>
        <w:ind w:firstLine="720"/>
        <w:rPr>
          <w:lang w:val="en-GB"/>
        </w:rPr>
      </w:pPr>
      <w:r w:rsidRPr="001C5257">
        <w:rPr>
          <w:lang w:val="en-GB"/>
        </w:rPr>
        <w:t>Taking into account this set of research instruments on the six prejudices mentioned, this article aims to analyse the relationships between generalised prejudice and specific prejudices against six social minorities in Brazil, as well as the contribution of socio-demographic variables and political positions in the expression of these prejudices and in the explanation of these relationships.</w:t>
      </w:r>
    </w:p>
    <w:p w14:paraId="33F96E51" w14:textId="77777777" w:rsidR="00E3706D" w:rsidRPr="001C5257" w:rsidRDefault="00E3706D" w:rsidP="00AB0E84">
      <w:pPr>
        <w:ind w:firstLine="720"/>
        <w:jc w:val="center"/>
        <w:rPr>
          <w:b/>
          <w:lang w:val="en-GB"/>
        </w:rPr>
      </w:pPr>
    </w:p>
    <w:p w14:paraId="61737CFF" w14:textId="6E7C5C9A" w:rsidR="00AB0E84" w:rsidRPr="001C5257" w:rsidRDefault="00AB0E84" w:rsidP="00AB0E84">
      <w:pPr>
        <w:ind w:firstLine="720"/>
        <w:jc w:val="center"/>
        <w:rPr>
          <w:b/>
          <w:lang w:val="en-GB"/>
        </w:rPr>
      </w:pPr>
      <w:r w:rsidRPr="001C5257">
        <w:rPr>
          <w:b/>
          <w:lang w:val="en-GB"/>
        </w:rPr>
        <w:t>Method</w:t>
      </w:r>
    </w:p>
    <w:p w14:paraId="268F1ECD" w14:textId="77777777" w:rsidR="00AB0E84" w:rsidRPr="001C5257" w:rsidRDefault="00AB0E84" w:rsidP="00AB0E84">
      <w:pPr>
        <w:ind w:firstLine="0"/>
        <w:rPr>
          <w:b/>
          <w:lang w:val="en-GB"/>
        </w:rPr>
      </w:pPr>
      <w:r w:rsidRPr="001C5257">
        <w:rPr>
          <w:b/>
          <w:lang w:val="en-GB"/>
        </w:rPr>
        <w:t>Participants</w:t>
      </w:r>
    </w:p>
    <w:p w14:paraId="5B9D61FB" w14:textId="267A0A0E" w:rsidR="00AB0E84" w:rsidRPr="001C5257" w:rsidRDefault="00AB0E84" w:rsidP="00AB0E84">
      <w:pPr>
        <w:ind w:firstLine="720"/>
        <w:rPr>
          <w:bCs/>
          <w:lang w:val="en-GB"/>
        </w:rPr>
      </w:pPr>
      <w:r w:rsidRPr="001C5257">
        <w:rPr>
          <w:bCs/>
          <w:lang w:val="en-GB"/>
        </w:rPr>
        <w:t>The study involved 305 Brazilians living in 23 of the 26 states. Most of them were from Sergipe, Bahia, São Paulo and Minas Gerais. The average age was 30.9 years (</w:t>
      </w:r>
      <w:r w:rsidRPr="001C5257">
        <w:rPr>
          <w:bCs/>
          <w:i/>
          <w:iCs/>
          <w:lang w:val="en-GB"/>
        </w:rPr>
        <w:t xml:space="preserve">SD </w:t>
      </w:r>
      <w:r w:rsidRPr="001C5257">
        <w:rPr>
          <w:bCs/>
          <w:lang w:val="en-GB"/>
        </w:rPr>
        <w:t xml:space="preserve">= 11.6). The majority were female (64%), followed by male (32%) and non-binary (2%). In terms of gender identity, 63% reported being cisgender women, 31% cisgender men, 0.6% transgender men, 0.4% transgender women, 2% transgender and 1% did not want to specify. In terms of sexual orientation, the majority were heterosexual (66%), followed by bisexual (23%), homosexual (8%), “other” (2%) and 1% did not want to give any information. In terms of skin colour, 49.5% of participants described themselves as white, 34% as mixed race, 12.9% as black, 3.3% as Asian and 0.3% as indigenous. The political </w:t>
      </w:r>
      <w:r w:rsidRPr="001C5257">
        <w:rPr>
          <w:bCs/>
          <w:lang w:val="en-GB"/>
        </w:rPr>
        <w:lastRenderedPageBreak/>
        <w:t>positioning of the participants shows that 9.9% classify themselves as far left, 43.4% as left, 14.1% as centre-left, 3.0% as centre, 2.3% as centre-right, 6.6% as right and 0.3% as far right. A further 20% do not categorise themselves in the political spectrum from right to left. The predominant monthly income was up to 6 minimum wages (81%). Only 5.6% of respondents have any kind of disability, with autism spectrum disorder (35.3%) and visual impairment (23.6%) being the most frequently cited. To calculate the body mass index (BMI) of the participants, the formula weight/(height²) was used, resulting in the formation of three groups: “underweight” (BMI &lt;18.5) (7.1% of participants), “normal weight” (BMI between 18.6 and 24.9) (51.5%) and “overweight” (BMI &gt;25) (41.4%) (Minis</w:t>
      </w:r>
      <w:r w:rsidR="00E3706D" w:rsidRPr="001C5257">
        <w:rPr>
          <w:bCs/>
          <w:lang w:val="en-GB"/>
        </w:rPr>
        <w:t>tério da Saúde</w:t>
      </w:r>
      <w:r w:rsidRPr="001C5257">
        <w:rPr>
          <w:bCs/>
          <w:lang w:val="en-GB"/>
        </w:rPr>
        <w:t>, 2019).</w:t>
      </w:r>
    </w:p>
    <w:p w14:paraId="3FC4CD46" w14:textId="77777777" w:rsidR="00AB0E84" w:rsidRPr="001C5257" w:rsidRDefault="00AB0E84" w:rsidP="00AB0E84">
      <w:pPr>
        <w:ind w:firstLine="0"/>
        <w:rPr>
          <w:b/>
          <w:lang w:val="en-GB"/>
        </w:rPr>
      </w:pPr>
      <w:r w:rsidRPr="001C5257">
        <w:rPr>
          <w:b/>
          <w:lang w:val="en-GB"/>
        </w:rPr>
        <w:t>Data collection methods and instruments</w:t>
      </w:r>
    </w:p>
    <w:p w14:paraId="7C03D044" w14:textId="77777777" w:rsidR="00AB0E84" w:rsidRPr="001C5257" w:rsidRDefault="00AB0E84" w:rsidP="00AB0E84">
      <w:pPr>
        <w:ind w:firstLine="720"/>
        <w:rPr>
          <w:bCs/>
          <w:lang w:val="en-GB"/>
        </w:rPr>
      </w:pPr>
      <w:r w:rsidRPr="001C5257">
        <w:rPr>
          <w:bCs/>
          <w:lang w:val="en-GB"/>
        </w:rPr>
        <w:t>Data was collected in 2024 using a questionnaire hosted on the Qualtrics platform and sent to potential participants via social media. The data analyses were carried out using SPSS (Statistical Package for the Social Sciences). The statistical analyses performed were descriptive (means and frequencies) and inferential (linear regressions, factor analysis and correlations).</w:t>
      </w:r>
    </w:p>
    <w:p w14:paraId="3959B8BD" w14:textId="77777777" w:rsidR="00AB0E84" w:rsidRPr="001C5257" w:rsidRDefault="00AB0E84" w:rsidP="00AB0E84">
      <w:pPr>
        <w:ind w:firstLine="0"/>
        <w:rPr>
          <w:b/>
          <w:lang w:val="en-GB"/>
        </w:rPr>
      </w:pPr>
      <w:r w:rsidRPr="001C5257">
        <w:rPr>
          <w:b/>
          <w:lang w:val="en-GB"/>
        </w:rPr>
        <w:t>Instruments and measures</w:t>
      </w:r>
    </w:p>
    <w:p w14:paraId="2AC2CD86" w14:textId="42110433" w:rsidR="00AB0E84" w:rsidRPr="001C5257" w:rsidRDefault="00AB0E84" w:rsidP="00AB0E84">
      <w:pPr>
        <w:ind w:firstLine="720"/>
        <w:rPr>
          <w:bCs/>
          <w:lang w:val="en-GB"/>
        </w:rPr>
      </w:pPr>
      <w:r w:rsidRPr="001C5257">
        <w:rPr>
          <w:bCs/>
          <w:lang w:val="en-GB"/>
        </w:rPr>
        <w:t>The questionnaire used was created in an electronic version and hosted on the Qualtrics platform. In addition to the socio-demographic characterisation questions, the following measures of prejudice were used in the instrument:</w:t>
      </w:r>
    </w:p>
    <w:p w14:paraId="7095A9D6" w14:textId="05E3BC93" w:rsidR="00AB0E84" w:rsidRPr="001C5257" w:rsidRDefault="00AB0E84" w:rsidP="00AB0E84">
      <w:pPr>
        <w:ind w:firstLine="0"/>
        <w:rPr>
          <w:bCs/>
          <w:lang w:val="en-GB"/>
        </w:rPr>
      </w:pPr>
      <w:r w:rsidRPr="001C5257">
        <w:rPr>
          <w:bCs/>
          <w:lang w:val="en-GB"/>
        </w:rPr>
        <w:t>1) Scale of Prejudice against Sexual and Gender Diversity (EPDSG) or Heterosexism - measure developed by Costa et al. (2015). This scale consists of 16 items, with response options ranging from 1 (I strongly disagree) to 5 (I strongly agree). (e.g. “Sex between two men is completely wrong”, “Transvestites disgust me”). The internal consistency was high (</w:t>
      </w:r>
      <w:r w:rsidRPr="00AB0E84">
        <w:rPr>
          <w:bCs/>
        </w:rPr>
        <w:t>α</w:t>
      </w:r>
      <w:r w:rsidRPr="001C5257">
        <w:rPr>
          <w:bCs/>
          <w:lang w:val="en-GB"/>
        </w:rPr>
        <w:t xml:space="preserve"> = 0.97).</w:t>
      </w:r>
    </w:p>
    <w:p w14:paraId="38A174EC" w14:textId="77777777" w:rsidR="00AB0E84" w:rsidRPr="001C5257" w:rsidRDefault="00AB0E84" w:rsidP="00AB0E84">
      <w:pPr>
        <w:ind w:firstLine="0"/>
        <w:rPr>
          <w:bCs/>
          <w:lang w:val="en-GB"/>
        </w:rPr>
      </w:pPr>
      <w:r w:rsidRPr="001C5257">
        <w:rPr>
          <w:bCs/>
          <w:lang w:val="en-GB"/>
        </w:rPr>
        <w:t xml:space="preserve">2) Ambivalent Sexism Inventory (ISA) - It was developed by Glick and Fiske (1996) and validated for Brazil by Formiga et al. (2007). It consists of 22 items related to two dimensions of sexism: hostile sexism (e.g. “women seek power by controlling men”) and benevolent sexism (e.g. “women should be loved and protected by men”). Each item is answered on a Likert scale from 1 (I strongly disagree) to 4 (I strongly agree). The internal consistency of the factors was satisfactory (hostile sexism </w:t>
      </w:r>
      <w:r w:rsidRPr="00AB0E84">
        <w:rPr>
          <w:bCs/>
        </w:rPr>
        <w:t>α</w:t>
      </w:r>
      <w:r w:rsidRPr="001C5257">
        <w:rPr>
          <w:bCs/>
          <w:lang w:val="en-GB"/>
        </w:rPr>
        <w:t xml:space="preserve"> = 0.96 and benevolent sexism </w:t>
      </w:r>
      <w:r w:rsidRPr="00AB0E84">
        <w:rPr>
          <w:bCs/>
        </w:rPr>
        <w:t>α</w:t>
      </w:r>
      <w:r w:rsidRPr="001C5257">
        <w:rPr>
          <w:bCs/>
          <w:lang w:val="en-GB"/>
        </w:rPr>
        <w:t xml:space="preserve"> = 0.94), with an overall alpha of 0.98.</w:t>
      </w:r>
    </w:p>
    <w:p w14:paraId="250F5714" w14:textId="77777777" w:rsidR="00AB0E84" w:rsidRPr="001C5257" w:rsidRDefault="00AB0E84" w:rsidP="00AB0E84">
      <w:pPr>
        <w:ind w:firstLine="0"/>
        <w:rPr>
          <w:bCs/>
          <w:lang w:val="en-GB"/>
        </w:rPr>
      </w:pPr>
      <w:r w:rsidRPr="001C5257">
        <w:rPr>
          <w:bCs/>
          <w:lang w:val="en-GB"/>
        </w:rPr>
        <w:t xml:space="preserve">3) Revictimising Racism Scale (RRS) - The scale developed by Lima et al. (2020) refers to new expressions of racism that manifest themselves in the attribution of excessive </w:t>
      </w:r>
      <w:r w:rsidRPr="001C5257">
        <w:rPr>
          <w:bCs/>
          <w:lang w:val="en-GB"/>
        </w:rPr>
        <w:lastRenderedPageBreak/>
        <w:t>rhetoric and blame to minorities. It consists of 10 items (e.g. “in Brazil, blacks have more privileges than whites due to affirmative action policies”). The scale ranges from 1 (I strongly disagree) to 5 (I strongly agree). The measure has a satisfactory internal consistency (</w:t>
      </w:r>
      <w:r w:rsidRPr="00AB0E84">
        <w:rPr>
          <w:bCs/>
        </w:rPr>
        <w:t>α</w:t>
      </w:r>
      <w:r w:rsidRPr="001C5257">
        <w:rPr>
          <w:bCs/>
          <w:lang w:val="en-GB"/>
        </w:rPr>
        <w:t xml:space="preserve"> = 0.81).</w:t>
      </w:r>
    </w:p>
    <w:p w14:paraId="233C6056" w14:textId="51C6E342" w:rsidR="00AB0E84" w:rsidRPr="001C5257" w:rsidRDefault="00AB0E84" w:rsidP="00AB0E84">
      <w:pPr>
        <w:ind w:firstLine="0"/>
        <w:rPr>
          <w:bCs/>
          <w:lang w:val="en-GB"/>
        </w:rPr>
      </w:pPr>
      <w:r w:rsidRPr="001C5257">
        <w:rPr>
          <w:bCs/>
          <w:lang w:val="en-GB"/>
        </w:rPr>
        <w:t>4) The fatphobia scale - the Antifat Attitudes Test (AFAT) - was adapted and validated for Brazil (Obara &amp; Alvarenga, 2018), has 34 items, of which the 18 with the best factor loading were retained (e.g. “I don't believe a normal-weight person would marry a fat person” and “Most fat people are lazy”). Responses ranged from 1 (I strongly disagree) to 5 (I strongly agree). The scale has satisfactory psychometric properties and good internal consistency (</w:t>
      </w:r>
      <w:r w:rsidRPr="00AB0E84">
        <w:rPr>
          <w:bCs/>
        </w:rPr>
        <w:t>α</w:t>
      </w:r>
      <w:r w:rsidRPr="001C5257">
        <w:rPr>
          <w:bCs/>
          <w:lang w:val="en-GB"/>
        </w:rPr>
        <w:t xml:space="preserve"> = 0.98). </w:t>
      </w:r>
    </w:p>
    <w:p w14:paraId="588C6FD5" w14:textId="0CC601B6" w:rsidR="00AB0E84" w:rsidRPr="001C5257" w:rsidRDefault="00AB0E84" w:rsidP="00AB0E84">
      <w:pPr>
        <w:ind w:firstLine="0"/>
        <w:rPr>
          <w:bCs/>
          <w:lang w:val="en-GB"/>
        </w:rPr>
      </w:pPr>
      <w:r w:rsidRPr="001C5257">
        <w:rPr>
          <w:bCs/>
          <w:lang w:val="en-GB"/>
        </w:rPr>
        <w:t>5) Ambivalent Ageism Scale (AAS) - The scale validated by Vieira (2018) measures “the influence of two subtypes of attitudes towards older people: hostile ageism (e.g. “Older people are a problem for the health system and the country’s economy”) and benevolent ageism (e.g. “You should protect older people from sad news because they get emotional easily”). It consists of 13 items that can be answered on a Likert scale from 1 (strongly disagree) to 5 (strongly agree) and showed good overall internal consistency (</w:t>
      </w:r>
      <w:r w:rsidRPr="00AB0E84">
        <w:rPr>
          <w:bCs/>
        </w:rPr>
        <w:t>α</w:t>
      </w:r>
      <w:r w:rsidRPr="001C5257">
        <w:rPr>
          <w:bCs/>
          <w:lang w:val="en-GB"/>
        </w:rPr>
        <w:t xml:space="preserve"> = 0.90).</w:t>
      </w:r>
    </w:p>
    <w:p w14:paraId="1F4C8802" w14:textId="610D596E" w:rsidR="00AB0E84" w:rsidRPr="001C5257" w:rsidRDefault="00AB0E84" w:rsidP="00AB0E84">
      <w:pPr>
        <w:ind w:firstLine="0"/>
        <w:rPr>
          <w:bCs/>
          <w:lang w:val="en-GB"/>
        </w:rPr>
      </w:pPr>
      <w:r w:rsidRPr="001C5257">
        <w:rPr>
          <w:bCs/>
          <w:lang w:val="en-GB"/>
        </w:rPr>
        <w:t>6) Ableism Scale - The Conceptions of Disability Scale (</w:t>
      </w:r>
      <w:r w:rsidR="0060377F" w:rsidRPr="001C5257">
        <w:rPr>
          <w:bCs/>
          <w:lang w:val="en-GB"/>
        </w:rPr>
        <w:t>CDS</w:t>
      </w:r>
      <w:r w:rsidRPr="001C5257">
        <w:rPr>
          <w:bCs/>
          <w:lang w:val="en-GB"/>
        </w:rPr>
        <w:t xml:space="preserve">) was developed by Leite and Lacerda (2018). The scale measures conceptions of disability based on four dimensions: organic, psychosocial, historical-cultural and metaphysical. Given the purpose of this study, only nine items from two ableist dimensions were used: organic beliefs based on the assumption that disability is organic in nature (e.g., “Disability is caused solely by biological, congenital, and genetic factors that determine human development.”; </w:t>
      </w:r>
      <w:r w:rsidRPr="00AB0E84">
        <w:rPr>
          <w:bCs/>
        </w:rPr>
        <w:t>α</w:t>
      </w:r>
      <w:r w:rsidRPr="001C5257">
        <w:rPr>
          <w:bCs/>
          <w:lang w:val="en-GB"/>
        </w:rPr>
        <w:t xml:space="preserve"> = 0.66) and the metaphysical or revictimisation dimension (e.g., “People with disabilities represent karma for events from other incarnations”; </w:t>
      </w:r>
      <w:r w:rsidRPr="00AB0E84">
        <w:rPr>
          <w:bCs/>
        </w:rPr>
        <w:t>α</w:t>
      </w:r>
      <w:r w:rsidRPr="001C5257">
        <w:rPr>
          <w:bCs/>
          <w:lang w:val="en-GB"/>
        </w:rPr>
        <w:t xml:space="preserve"> = 0.90). The general scale for ableism also achieved good internal consistency (</w:t>
      </w:r>
      <w:r w:rsidRPr="00AB0E84">
        <w:rPr>
          <w:bCs/>
        </w:rPr>
        <w:t>α</w:t>
      </w:r>
      <w:r w:rsidRPr="001C5257">
        <w:rPr>
          <w:bCs/>
          <w:lang w:val="en-GB"/>
        </w:rPr>
        <w:t xml:space="preserve"> = 0.84). </w:t>
      </w:r>
    </w:p>
    <w:p w14:paraId="2F52BB07" w14:textId="5F80BCA8" w:rsidR="00AB0E84" w:rsidRPr="001C5257" w:rsidRDefault="00AB0E84" w:rsidP="00AB0E84">
      <w:pPr>
        <w:ind w:firstLine="720"/>
        <w:rPr>
          <w:bCs/>
          <w:lang w:val="en-GB"/>
        </w:rPr>
      </w:pPr>
      <w:r w:rsidRPr="001C5257">
        <w:rPr>
          <w:bCs/>
          <w:lang w:val="en-GB"/>
        </w:rPr>
        <w:t>Participants were also asked to rate on a scale of 1 to 6 which of the stigmatised groups (LGBTQIAP+, women, black people, overweight people, people with disabilities and older people) in Brazil suffer the most from prejudice. They were also asked to choose which of these groups in Brazil are perceived as “dangerous” (those who pose some kind of threat to security”), “</w:t>
      </w:r>
      <w:r w:rsidR="0060377F" w:rsidRPr="001C5257">
        <w:rPr>
          <w:bCs/>
          <w:lang w:val="en-GB"/>
        </w:rPr>
        <w:t>derogated</w:t>
      </w:r>
      <w:r w:rsidRPr="001C5257">
        <w:rPr>
          <w:bCs/>
          <w:lang w:val="en-GB"/>
        </w:rPr>
        <w:t>" (those who are undervalued, looked down upon by society) and “dissidents” (those who disagree, who differ from other groups based on opinions, choices or ideologies).</w:t>
      </w:r>
    </w:p>
    <w:p w14:paraId="25FC46C5" w14:textId="77777777" w:rsidR="00AB0E84" w:rsidRPr="001C5257" w:rsidRDefault="00AB0E84" w:rsidP="00AB0E84">
      <w:pPr>
        <w:ind w:firstLine="0"/>
        <w:rPr>
          <w:b/>
          <w:bCs/>
          <w:lang w:val="en-GB"/>
        </w:rPr>
      </w:pPr>
      <w:bookmarkStart w:id="0" w:name="_heading=h.tyjcwt" w:colFirst="0" w:colLast="0"/>
      <w:bookmarkEnd w:id="0"/>
      <w:r w:rsidRPr="001C5257">
        <w:rPr>
          <w:b/>
          <w:bCs/>
          <w:lang w:val="en-GB"/>
        </w:rPr>
        <w:t>Ethical considerations</w:t>
      </w:r>
    </w:p>
    <w:p w14:paraId="5A33B0A2" w14:textId="77777777" w:rsidR="00AB0E84" w:rsidRPr="001C5257" w:rsidRDefault="00AB0E84" w:rsidP="00AB0E84">
      <w:pPr>
        <w:ind w:firstLine="720"/>
        <w:rPr>
          <w:lang w:val="en-GB"/>
        </w:rPr>
      </w:pPr>
      <w:r w:rsidRPr="001C5257">
        <w:rPr>
          <w:lang w:val="en-GB"/>
        </w:rPr>
        <w:t xml:space="preserve">The study was submitted to Plataforma Brasil and approved by the Research </w:t>
      </w:r>
      <w:r w:rsidRPr="001C5257">
        <w:rPr>
          <w:lang w:val="en-GB"/>
        </w:rPr>
        <w:lastRenderedPageBreak/>
        <w:t>Ethics Committee of the Federal University of Sergipe (CEP/UFS) under Opinion No. xxxxx, Approval Protocol No. xxxxx, (omitted to avoid identification).</w:t>
      </w:r>
    </w:p>
    <w:p w14:paraId="00B76CFA" w14:textId="77777777" w:rsidR="000C4455" w:rsidRPr="001C5257" w:rsidRDefault="000C4455" w:rsidP="00AB0E84">
      <w:pPr>
        <w:ind w:firstLine="0"/>
        <w:jc w:val="center"/>
        <w:rPr>
          <w:b/>
          <w:bCs/>
          <w:lang w:val="en-GB"/>
        </w:rPr>
      </w:pPr>
    </w:p>
    <w:p w14:paraId="0C0C121E" w14:textId="17DC73A3" w:rsidR="00AB0E84" w:rsidRPr="001C5257" w:rsidRDefault="00AB0E84" w:rsidP="00AB0E84">
      <w:pPr>
        <w:ind w:firstLine="0"/>
        <w:jc w:val="center"/>
        <w:rPr>
          <w:b/>
          <w:bCs/>
          <w:lang w:val="en-GB"/>
        </w:rPr>
      </w:pPr>
      <w:r w:rsidRPr="001C5257">
        <w:rPr>
          <w:b/>
          <w:bCs/>
          <w:lang w:val="en-GB"/>
        </w:rPr>
        <w:t>Results and discussion</w:t>
      </w:r>
    </w:p>
    <w:p w14:paraId="3B24A9E7" w14:textId="23A08034" w:rsidR="00AB0E84" w:rsidRPr="001C5257" w:rsidRDefault="00AB0E84" w:rsidP="00AB0E84">
      <w:pPr>
        <w:ind w:firstLine="720"/>
        <w:rPr>
          <w:lang w:val="en-GB"/>
        </w:rPr>
      </w:pPr>
      <w:r w:rsidRPr="001C5257">
        <w:rPr>
          <w:lang w:val="en-GB"/>
        </w:rPr>
        <w:t xml:space="preserve">The results show that the prejudice scores against the six groups are positively and significantly correlated (Table 1), confirming the assumptions in Brazil that the more prejudice there is against one social minority, the more prejudice there is against the others (Allport, 1954; Akrami et al, 2011; Bergh &amp; Akrami, 2016; Bergh &amp; Brandt, 2023; Ekehammar &amp; Akrami, 2003). Only the relationship between racism and fatphobia and between racism and ableism, although in the expected direction, did not occur or </w:t>
      </w:r>
      <w:r w:rsidR="0060377F" w:rsidRPr="001C5257">
        <w:rPr>
          <w:lang w:val="en-GB"/>
        </w:rPr>
        <w:t xml:space="preserve">are only slightly </w:t>
      </w:r>
      <w:r w:rsidRPr="001C5257">
        <w:rPr>
          <w:lang w:val="en-GB"/>
        </w:rPr>
        <w:t xml:space="preserve">significant. The correlations between general ableism and fatphobia and ageism, and between sexism and heterosexism, were all above </w:t>
      </w:r>
      <w:r w:rsidR="0060377F" w:rsidRPr="001C5257">
        <w:rPr>
          <w:lang w:val="en-GB"/>
        </w:rPr>
        <w:t>0</w:t>
      </w:r>
      <w:r w:rsidRPr="001C5257">
        <w:rPr>
          <w:lang w:val="en-GB"/>
        </w:rPr>
        <w:t xml:space="preserve">.60. Racism correlated less strongly with the other types of prejudice and appeared to be more specific than the others, although it had an average Pearson coefficient of </w:t>
      </w:r>
      <w:r w:rsidR="0060377F" w:rsidRPr="001C5257">
        <w:rPr>
          <w:lang w:val="en-GB"/>
        </w:rPr>
        <w:t>0</w:t>
      </w:r>
      <w:r w:rsidRPr="001C5257">
        <w:rPr>
          <w:lang w:val="en-GB"/>
        </w:rPr>
        <w:t xml:space="preserve">.16. </w:t>
      </w:r>
    </w:p>
    <w:p w14:paraId="461FC584" w14:textId="53BE0077" w:rsidR="00AB0E84" w:rsidRPr="001C5257" w:rsidRDefault="00AB0E84" w:rsidP="00AB0E84">
      <w:pPr>
        <w:ind w:firstLine="720"/>
        <w:rPr>
          <w:lang w:val="en-GB"/>
        </w:rPr>
      </w:pPr>
      <w:r w:rsidRPr="001C5257">
        <w:rPr>
          <w:lang w:val="en-GB"/>
        </w:rPr>
        <w:t>When asked which group in Brazil suffers the most from prejudice, participants chose Black people as the most victimised minority (</w:t>
      </w:r>
      <w:r w:rsidRPr="001C5257">
        <w:rPr>
          <w:i/>
          <w:iCs/>
          <w:lang w:val="en-GB"/>
        </w:rPr>
        <w:t>f</w:t>
      </w:r>
      <w:r w:rsidRPr="001C5257">
        <w:rPr>
          <w:lang w:val="en-GB"/>
        </w:rPr>
        <w:t xml:space="preserve"> = 143, </w:t>
      </w:r>
      <w:r w:rsidRPr="001C5257">
        <w:rPr>
          <w:i/>
          <w:iCs/>
          <w:lang w:val="en-GB"/>
        </w:rPr>
        <w:t xml:space="preserve">M </w:t>
      </w:r>
      <w:r w:rsidRPr="001C5257">
        <w:rPr>
          <w:lang w:val="en-GB"/>
        </w:rPr>
        <w:t xml:space="preserve">= 1.94, </w:t>
      </w:r>
      <w:r w:rsidRPr="001C5257">
        <w:rPr>
          <w:i/>
          <w:iCs/>
          <w:lang w:val="en-GB"/>
        </w:rPr>
        <w:t>SD</w:t>
      </w:r>
      <w:r w:rsidRPr="001C5257">
        <w:rPr>
          <w:lang w:val="en-GB"/>
        </w:rPr>
        <w:t xml:space="preserve"> = 1.25), followed by LGBTQIAP+ (</w:t>
      </w:r>
      <w:r w:rsidRPr="001C5257">
        <w:rPr>
          <w:i/>
          <w:iCs/>
          <w:lang w:val="en-GB"/>
        </w:rPr>
        <w:t>f</w:t>
      </w:r>
      <w:r w:rsidRPr="001C5257">
        <w:rPr>
          <w:lang w:val="en-GB"/>
        </w:rPr>
        <w:t xml:space="preserve"> = 111, </w:t>
      </w:r>
      <w:r w:rsidRPr="001C5257">
        <w:rPr>
          <w:i/>
          <w:iCs/>
          <w:lang w:val="en-GB"/>
        </w:rPr>
        <w:t>M</w:t>
      </w:r>
      <w:r w:rsidRPr="001C5257">
        <w:rPr>
          <w:lang w:val="en-GB"/>
        </w:rPr>
        <w:t xml:space="preserve"> = 2.24, </w:t>
      </w:r>
      <w:r w:rsidRPr="001C5257">
        <w:rPr>
          <w:i/>
          <w:iCs/>
          <w:lang w:val="en-GB"/>
        </w:rPr>
        <w:t xml:space="preserve">SD </w:t>
      </w:r>
      <w:r w:rsidRPr="001C5257">
        <w:rPr>
          <w:lang w:val="en-GB"/>
        </w:rPr>
        <w:t>= 1.38). Older people (</w:t>
      </w:r>
      <w:r w:rsidRPr="001C5257">
        <w:rPr>
          <w:i/>
          <w:iCs/>
          <w:lang w:val="en-GB"/>
        </w:rPr>
        <w:t>f</w:t>
      </w:r>
      <w:r w:rsidRPr="001C5257">
        <w:rPr>
          <w:lang w:val="en-GB"/>
        </w:rPr>
        <w:t xml:space="preserve"> = 27, </w:t>
      </w:r>
      <w:r w:rsidRPr="001C5257">
        <w:rPr>
          <w:i/>
          <w:iCs/>
          <w:lang w:val="en-GB"/>
        </w:rPr>
        <w:t xml:space="preserve">M </w:t>
      </w:r>
      <w:r w:rsidRPr="001C5257">
        <w:rPr>
          <w:lang w:val="en-GB"/>
        </w:rPr>
        <w:t xml:space="preserve">= 4.41, </w:t>
      </w:r>
      <w:r w:rsidRPr="001C5257">
        <w:rPr>
          <w:i/>
          <w:iCs/>
          <w:lang w:val="en-GB"/>
        </w:rPr>
        <w:t>SD</w:t>
      </w:r>
      <w:r w:rsidRPr="001C5257">
        <w:rPr>
          <w:lang w:val="en-GB"/>
        </w:rPr>
        <w:t xml:space="preserve"> = 1.65) and overweight people (</w:t>
      </w:r>
      <w:r w:rsidRPr="001C5257">
        <w:rPr>
          <w:i/>
          <w:iCs/>
          <w:lang w:val="en-GB"/>
        </w:rPr>
        <w:t>f</w:t>
      </w:r>
      <w:r w:rsidRPr="001C5257">
        <w:rPr>
          <w:lang w:val="en-GB"/>
        </w:rPr>
        <w:t xml:space="preserve"> = 20, </w:t>
      </w:r>
      <w:r w:rsidRPr="001C5257">
        <w:rPr>
          <w:i/>
          <w:iCs/>
          <w:lang w:val="en-GB"/>
        </w:rPr>
        <w:t>M</w:t>
      </w:r>
      <w:r w:rsidRPr="001C5257">
        <w:rPr>
          <w:lang w:val="en-GB"/>
        </w:rPr>
        <w:t xml:space="preserve"> = 4.06, </w:t>
      </w:r>
      <w:r w:rsidRPr="001C5257">
        <w:rPr>
          <w:i/>
          <w:iCs/>
          <w:lang w:val="en-GB"/>
        </w:rPr>
        <w:t>SD</w:t>
      </w:r>
      <w:r w:rsidRPr="001C5257">
        <w:rPr>
          <w:lang w:val="en-GB"/>
        </w:rPr>
        <w:t xml:space="preserve"> = 1.49) were the two minorities who felt the least victimised (Table 2). It is important to note that participants were able to place more than one social minority in the same position in the ranking at the same time.</w:t>
      </w:r>
    </w:p>
    <w:p w14:paraId="27778B1F" w14:textId="6F16E999" w:rsidR="00AB0E84" w:rsidRPr="001C5257" w:rsidRDefault="00AB0E84" w:rsidP="00AB0E84">
      <w:pPr>
        <w:ind w:firstLine="720"/>
        <w:rPr>
          <w:lang w:val="en-GB"/>
        </w:rPr>
      </w:pPr>
      <w:r w:rsidRPr="001C5257">
        <w:rPr>
          <w:lang w:val="en-GB"/>
        </w:rPr>
        <w:t>Regarding the structure of prejudice in Brazil, considering the three categories provided in Duckitt's (2001) dual process model: de</w:t>
      </w:r>
      <w:r w:rsidR="0060377F" w:rsidRPr="001C5257">
        <w:rPr>
          <w:lang w:val="en-GB"/>
        </w:rPr>
        <w:t>rogated</w:t>
      </w:r>
      <w:r w:rsidRPr="001C5257">
        <w:rPr>
          <w:lang w:val="en-GB"/>
        </w:rPr>
        <w:t>, dangerous and dissident, it is found that LGBTQIAP+ people were considered the most dissident (38.2% of responses), black people the most dangerous (13.2% of responses) and people with disabilities (89.9%) the most de</w:t>
      </w:r>
      <w:r w:rsidR="0060377F" w:rsidRPr="001C5257">
        <w:rPr>
          <w:lang w:val="en-GB"/>
        </w:rPr>
        <w:t>rrogated</w:t>
      </w:r>
      <w:r w:rsidRPr="001C5257">
        <w:rPr>
          <w:lang w:val="en-GB"/>
        </w:rPr>
        <w:t>. Cantal et al. (2014) also found in their factor analysis of Study 1 that overweight people were included in the de</w:t>
      </w:r>
      <w:r w:rsidR="0060377F" w:rsidRPr="001C5257">
        <w:rPr>
          <w:lang w:val="en-GB"/>
        </w:rPr>
        <w:t xml:space="preserve">rogation </w:t>
      </w:r>
      <w:r w:rsidRPr="001C5257">
        <w:rPr>
          <w:lang w:val="en-GB"/>
        </w:rPr>
        <w:t xml:space="preserve">factor and sexual minorities were included in the </w:t>
      </w:r>
      <w:r w:rsidR="0060377F" w:rsidRPr="001C5257">
        <w:rPr>
          <w:lang w:val="en-GB"/>
        </w:rPr>
        <w:t>dissident</w:t>
      </w:r>
      <w:r w:rsidRPr="001C5257">
        <w:rPr>
          <w:lang w:val="en-GB"/>
        </w:rPr>
        <w:t xml:space="preserve"> factor. In their study, the authors did not analyse prejudice against black people.</w:t>
      </w:r>
    </w:p>
    <w:p w14:paraId="797C82BF" w14:textId="77777777" w:rsidR="00AB0E84" w:rsidRPr="001C5257" w:rsidRDefault="00AB0E84" w:rsidP="00FF5657">
      <w:pPr>
        <w:ind w:firstLine="0"/>
        <w:rPr>
          <w:lang w:val="en-GB"/>
        </w:rPr>
      </w:pPr>
    </w:p>
    <w:p w14:paraId="00156890" w14:textId="77777777" w:rsidR="000C4455" w:rsidRPr="001C5257" w:rsidRDefault="000C4455">
      <w:pPr>
        <w:rPr>
          <w:lang w:val="en-GB"/>
        </w:rPr>
      </w:pPr>
      <w:r w:rsidRPr="001C5257">
        <w:rPr>
          <w:lang w:val="en-GB"/>
        </w:rPr>
        <w:br w:type="page"/>
      </w:r>
    </w:p>
    <w:p w14:paraId="452C1390" w14:textId="0EBCE7CD" w:rsidR="00AB0E84" w:rsidRPr="001C5257" w:rsidRDefault="00AB0E84" w:rsidP="00AB0E84">
      <w:pPr>
        <w:ind w:firstLine="0"/>
        <w:rPr>
          <w:lang w:val="en-GB"/>
        </w:rPr>
      </w:pPr>
      <w:r w:rsidRPr="001C5257">
        <w:rPr>
          <w:lang w:val="en-GB"/>
        </w:rPr>
        <w:lastRenderedPageBreak/>
        <w:t>Table 1</w:t>
      </w:r>
    </w:p>
    <w:p w14:paraId="0000004A" w14:textId="46F74BB6" w:rsidR="00A95BBE" w:rsidRPr="001C5257" w:rsidRDefault="00AB0E84" w:rsidP="00AB0E84">
      <w:pPr>
        <w:ind w:firstLine="0"/>
        <w:rPr>
          <w:i/>
          <w:iCs/>
          <w:lang w:val="en-GB"/>
        </w:rPr>
      </w:pPr>
      <w:r w:rsidRPr="001C5257">
        <w:rPr>
          <w:i/>
          <w:iCs/>
          <w:lang w:val="en-GB"/>
        </w:rPr>
        <w:t>Means, standard deviations and correlations between the types of Prejudice</w:t>
      </w:r>
    </w:p>
    <w:tbl>
      <w:tblPr>
        <w:tblStyle w:val="a"/>
        <w:tblW w:w="8505"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985"/>
        <w:gridCol w:w="1559"/>
        <w:gridCol w:w="992"/>
        <w:gridCol w:w="992"/>
        <w:gridCol w:w="992"/>
        <w:gridCol w:w="992"/>
        <w:gridCol w:w="993"/>
      </w:tblGrid>
      <w:tr w:rsidR="00C52600" w:rsidRPr="00FF5657" w14:paraId="54A8EACA" w14:textId="77777777" w:rsidTr="00424241">
        <w:tc>
          <w:tcPr>
            <w:tcW w:w="1985" w:type="dxa"/>
          </w:tcPr>
          <w:p w14:paraId="0000004B" w14:textId="6E275FAB" w:rsidR="009D0207" w:rsidRPr="00FF5657" w:rsidRDefault="009D0207" w:rsidP="00FF5657">
            <w:pPr>
              <w:spacing w:line="360" w:lineRule="auto"/>
              <w:ind w:firstLine="0"/>
            </w:pPr>
            <w:r w:rsidRPr="00FF5657">
              <w:t>Pre</w:t>
            </w:r>
            <w:r w:rsidR="00AB0E84">
              <w:t>judices</w:t>
            </w:r>
            <w:r w:rsidRPr="00FF5657">
              <w:t xml:space="preserve">: </w:t>
            </w:r>
          </w:p>
        </w:tc>
        <w:tc>
          <w:tcPr>
            <w:tcW w:w="1559" w:type="dxa"/>
          </w:tcPr>
          <w:p w14:paraId="0000004C" w14:textId="40A4F537" w:rsidR="009D0207" w:rsidRPr="00FF5657" w:rsidRDefault="009D0207" w:rsidP="00FF5657">
            <w:pPr>
              <w:spacing w:line="360" w:lineRule="auto"/>
              <w:ind w:firstLine="0"/>
              <w:jc w:val="center"/>
            </w:pPr>
            <w:r w:rsidRPr="00FF5657">
              <w:t>M</w:t>
            </w:r>
            <w:r w:rsidR="00AB0E84">
              <w:t>ean</w:t>
            </w:r>
            <w:r w:rsidR="00424241" w:rsidRPr="00FF5657">
              <w:t xml:space="preserve"> </w:t>
            </w:r>
            <w:r w:rsidRPr="00FF5657">
              <w:t>(</w:t>
            </w:r>
            <w:r w:rsidR="00AB0E84">
              <w:t>SD</w:t>
            </w:r>
            <w:r w:rsidRPr="00FF5657">
              <w:t>)</w:t>
            </w:r>
          </w:p>
        </w:tc>
        <w:tc>
          <w:tcPr>
            <w:tcW w:w="992" w:type="dxa"/>
          </w:tcPr>
          <w:p w14:paraId="0000004D" w14:textId="77777777" w:rsidR="009D0207" w:rsidRPr="00FF5657" w:rsidRDefault="009D0207" w:rsidP="00FF5657">
            <w:pPr>
              <w:spacing w:line="360" w:lineRule="auto"/>
              <w:ind w:firstLine="0"/>
              <w:jc w:val="center"/>
            </w:pPr>
            <w:r w:rsidRPr="00FF5657">
              <w:t>1</w:t>
            </w:r>
          </w:p>
        </w:tc>
        <w:tc>
          <w:tcPr>
            <w:tcW w:w="992" w:type="dxa"/>
          </w:tcPr>
          <w:p w14:paraId="0000004E" w14:textId="77777777" w:rsidR="009D0207" w:rsidRPr="00FF5657" w:rsidRDefault="009D0207" w:rsidP="00FF5657">
            <w:pPr>
              <w:spacing w:line="360" w:lineRule="auto"/>
              <w:ind w:firstLine="0"/>
              <w:jc w:val="center"/>
            </w:pPr>
            <w:r w:rsidRPr="00FF5657">
              <w:t>2</w:t>
            </w:r>
          </w:p>
        </w:tc>
        <w:tc>
          <w:tcPr>
            <w:tcW w:w="992" w:type="dxa"/>
          </w:tcPr>
          <w:p w14:paraId="0000004F" w14:textId="77777777" w:rsidR="009D0207" w:rsidRPr="00FF5657" w:rsidRDefault="009D0207" w:rsidP="00FF5657">
            <w:pPr>
              <w:spacing w:line="360" w:lineRule="auto"/>
              <w:ind w:firstLine="0"/>
              <w:jc w:val="center"/>
            </w:pPr>
            <w:r w:rsidRPr="00FF5657">
              <w:t>3</w:t>
            </w:r>
          </w:p>
        </w:tc>
        <w:tc>
          <w:tcPr>
            <w:tcW w:w="992" w:type="dxa"/>
          </w:tcPr>
          <w:p w14:paraId="00000050" w14:textId="77777777" w:rsidR="009D0207" w:rsidRPr="00FF5657" w:rsidRDefault="009D0207" w:rsidP="00FF5657">
            <w:pPr>
              <w:spacing w:line="360" w:lineRule="auto"/>
              <w:ind w:firstLine="0"/>
              <w:jc w:val="center"/>
            </w:pPr>
            <w:r w:rsidRPr="00FF5657">
              <w:t>4</w:t>
            </w:r>
          </w:p>
        </w:tc>
        <w:tc>
          <w:tcPr>
            <w:tcW w:w="993" w:type="dxa"/>
          </w:tcPr>
          <w:p w14:paraId="00000051" w14:textId="77777777" w:rsidR="009D0207" w:rsidRPr="00FF5657" w:rsidRDefault="009D0207" w:rsidP="00FF5657">
            <w:pPr>
              <w:spacing w:line="360" w:lineRule="auto"/>
              <w:ind w:firstLine="0"/>
              <w:jc w:val="center"/>
            </w:pPr>
            <w:r w:rsidRPr="00FF5657">
              <w:t>5</w:t>
            </w:r>
          </w:p>
        </w:tc>
      </w:tr>
      <w:tr w:rsidR="00C52600" w:rsidRPr="00FF5657" w14:paraId="6F4418AD" w14:textId="77777777" w:rsidTr="00424241">
        <w:tc>
          <w:tcPr>
            <w:tcW w:w="1985" w:type="dxa"/>
          </w:tcPr>
          <w:p w14:paraId="00000054" w14:textId="68B2119C" w:rsidR="009D0207" w:rsidRPr="00FF5657" w:rsidRDefault="009D0207" w:rsidP="00FF5657">
            <w:pPr>
              <w:spacing w:line="360" w:lineRule="auto"/>
              <w:ind w:firstLine="0"/>
            </w:pPr>
            <w:r w:rsidRPr="00FF5657">
              <w:t xml:space="preserve">1. </w:t>
            </w:r>
            <w:r w:rsidR="00AB0E84">
              <w:t xml:space="preserve">Racial </w:t>
            </w:r>
            <w:r w:rsidRPr="00FF5657">
              <w:t xml:space="preserve"> </w:t>
            </w:r>
          </w:p>
        </w:tc>
        <w:tc>
          <w:tcPr>
            <w:tcW w:w="1559" w:type="dxa"/>
          </w:tcPr>
          <w:p w14:paraId="00000056" w14:textId="10EBF013" w:rsidR="009D0207" w:rsidRPr="00FF5657" w:rsidRDefault="009D0207" w:rsidP="00FF5657">
            <w:pPr>
              <w:spacing w:line="360" w:lineRule="auto"/>
              <w:ind w:firstLine="0"/>
              <w:jc w:val="center"/>
            </w:pPr>
            <w:r w:rsidRPr="00FF5657">
              <w:t>1,78 (0,65)</w:t>
            </w:r>
          </w:p>
        </w:tc>
        <w:tc>
          <w:tcPr>
            <w:tcW w:w="992" w:type="dxa"/>
          </w:tcPr>
          <w:p w14:paraId="00000057" w14:textId="77777777" w:rsidR="009D0207" w:rsidRPr="00FF5657" w:rsidRDefault="009D0207" w:rsidP="00FF5657">
            <w:pPr>
              <w:spacing w:line="360" w:lineRule="auto"/>
              <w:ind w:firstLine="0"/>
              <w:jc w:val="center"/>
            </w:pPr>
            <w:r w:rsidRPr="00FF5657">
              <w:t>--</w:t>
            </w:r>
          </w:p>
        </w:tc>
        <w:tc>
          <w:tcPr>
            <w:tcW w:w="992" w:type="dxa"/>
          </w:tcPr>
          <w:p w14:paraId="00000058" w14:textId="77777777" w:rsidR="009D0207" w:rsidRPr="00FF5657" w:rsidRDefault="009D0207" w:rsidP="00FF5657">
            <w:pPr>
              <w:spacing w:line="360" w:lineRule="auto"/>
              <w:ind w:firstLine="0"/>
              <w:jc w:val="center"/>
            </w:pPr>
            <w:r w:rsidRPr="00FF5657">
              <w:t>--</w:t>
            </w:r>
          </w:p>
        </w:tc>
        <w:tc>
          <w:tcPr>
            <w:tcW w:w="992" w:type="dxa"/>
          </w:tcPr>
          <w:p w14:paraId="00000059" w14:textId="77777777" w:rsidR="009D0207" w:rsidRPr="00FF5657" w:rsidRDefault="009D0207" w:rsidP="00FF5657">
            <w:pPr>
              <w:spacing w:line="360" w:lineRule="auto"/>
              <w:ind w:firstLine="0"/>
              <w:jc w:val="center"/>
            </w:pPr>
            <w:r w:rsidRPr="00FF5657">
              <w:t>--</w:t>
            </w:r>
          </w:p>
        </w:tc>
        <w:tc>
          <w:tcPr>
            <w:tcW w:w="992" w:type="dxa"/>
          </w:tcPr>
          <w:p w14:paraId="0000005A" w14:textId="77777777" w:rsidR="009D0207" w:rsidRPr="00FF5657" w:rsidRDefault="009D0207" w:rsidP="00FF5657">
            <w:pPr>
              <w:spacing w:line="360" w:lineRule="auto"/>
              <w:ind w:firstLine="0"/>
              <w:jc w:val="center"/>
            </w:pPr>
            <w:r w:rsidRPr="00FF5657">
              <w:t>--</w:t>
            </w:r>
          </w:p>
        </w:tc>
        <w:tc>
          <w:tcPr>
            <w:tcW w:w="993" w:type="dxa"/>
          </w:tcPr>
          <w:p w14:paraId="0000005B" w14:textId="77777777" w:rsidR="009D0207" w:rsidRPr="00FF5657" w:rsidRDefault="009D0207" w:rsidP="00FF5657">
            <w:pPr>
              <w:spacing w:line="360" w:lineRule="auto"/>
              <w:ind w:firstLine="0"/>
              <w:jc w:val="center"/>
            </w:pPr>
            <w:r w:rsidRPr="00FF5657">
              <w:t>--</w:t>
            </w:r>
          </w:p>
        </w:tc>
      </w:tr>
      <w:tr w:rsidR="00C52600" w:rsidRPr="00FF5657" w14:paraId="2273A820" w14:textId="77777777" w:rsidTr="00424241">
        <w:tc>
          <w:tcPr>
            <w:tcW w:w="1985" w:type="dxa"/>
          </w:tcPr>
          <w:p w14:paraId="0000005E" w14:textId="5D0C90AF" w:rsidR="009D0207" w:rsidRPr="00FF5657" w:rsidRDefault="009D0207" w:rsidP="00FF5657">
            <w:pPr>
              <w:spacing w:line="360" w:lineRule="auto"/>
              <w:ind w:firstLine="0"/>
            </w:pPr>
            <w:r w:rsidRPr="00FF5657">
              <w:t xml:space="preserve">2. </w:t>
            </w:r>
            <w:r w:rsidR="001F58C4">
              <w:t>Fatphobia</w:t>
            </w:r>
          </w:p>
        </w:tc>
        <w:tc>
          <w:tcPr>
            <w:tcW w:w="1559" w:type="dxa"/>
          </w:tcPr>
          <w:p w14:paraId="00000060" w14:textId="4BB8BBB7" w:rsidR="009D0207" w:rsidRPr="00FF5657" w:rsidRDefault="009D0207" w:rsidP="00FF5657">
            <w:pPr>
              <w:spacing w:line="360" w:lineRule="auto"/>
              <w:ind w:firstLine="0"/>
              <w:jc w:val="center"/>
            </w:pPr>
            <w:r w:rsidRPr="00FF5657">
              <w:t>1,57</w:t>
            </w:r>
            <w:r w:rsidR="00424241" w:rsidRPr="00FF5657">
              <w:t xml:space="preserve"> </w:t>
            </w:r>
            <w:r w:rsidRPr="00FF5657">
              <w:t>(0,90)</w:t>
            </w:r>
          </w:p>
        </w:tc>
        <w:tc>
          <w:tcPr>
            <w:tcW w:w="992" w:type="dxa"/>
          </w:tcPr>
          <w:p w14:paraId="00000061" w14:textId="77777777" w:rsidR="009D0207" w:rsidRPr="00FF5657" w:rsidRDefault="009D0207" w:rsidP="00FF5657">
            <w:pPr>
              <w:spacing w:line="360" w:lineRule="auto"/>
              <w:ind w:firstLine="0"/>
              <w:jc w:val="center"/>
            </w:pPr>
            <w:r w:rsidRPr="00FF5657">
              <w:t>0,07</w:t>
            </w:r>
          </w:p>
        </w:tc>
        <w:tc>
          <w:tcPr>
            <w:tcW w:w="992" w:type="dxa"/>
          </w:tcPr>
          <w:p w14:paraId="00000062" w14:textId="77777777" w:rsidR="009D0207" w:rsidRPr="00FF5657" w:rsidRDefault="009D0207" w:rsidP="00FF5657">
            <w:pPr>
              <w:spacing w:line="360" w:lineRule="auto"/>
              <w:ind w:firstLine="0"/>
              <w:jc w:val="center"/>
            </w:pPr>
            <w:r w:rsidRPr="00FF5657">
              <w:t>--</w:t>
            </w:r>
          </w:p>
        </w:tc>
        <w:tc>
          <w:tcPr>
            <w:tcW w:w="992" w:type="dxa"/>
          </w:tcPr>
          <w:p w14:paraId="00000063" w14:textId="77777777" w:rsidR="009D0207" w:rsidRPr="00FF5657" w:rsidRDefault="009D0207" w:rsidP="00FF5657">
            <w:pPr>
              <w:spacing w:line="360" w:lineRule="auto"/>
              <w:ind w:firstLine="0"/>
              <w:jc w:val="center"/>
            </w:pPr>
            <w:r w:rsidRPr="00FF5657">
              <w:t>--</w:t>
            </w:r>
          </w:p>
        </w:tc>
        <w:tc>
          <w:tcPr>
            <w:tcW w:w="992" w:type="dxa"/>
          </w:tcPr>
          <w:p w14:paraId="00000064" w14:textId="77777777" w:rsidR="009D0207" w:rsidRPr="00FF5657" w:rsidRDefault="009D0207" w:rsidP="00FF5657">
            <w:pPr>
              <w:spacing w:line="360" w:lineRule="auto"/>
              <w:ind w:firstLine="0"/>
              <w:jc w:val="center"/>
            </w:pPr>
            <w:r w:rsidRPr="00FF5657">
              <w:t>--</w:t>
            </w:r>
          </w:p>
        </w:tc>
        <w:tc>
          <w:tcPr>
            <w:tcW w:w="993" w:type="dxa"/>
          </w:tcPr>
          <w:p w14:paraId="00000065" w14:textId="77777777" w:rsidR="009D0207" w:rsidRPr="00FF5657" w:rsidRDefault="009D0207" w:rsidP="00FF5657">
            <w:pPr>
              <w:spacing w:line="360" w:lineRule="auto"/>
              <w:ind w:firstLine="0"/>
              <w:jc w:val="center"/>
            </w:pPr>
            <w:r w:rsidRPr="00FF5657">
              <w:t>--</w:t>
            </w:r>
          </w:p>
        </w:tc>
      </w:tr>
      <w:tr w:rsidR="00C52600" w:rsidRPr="00FF5657" w14:paraId="4A059018" w14:textId="77777777" w:rsidTr="00424241">
        <w:tc>
          <w:tcPr>
            <w:tcW w:w="1985" w:type="dxa"/>
          </w:tcPr>
          <w:p w14:paraId="00000068" w14:textId="3A5F4945" w:rsidR="009D0207" w:rsidRPr="00FF5657" w:rsidRDefault="009D0207" w:rsidP="00FF5657">
            <w:pPr>
              <w:spacing w:line="360" w:lineRule="auto"/>
              <w:ind w:firstLine="0"/>
            </w:pPr>
            <w:r w:rsidRPr="00FF5657">
              <w:t xml:space="preserve">3. </w:t>
            </w:r>
            <w:r w:rsidR="00AB0E84">
              <w:t>Ageism</w:t>
            </w:r>
          </w:p>
        </w:tc>
        <w:tc>
          <w:tcPr>
            <w:tcW w:w="1559" w:type="dxa"/>
          </w:tcPr>
          <w:p w14:paraId="0000006A" w14:textId="4ED95538" w:rsidR="009D0207" w:rsidRPr="00FF5657" w:rsidRDefault="009D0207" w:rsidP="00FF5657">
            <w:pPr>
              <w:spacing w:line="360" w:lineRule="auto"/>
              <w:ind w:firstLine="0"/>
              <w:jc w:val="center"/>
            </w:pPr>
            <w:r w:rsidRPr="00FF5657">
              <w:t>2,41</w:t>
            </w:r>
            <w:r w:rsidR="00424241" w:rsidRPr="00FF5657">
              <w:t xml:space="preserve"> </w:t>
            </w:r>
            <w:r w:rsidRPr="00FF5657">
              <w:t>(0,76)</w:t>
            </w:r>
          </w:p>
        </w:tc>
        <w:tc>
          <w:tcPr>
            <w:tcW w:w="992" w:type="dxa"/>
          </w:tcPr>
          <w:p w14:paraId="0000006B" w14:textId="77777777" w:rsidR="009D0207" w:rsidRPr="00FF5657" w:rsidRDefault="009D0207" w:rsidP="00FF5657">
            <w:pPr>
              <w:spacing w:line="360" w:lineRule="auto"/>
              <w:ind w:firstLine="0"/>
              <w:jc w:val="center"/>
            </w:pPr>
            <w:r w:rsidRPr="00FF5657">
              <w:t>0,32**</w:t>
            </w:r>
          </w:p>
        </w:tc>
        <w:tc>
          <w:tcPr>
            <w:tcW w:w="992" w:type="dxa"/>
          </w:tcPr>
          <w:p w14:paraId="0000006C" w14:textId="77777777" w:rsidR="009D0207" w:rsidRPr="00FF5657" w:rsidRDefault="009D0207" w:rsidP="00FF5657">
            <w:pPr>
              <w:spacing w:line="360" w:lineRule="auto"/>
              <w:ind w:firstLine="0"/>
              <w:jc w:val="center"/>
            </w:pPr>
            <w:r w:rsidRPr="00FF5657">
              <w:t>0,65**</w:t>
            </w:r>
          </w:p>
        </w:tc>
        <w:tc>
          <w:tcPr>
            <w:tcW w:w="992" w:type="dxa"/>
          </w:tcPr>
          <w:p w14:paraId="0000006D" w14:textId="77777777" w:rsidR="009D0207" w:rsidRPr="00FF5657" w:rsidRDefault="009D0207" w:rsidP="00FF5657">
            <w:pPr>
              <w:spacing w:line="360" w:lineRule="auto"/>
              <w:ind w:firstLine="0"/>
              <w:jc w:val="center"/>
            </w:pPr>
            <w:r w:rsidRPr="00FF5657">
              <w:t>--</w:t>
            </w:r>
          </w:p>
        </w:tc>
        <w:tc>
          <w:tcPr>
            <w:tcW w:w="992" w:type="dxa"/>
          </w:tcPr>
          <w:p w14:paraId="0000006E" w14:textId="77777777" w:rsidR="009D0207" w:rsidRPr="00FF5657" w:rsidRDefault="009D0207" w:rsidP="00FF5657">
            <w:pPr>
              <w:spacing w:line="360" w:lineRule="auto"/>
              <w:ind w:firstLine="0"/>
              <w:jc w:val="center"/>
            </w:pPr>
            <w:r w:rsidRPr="00FF5657">
              <w:t>--</w:t>
            </w:r>
          </w:p>
        </w:tc>
        <w:tc>
          <w:tcPr>
            <w:tcW w:w="993" w:type="dxa"/>
          </w:tcPr>
          <w:p w14:paraId="0000006F" w14:textId="77777777" w:rsidR="009D0207" w:rsidRPr="00FF5657" w:rsidRDefault="009D0207" w:rsidP="00FF5657">
            <w:pPr>
              <w:spacing w:line="360" w:lineRule="auto"/>
              <w:ind w:firstLine="0"/>
              <w:jc w:val="center"/>
            </w:pPr>
            <w:r w:rsidRPr="00FF5657">
              <w:t>--</w:t>
            </w:r>
          </w:p>
        </w:tc>
      </w:tr>
      <w:tr w:rsidR="00C52600" w:rsidRPr="00FF5657" w14:paraId="5275B299" w14:textId="77777777" w:rsidTr="00424241">
        <w:tc>
          <w:tcPr>
            <w:tcW w:w="1985" w:type="dxa"/>
          </w:tcPr>
          <w:p w14:paraId="00000072" w14:textId="748A9F0D" w:rsidR="009D0207" w:rsidRPr="00FF5657" w:rsidRDefault="009D0207" w:rsidP="00FF5657">
            <w:pPr>
              <w:spacing w:line="360" w:lineRule="auto"/>
              <w:ind w:firstLine="0"/>
            </w:pPr>
            <w:r w:rsidRPr="00FF5657">
              <w:t xml:space="preserve">4. Sexism </w:t>
            </w:r>
          </w:p>
        </w:tc>
        <w:tc>
          <w:tcPr>
            <w:tcW w:w="1559" w:type="dxa"/>
          </w:tcPr>
          <w:p w14:paraId="00000074" w14:textId="603BE18E" w:rsidR="009D0207" w:rsidRPr="00FF5657" w:rsidRDefault="009D0207" w:rsidP="00FF5657">
            <w:pPr>
              <w:spacing w:line="360" w:lineRule="auto"/>
              <w:ind w:firstLine="0"/>
              <w:jc w:val="center"/>
            </w:pPr>
            <w:r w:rsidRPr="00FF5657">
              <w:t>1,90</w:t>
            </w:r>
            <w:r w:rsidR="00424241" w:rsidRPr="00FF5657">
              <w:t xml:space="preserve"> </w:t>
            </w:r>
            <w:r w:rsidRPr="00FF5657">
              <w:t>(0,99)</w:t>
            </w:r>
          </w:p>
        </w:tc>
        <w:tc>
          <w:tcPr>
            <w:tcW w:w="992" w:type="dxa"/>
          </w:tcPr>
          <w:p w14:paraId="00000075" w14:textId="77777777" w:rsidR="009D0207" w:rsidRPr="00FF5657" w:rsidRDefault="009D0207" w:rsidP="00FF5657">
            <w:pPr>
              <w:spacing w:line="360" w:lineRule="auto"/>
              <w:ind w:firstLine="0"/>
              <w:jc w:val="center"/>
            </w:pPr>
            <w:r w:rsidRPr="00FF5657">
              <w:t>0,25**</w:t>
            </w:r>
          </w:p>
        </w:tc>
        <w:tc>
          <w:tcPr>
            <w:tcW w:w="992" w:type="dxa"/>
          </w:tcPr>
          <w:p w14:paraId="00000076" w14:textId="77777777" w:rsidR="009D0207" w:rsidRPr="00FF5657" w:rsidRDefault="009D0207" w:rsidP="00FF5657">
            <w:pPr>
              <w:spacing w:line="360" w:lineRule="auto"/>
              <w:ind w:firstLine="0"/>
              <w:jc w:val="center"/>
            </w:pPr>
            <w:r w:rsidRPr="00FF5657">
              <w:t>0,68**</w:t>
            </w:r>
          </w:p>
        </w:tc>
        <w:tc>
          <w:tcPr>
            <w:tcW w:w="992" w:type="dxa"/>
          </w:tcPr>
          <w:p w14:paraId="00000077" w14:textId="77777777" w:rsidR="009D0207" w:rsidRPr="00FF5657" w:rsidRDefault="009D0207" w:rsidP="00FF5657">
            <w:pPr>
              <w:spacing w:line="360" w:lineRule="auto"/>
              <w:ind w:firstLine="0"/>
              <w:jc w:val="center"/>
            </w:pPr>
            <w:r w:rsidRPr="00FF5657">
              <w:t>0,65**</w:t>
            </w:r>
          </w:p>
        </w:tc>
        <w:tc>
          <w:tcPr>
            <w:tcW w:w="992" w:type="dxa"/>
          </w:tcPr>
          <w:p w14:paraId="00000078" w14:textId="77777777" w:rsidR="009D0207" w:rsidRPr="00FF5657" w:rsidRDefault="009D0207" w:rsidP="00FF5657">
            <w:pPr>
              <w:spacing w:line="360" w:lineRule="auto"/>
              <w:ind w:firstLine="0"/>
              <w:jc w:val="center"/>
            </w:pPr>
            <w:r w:rsidRPr="00FF5657">
              <w:t>--</w:t>
            </w:r>
          </w:p>
        </w:tc>
        <w:tc>
          <w:tcPr>
            <w:tcW w:w="993" w:type="dxa"/>
          </w:tcPr>
          <w:p w14:paraId="00000079" w14:textId="77777777" w:rsidR="009D0207" w:rsidRPr="00FF5657" w:rsidRDefault="009D0207" w:rsidP="00FF5657">
            <w:pPr>
              <w:spacing w:line="360" w:lineRule="auto"/>
              <w:ind w:firstLine="0"/>
              <w:jc w:val="center"/>
            </w:pPr>
            <w:r w:rsidRPr="00FF5657">
              <w:t>--</w:t>
            </w:r>
          </w:p>
        </w:tc>
      </w:tr>
      <w:tr w:rsidR="00C52600" w:rsidRPr="00FF5657" w14:paraId="0851752C" w14:textId="77777777" w:rsidTr="00424241">
        <w:tc>
          <w:tcPr>
            <w:tcW w:w="1985" w:type="dxa"/>
          </w:tcPr>
          <w:p w14:paraId="0000007C" w14:textId="05049E67" w:rsidR="009D0207" w:rsidRPr="00FF5657" w:rsidRDefault="009D0207" w:rsidP="00FF5657">
            <w:pPr>
              <w:spacing w:line="360" w:lineRule="auto"/>
              <w:ind w:firstLine="0"/>
            </w:pPr>
            <w:r w:rsidRPr="00FF5657">
              <w:t>5. Heterossexism</w:t>
            </w:r>
          </w:p>
        </w:tc>
        <w:tc>
          <w:tcPr>
            <w:tcW w:w="1559" w:type="dxa"/>
          </w:tcPr>
          <w:p w14:paraId="0000007E" w14:textId="2D5E43AF" w:rsidR="009D0207" w:rsidRPr="00FF5657" w:rsidRDefault="009D0207" w:rsidP="00FF5657">
            <w:pPr>
              <w:spacing w:line="360" w:lineRule="auto"/>
              <w:ind w:firstLine="0"/>
              <w:jc w:val="center"/>
            </w:pPr>
            <w:r w:rsidRPr="00FF5657">
              <w:t>1,52</w:t>
            </w:r>
            <w:r w:rsidR="00424241" w:rsidRPr="00FF5657">
              <w:t xml:space="preserve"> </w:t>
            </w:r>
            <w:r w:rsidRPr="00FF5657">
              <w:t>(0,92)</w:t>
            </w:r>
          </w:p>
        </w:tc>
        <w:tc>
          <w:tcPr>
            <w:tcW w:w="992" w:type="dxa"/>
          </w:tcPr>
          <w:p w14:paraId="0000007F" w14:textId="77777777" w:rsidR="009D0207" w:rsidRPr="00FF5657" w:rsidRDefault="009D0207" w:rsidP="00FF5657">
            <w:pPr>
              <w:spacing w:line="360" w:lineRule="auto"/>
              <w:ind w:firstLine="0"/>
              <w:jc w:val="center"/>
            </w:pPr>
            <w:r w:rsidRPr="00FF5657">
              <w:t>0,19**</w:t>
            </w:r>
          </w:p>
        </w:tc>
        <w:tc>
          <w:tcPr>
            <w:tcW w:w="992" w:type="dxa"/>
          </w:tcPr>
          <w:p w14:paraId="00000080" w14:textId="77777777" w:rsidR="009D0207" w:rsidRPr="00FF5657" w:rsidRDefault="009D0207" w:rsidP="00FF5657">
            <w:pPr>
              <w:spacing w:line="360" w:lineRule="auto"/>
              <w:ind w:firstLine="0"/>
              <w:jc w:val="center"/>
            </w:pPr>
            <w:r w:rsidRPr="00FF5657">
              <w:t>0,59**</w:t>
            </w:r>
          </w:p>
        </w:tc>
        <w:tc>
          <w:tcPr>
            <w:tcW w:w="992" w:type="dxa"/>
          </w:tcPr>
          <w:p w14:paraId="00000081" w14:textId="77777777" w:rsidR="009D0207" w:rsidRPr="00FF5657" w:rsidRDefault="009D0207" w:rsidP="00FF5657">
            <w:pPr>
              <w:spacing w:line="360" w:lineRule="auto"/>
              <w:ind w:firstLine="0"/>
              <w:jc w:val="center"/>
            </w:pPr>
            <w:r w:rsidRPr="00FF5657">
              <w:t>0,48**</w:t>
            </w:r>
          </w:p>
        </w:tc>
        <w:tc>
          <w:tcPr>
            <w:tcW w:w="992" w:type="dxa"/>
          </w:tcPr>
          <w:p w14:paraId="00000082" w14:textId="77777777" w:rsidR="009D0207" w:rsidRPr="00FF5657" w:rsidRDefault="009D0207" w:rsidP="00FF5657">
            <w:pPr>
              <w:spacing w:line="360" w:lineRule="auto"/>
              <w:ind w:firstLine="0"/>
              <w:jc w:val="center"/>
            </w:pPr>
            <w:r w:rsidRPr="00FF5657">
              <w:t>0,70**</w:t>
            </w:r>
          </w:p>
        </w:tc>
        <w:tc>
          <w:tcPr>
            <w:tcW w:w="993" w:type="dxa"/>
          </w:tcPr>
          <w:p w14:paraId="00000083" w14:textId="77777777" w:rsidR="009D0207" w:rsidRPr="00FF5657" w:rsidRDefault="009D0207" w:rsidP="00FF5657">
            <w:pPr>
              <w:spacing w:line="360" w:lineRule="auto"/>
              <w:ind w:firstLine="0"/>
              <w:jc w:val="center"/>
            </w:pPr>
            <w:r w:rsidRPr="00FF5657">
              <w:t>--</w:t>
            </w:r>
          </w:p>
        </w:tc>
      </w:tr>
      <w:tr w:rsidR="00C52600" w:rsidRPr="00FF5657" w14:paraId="514C7CD9" w14:textId="77777777" w:rsidTr="00424241">
        <w:tc>
          <w:tcPr>
            <w:tcW w:w="1985" w:type="dxa"/>
          </w:tcPr>
          <w:p w14:paraId="0000009B" w14:textId="594A60C5" w:rsidR="009D0207" w:rsidRPr="00FF5657" w:rsidRDefault="009D0207" w:rsidP="00FF5657">
            <w:pPr>
              <w:spacing w:line="360" w:lineRule="auto"/>
              <w:ind w:firstLine="0"/>
            </w:pPr>
            <w:r w:rsidRPr="00FF5657">
              <w:t xml:space="preserve">6. </w:t>
            </w:r>
            <w:r w:rsidR="00AB0E84">
              <w:t>Ableism</w:t>
            </w:r>
          </w:p>
        </w:tc>
        <w:tc>
          <w:tcPr>
            <w:tcW w:w="1559" w:type="dxa"/>
          </w:tcPr>
          <w:p w14:paraId="0000009D" w14:textId="76C88B21" w:rsidR="009D0207" w:rsidRPr="00FF5657" w:rsidRDefault="009D0207" w:rsidP="00FF5657">
            <w:pPr>
              <w:spacing w:line="360" w:lineRule="auto"/>
              <w:ind w:firstLine="0"/>
              <w:jc w:val="center"/>
            </w:pPr>
            <w:r w:rsidRPr="00FF5657">
              <w:t>2,09</w:t>
            </w:r>
            <w:r w:rsidR="00424241" w:rsidRPr="00FF5657">
              <w:t xml:space="preserve"> </w:t>
            </w:r>
            <w:r w:rsidRPr="00FF5657">
              <w:t>(0,79)</w:t>
            </w:r>
          </w:p>
        </w:tc>
        <w:tc>
          <w:tcPr>
            <w:tcW w:w="992" w:type="dxa"/>
          </w:tcPr>
          <w:p w14:paraId="0000009E" w14:textId="77777777" w:rsidR="009D0207" w:rsidRPr="00FF5657" w:rsidRDefault="009D0207" w:rsidP="00FF5657">
            <w:pPr>
              <w:spacing w:line="360" w:lineRule="auto"/>
              <w:ind w:firstLine="0"/>
              <w:jc w:val="center"/>
              <w:rPr>
                <w:vertAlign w:val="superscript"/>
              </w:rPr>
            </w:pPr>
            <w:r w:rsidRPr="00FF5657">
              <w:t>0,10</w:t>
            </w:r>
            <w:r w:rsidRPr="00FF5657">
              <w:rPr>
                <w:vertAlign w:val="superscript"/>
              </w:rPr>
              <w:t>+</w:t>
            </w:r>
          </w:p>
        </w:tc>
        <w:tc>
          <w:tcPr>
            <w:tcW w:w="992" w:type="dxa"/>
          </w:tcPr>
          <w:p w14:paraId="0000009F" w14:textId="77777777" w:rsidR="009D0207" w:rsidRPr="00FF5657" w:rsidRDefault="009D0207" w:rsidP="00FF5657">
            <w:pPr>
              <w:spacing w:line="360" w:lineRule="auto"/>
              <w:ind w:firstLine="0"/>
              <w:jc w:val="center"/>
            </w:pPr>
            <w:r w:rsidRPr="00FF5657">
              <w:t>0,71**</w:t>
            </w:r>
          </w:p>
        </w:tc>
        <w:tc>
          <w:tcPr>
            <w:tcW w:w="992" w:type="dxa"/>
          </w:tcPr>
          <w:p w14:paraId="000000A0" w14:textId="77777777" w:rsidR="009D0207" w:rsidRPr="00FF5657" w:rsidRDefault="009D0207" w:rsidP="00FF5657">
            <w:pPr>
              <w:spacing w:line="360" w:lineRule="auto"/>
              <w:ind w:firstLine="0"/>
              <w:jc w:val="center"/>
            </w:pPr>
            <w:r w:rsidRPr="00FF5657">
              <w:t>0,66**</w:t>
            </w:r>
          </w:p>
        </w:tc>
        <w:tc>
          <w:tcPr>
            <w:tcW w:w="992" w:type="dxa"/>
          </w:tcPr>
          <w:p w14:paraId="000000A1" w14:textId="77777777" w:rsidR="009D0207" w:rsidRPr="00FF5657" w:rsidRDefault="009D0207" w:rsidP="00FF5657">
            <w:pPr>
              <w:spacing w:line="360" w:lineRule="auto"/>
              <w:ind w:firstLine="0"/>
              <w:jc w:val="center"/>
            </w:pPr>
            <w:r w:rsidRPr="00FF5657">
              <w:t>0,57**</w:t>
            </w:r>
          </w:p>
        </w:tc>
        <w:tc>
          <w:tcPr>
            <w:tcW w:w="993" w:type="dxa"/>
          </w:tcPr>
          <w:p w14:paraId="000000A2" w14:textId="77777777" w:rsidR="009D0207" w:rsidRPr="00FF5657" w:rsidRDefault="009D0207" w:rsidP="00FF5657">
            <w:pPr>
              <w:spacing w:line="360" w:lineRule="auto"/>
              <w:ind w:firstLine="0"/>
              <w:jc w:val="center"/>
            </w:pPr>
            <w:r w:rsidRPr="00FF5657">
              <w:t>0,51**</w:t>
            </w:r>
          </w:p>
        </w:tc>
      </w:tr>
    </w:tbl>
    <w:p w14:paraId="3C084175" w14:textId="0AB55ABD" w:rsidR="007F54C4" w:rsidRDefault="007F54C4" w:rsidP="00FF5657"/>
    <w:p w14:paraId="6E1B4877" w14:textId="51477C60" w:rsidR="00813C54" w:rsidRPr="001C5257" w:rsidRDefault="00813C54" w:rsidP="00813C54">
      <w:pPr>
        <w:rPr>
          <w:lang w:val="en-GB"/>
        </w:rPr>
      </w:pPr>
      <w:r w:rsidRPr="001C5257">
        <w:rPr>
          <w:lang w:val="en-GB"/>
        </w:rPr>
        <w:t>An exploratory factor analysis of the six prejudices, in which we specified the extraction for three factors, confirms this structure (KMO = 0.814; Bartlett's test = 849.81; p &lt; 0.0001). The comm</w:t>
      </w:r>
      <w:r w:rsidR="0060377F" w:rsidRPr="001C5257">
        <w:rPr>
          <w:lang w:val="en-GB"/>
        </w:rPr>
        <w:t xml:space="preserve">unalities </w:t>
      </w:r>
      <w:r w:rsidRPr="001C5257">
        <w:rPr>
          <w:lang w:val="en-GB"/>
        </w:rPr>
        <w:t xml:space="preserve">index, which informs how much of the general prejudice is explained by each specific prejudice, that is, the shared variance, demonstrates that all prejudices represent the </w:t>
      </w:r>
      <w:r w:rsidR="0060377F" w:rsidRPr="001C5257">
        <w:rPr>
          <w:lang w:val="en-GB"/>
        </w:rPr>
        <w:t xml:space="preserve">Gp </w:t>
      </w:r>
      <w:r w:rsidRPr="001C5257">
        <w:rPr>
          <w:lang w:val="en-GB"/>
        </w:rPr>
        <w:t>well (&gt; 0.65), with the exception of racism, which appears to be configured as a unique and specific structure. It is also confirmed that the three dimensions proposed by Duckitt and Sibley (2007). Discrimination against d</w:t>
      </w:r>
      <w:r w:rsidR="0060377F" w:rsidRPr="001C5257">
        <w:rPr>
          <w:lang w:val="en-GB"/>
        </w:rPr>
        <w:t xml:space="preserve">erogated </w:t>
      </w:r>
      <w:r w:rsidRPr="001C5257">
        <w:rPr>
          <w:lang w:val="en-GB"/>
        </w:rPr>
        <w:t xml:space="preserve">groups is made up of ageism, ableism and fatphobia. Racism forms the dimension of </w:t>
      </w:r>
      <w:r w:rsidR="0060377F" w:rsidRPr="001C5257">
        <w:rPr>
          <w:lang w:val="en-GB"/>
        </w:rPr>
        <w:t xml:space="preserve">GP </w:t>
      </w:r>
      <w:r w:rsidRPr="001C5257">
        <w:rPr>
          <w:lang w:val="en-GB"/>
        </w:rPr>
        <w:t xml:space="preserve">against groups that are perceived as dangerous. Finally, sexism and heterosexism form the </w:t>
      </w:r>
      <w:r w:rsidR="0060377F" w:rsidRPr="001C5257">
        <w:rPr>
          <w:lang w:val="en-GB"/>
        </w:rPr>
        <w:t xml:space="preserve">GP </w:t>
      </w:r>
      <w:r w:rsidRPr="001C5257">
        <w:rPr>
          <w:lang w:val="en-GB"/>
        </w:rPr>
        <w:t xml:space="preserve">against those who think </w:t>
      </w:r>
      <w:r w:rsidR="0060377F" w:rsidRPr="001C5257">
        <w:rPr>
          <w:lang w:val="en-GB"/>
        </w:rPr>
        <w:t>or beha</w:t>
      </w:r>
      <w:r w:rsidR="009239FA" w:rsidRPr="001C5257">
        <w:rPr>
          <w:lang w:val="en-GB"/>
        </w:rPr>
        <w:t>ve</w:t>
      </w:r>
      <w:r w:rsidR="0060377F" w:rsidRPr="001C5257">
        <w:rPr>
          <w:lang w:val="en-GB"/>
        </w:rPr>
        <w:t xml:space="preserve"> </w:t>
      </w:r>
      <w:r w:rsidRPr="001C5257">
        <w:rPr>
          <w:lang w:val="en-GB"/>
        </w:rPr>
        <w:t>differently</w:t>
      </w:r>
      <w:r w:rsidR="0060377F" w:rsidRPr="001C5257">
        <w:rPr>
          <w:lang w:val="en-GB"/>
        </w:rPr>
        <w:t>: dissidents</w:t>
      </w:r>
      <w:r w:rsidRPr="001C5257">
        <w:rPr>
          <w:lang w:val="en-GB"/>
        </w:rPr>
        <w:t xml:space="preserve"> (Table 2). </w:t>
      </w:r>
    </w:p>
    <w:p w14:paraId="0647AC4B" w14:textId="12EAD4A0" w:rsidR="00813C54" w:rsidRPr="001C5257" w:rsidRDefault="00813C54" w:rsidP="00813C54">
      <w:pPr>
        <w:rPr>
          <w:lang w:val="en-GB"/>
        </w:rPr>
      </w:pPr>
      <w:r w:rsidRPr="001C5257">
        <w:rPr>
          <w:lang w:val="en-GB"/>
        </w:rPr>
        <w:t xml:space="preserve">In order to deepen this analysis and illustrate the contributions of the individual prejudice to the </w:t>
      </w:r>
      <w:r w:rsidR="009239FA" w:rsidRPr="001C5257">
        <w:rPr>
          <w:lang w:val="en-GB"/>
        </w:rPr>
        <w:t>GP</w:t>
      </w:r>
      <w:r w:rsidRPr="001C5257">
        <w:rPr>
          <w:lang w:val="en-GB"/>
        </w:rPr>
        <w:t xml:space="preserve"> as well as the overlaps between them, an exploratory factor analysis was carried out with the 99 items of the six scales in total and six factors were predefined. A general factor 1 was found to integrate </w:t>
      </w:r>
      <w:r w:rsidR="000E377D">
        <w:rPr>
          <w:lang w:val="en-GB"/>
        </w:rPr>
        <w:t>95</w:t>
      </w:r>
      <w:r w:rsidRPr="001C5257">
        <w:rPr>
          <w:lang w:val="en-GB"/>
        </w:rPr>
        <w:t>% of the sexism items, 100% of the heterosexism items, 54% of the ageism items, 100% of the fatphobia items and 20% of the ableism items, accounting for 63% of all items and explaining 51% of the global variance. In other words, the factor integrates all heterosexism and fatphobia items, the vast majority of sexism items, the majority of ageism items and 1/5 of ableism items, thus uniting de</w:t>
      </w:r>
      <w:r w:rsidR="009239FA" w:rsidRPr="001C5257">
        <w:rPr>
          <w:lang w:val="en-GB"/>
        </w:rPr>
        <w:t xml:space="preserve">rogated </w:t>
      </w:r>
      <w:r w:rsidRPr="001C5257">
        <w:rPr>
          <w:lang w:val="en-GB"/>
        </w:rPr>
        <w:t xml:space="preserve">and dissident groups. Factor 2 is configured as a racism factor and consists of 90% of the items of the racism scale and </w:t>
      </w:r>
      <w:r w:rsidR="006B7CCA">
        <w:rPr>
          <w:lang w:val="en-GB"/>
        </w:rPr>
        <w:t xml:space="preserve">four </w:t>
      </w:r>
      <w:r w:rsidRPr="001C5257">
        <w:rPr>
          <w:lang w:val="en-GB"/>
        </w:rPr>
        <w:t>item</w:t>
      </w:r>
      <w:r w:rsidR="006B7CCA">
        <w:rPr>
          <w:lang w:val="en-GB"/>
        </w:rPr>
        <w:t>s</w:t>
      </w:r>
      <w:r w:rsidRPr="001C5257">
        <w:rPr>
          <w:lang w:val="en-GB"/>
        </w:rPr>
        <w:t xml:space="preserve"> o</w:t>
      </w:r>
      <w:r w:rsidR="006B7CCA">
        <w:rPr>
          <w:lang w:val="en-GB"/>
        </w:rPr>
        <w:t>f</w:t>
      </w:r>
      <w:r w:rsidRPr="001C5257">
        <w:rPr>
          <w:lang w:val="en-GB"/>
        </w:rPr>
        <w:t xml:space="preserve"> ableism, which combines individual aspects with structural (“Attitudinal and structural barriers exacerbate the condition of disability”</w:t>
      </w:r>
      <w:r w:rsidR="009239FA" w:rsidRPr="001C5257">
        <w:rPr>
          <w:lang w:val="en-GB"/>
        </w:rPr>
        <w:t xml:space="preserve"> – item reverse</w:t>
      </w:r>
      <w:r w:rsidRPr="001C5257">
        <w:rPr>
          <w:lang w:val="en-GB"/>
        </w:rPr>
        <w:t>)</w:t>
      </w:r>
      <w:r w:rsidR="006B7CCA">
        <w:rPr>
          <w:lang w:val="en-GB"/>
        </w:rPr>
        <w:t xml:space="preserve"> and biological (“</w:t>
      </w:r>
      <w:r w:rsidR="006B7CCA" w:rsidRPr="006508E0">
        <w:rPr>
          <w:lang w:val="en-GB"/>
        </w:rPr>
        <w:t xml:space="preserve">Disability is a pathology and can be explained by a failure in the person that is justified by the presence </w:t>
      </w:r>
      <w:r w:rsidR="006B7CCA" w:rsidRPr="006508E0">
        <w:rPr>
          <w:lang w:val="en-GB"/>
        </w:rPr>
        <w:lastRenderedPageBreak/>
        <w:t>of deviant elements from a biological or functional point of view</w:t>
      </w:r>
      <w:r w:rsidR="006B7CCA">
        <w:rPr>
          <w:lang w:val="en-GB"/>
        </w:rPr>
        <w:t>”</w:t>
      </w:r>
      <w:r w:rsidR="006B7CCA" w:rsidRPr="006508E0">
        <w:rPr>
          <w:lang w:val="en-GB"/>
        </w:rPr>
        <w:t>.</w:t>
      </w:r>
      <w:r w:rsidR="006B7CCA">
        <w:rPr>
          <w:lang w:val="en-GB"/>
        </w:rPr>
        <w:t xml:space="preserve">) </w:t>
      </w:r>
      <w:r w:rsidR="006B7CCA" w:rsidRPr="001C5257">
        <w:rPr>
          <w:lang w:val="en-GB"/>
        </w:rPr>
        <w:t>aspects</w:t>
      </w:r>
      <w:r w:rsidR="006B7CCA">
        <w:rPr>
          <w:lang w:val="en-GB"/>
        </w:rPr>
        <w:t>.</w:t>
      </w:r>
      <w:r w:rsidR="006B7CCA" w:rsidRPr="001C5257">
        <w:rPr>
          <w:lang w:val="en-GB"/>
        </w:rPr>
        <w:t xml:space="preserve"> </w:t>
      </w:r>
      <w:r w:rsidRPr="001C5257">
        <w:rPr>
          <w:lang w:val="en-GB"/>
        </w:rPr>
        <w:t xml:space="preserve">Factor 3 consists of 31% of the items on ageism and 10% of the items on ableism. Factor 4 comprises </w:t>
      </w:r>
      <w:r w:rsidR="000E377D">
        <w:rPr>
          <w:lang w:val="en-GB"/>
        </w:rPr>
        <w:t>5</w:t>
      </w:r>
      <w:r w:rsidRPr="001C5257">
        <w:rPr>
          <w:lang w:val="en-GB"/>
        </w:rPr>
        <w:t xml:space="preserve">% of the sexist and </w:t>
      </w:r>
      <w:r w:rsidR="000E377D">
        <w:rPr>
          <w:lang w:val="en-GB"/>
        </w:rPr>
        <w:t>15</w:t>
      </w:r>
      <w:r w:rsidRPr="001C5257">
        <w:rPr>
          <w:lang w:val="en-GB"/>
        </w:rPr>
        <w:t xml:space="preserve">% of the ableist items. It is important to emphasise that the sexism item in this factor are benevolent sexism, which consists of pseudo-positive beliefs that reinforce traditional gender roles and perpetuate male dominance. These beliefs were associated with ableism and ageism, which are prejudice </w:t>
      </w:r>
      <w:r w:rsidR="009239FA" w:rsidRPr="001C5257">
        <w:rPr>
          <w:lang w:val="en-GB"/>
        </w:rPr>
        <w:t>materialized</w:t>
      </w:r>
      <w:r w:rsidRPr="001C5257">
        <w:rPr>
          <w:lang w:val="en-GB"/>
        </w:rPr>
        <w:t xml:space="preserve"> by the notion of 'incapacity' or 'lack of agency'. Factor 5 consisted </w:t>
      </w:r>
      <w:r w:rsidR="000E377D">
        <w:rPr>
          <w:lang w:val="en-GB"/>
        </w:rPr>
        <w:t xml:space="preserve">only two items, both of biological ableism. </w:t>
      </w:r>
      <w:r w:rsidRPr="001C5257">
        <w:rPr>
          <w:lang w:val="en-GB"/>
        </w:rPr>
        <w:t xml:space="preserve">Finally, Factor 6 consisted of </w:t>
      </w:r>
      <w:r w:rsidR="000E377D">
        <w:rPr>
          <w:lang w:val="en-GB"/>
        </w:rPr>
        <w:t>two items of social ableism</w:t>
      </w:r>
      <w:r w:rsidR="00F91291">
        <w:rPr>
          <w:lang w:val="en-GB"/>
        </w:rPr>
        <w:t xml:space="preserve"> (see Table </w:t>
      </w:r>
      <w:r w:rsidR="000E377D">
        <w:rPr>
          <w:lang w:val="en-GB"/>
        </w:rPr>
        <w:t xml:space="preserve">X </w:t>
      </w:r>
      <w:r w:rsidR="00F91291" w:rsidRPr="00F91291">
        <w:rPr>
          <w:lang w:val="en-GB"/>
        </w:rPr>
        <w:t>in supplementary material</w:t>
      </w:r>
      <w:r w:rsidR="00F91291">
        <w:rPr>
          <w:lang w:val="en-GB"/>
        </w:rPr>
        <w:t>)</w:t>
      </w:r>
      <w:r w:rsidRPr="001C5257">
        <w:rPr>
          <w:lang w:val="en-GB"/>
        </w:rPr>
        <w:t>. In short, heterosexism, sexism, fatphobia and ageism are integrated as generalised prejudice. Racial prejudice is a specific type of prejudice that does not overlap with the others, as shown by the low comm</w:t>
      </w:r>
      <w:r w:rsidR="009239FA" w:rsidRPr="001C5257">
        <w:rPr>
          <w:lang w:val="en-GB"/>
        </w:rPr>
        <w:t xml:space="preserve">unality </w:t>
      </w:r>
      <w:r w:rsidRPr="001C5257">
        <w:rPr>
          <w:lang w:val="en-GB"/>
        </w:rPr>
        <w:t>index in Table 2. Ableism, on the other hand, is the most diluted of the prejudices analysed.</w:t>
      </w:r>
    </w:p>
    <w:p w14:paraId="79B6CAD0" w14:textId="77777777" w:rsidR="009239FA" w:rsidRPr="001C5257" w:rsidRDefault="009239FA" w:rsidP="00813C54">
      <w:pPr>
        <w:rPr>
          <w:lang w:val="en-GB"/>
        </w:rPr>
      </w:pPr>
    </w:p>
    <w:p w14:paraId="20668A35" w14:textId="77777777" w:rsidR="009239FA" w:rsidRPr="001C5257" w:rsidRDefault="009239FA" w:rsidP="009239FA">
      <w:pPr>
        <w:ind w:firstLine="0"/>
        <w:rPr>
          <w:lang w:val="en-GB"/>
        </w:rPr>
      </w:pPr>
      <w:r w:rsidRPr="001C5257">
        <w:rPr>
          <w:lang w:val="en-GB"/>
        </w:rPr>
        <w:t>Table 2</w:t>
      </w:r>
    </w:p>
    <w:p w14:paraId="18D0DE09" w14:textId="77777777" w:rsidR="009239FA" w:rsidRPr="001C5257" w:rsidRDefault="009239FA" w:rsidP="009239FA">
      <w:pPr>
        <w:ind w:firstLine="0"/>
        <w:rPr>
          <w:i/>
          <w:iCs/>
          <w:lang w:val="en-GB"/>
        </w:rPr>
      </w:pPr>
      <w:r w:rsidRPr="001C5257">
        <w:rPr>
          <w:i/>
          <w:iCs/>
          <w:lang w:val="en-GB"/>
        </w:rPr>
        <w:t>Explorative factor analysis (PAF with oblique rotation) of the specific prejudices</w:t>
      </w:r>
    </w:p>
    <w:tbl>
      <w:tblPr>
        <w:tblStyle w:val="a0"/>
        <w:tblW w:w="8505" w:type="dxa"/>
        <w:tblInd w:w="0" w:type="dxa"/>
        <w:tblBorders>
          <w:top w:val="double" w:sz="4" w:space="0" w:color="000000"/>
          <w:bottom w:val="double" w:sz="4" w:space="0" w:color="000000"/>
        </w:tblBorders>
        <w:tblLayout w:type="fixed"/>
        <w:tblLook w:val="0400" w:firstRow="0" w:lastRow="0" w:firstColumn="0" w:lastColumn="0" w:noHBand="0" w:noVBand="1"/>
      </w:tblPr>
      <w:tblGrid>
        <w:gridCol w:w="2552"/>
        <w:gridCol w:w="425"/>
        <w:gridCol w:w="1276"/>
        <w:gridCol w:w="1417"/>
        <w:gridCol w:w="1418"/>
        <w:gridCol w:w="1417"/>
      </w:tblGrid>
      <w:tr w:rsidR="009239FA" w:rsidRPr="00FF5657" w14:paraId="0310904A" w14:textId="77777777" w:rsidTr="00DD3FC2">
        <w:trPr>
          <w:trHeight w:val="470"/>
        </w:trPr>
        <w:tc>
          <w:tcPr>
            <w:tcW w:w="2977" w:type="dxa"/>
            <w:gridSpan w:val="2"/>
            <w:tcBorders>
              <w:top w:val="double" w:sz="4" w:space="0" w:color="000000"/>
              <w:bottom w:val="double" w:sz="4" w:space="0" w:color="000000"/>
            </w:tcBorders>
            <w:shd w:val="clear" w:color="auto" w:fill="auto"/>
          </w:tcPr>
          <w:p w14:paraId="1FE2BD63" w14:textId="77777777" w:rsidR="009239FA" w:rsidRPr="009C1B8F" w:rsidRDefault="009239FA" w:rsidP="00DD3FC2">
            <w:pPr>
              <w:ind w:firstLine="0"/>
              <w:jc w:val="left"/>
            </w:pPr>
            <w:r w:rsidRPr="009C1B8F">
              <w:t>Group</w:t>
            </w:r>
          </w:p>
        </w:tc>
        <w:tc>
          <w:tcPr>
            <w:tcW w:w="1276" w:type="dxa"/>
            <w:tcBorders>
              <w:top w:val="double" w:sz="4" w:space="0" w:color="000000"/>
              <w:bottom w:val="double" w:sz="4" w:space="0" w:color="000000"/>
            </w:tcBorders>
          </w:tcPr>
          <w:p w14:paraId="588848B1" w14:textId="77777777" w:rsidR="009239FA" w:rsidRPr="009C1B8F" w:rsidRDefault="009239FA" w:rsidP="00DD3FC2">
            <w:pPr>
              <w:ind w:left="60" w:right="60" w:firstLine="0"/>
              <w:jc w:val="center"/>
            </w:pPr>
            <w:r w:rsidRPr="009C1B8F">
              <w:t>Commu</w:t>
            </w:r>
            <w:r>
              <w:t>.</w:t>
            </w:r>
          </w:p>
        </w:tc>
        <w:tc>
          <w:tcPr>
            <w:tcW w:w="1417" w:type="dxa"/>
            <w:tcBorders>
              <w:top w:val="double" w:sz="4" w:space="0" w:color="000000"/>
              <w:bottom w:val="double" w:sz="4" w:space="0" w:color="000000"/>
            </w:tcBorders>
            <w:shd w:val="clear" w:color="auto" w:fill="auto"/>
          </w:tcPr>
          <w:p w14:paraId="7F59A44F" w14:textId="77777777" w:rsidR="009239FA" w:rsidRPr="009C1B8F" w:rsidRDefault="009239FA" w:rsidP="00DD3FC2">
            <w:pPr>
              <w:ind w:left="60" w:right="60" w:firstLine="0"/>
              <w:jc w:val="center"/>
            </w:pPr>
            <w:r w:rsidRPr="009C1B8F">
              <w:rPr>
                <w:color w:val="231F20"/>
              </w:rPr>
              <w:t>Derogated</w:t>
            </w:r>
          </w:p>
        </w:tc>
        <w:tc>
          <w:tcPr>
            <w:tcW w:w="1418" w:type="dxa"/>
            <w:tcBorders>
              <w:top w:val="double" w:sz="4" w:space="0" w:color="000000"/>
              <w:bottom w:val="double" w:sz="4" w:space="0" w:color="000000"/>
            </w:tcBorders>
            <w:shd w:val="clear" w:color="auto" w:fill="auto"/>
          </w:tcPr>
          <w:p w14:paraId="2D016E20" w14:textId="77777777" w:rsidR="009239FA" w:rsidRPr="009C1B8F" w:rsidRDefault="009239FA" w:rsidP="00DD3FC2">
            <w:pPr>
              <w:ind w:left="60" w:right="60" w:firstLine="0"/>
              <w:jc w:val="center"/>
            </w:pPr>
            <w:r w:rsidRPr="009C1B8F">
              <w:rPr>
                <w:color w:val="231F20"/>
              </w:rPr>
              <w:t>Dangerous</w:t>
            </w:r>
          </w:p>
        </w:tc>
        <w:tc>
          <w:tcPr>
            <w:tcW w:w="1417" w:type="dxa"/>
            <w:tcBorders>
              <w:top w:val="double" w:sz="4" w:space="0" w:color="000000"/>
              <w:bottom w:val="double" w:sz="4" w:space="0" w:color="000000"/>
            </w:tcBorders>
            <w:shd w:val="clear" w:color="auto" w:fill="auto"/>
          </w:tcPr>
          <w:p w14:paraId="2AEA8C2E" w14:textId="77777777" w:rsidR="009239FA" w:rsidRPr="009C1B8F" w:rsidRDefault="009239FA" w:rsidP="00DD3FC2">
            <w:pPr>
              <w:ind w:left="60" w:firstLine="0"/>
              <w:jc w:val="center"/>
            </w:pPr>
            <w:r w:rsidRPr="009C1B8F">
              <w:rPr>
                <w:color w:val="231F20"/>
              </w:rPr>
              <w:t>Dissident</w:t>
            </w:r>
            <w:r>
              <w:rPr>
                <w:color w:val="231F20"/>
              </w:rPr>
              <w:t>s</w:t>
            </w:r>
          </w:p>
        </w:tc>
      </w:tr>
      <w:tr w:rsidR="009239FA" w:rsidRPr="00FF5657" w14:paraId="33AF091B" w14:textId="77777777" w:rsidTr="00DD3FC2">
        <w:tc>
          <w:tcPr>
            <w:tcW w:w="2977" w:type="dxa"/>
            <w:gridSpan w:val="2"/>
            <w:tcBorders>
              <w:top w:val="double" w:sz="4" w:space="0" w:color="000000"/>
            </w:tcBorders>
            <w:shd w:val="clear" w:color="auto" w:fill="auto"/>
          </w:tcPr>
          <w:p w14:paraId="2D7C169D" w14:textId="77777777" w:rsidR="009239FA" w:rsidRPr="009C1B8F" w:rsidRDefault="009239FA" w:rsidP="00DD3FC2">
            <w:pPr>
              <w:ind w:firstLine="0"/>
              <w:jc w:val="left"/>
            </w:pPr>
            <w:r w:rsidRPr="009C1B8F">
              <w:t>Elderly people</w:t>
            </w:r>
          </w:p>
        </w:tc>
        <w:tc>
          <w:tcPr>
            <w:tcW w:w="1276" w:type="dxa"/>
            <w:tcBorders>
              <w:top w:val="double" w:sz="4" w:space="0" w:color="000000"/>
            </w:tcBorders>
          </w:tcPr>
          <w:p w14:paraId="0C7C5391" w14:textId="77777777" w:rsidR="009239FA" w:rsidRPr="009C1B8F" w:rsidRDefault="009239FA" w:rsidP="00DD3FC2">
            <w:pPr>
              <w:ind w:left="60" w:right="60" w:firstLine="0"/>
              <w:jc w:val="center"/>
            </w:pPr>
            <w:r w:rsidRPr="009C1B8F">
              <w:t>0,913</w:t>
            </w:r>
          </w:p>
        </w:tc>
        <w:tc>
          <w:tcPr>
            <w:tcW w:w="1417" w:type="dxa"/>
            <w:tcBorders>
              <w:top w:val="double" w:sz="4" w:space="0" w:color="000000"/>
            </w:tcBorders>
            <w:shd w:val="clear" w:color="auto" w:fill="auto"/>
          </w:tcPr>
          <w:p w14:paraId="189E9395" w14:textId="77777777" w:rsidR="009239FA" w:rsidRPr="009C1B8F" w:rsidRDefault="009239FA" w:rsidP="00DD3FC2">
            <w:pPr>
              <w:ind w:left="60" w:right="60" w:firstLine="0"/>
              <w:jc w:val="center"/>
            </w:pPr>
            <w:r w:rsidRPr="009C1B8F">
              <w:t>0,892</w:t>
            </w:r>
          </w:p>
        </w:tc>
        <w:tc>
          <w:tcPr>
            <w:tcW w:w="1418" w:type="dxa"/>
            <w:tcBorders>
              <w:top w:val="double" w:sz="4" w:space="0" w:color="000000"/>
            </w:tcBorders>
            <w:shd w:val="clear" w:color="auto" w:fill="auto"/>
          </w:tcPr>
          <w:p w14:paraId="16906D8F" w14:textId="77777777" w:rsidR="009239FA" w:rsidRPr="009C1B8F" w:rsidRDefault="009239FA" w:rsidP="00DD3FC2">
            <w:pPr>
              <w:ind w:left="60" w:right="60" w:firstLine="0"/>
              <w:jc w:val="center"/>
            </w:pPr>
            <w:r w:rsidRPr="009C1B8F">
              <w:t>0,338</w:t>
            </w:r>
          </w:p>
        </w:tc>
        <w:tc>
          <w:tcPr>
            <w:tcW w:w="1417" w:type="dxa"/>
            <w:tcBorders>
              <w:top w:val="double" w:sz="4" w:space="0" w:color="000000"/>
            </w:tcBorders>
            <w:shd w:val="clear" w:color="auto" w:fill="auto"/>
          </w:tcPr>
          <w:p w14:paraId="3DC7C3CB" w14:textId="77777777" w:rsidR="009239FA" w:rsidRPr="009C1B8F" w:rsidRDefault="009239FA" w:rsidP="00DD3FC2">
            <w:pPr>
              <w:ind w:left="-114" w:right="-255" w:firstLine="0"/>
              <w:jc w:val="center"/>
            </w:pPr>
            <w:r w:rsidRPr="009C1B8F">
              <w:t>--</w:t>
            </w:r>
          </w:p>
        </w:tc>
      </w:tr>
      <w:tr w:rsidR="009239FA" w:rsidRPr="00FF5657" w14:paraId="60018AE2" w14:textId="77777777" w:rsidTr="00DD3FC2">
        <w:tc>
          <w:tcPr>
            <w:tcW w:w="2977" w:type="dxa"/>
            <w:gridSpan w:val="2"/>
            <w:shd w:val="clear" w:color="auto" w:fill="auto"/>
          </w:tcPr>
          <w:p w14:paraId="5CFD19CA" w14:textId="77777777" w:rsidR="009239FA" w:rsidRPr="009C1B8F" w:rsidRDefault="009239FA" w:rsidP="00DD3FC2">
            <w:pPr>
              <w:ind w:firstLine="0"/>
              <w:jc w:val="left"/>
            </w:pPr>
            <w:r w:rsidRPr="009C1B8F">
              <w:t>People w</w:t>
            </w:r>
            <w:r>
              <w:t>.</w:t>
            </w:r>
            <w:r w:rsidRPr="009C1B8F">
              <w:t xml:space="preserve"> disabilities</w:t>
            </w:r>
            <w:r>
              <w:t xml:space="preserve"> (PwD)</w:t>
            </w:r>
          </w:p>
        </w:tc>
        <w:tc>
          <w:tcPr>
            <w:tcW w:w="1276" w:type="dxa"/>
          </w:tcPr>
          <w:p w14:paraId="74D33112" w14:textId="77777777" w:rsidR="009239FA" w:rsidRPr="009C1B8F" w:rsidRDefault="009239FA" w:rsidP="00DD3FC2">
            <w:pPr>
              <w:ind w:left="60" w:right="60" w:firstLine="0"/>
              <w:jc w:val="center"/>
            </w:pPr>
            <w:r w:rsidRPr="009C1B8F">
              <w:t>0,653</w:t>
            </w:r>
          </w:p>
        </w:tc>
        <w:tc>
          <w:tcPr>
            <w:tcW w:w="1417" w:type="dxa"/>
            <w:shd w:val="clear" w:color="auto" w:fill="auto"/>
          </w:tcPr>
          <w:p w14:paraId="650E85CF" w14:textId="77777777" w:rsidR="009239FA" w:rsidRPr="009C1B8F" w:rsidRDefault="009239FA" w:rsidP="00DD3FC2">
            <w:pPr>
              <w:ind w:left="60" w:right="60" w:firstLine="0"/>
              <w:jc w:val="center"/>
            </w:pPr>
            <w:r w:rsidRPr="009C1B8F">
              <w:t>0,725</w:t>
            </w:r>
          </w:p>
        </w:tc>
        <w:tc>
          <w:tcPr>
            <w:tcW w:w="1418" w:type="dxa"/>
            <w:shd w:val="clear" w:color="auto" w:fill="auto"/>
          </w:tcPr>
          <w:p w14:paraId="79304337" w14:textId="77777777" w:rsidR="009239FA" w:rsidRPr="009C1B8F" w:rsidRDefault="009239FA" w:rsidP="00DD3FC2">
            <w:pPr>
              <w:ind w:left="60" w:right="60" w:firstLine="0"/>
              <w:jc w:val="center"/>
            </w:pPr>
            <w:r w:rsidRPr="009C1B8F">
              <w:t>-0,128</w:t>
            </w:r>
          </w:p>
        </w:tc>
        <w:tc>
          <w:tcPr>
            <w:tcW w:w="1417" w:type="dxa"/>
            <w:shd w:val="clear" w:color="auto" w:fill="auto"/>
          </w:tcPr>
          <w:p w14:paraId="4B8FA032" w14:textId="77777777" w:rsidR="009239FA" w:rsidRPr="009C1B8F" w:rsidRDefault="009239FA" w:rsidP="00DD3FC2">
            <w:pPr>
              <w:ind w:left="-114" w:right="-255" w:firstLine="0"/>
              <w:jc w:val="center"/>
            </w:pPr>
            <w:r w:rsidRPr="009C1B8F">
              <w:t>0,132</w:t>
            </w:r>
          </w:p>
        </w:tc>
      </w:tr>
      <w:tr w:rsidR="009239FA" w:rsidRPr="00FF5657" w14:paraId="0A6AB745" w14:textId="77777777" w:rsidTr="00DD3FC2">
        <w:tc>
          <w:tcPr>
            <w:tcW w:w="2977" w:type="dxa"/>
            <w:gridSpan w:val="2"/>
            <w:shd w:val="clear" w:color="auto" w:fill="auto"/>
          </w:tcPr>
          <w:p w14:paraId="3639EF72" w14:textId="77777777" w:rsidR="009239FA" w:rsidRPr="009C1B8F" w:rsidRDefault="009239FA" w:rsidP="00DD3FC2">
            <w:pPr>
              <w:ind w:firstLine="0"/>
              <w:jc w:val="left"/>
            </w:pPr>
            <w:r w:rsidRPr="009C1B8F">
              <w:t>Fat people</w:t>
            </w:r>
          </w:p>
        </w:tc>
        <w:tc>
          <w:tcPr>
            <w:tcW w:w="1276" w:type="dxa"/>
          </w:tcPr>
          <w:p w14:paraId="67A3BF1B" w14:textId="77777777" w:rsidR="009239FA" w:rsidRPr="009C1B8F" w:rsidRDefault="009239FA" w:rsidP="00DD3FC2">
            <w:pPr>
              <w:ind w:left="60" w:right="60" w:firstLine="0"/>
              <w:jc w:val="center"/>
              <w:rPr>
                <w:bCs/>
              </w:rPr>
            </w:pPr>
            <w:r w:rsidRPr="009C1B8F">
              <w:rPr>
                <w:bCs/>
              </w:rPr>
              <w:t>0,801</w:t>
            </w:r>
          </w:p>
        </w:tc>
        <w:tc>
          <w:tcPr>
            <w:tcW w:w="1417" w:type="dxa"/>
            <w:shd w:val="clear" w:color="auto" w:fill="auto"/>
          </w:tcPr>
          <w:p w14:paraId="0FE74EB8" w14:textId="77777777" w:rsidR="009239FA" w:rsidRPr="009C1B8F" w:rsidRDefault="009239FA" w:rsidP="00DD3FC2">
            <w:pPr>
              <w:ind w:left="60" w:right="60" w:firstLine="0"/>
              <w:jc w:val="center"/>
              <w:rPr>
                <w:bCs/>
              </w:rPr>
            </w:pPr>
            <w:r w:rsidRPr="009C1B8F">
              <w:rPr>
                <w:bCs/>
              </w:rPr>
              <w:t>0,666</w:t>
            </w:r>
          </w:p>
        </w:tc>
        <w:tc>
          <w:tcPr>
            <w:tcW w:w="1418" w:type="dxa"/>
            <w:shd w:val="clear" w:color="auto" w:fill="auto"/>
          </w:tcPr>
          <w:p w14:paraId="37C3AF81" w14:textId="77777777" w:rsidR="009239FA" w:rsidRPr="009C1B8F" w:rsidRDefault="009239FA" w:rsidP="00DD3FC2">
            <w:pPr>
              <w:ind w:left="60" w:right="60" w:firstLine="0"/>
              <w:jc w:val="center"/>
            </w:pPr>
            <w:r w:rsidRPr="009C1B8F">
              <w:t>-0,227</w:t>
            </w:r>
          </w:p>
        </w:tc>
        <w:tc>
          <w:tcPr>
            <w:tcW w:w="1417" w:type="dxa"/>
            <w:shd w:val="clear" w:color="auto" w:fill="auto"/>
          </w:tcPr>
          <w:p w14:paraId="6930A65A" w14:textId="77777777" w:rsidR="009239FA" w:rsidRPr="009C1B8F" w:rsidRDefault="009239FA" w:rsidP="00DD3FC2">
            <w:pPr>
              <w:ind w:left="-114" w:right="-255" w:firstLine="0"/>
              <w:jc w:val="center"/>
            </w:pPr>
            <w:r w:rsidRPr="009C1B8F">
              <w:t>0,315</w:t>
            </w:r>
          </w:p>
        </w:tc>
      </w:tr>
      <w:tr w:rsidR="009239FA" w:rsidRPr="00FF5657" w14:paraId="2F5D103D" w14:textId="77777777" w:rsidTr="00DD3FC2">
        <w:tc>
          <w:tcPr>
            <w:tcW w:w="2977" w:type="dxa"/>
            <w:gridSpan w:val="2"/>
            <w:shd w:val="clear" w:color="auto" w:fill="auto"/>
          </w:tcPr>
          <w:p w14:paraId="3B058D1C" w14:textId="77777777" w:rsidR="009239FA" w:rsidRPr="009C1B8F" w:rsidRDefault="009239FA" w:rsidP="00DD3FC2">
            <w:pPr>
              <w:ind w:firstLine="0"/>
              <w:jc w:val="left"/>
            </w:pPr>
            <w:r>
              <w:t>Black people</w:t>
            </w:r>
          </w:p>
        </w:tc>
        <w:tc>
          <w:tcPr>
            <w:tcW w:w="1276" w:type="dxa"/>
          </w:tcPr>
          <w:p w14:paraId="5F034A1B" w14:textId="77777777" w:rsidR="009239FA" w:rsidRPr="009C1B8F" w:rsidRDefault="009239FA" w:rsidP="00DD3FC2">
            <w:pPr>
              <w:ind w:left="60" w:right="60" w:firstLine="0"/>
              <w:jc w:val="center"/>
              <w:rPr>
                <w:bCs/>
              </w:rPr>
            </w:pPr>
            <w:r w:rsidRPr="009C1B8F">
              <w:rPr>
                <w:bCs/>
              </w:rPr>
              <w:t>0,284</w:t>
            </w:r>
          </w:p>
        </w:tc>
        <w:tc>
          <w:tcPr>
            <w:tcW w:w="1417" w:type="dxa"/>
            <w:shd w:val="clear" w:color="auto" w:fill="auto"/>
          </w:tcPr>
          <w:p w14:paraId="1C3ECCF8" w14:textId="77777777" w:rsidR="009239FA" w:rsidRPr="009C1B8F" w:rsidRDefault="009239FA" w:rsidP="00DD3FC2">
            <w:pPr>
              <w:ind w:left="60" w:right="60" w:firstLine="0"/>
              <w:jc w:val="center"/>
              <w:rPr>
                <w:bCs/>
              </w:rPr>
            </w:pPr>
            <w:r w:rsidRPr="009C1B8F">
              <w:rPr>
                <w:bCs/>
              </w:rPr>
              <w:t>--</w:t>
            </w:r>
          </w:p>
        </w:tc>
        <w:tc>
          <w:tcPr>
            <w:tcW w:w="1418" w:type="dxa"/>
            <w:shd w:val="clear" w:color="auto" w:fill="auto"/>
          </w:tcPr>
          <w:p w14:paraId="304A13CC" w14:textId="77777777" w:rsidR="009239FA" w:rsidRPr="009C1B8F" w:rsidRDefault="009239FA" w:rsidP="00DD3FC2">
            <w:pPr>
              <w:ind w:left="60" w:right="60" w:firstLine="0"/>
              <w:jc w:val="center"/>
            </w:pPr>
            <w:r w:rsidRPr="009C1B8F">
              <w:t>0,506</w:t>
            </w:r>
          </w:p>
        </w:tc>
        <w:tc>
          <w:tcPr>
            <w:tcW w:w="1417" w:type="dxa"/>
            <w:shd w:val="clear" w:color="auto" w:fill="auto"/>
          </w:tcPr>
          <w:p w14:paraId="24E63A73" w14:textId="77777777" w:rsidR="009239FA" w:rsidRPr="009C1B8F" w:rsidRDefault="009239FA" w:rsidP="00DD3FC2">
            <w:pPr>
              <w:ind w:left="-114" w:right="-255" w:firstLine="0"/>
              <w:jc w:val="center"/>
            </w:pPr>
            <w:r w:rsidRPr="009C1B8F">
              <w:t>--</w:t>
            </w:r>
          </w:p>
        </w:tc>
      </w:tr>
      <w:tr w:rsidR="009239FA" w:rsidRPr="00FF5657" w14:paraId="77E8167B" w14:textId="77777777" w:rsidTr="00DD3FC2">
        <w:tc>
          <w:tcPr>
            <w:tcW w:w="2977" w:type="dxa"/>
            <w:gridSpan w:val="2"/>
            <w:shd w:val="clear" w:color="auto" w:fill="auto"/>
          </w:tcPr>
          <w:p w14:paraId="2044D26C" w14:textId="77777777" w:rsidR="009239FA" w:rsidRPr="009C1B8F" w:rsidRDefault="009239FA" w:rsidP="00DD3FC2">
            <w:pPr>
              <w:ind w:firstLine="0"/>
              <w:jc w:val="left"/>
            </w:pPr>
            <w:r w:rsidRPr="009C1B8F">
              <w:t>LGBTQIAP+</w:t>
            </w:r>
          </w:p>
        </w:tc>
        <w:tc>
          <w:tcPr>
            <w:tcW w:w="1276" w:type="dxa"/>
          </w:tcPr>
          <w:p w14:paraId="0B49400C" w14:textId="77777777" w:rsidR="009239FA" w:rsidRPr="009C1B8F" w:rsidRDefault="009239FA" w:rsidP="00DD3FC2">
            <w:pPr>
              <w:ind w:left="60" w:right="60" w:firstLine="0"/>
              <w:jc w:val="center"/>
              <w:rPr>
                <w:bCs/>
              </w:rPr>
            </w:pPr>
            <w:r w:rsidRPr="009C1B8F">
              <w:rPr>
                <w:bCs/>
              </w:rPr>
              <w:t>0,665</w:t>
            </w:r>
          </w:p>
        </w:tc>
        <w:tc>
          <w:tcPr>
            <w:tcW w:w="1417" w:type="dxa"/>
            <w:shd w:val="clear" w:color="auto" w:fill="auto"/>
          </w:tcPr>
          <w:p w14:paraId="142AB26D" w14:textId="77777777" w:rsidR="009239FA" w:rsidRPr="009C1B8F" w:rsidRDefault="009239FA" w:rsidP="00DD3FC2">
            <w:pPr>
              <w:ind w:left="60" w:right="60" w:firstLine="0"/>
              <w:jc w:val="center"/>
              <w:rPr>
                <w:bCs/>
              </w:rPr>
            </w:pPr>
            <w:r w:rsidRPr="009C1B8F">
              <w:rPr>
                <w:bCs/>
              </w:rPr>
              <w:t>--</w:t>
            </w:r>
          </w:p>
        </w:tc>
        <w:tc>
          <w:tcPr>
            <w:tcW w:w="1418" w:type="dxa"/>
            <w:shd w:val="clear" w:color="auto" w:fill="auto"/>
          </w:tcPr>
          <w:p w14:paraId="450BBD90" w14:textId="77777777" w:rsidR="009239FA" w:rsidRPr="009C1B8F" w:rsidRDefault="009239FA" w:rsidP="00DD3FC2">
            <w:pPr>
              <w:ind w:left="60" w:right="60" w:firstLine="0"/>
              <w:jc w:val="center"/>
            </w:pPr>
            <w:r w:rsidRPr="009C1B8F">
              <w:t>--</w:t>
            </w:r>
          </w:p>
        </w:tc>
        <w:tc>
          <w:tcPr>
            <w:tcW w:w="1417" w:type="dxa"/>
            <w:shd w:val="clear" w:color="auto" w:fill="auto"/>
          </w:tcPr>
          <w:p w14:paraId="6E741F77" w14:textId="77777777" w:rsidR="009239FA" w:rsidRPr="009C1B8F" w:rsidRDefault="009239FA" w:rsidP="00DD3FC2">
            <w:pPr>
              <w:ind w:left="-114" w:right="-255" w:firstLine="0"/>
              <w:jc w:val="center"/>
            </w:pPr>
            <w:r w:rsidRPr="009C1B8F">
              <w:t>0,824</w:t>
            </w:r>
          </w:p>
        </w:tc>
      </w:tr>
      <w:tr w:rsidR="009239FA" w:rsidRPr="00FF5657" w14:paraId="69F11137" w14:textId="77777777" w:rsidTr="00DD3FC2">
        <w:tc>
          <w:tcPr>
            <w:tcW w:w="2977" w:type="dxa"/>
            <w:gridSpan w:val="2"/>
            <w:tcBorders>
              <w:bottom w:val="double" w:sz="4" w:space="0" w:color="000000"/>
            </w:tcBorders>
            <w:shd w:val="clear" w:color="auto" w:fill="auto"/>
          </w:tcPr>
          <w:p w14:paraId="1DB36F70" w14:textId="77777777" w:rsidR="009239FA" w:rsidRPr="009C1B8F" w:rsidRDefault="009239FA" w:rsidP="00DD3FC2">
            <w:pPr>
              <w:ind w:right="60" w:firstLine="0"/>
              <w:jc w:val="left"/>
            </w:pPr>
            <w:r w:rsidRPr="009C1B8F">
              <w:t>Women</w:t>
            </w:r>
          </w:p>
        </w:tc>
        <w:tc>
          <w:tcPr>
            <w:tcW w:w="1276" w:type="dxa"/>
            <w:tcBorders>
              <w:bottom w:val="double" w:sz="4" w:space="0" w:color="000000"/>
            </w:tcBorders>
          </w:tcPr>
          <w:p w14:paraId="07C6CDD1" w14:textId="77777777" w:rsidR="009239FA" w:rsidRPr="009C1B8F" w:rsidRDefault="009239FA" w:rsidP="00DD3FC2">
            <w:pPr>
              <w:ind w:left="60" w:right="60" w:firstLine="0"/>
              <w:jc w:val="center"/>
            </w:pPr>
            <w:r w:rsidRPr="009C1B8F">
              <w:t>0,746</w:t>
            </w:r>
          </w:p>
        </w:tc>
        <w:tc>
          <w:tcPr>
            <w:tcW w:w="1417" w:type="dxa"/>
            <w:tcBorders>
              <w:bottom w:val="double" w:sz="4" w:space="0" w:color="000000"/>
            </w:tcBorders>
            <w:shd w:val="clear" w:color="auto" w:fill="auto"/>
          </w:tcPr>
          <w:p w14:paraId="70D29241" w14:textId="77777777" w:rsidR="009239FA" w:rsidRPr="009C1B8F" w:rsidRDefault="009239FA" w:rsidP="00DD3FC2">
            <w:pPr>
              <w:ind w:left="60" w:right="60" w:firstLine="0"/>
              <w:jc w:val="center"/>
            </w:pPr>
            <w:r w:rsidRPr="009C1B8F">
              <w:t>0,209</w:t>
            </w:r>
          </w:p>
        </w:tc>
        <w:tc>
          <w:tcPr>
            <w:tcW w:w="1418" w:type="dxa"/>
            <w:tcBorders>
              <w:bottom w:val="double" w:sz="4" w:space="0" w:color="000000"/>
            </w:tcBorders>
            <w:shd w:val="clear" w:color="auto" w:fill="auto"/>
          </w:tcPr>
          <w:p w14:paraId="5941C4D1" w14:textId="77777777" w:rsidR="009239FA" w:rsidRPr="009C1B8F" w:rsidRDefault="009239FA" w:rsidP="00DD3FC2">
            <w:pPr>
              <w:ind w:left="60" w:right="60" w:firstLine="0"/>
              <w:jc w:val="center"/>
            </w:pPr>
            <w:r w:rsidRPr="009C1B8F">
              <w:t>0,128</w:t>
            </w:r>
          </w:p>
        </w:tc>
        <w:tc>
          <w:tcPr>
            <w:tcW w:w="1417" w:type="dxa"/>
            <w:tcBorders>
              <w:bottom w:val="double" w:sz="4" w:space="0" w:color="000000"/>
            </w:tcBorders>
            <w:shd w:val="clear" w:color="auto" w:fill="auto"/>
          </w:tcPr>
          <w:p w14:paraId="4B2873D8" w14:textId="77777777" w:rsidR="009239FA" w:rsidRPr="009C1B8F" w:rsidRDefault="009239FA" w:rsidP="00DD3FC2">
            <w:pPr>
              <w:ind w:left="-114" w:right="-255" w:firstLine="0"/>
              <w:jc w:val="center"/>
            </w:pPr>
            <w:r w:rsidRPr="009C1B8F">
              <w:t>0,670</w:t>
            </w:r>
          </w:p>
        </w:tc>
      </w:tr>
      <w:tr w:rsidR="009239FA" w:rsidRPr="00FF5657" w14:paraId="5CAD1178" w14:textId="77777777" w:rsidTr="00DD3FC2">
        <w:tc>
          <w:tcPr>
            <w:tcW w:w="2552" w:type="dxa"/>
            <w:tcBorders>
              <w:top w:val="double" w:sz="4" w:space="0" w:color="000000"/>
              <w:bottom w:val="double" w:sz="4" w:space="0" w:color="000000"/>
            </w:tcBorders>
            <w:shd w:val="clear" w:color="auto" w:fill="auto"/>
          </w:tcPr>
          <w:p w14:paraId="602E4C76" w14:textId="77777777" w:rsidR="009239FA" w:rsidRPr="00FF5657" w:rsidRDefault="009239FA" w:rsidP="00DD3FC2">
            <w:pPr>
              <w:ind w:left="60" w:right="60" w:firstLine="0"/>
              <w:jc w:val="left"/>
            </w:pPr>
            <w:r w:rsidRPr="00FF5657">
              <w:t xml:space="preserve">% </w:t>
            </w:r>
            <w:r>
              <w:t>of explained v</w:t>
            </w:r>
            <w:r w:rsidRPr="00FF5657">
              <w:t>ari</w:t>
            </w:r>
            <w:r>
              <w:t>ance</w:t>
            </w:r>
            <w:r w:rsidRPr="00FF5657">
              <w:t xml:space="preserve"> </w:t>
            </w:r>
          </w:p>
          <w:p w14:paraId="6B3830C4" w14:textId="77777777" w:rsidR="009239FA" w:rsidRPr="00FF5657" w:rsidRDefault="009239FA" w:rsidP="00DD3FC2">
            <w:pPr>
              <w:ind w:left="60" w:right="60" w:firstLine="0"/>
              <w:jc w:val="left"/>
            </w:pPr>
            <w:r>
              <w:t>Eigenvalue</w:t>
            </w:r>
          </w:p>
        </w:tc>
        <w:tc>
          <w:tcPr>
            <w:tcW w:w="1701" w:type="dxa"/>
            <w:gridSpan w:val="2"/>
            <w:tcBorders>
              <w:top w:val="double" w:sz="4" w:space="0" w:color="000000"/>
              <w:bottom w:val="double" w:sz="4" w:space="0" w:color="000000"/>
            </w:tcBorders>
          </w:tcPr>
          <w:p w14:paraId="65B3D09A" w14:textId="77777777" w:rsidR="009239FA" w:rsidRPr="00FF5657" w:rsidRDefault="009239FA" w:rsidP="00DD3FC2">
            <w:pPr>
              <w:ind w:left="60" w:right="60" w:firstLine="0"/>
              <w:jc w:val="center"/>
            </w:pPr>
          </w:p>
        </w:tc>
        <w:tc>
          <w:tcPr>
            <w:tcW w:w="1417" w:type="dxa"/>
            <w:tcBorders>
              <w:top w:val="double" w:sz="4" w:space="0" w:color="000000"/>
              <w:bottom w:val="double" w:sz="4" w:space="0" w:color="000000"/>
            </w:tcBorders>
            <w:shd w:val="clear" w:color="auto" w:fill="auto"/>
          </w:tcPr>
          <w:p w14:paraId="3E569876" w14:textId="77777777" w:rsidR="009239FA" w:rsidRPr="00FF5657" w:rsidRDefault="009239FA" w:rsidP="00DD3FC2">
            <w:pPr>
              <w:ind w:left="60" w:right="60" w:firstLine="0"/>
              <w:jc w:val="center"/>
            </w:pPr>
            <w:r w:rsidRPr="00FF5657">
              <w:t>54,8</w:t>
            </w:r>
          </w:p>
          <w:p w14:paraId="1B23ABA7" w14:textId="77777777" w:rsidR="009239FA" w:rsidRPr="00FF5657" w:rsidRDefault="009239FA" w:rsidP="00DD3FC2">
            <w:pPr>
              <w:ind w:left="60" w:right="60" w:firstLine="0"/>
              <w:jc w:val="center"/>
            </w:pPr>
          </w:p>
          <w:p w14:paraId="427CF5C4" w14:textId="77777777" w:rsidR="009239FA" w:rsidRPr="00FF5657" w:rsidRDefault="009239FA" w:rsidP="00DD3FC2">
            <w:pPr>
              <w:ind w:left="60" w:right="60" w:firstLine="0"/>
              <w:jc w:val="center"/>
            </w:pPr>
            <w:r w:rsidRPr="00FF5657">
              <w:t>3,29</w:t>
            </w:r>
          </w:p>
        </w:tc>
        <w:tc>
          <w:tcPr>
            <w:tcW w:w="1418" w:type="dxa"/>
            <w:tcBorders>
              <w:top w:val="double" w:sz="4" w:space="0" w:color="000000"/>
              <w:bottom w:val="double" w:sz="4" w:space="0" w:color="000000"/>
            </w:tcBorders>
            <w:shd w:val="clear" w:color="auto" w:fill="auto"/>
          </w:tcPr>
          <w:p w14:paraId="4EED40B6" w14:textId="77777777" w:rsidR="009239FA" w:rsidRPr="00FF5657" w:rsidRDefault="009239FA" w:rsidP="00DD3FC2">
            <w:pPr>
              <w:ind w:left="60" w:right="60" w:firstLine="0"/>
              <w:jc w:val="center"/>
            </w:pPr>
            <w:r w:rsidRPr="00FF5657">
              <w:t>7,06</w:t>
            </w:r>
          </w:p>
          <w:p w14:paraId="7ED85E28" w14:textId="77777777" w:rsidR="009239FA" w:rsidRPr="00FF5657" w:rsidRDefault="009239FA" w:rsidP="00DD3FC2">
            <w:pPr>
              <w:ind w:left="60" w:right="60" w:firstLine="0"/>
              <w:jc w:val="center"/>
            </w:pPr>
          </w:p>
          <w:p w14:paraId="4DA10EC7" w14:textId="77777777" w:rsidR="009239FA" w:rsidRPr="00FF5657" w:rsidRDefault="009239FA" w:rsidP="00DD3FC2">
            <w:pPr>
              <w:ind w:left="60" w:right="60" w:firstLine="0"/>
              <w:jc w:val="center"/>
            </w:pPr>
            <w:r w:rsidRPr="00FF5657">
              <w:t>0,42</w:t>
            </w:r>
          </w:p>
        </w:tc>
        <w:tc>
          <w:tcPr>
            <w:tcW w:w="1417" w:type="dxa"/>
            <w:tcBorders>
              <w:top w:val="double" w:sz="4" w:space="0" w:color="000000"/>
              <w:bottom w:val="double" w:sz="4" w:space="0" w:color="000000"/>
            </w:tcBorders>
            <w:shd w:val="clear" w:color="auto" w:fill="auto"/>
          </w:tcPr>
          <w:p w14:paraId="36C0D803" w14:textId="77777777" w:rsidR="009239FA" w:rsidRPr="00FF5657" w:rsidRDefault="009239FA" w:rsidP="00DD3FC2">
            <w:pPr>
              <w:ind w:left="-114" w:right="-255" w:firstLine="0"/>
              <w:jc w:val="center"/>
            </w:pPr>
            <w:r w:rsidRPr="00FF5657">
              <w:t>5,74</w:t>
            </w:r>
          </w:p>
          <w:p w14:paraId="1F2BBE43" w14:textId="77777777" w:rsidR="009239FA" w:rsidRPr="00FF5657" w:rsidRDefault="009239FA" w:rsidP="00DD3FC2">
            <w:pPr>
              <w:ind w:left="-114" w:right="-255" w:firstLine="0"/>
              <w:jc w:val="center"/>
            </w:pPr>
          </w:p>
          <w:p w14:paraId="6C2EDBA4" w14:textId="77777777" w:rsidR="009239FA" w:rsidRPr="00FF5657" w:rsidRDefault="009239FA" w:rsidP="00DD3FC2">
            <w:pPr>
              <w:ind w:left="-114" w:right="-255" w:firstLine="0"/>
              <w:jc w:val="center"/>
            </w:pPr>
            <w:r w:rsidRPr="00FF5657">
              <w:t>0,43</w:t>
            </w:r>
          </w:p>
        </w:tc>
      </w:tr>
    </w:tbl>
    <w:p w14:paraId="65A25A13" w14:textId="305BD7D6" w:rsidR="009239FA" w:rsidRDefault="005A472B" w:rsidP="009239FA">
      <w:pPr>
        <w:ind w:firstLine="708"/>
      </w:pPr>
      <w:sdt>
        <w:sdtPr>
          <w:tag w:val="goog_rdk_0"/>
          <w:id w:val="1521127094"/>
          <w:showingPlcHdr/>
        </w:sdtPr>
        <w:sdtEndPr/>
        <w:sdtContent>
          <w:r w:rsidR="006B7CCA">
            <w:t xml:space="preserve">     </w:t>
          </w:r>
        </w:sdtContent>
      </w:sdt>
    </w:p>
    <w:p w14:paraId="559F9E62" w14:textId="19838A76" w:rsidR="00813C54" w:rsidRPr="001C5257" w:rsidRDefault="00813C54" w:rsidP="00813C54">
      <w:pPr>
        <w:rPr>
          <w:lang w:val="en-GB"/>
        </w:rPr>
      </w:pPr>
      <w:r w:rsidRPr="001C5257">
        <w:rPr>
          <w:lang w:val="en-GB"/>
        </w:rPr>
        <w:t xml:space="preserve">Finally, following the procedures proposed by Akrami et al. (2011), we created indices for general prejudice and specific prejudice. Using linear regression analysis (LRA), we separated the general and specific components of each type of prejudice. In the LRA, we used one type of prejudice as the dependent variable and the other five as predictor variables to derive the specific component and residuals of each measure. Subsequently, each specific component was regressed as a predictor of the original prejudice measure to determine the common component of each prejudice, which were </w:t>
      </w:r>
      <w:r w:rsidRPr="001C5257">
        <w:rPr>
          <w:lang w:val="en-GB"/>
        </w:rPr>
        <w:lastRenderedPageBreak/>
        <w:t xml:space="preserve">then summed to create the generalised prejudice indicator. Correlation analyses were then conducted (Table 3) to understand the relationships between each specific type of prejudice and the following socio-demographic variables: age, family income (1 = between 0 and 1 salary – 5 = more than 10 salaries), religious identity (1 = not important to 5 = very important), skin colour (1 = white, 2 = yellow, 3 = brown, 4 = indigenous and 5 = black), importance of racial identity (1 = not important – 5 = very important), people with disabilities (1 = does not have a disability and 2 = has one), sexual orientation (1 = heterosexual, 2 = homosexual and 3 = bisexual), gender (1 = female and 2 = male), gender identity (1 = cisgender man or woman and 2 = transgender man or woman), political views (1 = far left - 7 = far right) and body mass index (the higher the value, the higher the BMI). </w:t>
      </w:r>
    </w:p>
    <w:p w14:paraId="11E39D65" w14:textId="77777777" w:rsidR="001F58C4" w:rsidRPr="001C5257" w:rsidRDefault="001F58C4" w:rsidP="001F58C4">
      <w:pPr>
        <w:ind w:firstLine="708"/>
        <w:rPr>
          <w:lang w:val="en-GB"/>
        </w:rPr>
      </w:pPr>
      <w:r w:rsidRPr="001C5257">
        <w:rPr>
          <w:lang w:val="en-GB"/>
        </w:rPr>
        <w:t>Initially, socio-demographic variables were associated with racial prejudice. The results show that the further to the right you are on the political spectrum, the older you are, the more you identify with your religion and the less you identify with your skin colour, the greater the racism. The presence of a disability also led to a higher racism score, albeit only as a trend. Studies show that racial prejudice and ableism are associated with a conservative authoritarian and hierarchical view of society, including a desire for dominance and valorisation of inequality between groups (see Bergh &amp; Brandt, 2023).</w:t>
      </w:r>
    </w:p>
    <w:p w14:paraId="6419F50B" w14:textId="48643332" w:rsidR="001F58C4" w:rsidRPr="001C5257" w:rsidRDefault="001F58C4" w:rsidP="001F58C4">
      <w:pPr>
        <w:ind w:firstLine="708"/>
        <w:rPr>
          <w:lang w:val="en-GB"/>
        </w:rPr>
      </w:pPr>
      <w:r w:rsidRPr="001C5257">
        <w:rPr>
          <w:lang w:val="en-GB"/>
        </w:rPr>
        <w:t>Fatphobia has been linked to age, sexual orientation, religious identity and gender. The younger, more heterosexually orientated, the less identified with religion and the male</w:t>
      </w:r>
      <w:r w:rsidR="009239FA" w:rsidRPr="001C5257">
        <w:rPr>
          <w:lang w:val="en-GB"/>
        </w:rPr>
        <w:t>s</w:t>
      </w:r>
      <w:r w:rsidRPr="001C5257">
        <w:rPr>
          <w:lang w:val="en-GB"/>
        </w:rPr>
        <w:t>, greater the fatphobia. Alvarenga et al. (2022) also found similar results in Brazil, with positive correlations between fatphobia and male gender. Vizoso et al. (2018), who studied young Spaniards (12 to 24 years old), found that women were less prone to fatphobia. However, the younger students were the ones who were most prejudiced. It is worth noting that in this case, the oldest age group matched the youngest age group in this study.</w:t>
      </w:r>
    </w:p>
    <w:p w14:paraId="52DAA087" w14:textId="77777777" w:rsidR="001F58C4" w:rsidRPr="001C5257" w:rsidRDefault="001F58C4" w:rsidP="001F58C4">
      <w:pPr>
        <w:ind w:firstLine="708"/>
        <w:rPr>
          <w:lang w:val="en-GB"/>
        </w:rPr>
      </w:pPr>
      <w:r w:rsidRPr="001C5257">
        <w:rPr>
          <w:lang w:val="en-GB"/>
        </w:rPr>
        <w:t>Ageism was only related to self-perceived skin colour, i.e. the blacker the skin colour, the greater the prejudice towards older people. People without disabilities were more likely to experience ageism than people with disabilities. As there are hardly any studies on these forms of prejudice, we did not find any comparable results in the literature consulted.</w:t>
      </w:r>
    </w:p>
    <w:p w14:paraId="1A2BDFDE" w14:textId="52E285E6" w:rsidR="001F58C4" w:rsidRPr="001C5257" w:rsidRDefault="001F58C4" w:rsidP="001F58C4">
      <w:pPr>
        <w:ind w:firstLine="708"/>
        <w:rPr>
          <w:lang w:val="en-GB"/>
        </w:rPr>
      </w:pPr>
      <w:r w:rsidRPr="001C5257">
        <w:rPr>
          <w:lang w:val="en-GB"/>
        </w:rPr>
        <w:t xml:space="preserve">Sexism was related to sexual orientation: People who identified as heterosexual were more sexist than homosexual and bisexual people. Heterosexism correlated positively with age and religious identity; that is, the older the participants were and the </w:t>
      </w:r>
      <w:r w:rsidRPr="001C5257">
        <w:rPr>
          <w:lang w:val="en-GB"/>
        </w:rPr>
        <w:lastRenderedPageBreak/>
        <w:t>more strongly they identified with religion, the more heterosexist they were. Other studies confirm this pattern. López-Sáez et al. (2020) found that in Spain, heterosexuals were more hostile towards LGB people and heterosexual men were more hostile towards heterosexual women.</w:t>
      </w:r>
    </w:p>
    <w:p w14:paraId="4FEAB559" w14:textId="5AADF20E" w:rsidR="006E464E" w:rsidRPr="001C5257" w:rsidRDefault="006E464E" w:rsidP="006E464E">
      <w:pPr>
        <w:ind w:firstLine="708"/>
        <w:rPr>
          <w:lang w:val="en-GB"/>
        </w:rPr>
      </w:pPr>
      <w:r w:rsidRPr="001C5257">
        <w:rPr>
          <w:lang w:val="en-GB"/>
        </w:rPr>
        <w:t xml:space="preserve">Ableism was significantly influenced by family income, skin colour, gender and gender identity and also tended to be related to participants' political views. The higher the income, the lighter the skin colour, the more feminine the gender, the more identified with the transsexual orientation, the greater the ableist prejudices. In contrast to the findings of the present study, Harder et al. (2019), using data from the Implicit Association Test of more than 300,000 Americans, found that the most consistent predictors of ableism were gender and contact with people with disabilities, with women and those who had contact with them having the lowest levels of prejudice. Of the socio-demographic variables, only political attitudes correlated significantly with general prejudice, suggesting greater general prejudice among those on the right. Cantal et al. (2014) found in their two studies with Brazilian samples that prejudice towards groups perceived as dangerous (e.g. drug users, gangs, criminals) and </w:t>
      </w:r>
      <w:r w:rsidR="005C6427" w:rsidRPr="001C5257">
        <w:rPr>
          <w:lang w:val="en-GB"/>
        </w:rPr>
        <w:t xml:space="preserve">dissidents </w:t>
      </w:r>
      <w:r w:rsidRPr="001C5257">
        <w:rPr>
          <w:lang w:val="en-GB"/>
        </w:rPr>
        <w:t>(e.g. atheists, feminists, environmentalists) is positively correlated with far-right authoritarianism (RWA).</w:t>
      </w:r>
    </w:p>
    <w:p w14:paraId="0685E832" w14:textId="300DB5CD" w:rsidR="006E464E" w:rsidRPr="001C5257" w:rsidRDefault="006E464E" w:rsidP="006E464E">
      <w:pPr>
        <w:ind w:firstLine="708"/>
        <w:rPr>
          <w:lang w:val="en-GB"/>
        </w:rPr>
      </w:pPr>
      <w:r w:rsidRPr="001C5257">
        <w:rPr>
          <w:lang w:val="en-GB"/>
        </w:rPr>
        <w:t xml:space="preserve">To summarise, we found that specific racial prejudices were related to age and religious identity as well as political position. Fatphobia was related to religious identity, </w:t>
      </w:r>
      <w:r w:rsidR="005C6427" w:rsidRPr="001C5257">
        <w:rPr>
          <w:lang w:val="en-GB"/>
        </w:rPr>
        <w:t xml:space="preserve">in opposite direction to </w:t>
      </w:r>
      <w:r w:rsidRPr="001C5257">
        <w:rPr>
          <w:lang w:val="en-GB"/>
        </w:rPr>
        <w:t xml:space="preserve">racism, and to sexual orientation. Ageism was related to self-perceived skin colour, colour identity and age (in the opposite direction to racism). Sexism and heterosexism were not predicted by the socio-demographic variables. </w:t>
      </w:r>
      <w:r w:rsidR="005C6427" w:rsidRPr="001C5257">
        <w:rPr>
          <w:lang w:val="en-GB"/>
        </w:rPr>
        <w:t>Ableism</w:t>
      </w:r>
      <w:r w:rsidRPr="001C5257">
        <w:rPr>
          <w:lang w:val="en-GB"/>
        </w:rPr>
        <w:t xml:space="preserve"> was predicted by self-perceived skin colour (in the opposite direction to </w:t>
      </w:r>
      <w:r w:rsidR="005C6427" w:rsidRPr="001C5257">
        <w:rPr>
          <w:lang w:val="en-GB"/>
        </w:rPr>
        <w:t>ageism</w:t>
      </w:r>
      <w:r w:rsidRPr="001C5257">
        <w:rPr>
          <w:lang w:val="en-GB"/>
        </w:rPr>
        <w:t xml:space="preserve">) and family income. These results help to understand why participants' generalised prejudice was almost not significantly related to their socio-demographic background. Higher age was associated with more racism, while lower age was associated with more ageism; those with stronger religious identification were more racist, those with less attachment to religion were more fatphobic; those with light skin colour were more derogatory, dark skin colour implied more ageism; men were more fatphobic and women were more derogatory. Since the generalised prejudice (GP) indicator integrates all specific prejudices, the inverse relationships between some socio-demographic variables and some types of prejudice cancel out their effects on GP. It is important to emphasise that despite these differential effects, position on the right-left spectrum was the only </w:t>
      </w:r>
      <w:r w:rsidRPr="001C5257">
        <w:rPr>
          <w:lang w:val="en-GB"/>
        </w:rPr>
        <w:lastRenderedPageBreak/>
        <w:t xml:space="preserve">variable examined that was related to GP, even when controlling for the effects of all other variables and the specifics of each prejudice. </w:t>
      </w:r>
    </w:p>
    <w:p w14:paraId="661C0619" w14:textId="78AB77C9" w:rsidR="001F58C4" w:rsidRPr="001C5257" w:rsidRDefault="006E464E" w:rsidP="006E464E">
      <w:pPr>
        <w:ind w:firstLine="708"/>
        <w:rPr>
          <w:lang w:val="en-GB"/>
        </w:rPr>
      </w:pPr>
      <w:r w:rsidRPr="001C5257">
        <w:rPr>
          <w:lang w:val="en-GB"/>
        </w:rPr>
        <w:t>Linear regression analyses using each specific prejudice as the variable to be explained and generalised prejudice (GP) as the explanatory variable showed that GP explained only 6.4% (adjusted R-squared) of racial prejudice [</w:t>
      </w:r>
      <w:r w:rsidRPr="001C5257">
        <w:rPr>
          <w:i/>
          <w:iCs/>
          <w:lang w:val="en-GB"/>
        </w:rPr>
        <w:t>F</w:t>
      </w:r>
      <w:r w:rsidRPr="001C5257">
        <w:rPr>
          <w:lang w:val="en-GB"/>
        </w:rPr>
        <w:t xml:space="preserve">(1, 288) = 20.56; </w:t>
      </w:r>
      <w:r w:rsidRPr="001C5257">
        <w:rPr>
          <w:i/>
          <w:iCs/>
          <w:lang w:val="en-GB"/>
        </w:rPr>
        <w:t>p</w:t>
      </w:r>
      <w:r w:rsidRPr="001C5257">
        <w:rPr>
          <w:lang w:val="en-GB"/>
        </w:rPr>
        <w:t xml:space="preserve"> &lt; 0.001], but </w:t>
      </w:r>
      <w:r w:rsidR="005C6427" w:rsidRPr="001C5257">
        <w:rPr>
          <w:lang w:val="en-GB"/>
        </w:rPr>
        <w:t xml:space="preserve">explains </w:t>
      </w:r>
      <w:r w:rsidRPr="001C5257">
        <w:rPr>
          <w:lang w:val="en-GB"/>
        </w:rPr>
        <w:t>69.8% of fatphobia [</w:t>
      </w:r>
      <w:r w:rsidRPr="001C5257">
        <w:rPr>
          <w:i/>
          <w:iCs/>
          <w:lang w:val="en-GB"/>
        </w:rPr>
        <w:t>F</w:t>
      </w:r>
      <w:r w:rsidRPr="001C5257">
        <w:rPr>
          <w:lang w:val="en-GB"/>
        </w:rPr>
        <w:t xml:space="preserve">(1, 288) = 665. 34; </w:t>
      </w:r>
      <w:r w:rsidRPr="001C5257">
        <w:rPr>
          <w:i/>
          <w:iCs/>
          <w:lang w:val="en-GB"/>
        </w:rPr>
        <w:t>p</w:t>
      </w:r>
      <w:r w:rsidRPr="001C5257">
        <w:rPr>
          <w:lang w:val="en-GB"/>
        </w:rPr>
        <w:t xml:space="preserve"> &lt; 0.001], 73.9% of ageism [</w:t>
      </w:r>
      <w:r w:rsidRPr="001C5257">
        <w:rPr>
          <w:i/>
          <w:iCs/>
          <w:lang w:val="en-GB"/>
        </w:rPr>
        <w:t>F</w:t>
      </w:r>
      <w:r w:rsidRPr="001C5257">
        <w:rPr>
          <w:lang w:val="en-GB"/>
        </w:rPr>
        <w:t xml:space="preserve">(1, 288) = 815.41; </w:t>
      </w:r>
      <w:r w:rsidRPr="001C5257">
        <w:rPr>
          <w:i/>
          <w:iCs/>
          <w:lang w:val="en-GB"/>
        </w:rPr>
        <w:t>p</w:t>
      </w:r>
      <w:r w:rsidRPr="001C5257">
        <w:rPr>
          <w:lang w:val="en-GB"/>
        </w:rPr>
        <w:t xml:space="preserve"> &lt; 0.001], 82.6% of ambivalent sexism [</w:t>
      </w:r>
      <w:r w:rsidRPr="001C5257">
        <w:rPr>
          <w:i/>
          <w:iCs/>
          <w:lang w:val="en-GB"/>
        </w:rPr>
        <w:t>F</w:t>
      </w:r>
      <w:r w:rsidRPr="001C5257">
        <w:rPr>
          <w:lang w:val="en-GB"/>
        </w:rPr>
        <w:t xml:space="preserve">(1, 288) = 1371.91; </w:t>
      </w:r>
      <w:r w:rsidRPr="001C5257">
        <w:rPr>
          <w:i/>
          <w:iCs/>
          <w:lang w:val="en-GB"/>
        </w:rPr>
        <w:t>p</w:t>
      </w:r>
      <w:r w:rsidRPr="001C5257">
        <w:rPr>
          <w:lang w:val="en-GB"/>
        </w:rPr>
        <w:t xml:space="preserve"> &lt; 0.001], 58.6% for heterosexism [</w:t>
      </w:r>
      <w:r w:rsidRPr="001C5257">
        <w:rPr>
          <w:i/>
          <w:iCs/>
          <w:lang w:val="en-GB"/>
        </w:rPr>
        <w:t>F</w:t>
      </w:r>
      <w:r w:rsidRPr="001C5257">
        <w:rPr>
          <w:lang w:val="en-GB"/>
        </w:rPr>
        <w:t xml:space="preserve">(1, 288) = 407.99; </w:t>
      </w:r>
      <w:r w:rsidRPr="001C5257">
        <w:rPr>
          <w:i/>
          <w:iCs/>
          <w:lang w:val="en-GB"/>
        </w:rPr>
        <w:t xml:space="preserve">p </w:t>
      </w:r>
      <w:r w:rsidRPr="001C5257">
        <w:rPr>
          <w:lang w:val="en-GB"/>
        </w:rPr>
        <w:t>&lt; 0.001] and 52.3% for ableism [</w:t>
      </w:r>
      <w:r w:rsidRPr="001C5257">
        <w:rPr>
          <w:i/>
          <w:iCs/>
          <w:lang w:val="en-GB"/>
        </w:rPr>
        <w:t>F</w:t>
      </w:r>
      <w:r w:rsidRPr="001C5257">
        <w:rPr>
          <w:lang w:val="en-GB"/>
        </w:rPr>
        <w:t xml:space="preserve">(1, 279) = 306.30; </w:t>
      </w:r>
      <w:r w:rsidRPr="001C5257">
        <w:rPr>
          <w:i/>
          <w:iCs/>
          <w:lang w:val="en-GB"/>
        </w:rPr>
        <w:t>p</w:t>
      </w:r>
      <w:r w:rsidRPr="001C5257">
        <w:rPr>
          <w:lang w:val="en-GB"/>
        </w:rPr>
        <w:t xml:space="preserve"> &lt; 0.001]. This pattern of results confirms findings from the literature which show that GP explains between 50% and 60% of the variance in specific prejudices (Akrami et al., 2011; Bergh &amp; Brandt, 2023; Ekehammar &amp; Akrami, 2003).</w:t>
      </w:r>
    </w:p>
    <w:p w14:paraId="6D81382C" w14:textId="77777777" w:rsidR="00A95BBE" w:rsidRPr="001C5257" w:rsidRDefault="00A95BBE" w:rsidP="00FF5657">
      <w:pPr>
        <w:ind w:firstLine="708"/>
        <w:rPr>
          <w:lang w:val="en-GB"/>
        </w:rPr>
      </w:pPr>
    </w:p>
    <w:p w14:paraId="018F5EC6" w14:textId="77777777" w:rsidR="000B6903" w:rsidRPr="001C5257" w:rsidRDefault="000B6903" w:rsidP="00FF5657">
      <w:pPr>
        <w:ind w:firstLine="708"/>
        <w:rPr>
          <w:lang w:val="en-GB"/>
        </w:rPr>
      </w:pPr>
    </w:p>
    <w:p w14:paraId="77105E45" w14:textId="77777777" w:rsidR="000B6903" w:rsidRPr="001C5257" w:rsidRDefault="000B6903" w:rsidP="00FF5657">
      <w:pPr>
        <w:ind w:firstLine="708"/>
        <w:rPr>
          <w:lang w:val="en-GB"/>
        </w:rPr>
      </w:pPr>
    </w:p>
    <w:p w14:paraId="000000DE" w14:textId="74338208" w:rsidR="000B6903" w:rsidRPr="001C5257" w:rsidRDefault="000B6903" w:rsidP="00FF5657">
      <w:pPr>
        <w:ind w:firstLine="708"/>
        <w:rPr>
          <w:lang w:val="en-GB"/>
        </w:rPr>
        <w:sectPr w:rsidR="000B6903" w:rsidRPr="001C5257">
          <w:headerReference w:type="default" r:id="rId8"/>
          <w:pgSz w:w="11906" w:h="16838"/>
          <w:pgMar w:top="1417" w:right="1701" w:bottom="1417" w:left="1701" w:header="708" w:footer="708" w:gutter="0"/>
          <w:pgNumType w:start="1"/>
          <w:cols w:space="720"/>
        </w:sectPr>
      </w:pPr>
    </w:p>
    <w:p w14:paraId="54531B0C" w14:textId="77777777" w:rsidR="006E464E" w:rsidRPr="001C5257" w:rsidRDefault="006E464E" w:rsidP="006E464E">
      <w:pPr>
        <w:ind w:firstLine="0"/>
        <w:rPr>
          <w:bCs/>
          <w:lang w:val="en-GB"/>
        </w:rPr>
      </w:pPr>
      <w:r w:rsidRPr="001C5257">
        <w:rPr>
          <w:bCs/>
          <w:lang w:val="en-GB"/>
        </w:rPr>
        <w:lastRenderedPageBreak/>
        <w:t>Table 3</w:t>
      </w:r>
    </w:p>
    <w:p w14:paraId="000000E0" w14:textId="134188FC" w:rsidR="00A95BBE" w:rsidRPr="001C5257" w:rsidRDefault="006E464E" w:rsidP="006E464E">
      <w:pPr>
        <w:ind w:firstLine="0"/>
        <w:rPr>
          <w:i/>
          <w:iCs/>
          <w:lang w:val="en-GB"/>
        </w:rPr>
      </w:pPr>
      <w:r w:rsidRPr="001C5257">
        <w:rPr>
          <w:bCs/>
          <w:i/>
          <w:iCs/>
          <w:lang w:val="en-GB"/>
        </w:rPr>
        <w:t>Bivariate correlations between types of prejudice and socio-demographic variables (N = 304)</w:t>
      </w:r>
    </w:p>
    <w:tbl>
      <w:tblPr>
        <w:tblStyle w:val="a1"/>
        <w:tblW w:w="13892"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552"/>
        <w:gridCol w:w="992"/>
        <w:gridCol w:w="992"/>
        <w:gridCol w:w="993"/>
        <w:gridCol w:w="1134"/>
        <w:gridCol w:w="992"/>
        <w:gridCol w:w="1134"/>
        <w:gridCol w:w="1134"/>
        <w:gridCol w:w="850"/>
        <w:gridCol w:w="1134"/>
        <w:gridCol w:w="851"/>
        <w:gridCol w:w="1134"/>
      </w:tblGrid>
      <w:tr w:rsidR="00FF5657" w:rsidRPr="00FF5657" w14:paraId="4B39199A" w14:textId="77777777">
        <w:tc>
          <w:tcPr>
            <w:tcW w:w="2552" w:type="dxa"/>
            <w:vMerge w:val="restart"/>
          </w:tcPr>
          <w:p w14:paraId="000000E1" w14:textId="2F201384" w:rsidR="00A95BBE" w:rsidRPr="00FF5657" w:rsidRDefault="008571C7" w:rsidP="00FF5657">
            <w:pPr>
              <w:spacing w:line="360" w:lineRule="auto"/>
              <w:ind w:firstLine="0"/>
            </w:pPr>
            <w:r w:rsidRPr="00FF5657">
              <w:t>Pre</w:t>
            </w:r>
            <w:r w:rsidR="006E464E">
              <w:t>judices</w:t>
            </w:r>
            <w:r w:rsidRPr="00FF5657">
              <w:t xml:space="preserve">: </w:t>
            </w:r>
          </w:p>
        </w:tc>
        <w:tc>
          <w:tcPr>
            <w:tcW w:w="11340" w:type="dxa"/>
            <w:gridSpan w:val="11"/>
          </w:tcPr>
          <w:p w14:paraId="000000E2" w14:textId="31561301" w:rsidR="00A95BBE" w:rsidRPr="00FF5657" w:rsidRDefault="006E464E" w:rsidP="00FF5657">
            <w:pPr>
              <w:spacing w:line="360" w:lineRule="auto"/>
              <w:ind w:firstLine="0"/>
              <w:jc w:val="center"/>
            </w:pPr>
            <w:r>
              <w:rPr>
                <w:bCs/>
                <w:i/>
                <w:iCs/>
              </w:rPr>
              <w:t>S</w:t>
            </w:r>
            <w:r w:rsidRPr="006E464E">
              <w:rPr>
                <w:bCs/>
                <w:i/>
                <w:iCs/>
              </w:rPr>
              <w:t>ocio-demographic variables</w:t>
            </w:r>
          </w:p>
        </w:tc>
      </w:tr>
      <w:tr w:rsidR="00A95BBE" w:rsidRPr="00FF5657" w14:paraId="68980388" w14:textId="77777777">
        <w:tc>
          <w:tcPr>
            <w:tcW w:w="2552" w:type="dxa"/>
            <w:vMerge/>
          </w:tcPr>
          <w:p w14:paraId="000000ED" w14:textId="77777777" w:rsidR="00A95BBE" w:rsidRPr="00FF5657" w:rsidRDefault="00A95BBE" w:rsidP="00FF5657">
            <w:pPr>
              <w:pBdr>
                <w:top w:val="nil"/>
                <w:left w:val="nil"/>
                <w:bottom w:val="nil"/>
                <w:right w:val="nil"/>
                <w:between w:val="nil"/>
              </w:pBdr>
              <w:spacing w:line="360" w:lineRule="auto"/>
              <w:ind w:firstLine="0"/>
              <w:jc w:val="left"/>
            </w:pPr>
          </w:p>
        </w:tc>
        <w:tc>
          <w:tcPr>
            <w:tcW w:w="992" w:type="dxa"/>
          </w:tcPr>
          <w:p w14:paraId="000000EE" w14:textId="5B59FE0E" w:rsidR="00A95BBE" w:rsidRPr="00FF5657" w:rsidRDefault="006E464E" w:rsidP="00FF5657">
            <w:pPr>
              <w:spacing w:line="360" w:lineRule="auto"/>
              <w:ind w:firstLine="0"/>
              <w:jc w:val="center"/>
            </w:pPr>
            <w:r>
              <w:t>Age</w:t>
            </w:r>
          </w:p>
        </w:tc>
        <w:tc>
          <w:tcPr>
            <w:tcW w:w="992" w:type="dxa"/>
          </w:tcPr>
          <w:p w14:paraId="000000EF" w14:textId="55B336C2" w:rsidR="00A95BBE" w:rsidRPr="00FF5657" w:rsidRDefault="006E464E" w:rsidP="00FF5657">
            <w:pPr>
              <w:spacing w:line="360" w:lineRule="auto"/>
              <w:ind w:firstLine="0"/>
              <w:jc w:val="center"/>
            </w:pPr>
            <w:r>
              <w:t>Sexual oriet.</w:t>
            </w:r>
          </w:p>
        </w:tc>
        <w:tc>
          <w:tcPr>
            <w:tcW w:w="993" w:type="dxa"/>
          </w:tcPr>
          <w:p w14:paraId="000000F0" w14:textId="3CDA08CD" w:rsidR="00A95BBE" w:rsidRPr="00FF5657" w:rsidRDefault="006E464E" w:rsidP="00FF5657">
            <w:pPr>
              <w:spacing w:line="360" w:lineRule="auto"/>
              <w:ind w:firstLine="0"/>
              <w:jc w:val="center"/>
            </w:pPr>
            <w:r>
              <w:t>Income</w:t>
            </w:r>
            <w:r w:rsidR="008571C7" w:rsidRPr="00FF5657">
              <w:t xml:space="preserve"> </w:t>
            </w:r>
          </w:p>
        </w:tc>
        <w:tc>
          <w:tcPr>
            <w:tcW w:w="1134" w:type="dxa"/>
          </w:tcPr>
          <w:p w14:paraId="000000F1" w14:textId="6872255C" w:rsidR="00A95BBE" w:rsidRPr="00FF5657" w:rsidRDefault="006E464E" w:rsidP="00FF5657">
            <w:pPr>
              <w:spacing w:line="360" w:lineRule="auto"/>
              <w:ind w:firstLine="0"/>
              <w:jc w:val="center"/>
            </w:pPr>
            <w:r>
              <w:t>Relig. identity</w:t>
            </w:r>
          </w:p>
        </w:tc>
        <w:tc>
          <w:tcPr>
            <w:tcW w:w="992" w:type="dxa"/>
          </w:tcPr>
          <w:p w14:paraId="000000F2" w14:textId="5C94DC27" w:rsidR="00A95BBE" w:rsidRPr="00FF5657" w:rsidRDefault="00333E7B" w:rsidP="00FF5657">
            <w:pPr>
              <w:spacing w:line="360" w:lineRule="auto"/>
              <w:ind w:firstLine="0"/>
              <w:jc w:val="center"/>
            </w:pPr>
            <w:r>
              <w:t>I PwD</w:t>
            </w:r>
          </w:p>
        </w:tc>
        <w:tc>
          <w:tcPr>
            <w:tcW w:w="1134" w:type="dxa"/>
          </w:tcPr>
          <w:p w14:paraId="000000F3" w14:textId="4E58A0CD" w:rsidR="00A95BBE" w:rsidRPr="00FF5657" w:rsidRDefault="00333E7B" w:rsidP="00FF5657">
            <w:pPr>
              <w:spacing w:line="360" w:lineRule="auto"/>
              <w:ind w:firstLine="0"/>
              <w:jc w:val="center"/>
            </w:pPr>
            <w:r>
              <w:t>Skin colour</w:t>
            </w:r>
          </w:p>
        </w:tc>
        <w:tc>
          <w:tcPr>
            <w:tcW w:w="1134" w:type="dxa"/>
          </w:tcPr>
          <w:p w14:paraId="000000F4" w14:textId="66CFD4DB" w:rsidR="00A95BBE" w:rsidRPr="00FF5657" w:rsidRDefault="00333E7B" w:rsidP="00FF5657">
            <w:pPr>
              <w:spacing w:line="360" w:lineRule="auto"/>
              <w:ind w:firstLine="0"/>
              <w:jc w:val="center"/>
            </w:pPr>
            <w:r>
              <w:t>Colour identity</w:t>
            </w:r>
          </w:p>
        </w:tc>
        <w:tc>
          <w:tcPr>
            <w:tcW w:w="850" w:type="dxa"/>
          </w:tcPr>
          <w:p w14:paraId="000000F5" w14:textId="11CDCEE6" w:rsidR="00A95BBE" w:rsidRPr="00FF5657" w:rsidRDefault="00333E7B" w:rsidP="00FF5657">
            <w:pPr>
              <w:spacing w:line="360" w:lineRule="auto"/>
              <w:ind w:firstLine="0"/>
              <w:jc w:val="center"/>
            </w:pPr>
            <w:r>
              <w:t>Sex</w:t>
            </w:r>
          </w:p>
        </w:tc>
        <w:tc>
          <w:tcPr>
            <w:tcW w:w="1134" w:type="dxa"/>
          </w:tcPr>
          <w:p w14:paraId="000000F6" w14:textId="4E82CD5D" w:rsidR="00A95BBE" w:rsidRPr="00FF5657" w:rsidRDefault="00333E7B" w:rsidP="00FF5657">
            <w:pPr>
              <w:spacing w:line="360" w:lineRule="auto"/>
              <w:ind w:firstLine="0"/>
              <w:jc w:val="center"/>
            </w:pPr>
            <w:r>
              <w:t>Gender identity</w:t>
            </w:r>
          </w:p>
        </w:tc>
        <w:tc>
          <w:tcPr>
            <w:tcW w:w="851" w:type="dxa"/>
          </w:tcPr>
          <w:p w14:paraId="000000F7" w14:textId="00BD7AFF" w:rsidR="00A95BBE" w:rsidRPr="00FF5657" w:rsidRDefault="00333E7B" w:rsidP="00FF5657">
            <w:pPr>
              <w:spacing w:line="360" w:lineRule="auto"/>
              <w:ind w:firstLine="0"/>
              <w:jc w:val="center"/>
            </w:pPr>
            <w:r>
              <w:t>BMI</w:t>
            </w:r>
          </w:p>
        </w:tc>
        <w:tc>
          <w:tcPr>
            <w:tcW w:w="1134" w:type="dxa"/>
          </w:tcPr>
          <w:p w14:paraId="000000F8" w14:textId="2B9F3F01" w:rsidR="00A95BBE" w:rsidRPr="00FF5657" w:rsidRDefault="00333E7B" w:rsidP="00FF5657">
            <w:pPr>
              <w:spacing w:line="360" w:lineRule="auto"/>
              <w:ind w:firstLine="0"/>
              <w:jc w:val="center"/>
            </w:pPr>
            <w:r>
              <w:t>Political prefer.</w:t>
            </w:r>
          </w:p>
        </w:tc>
      </w:tr>
      <w:tr w:rsidR="00A95BBE" w:rsidRPr="00FF5657" w14:paraId="2ACC6966" w14:textId="77777777">
        <w:tc>
          <w:tcPr>
            <w:tcW w:w="2552" w:type="dxa"/>
          </w:tcPr>
          <w:p w14:paraId="000000F9" w14:textId="26C88199" w:rsidR="00A95BBE" w:rsidRPr="00FF5657" w:rsidRDefault="008571C7" w:rsidP="00FF5657">
            <w:pPr>
              <w:spacing w:line="360" w:lineRule="auto"/>
              <w:ind w:firstLine="0"/>
            </w:pPr>
            <w:r w:rsidRPr="00FF5657">
              <w:t>Raci</w:t>
            </w:r>
            <w:r w:rsidR="006E464E">
              <w:t>al</w:t>
            </w:r>
            <w:r w:rsidRPr="00FF5657">
              <w:t xml:space="preserve"> </w:t>
            </w:r>
          </w:p>
        </w:tc>
        <w:tc>
          <w:tcPr>
            <w:tcW w:w="992" w:type="dxa"/>
          </w:tcPr>
          <w:p w14:paraId="000000FA" w14:textId="77777777" w:rsidR="00A95BBE" w:rsidRPr="00FF5657" w:rsidRDefault="008571C7" w:rsidP="00FF5657">
            <w:pPr>
              <w:spacing w:line="360" w:lineRule="auto"/>
              <w:ind w:firstLine="0"/>
              <w:jc w:val="center"/>
            </w:pPr>
            <w:r w:rsidRPr="00FF5657">
              <w:t>0,16**</w:t>
            </w:r>
          </w:p>
        </w:tc>
        <w:tc>
          <w:tcPr>
            <w:tcW w:w="992" w:type="dxa"/>
          </w:tcPr>
          <w:p w14:paraId="000000FB" w14:textId="77777777" w:rsidR="00A95BBE" w:rsidRPr="00FF5657" w:rsidRDefault="008571C7" w:rsidP="00FF5657">
            <w:pPr>
              <w:spacing w:line="360" w:lineRule="auto"/>
              <w:ind w:firstLine="0"/>
              <w:jc w:val="center"/>
            </w:pPr>
            <w:r w:rsidRPr="00FF5657">
              <w:t>-0,10</w:t>
            </w:r>
          </w:p>
        </w:tc>
        <w:tc>
          <w:tcPr>
            <w:tcW w:w="993" w:type="dxa"/>
          </w:tcPr>
          <w:p w14:paraId="000000FC" w14:textId="77777777" w:rsidR="00A95BBE" w:rsidRPr="00FF5657" w:rsidRDefault="008571C7" w:rsidP="00FF5657">
            <w:pPr>
              <w:spacing w:line="360" w:lineRule="auto"/>
              <w:ind w:firstLine="0"/>
              <w:jc w:val="center"/>
            </w:pPr>
            <w:r w:rsidRPr="00FF5657">
              <w:t>-0,01</w:t>
            </w:r>
          </w:p>
        </w:tc>
        <w:tc>
          <w:tcPr>
            <w:tcW w:w="1134" w:type="dxa"/>
          </w:tcPr>
          <w:p w14:paraId="000000FD" w14:textId="77777777" w:rsidR="00A95BBE" w:rsidRPr="00FF5657" w:rsidRDefault="008571C7" w:rsidP="00FF5657">
            <w:pPr>
              <w:spacing w:line="360" w:lineRule="auto"/>
              <w:ind w:firstLine="0"/>
              <w:jc w:val="center"/>
            </w:pPr>
            <w:r w:rsidRPr="00FF5657">
              <w:t>0,22***</w:t>
            </w:r>
          </w:p>
        </w:tc>
        <w:tc>
          <w:tcPr>
            <w:tcW w:w="992" w:type="dxa"/>
          </w:tcPr>
          <w:p w14:paraId="000000FE" w14:textId="77777777" w:rsidR="00A95BBE" w:rsidRPr="00FF5657" w:rsidRDefault="008571C7" w:rsidP="00FF5657">
            <w:pPr>
              <w:spacing w:line="360" w:lineRule="auto"/>
              <w:ind w:firstLine="0"/>
              <w:jc w:val="center"/>
            </w:pPr>
            <w:r w:rsidRPr="00FF5657">
              <w:t>0,11</w:t>
            </w:r>
            <w:r w:rsidRPr="00FF5657">
              <w:rPr>
                <w:vertAlign w:val="superscript"/>
              </w:rPr>
              <w:t>+</w:t>
            </w:r>
          </w:p>
        </w:tc>
        <w:tc>
          <w:tcPr>
            <w:tcW w:w="1134" w:type="dxa"/>
          </w:tcPr>
          <w:p w14:paraId="000000FF" w14:textId="77777777" w:rsidR="00A95BBE" w:rsidRPr="00FF5657" w:rsidRDefault="008571C7" w:rsidP="00FF5657">
            <w:pPr>
              <w:spacing w:line="360" w:lineRule="auto"/>
              <w:ind w:firstLine="0"/>
              <w:jc w:val="center"/>
            </w:pPr>
            <w:r w:rsidRPr="00FF5657">
              <w:t>-0,07</w:t>
            </w:r>
          </w:p>
        </w:tc>
        <w:tc>
          <w:tcPr>
            <w:tcW w:w="1134" w:type="dxa"/>
          </w:tcPr>
          <w:p w14:paraId="00000100" w14:textId="77777777" w:rsidR="00A95BBE" w:rsidRPr="00FF5657" w:rsidRDefault="008571C7" w:rsidP="00FF5657">
            <w:pPr>
              <w:spacing w:line="360" w:lineRule="auto"/>
              <w:ind w:firstLine="0"/>
              <w:jc w:val="center"/>
            </w:pPr>
            <w:r w:rsidRPr="00FF5657">
              <w:t>-0,13*</w:t>
            </w:r>
          </w:p>
        </w:tc>
        <w:tc>
          <w:tcPr>
            <w:tcW w:w="850" w:type="dxa"/>
          </w:tcPr>
          <w:p w14:paraId="00000101" w14:textId="77777777" w:rsidR="00A95BBE" w:rsidRPr="00FF5657" w:rsidRDefault="008571C7" w:rsidP="00FF5657">
            <w:pPr>
              <w:spacing w:line="360" w:lineRule="auto"/>
              <w:ind w:firstLine="0"/>
              <w:jc w:val="center"/>
            </w:pPr>
            <w:r w:rsidRPr="00FF5657">
              <w:t>0,07</w:t>
            </w:r>
          </w:p>
        </w:tc>
        <w:tc>
          <w:tcPr>
            <w:tcW w:w="1134" w:type="dxa"/>
          </w:tcPr>
          <w:p w14:paraId="00000102" w14:textId="77777777" w:rsidR="00A95BBE" w:rsidRPr="00FF5657" w:rsidRDefault="008571C7" w:rsidP="00FF5657">
            <w:pPr>
              <w:spacing w:line="360" w:lineRule="auto"/>
              <w:ind w:firstLine="0"/>
              <w:jc w:val="center"/>
            </w:pPr>
            <w:r w:rsidRPr="00FF5657">
              <w:t>-0,02</w:t>
            </w:r>
          </w:p>
        </w:tc>
        <w:tc>
          <w:tcPr>
            <w:tcW w:w="851" w:type="dxa"/>
          </w:tcPr>
          <w:p w14:paraId="00000103" w14:textId="77777777" w:rsidR="00A95BBE" w:rsidRPr="00FF5657" w:rsidRDefault="008571C7" w:rsidP="00FF5657">
            <w:pPr>
              <w:spacing w:line="360" w:lineRule="auto"/>
              <w:ind w:firstLine="0"/>
              <w:jc w:val="center"/>
            </w:pPr>
            <w:r w:rsidRPr="00FF5657">
              <w:t>-,02</w:t>
            </w:r>
          </w:p>
        </w:tc>
        <w:tc>
          <w:tcPr>
            <w:tcW w:w="1134" w:type="dxa"/>
          </w:tcPr>
          <w:p w14:paraId="00000104" w14:textId="77777777" w:rsidR="00A95BBE" w:rsidRPr="00FF5657" w:rsidRDefault="008571C7" w:rsidP="00FF5657">
            <w:pPr>
              <w:spacing w:line="360" w:lineRule="auto"/>
              <w:ind w:firstLine="0"/>
              <w:jc w:val="center"/>
            </w:pPr>
            <w:r w:rsidRPr="00FF5657">
              <w:t>0,28***</w:t>
            </w:r>
          </w:p>
        </w:tc>
      </w:tr>
      <w:tr w:rsidR="00A95BBE" w:rsidRPr="00FF5657" w14:paraId="7EF44498" w14:textId="77777777">
        <w:tc>
          <w:tcPr>
            <w:tcW w:w="2552" w:type="dxa"/>
          </w:tcPr>
          <w:p w14:paraId="00000105" w14:textId="2CDDFEEF" w:rsidR="00A95BBE" w:rsidRPr="00FF5657" w:rsidRDefault="006E464E" w:rsidP="00FF5657">
            <w:pPr>
              <w:spacing w:line="360" w:lineRule="auto"/>
              <w:ind w:firstLine="0"/>
            </w:pPr>
            <w:r>
              <w:t>Fat phobia</w:t>
            </w:r>
          </w:p>
        </w:tc>
        <w:tc>
          <w:tcPr>
            <w:tcW w:w="992" w:type="dxa"/>
          </w:tcPr>
          <w:p w14:paraId="00000106" w14:textId="77777777" w:rsidR="00A95BBE" w:rsidRPr="00FF5657" w:rsidRDefault="008571C7" w:rsidP="00FF5657">
            <w:pPr>
              <w:spacing w:line="360" w:lineRule="auto"/>
              <w:ind w:firstLine="0"/>
              <w:jc w:val="center"/>
            </w:pPr>
            <w:r w:rsidRPr="00FF5657">
              <w:t>-0,13*</w:t>
            </w:r>
          </w:p>
        </w:tc>
        <w:tc>
          <w:tcPr>
            <w:tcW w:w="992" w:type="dxa"/>
          </w:tcPr>
          <w:p w14:paraId="00000107" w14:textId="77777777" w:rsidR="00A95BBE" w:rsidRPr="00FF5657" w:rsidRDefault="008571C7" w:rsidP="00FF5657">
            <w:pPr>
              <w:spacing w:line="360" w:lineRule="auto"/>
              <w:ind w:firstLine="0"/>
              <w:jc w:val="center"/>
            </w:pPr>
            <w:r w:rsidRPr="00FF5657">
              <w:t>0,18**</w:t>
            </w:r>
          </w:p>
        </w:tc>
        <w:tc>
          <w:tcPr>
            <w:tcW w:w="993" w:type="dxa"/>
          </w:tcPr>
          <w:p w14:paraId="00000108" w14:textId="77777777" w:rsidR="00A95BBE" w:rsidRPr="00FF5657" w:rsidRDefault="008571C7" w:rsidP="00FF5657">
            <w:pPr>
              <w:spacing w:line="360" w:lineRule="auto"/>
              <w:ind w:firstLine="0"/>
              <w:jc w:val="center"/>
            </w:pPr>
            <w:r w:rsidRPr="00FF5657">
              <w:t>-0,04</w:t>
            </w:r>
          </w:p>
        </w:tc>
        <w:tc>
          <w:tcPr>
            <w:tcW w:w="1134" w:type="dxa"/>
          </w:tcPr>
          <w:p w14:paraId="00000109" w14:textId="77777777" w:rsidR="00A95BBE" w:rsidRPr="00FF5657" w:rsidRDefault="008571C7" w:rsidP="00FF5657">
            <w:pPr>
              <w:spacing w:line="360" w:lineRule="auto"/>
              <w:ind w:firstLine="0"/>
              <w:jc w:val="center"/>
            </w:pPr>
            <w:r w:rsidRPr="00FF5657">
              <w:t>-0,23**</w:t>
            </w:r>
          </w:p>
        </w:tc>
        <w:tc>
          <w:tcPr>
            <w:tcW w:w="992" w:type="dxa"/>
          </w:tcPr>
          <w:p w14:paraId="0000010A" w14:textId="77777777" w:rsidR="00A95BBE" w:rsidRPr="00FF5657" w:rsidRDefault="008571C7" w:rsidP="00FF5657">
            <w:pPr>
              <w:spacing w:line="360" w:lineRule="auto"/>
              <w:ind w:firstLine="0"/>
              <w:jc w:val="center"/>
            </w:pPr>
            <w:r w:rsidRPr="00FF5657">
              <w:t>-0,02</w:t>
            </w:r>
          </w:p>
        </w:tc>
        <w:tc>
          <w:tcPr>
            <w:tcW w:w="1134" w:type="dxa"/>
          </w:tcPr>
          <w:p w14:paraId="0000010B" w14:textId="77777777" w:rsidR="00A95BBE" w:rsidRPr="00FF5657" w:rsidRDefault="008571C7" w:rsidP="00FF5657">
            <w:pPr>
              <w:spacing w:line="360" w:lineRule="auto"/>
              <w:ind w:firstLine="0"/>
              <w:jc w:val="center"/>
            </w:pPr>
            <w:r w:rsidRPr="00FF5657">
              <w:t>-0,06</w:t>
            </w:r>
          </w:p>
        </w:tc>
        <w:tc>
          <w:tcPr>
            <w:tcW w:w="1134" w:type="dxa"/>
          </w:tcPr>
          <w:p w14:paraId="0000010C" w14:textId="77777777" w:rsidR="00A95BBE" w:rsidRPr="00FF5657" w:rsidRDefault="008571C7" w:rsidP="00FF5657">
            <w:pPr>
              <w:spacing w:line="360" w:lineRule="auto"/>
              <w:ind w:firstLine="0"/>
              <w:jc w:val="center"/>
            </w:pPr>
            <w:r w:rsidRPr="00FF5657">
              <w:t>0,01</w:t>
            </w:r>
          </w:p>
        </w:tc>
        <w:tc>
          <w:tcPr>
            <w:tcW w:w="850" w:type="dxa"/>
          </w:tcPr>
          <w:p w14:paraId="0000010D" w14:textId="77777777" w:rsidR="00A95BBE" w:rsidRPr="00FF5657" w:rsidRDefault="008571C7" w:rsidP="00FF5657">
            <w:pPr>
              <w:spacing w:line="360" w:lineRule="auto"/>
              <w:ind w:firstLine="0"/>
              <w:jc w:val="center"/>
            </w:pPr>
            <w:r w:rsidRPr="00FF5657">
              <w:t>0,14*</w:t>
            </w:r>
          </w:p>
        </w:tc>
        <w:tc>
          <w:tcPr>
            <w:tcW w:w="1134" w:type="dxa"/>
          </w:tcPr>
          <w:p w14:paraId="0000010E" w14:textId="77777777" w:rsidR="00A95BBE" w:rsidRPr="00FF5657" w:rsidRDefault="008571C7" w:rsidP="00FF5657">
            <w:pPr>
              <w:spacing w:line="360" w:lineRule="auto"/>
              <w:ind w:firstLine="0"/>
              <w:jc w:val="center"/>
            </w:pPr>
            <w:r w:rsidRPr="00FF5657">
              <w:t>0,01</w:t>
            </w:r>
          </w:p>
        </w:tc>
        <w:tc>
          <w:tcPr>
            <w:tcW w:w="851" w:type="dxa"/>
          </w:tcPr>
          <w:p w14:paraId="0000010F" w14:textId="77777777" w:rsidR="00A95BBE" w:rsidRPr="00FF5657" w:rsidRDefault="008571C7" w:rsidP="00FF5657">
            <w:pPr>
              <w:spacing w:line="360" w:lineRule="auto"/>
              <w:ind w:firstLine="0"/>
              <w:jc w:val="center"/>
            </w:pPr>
            <w:r w:rsidRPr="00FF5657">
              <w:t>0,02</w:t>
            </w:r>
          </w:p>
        </w:tc>
        <w:tc>
          <w:tcPr>
            <w:tcW w:w="1134" w:type="dxa"/>
          </w:tcPr>
          <w:p w14:paraId="00000110" w14:textId="77777777" w:rsidR="00A95BBE" w:rsidRPr="00FF5657" w:rsidRDefault="008571C7" w:rsidP="00FF5657">
            <w:pPr>
              <w:spacing w:line="360" w:lineRule="auto"/>
              <w:ind w:firstLine="0"/>
              <w:jc w:val="center"/>
            </w:pPr>
            <w:r w:rsidRPr="00FF5657">
              <w:t>0,03</w:t>
            </w:r>
          </w:p>
        </w:tc>
      </w:tr>
      <w:tr w:rsidR="00A95BBE" w:rsidRPr="00FF5657" w14:paraId="7BF8738D" w14:textId="77777777">
        <w:tc>
          <w:tcPr>
            <w:tcW w:w="2552" w:type="dxa"/>
          </w:tcPr>
          <w:p w14:paraId="00000111" w14:textId="15AEDC32" w:rsidR="00A95BBE" w:rsidRPr="00FF5657" w:rsidRDefault="006E464E" w:rsidP="00FF5657">
            <w:pPr>
              <w:spacing w:line="360" w:lineRule="auto"/>
              <w:ind w:firstLine="0"/>
            </w:pPr>
            <w:r>
              <w:t>Ageism</w:t>
            </w:r>
          </w:p>
        </w:tc>
        <w:tc>
          <w:tcPr>
            <w:tcW w:w="992" w:type="dxa"/>
          </w:tcPr>
          <w:p w14:paraId="00000112" w14:textId="77777777" w:rsidR="00A95BBE" w:rsidRPr="00FF5657" w:rsidRDefault="008571C7" w:rsidP="00FF5657">
            <w:pPr>
              <w:spacing w:line="360" w:lineRule="auto"/>
              <w:ind w:firstLine="0"/>
              <w:jc w:val="center"/>
            </w:pPr>
            <w:r w:rsidRPr="00FF5657">
              <w:t>-0,07</w:t>
            </w:r>
          </w:p>
        </w:tc>
        <w:tc>
          <w:tcPr>
            <w:tcW w:w="992" w:type="dxa"/>
          </w:tcPr>
          <w:p w14:paraId="00000113" w14:textId="77777777" w:rsidR="00A95BBE" w:rsidRPr="00FF5657" w:rsidRDefault="008571C7" w:rsidP="00FF5657">
            <w:pPr>
              <w:spacing w:line="360" w:lineRule="auto"/>
              <w:ind w:firstLine="0"/>
              <w:jc w:val="center"/>
            </w:pPr>
            <w:r w:rsidRPr="00FF5657">
              <w:t>-0,04</w:t>
            </w:r>
          </w:p>
        </w:tc>
        <w:tc>
          <w:tcPr>
            <w:tcW w:w="993" w:type="dxa"/>
          </w:tcPr>
          <w:p w14:paraId="00000114" w14:textId="77777777" w:rsidR="00A95BBE" w:rsidRPr="00FF5657" w:rsidRDefault="008571C7" w:rsidP="00FF5657">
            <w:pPr>
              <w:spacing w:line="360" w:lineRule="auto"/>
              <w:ind w:firstLine="0"/>
              <w:jc w:val="center"/>
            </w:pPr>
            <w:r w:rsidRPr="00FF5657">
              <w:t>-0,08</w:t>
            </w:r>
          </w:p>
        </w:tc>
        <w:tc>
          <w:tcPr>
            <w:tcW w:w="1134" w:type="dxa"/>
          </w:tcPr>
          <w:p w14:paraId="00000115" w14:textId="77777777" w:rsidR="00A95BBE" w:rsidRPr="00FF5657" w:rsidRDefault="008571C7" w:rsidP="00FF5657">
            <w:pPr>
              <w:spacing w:line="360" w:lineRule="auto"/>
              <w:ind w:firstLine="0"/>
              <w:jc w:val="center"/>
            </w:pPr>
            <w:r w:rsidRPr="00FF5657">
              <w:t>0,09</w:t>
            </w:r>
          </w:p>
        </w:tc>
        <w:tc>
          <w:tcPr>
            <w:tcW w:w="992" w:type="dxa"/>
          </w:tcPr>
          <w:p w14:paraId="00000116" w14:textId="77777777" w:rsidR="00A95BBE" w:rsidRPr="00FF5657" w:rsidRDefault="008571C7" w:rsidP="00FF5657">
            <w:pPr>
              <w:spacing w:line="360" w:lineRule="auto"/>
              <w:ind w:firstLine="0"/>
              <w:jc w:val="center"/>
            </w:pPr>
            <w:r w:rsidRPr="00FF5657">
              <w:t>-0,10+</w:t>
            </w:r>
          </w:p>
        </w:tc>
        <w:tc>
          <w:tcPr>
            <w:tcW w:w="1134" w:type="dxa"/>
          </w:tcPr>
          <w:p w14:paraId="00000117" w14:textId="77777777" w:rsidR="00A95BBE" w:rsidRPr="00FF5657" w:rsidRDefault="008571C7" w:rsidP="00FF5657">
            <w:pPr>
              <w:spacing w:line="360" w:lineRule="auto"/>
              <w:ind w:firstLine="0"/>
              <w:jc w:val="center"/>
            </w:pPr>
            <w:r w:rsidRPr="00FF5657">
              <w:t>0,15*</w:t>
            </w:r>
          </w:p>
        </w:tc>
        <w:tc>
          <w:tcPr>
            <w:tcW w:w="1134" w:type="dxa"/>
          </w:tcPr>
          <w:p w14:paraId="00000118" w14:textId="77777777" w:rsidR="00A95BBE" w:rsidRPr="00FF5657" w:rsidRDefault="008571C7" w:rsidP="00FF5657">
            <w:pPr>
              <w:spacing w:line="360" w:lineRule="auto"/>
              <w:ind w:firstLine="0"/>
              <w:jc w:val="center"/>
            </w:pPr>
            <w:r w:rsidRPr="00FF5657">
              <w:t>0,00</w:t>
            </w:r>
          </w:p>
        </w:tc>
        <w:tc>
          <w:tcPr>
            <w:tcW w:w="850" w:type="dxa"/>
          </w:tcPr>
          <w:p w14:paraId="00000119" w14:textId="77777777" w:rsidR="00A95BBE" w:rsidRPr="00FF5657" w:rsidRDefault="008571C7" w:rsidP="00FF5657">
            <w:pPr>
              <w:spacing w:line="360" w:lineRule="auto"/>
              <w:ind w:firstLine="0"/>
              <w:jc w:val="center"/>
            </w:pPr>
            <w:r w:rsidRPr="00FF5657">
              <w:t>-0,05</w:t>
            </w:r>
          </w:p>
        </w:tc>
        <w:tc>
          <w:tcPr>
            <w:tcW w:w="1134" w:type="dxa"/>
          </w:tcPr>
          <w:p w14:paraId="0000011A" w14:textId="77777777" w:rsidR="00A95BBE" w:rsidRPr="00FF5657" w:rsidRDefault="008571C7" w:rsidP="00FF5657">
            <w:pPr>
              <w:spacing w:line="360" w:lineRule="auto"/>
              <w:ind w:firstLine="0"/>
              <w:jc w:val="center"/>
            </w:pPr>
            <w:r w:rsidRPr="00FF5657">
              <w:t>-0,01</w:t>
            </w:r>
          </w:p>
        </w:tc>
        <w:tc>
          <w:tcPr>
            <w:tcW w:w="851" w:type="dxa"/>
          </w:tcPr>
          <w:p w14:paraId="0000011B" w14:textId="77777777" w:rsidR="00A95BBE" w:rsidRPr="00FF5657" w:rsidRDefault="008571C7" w:rsidP="00FF5657">
            <w:pPr>
              <w:spacing w:line="360" w:lineRule="auto"/>
              <w:ind w:firstLine="0"/>
              <w:jc w:val="center"/>
            </w:pPr>
            <w:r w:rsidRPr="00FF5657">
              <w:t>0,03</w:t>
            </w:r>
          </w:p>
        </w:tc>
        <w:tc>
          <w:tcPr>
            <w:tcW w:w="1134" w:type="dxa"/>
          </w:tcPr>
          <w:p w14:paraId="0000011C" w14:textId="77777777" w:rsidR="00A95BBE" w:rsidRPr="00FF5657" w:rsidRDefault="008571C7" w:rsidP="00FF5657">
            <w:pPr>
              <w:spacing w:line="360" w:lineRule="auto"/>
              <w:ind w:firstLine="0"/>
              <w:jc w:val="center"/>
            </w:pPr>
            <w:r w:rsidRPr="00FF5657">
              <w:t>-0,08</w:t>
            </w:r>
          </w:p>
        </w:tc>
      </w:tr>
      <w:tr w:rsidR="00A95BBE" w:rsidRPr="00FF5657" w14:paraId="0575DDA4" w14:textId="77777777">
        <w:tc>
          <w:tcPr>
            <w:tcW w:w="2552" w:type="dxa"/>
          </w:tcPr>
          <w:p w14:paraId="0000011D" w14:textId="704227E7" w:rsidR="00A95BBE" w:rsidRPr="00FF5657" w:rsidRDefault="008571C7" w:rsidP="00FF5657">
            <w:pPr>
              <w:spacing w:line="360" w:lineRule="auto"/>
              <w:ind w:firstLine="0"/>
            </w:pPr>
            <w:r w:rsidRPr="00FF5657">
              <w:t xml:space="preserve">Sexism </w:t>
            </w:r>
          </w:p>
        </w:tc>
        <w:tc>
          <w:tcPr>
            <w:tcW w:w="992" w:type="dxa"/>
          </w:tcPr>
          <w:p w14:paraId="0000011E" w14:textId="77777777" w:rsidR="00A95BBE" w:rsidRPr="00FF5657" w:rsidRDefault="008571C7" w:rsidP="00FF5657">
            <w:pPr>
              <w:spacing w:line="360" w:lineRule="auto"/>
              <w:ind w:firstLine="0"/>
              <w:jc w:val="center"/>
            </w:pPr>
            <w:r w:rsidRPr="00FF5657">
              <w:t>0,05</w:t>
            </w:r>
          </w:p>
        </w:tc>
        <w:tc>
          <w:tcPr>
            <w:tcW w:w="992" w:type="dxa"/>
          </w:tcPr>
          <w:p w14:paraId="0000011F" w14:textId="77777777" w:rsidR="00A95BBE" w:rsidRPr="00FF5657" w:rsidRDefault="008571C7" w:rsidP="00FF5657">
            <w:pPr>
              <w:spacing w:line="360" w:lineRule="auto"/>
              <w:ind w:firstLine="0"/>
              <w:jc w:val="center"/>
            </w:pPr>
            <w:r w:rsidRPr="00FF5657">
              <w:t>-0,16*</w:t>
            </w:r>
          </w:p>
        </w:tc>
        <w:tc>
          <w:tcPr>
            <w:tcW w:w="993" w:type="dxa"/>
          </w:tcPr>
          <w:p w14:paraId="00000120" w14:textId="77777777" w:rsidR="00A95BBE" w:rsidRPr="00FF5657" w:rsidRDefault="008571C7" w:rsidP="00FF5657">
            <w:pPr>
              <w:spacing w:line="360" w:lineRule="auto"/>
              <w:ind w:firstLine="0"/>
              <w:jc w:val="center"/>
            </w:pPr>
            <w:r w:rsidRPr="00FF5657">
              <w:t>-0,04</w:t>
            </w:r>
          </w:p>
        </w:tc>
        <w:tc>
          <w:tcPr>
            <w:tcW w:w="1134" w:type="dxa"/>
          </w:tcPr>
          <w:p w14:paraId="00000121" w14:textId="77777777" w:rsidR="00A95BBE" w:rsidRPr="00FF5657" w:rsidRDefault="008571C7" w:rsidP="00FF5657">
            <w:pPr>
              <w:spacing w:line="360" w:lineRule="auto"/>
              <w:ind w:firstLine="0"/>
              <w:jc w:val="center"/>
            </w:pPr>
            <w:r w:rsidRPr="00FF5657">
              <w:t>0,02</w:t>
            </w:r>
          </w:p>
        </w:tc>
        <w:tc>
          <w:tcPr>
            <w:tcW w:w="992" w:type="dxa"/>
          </w:tcPr>
          <w:p w14:paraId="00000122" w14:textId="77777777" w:rsidR="00A95BBE" w:rsidRPr="00FF5657" w:rsidRDefault="008571C7" w:rsidP="00FF5657">
            <w:pPr>
              <w:spacing w:line="360" w:lineRule="auto"/>
              <w:ind w:firstLine="0"/>
              <w:jc w:val="center"/>
            </w:pPr>
            <w:r w:rsidRPr="00FF5657">
              <w:t>-0,02</w:t>
            </w:r>
          </w:p>
        </w:tc>
        <w:tc>
          <w:tcPr>
            <w:tcW w:w="1134" w:type="dxa"/>
          </w:tcPr>
          <w:p w14:paraId="00000123" w14:textId="77777777" w:rsidR="00A95BBE" w:rsidRPr="00FF5657" w:rsidRDefault="008571C7" w:rsidP="00FF5657">
            <w:pPr>
              <w:spacing w:line="360" w:lineRule="auto"/>
              <w:ind w:firstLine="0"/>
              <w:jc w:val="center"/>
            </w:pPr>
            <w:r w:rsidRPr="00FF5657">
              <w:t>0,00</w:t>
            </w:r>
          </w:p>
        </w:tc>
        <w:tc>
          <w:tcPr>
            <w:tcW w:w="1134" w:type="dxa"/>
          </w:tcPr>
          <w:p w14:paraId="00000124" w14:textId="77777777" w:rsidR="00A95BBE" w:rsidRPr="00FF5657" w:rsidRDefault="008571C7" w:rsidP="00FF5657">
            <w:pPr>
              <w:spacing w:line="360" w:lineRule="auto"/>
              <w:ind w:firstLine="0"/>
              <w:jc w:val="center"/>
            </w:pPr>
            <w:r w:rsidRPr="00FF5657">
              <w:t>-0,03</w:t>
            </w:r>
          </w:p>
        </w:tc>
        <w:tc>
          <w:tcPr>
            <w:tcW w:w="850" w:type="dxa"/>
          </w:tcPr>
          <w:p w14:paraId="00000125" w14:textId="77777777" w:rsidR="00A95BBE" w:rsidRPr="00FF5657" w:rsidRDefault="008571C7" w:rsidP="00FF5657">
            <w:pPr>
              <w:spacing w:line="360" w:lineRule="auto"/>
              <w:ind w:firstLine="0"/>
              <w:jc w:val="center"/>
            </w:pPr>
            <w:r w:rsidRPr="00FF5657">
              <w:t>0,01</w:t>
            </w:r>
          </w:p>
        </w:tc>
        <w:tc>
          <w:tcPr>
            <w:tcW w:w="1134" w:type="dxa"/>
          </w:tcPr>
          <w:p w14:paraId="00000126" w14:textId="77777777" w:rsidR="00A95BBE" w:rsidRPr="00FF5657" w:rsidRDefault="008571C7" w:rsidP="00FF5657">
            <w:pPr>
              <w:spacing w:line="360" w:lineRule="auto"/>
              <w:ind w:firstLine="0"/>
              <w:jc w:val="center"/>
            </w:pPr>
            <w:r w:rsidRPr="00FF5657">
              <w:t>-,09</w:t>
            </w:r>
          </w:p>
        </w:tc>
        <w:tc>
          <w:tcPr>
            <w:tcW w:w="851" w:type="dxa"/>
          </w:tcPr>
          <w:p w14:paraId="00000127" w14:textId="77777777" w:rsidR="00A95BBE" w:rsidRPr="00FF5657" w:rsidRDefault="008571C7" w:rsidP="00FF5657">
            <w:pPr>
              <w:spacing w:line="360" w:lineRule="auto"/>
              <w:ind w:firstLine="0"/>
              <w:jc w:val="center"/>
            </w:pPr>
            <w:r w:rsidRPr="00FF5657">
              <w:t>-0,09</w:t>
            </w:r>
          </w:p>
        </w:tc>
        <w:tc>
          <w:tcPr>
            <w:tcW w:w="1134" w:type="dxa"/>
          </w:tcPr>
          <w:p w14:paraId="00000128" w14:textId="77777777" w:rsidR="00A95BBE" w:rsidRPr="00FF5657" w:rsidRDefault="008571C7" w:rsidP="00FF5657">
            <w:pPr>
              <w:spacing w:line="360" w:lineRule="auto"/>
              <w:ind w:firstLine="0"/>
              <w:jc w:val="center"/>
            </w:pPr>
            <w:r w:rsidRPr="00FF5657">
              <w:t>0,06</w:t>
            </w:r>
          </w:p>
        </w:tc>
      </w:tr>
      <w:tr w:rsidR="00A95BBE" w:rsidRPr="00FF5657" w14:paraId="15C481F8" w14:textId="77777777">
        <w:tc>
          <w:tcPr>
            <w:tcW w:w="2552" w:type="dxa"/>
          </w:tcPr>
          <w:p w14:paraId="00000129" w14:textId="1590A97A" w:rsidR="00A95BBE" w:rsidRPr="00FF5657" w:rsidRDefault="006E464E" w:rsidP="00FF5657">
            <w:pPr>
              <w:spacing w:line="360" w:lineRule="auto"/>
              <w:ind w:firstLine="0"/>
            </w:pPr>
            <w:r>
              <w:t>Heterossexism</w:t>
            </w:r>
          </w:p>
        </w:tc>
        <w:tc>
          <w:tcPr>
            <w:tcW w:w="992" w:type="dxa"/>
          </w:tcPr>
          <w:p w14:paraId="0000012A" w14:textId="77777777" w:rsidR="00A95BBE" w:rsidRPr="00FF5657" w:rsidRDefault="008571C7" w:rsidP="00FF5657">
            <w:pPr>
              <w:spacing w:line="360" w:lineRule="auto"/>
              <w:ind w:firstLine="0"/>
              <w:jc w:val="center"/>
            </w:pPr>
            <w:r w:rsidRPr="00FF5657">
              <w:t>0,10</w:t>
            </w:r>
            <w:r w:rsidRPr="00FF5657">
              <w:rPr>
                <w:vertAlign w:val="superscript"/>
              </w:rPr>
              <w:t>+</w:t>
            </w:r>
          </w:p>
        </w:tc>
        <w:tc>
          <w:tcPr>
            <w:tcW w:w="992" w:type="dxa"/>
          </w:tcPr>
          <w:p w14:paraId="0000012B" w14:textId="77777777" w:rsidR="00A95BBE" w:rsidRPr="00FF5657" w:rsidRDefault="008571C7" w:rsidP="00FF5657">
            <w:pPr>
              <w:spacing w:line="360" w:lineRule="auto"/>
              <w:ind w:firstLine="0"/>
              <w:jc w:val="center"/>
            </w:pPr>
            <w:r w:rsidRPr="00FF5657">
              <w:t>-0,02</w:t>
            </w:r>
          </w:p>
        </w:tc>
        <w:tc>
          <w:tcPr>
            <w:tcW w:w="993" w:type="dxa"/>
          </w:tcPr>
          <w:p w14:paraId="0000012C" w14:textId="77777777" w:rsidR="00A95BBE" w:rsidRPr="00FF5657" w:rsidRDefault="008571C7" w:rsidP="00FF5657">
            <w:pPr>
              <w:spacing w:line="360" w:lineRule="auto"/>
              <w:ind w:firstLine="0"/>
              <w:jc w:val="center"/>
            </w:pPr>
            <w:r w:rsidRPr="00FF5657">
              <w:t>0,09</w:t>
            </w:r>
          </w:p>
        </w:tc>
        <w:tc>
          <w:tcPr>
            <w:tcW w:w="1134" w:type="dxa"/>
          </w:tcPr>
          <w:p w14:paraId="0000012D" w14:textId="77777777" w:rsidR="00A95BBE" w:rsidRPr="00FF5657" w:rsidRDefault="008571C7" w:rsidP="00FF5657">
            <w:pPr>
              <w:spacing w:line="360" w:lineRule="auto"/>
              <w:ind w:firstLine="0"/>
              <w:jc w:val="center"/>
            </w:pPr>
            <w:r w:rsidRPr="00FF5657">
              <w:t>0,10</w:t>
            </w:r>
            <w:r w:rsidRPr="00FF5657">
              <w:rPr>
                <w:vertAlign w:val="superscript"/>
              </w:rPr>
              <w:t>+</w:t>
            </w:r>
          </w:p>
        </w:tc>
        <w:tc>
          <w:tcPr>
            <w:tcW w:w="992" w:type="dxa"/>
          </w:tcPr>
          <w:p w14:paraId="0000012E" w14:textId="77777777" w:rsidR="00A95BBE" w:rsidRPr="00FF5657" w:rsidRDefault="008571C7" w:rsidP="00FF5657">
            <w:pPr>
              <w:spacing w:line="360" w:lineRule="auto"/>
              <w:ind w:firstLine="0"/>
              <w:jc w:val="center"/>
            </w:pPr>
            <w:r w:rsidRPr="00FF5657">
              <w:t>0,09</w:t>
            </w:r>
          </w:p>
        </w:tc>
        <w:tc>
          <w:tcPr>
            <w:tcW w:w="1134" w:type="dxa"/>
          </w:tcPr>
          <w:p w14:paraId="0000012F" w14:textId="77777777" w:rsidR="00A95BBE" w:rsidRPr="00FF5657" w:rsidRDefault="008571C7" w:rsidP="00FF5657">
            <w:pPr>
              <w:spacing w:line="360" w:lineRule="auto"/>
              <w:ind w:firstLine="0"/>
              <w:jc w:val="center"/>
            </w:pPr>
            <w:r w:rsidRPr="00FF5657">
              <w:t>-0,02</w:t>
            </w:r>
          </w:p>
        </w:tc>
        <w:tc>
          <w:tcPr>
            <w:tcW w:w="1134" w:type="dxa"/>
          </w:tcPr>
          <w:p w14:paraId="00000130" w14:textId="77777777" w:rsidR="00A95BBE" w:rsidRPr="00FF5657" w:rsidRDefault="008571C7" w:rsidP="00FF5657">
            <w:pPr>
              <w:spacing w:line="360" w:lineRule="auto"/>
              <w:ind w:firstLine="0"/>
              <w:jc w:val="center"/>
            </w:pPr>
            <w:r w:rsidRPr="00FF5657">
              <w:t>0,01</w:t>
            </w:r>
          </w:p>
        </w:tc>
        <w:tc>
          <w:tcPr>
            <w:tcW w:w="850" w:type="dxa"/>
          </w:tcPr>
          <w:p w14:paraId="00000131" w14:textId="77777777" w:rsidR="00A95BBE" w:rsidRPr="00FF5657" w:rsidRDefault="008571C7" w:rsidP="00FF5657">
            <w:pPr>
              <w:spacing w:line="360" w:lineRule="auto"/>
              <w:ind w:firstLine="0"/>
              <w:jc w:val="center"/>
            </w:pPr>
            <w:r w:rsidRPr="00FF5657">
              <w:t>-0,05</w:t>
            </w:r>
          </w:p>
        </w:tc>
        <w:tc>
          <w:tcPr>
            <w:tcW w:w="1134" w:type="dxa"/>
          </w:tcPr>
          <w:p w14:paraId="00000132" w14:textId="77777777" w:rsidR="00A95BBE" w:rsidRPr="00FF5657" w:rsidRDefault="008571C7" w:rsidP="00FF5657">
            <w:pPr>
              <w:spacing w:line="360" w:lineRule="auto"/>
              <w:ind w:firstLine="0"/>
              <w:jc w:val="center"/>
            </w:pPr>
            <w:r w:rsidRPr="00FF5657">
              <w:t>-0,06</w:t>
            </w:r>
          </w:p>
        </w:tc>
        <w:tc>
          <w:tcPr>
            <w:tcW w:w="851" w:type="dxa"/>
          </w:tcPr>
          <w:p w14:paraId="00000133" w14:textId="77777777" w:rsidR="00A95BBE" w:rsidRPr="00FF5657" w:rsidRDefault="008571C7" w:rsidP="00FF5657">
            <w:pPr>
              <w:spacing w:line="360" w:lineRule="auto"/>
              <w:ind w:firstLine="0"/>
              <w:jc w:val="center"/>
            </w:pPr>
            <w:r w:rsidRPr="00FF5657">
              <w:t>0,01</w:t>
            </w:r>
          </w:p>
        </w:tc>
        <w:tc>
          <w:tcPr>
            <w:tcW w:w="1134" w:type="dxa"/>
          </w:tcPr>
          <w:p w14:paraId="00000134" w14:textId="77777777" w:rsidR="00A95BBE" w:rsidRPr="00FF5657" w:rsidRDefault="008571C7" w:rsidP="00FF5657">
            <w:pPr>
              <w:spacing w:line="360" w:lineRule="auto"/>
              <w:ind w:firstLine="0"/>
              <w:jc w:val="center"/>
            </w:pPr>
            <w:r w:rsidRPr="00FF5657">
              <w:t>0,10</w:t>
            </w:r>
          </w:p>
        </w:tc>
      </w:tr>
      <w:tr w:rsidR="00A95BBE" w:rsidRPr="00FF5657" w14:paraId="2EBAD313" w14:textId="77777777">
        <w:tc>
          <w:tcPr>
            <w:tcW w:w="2552" w:type="dxa"/>
          </w:tcPr>
          <w:p w14:paraId="00000135" w14:textId="1258BB60" w:rsidR="00A95BBE" w:rsidRPr="00FF5657" w:rsidRDefault="006E464E" w:rsidP="00FF5657">
            <w:pPr>
              <w:spacing w:line="360" w:lineRule="auto"/>
              <w:ind w:firstLine="0"/>
            </w:pPr>
            <w:r>
              <w:t>Ableism</w:t>
            </w:r>
          </w:p>
        </w:tc>
        <w:tc>
          <w:tcPr>
            <w:tcW w:w="992" w:type="dxa"/>
          </w:tcPr>
          <w:p w14:paraId="00000136" w14:textId="77777777" w:rsidR="00A95BBE" w:rsidRPr="00FF5657" w:rsidRDefault="008571C7" w:rsidP="00FF5657">
            <w:pPr>
              <w:spacing w:line="360" w:lineRule="auto"/>
              <w:ind w:firstLine="0"/>
              <w:jc w:val="center"/>
            </w:pPr>
            <w:r w:rsidRPr="00FF5657">
              <w:t>0,07</w:t>
            </w:r>
          </w:p>
        </w:tc>
        <w:tc>
          <w:tcPr>
            <w:tcW w:w="992" w:type="dxa"/>
          </w:tcPr>
          <w:p w14:paraId="00000137" w14:textId="77777777" w:rsidR="00A95BBE" w:rsidRPr="00FF5657" w:rsidRDefault="008571C7" w:rsidP="00FF5657">
            <w:pPr>
              <w:spacing w:line="360" w:lineRule="auto"/>
              <w:ind w:firstLine="0"/>
              <w:jc w:val="center"/>
            </w:pPr>
            <w:r w:rsidRPr="00FF5657">
              <w:t>0,09</w:t>
            </w:r>
          </w:p>
        </w:tc>
        <w:tc>
          <w:tcPr>
            <w:tcW w:w="993" w:type="dxa"/>
          </w:tcPr>
          <w:p w14:paraId="00000138" w14:textId="77777777" w:rsidR="00A95BBE" w:rsidRPr="00FF5657" w:rsidRDefault="008571C7" w:rsidP="00FF5657">
            <w:pPr>
              <w:spacing w:line="360" w:lineRule="auto"/>
              <w:ind w:firstLine="0"/>
              <w:jc w:val="center"/>
            </w:pPr>
            <w:r w:rsidRPr="00FF5657">
              <w:t>0,13*</w:t>
            </w:r>
          </w:p>
        </w:tc>
        <w:tc>
          <w:tcPr>
            <w:tcW w:w="1134" w:type="dxa"/>
          </w:tcPr>
          <w:p w14:paraId="00000139" w14:textId="77777777" w:rsidR="00A95BBE" w:rsidRPr="00FF5657" w:rsidRDefault="008571C7" w:rsidP="00FF5657">
            <w:pPr>
              <w:spacing w:line="360" w:lineRule="auto"/>
              <w:ind w:firstLine="0"/>
              <w:jc w:val="center"/>
            </w:pPr>
            <w:r w:rsidRPr="00FF5657">
              <w:t>0,05</w:t>
            </w:r>
          </w:p>
        </w:tc>
        <w:tc>
          <w:tcPr>
            <w:tcW w:w="992" w:type="dxa"/>
          </w:tcPr>
          <w:p w14:paraId="0000013A" w14:textId="77777777" w:rsidR="00A95BBE" w:rsidRPr="00FF5657" w:rsidRDefault="008571C7" w:rsidP="00FF5657">
            <w:pPr>
              <w:spacing w:line="360" w:lineRule="auto"/>
              <w:ind w:firstLine="0"/>
              <w:jc w:val="center"/>
            </w:pPr>
            <w:r w:rsidRPr="00FF5657">
              <w:t>0,09</w:t>
            </w:r>
          </w:p>
        </w:tc>
        <w:tc>
          <w:tcPr>
            <w:tcW w:w="1134" w:type="dxa"/>
          </w:tcPr>
          <w:p w14:paraId="0000013B" w14:textId="77777777" w:rsidR="00A95BBE" w:rsidRPr="00FF5657" w:rsidRDefault="008571C7" w:rsidP="00FF5657">
            <w:pPr>
              <w:spacing w:line="360" w:lineRule="auto"/>
              <w:ind w:firstLine="0"/>
              <w:jc w:val="center"/>
            </w:pPr>
            <w:r w:rsidRPr="00FF5657">
              <w:t>-0,12*</w:t>
            </w:r>
          </w:p>
        </w:tc>
        <w:tc>
          <w:tcPr>
            <w:tcW w:w="1134" w:type="dxa"/>
          </w:tcPr>
          <w:p w14:paraId="0000013C" w14:textId="77777777" w:rsidR="00A95BBE" w:rsidRPr="00FF5657" w:rsidRDefault="008571C7" w:rsidP="00FF5657">
            <w:pPr>
              <w:spacing w:line="360" w:lineRule="auto"/>
              <w:ind w:firstLine="0"/>
              <w:jc w:val="center"/>
            </w:pPr>
            <w:r w:rsidRPr="00FF5657">
              <w:t>0,05</w:t>
            </w:r>
          </w:p>
        </w:tc>
        <w:tc>
          <w:tcPr>
            <w:tcW w:w="850" w:type="dxa"/>
          </w:tcPr>
          <w:p w14:paraId="0000013D" w14:textId="77777777" w:rsidR="00A95BBE" w:rsidRPr="00FF5657" w:rsidRDefault="008571C7" w:rsidP="00FF5657">
            <w:pPr>
              <w:spacing w:line="360" w:lineRule="auto"/>
              <w:ind w:firstLine="0"/>
              <w:jc w:val="center"/>
            </w:pPr>
            <w:r w:rsidRPr="00FF5657">
              <w:t>-0,13*</w:t>
            </w:r>
          </w:p>
        </w:tc>
        <w:tc>
          <w:tcPr>
            <w:tcW w:w="1134" w:type="dxa"/>
          </w:tcPr>
          <w:p w14:paraId="0000013E" w14:textId="77777777" w:rsidR="00A95BBE" w:rsidRPr="00FF5657" w:rsidRDefault="008571C7" w:rsidP="00FF5657">
            <w:pPr>
              <w:spacing w:line="360" w:lineRule="auto"/>
              <w:ind w:firstLine="0"/>
              <w:jc w:val="center"/>
            </w:pPr>
            <w:r w:rsidRPr="00FF5657">
              <w:t>0,16**</w:t>
            </w:r>
          </w:p>
        </w:tc>
        <w:tc>
          <w:tcPr>
            <w:tcW w:w="851" w:type="dxa"/>
          </w:tcPr>
          <w:p w14:paraId="0000013F" w14:textId="77777777" w:rsidR="00A95BBE" w:rsidRPr="00FF5657" w:rsidRDefault="008571C7" w:rsidP="00FF5657">
            <w:pPr>
              <w:spacing w:line="360" w:lineRule="auto"/>
              <w:ind w:firstLine="0"/>
              <w:jc w:val="center"/>
            </w:pPr>
            <w:r w:rsidRPr="00FF5657">
              <w:t>0,00</w:t>
            </w:r>
          </w:p>
        </w:tc>
        <w:tc>
          <w:tcPr>
            <w:tcW w:w="1134" w:type="dxa"/>
          </w:tcPr>
          <w:p w14:paraId="00000140" w14:textId="77777777" w:rsidR="00A95BBE" w:rsidRPr="00FF5657" w:rsidRDefault="008571C7" w:rsidP="00FF5657">
            <w:pPr>
              <w:spacing w:line="360" w:lineRule="auto"/>
              <w:ind w:firstLine="0"/>
              <w:jc w:val="center"/>
            </w:pPr>
            <w:r w:rsidRPr="00FF5657">
              <w:t>-0,11</w:t>
            </w:r>
            <w:r w:rsidRPr="00FF5657">
              <w:rPr>
                <w:vertAlign w:val="superscript"/>
              </w:rPr>
              <w:t>+</w:t>
            </w:r>
          </w:p>
        </w:tc>
      </w:tr>
      <w:tr w:rsidR="00A95BBE" w:rsidRPr="00FF5657" w14:paraId="50403A6C" w14:textId="77777777">
        <w:tc>
          <w:tcPr>
            <w:tcW w:w="2552" w:type="dxa"/>
          </w:tcPr>
          <w:p w14:paraId="00000141" w14:textId="715D9EF9" w:rsidR="00A95BBE" w:rsidRPr="00FF5657" w:rsidRDefault="006E464E" w:rsidP="00FF5657">
            <w:pPr>
              <w:spacing w:line="360" w:lineRule="auto"/>
              <w:ind w:firstLine="0"/>
            </w:pPr>
            <w:r>
              <w:t>G</w:t>
            </w:r>
            <w:r w:rsidR="008571C7" w:rsidRPr="00FF5657">
              <w:t>enerali</w:t>
            </w:r>
            <w:r>
              <w:t>sed prejudice</w:t>
            </w:r>
          </w:p>
        </w:tc>
        <w:tc>
          <w:tcPr>
            <w:tcW w:w="992" w:type="dxa"/>
          </w:tcPr>
          <w:p w14:paraId="00000142" w14:textId="77777777" w:rsidR="00A95BBE" w:rsidRPr="00FF5657" w:rsidRDefault="008571C7" w:rsidP="00FF5657">
            <w:pPr>
              <w:spacing w:line="360" w:lineRule="auto"/>
              <w:ind w:firstLine="0"/>
              <w:jc w:val="center"/>
            </w:pPr>
            <w:r w:rsidRPr="00FF5657">
              <w:t>0,03</w:t>
            </w:r>
          </w:p>
        </w:tc>
        <w:tc>
          <w:tcPr>
            <w:tcW w:w="992" w:type="dxa"/>
          </w:tcPr>
          <w:p w14:paraId="00000143" w14:textId="77777777" w:rsidR="00A95BBE" w:rsidRPr="00FF5657" w:rsidRDefault="008571C7" w:rsidP="00FF5657">
            <w:pPr>
              <w:spacing w:line="360" w:lineRule="auto"/>
              <w:ind w:firstLine="0"/>
              <w:jc w:val="center"/>
              <w:rPr>
                <w:vertAlign w:val="superscript"/>
              </w:rPr>
            </w:pPr>
            <w:r w:rsidRPr="00FF5657">
              <w:t>-0,04</w:t>
            </w:r>
          </w:p>
        </w:tc>
        <w:tc>
          <w:tcPr>
            <w:tcW w:w="993" w:type="dxa"/>
          </w:tcPr>
          <w:p w14:paraId="00000144" w14:textId="77777777" w:rsidR="00A95BBE" w:rsidRPr="00FF5657" w:rsidRDefault="008571C7" w:rsidP="00FF5657">
            <w:pPr>
              <w:spacing w:line="360" w:lineRule="auto"/>
              <w:ind w:firstLine="0"/>
              <w:jc w:val="center"/>
            </w:pPr>
            <w:r w:rsidRPr="00FF5657">
              <w:t>-0,04</w:t>
            </w:r>
          </w:p>
        </w:tc>
        <w:tc>
          <w:tcPr>
            <w:tcW w:w="1134" w:type="dxa"/>
          </w:tcPr>
          <w:p w14:paraId="00000145" w14:textId="77777777" w:rsidR="00A95BBE" w:rsidRPr="00FF5657" w:rsidRDefault="008571C7" w:rsidP="00FF5657">
            <w:pPr>
              <w:spacing w:line="360" w:lineRule="auto"/>
              <w:ind w:firstLine="0"/>
              <w:jc w:val="center"/>
            </w:pPr>
            <w:r w:rsidRPr="00FF5657">
              <w:t>0,06</w:t>
            </w:r>
          </w:p>
        </w:tc>
        <w:tc>
          <w:tcPr>
            <w:tcW w:w="992" w:type="dxa"/>
          </w:tcPr>
          <w:p w14:paraId="00000146" w14:textId="77777777" w:rsidR="00A95BBE" w:rsidRPr="00FF5657" w:rsidRDefault="008571C7" w:rsidP="00FF5657">
            <w:pPr>
              <w:spacing w:line="360" w:lineRule="auto"/>
              <w:ind w:firstLine="0"/>
              <w:jc w:val="center"/>
            </w:pPr>
            <w:r w:rsidRPr="00FF5657">
              <w:t>-0,00</w:t>
            </w:r>
          </w:p>
        </w:tc>
        <w:tc>
          <w:tcPr>
            <w:tcW w:w="1134" w:type="dxa"/>
          </w:tcPr>
          <w:p w14:paraId="00000147" w14:textId="77777777" w:rsidR="00A95BBE" w:rsidRPr="00FF5657" w:rsidRDefault="008571C7" w:rsidP="00FF5657">
            <w:pPr>
              <w:spacing w:line="360" w:lineRule="auto"/>
              <w:ind w:firstLine="0"/>
              <w:jc w:val="center"/>
            </w:pPr>
            <w:r w:rsidRPr="00FF5657">
              <w:t>-0,01</w:t>
            </w:r>
          </w:p>
        </w:tc>
        <w:tc>
          <w:tcPr>
            <w:tcW w:w="1134" w:type="dxa"/>
          </w:tcPr>
          <w:p w14:paraId="00000148" w14:textId="77777777" w:rsidR="00A95BBE" w:rsidRPr="00FF5657" w:rsidRDefault="008571C7" w:rsidP="00FF5657">
            <w:pPr>
              <w:spacing w:line="360" w:lineRule="auto"/>
              <w:ind w:firstLine="0"/>
              <w:jc w:val="center"/>
            </w:pPr>
            <w:r w:rsidRPr="00FF5657">
              <w:t>-0,02</w:t>
            </w:r>
          </w:p>
        </w:tc>
        <w:tc>
          <w:tcPr>
            <w:tcW w:w="850" w:type="dxa"/>
          </w:tcPr>
          <w:p w14:paraId="00000149" w14:textId="77777777" w:rsidR="00A95BBE" w:rsidRPr="00FF5657" w:rsidRDefault="008571C7" w:rsidP="00FF5657">
            <w:pPr>
              <w:spacing w:line="360" w:lineRule="auto"/>
              <w:ind w:firstLine="0"/>
              <w:jc w:val="center"/>
            </w:pPr>
            <w:r w:rsidRPr="00FF5657">
              <w:t>0,01</w:t>
            </w:r>
          </w:p>
        </w:tc>
        <w:tc>
          <w:tcPr>
            <w:tcW w:w="1134" w:type="dxa"/>
          </w:tcPr>
          <w:p w14:paraId="0000014A" w14:textId="77777777" w:rsidR="00A95BBE" w:rsidRPr="00FF5657" w:rsidRDefault="008571C7" w:rsidP="00FF5657">
            <w:pPr>
              <w:spacing w:line="360" w:lineRule="auto"/>
              <w:ind w:firstLine="0"/>
              <w:jc w:val="center"/>
            </w:pPr>
            <w:r w:rsidRPr="00FF5657">
              <w:t>-0,08</w:t>
            </w:r>
          </w:p>
        </w:tc>
        <w:tc>
          <w:tcPr>
            <w:tcW w:w="851" w:type="dxa"/>
          </w:tcPr>
          <w:p w14:paraId="0000014B" w14:textId="77777777" w:rsidR="00A95BBE" w:rsidRPr="00FF5657" w:rsidRDefault="008571C7" w:rsidP="00FF5657">
            <w:pPr>
              <w:spacing w:line="360" w:lineRule="auto"/>
              <w:ind w:firstLine="0"/>
              <w:jc w:val="center"/>
            </w:pPr>
            <w:r w:rsidRPr="00FF5657">
              <w:t>-0,04</w:t>
            </w:r>
          </w:p>
        </w:tc>
        <w:tc>
          <w:tcPr>
            <w:tcW w:w="1134" w:type="dxa"/>
          </w:tcPr>
          <w:p w14:paraId="0000014C" w14:textId="77777777" w:rsidR="00A95BBE" w:rsidRPr="00FF5657" w:rsidRDefault="008571C7" w:rsidP="00FF5657">
            <w:pPr>
              <w:spacing w:line="360" w:lineRule="auto"/>
              <w:ind w:firstLine="0"/>
              <w:jc w:val="center"/>
            </w:pPr>
            <w:r w:rsidRPr="00FF5657">
              <w:t>0,13*</w:t>
            </w:r>
          </w:p>
        </w:tc>
      </w:tr>
    </w:tbl>
    <w:p w14:paraId="0000014D" w14:textId="77777777" w:rsidR="00A95BBE" w:rsidRPr="00FF5657" w:rsidRDefault="008571C7" w:rsidP="00FF5657">
      <w:pPr>
        <w:ind w:firstLine="0"/>
      </w:pPr>
      <w:r w:rsidRPr="00FF5657">
        <w:t xml:space="preserve">+ </w:t>
      </w:r>
      <w:r w:rsidRPr="00FF5657">
        <w:rPr>
          <w:i/>
        </w:rPr>
        <w:t xml:space="preserve">p </w:t>
      </w:r>
      <w:r w:rsidRPr="00FF5657">
        <w:t xml:space="preserve">&lt; 0,10; * </w:t>
      </w:r>
      <w:r w:rsidRPr="00FF5657">
        <w:rPr>
          <w:i/>
        </w:rPr>
        <w:t xml:space="preserve">p </w:t>
      </w:r>
      <w:r w:rsidRPr="00FF5657">
        <w:t xml:space="preserve">&lt; 0,5; ** </w:t>
      </w:r>
      <w:r w:rsidRPr="00FF5657">
        <w:rPr>
          <w:i/>
        </w:rPr>
        <w:t xml:space="preserve">p </w:t>
      </w:r>
      <w:r w:rsidRPr="00FF5657">
        <w:t xml:space="preserve">&lt; 0,01; *** </w:t>
      </w:r>
      <w:r w:rsidRPr="00FF5657">
        <w:rPr>
          <w:i/>
        </w:rPr>
        <w:t>p</w:t>
      </w:r>
      <w:r w:rsidRPr="00FF5657">
        <w:t xml:space="preserve"> &lt; 0,001</w:t>
      </w:r>
    </w:p>
    <w:p w14:paraId="0000014E" w14:textId="77777777" w:rsidR="00A95BBE" w:rsidRPr="00FF5657" w:rsidRDefault="00A95BBE" w:rsidP="00FF5657">
      <w:pPr>
        <w:ind w:firstLine="708"/>
        <w:sectPr w:rsidR="00A95BBE" w:rsidRPr="00FF5657">
          <w:pgSz w:w="16838" w:h="11906" w:orient="landscape"/>
          <w:pgMar w:top="1701" w:right="1417" w:bottom="1701" w:left="1417" w:header="708" w:footer="708" w:gutter="0"/>
          <w:cols w:space="720"/>
        </w:sectPr>
      </w:pPr>
    </w:p>
    <w:p w14:paraId="7B26A0D2" w14:textId="10D60AE0" w:rsidR="000C4455" w:rsidRPr="000C4455" w:rsidRDefault="000C4455" w:rsidP="000C4455">
      <w:pPr>
        <w:jc w:val="center"/>
        <w:rPr>
          <w:b/>
          <w:bCs/>
        </w:rPr>
      </w:pPr>
      <w:r w:rsidRPr="000C4455">
        <w:rPr>
          <w:b/>
          <w:bCs/>
        </w:rPr>
        <w:lastRenderedPageBreak/>
        <w:t>Conclusions</w:t>
      </w:r>
    </w:p>
    <w:p w14:paraId="13F48503" w14:textId="77B3F1B9" w:rsidR="000C4455" w:rsidRPr="001C5257" w:rsidRDefault="000C4455" w:rsidP="000C4455">
      <w:pPr>
        <w:rPr>
          <w:lang w:val="en-GB"/>
        </w:rPr>
      </w:pPr>
      <w:r w:rsidRPr="001C5257">
        <w:rPr>
          <w:lang w:val="en-GB"/>
        </w:rPr>
        <w:t>The results of this study show that prejudice against social minorities is widespread in Brazil. The scores for prejudice against different groups – including black people, LGBTQIAP+ people, overweight people, women, older people and people with disabilities – showed strong positive correlations. This result confirms the theoretical assumption that prejudice against one minority group tends to be repeated in relation to others. It is important to emphasise that the patterns of correlation between the different prejudices do not indicate that they have a common cause (Bergh &amp; Brandt, 2023)</w:t>
      </w:r>
      <w:r w:rsidR="005C6427" w:rsidRPr="001C5257">
        <w:rPr>
          <w:lang w:val="en-GB"/>
        </w:rPr>
        <w:t>. R</w:t>
      </w:r>
      <w:r w:rsidRPr="001C5257">
        <w:rPr>
          <w:lang w:val="en-GB"/>
        </w:rPr>
        <w:t>ather, there are more general elements in their expressions, one of which is the portrayal of groups as d</w:t>
      </w:r>
      <w:r w:rsidR="005C6427" w:rsidRPr="001C5257">
        <w:rPr>
          <w:lang w:val="en-GB"/>
        </w:rPr>
        <w:t>issidents</w:t>
      </w:r>
      <w:r w:rsidRPr="001C5257">
        <w:rPr>
          <w:lang w:val="en-GB"/>
        </w:rPr>
        <w:t>, dangerous and/or de</w:t>
      </w:r>
      <w:r w:rsidR="005C6427" w:rsidRPr="001C5257">
        <w:rPr>
          <w:lang w:val="en-GB"/>
        </w:rPr>
        <w:t>rogated</w:t>
      </w:r>
      <w:r w:rsidRPr="001C5257">
        <w:rPr>
          <w:lang w:val="en-GB"/>
        </w:rPr>
        <w:t xml:space="preserve"> (Duckitt, 2001).</w:t>
      </w:r>
    </w:p>
    <w:p w14:paraId="269F8D26" w14:textId="44080C65" w:rsidR="000C4455" w:rsidRPr="00242A4F" w:rsidRDefault="000C4455" w:rsidP="000C4455">
      <w:pPr>
        <w:rPr>
          <w:lang w:val="en-GB"/>
        </w:rPr>
      </w:pPr>
      <w:r w:rsidRPr="001C5257">
        <w:rPr>
          <w:lang w:val="en-GB"/>
        </w:rPr>
        <w:t xml:space="preserve">In particular, it has been found that while racial prejudice has less consistent relationships with other types of prejudice, demonstrating that it is a more specific expression, the hierarchy of stigmatised groups points to Black people as the most victimised and dangerous minority. The analyses also showed the hybrid nature of prejudices </w:t>
      </w:r>
      <w:r w:rsidR="005C6427" w:rsidRPr="001C5257">
        <w:rPr>
          <w:lang w:val="en-GB"/>
        </w:rPr>
        <w:t>that</w:t>
      </w:r>
      <w:r w:rsidRPr="001C5257">
        <w:rPr>
          <w:lang w:val="en-GB"/>
        </w:rPr>
        <w:t xml:space="preserve"> reflects underlying factors, in some ways similar to the famous “G-factor" ” of intelligence. The items that measured sexism, particularly its most hostile aspect, and heterosexism were integrated into a dimension of “masculinist” prejudice against women and atypical people. This dimension also includes all items related to fatphobia, more than half of the items related to ageism, and 20% of ableism. In other words, it is a generalised prejudice anchored in a logic of control over bodies and behaviour based on the idea of the incapacity and lack of agency of others: Women-LGBTs-fat people-older people. This generalised prejudice accounted for 63% of all prejudices studied. It is important to note that this masculinist</w:t>
      </w:r>
      <w:r w:rsidRPr="00242A4F">
        <w:rPr>
          <w:lang w:val="en-GB"/>
        </w:rPr>
        <w:t xml:space="preserve">-moralist axis was not influenced by participants' gender, age, sexual identity or BMI. </w:t>
      </w:r>
      <w:r w:rsidR="00242A4F" w:rsidRPr="00242A4F">
        <w:rPr>
          <w:lang w:val="en-GB"/>
        </w:rPr>
        <w:t xml:space="preserve">Studies have shown that </w:t>
      </w:r>
      <w:r w:rsidR="00242A4F" w:rsidRPr="00242A4F">
        <w:rPr>
          <w:rFonts w:eastAsia="MinionPro-Regular"/>
          <w:lang w:val="en-GB"/>
        </w:rPr>
        <w:t xml:space="preserve">those who score high on generalised prejudice are less inclined to ingroup favouritism, </w:t>
      </w:r>
      <w:r w:rsidR="00242A4F" w:rsidRPr="00242A4F">
        <w:rPr>
          <w:lang w:val="en-GB"/>
        </w:rPr>
        <w:t>devaluing their own groups (</w:t>
      </w:r>
      <w:r w:rsidR="00242A4F" w:rsidRPr="00242A4F">
        <w:rPr>
          <w:rFonts w:eastAsia="MinionPro-Regular"/>
          <w:lang w:val="en-GB"/>
        </w:rPr>
        <w:t>Bergh et al., 2016)</w:t>
      </w:r>
      <w:r w:rsidR="00242A4F" w:rsidRPr="00242A4F">
        <w:rPr>
          <w:lang w:val="en-GB"/>
        </w:rPr>
        <w:t xml:space="preserve">. </w:t>
      </w:r>
      <w:r w:rsidRPr="00242A4F">
        <w:rPr>
          <w:lang w:val="en-GB"/>
        </w:rPr>
        <w:t>Finally, the most hybrid prejudice factor, factor 4, integrated benevolent sexism with ableism and some age-related items to construct a paternalistic dimension with 'disabled' groups that should be taken care of. The “purest” or most specific factor integrated racial prejudice with a</w:t>
      </w:r>
      <w:r w:rsidR="00242A4F" w:rsidRPr="00242A4F">
        <w:rPr>
          <w:lang w:val="en-GB"/>
        </w:rPr>
        <w:t>n</w:t>
      </w:r>
      <w:r w:rsidRPr="00242A4F">
        <w:rPr>
          <w:lang w:val="en-GB"/>
        </w:rPr>
        <w:t xml:space="preserve"> </w:t>
      </w:r>
      <w:r w:rsidR="00BB4F72" w:rsidRPr="00242A4F">
        <w:rPr>
          <w:lang w:val="en-GB"/>
        </w:rPr>
        <w:t>ableism</w:t>
      </w:r>
      <w:r w:rsidRPr="00242A4F">
        <w:rPr>
          <w:lang w:val="en-GB"/>
        </w:rPr>
        <w:t xml:space="preserve"> item.</w:t>
      </w:r>
    </w:p>
    <w:p w14:paraId="51F6A21A" w14:textId="5B7746B2" w:rsidR="000C4455" w:rsidRPr="001C5257" w:rsidRDefault="000C4455" w:rsidP="000C4455">
      <w:pPr>
        <w:rPr>
          <w:lang w:val="en-GB"/>
        </w:rPr>
      </w:pPr>
      <w:r w:rsidRPr="001C5257">
        <w:rPr>
          <w:lang w:val="en-GB"/>
        </w:rPr>
        <w:t xml:space="preserve">Furthermore, we were </w:t>
      </w:r>
      <w:r w:rsidR="00BB4F72" w:rsidRPr="001C5257">
        <w:rPr>
          <w:lang w:val="en-GB"/>
        </w:rPr>
        <w:t>capable of</w:t>
      </w:r>
      <w:r w:rsidRPr="001C5257">
        <w:rPr>
          <w:lang w:val="en-GB"/>
        </w:rPr>
        <w:t xml:space="preserve"> to derive the specific and common components of each form of prejudice from the analyses and highlight the possible differentiation of socio-demographic variables. These findings highlight the importance of considering contextual and ideological factors </w:t>
      </w:r>
      <w:r w:rsidR="00BB4F72" w:rsidRPr="001C5257">
        <w:rPr>
          <w:lang w:val="en-GB"/>
        </w:rPr>
        <w:t xml:space="preserve">in addition to individual factors that have been demonstrated in the literature, such as </w:t>
      </w:r>
      <w:r w:rsidRPr="001C5257">
        <w:rPr>
          <w:lang w:val="en-GB"/>
        </w:rPr>
        <w:t xml:space="preserve">social dominance orientation and right-wing </w:t>
      </w:r>
      <w:r w:rsidRPr="001C5257">
        <w:rPr>
          <w:lang w:val="en-GB"/>
        </w:rPr>
        <w:lastRenderedPageBreak/>
        <w:t>authoritarianism, in order to understand the mechanisms underlying generalised prejudice.</w:t>
      </w:r>
    </w:p>
    <w:p w14:paraId="7DB59B3B" w14:textId="0DC1FC45" w:rsidR="000C4455" w:rsidRPr="001C5257" w:rsidRDefault="000C4455" w:rsidP="000C4455">
      <w:pPr>
        <w:rPr>
          <w:lang w:val="en-GB"/>
        </w:rPr>
      </w:pPr>
      <w:r w:rsidRPr="001C5257">
        <w:rPr>
          <w:lang w:val="en-GB"/>
        </w:rPr>
        <w:t xml:space="preserve">However, the only </w:t>
      </w:r>
      <w:r w:rsidR="00B603B8" w:rsidRPr="001C5257">
        <w:rPr>
          <w:lang w:val="en-GB"/>
        </w:rPr>
        <w:t>variable</w:t>
      </w:r>
      <w:r w:rsidRPr="001C5257">
        <w:rPr>
          <w:lang w:val="en-GB"/>
        </w:rPr>
        <w:t xml:space="preserve"> consistently associated with generalised prejudice in the present study was position on the right of the political spectrum. These data most likely reflect the perception that the minorities studied share different values from those espoused by the moral and political conservatism that characterises the political right, as proposed by the dual process approach (Duckitt &amp; Sibley, 2007), which assumes that phenomena such as right-wing authoritarianism are part of the psychological and ideological mechanisms underlying widespread prejudice.</w:t>
      </w:r>
    </w:p>
    <w:p w14:paraId="3B1113D4" w14:textId="77777777" w:rsidR="000C4455" w:rsidRPr="001C5257" w:rsidRDefault="000C4455" w:rsidP="000C4455">
      <w:pPr>
        <w:rPr>
          <w:lang w:val="en-GB"/>
        </w:rPr>
      </w:pPr>
      <w:r w:rsidRPr="001C5257">
        <w:rPr>
          <w:lang w:val="en-GB"/>
        </w:rPr>
        <w:t>Although this study has made progress in understanding widespread prejudice in Brazil, there are some limitations that deserve attention. One of these concerns the nature of the sampling (convenience sampling), which leads to weighting in the generalisation of the data found. In addition, the use of self-report may have led to social desirability bias, as participants underestimated the extent of their biases. Finally, the inclusion of only six types of prejudice may not capture the full complexity of the phenomenon in the Brazilian context.</w:t>
      </w:r>
    </w:p>
    <w:p w14:paraId="19328D5A" w14:textId="78D61A71" w:rsidR="000C4455" w:rsidRPr="001C5257" w:rsidRDefault="000C4455" w:rsidP="000C4455">
      <w:pPr>
        <w:rPr>
          <w:lang w:val="en-GB"/>
        </w:rPr>
      </w:pPr>
      <w:r w:rsidRPr="001C5257">
        <w:rPr>
          <w:lang w:val="en-GB"/>
        </w:rPr>
        <w:t xml:space="preserve">Progress in the studies on </w:t>
      </w:r>
      <w:r w:rsidR="00B603B8" w:rsidRPr="001C5257">
        <w:rPr>
          <w:lang w:val="en-GB"/>
        </w:rPr>
        <w:t>generalised</w:t>
      </w:r>
      <w:r w:rsidRPr="001C5257">
        <w:rPr>
          <w:lang w:val="en-GB"/>
        </w:rPr>
        <w:t xml:space="preserve"> prejudice will have practical implications for the development of more precise and effective measures to combat the different forms of prejudice. Psychoeducational and awareness-raising programmes on diversity and inclusion, especially in schools and organisations, can help to mitigate manifestations of </w:t>
      </w:r>
      <w:r w:rsidR="00B603B8" w:rsidRPr="001C5257">
        <w:rPr>
          <w:lang w:val="en-GB"/>
        </w:rPr>
        <w:t>generalised</w:t>
      </w:r>
      <w:r w:rsidRPr="001C5257">
        <w:rPr>
          <w:lang w:val="en-GB"/>
        </w:rPr>
        <w:t xml:space="preserve"> prejudice. Finally, from a practical perspective, understanding the links between different types of prejudice can lead to prejudice reduction interventions taking a multifaceted approach that addresses both specific manifestations of discrimination and the underlying mechanisms that promote a pervasive pattern of hostility.</w:t>
      </w:r>
    </w:p>
    <w:p w14:paraId="4E22D464" w14:textId="77777777" w:rsidR="000C4455" w:rsidRPr="001C5257" w:rsidRDefault="000C4455" w:rsidP="000C4455">
      <w:pPr>
        <w:ind w:firstLine="0"/>
        <w:jc w:val="center"/>
        <w:rPr>
          <w:b/>
          <w:bCs/>
          <w:lang w:val="en-GB"/>
        </w:rPr>
      </w:pPr>
    </w:p>
    <w:p w14:paraId="100D8222" w14:textId="4510A696" w:rsidR="000C4455" w:rsidRPr="001C5257" w:rsidRDefault="000C4455">
      <w:pPr>
        <w:rPr>
          <w:b/>
          <w:bCs/>
          <w:lang w:val="en-GB"/>
        </w:rPr>
      </w:pPr>
    </w:p>
    <w:p w14:paraId="61A4D3AC" w14:textId="7E6BFE73" w:rsidR="000C4455" w:rsidRPr="001C5257" w:rsidRDefault="000C4455" w:rsidP="000C4455">
      <w:pPr>
        <w:ind w:firstLine="0"/>
        <w:jc w:val="center"/>
        <w:rPr>
          <w:b/>
          <w:bCs/>
          <w:lang w:val="en-GB"/>
        </w:rPr>
      </w:pPr>
      <w:r w:rsidRPr="001C5257">
        <w:rPr>
          <w:b/>
          <w:bCs/>
          <w:lang w:val="en-GB"/>
        </w:rPr>
        <w:t>References</w:t>
      </w:r>
    </w:p>
    <w:p w14:paraId="26221DCD" w14:textId="07F1C87B" w:rsidR="00420BBE" w:rsidRPr="001C5257" w:rsidRDefault="00420BBE" w:rsidP="008F0DE5">
      <w:pPr>
        <w:widowControl/>
        <w:ind w:left="426" w:hanging="567"/>
        <w:rPr>
          <w:lang w:val="en-GB"/>
        </w:rPr>
      </w:pPr>
      <w:r w:rsidRPr="001C5257">
        <w:rPr>
          <w:lang w:val="en-GB"/>
        </w:rPr>
        <w:t xml:space="preserve">Adorno, T. W., Frenkel-Brunswick, E., Levinson, D. J. &amp; Sanford, R. N. (1950). </w:t>
      </w:r>
      <w:r w:rsidRPr="001C5257">
        <w:rPr>
          <w:i/>
          <w:lang w:val="en-GB"/>
        </w:rPr>
        <w:t>The authoritarian personality</w:t>
      </w:r>
      <w:r w:rsidRPr="001C5257">
        <w:rPr>
          <w:lang w:val="en-GB"/>
        </w:rPr>
        <w:t>. New York: Harper.</w:t>
      </w:r>
    </w:p>
    <w:p w14:paraId="4014EF3C" w14:textId="76841D55" w:rsidR="00FF5657" w:rsidRPr="001C5257" w:rsidRDefault="00420BBE" w:rsidP="008F0DE5">
      <w:pPr>
        <w:ind w:left="426" w:hanging="567"/>
        <w:rPr>
          <w:lang w:val="en-GB"/>
        </w:rPr>
      </w:pPr>
      <w:r w:rsidRPr="001C5257">
        <w:rPr>
          <w:lang w:val="en-GB"/>
        </w:rPr>
        <w:t xml:space="preserve">Akrami, N., Ekehammar, B., &amp; Bergh, R. (2011). Generalized Prejudice: Common and Specific Components. </w:t>
      </w:r>
      <w:r w:rsidRPr="001C5257">
        <w:rPr>
          <w:i/>
          <w:lang w:val="en-GB"/>
        </w:rPr>
        <w:t>Psychological Science</w:t>
      </w:r>
      <w:r w:rsidRPr="001C5257">
        <w:rPr>
          <w:lang w:val="en-GB"/>
        </w:rPr>
        <w:t xml:space="preserve">, </w:t>
      </w:r>
      <w:r w:rsidRPr="001C5257">
        <w:rPr>
          <w:i/>
          <w:lang w:val="en-GB"/>
        </w:rPr>
        <w:t>22</w:t>
      </w:r>
      <w:r w:rsidRPr="001C5257">
        <w:rPr>
          <w:lang w:val="en-GB"/>
        </w:rPr>
        <w:t xml:space="preserve">(1), 57-59. </w:t>
      </w:r>
      <w:hyperlink r:id="rId9" w:history="1">
        <w:r w:rsidR="00FF5657" w:rsidRPr="001C5257">
          <w:rPr>
            <w:rStyle w:val="Hyperlink"/>
            <w:u w:val="none"/>
            <w:lang w:val="en-GB"/>
          </w:rPr>
          <w:t>https://doi.org/10.1177/0956797610390384</w:t>
        </w:r>
      </w:hyperlink>
    </w:p>
    <w:p w14:paraId="2F5B5C54" w14:textId="77777777" w:rsidR="00420BBE" w:rsidRPr="00FF5657" w:rsidRDefault="00420BBE" w:rsidP="008F0DE5">
      <w:pPr>
        <w:ind w:left="426" w:hanging="567"/>
        <w:rPr>
          <w:lang w:val="en-AU"/>
        </w:rPr>
      </w:pPr>
      <w:r w:rsidRPr="001C5257">
        <w:rPr>
          <w:lang w:val="en-GB"/>
        </w:rPr>
        <w:t xml:space="preserve">Allport, G. W. (1954/1979). </w:t>
      </w:r>
      <w:r w:rsidRPr="001C5257">
        <w:rPr>
          <w:i/>
          <w:lang w:val="en-GB"/>
        </w:rPr>
        <w:t>The nature of prejudice</w:t>
      </w:r>
      <w:r w:rsidRPr="001C5257">
        <w:rPr>
          <w:lang w:val="en-GB"/>
        </w:rPr>
        <w:t>. 3ª Ed. Wokingham: Addison-Wesley.</w:t>
      </w:r>
    </w:p>
    <w:p w14:paraId="5A912264" w14:textId="4DF25048" w:rsidR="00FF5657" w:rsidRPr="005C6DC5" w:rsidRDefault="00420BBE" w:rsidP="008F0DE5">
      <w:pPr>
        <w:ind w:left="426" w:hanging="567"/>
        <w:rPr>
          <w:shd w:val="clear" w:color="auto" w:fill="FFFFFF"/>
        </w:rPr>
      </w:pPr>
      <w:r w:rsidRPr="00FF5657">
        <w:rPr>
          <w:shd w:val="clear" w:color="auto" w:fill="FFFFFF"/>
        </w:rPr>
        <w:t xml:space="preserve">Alvarenga, M. D. S., Obara, A. A., Takeda, G. A., &amp; Ferreira-Vivolo, S. R. G. (2022). </w:t>
      </w:r>
      <w:r w:rsidRPr="001C5257">
        <w:rPr>
          <w:shd w:val="clear" w:color="auto" w:fill="FFFFFF"/>
          <w:lang w:val="en-GB"/>
        </w:rPr>
        <w:lastRenderedPageBreak/>
        <w:t xml:space="preserve">Anti-fat attitudes of Nutrition undergraduates in Brazil toward individuals with obesity. </w:t>
      </w:r>
      <w:r w:rsidRPr="00FF5657">
        <w:rPr>
          <w:i/>
          <w:iCs/>
          <w:shd w:val="clear" w:color="auto" w:fill="FFFFFF"/>
        </w:rPr>
        <w:t>Ciencia &amp; saude coletiva</w:t>
      </w:r>
      <w:r w:rsidRPr="00FF5657">
        <w:rPr>
          <w:shd w:val="clear" w:color="auto" w:fill="FFFFFF"/>
        </w:rPr>
        <w:t>, </w:t>
      </w:r>
      <w:r w:rsidRPr="00FF5657">
        <w:rPr>
          <w:i/>
          <w:iCs/>
          <w:shd w:val="clear" w:color="auto" w:fill="FFFFFF"/>
        </w:rPr>
        <w:t>27</w:t>
      </w:r>
      <w:r w:rsidRPr="00FF5657">
        <w:rPr>
          <w:shd w:val="clear" w:color="auto" w:fill="FFFFFF"/>
        </w:rPr>
        <w:t xml:space="preserve">(2), 747–760. </w:t>
      </w:r>
      <w:hyperlink r:id="rId10" w:history="1">
        <w:r w:rsidR="00FF5657" w:rsidRPr="005C6DC5">
          <w:rPr>
            <w:rStyle w:val="Hyperlink"/>
            <w:u w:val="none"/>
            <w:shd w:val="clear" w:color="auto" w:fill="FFFFFF"/>
          </w:rPr>
          <w:t>https://doi.org/10.1590/1413-81232022272.02342021</w:t>
        </w:r>
      </w:hyperlink>
    </w:p>
    <w:p w14:paraId="7F82A205" w14:textId="77777777" w:rsidR="00420BBE" w:rsidRPr="001C5257" w:rsidRDefault="00420BBE" w:rsidP="008F0DE5">
      <w:pPr>
        <w:ind w:left="426" w:hanging="567"/>
        <w:rPr>
          <w:i/>
          <w:highlight w:val="white"/>
          <w:lang w:val="en-GB"/>
        </w:rPr>
      </w:pPr>
      <w:r w:rsidRPr="006B7CCA">
        <w:rPr>
          <w:highlight w:val="white"/>
        </w:rPr>
        <w:t xml:space="preserve">Asbrock, F., Sibley, C. G., &amp; Duckitt, J. (2010). </w:t>
      </w:r>
      <w:r w:rsidRPr="00FF5657">
        <w:rPr>
          <w:iCs/>
          <w:highlight w:val="white"/>
          <w:lang w:val="en-AU"/>
        </w:rPr>
        <w:t>Right-wing authoritarianism and social dominance orientation and the dimensions of generalized prejudice: A longitudinal test</w:t>
      </w:r>
      <w:r w:rsidRPr="00FF5657">
        <w:rPr>
          <w:i/>
          <w:highlight w:val="white"/>
          <w:lang w:val="en-AU"/>
        </w:rPr>
        <w:t xml:space="preserve">. </w:t>
      </w:r>
      <w:r w:rsidRPr="001C5257">
        <w:rPr>
          <w:i/>
          <w:highlight w:val="white"/>
          <w:lang w:val="en-GB"/>
        </w:rPr>
        <w:t xml:space="preserve">European Journal of Personality, </w:t>
      </w:r>
      <w:r w:rsidRPr="001C5257">
        <w:rPr>
          <w:i/>
          <w:lang w:val="en-GB"/>
        </w:rPr>
        <w:t xml:space="preserve">24. </w:t>
      </w:r>
      <w:r w:rsidRPr="001C5257">
        <w:rPr>
          <w:lang w:val="en-GB"/>
        </w:rPr>
        <w:t>DOI: 10.1002/per.746.</w:t>
      </w:r>
    </w:p>
    <w:p w14:paraId="67137F6C" w14:textId="310AF803" w:rsidR="00420BBE" w:rsidRPr="001C5257" w:rsidRDefault="00420BBE" w:rsidP="008F0DE5">
      <w:pPr>
        <w:widowControl/>
        <w:ind w:left="426" w:hanging="567"/>
        <w:rPr>
          <w:lang w:val="en-GB"/>
        </w:rPr>
      </w:pPr>
      <w:r w:rsidRPr="001C5257">
        <w:rPr>
          <w:lang w:val="en-GB"/>
        </w:rPr>
        <w:t>Becker, J. C., &amp; Sibley, C. G. (2016). Sexism. In T. D. Nelson (Ed.), </w:t>
      </w:r>
      <w:r w:rsidRPr="001C5257">
        <w:rPr>
          <w:i/>
          <w:iCs/>
          <w:lang w:val="en-GB"/>
        </w:rPr>
        <w:t>Handbook of prejudice, stereotyping, and discrimination</w:t>
      </w:r>
      <w:r w:rsidR="00FF5657" w:rsidRPr="001C5257">
        <w:rPr>
          <w:i/>
          <w:iCs/>
          <w:lang w:val="en-GB"/>
        </w:rPr>
        <w:t xml:space="preserve"> </w:t>
      </w:r>
      <w:r w:rsidRPr="001C5257">
        <w:rPr>
          <w:lang w:val="en-GB"/>
        </w:rPr>
        <w:t>(2nd ed., pp. 315–336). Psychology Press.</w:t>
      </w:r>
    </w:p>
    <w:p w14:paraId="0C8514B6" w14:textId="604AC433" w:rsidR="00FF5657" w:rsidRPr="001C5257" w:rsidRDefault="00420BBE" w:rsidP="008F0DE5">
      <w:pPr>
        <w:ind w:left="426" w:hanging="567"/>
        <w:rPr>
          <w:rStyle w:val="Hyperlink"/>
          <w:color w:val="auto"/>
          <w:u w:val="none"/>
          <w:shd w:val="clear" w:color="auto" w:fill="FFFFFF"/>
          <w:lang w:val="en-GB"/>
        </w:rPr>
      </w:pPr>
      <w:r w:rsidRPr="001C5257">
        <w:rPr>
          <w:shd w:val="clear" w:color="auto" w:fill="FFFFFF"/>
          <w:lang w:val="en-GB"/>
        </w:rPr>
        <w:t>Bergh, R., &amp; Akrami, N. (2016). Are non-agreeable individuals prejudiced? Comparing different conceptualizations of agreeableness.</w:t>
      </w:r>
      <w:r w:rsidR="00FF5657" w:rsidRPr="001C5257">
        <w:rPr>
          <w:shd w:val="clear" w:color="auto" w:fill="FFFFFF"/>
          <w:lang w:val="en-GB"/>
        </w:rPr>
        <w:t xml:space="preserve"> </w:t>
      </w:r>
      <w:r w:rsidRPr="001C5257">
        <w:rPr>
          <w:rStyle w:val="nfase"/>
          <w:shd w:val="clear" w:color="auto" w:fill="FFFFFF"/>
          <w:lang w:val="en-GB"/>
        </w:rPr>
        <w:t>Personality and Individual Differences, 101,</w:t>
      </w:r>
      <w:r w:rsidRPr="001C5257">
        <w:rPr>
          <w:shd w:val="clear" w:color="auto" w:fill="FFFFFF"/>
          <w:lang w:val="en-GB"/>
        </w:rPr>
        <w:t> 153–159.</w:t>
      </w:r>
      <w:r w:rsidR="00FF5657" w:rsidRPr="001C5257">
        <w:rPr>
          <w:shd w:val="clear" w:color="auto" w:fill="FFFFFF"/>
          <w:lang w:val="en-GB"/>
        </w:rPr>
        <w:t xml:space="preserve"> </w:t>
      </w:r>
      <w:hyperlink r:id="rId11" w:history="1">
        <w:r w:rsidR="00FF5657" w:rsidRPr="001C5257">
          <w:rPr>
            <w:rStyle w:val="Hyperlink"/>
            <w:u w:val="none"/>
            <w:shd w:val="clear" w:color="auto" w:fill="FFFFFF"/>
            <w:lang w:val="en-GB"/>
          </w:rPr>
          <w:t>https://doi.org/10.1016/j.paid.2016.05.052</w:t>
        </w:r>
      </w:hyperlink>
    </w:p>
    <w:p w14:paraId="283F4BDE" w14:textId="524ED158" w:rsidR="00420BBE" w:rsidRPr="00FF5657" w:rsidRDefault="00420BBE" w:rsidP="008F0DE5">
      <w:pPr>
        <w:ind w:left="426" w:hanging="567"/>
      </w:pPr>
      <w:r w:rsidRPr="001C5257">
        <w:rPr>
          <w:shd w:val="clear" w:color="auto" w:fill="FFFFFF"/>
          <w:lang w:val="en-GB"/>
        </w:rPr>
        <w:t>Bergh, R., &amp; Brandt, M. J. (2023). Generalized prejudice: Lessons about social power, ideological conflict, and levels of abstraction.</w:t>
      </w:r>
      <w:r w:rsidRPr="001C5257">
        <w:rPr>
          <w:rStyle w:val="nfase"/>
          <w:shd w:val="clear" w:color="auto" w:fill="FFFFFF"/>
          <w:lang w:val="en-GB"/>
        </w:rPr>
        <w:t>European Review of Social Psychology, 34</w:t>
      </w:r>
      <w:r w:rsidRPr="001C5257">
        <w:rPr>
          <w:shd w:val="clear" w:color="auto" w:fill="FFFFFF"/>
          <w:lang w:val="en-GB"/>
        </w:rPr>
        <w:t>(1), 92–126.</w:t>
      </w:r>
      <w:r w:rsidR="00FF5657" w:rsidRPr="001C5257">
        <w:rPr>
          <w:shd w:val="clear" w:color="auto" w:fill="FFFFFF"/>
          <w:lang w:val="en-GB"/>
        </w:rPr>
        <w:t xml:space="preserve"> </w:t>
      </w:r>
      <w:hyperlink r:id="rId12" w:history="1">
        <w:r w:rsidR="00FF5657" w:rsidRPr="005C6DC5">
          <w:rPr>
            <w:rStyle w:val="Hyperlink"/>
            <w:u w:val="none"/>
            <w:shd w:val="clear" w:color="auto" w:fill="FFFFFF"/>
          </w:rPr>
          <w:t>https://doi.org/10.1080/10463283.2022.2040140</w:t>
        </w:r>
      </w:hyperlink>
    </w:p>
    <w:p w14:paraId="19C1D47A" w14:textId="01BE0D8F" w:rsidR="00420BBE" w:rsidRPr="00FF5657" w:rsidRDefault="00420BBE" w:rsidP="008F0DE5">
      <w:pPr>
        <w:widowControl/>
        <w:ind w:left="426" w:hanging="567"/>
        <w:rPr>
          <w:lang w:val="en-AU"/>
        </w:rPr>
      </w:pPr>
      <w:r w:rsidRPr="00FF5657">
        <w:t xml:space="preserve">Biroli, F. (2018). </w:t>
      </w:r>
      <w:r w:rsidRPr="00FF5657">
        <w:rPr>
          <w:i/>
        </w:rPr>
        <w:t>Gênero e desigualdades: limites da democracia no Brasil.</w:t>
      </w:r>
      <w:r w:rsidRPr="00FF5657">
        <w:t xml:space="preserve"> </w:t>
      </w:r>
      <w:r w:rsidRPr="00FF5657">
        <w:rPr>
          <w:lang w:val="en-AU"/>
        </w:rPr>
        <w:t>Boitempo Editorial.</w:t>
      </w:r>
    </w:p>
    <w:p w14:paraId="3C0108B7" w14:textId="77777777" w:rsidR="00420BBE" w:rsidRPr="001C5257" w:rsidRDefault="00420BBE" w:rsidP="008F0DE5">
      <w:pPr>
        <w:ind w:left="426" w:hanging="567"/>
        <w:rPr>
          <w:lang w:val="en-GB"/>
        </w:rPr>
      </w:pPr>
      <w:r w:rsidRPr="001C5257">
        <w:rPr>
          <w:lang w:val="en-GB"/>
        </w:rPr>
        <w:t xml:space="preserve">Bonilla-Silva, E. (2013). </w:t>
      </w:r>
      <w:r w:rsidRPr="001C5257">
        <w:rPr>
          <w:i/>
          <w:iCs/>
          <w:lang w:val="en-GB"/>
        </w:rPr>
        <w:t xml:space="preserve">Racism without racists: Color-blind racism and the persistence of racial inequality in America </w:t>
      </w:r>
      <w:r w:rsidRPr="001C5257">
        <w:rPr>
          <w:lang w:val="en-GB"/>
        </w:rPr>
        <w:t>(4th ed.). Lanham, MD: Rowman &amp; Littlefield</w:t>
      </w:r>
    </w:p>
    <w:p w14:paraId="3EC1A822" w14:textId="77777777" w:rsidR="005C6DC5" w:rsidRPr="001C5257" w:rsidRDefault="00420BBE" w:rsidP="008F0DE5">
      <w:pPr>
        <w:widowControl/>
        <w:ind w:left="426" w:hanging="567"/>
        <w:rPr>
          <w:i/>
          <w:lang w:val="en-GB"/>
        </w:rPr>
      </w:pPr>
      <w:r w:rsidRPr="001C5257">
        <w:rPr>
          <w:lang w:val="en-GB"/>
        </w:rPr>
        <w:t xml:space="preserve">Brown, R. J. (1995). Brown, R. J. (1995). </w:t>
      </w:r>
      <w:r w:rsidRPr="001C5257">
        <w:rPr>
          <w:i/>
          <w:iCs/>
          <w:lang w:val="en-GB"/>
        </w:rPr>
        <w:t>Prejudice: its social psychology</w:t>
      </w:r>
      <w:r w:rsidRPr="001C5257">
        <w:rPr>
          <w:lang w:val="en-GB"/>
        </w:rPr>
        <w:t xml:space="preserve">. Oxford, UK: </w:t>
      </w:r>
      <w:r w:rsidRPr="001C5257">
        <w:rPr>
          <w:i/>
          <w:lang w:val="en-GB"/>
        </w:rPr>
        <w:t>Blackwell</w:t>
      </w:r>
      <w:r w:rsidR="005C6DC5" w:rsidRPr="001C5257">
        <w:rPr>
          <w:i/>
          <w:lang w:val="en-GB"/>
        </w:rPr>
        <w:t>.</w:t>
      </w:r>
    </w:p>
    <w:p w14:paraId="2937A1B6" w14:textId="14803788" w:rsidR="005C6DC5" w:rsidRPr="001C5257" w:rsidRDefault="00420BBE" w:rsidP="008F0DE5">
      <w:pPr>
        <w:ind w:left="426" w:hanging="567"/>
        <w:rPr>
          <w:lang w:val="en-GB"/>
        </w:rPr>
      </w:pPr>
      <w:r w:rsidRPr="001C5257">
        <w:rPr>
          <w:lang w:val="en-GB"/>
        </w:rPr>
        <w:t>Cantal, C., Milfont, T. L., Wilson, M. S., &amp; Gouveia, V. V. (2014). Differential Effects of Right-Wing Authoritarianism and Social Dominance Orientation on Dimensions of Generalized Prejudice in Brazil.</w:t>
      </w:r>
      <w:r w:rsidRPr="001C5257">
        <w:rPr>
          <w:i/>
          <w:lang w:val="en-GB"/>
        </w:rPr>
        <w:t xml:space="preserve"> European Journal of Personality, 29</w:t>
      </w:r>
      <w:r w:rsidRPr="001C5257">
        <w:rPr>
          <w:lang w:val="en-GB"/>
        </w:rPr>
        <w:t>(1), 17–27</w:t>
      </w:r>
      <w:r w:rsidRPr="001C5257">
        <w:rPr>
          <w:i/>
          <w:lang w:val="en-GB"/>
        </w:rPr>
        <w:t>.</w:t>
      </w:r>
      <w:r w:rsidRPr="001C5257">
        <w:rPr>
          <w:lang w:val="en-GB"/>
        </w:rPr>
        <w:t xml:space="preserve"> </w:t>
      </w:r>
      <w:hyperlink r:id="rId13" w:history="1">
        <w:r w:rsidR="005C6DC5" w:rsidRPr="001C5257">
          <w:rPr>
            <w:rStyle w:val="Hyperlink"/>
            <w:u w:val="none"/>
            <w:lang w:val="en-GB"/>
          </w:rPr>
          <w:t>https://doi.org10.1002/per.1978</w:t>
        </w:r>
      </w:hyperlink>
      <w:r w:rsidRPr="001C5257">
        <w:rPr>
          <w:lang w:val="en-GB"/>
        </w:rPr>
        <w:t xml:space="preserve"> </w:t>
      </w:r>
    </w:p>
    <w:p w14:paraId="18545528" w14:textId="7354F535" w:rsidR="00420BBE" w:rsidRPr="005C6DC5" w:rsidRDefault="00420BBE" w:rsidP="008F0DE5">
      <w:pPr>
        <w:widowControl/>
        <w:ind w:left="426" w:hanging="567"/>
      </w:pPr>
      <w:r w:rsidRPr="001C5257">
        <w:rPr>
          <w:highlight w:val="white"/>
          <w:lang w:val="en-GB"/>
        </w:rPr>
        <w:t xml:space="preserve">Costa, A. B., Bandeira, D. R., &amp; Nardi, H. C. (2015). </w:t>
      </w:r>
      <w:r w:rsidRPr="005C6DC5">
        <w:rPr>
          <w:highlight w:val="white"/>
        </w:rPr>
        <w:t>Avaliação do preconceito contra diversidade sexual e de gênero: construção de um instrumento.</w:t>
      </w:r>
      <w:r w:rsidR="005C6DC5" w:rsidRPr="005C6DC5">
        <w:rPr>
          <w:highlight w:val="white"/>
        </w:rPr>
        <w:t xml:space="preserve"> </w:t>
      </w:r>
      <w:r w:rsidRPr="005C6DC5">
        <w:rPr>
          <w:i/>
          <w:highlight w:val="white"/>
        </w:rPr>
        <w:t>Estudos de Psicologia (Campinas)</w:t>
      </w:r>
      <w:r w:rsidRPr="005C6DC5">
        <w:rPr>
          <w:highlight w:val="white"/>
        </w:rPr>
        <w:t>,</w:t>
      </w:r>
      <w:r w:rsidRPr="005C6DC5">
        <w:rPr>
          <w:i/>
          <w:highlight w:val="white"/>
        </w:rPr>
        <w:t>32</w:t>
      </w:r>
      <w:r w:rsidRPr="005C6DC5">
        <w:rPr>
          <w:highlight w:val="white"/>
        </w:rPr>
        <w:t>, 163-172.</w:t>
      </w:r>
      <w:r w:rsidR="005C6DC5" w:rsidRPr="005C6DC5">
        <w:t xml:space="preserve"> </w:t>
      </w:r>
      <w:hyperlink r:id="rId14" w:tgtFrame="_blank" w:history="1">
        <w:r w:rsidR="005C6DC5" w:rsidRPr="005C6DC5">
          <w:rPr>
            <w:rStyle w:val="Hyperlink"/>
            <w:color w:val="3867CE"/>
            <w:u w:val="none"/>
            <w:shd w:val="clear" w:color="auto" w:fill="FFFFFF"/>
          </w:rPr>
          <w:t>https://doi.org/10.1590/0103-166X2015000200002</w:t>
        </w:r>
      </w:hyperlink>
    </w:p>
    <w:p w14:paraId="0363158D" w14:textId="40EDB5B1" w:rsidR="00420BBE" w:rsidRPr="001C5257" w:rsidRDefault="00420BBE" w:rsidP="008F0DE5">
      <w:pPr>
        <w:ind w:left="426" w:hanging="567"/>
        <w:rPr>
          <w:lang w:val="en-GB"/>
        </w:rPr>
      </w:pPr>
      <w:r w:rsidRPr="00FF5657">
        <w:rPr>
          <w:highlight w:val="white"/>
        </w:rPr>
        <w:t>Dan</w:t>
      </w:r>
      <w:r w:rsidR="005C6DC5">
        <w:rPr>
          <w:highlight w:val="white"/>
        </w:rPr>
        <w:t>i</w:t>
      </w:r>
      <w:r w:rsidRPr="00FF5657">
        <w:rPr>
          <w:highlight w:val="white"/>
        </w:rPr>
        <w:t>elsd</w:t>
      </w:r>
      <w:r w:rsidR="005C6DC5">
        <w:rPr>
          <w:highlight w:val="white"/>
        </w:rPr>
        <w:t>o</w:t>
      </w:r>
      <w:r w:rsidRPr="00FF5657">
        <w:rPr>
          <w:highlight w:val="white"/>
        </w:rPr>
        <w:t xml:space="preserve">ttir, S., O'Brien, K. S., &amp; Ciao, A. (2010). </w:t>
      </w:r>
      <w:r w:rsidRPr="001C5257">
        <w:rPr>
          <w:highlight w:val="white"/>
          <w:lang w:val="en-GB"/>
        </w:rPr>
        <w:t xml:space="preserve">Anti-fat prejudice reduction: a review of published studies. </w:t>
      </w:r>
      <w:r w:rsidRPr="001C5257">
        <w:rPr>
          <w:i/>
          <w:highlight w:val="white"/>
          <w:lang w:val="en-GB"/>
        </w:rPr>
        <w:t>Obesity facts</w:t>
      </w:r>
      <w:r w:rsidRPr="001C5257">
        <w:rPr>
          <w:highlight w:val="white"/>
          <w:lang w:val="en-GB"/>
        </w:rPr>
        <w:t xml:space="preserve">, </w:t>
      </w:r>
      <w:r w:rsidRPr="001C5257">
        <w:rPr>
          <w:i/>
          <w:highlight w:val="white"/>
          <w:lang w:val="en-GB"/>
        </w:rPr>
        <w:t>3</w:t>
      </w:r>
      <w:r w:rsidRPr="001C5257">
        <w:rPr>
          <w:highlight w:val="white"/>
          <w:lang w:val="en-GB"/>
        </w:rPr>
        <w:t>(1), 47-58.</w:t>
      </w:r>
      <w:hyperlink r:id="rId15" w:history="1">
        <w:r w:rsidR="005C6DC5" w:rsidRPr="001C5257">
          <w:rPr>
            <w:rStyle w:val="Hyperlink"/>
            <w:u w:val="none"/>
            <w:lang w:val="en-GB"/>
          </w:rPr>
          <w:t>https://doi.org/10.1159/000277067</w:t>
        </w:r>
      </w:hyperlink>
    </w:p>
    <w:p w14:paraId="0B3E7EFE" w14:textId="5C71BEF8" w:rsidR="00420BBE" w:rsidRPr="001C5257" w:rsidRDefault="00420BBE" w:rsidP="008F0DE5">
      <w:pPr>
        <w:widowControl/>
        <w:autoSpaceDE w:val="0"/>
        <w:autoSpaceDN w:val="0"/>
        <w:adjustRightInd w:val="0"/>
        <w:ind w:left="426" w:hanging="567"/>
        <w:rPr>
          <w:rFonts w:eastAsia="MinionPro-Regular"/>
          <w:lang w:val="en-GB"/>
        </w:rPr>
      </w:pPr>
      <w:r w:rsidRPr="001C5257">
        <w:rPr>
          <w:rFonts w:eastAsia="MinionPro-Regular"/>
          <w:lang w:val="en-GB"/>
        </w:rPr>
        <w:t xml:space="preserve">Duckitt, J. (2001). A dual-process cognitive-motivational theory of ideology and prejudice. In M. P. Zanna (Ed.), </w:t>
      </w:r>
      <w:r w:rsidRPr="001C5257">
        <w:rPr>
          <w:rFonts w:eastAsia="MinionPro-Regular"/>
          <w:i/>
          <w:iCs/>
          <w:lang w:val="en-GB"/>
        </w:rPr>
        <w:t>Advances in experimental social psychology</w:t>
      </w:r>
      <w:r w:rsidR="005C6DC5" w:rsidRPr="001C5257">
        <w:rPr>
          <w:rFonts w:eastAsia="MinionPro-Regular"/>
          <w:i/>
          <w:iCs/>
          <w:lang w:val="en-GB"/>
        </w:rPr>
        <w:t xml:space="preserve">, </w:t>
      </w:r>
      <w:r w:rsidRPr="001C5257">
        <w:rPr>
          <w:rFonts w:eastAsia="MinionPro-Regular"/>
          <w:i/>
          <w:iCs/>
          <w:lang w:val="en-GB"/>
        </w:rPr>
        <w:t>33</w:t>
      </w:r>
      <w:r w:rsidRPr="001C5257">
        <w:rPr>
          <w:rFonts w:eastAsia="MinionPro-Regular"/>
          <w:lang w:val="en-GB"/>
        </w:rPr>
        <w:t xml:space="preserve">, 41–113. </w:t>
      </w:r>
      <w:hyperlink r:id="rId16" w:history="1">
        <w:r w:rsidR="005C6DC5" w:rsidRPr="001C5257">
          <w:rPr>
            <w:rStyle w:val="Hyperlink"/>
            <w:rFonts w:eastAsia="MinionPro-Regular"/>
            <w:u w:val="none"/>
            <w:lang w:val="en-GB"/>
          </w:rPr>
          <w:t>https://doi.org/10.1016/S0065-2601(01)80004-6</w:t>
        </w:r>
      </w:hyperlink>
    </w:p>
    <w:p w14:paraId="779A95A9" w14:textId="7D38D356" w:rsidR="00420BBE" w:rsidRPr="001C5257" w:rsidRDefault="00420BBE" w:rsidP="008F0DE5">
      <w:pPr>
        <w:widowControl/>
        <w:autoSpaceDE w:val="0"/>
        <w:autoSpaceDN w:val="0"/>
        <w:adjustRightInd w:val="0"/>
        <w:ind w:left="426" w:hanging="567"/>
        <w:rPr>
          <w:rStyle w:val="Hyperlink"/>
          <w:rFonts w:eastAsia="MinionPro-Regular"/>
          <w:color w:val="auto"/>
          <w:u w:val="none"/>
          <w:lang w:val="en-GB"/>
        </w:rPr>
      </w:pPr>
      <w:r w:rsidRPr="001C5257">
        <w:rPr>
          <w:rFonts w:eastAsia="MinionPro-Regular"/>
          <w:lang w:val="en-GB"/>
        </w:rPr>
        <w:lastRenderedPageBreak/>
        <w:t xml:space="preserve">Duckitt, J., &amp; Sibley, C. G. (2007). Right wing authoritarianism, social dominance orientation and the dimensions of generalized prejudice. </w:t>
      </w:r>
      <w:r w:rsidRPr="001C5257">
        <w:rPr>
          <w:rFonts w:eastAsia="MinionPro-Regular"/>
          <w:i/>
          <w:iCs/>
          <w:lang w:val="en-GB"/>
        </w:rPr>
        <w:t>European Journal of Personality</w:t>
      </w:r>
      <w:r w:rsidRPr="001C5257">
        <w:rPr>
          <w:rFonts w:eastAsia="MinionPro-Regular"/>
          <w:lang w:val="en-GB"/>
        </w:rPr>
        <w:t xml:space="preserve">, </w:t>
      </w:r>
      <w:r w:rsidRPr="001C5257">
        <w:rPr>
          <w:rFonts w:eastAsia="MinionPro-Regular"/>
          <w:i/>
          <w:iCs/>
          <w:lang w:val="en-GB"/>
        </w:rPr>
        <w:t>21</w:t>
      </w:r>
      <w:r w:rsidRPr="001C5257">
        <w:rPr>
          <w:rFonts w:eastAsia="MinionPro-Regular"/>
          <w:lang w:val="en-GB"/>
        </w:rPr>
        <w:t xml:space="preserve">(2), 113–130. </w:t>
      </w:r>
      <w:hyperlink r:id="rId17" w:history="1">
        <w:r w:rsidR="005C6DC5" w:rsidRPr="001C5257">
          <w:rPr>
            <w:rStyle w:val="Hyperlink"/>
            <w:rFonts w:eastAsia="MinionPro-Regular"/>
            <w:u w:val="none"/>
            <w:lang w:val="en-GB"/>
          </w:rPr>
          <w:t>https://doi.org/10.1002/per.614</w:t>
        </w:r>
      </w:hyperlink>
    </w:p>
    <w:p w14:paraId="59D93950" w14:textId="2ECEEBBC" w:rsidR="00420BBE" w:rsidRPr="001C5257" w:rsidRDefault="00420BBE" w:rsidP="008F0DE5">
      <w:pPr>
        <w:widowControl/>
        <w:autoSpaceDE w:val="0"/>
        <w:autoSpaceDN w:val="0"/>
        <w:adjustRightInd w:val="0"/>
        <w:ind w:left="426" w:hanging="567"/>
        <w:rPr>
          <w:rFonts w:eastAsia="MinionPro-Regular"/>
          <w:lang w:val="en-GB"/>
        </w:rPr>
      </w:pPr>
      <w:r w:rsidRPr="001C5257">
        <w:rPr>
          <w:rFonts w:eastAsia="MinionPro-Regular"/>
          <w:lang w:val="en-GB"/>
        </w:rPr>
        <w:t xml:space="preserve">Ekehammar, B., &amp; Akrami, N. (2003). The relation between personality and prejudice: A variable- and a person-centred approach. </w:t>
      </w:r>
      <w:r w:rsidRPr="001C5257">
        <w:rPr>
          <w:rFonts w:eastAsia="MinionPro-Regular"/>
          <w:i/>
          <w:iCs/>
          <w:lang w:val="en-GB"/>
        </w:rPr>
        <w:t>European Journal of Personality</w:t>
      </w:r>
      <w:r w:rsidRPr="001C5257">
        <w:rPr>
          <w:rFonts w:eastAsia="MinionPro-Regular"/>
          <w:lang w:val="en-GB"/>
        </w:rPr>
        <w:t xml:space="preserve">, </w:t>
      </w:r>
      <w:r w:rsidRPr="001C5257">
        <w:rPr>
          <w:rFonts w:eastAsia="MinionPro-Regular"/>
          <w:i/>
          <w:iCs/>
          <w:lang w:val="en-GB"/>
        </w:rPr>
        <w:t>17</w:t>
      </w:r>
      <w:r w:rsidRPr="001C5257">
        <w:rPr>
          <w:rFonts w:eastAsia="MinionPro-Regular"/>
          <w:lang w:val="en-GB"/>
        </w:rPr>
        <w:t xml:space="preserve">(6), 449–464. </w:t>
      </w:r>
      <w:hyperlink r:id="rId18" w:history="1">
        <w:r w:rsidR="005C6DC5" w:rsidRPr="001C5257">
          <w:rPr>
            <w:rStyle w:val="Hyperlink"/>
            <w:rFonts w:eastAsia="MinionPro-Regular"/>
            <w:u w:val="none"/>
            <w:lang w:val="en-GB"/>
          </w:rPr>
          <w:t>https://doi.org/10.1002/per.494</w:t>
        </w:r>
      </w:hyperlink>
    </w:p>
    <w:p w14:paraId="533644B1" w14:textId="397F3EE8" w:rsidR="007F54C4" w:rsidRDefault="007F54C4" w:rsidP="008F0DE5">
      <w:pPr>
        <w:widowControl/>
        <w:autoSpaceDE w:val="0"/>
        <w:autoSpaceDN w:val="0"/>
        <w:adjustRightInd w:val="0"/>
        <w:ind w:left="426" w:hanging="567"/>
        <w:rPr>
          <w:color w:val="990000"/>
        </w:rPr>
      </w:pPr>
      <w:r w:rsidRPr="001C5257">
        <w:rPr>
          <w:color w:val="990000"/>
          <w:lang w:val="en-GB"/>
        </w:rPr>
        <w:t xml:space="preserve">Formiga, N. S., Araujo, T. T. V. &amp; Cavalcante, C. P. S. (2007). </w:t>
      </w:r>
      <w:r w:rsidRPr="007F54C4">
        <w:rPr>
          <w:rStyle w:val="article-title"/>
          <w:color w:val="990000"/>
        </w:rPr>
        <w:t>A manutenção da discriminação feminina no contexto brasileiro: um estudo sobre a fidedignidade do sexismo ambivalente.</w:t>
      </w:r>
      <w:r w:rsidRPr="007F54C4">
        <w:rPr>
          <w:i/>
          <w:iCs/>
          <w:color w:val="990000"/>
        </w:rPr>
        <w:t>Estud. pesqui. psicol.</w:t>
      </w:r>
      <w:r w:rsidRPr="007F54C4">
        <w:rPr>
          <w:color w:val="990000"/>
        </w:rPr>
        <w:t xml:space="preserve"> 7, </w:t>
      </w:r>
      <w:r>
        <w:rPr>
          <w:color w:val="990000"/>
        </w:rPr>
        <w:t xml:space="preserve">56-67. Disponível em </w:t>
      </w:r>
      <w:hyperlink r:id="rId19" w:history="1">
        <w:r w:rsidRPr="007F54C4">
          <w:rPr>
            <w:rStyle w:val="Hyperlink"/>
            <w:u w:val="none"/>
          </w:rPr>
          <w:t>https://pepsic.bvsalud.org/pdf/epp/v7n1/v7n1a06.pdf</w:t>
        </w:r>
      </w:hyperlink>
    </w:p>
    <w:p w14:paraId="17173D7A" w14:textId="1E15A3C9" w:rsidR="00420BBE" w:rsidRPr="001C5257" w:rsidRDefault="00420BBE" w:rsidP="008F0DE5">
      <w:pPr>
        <w:ind w:left="426" w:hanging="567"/>
        <w:rPr>
          <w:lang w:val="en-GB"/>
        </w:rPr>
      </w:pPr>
      <w:r w:rsidRPr="001C5257">
        <w:rPr>
          <w:lang w:val="en-GB"/>
        </w:rPr>
        <w:t xml:space="preserve">Hadarics, M. &amp; Kende, A. (2018). Moral foundations of positive and negative intergroup behavior: Moral exclusion fills the gap. </w:t>
      </w:r>
      <w:r w:rsidRPr="001C5257">
        <w:rPr>
          <w:i/>
          <w:iCs/>
          <w:lang w:val="en-GB"/>
        </w:rPr>
        <w:t>International Journal of Intercultural Relations, 64</w:t>
      </w:r>
      <w:r w:rsidRPr="001C5257">
        <w:rPr>
          <w:lang w:val="en-GB"/>
        </w:rPr>
        <w:t xml:space="preserve">. </w:t>
      </w:r>
      <w:hyperlink r:id="rId20" w:history="1">
        <w:r w:rsidR="00B34076" w:rsidRPr="001C5257">
          <w:rPr>
            <w:rStyle w:val="Hyperlink"/>
            <w:u w:val="none"/>
            <w:lang w:val="en-GB"/>
          </w:rPr>
          <w:t>https://doi.org/10.1016/j.ijintrel.2018.03.006</w:t>
        </w:r>
      </w:hyperlink>
      <w:r w:rsidRPr="001C5257">
        <w:rPr>
          <w:lang w:val="en-GB"/>
        </w:rPr>
        <w:t xml:space="preserve">. </w:t>
      </w:r>
    </w:p>
    <w:p w14:paraId="719E264B" w14:textId="3B4B71D7" w:rsidR="00420BBE" w:rsidRPr="001C5257" w:rsidRDefault="00420BBE" w:rsidP="008F0DE5">
      <w:pPr>
        <w:ind w:left="426" w:hanging="567"/>
        <w:rPr>
          <w:rStyle w:val="Hyperlink"/>
          <w:color w:val="auto"/>
          <w:u w:val="none"/>
          <w:lang w:val="en-GB"/>
        </w:rPr>
      </w:pPr>
      <w:r w:rsidRPr="001C5257">
        <w:rPr>
          <w:lang w:val="en-GB"/>
        </w:rPr>
        <w:t>Harder, J. A., Keller, V. N., &amp; Chopik, W. J. (2019). Demographic, experiential, and temporal variation in ableism.</w:t>
      </w:r>
      <w:r w:rsidR="00B34076" w:rsidRPr="001C5257">
        <w:rPr>
          <w:lang w:val="en-GB"/>
        </w:rPr>
        <w:t xml:space="preserve"> </w:t>
      </w:r>
      <w:r w:rsidRPr="001C5257">
        <w:rPr>
          <w:rStyle w:val="nfase"/>
          <w:lang w:val="en-GB"/>
        </w:rPr>
        <w:t>Journal of Social Issues, 75</w:t>
      </w:r>
      <w:r w:rsidRPr="001C5257">
        <w:rPr>
          <w:lang w:val="en-GB"/>
        </w:rPr>
        <w:t>(3), 683–706.</w:t>
      </w:r>
      <w:r w:rsidR="00B34076" w:rsidRPr="001C5257">
        <w:rPr>
          <w:lang w:val="en-GB"/>
        </w:rPr>
        <w:t xml:space="preserve"> </w:t>
      </w:r>
      <w:hyperlink r:id="rId21" w:history="1">
        <w:r w:rsidR="00B34076" w:rsidRPr="001C5257">
          <w:rPr>
            <w:rStyle w:val="Hyperlink"/>
            <w:u w:val="none"/>
            <w:lang w:val="en-GB"/>
          </w:rPr>
          <w:t>https://doi.org/10.1111/josi.12341</w:t>
        </w:r>
      </w:hyperlink>
    </w:p>
    <w:p w14:paraId="5B2FF532" w14:textId="438D1885" w:rsidR="00420BBE" w:rsidRDefault="00420BBE" w:rsidP="008F0DE5">
      <w:pPr>
        <w:widowControl/>
        <w:autoSpaceDE w:val="0"/>
        <w:autoSpaceDN w:val="0"/>
        <w:adjustRightInd w:val="0"/>
        <w:ind w:left="426" w:hanging="567"/>
        <w:rPr>
          <w:rStyle w:val="Hyperlink"/>
          <w:rFonts w:eastAsia="MinionPro-Regular"/>
          <w:color w:val="auto"/>
        </w:rPr>
      </w:pPr>
      <w:r w:rsidRPr="001C5257">
        <w:rPr>
          <w:rFonts w:eastAsia="MinionPro-Regular"/>
          <w:lang w:val="en-GB"/>
        </w:rPr>
        <w:t xml:space="preserve">Herek, G. M., &amp; Capitanio, J. P. (1999). Sex differences in how heterosexuals think about lesbians and gay men : evidence from survey context effects. </w:t>
      </w:r>
      <w:r w:rsidRPr="00FF5657">
        <w:rPr>
          <w:rFonts w:eastAsia="MinionPro-Regular"/>
          <w:i/>
          <w:iCs/>
        </w:rPr>
        <w:t>The Journal of Sex Research</w:t>
      </w:r>
      <w:r w:rsidRPr="00FF5657">
        <w:rPr>
          <w:rFonts w:eastAsia="MinionPro-Regular"/>
        </w:rPr>
        <w:t xml:space="preserve">, </w:t>
      </w:r>
      <w:r w:rsidRPr="00FF5657">
        <w:rPr>
          <w:rFonts w:eastAsia="MinionPro-Regular"/>
          <w:i/>
          <w:iCs/>
        </w:rPr>
        <w:t>36</w:t>
      </w:r>
      <w:r w:rsidRPr="00FF5657">
        <w:rPr>
          <w:rFonts w:eastAsia="MinionPro-Regular"/>
        </w:rPr>
        <w:t xml:space="preserve">(4), 348–360. </w:t>
      </w:r>
      <w:hyperlink r:id="rId22" w:history="1">
        <w:r w:rsidR="00B34076" w:rsidRPr="00B34076">
          <w:rPr>
            <w:rStyle w:val="Hyperlink"/>
            <w:rFonts w:eastAsia="MinionPro-Regular"/>
            <w:u w:val="none"/>
          </w:rPr>
          <w:t>https://doi.org/10.1080/00224499909552007</w:t>
        </w:r>
      </w:hyperlink>
    </w:p>
    <w:p w14:paraId="59DE5302" w14:textId="105F16F4" w:rsidR="00420BBE" w:rsidRPr="00B34076" w:rsidRDefault="00420BBE" w:rsidP="008F0DE5">
      <w:pPr>
        <w:ind w:left="426" w:hanging="567"/>
        <w:rPr>
          <w:rStyle w:val="Hyperlink"/>
          <w:color w:val="auto"/>
          <w:u w:val="none"/>
        </w:rPr>
      </w:pPr>
      <w:r w:rsidRPr="00FF5657">
        <w:t>IBDFAM – Instituto Brasileiro de Direito da Família (2024). Disponível em</w:t>
      </w:r>
      <w:r w:rsidR="00B34076">
        <w:t xml:space="preserve"> </w:t>
      </w:r>
      <w:hyperlink r:id="rId23" w:history="1">
        <w:r w:rsidR="00B34076" w:rsidRPr="00B34076">
          <w:rPr>
            <w:rStyle w:val="Hyperlink"/>
            <w:u w:val="none"/>
          </w:rPr>
          <w:t>https://ibdfam.org.br/noticias/12516/Retrospectiva+IBDFAM%3A+Descubra+quais+foram+as+not%C3%ADcias+mais+lidas+de+2024</w:t>
        </w:r>
      </w:hyperlink>
    </w:p>
    <w:p w14:paraId="41235762" w14:textId="0514AAFE" w:rsidR="00420BBE" w:rsidRDefault="00420BBE" w:rsidP="008F0DE5">
      <w:pPr>
        <w:ind w:left="426" w:hanging="567"/>
        <w:rPr>
          <w:rStyle w:val="Hyperlink"/>
          <w:u w:val="none"/>
        </w:rPr>
      </w:pPr>
      <w:r w:rsidRPr="00FF5657">
        <w:t xml:space="preserve">Juarros-Basterretxea, J., Ocampo, N. Y., Rojas-Solis, J. L., Rodríguez-Díaz, F. J., &amp; García-Cueto, E. (2023). </w:t>
      </w:r>
      <w:r w:rsidRPr="001C5257">
        <w:rPr>
          <w:lang w:val="en-GB"/>
        </w:rPr>
        <w:t>Revisiting the Ambivalent Sexism Inventory’s Adolescent and Brief Versions: Problems, solutions, and considerations. </w:t>
      </w:r>
      <w:r w:rsidRPr="00FF5657">
        <w:rPr>
          <w:i/>
        </w:rPr>
        <w:t>Anales de Psicología, 39</w:t>
      </w:r>
      <w:r w:rsidRPr="00FF5657">
        <w:t>(2), 304–313.</w:t>
      </w:r>
      <w:hyperlink r:id="rId24" w:history="1">
        <w:r w:rsidR="00B34076" w:rsidRPr="00B34076">
          <w:rPr>
            <w:rStyle w:val="Hyperlink"/>
            <w:u w:val="none"/>
          </w:rPr>
          <w:t>https://doi.org/10.6018/analesps.508701</w:t>
        </w:r>
      </w:hyperlink>
    </w:p>
    <w:p w14:paraId="04F073EC" w14:textId="03AB4819" w:rsidR="001C5257" w:rsidRPr="006B7CCA" w:rsidRDefault="001C5257" w:rsidP="001C5257">
      <w:pPr>
        <w:ind w:left="426" w:hanging="567"/>
        <w:rPr>
          <w:lang w:val="en-GB"/>
        </w:rPr>
      </w:pPr>
      <w:r w:rsidRPr="001C5257">
        <w:rPr>
          <w:rFonts w:ascii="Minion Pro" w:hAnsi="Minion Pro"/>
          <w:sz w:val="22"/>
          <w:szCs w:val="22"/>
        </w:rPr>
        <w:t xml:space="preserve">Lima, M. E. O. (2020). </w:t>
      </w:r>
      <w:r w:rsidRPr="001C5257">
        <w:rPr>
          <w:rFonts w:ascii="Minion Pro" w:hAnsi="Minion Pro" w:cs="Minion Pro"/>
          <w:i/>
          <w:iCs/>
          <w:sz w:val="22"/>
          <w:szCs w:val="22"/>
        </w:rPr>
        <w:t>Psicologia Social do Preconceito e do Racismo</w:t>
      </w:r>
      <w:r w:rsidRPr="001C5257">
        <w:rPr>
          <w:rFonts w:ascii="Minion Pro" w:hAnsi="Minion Pro" w:cs="Minion Pro"/>
          <w:sz w:val="22"/>
          <w:szCs w:val="22"/>
        </w:rPr>
        <w:t xml:space="preserve">. </w:t>
      </w:r>
      <w:r w:rsidRPr="006B7CCA">
        <w:rPr>
          <w:rFonts w:ascii="Minion Pro" w:hAnsi="Minion Pro" w:cs="Minion Pro"/>
          <w:sz w:val="22"/>
          <w:szCs w:val="22"/>
          <w:lang w:val="en-GB"/>
        </w:rPr>
        <w:t>Blucher. https://doi.org/10.5151/9786555500127</w:t>
      </w:r>
    </w:p>
    <w:p w14:paraId="03DC1469" w14:textId="2FEDE520" w:rsidR="00420BBE" w:rsidRPr="001C5257" w:rsidRDefault="00420BBE" w:rsidP="008F0DE5">
      <w:pPr>
        <w:ind w:left="426" w:hanging="567"/>
        <w:rPr>
          <w:shd w:val="clear" w:color="auto" w:fill="FFFFFF"/>
          <w:lang w:val="en-GB"/>
        </w:rPr>
      </w:pPr>
      <w:r w:rsidRPr="006B7CCA">
        <w:rPr>
          <w:shd w:val="clear" w:color="auto" w:fill="FFFFFF"/>
          <w:lang w:val="en-GB"/>
        </w:rPr>
        <w:t xml:space="preserve">López-Sáez, M. Á., García-Dauder, D., &amp; Montero, I. (2020). </w:t>
      </w:r>
      <w:r w:rsidRPr="001C5257">
        <w:rPr>
          <w:shd w:val="clear" w:color="auto" w:fill="FFFFFF"/>
          <w:lang w:val="en-GB"/>
        </w:rPr>
        <w:t>Intersections Around Ambivalent Sexism: Internalized Homonegativity, Resistance to Heteronormativity and Other Correlates.</w:t>
      </w:r>
      <w:r w:rsidR="00B34076" w:rsidRPr="001C5257">
        <w:rPr>
          <w:shd w:val="clear" w:color="auto" w:fill="FFFFFF"/>
          <w:lang w:val="en-GB"/>
        </w:rPr>
        <w:t xml:space="preserve"> </w:t>
      </w:r>
      <w:r w:rsidRPr="001C5257">
        <w:rPr>
          <w:i/>
          <w:iCs/>
          <w:shd w:val="clear" w:color="auto" w:fill="FFFFFF"/>
          <w:lang w:val="en-GB"/>
        </w:rPr>
        <w:t>Frontiers in psychology</w:t>
      </w:r>
      <w:r w:rsidRPr="001C5257">
        <w:rPr>
          <w:shd w:val="clear" w:color="auto" w:fill="FFFFFF"/>
          <w:lang w:val="en-GB"/>
        </w:rPr>
        <w:t>,</w:t>
      </w:r>
      <w:r w:rsidR="00B34076" w:rsidRPr="001C5257">
        <w:rPr>
          <w:shd w:val="clear" w:color="auto" w:fill="FFFFFF"/>
          <w:lang w:val="en-GB"/>
        </w:rPr>
        <w:t xml:space="preserve"> </w:t>
      </w:r>
      <w:r w:rsidRPr="001C5257">
        <w:rPr>
          <w:i/>
          <w:iCs/>
          <w:shd w:val="clear" w:color="auto" w:fill="FFFFFF"/>
          <w:lang w:val="en-GB"/>
        </w:rPr>
        <w:t>11</w:t>
      </w:r>
      <w:r w:rsidRPr="001C5257">
        <w:rPr>
          <w:shd w:val="clear" w:color="auto" w:fill="FFFFFF"/>
          <w:lang w:val="en-GB"/>
        </w:rPr>
        <w:t xml:space="preserve">, 608793. </w:t>
      </w:r>
      <w:hyperlink r:id="rId25" w:history="1">
        <w:r w:rsidR="00B34076" w:rsidRPr="001C5257">
          <w:rPr>
            <w:rStyle w:val="Hyperlink"/>
            <w:u w:val="none"/>
            <w:shd w:val="clear" w:color="auto" w:fill="FFFFFF"/>
            <w:lang w:val="en-GB"/>
          </w:rPr>
          <w:t>https://doi.org/10.3389/fpsyg.2020.608793</w:t>
        </w:r>
      </w:hyperlink>
    </w:p>
    <w:p w14:paraId="2D07B066" w14:textId="5B5C277E" w:rsidR="00420BBE" w:rsidRDefault="00420BBE" w:rsidP="008F0DE5">
      <w:pPr>
        <w:widowControl/>
        <w:autoSpaceDE w:val="0"/>
        <w:autoSpaceDN w:val="0"/>
        <w:adjustRightInd w:val="0"/>
        <w:ind w:left="426" w:hanging="567"/>
        <w:rPr>
          <w:rFonts w:eastAsia="MinionPro-Regular"/>
        </w:rPr>
      </w:pPr>
      <w:r w:rsidRPr="001C5257">
        <w:rPr>
          <w:rFonts w:eastAsia="MinionPro-Regular"/>
          <w:lang w:val="en-GB"/>
        </w:rPr>
        <w:lastRenderedPageBreak/>
        <w:t xml:space="preserve">Meeusen, C., &amp; Kern, A. (2016). The relation between societal factors and diferente forms of prejudice: A cross-national approach on target-specific and generalized prejudice. </w:t>
      </w:r>
      <w:r w:rsidRPr="00FF5657">
        <w:rPr>
          <w:rFonts w:eastAsia="MinionPro-Regular"/>
          <w:i/>
          <w:iCs/>
        </w:rPr>
        <w:t>Social Science Research</w:t>
      </w:r>
      <w:r w:rsidRPr="00FF5657">
        <w:rPr>
          <w:rFonts w:eastAsia="MinionPro-Regular"/>
        </w:rPr>
        <w:t xml:space="preserve">, </w:t>
      </w:r>
      <w:r w:rsidRPr="00FF5657">
        <w:rPr>
          <w:rFonts w:eastAsia="MinionPro-Regular"/>
          <w:i/>
          <w:iCs/>
        </w:rPr>
        <w:t>55</w:t>
      </w:r>
      <w:r w:rsidRPr="00FF5657">
        <w:rPr>
          <w:rFonts w:eastAsia="MinionPro-Regular"/>
        </w:rPr>
        <w:t xml:space="preserve">, 1–15. </w:t>
      </w:r>
      <w:hyperlink r:id="rId26" w:history="1">
        <w:r w:rsidR="00B34076" w:rsidRPr="00B34076">
          <w:rPr>
            <w:rStyle w:val="Hyperlink"/>
            <w:rFonts w:eastAsia="MinionPro-Regular"/>
            <w:u w:val="none"/>
          </w:rPr>
          <w:t>https://doi.org/10.1016/j.ssresearch. 2015.09.009</w:t>
        </w:r>
      </w:hyperlink>
    </w:p>
    <w:p w14:paraId="08EC02B4" w14:textId="77777777" w:rsidR="00E622C7" w:rsidRPr="008074D5" w:rsidRDefault="00E622C7" w:rsidP="008F0DE5">
      <w:pPr>
        <w:ind w:left="426" w:hanging="567"/>
      </w:pPr>
      <w:r w:rsidRPr="008074D5">
        <w:t xml:space="preserve">Ministério da Saúde (2019). IMC: você sabe calcular seu peso adequado? Disponível em </w:t>
      </w:r>
      <w:hyperlink r:id="rId27" w:history="1">
        <w:r w:rsidRPr="008074D5">
          <w:rPr>
            <w:rStyle w:val="Hyperlink"/>
            <w:u w:val="none"/>
          </w:rPr>
          <w:t>https://www.gov.br/saude/pt-br/assuntos/saude-brasil/eu-quero-ter-peso-saudavel/noticias/2017/imc-voce-sabe-calcular-seu-peso-adequado</w:t>
        </w:r>
      </w:hyperlink>
    </w:p>
    <w:p w14:paraId="794A2E69" w14:textId="08144ADE" w:rsidR="00420BBE" w:rsidRPr="001C5257" w:rsidRDefault="00420BBE" w:rsidP="008F0DE5">
      <w:pPr>
        <w:ind w:left="426" w:hanging="567"/>
        <w:rPr>
          <w:bdr w:val="none" w:sz="0" w:space="0" w:color="auto" w:frame="1"/>
          <w:shd w:val="clear" w:color="auto" w:fill="FFFFFF"/>
          <w:lang w:val="en-GB"/>
        </w:rPr>
      </w:pPr>
      <w:r w:rsidRPr="001C5257">
        <w:rPr>
          <w:shd w:val="clear" w:color="auto" w:fill="FFFFFF"/>
          <w:lang w:val="en-GB"/>
        </w:rPr>
        <w:t xml:space="preserve">Palmore, E. (2015). Ageism Comes of Age. </w:t>
      </w:r>
      <w:r w:rsidRPr="001C5257">
        <w:rPr>
          <w:rStyle w:val="nfase"/>
          <w:i w:val="0"/>
          <w:iCs w:val="0"/>
          <w:bdr w:val="none" w:sz="0" w:space="0" w:color="auto" w:frame="1"/>
          <w:shd w:val="clear" w:color="auto" w:fill="FFFFFF"/>
          <w:lang w:val="en-GB"/>
        </w:rPr>
        <w:t>The Journals of Gerontology:</w:t>
      </w:r>
      <w:r w:rsidRPr="001C5257">
        <w:rPr>
          <w:rStyle w:val="nfase"/>
          <w:bdr w:val="none" w:sz="0" w:space="0" w:color="auto" w:frame="1"/>
          <w:shd w:val="clear" w:color="auto" w:fill="FFFFFF"/>
          <w:lang w:val="en-GB"/>
        </w:rPr>
        <w:t xml:space="preserve"> Series B</w:t>
      </w:r>
      <w:r w:rsidRPr="001C5257">
        <w:rPr>
          <w:shd w:val="clear" w:color="auto" w:fill="FFFFFF"/>
          <w:lang w:val="en-GB"/>
        </w:rPr>
        <w:t xml:space="preserve">, </w:t>
      </w:r>
      <w:r w:rsidRPr="001C5257">
        <w:rPr>
          <w:i/>
          <w:iCs/>
          <w:shd w:val="clear" w:color="auto" w:fill="FFFFFF"/>
          <w:lang w:val="en-GB"/>
        </w:rPr>
        <w:t>70</w:t>
      </w:r>
      <w:r w:rsidRPr="001C5257">
        <w:rPr>
          <w:shd w:val="clear" w:color="auto" w:fill="FFFFFF"/>
          <w:lang w:val="en-GB"/>
        </w:rPr>
        <w:t>, 873–875</w:t>
      </w:r>
      <w:r w:rsidR="00B34076" w:rsidRPr="001C5257">
        <w:rPr>
          <w:shd w:val="clear" w:color="auto" w:fill="FFFFFF"/>
          <w:lang w:val="en-GB"/>
        </w:rPr>
        <w:t>.</w:t>
      </w:r>
      <w:r w:rsidRPr="001C5257">
        <w:rPr>
          <w:shd w:val="clear" w:color="auto" w:fill="FFFFFF"/>
          <w:lang w:val="en-GB"/>
        </w:rPr>
        <w:t xml:space="preserve"> </w:t>
      </w:r>
      <w:hyperlink r:id="rId28" w:history="1">
        <w:r w:rsidR="00B34076" w:rsidRPr="001C5257">
          <w:rPr>
            <w:rStyle w:val="Hyperlink"/>
            <w:u w:val="none"/>
            <w:bdr w:val="none" w:sz="0" w:space="0" w:color="auto" w:frame="1"/>
            <w:shd w:val="clear" w:color="auto" w:fill="FFFFFF"/>
            <w:lang w:val="en-GB"/>
          </w:rPr>
          <w:t>https://doi.org/10.1093/geronb/gbv079</w:t>
        </w:r>
      </w:hyperlink>
    </w:p>
    <w:p w14:paraId="2DE37CFD" w14:textId="00C6F3C4" w:rsidR="00420BBE" w:rsidRPr="001C5257" w:rsidRDefault="00420BBE" w:rsidP="008F0DE5">
      <w:pPr>
        <w:ind w:left="426" w:hanging="567"/>
        <w:rPr>
          <w:rStyle w:val="Hyperlink"/>
          <w:color w:val="auto"/>
          <w:u w:val="none"/>
          <w:lang w:val="en-GB"/>
        </w:rPr>
      </w:pPr>
      <w:r w:rsidRPr="001C5257">
        <w:rPr>
          <w:lang w:val="en-GB"/>
        </w:rPr>
        <w:t xml:space="preserve">Parker, C. S. &amp; Towler, C. C. (2019). Race and Authoritarianism in American Politics. </w:t>
      </w:r>
      <w:r w:rsidRPr="001C5257">
        <w:rPr>
          <w:i/>
          <w:iCs/>
          <w:lang w:val="en-GB"/>
        </w:rPr>
        <w:t>Annual Review of Political Science, 22,</w:t>
      </w:r>
      <w:r w:rsidRPr="001C5257">
        <w:rPr>
          <w:lang w:val="en-GB"/>
        </w:rPr>
        <w:t xml:space="preserve"> 503-519. </w:t>
      </w:r>
      <w:hyperlink r:id="rId29" w:history="1">
        <w:r w:rsidR="00B34076" w:rsidRPr="001C5257">
          <w:rPr>
            <w:rStyle w:val="Hyperlink"/>
            <w:u w:val="none"/>
            <w:lang w:val="en-GB"/>
          </w:rPr>
          <w:t>https://doi.org/10.1146/annurev-polisci-050317-064519</w:t>
        </w:r>
      </w:hyperlink>
    </w:p>
    <w:p w14:paraId="0B3EBFB8" w14:textId="41337BE2" w:rsidR="00420BBE" w:rsidRPr="00B34076" w:rsidRDefault="00420BBE" w:rsidP="008F0DE5">
      <w:pPr>
        <w:ind w:left="426" w:hanging="567"/>
        <w:rPr>
          <w:rStyle w:val="Hyperlink"/>
          <w:color w:val="auto"/>
          <w:u w:val="none"/>
        </w:rPr>
      </w:pPr>
      <w:r w:rsidRPr="00FF5657">
        <w:t xml:space="preserve">Safernet (2023). As principais violações para as quais os internautas brasileiros pedem ajuda. Disponível em </w:t>
      </w:r>
      <w:hyperlink r:id="rId30" w:history="1">
        <w:r w:rsidR="00B34076" w:rsidRPr="00B34076">
          <w:rPr>
            <w:rStyle w:val="Hyperlink"/>
            <w:u w:val="none"/>
          </w:rPr>
          <w:t>https://indicadores.safernet.org.br/helpline/helplineviz/helpchart-page.html</w:t>
        </w:r>
      </w:hyperlink>
    </w:p>
    <w:p w14:paraId="56AD6165" w14:textId="0DCE33CA" w:rsidR="00B34076" w:rsidRDefault="00420BBE" w:rsidP="008F0DE5">
      <w:pPr>
        <w:widowControl/>
        <w:ind w:left="426" w:hanging="567"/>
        <w:rPr>
          <w:rStyle w:val="Hyperlink"/>
          <w:color w:val="auto"/>
          <w:u w:val="none"/>
        </w:rPr>
      </w:pPr>
      <w:r w:rsidRPr="00FF5657">
        <w:t xml:space="preserve">Santos, J. J., &amp; Cerqueira-Santos, E. (2020). Homofobia e Escola: Uma Revisão Sistematizada da Literatura. </w:t>
      </w:r>
      <w:r w:rsidRPr="00B34076">
        <w:rPr>
          <w:i/>
          <w:iCs/>
        </w:rPr>
        <w:t>Revista Subjetividades, 20</w:t>
      </w:r>
      <w:r w:rsidR="00B34076">
        <w:t xml:space="preserve">, </w:t>
      </w:r>
      <w:r w:rsidRPr="00FF5657">
        <w:t>e8734.</w:t>
      </w:r>
      <w:r w:rsidR="00B34076">
        <w:t xml:space="preserve"> </w:t>
      </w:r>
      <w:hyperlink r:id="rId31" w:history="1">
        <w:r w:rsidR="00B34076" w:rsidRPr="00B34076">
          <w:rPr>
            <w:rStyle w:val="Hyperlink"/>
            <w:color w:val="006798"/>
            <w:u w:val="none"/>
            <w:shd w:val="clear" w:color="auto" w:fill="FFFFFF"/>
          </w:rPr>
          <w:t>https://doi.org/10.5020/23590777.rs.v20iEsp1.e8734</w:t>
        </w:r>
      </w:hyperlink>
    </w:p>
    <w:p w14:paraId="1AE9E606" w14:textId="62822C45" w:rsidR="00420BBE" w:rsidRPr="001C5257" w:rsidRDefault="00420BBE" w:rsidP="008F0DE5">
      <w:pPr>
        <w:ind w:left="426" w:hanging="567"/>
        <w:rPr>
          <w:rStyle w:val="doi"/>
          <w:bdr w:val="none" w:sz="0" w:space="0" w:color="auto" w:frame="1"/>
          <w:shd w:val="clear" w:color="auto" w:fill="FFFFFF"/>
          <w:lang w:val="en-GB"/>
        </w:rPr>
      </w:pPr>
      <w:r w:rsidRPr="00FF5657">
        <w:rPr>
          <w:shd w:val="clear" w:color="auto" w:fill="FFFFFF"/>
        </w:rPr>
        <w:t xml:space="preserve">Størling, H. M. &amp; Tyran, J.-R. (2018). </w:t>
      </w:r>
      <w:r w:rsidRPr="001C5257">
        <w:rPr>
          <w:rStyle w:val="Ttulo10"/>
          <w:bdr w:val="none" w:sz="0" w:space="0" w:color="auto" w:frame="1"/>
          <w:shd w:val="clear" w:color="auto" w:fill="FFFFFF"/>
          <w:lang w:val="en-GB"/>
        </w:rPr>
        <w:t xml:space="preserve">The Price of Prejudice. </w:t>
      </w:r>
      <w:r w:rsidRPr="001C5257">
        <w:rPr>
          <w:rStyle w:val="journal"/>
          <w:i/>
          <w:iCs/>
          <w:bdr w:val="none" w:sz="0" w:space="0" w:color="auto" w:frame="1"/>
          <w:shd w:val="clear" w:color="auto" w:fill="FFFFFF"/>
          <w:lang w:val="en-GB"/>
        </w:rPr>
        <w:t>American Economic Journal</w:t>
      </w:r>
      <w:r w:rsidR="00B34076" w:rsidRPr="001C5257">
        <w:rPr>
          <w:rStyle w:val="journal"/>
          <w:i/>
          <w:iCs/>
          <w:bdr w:val="none" w:sz="0" w:space="0" w:color="auto" w:frame="1"/>
          <w:shd w:val="clear" w:color="auto" w:fill="FFFFFF"/>
          <w:lang w:val="en-GB"/>
        </w:rPr>
        <w:t xml:space="preserve"> of</w:t>
      </w:r>
      <w:r w:rsidRPr="001C5257">
        <w:rPr>
          <w:rStyle w:val="journal"/>
          <w:i/>
          <w:iCs/>
          <w:bdr w:val="none" w:sz="0" w:space="0" w:color="auto" w:frame="1"/>
          <w:shd w:val="clear" w:color="auto" w:fill="FFFFFF"/>
          <w:lang w:val="en-GB"/>
        </w:rPr>
        <w:t xml:space="preserve"> Applied Economics, </w:t>
      </w:r>
      <w:r w:rsidRPr="001C5257">
        <w:rPr>
          <w:rStyle w:val="vol"/>
          <w:i/>
          <w:iCs/>
          <w:bdr w:val="none" w:sz="0" w:space="0" w:color="auto" w:frame="1"/>
          <w:shd w:val="clear" w:color="auto" w:fill="FFFFFF"/>
          <w:lang w:val="en-GB"/>
        </w:rPr>
        <w:t>10</w:t>
      </w:r>
      <w:r w:rsidRPr="001C5257">
        <w:rPr>
          <w:rStyle w:val="vol"/>
          <w:bdr w:val="none" w:sz="0" w:space="0" w:color="auto" w:frame="1"/>
          <w:shd w:val="clear" w:color="auto" w:fill="FFFFFF"/>
          <w:lang w:val="en-GB"/>
        </w:rPr>
        <w:t>(1), 40–63</w:t>
      </w:r>
      <w:r w:rsidRPr="001C5257">
        <w:rPr>
          <w:rStyle w:val="pages"/>
          <w:bdr w:val="none" w:sz="0" w:space="0" w:color="auto" w:frame="1"/>
          <w:shd w:val="clear" w:color="auto" w:fill="FFFFFF"/>
          <w:lang w:val="en-GB"/>
        </w:rPr>
        <w:t>.</w:t>
      </w:r>
      <w:r w:rsidRPr="001C5257">
        <w:rPr>
          <w:rStyle w:val="pages"/>
          <w:b/>
          <w:bCs/>
          <w:bdr w:val="none" w:sz="0" w:space="0" w:color="auto" w:frame="1"/>
          <w:shd w:val="clear" w:color="auto" w:fill="FFFFFF"/>
          <w:lang w:val="en-GB"/>
        </w:rPr>
        <w:t xml:space="preserve"> </w:t>
      </w:r>
      <w:hyperlink r:id="rId32" w:history="1">
        <w:r w:rsidR="00B34076" w:rsidRPr="001C5257">
          <w:rPr>
            <w:rStyle w:val="Hyperlink"/>
            <w:u w:val="none"/>
            <w:bdr w:val="none" w:sz="0" w:space="0" w:color="auto" w:frame="1"/>
            <w:shd w:val="clear" w:color="auto" w:fill="FFFFFF"/>
            <w:lang w:val="en-GB"/>
          </w:rPr>
          <w:t>https://doi.org/10.1257/app.20150241</w:t>
        </w:r>
      </w:hyperlink>
    </w:p>
    <w:p w14:paraId="1A2A3EF6" w14:textId="1E76E246" w:rsidR="00420BBE" w:rsidRPr="00B34076" w:rsidRDefault="00420BBE" w:rsidP="008F0DE5">
      <w:pPr>
        <w:ind w:left="426" w:hanging="567"/>
      </w:pPr>
      <w:r w:rsidRPr="001C5257">
        <w:rPr>
          <w:shd w:val="clear" w:color="auto" w:fill="FFFFFF"/>
          <w:lang w:val="en-GB"/>
        </w:rPr>
        <w:t>Utsey, S. O., Abrams, J. A., Opare-Henaku, A., Bolden, M. A., &amp; Williams, O. III. (2015). Assessing the psychological consequences of internalized colonialism on the psychological well-being of young adults in Ghana. </w:t>
      </w:r>
      <w:r w:rsidRPr="00FF5657">
        <w:rPr>
          <w:rStyle w:val="nfase"/>
          <w:shd w:val="clear" w:color="auto" w:fill="FFFFFF"/>
        </w:rPr>
        <w:t>Journal of Black Psychology, 41</w:t>
      </w:r>
      <w:r w:rsidRPr="00FF5657">
        <w:rPr>
          <w:shd w:val="clear" w:color="auto" w:fill="FFFFFF"/>
        </w:rPr>
        <w:t>(3), 195–220.</w:t>
      </w:r>
      <w:r w:rsidR="00B34076">
        <w:rPr>
          <w:shd w:val="clear" w:color="auto" w:fill="FFFFFF"/>
        </w:rPr>
        <w:t xml:space="preserve"> </w:t>
      </w:r>
      <w:hyperlink r:id="rId33" w:history="1">
        <w:r w:rsidR="00B34076" w:rsidRPr="00B34076">
          <w:rPr>
            <w:rStyle w:val="Hyperlink"/>
            <w:u w:val="none"/>
            <w:shd w:val="clear" w:color="auto" w:fill="FFFFFF"/>
          </w:rPr>
          <w:t>https://doi.org/10.1177/0095798414537935</w:t>
        </w:r>
      </w:hyperlink>
    </w:p>
    <w:p w14:paraId="61BE2CFC" w14:textId="77777777" w:rsidR="00420BBE" w:rsidRPr="00FF5657" w:rsidRDefault="00420BBE" w:rsidP="008F0DE5">
      <w:pPr>
        <w:pStyle w:val="Ttulo1"/>
        <w:shd w:val="clear" w:color="auto" w:fill="FFFFFF"/>
        <w:ind w:left="426" w:hanging="567"/>
        <w:jc w:val="both"/>
        <w:rPr>
          <w:b w:val="0"/>
          <w:bCs/>
        </w:rPr>
      </w:pPr>
      <w:r w:rsidRPr="00FF5657">
        <w:rPr>
          <w:rStyle w:val="fn"/>
          <w:b w:val="0"/>
          <w:bCs/>
        </w:rPr>
        <w:t xml:space="preserve">Venturi, G. (2005). </w:t>
      </w:r>
      <w:r w:rsidRPr="00FF5657">
        <w:rPr>
          <w:rStyle w:val="fn"/>
          <w:b w:val="0"/>
          <w:bCs/>
          <w:i/>
          <w:iCs/>
        </w:rPr>
        <w:t>Racismo no Brasil</w:t>
      </w:r>
      <w:r w:rsidRPr="00FF5657">
        <w:rPr>
          <w:b w:val="0"/>
          <w:bCs/>
          <w:i/>
          <w:iCs/>
        </w:rPr>
        <w:t xml:space="preserve">: </w:t>
      </w:r>
      <w:r w:rsidRPr="00FF5657">
        <w:rPr>
          <w:rStyle w:val="Subttulo1"/>
          <w:b w:val="0"/>
          <w:bCs/>
          <w:i/>
          <w:iCs/>
        </w:rPr>
        <w:t>percepções da discriminação e do preconceito racial no século XXI</w:t>
      </w:r>
      <w:r w:rsidRPr="00FF5657">
        <w:rPr>
          <w:rStyle w:val="Subttulo1"/>
          <w:b w:val="0"/>
          <w:bCs/>
        </w:rPr>
        <w:t xml:space="preserve">. </w:t>
      </w:r>
      <w:r w:rsidRPr="00FF5657">
        <w:rPr>
          <w:b w:val="0"/>
          <w:bCs/>
          <w:shd w:val="clear" w:color="auto" w:fill="FFFFFF"/>
        </w:rPr>
        <w:t>Editora Fundação Perseu Abramo.</w:t>
      </w:r>
    </w:p>
    <w:p w14:paraId="57D097EC" w14:textId="1B2913DA" w:rsidR="00420BBE" w:rsidRPr="00FF5657" w:rsidRDefault="00420BBE" w:rsidP="008F0DE5">
      <w:pPr>
        <w:ind w:left="426" w:hanging="567"/>
        <w:rPr>
          <w:highlight w:val="white"/>
        </w:rPr>
      </w:pPr>
      <w:r w:rsidRPr="00FF5657">
        <w:rPr>
          <w:highlight w:val="white"/>
        </w:rPr>
        <w:t>Vieira, R. D. S. (2018). Idadismo: a influência de subtipos nas atitudes sobre os idosos.</w:t>
      </w:r>
      <w:r w:rsidR="00B34076">
        <w:rPr>
          <w:highlight w:val="white"/>
        </w:rPr>
        <w:t xml:space="preserve"> </w:t>
      </w:r>
      <w:r w:rsidR="00B34076" w:rsidRPr="00B34076">
        <w:rPr>
          <w:i/>
          <w:iCs/>
        </w:rPr>
        <w:t>Tese de Doutorado não publicada.</w:t>
      </w:r>
      <w:r w:rsidR="00B34076">
        <w:t xml:space="preserve"> PPGPSI-Universidade Federal da Bahia.</w:t>
      </w:r>
    </w:p>
    <w:p w14:paraId="78612F1E" w14:textId="4E108015" w:rsidR="00420BBE" w:rsidRPr="00B34076" w:rsidRDefault="00420BBE" w:rsidP="008F0DE5">
      <w:pPr>
        <w:ind w:left="426" w:hanging="567"/>
        <w:rPr>
          <w:rStyle w:val="Hyperlink"/>
          <w:color w:val="auto"/>
          <w:u w:val="none"/>
          <w:shd w:val="clear" w:color="auto" w:fill="FFFFFF"/>
        </w:rPr>
      </w:pPr>
      <w:r w:rsidRPr="00FF5657">
        <w:rPr>
          <w:shd w:val="clear" w:color="auto" w:fill="FFFFFF"/>
        </w:rPr>
        <w:t>Vizoso, C., Vega, S., &amp; Fernández, E. (2018). Actitudes negativas hacia la obesidad en jóvenes Españoles: Diferencias por sexo, edad y nivel educativo</w:t>
      </w:r>
      <w:r w:rsidR="00B34076">
        <w:rPr>
          <w:shd w:val="clear" w:color="auto" w:fill="FFFFFF"/>
        </w:rPr>
        <w:t xml:space="preserve">. </w:t>
      </w:r>
      <w:r w:rsidRPr="00FF5657">
        <w:rPr>
          <w:rStyle w:val="nfase"/>
          <w:shd w:val="clear" w:color="auto" w:fill="FFFFFF"/>
        </w:rPr>
        <w:t>Revista de Psicología Clínica con Niños y Adolescentes, 5</w:t>
      </w:r>
      <w:r w:rsidRPr="00FF5657">
        <w:rPr>
          <w:shd w:val="clear" w:color="auto" w:fill="FFFFFF"/>
        </w:rPr>
        <w:t>(1), 32–36.</w:t>
      </w:r>
      <w:r w:rsidR="00B34076">
        <w:rPr>
          <w:shd w:val="clear" w:color="auto" w:fill="FFFFFF"/>
        </w:rPr>
        <w:t xml:space="preserve"> </w:t>
      </w:r>
      <w:hyperlink r:id="rId34" w:history="1">
        <w:r w:rsidR="00B34076" w:rsidRPr="00B34076">
          <w:rPr>
            <w:rStyle w:val="Hyperlink"/>
            <w:u w:val="none"/>
            <w:shd w:val="clear" w:color="auto" w:fill="FFFFFF"/>
          </w:rPr>
          <w:t>https://doi.org/10.21134/rpcna.2018.05.1.4</w:t>
        </w:r>
      </w:hyperlink>
    </w:p>
    <w:p w14:paraId="435991CD" w14:textId="32764D5A" w:rsidR="00420BBE" w:rsidRPr="00B34076" w:rsidRDefault="00420BBE" w:rsidP="008F0DE5">
      <w:pPr>
        <w:ind w:left="426" w:hanging="567"/>
        <w:rPr>
          <w:rStyle w:val="Hyperlink"/>
          <w:color w:val="auto"/>
          <w:u w:val="none"/>
        </w:rPr>
      </w:pPr>
      <w:r w:rsidRPr="001C5257">
        <w:rPr>
          <w:lang w:val="en-GB"/>
        </w:rPr>
        <w:t xml:space="preserve">WJP -World Justice Project (2023). Discrimination is Getting Worse Globally. </w:t>
      </w:r>
      <w:r w:rsidRPr="00FF5657">
        <w:t>Disponível em</w:t>
      </w:r>
      <w:r w:rsidR="00B34076">
        <w:t xml:space="preserve"> </w:t>
      </w:r>
      <w:hyperlink r:id="rId35" w:history="1">
        <w:r w:rsidR="00B34076" w:rsidRPr="00B34076">
          <w:rPr>
            <w:rStyle w:val="Hyperlink"/>
            <w:u w:val="none"/>
          </w:rPr>
          <w:t>https://worldjusticeproject.org/news/discrimination-getting-worse-globally</w:t>
        </w:r>
      </w:hyperlink>
    </w:p>
    <w:sectPr w:rsidR="00420BBE" w:rsidRPr="00B34076">
      <w:pgSz w:w="11906" w:h="16838"/>
      <w:pgMar w:top="1417" w:right="1701" w:bottom="1417" w:left="17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F02DF" w14:textId="77777777" w:rsidR="005A472B" w:rsidRDefault="005A472B">
      <w:pPr>
        <w:spacing w:line="240" w:lineRule="auto"/>
      </w:pPr>
      <w:r>
        <w:separator/>
      </w:r>
    </w:p>
  </w:endnote>
  <w:endnote w:type="continuationSeparator" w:id="0">
    <w:p w14:paraId="3E673AFF" w14:textId="77777777" w:rsidR="005A472B" w:rsidRDefault="005A4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Pro-Regular">
    <w:altName w:val="Yu Gothic"/>
    <w:panose1 w:val="00000000000000000000"/>
    <w:charset w:val="80"/>
    <w:family w:val="swiss"/>
    <w:notTrueType/>
    <w:pitch w:val="default"/>
    <w:sig w:usb0="00000001" w:usb1="08070000" w:usb2="00000010" w:usb3="00000000" w:csb0="00020000"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9D8D7" w14:textId="77777777" w:rsidR="005A472B" w:rsidRDefault="005A472B">
      <w:pPr>
        <w:spacing w:line="240" w:lineRule="auto"/>
      </w:pPr>
      <w:r>
        <w:separator/>
      </w:r>
    </w:p>
  </w:footnote>
  <w:footnote w:type="continuationSeparator" w:id="0">
    <w:p w14:paraId="5B5C2034" w14:textId="77777777" w:rsidR="005A472B" w:rsidRDefault="005A47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64" w14:textId="45B8734E" w:rsidR="00B34076" w:rsidRDefault="00B34076">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26B59"/>
    <w:multiLevelType w:val="multilevel"/>
    <w:tmpl w:val="04BA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BBE"/>
    <w:rsid w:val="0000504F"/>
    <w:rsid w:val="00022A8F"/>
    <w:rsid w:val="000306A9"/>
    <w:rsid w:val="00033DB7"/>
    <w:rsid w:val="0003572F"/>
    <w:rsid w:val="00062581"/>
    <w:rsid w:val="00094E22"/>
    <w:rsid w:val="000B6903"/>
    <w:rsid w:val="000C4455"/>
    <w:rsid w:val="000C6486"/>
    <w:rsid w:val="000D6919"/>
    <w:rsid w:val="000E377D"/>
    <w:rsid w:val="00101CD9"/>
    <w:rsid w:val="001448E7"/>
    <w:rsid w:val="00147452"/>
    <w:rsid w:val="00173CDC"/>
    <w:rsid w:val="00181A64"/>
    <w:rsid w:val="0019200D"/>
    <w:rsid w:val="001B63D9"/>
    <w:rsid w:val="001C5257"/>
    <w:rsid w:val="001E24D2"/>
    <w:rsid w:val="001E6498"/>
    <w:rsid w:val="001F37BA"/>
    <w:rsid w:val="001F58C4"/>
    <w:rsid w:val="00231BC8"/>
    <w:rsid w:val="00242A4F"/>
    <w:rsid w:val="002530CA"/>
    <w:rsid w:val="00253DB0"/>
    <w:rsid w:val="002565AC"/>
    <w:rsid w:val="00266C4C"/>
    <w:rsid w:val="00272119"/>
    <w:rsid w:val="002A511F"/>
    <w:rsid w:val="002A79DA"/>
    <w:rsid w:val="002B7421"/>
    <w:rsid w:val="002E05CE"/>
    <w:rsid w:val="002E7369"/>
    <w:rsid w:val="003042EC"/>
    <w:rsid w:val="00326CC0"/>
    <w:rsid w:val="00333E7B"/>
    <w:rsid w:val="003456C0"/>
    <w:rsid w:val="00362FD6"/>
    <w:rsid w:val="0039591A"/>
    <w:rsid w:val="003B5978"/>
    <w:rsid w:val="003B7915"/>
    <w:rsid w:val="003E0547"/>
    <w:rsid w:val="003F6614"/>
    <w:rsid w:val="00420BBE"/>
    <w:rsid w:val="00424241"/>
    <w:rsid w:val="00453F83"/>
    <w:rsid w:val="00477474"/>
    <w:rsid w:val="004861D0"/>
    <w:rsid w:val="004B2A55"/>
    <w:rsid w:val="004D44BE"/>
    <w:rsid w:val="004E6A81"/>
    <w:rsid w:val="00507911"/>
    <w:rsid w:val="0055315F"/>
    <w:rsid w:val="005A472B"/>
    <w:rsid w:val="005A6636"/>
    <w:rsid w:val="005B0717"/>
    <w:rsid w:val="005C6427"/>
    <w:rsid w:val="005C6DC5"/>
    <w:rsid w:val="005D61BC"/>
    <w:rsid w:val="005E0C61"/>
    <w:rsid w:val="0060377F"/>
    <w:rsid w:val="00606CF1"/>
    <w:rsid w:val="00607669"/>
    <w:rsid w:val="00617E7C"/>
    <w:rsid w:val="00622C1B"/>
    <w:rsid w:val="0064451A"/>
    <w:rsid w:val="0064757B"/>
    <w:rsid w:val="0068300D"/>
    <w:rsid w:val="006A0E84"/>
    <w:rsid w:val="006B43B9"/>
    <w:rsid w:val="006B7CCA"/>
    <w:rsid w:val="006C732D"/>
    <w:rsid w:val="006E2AAD"/>
    <w:rsid w:val="006E464E"/>
    <w:rsid w:val="006F7C1E"/>
    <w:rsid w:val="00726151"/>
    <w:rsid w:val="007C01C1"/>
    <w:rsid w:val="007D6A34"/>
    <w:rsid w:val="007E281F"/>
    <w:rsid w:val="007F0FCD"/>
    <w:rsid w:val="007F54C4"/>
    <w:rsid w:val="008026BB"/>
    <w:rsid w:val="008074D5"/>
    <w:rsid w:val="0081196E"/>
    <w:rsid w:val="00813C54"/>
    <w:rsid w:val="00813CAF"/>
    <w:rsid w:val="008409A4"/>
    <w:rsid w:val="008571C7"/>
    <w:rsid w:val="00877FEC"/>
    <w:rsid w:val="008868D1"/>
    <w:rsid w:val="00891A17"/>
    <w:rsid w:val="008967B0"/>
    <w:rsid w:val="008A713B"/>
    <w:rsid w:val="008A7894"/>
    <w:rsid w:val="008B7CA6"/>
    <w:rsid w:val="008D5880"/>
    <w:rsid w:val="008F0DE5"/>
    <w:rsid w:val="008F56D7"/>
    <w:rsid w:val="00905AA6"/>
    <w:rsid w:val="009239FA"/>
    <w:rsid w:val="00924AB9"/>
    <w:rsid w:val="00957D70"/>
    <w:rsid w:val="009A1727"/>
    <w:rsid w:val="009C0660"/>
    <w:rsid w:val="009C1B8F"/>
    <w:rsid w:val="009C713E"/>
    <w:rsid w:val="009D0207"/>
    <w:rsid w:val="009E6260"/>
    <w:rsid w:val="00A327A6"/>
    <w:rsid w:val="00A36E93"/>
    <w:rsid w:val="00A4612B"/>
    <w:rsid w:val="00A56551"/>
    <w:rsid w:val="00A56B1A"/>
    <w:rsid w:val="00A72E1F"/>
    <w:rsid w:val="00A94AAE"/>
    <w:rsid w:val="00A95BBE"/>
    <w:rsid w:val="00AB0E84"/>
    <w:rsid w:val="00AB5BA7"/>
    <w:rsid w:val="00AC2E00"/>
    <w:rsid w:val="00AC4D72"/>
    <w:rsid w:val="00AF3987"/>
    <w:rsid w:val="00B02BBD"/>
    <w:rsid w:val="00B247BA"/>
    <w:rsid w:val="00B34076"/>
    <w:rsid w:val="00B603B8"/>
    <w:rsid w:val="00B9628C"/>
    <w:rsid w:val="00BB30B4"/>
    <w:rsid w:val="00BB4F72"/>
    <w:rsid w:val="00C30C68"/>
    <w:rsid w:val="00C52600"/>
    <w:rsid w:val="00CA2FCE"/>
    <w:rsid w:val="00CA5864"/>
    <w:rsid w:val="00CB32EC"/>
    <w:rsid w:val="00CC0518"/>
    <w:rsid w:val="00CD0F84"/>
    <w:rsid w:val="00CE0F07"/>
    <w:rsid w:val="00D33F7E"/>
    <w:rsid w:val="00D34817"/>
    <w:rsid w:val="00D41584"/>
    <w:rsid w:val="00D50C46"/>
    <w:rsid w:val="00D620A3"/>
    <w:rsid w:val="00D72FD6"/>
    <w:rsid w:val="00D7684E"/>
    <w:rsid w:val="00D949E5"/>
    <w:rsid w:val="00DB2177"/>
    <w:rsid w:val="00DB7957"/>
    <w:rsid w:val="00DC261D"/>
    <w:rsid w:val="00DD3B60"/>
    <w:rsid w:val="00DE02CD"/>
    <w:rsid w:val="00E00D2C"/>
    <w:rsid w:val="00E22BCD"/>
    <w:rsid w:val="00E3706D"/>
    <w:rsid w:val="00E55DE5"/>
    <w:rsid w:val="00E622C7"/>
    <w:rsid w:val="00E92CDE"/>
    <w:rsid w:val="00EA0337"/>
    <w:rsid w:val="00EA6DDA"/>
    <w:rsid w:val="00EA7411"/>
    <w:rsid w:val="00EC2200"/>
    <w:rsid w:val="00EE3E26"/>
    <w:rsid w:val="00EF3B4B"/>
    <w:rsid w:val="00F1590E"/>
    <w:rsid w:val="00F245A2"/>
    <w:rsid w:val="00F25D1A"/>
    <w:rsid w:val="00F41F5F"/>
    <w:rsid w:val="00F91291"/>
    <w:rsid w:val="00F93440"/>
    <w:rsid w:val="00FB6883"/>
    <w:rsid w:val="00FD2122"/>
    <w:rsid w:val="00FE16DA"/>
    <w:rsid w:val="00FF56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D9F"/>
  <w15:docId w15:val="{97D75F43-6064-434B-8DF5-46CD0E46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pPr>
        <w:widowControl w:val="0"/>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12"/>
  </w:style>
  <w:style w:type="paragraph" w:styleId="Ttulo1">
    <w:name w:val="heading 1"/>
    <w:basedOn w:val="Normal"/>
    <w:next w:val="Normal"/>
    <w:link w:val="Ttulo1Char"/>
    <w:uiPriority w:val="9"/>
    <w:qFormat/>
    <w:rsid w:val="003E4112"/>
    <w:pPr>
      <w:jc w:val="left"/>
      <w:outlineLvl w:val="0"/>
    </w:pPr>
    <w:rPr>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3E4112"/>
    <w:rPr>
      <w:rFonts w:ascii="Times New Roman" w:eastAsia="Times New Roman" w:hAnsi="Times New Roman" w:cs="Times New Roman"/>
      <w:b/>
      <w:sz w:val="24"/>
      <w:szCs w:val="24"/>
      <w:lang w:eastAsia="pt-BR"/>
    </w:rPr>
  </w:style>
  <w:style w:type="paragraph" w:styleId="PargrafodaLista">
    <w:name w:val="List Paragraph"/>
    <w:basedOn w:val="Normal"/>
    <w:uiPriority w:val="34"/>
    <w:qFormat/>
    <w:rsid w:val="00FE1AFF"/>
    <w:pPr>
      <w:ind w:left="720"/>
      <w:contextualSpacing/>
    </w:pPr>
  </w:style>
  <w:style w:type="table" w:styleId="Tabelacomgrade">
    <w:name w:val="Table Grid"/>
    <w:basedOn w:val="Tabelanormal"/>
    <w:uiPriority w:val="39"/>
    <w:rsid w:val="001304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518E3"/>
    <w:pPr>
      <w:tabs>
        <w:tab w:val="center" w:pos="4252"/>
        <w:tab w:val="right" w:pos="8504"/>
      </w:tabs>
      <w:spacing w:line="240" w:lineRule="auto"/>
    </w:pPr>
  </w:style>
  <w:style w:type="character" w:customStyle="1" w:styleId="CabealhoChar">
    <w:name w:val="Cabeçalho Char"/>
    <w:basedOn w:val="Fontepargpadro"/>
    <w:link w:val="Cabealho"/>
    <w:uiPriority w:val="99"/>
    <w:rsid w:val="009518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50860"/>
    <w:pPr>
      <w:tabs>
        <w:tab w:val="center" w:pos="4252"/>
        <w:tab w:val="right" w:pos="8504"/>
      </w:tabs>
      <w:spacing w:line="240" w:lineRule="auto"/>
    </w:pPr>
  </w:style>
  <w:style w:type="character" w:customStyle="1" w:styleId="RodapChar">
    <w:name w:val="Rodapé Char"/>
    <w:basedOn w:val="Fontepargpadro"/>
    <w:link w:val="Rodap"/>
    <w:uiPriority w:val="99"/>
    <w:rsid w:val="00150860"/>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47B17"/>
    <w:pPr>
      <w:widowControl/>
      <w:spacing w:before="100" w:beforeAutospacing="1" w:after="100" w:afterAutospacing="1" w:line="240" w:lineRule="auto"/>
      <w:ind w:firstLine="0"/>
      <w:jc w:val="left"/>
    </w:pPr>
  </w:style>
  <w:style w:type="character" w:styleId="Hyperlink">
    <w:name w:val="Hyperlink"/>
    <w:basedOn w:val="Fontepargpadro"/>
    <w:uiPriority w:val="99"/>
    <w:unhideWhenUsed/>
    <w:rsid w:val="001C5D4D"/>
    <w:rPr>
      <w:color w:val="0563C1" w:themeColor="hyperlink"/>
      <w:u w:val="single"/>
    </w:rPr>
  </w:style>
  <w:style w:type="character" w:customStyle="1" w:styleId="MenoPendente1">
    <w:name w:val="Menção Pendente1"/>
    <w:basedOn w:val="Fontepargpadro"/>
    <w:uiPriority w:val="99"/>
    <w:semiHidden/>
    <w:unhideWhenUsed/>
    <w:rsid w:val="001C5D4D"/>
    <w:rPr>
      <w:color w:val="605E5C"/>
      <w:shd w:val="clear" w:color="auto" w:fill="E1DFDD"/>
    </w:rPr>
  </w:style>
  <w:style w:type="character" w:styleId="Refdecomentrio">
    <w:name w:val="annotation reference"/>
    <w:basedOn w:val="Fontepargpadro"/>
    <w:uiPriority w:val="99"/>
    <w:semiHidden/>
    <w:unhideWhenUsed/>
    <w:rsid w:val="00265D60"/>
    <w:rPr>
      <w:sz w:val="16"/>
      <w:szCs w:val="16"/>
    </w:rPr>
  </w:style>
  <w:style w:type="paragraph" w:styleId="Textodecomentrio">
    <w:name w:val="annotation text"/>
    <w:basedOn w:val="Normal"/>
    <w:link w:val="TextodecomentrioChar"/>
    <w:uiPriority w:val="99"/>
    <w:unhideWhenUsed/>
    <w:rsid w:val="00265D60"/>
    <w:pPr>
      <w:spacing w:line="240" w:lineRule="auto"/>
    </w:pPr>
    <w:rPr>
      <w:sz w:val="20"/>
      <w:szCs w:val="20"/>
    </w:rPr>
  </w:style>
  <w:style w:type="character" w:customStyle="1" w:styleId="TextodecomentrioChar">
    <w:name w:val="Texto de comentário Char"/>
    <w:basedOn w:val="Fontepargpadro"/>
    <w:link w:val="Textodecomentrio"/>
    <w:uiPriority w:val="99"/>
    <w:rsid w:val="00265D6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65D60"/>
    <w:rPr>
      <w:b/>
      <w:bCs/>
    </w:rPr>
  </w:style>
  <w:style w:type="character" w:customStyle="1" w:styleId="AssuntodocomentrioChar">
    <w:name w:val="Assunto do comentário Char"/>
    <w:basedOn w:val="TextodecomentrioChar"/>
    <w:link w:val="Assuntodocomentrio"/>
    <w:uiPriority w:val="99"/>
    <w:semiHidden/>
    <w:rsid w:val="00265D60"/>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4315A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315AD"/>
    <w:rPr>
      <w:rFonts w:ascii="Segoe UI" w:eastAsia="Times New Roman" w:hAnsi="Segoe UI" w:cs="Segoe UI"/>
      <w:sz w:val="18"/>
      <w:szCs w:val="18"/>
      <w:lang w:eastAsia="pt-BR"/>
    </w:rPr>
  </w:style>
  <w:style w:type="paragraph" w:customStyle="1" w:styleId="Default">
    <w:name w:val="Default"/>
    <w:rsid w:val="00207A13"/>
    <w:pPr>
      <w:autoSpaceDE w:val="0"/>
      <w:autoSpaceDN w:val="0"/>
      <w:adjustRightInd w:val="0"/>
      <w:spacing w:line="240" w:lineRule="auto"/>
    </w:pPr>
    <w:rPr>
      <w:rFonts w:ascii="Verdana" w:hAnsi="Verdana" w:cs="Verdana"/>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styleId="nfase">
    <w:name w:val="Emphasis"/>
    <w:basedOn w:val="Fontepargpadro"/>
    <w:uiPriority w:val="20"/>
    <w:qFormat/>
    <w:rsid w:val="00FE16DA"/>
    <w:rPr>
      <w:i/>
      <w:iCs/>
    </w:rPr>
  </w:style>
  <w:style w:type="character" w:customStyle="1" w:styleId="MenoPendente2">
    <w:name w:val="Menção Pendente2"/>
    <w:basedOn w:val="Fontepargpadro"/>
    <w:uiPriority w:val="99"/>
    <w:semiHidden/>
    <w:unhideWhenUsed/>
    <w:rsid w:val="00022A8F"/>
    <w:rPr>
      <w:color w:val="605E5C"/>
      <w:shd w:val="clear" w:color="auto" w:fill="E1DFDD"/>
    </w:rPr>
  </w:style>
  <w:style w:type="character" w:styleId="MenoPendente">
    <w:name w:val="Unresolved Mention"/>
    <w:basedOn w:val="Fontepargpadro"/>
    <w:uiPriority w:val="99"/>
    <w:semiHidden/>
    <w:unhideWhenUsed/>
    <w:rsid w:val="00266C4C"/>
    <w:rPr>
      <w:color w:val="605E5C"/>
      <w:shd w:val="clear" w:color="auto" w:fill="E1DFDD"/>
    </w:rPr>
  </w:style>
  <w:style w:type="character" w:customStyle="1" w:styleId="accesstext">
    <w:name w:val="accesstext"/>
    <w:basedOn w:val="Fontepargpadro"/>
    <w:rsid w:val="000D6919"/>
  </w:style>
  <w:style w:type="paragraph" w:customStyle="1" w:styleId="data-author">
    <w:name w:val="data-author"/>
    <w:basedOn w:val="Normal"/>
    <w:rsid w:val="000D6919"/>
    <w:pPr>
      <w:widowControl/>
      <w:spacing w:before="100" w:beforeAutospacing="1" w:after="100" w:afterAutospacing="1" w:line="240" w:lineRule="auto"/>
      <w:ind w:firstLine="0"/>
      <w:jc w:val="left"/>
    </w:pPr>
  </w:style>
  <w:style w:type="character" w:customStyle="1" w:styleId="meta-value">
    <w:name w:val="meta-value"/>
    <w:basedOn w:val="Fontepargpadro"/>
    <w:rsid w:val="000D6919"/>
  </w:style>
  <w:style w:type="character" w:customStyle="1" w:styleId="js-plus">
    <w:name w:val="js-plus"/>
    <w:basedOn w:val="Fontepargpadro"/>
    <w:rsid w:val="000D6919"/>
  </w:style>
  <w:style w:type="character" w:customStyle="1" w:styleId="underline">
    <w:name w:val="underline"/>
    <w:basedOn w:val="Fontepargpadro"/>
    <w:rsid w:val="000D6919"/>
  </w:style>
  <w:style w:type="paragraph" w:customStyle="1" w:styleId="article-meta-dataitem">
    <w:name w:val="article-meta-data__item"/>
    <w:basedOn w:val="Normal"/>
    <w:rsid w:val="000D6919"/>
    <w:pPr>
      <w:widowControl/>
      <w:spacing w:before="100" w:beforeAutospacing="1" w:after="100" w:afterAutospacing="1" w:line="240" w:lineRule="auto"/>
      <w:ind w:firstLine="0"/>
      <w:jc w:val="left"/>
    </w:pPr>
  </w:style>
  <w:style w:type="character" w:customStyle="1" w:styleId="meta-container">
    <w:name w:val="meta-container"/>
    <w:basedOn w:val="Fontepargpadro"/>
    <w:rsid w:val="000D6919"/>
  </w:style>
  <w:style w:type="character" w:customStyle="1" w:styleId="fn">
    <w:name w:val="fn"/>
    <w:basedOn w:val="Fontepargpadro"/>
    <w:rsid w:val="00507911"/>
  </w:style>
  <w:style w:type="character" w:customStyle="1" w:styleId="Subttulo1">
    <w:name w:val="Subtítulo1"/>
    <w:basedOn w:val="Fontepargpadro"/>
    <w:rsid w:val="00507911"/>
  </w:style>
  <w:style w:type="character" w:customStyle="1" w:styleId="year">
    <w:name w:val="year"/>
    <w:basedOn w:val="Fontepargpadro"/>
    <w:rsid w:val="00326CC0"/>
  </w:style>
  <w:style w:type="character" w:customStyle="1" w:styleId="Ttulo10">
    <w:name w:val="Título1"/>
    <w:basedOn w:val="Fontepargpadro"/>
    <w:rsid w:val="00326CC0"/>
  </w:style>
  <w:style w:type="character" w:customStyle="1" w:styleId="journal">
    <w:name w:val="journal"/>
    <w:basedOn w:val="Fontepargpadro"/>
    <w:rsid w:val="00326CC0"/>
  </w:style>
  <w:style w:type="character" w:customStyle="1" w:styleId="vol">
    <w:name w:val="vol"/>
    <w:basedOn w:val="Fontepargpadro"/>
    <w:rsid w:val="00326CC0"/>
  </w:style>
  <w:style w:type="character" w:customStyle="1" w:styleId="pages">
    <w:name w:val="pages"/>
    <w:basedOn w:val="Fontepargpadro"/>
    <w:rsid w:val="00326CC0"/>
  </w:style>
  <w:style w:type="character" w:customStyle="1" w:styleId="doi">
    <w:name w:val="doi"/>
    <w:basedOn w:val="Fontepargpadro"/>
    <w:rsid w:val="00326CC0"/>
  </w:style>
  <w:style w:type="character" w:customStyle="1" w:styleId="article-title">
    <w:name w:val="article-title"/>
    <w:basedOn w:val="Fontepargpadro"/>
    <w:rsid w:val="007F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4211">
      <w:bodyDiv w:val="1"/>
      <w:marLeft w:val="0"/>
      <w:marRight w:val="0"/>
      <w:marTop w:val="0"/>
      <w:marBottom w:val="0"/>
      <w:divBdr>
        <w:top w:val="none" w:sz="0" w:space="0" w:color="auto"/>
        <w:left w:val="none" w:sz="0" w:space="0" w:color="auto"/>
        <w:bottom w:val="none" w:sz="0" w:space="0" w:color="auto"/>
        <w:right w:val="none" w:sz="0" w:space="0" w:color="auto"/>
      </w:divBdr>
      <w:divsChild>
        <w:div w:id="284847845">
          <w:marLeft w:val="0"/>
          <w:marRight w:val="0"/>
          <w:marTop w:val="0"/>
          <w:marBottom w:val="0"/>
          <w:divBdr>
            <w:top w:val="none" w:sz="0" w:space="0" w:color="auto"/>
            <w:left w:val="none" w:sz="0" w:space="0" w:color="auto"/>
            <w:bottom w:val="none" w:sz="0" w:space="0" w:color="auto"/>
            <w:right w:val="none" w:sz="0" w:space="0" w:color="auto"/>
          </w:divBdr>
        </w:div>
      </w:divsChild>
    </w:div>
    <w:div w:id="53044322">
      <w:bodyDiv w:val="1"/>
      <w:marLeft w:val="0"/>
      <w:marRight w:val="0"/>
      <w:marTop w:val="0"/>
      <w:marBottom w:val="0"/>
      <w:divBdr>
        <w:top w:val="none" w:sz="0" w:space="0" w:color="auto"/>
        <w:left w:val="none" w:sz="0" w:space="0" w:color="auto"/>
        <w:bottom w:val="none" w:sz="0" w:space="0" w:color="auto"/>
        <w:right w:val="none" w:sz="0" w:space="0" w:color="auto"/>
      </w:divBdr>
      <w:divsChild>
        <w:div w:id="1728139873">
          <w:marLeft w:val="0"/>
          <w:marRight w:val="0"/>
          <w:marTop w:val="0"/>
          <w:marBottom w:val="0"/>
          <w:divBdr>
            <w:top w:val="none" w:sz="0" w:space="0" w:color="auto"/>
            <w:left w:val="none" w:sz="0" w:space="0" w:color="auto"/>
            <w:bottom w:val="none" w:sz="0" w:space="0" w:color="auto"/>
            <w:right w:val="none" w:sz="0" w:space="0" w:color="auto"/>
          </w:divBdr>
          <w:divsChild>
            <w:div w:id="1509709796">
              <w:marLeft w:val="0"/>
              <w:marRight w:val="0"/>
              <w:marTop w:val="0"/>
              <w:marBottom w:val="0"/>
              <w:divBdr>
                <w:top w:val="none" w:sz="0" w:space="0" w:color="auto"/>
                <w:left w:val="none" w:sz="0" w:space="0" w:color="auto"/>
                <w:bottom w:val="none" w:sz="0" w:space="0" w:color="auto"/>
                <w:right w:val="none" w:sz="0" w:space="0" w:color="auto"/>
              </w:divBdr>
              <w:divsChild>
                <w:div w:id="382951106">
                  <w:marLeft w:val="0"/>
                  <w:marRight w:val="0"/>
                  <w:marTop w:val="0"/>
                  <w:marBottom w:val="0"/>
                  <w:divBdr>
                    <w:top w:val="none" w:sz="0" w:space="0" w:color="auto"/>
                    <w:left w:val="none" w:sz="0" w:space="0" w:color="auto"/>
                    <w:bottom w:val="none" w:sz="0" w:space="0" w:color="auto"/>
                    <w:right w:val="none" w:sz="0" w:space="0" w:color="auto"/>
                  </w:divBdr>
                  <w:divsChild>
                    <w:div w:id="2668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82573">
      <w:bodyDiv w:val="1"/>
      <w:marLeft w:val="0"/>
      <w:marRight w:val="0"/>
      <w:marTop w:val="0"/>
      <w:marBottom w:val="0"/>
      <w:divBdr>
        <w:top w:val="none" w:sz="0" w:space="0" w:color="auto"/>
        <w:left w:val="none" w:sz="0" w:space="0" w:color="auto"/>
        <w:bottom w:val="none" w:sz="0" w:space="0" w:color="auto"/>
        <w:right w:val="none" w:sz="0" w:space="0" w:color="auto"/>
      </w:divBdr>
      <w:divsChild>
        <w:div w:id="594173837">
          <w:marLeft w:val="0"/>
          <w:marRight w:val="0"/>
          <w:marTop w:val="0"/>
          <w:marBottom w:val="0"/>
          <w:divBdr>
            <w:top w:val="none" w:sz="0" w:space="0" w:color="auto"/>
            <w:left w:val="none" w:sz="0" w:space="0" w:color="auto"/>
            <w:bottom w:val="none" w:sz="0" w:space="0" w:color="auto"/>
            <w:right w:val="none" w:sz="0" w:space="0" w:color="auto"/>
          </w:divBdr>
        </w:div>
        <w:div w:id="1290818159">
          <w:marLeft w:val="0"/>
          <w:marRight w:val="0"/>
          <w:marTop w:val="0"/>
          <w:marBottom w:val="0"/>
          <w:divBdr>
            <w:top w:val="none" w:sz="0" w:space="0" w:color="auto"/>
            <w:left w:val="none" w:sz="0" w:space="0" w:color="auto"/>
            <w:bottom w:val="none" w:sz="0" w:space="0" w:color="auto"/>
            <w:right w:val="none" w:sz="0" w:space="0" w:color="auto"/>
          </w:divBdr>
        </w:div>
        <w:div w:id="1264723754">
          <w:marLeft w:val="0"/>
          <w:marRight w:val="0"/>
          <w:marTop w:val="30"/>
          <w:marBottom w:val="30"/>
          <w:divBdr>
            <w:top w:val="none" w:sz="0" w:space="0" w:color="auto"/>
            <w:left w:val="none" w:sz="0" w:space="0" w:color="auto"/>
            <w:bottom w:val="none" w:sz="0" w:space="0" w:color="auto"/>
            <w:right w:val="none" w:sz="0" w:space="0" w:color="auto"/>
          </w:divBdr>
        </w:div>
      </w:divsChild>
    </w:div>
    <w:div w:id="583957953">
      <w:bodyDiv w:val="1"/>
      <w:marLeft w:val="0"/>
      <w:marRight w:val="0"/>
      <w:marTop w:val="0"/>
      <w:marBottom w:val="0"/>
      <w:divBdr>
        <w:top w:val="none" w:sz="0" w:space="0" w:color="auto"/>
        <w:left w:val="none" w:sz="0" w:space="0" w:color="auto"/>
        <w:bottom w:val="none" w:sz="0" w:space="0" w:color="auto"/>
        <w:right w:val="none" w:sz="0" w:space="0" w:color="auto"/>
      </w:divBdr>
    </w:div>
    <w:div w:id="687410038">
      <w:bodyDiv w:val="1"/>
      <w:marLeft w:val="0"/>
      <w:marRight w:val="0"/>
      <w:marTop w:val="0"/>
      <w:marBottom w:val="0"/>
      <w:divBdr>
        <w:top w:val="none" w:sz="0" w:space="0" w:color="auto"/>
        <w:left w:val="none" w:sz="0" w:space="0" w:color="auto"/>
        <w:bottom w:val="none" w:sz="0" w:space="0" w:color="auto"/>
        <w:right w:val="none" w:sz="0" w:space="0" w:color="auto"/>
      </w:divBdr>
      <w:divsChild>
        <w:div w:id="1178620548">
          <w:marLeft w:val="0"/>
          <w:marRight w:val="0"/>
          <w:marTop w:val="0"/>
          <w:marBottom w:val="0"/>
          <w:divBdr>
            <w:top w:val="none" w:sz="0" w:space="0" w:color="auto"/>
            <w:left w:val="none" w:sz="0" w:space="0" w:color="auto"/>
            <w:bottom w:val="none" w:sz="0" w:space="0" w:color="auto"/>
            <w:right w:val="none" w:sz="0" w:space="0" w:color="auto"/>
          </w:divBdr>
          <w:divsChild>
            <w:div w:id="1704360026">
              <w:marLeft w:val="0"/>
              <w:marRight w:val="0"/>
              <w:marTop w:val="0"/>
              <w:marBottom w:val="0"/>
              <w:divBdr>
                <w:top w:val="none" w:sz="0" w:space="0" w:color="auto"/>
                <w:left w:val="none" w:sz="0" w:space="0" w:color="auto"/>
                <w:bottom w:val="none" w:sz="0" w:space="0" w:color="auto"/>
                <w:right w:val="none" w:sz="0" w:space="0" w:color="auto"/>
              </w:divBdr>
              <w:divsChild>
                <w:div w:id="2133478138">
                  <w:marLeft w:val="0"/>
                  <w:marRight w:val="0"/>
                  <w:marTop w:val="0"/>
                  <w:marBottom w:val="0"/>
                  <w:divBdr>
                    <w:top w:val="none" w:sz="0" w:space="0" w:color="auto"/>
                    <w:left w:val="none" w:sz="0" w:space="0" w:color="auto"/>
                    <w:bottom w:val="none" w:sz="0" w:space="0" w:color="auto"/>
                    <w:right w:val="none" w:sz="0" w:space="0" w:color="auto"/>
                  </w:divBdr>
                  <w:divsChild>
                    <w:div w:id="17204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76400">
      <w:bodyDiv w:val="1"/>
      <w:marLeft w:val="0"/>
      <w:marRight w:val="0"/>
      <w:marTop w:val="0"/>
      <w:marBottom w:val="0"/>
      <w:divBdr>
        <w:top w:val="none" w:sz="0" w:space="0" w:color="auto"/>
        <w:left w:val="none" w:sz="0" w:space="0" w:color="auto"/>
        <w:bottom w:val="none" w:sz="0" w:space="0" w:color="auto"/>
        <w:right w:val="none" w:sz="0" w:space="0" w:color="auto"/>
      </w:divBdr>
    </w:div>
    <w:div w:id="1643920391">
      <w:bodyDiv w:val="1"/>
      <w:marLeft w:val="0"/>
      <w:marRight w:val="0"/>
      <w:marTop w:val="0"/>
      <w:marBottom w:val="0"/>
      <w:divBdr>
        <w:top w:val="none" w:sz="0" w:space="0" w:color="auto"/>
        <w:left w:val="none" w:sz="0" w:space="0" w:color="auto"/>
        <w:bottom w:val="none" w:sz="0" w:space="0" w:color="auto"/>
        <w:right w:val="none" w:sz="0" w:space="0" w:color="auto"/>
      </w:divBdr>
    </w:div>
    <w:div w:id="1731462716">
      <w:bodyDiv w:val="1"/>
      <w:marLeft w:val="0"/>
      <w:marRight w:val="0"/>
      <w:marTop w:val="0"/>
      <w:marBottom w:val="0"/>
      <w:divBdr>
        <w:top w:val="none" w:sz="0" w:space="0" w:color="auto"/>
        <w:left w:val="none" w:sz="0" w:space="0" w:color="auto"/>
        <w:bottom w:val="none" w:sz="0" w:space="0" w:color="auto"/>
        <w:right w:val="none" w:sz="0" w:space="0" w:color="auto"/>
      </w:divBdr>
    </w:div>
    <w:div w:id="2055957848">
      <w:bodyDiv w:val="1"/>
      <w:marLeft w:val="0"/>
      <w:marRight w:val="0"/>
      <w:marTop w:val="0"/>
      <w:marBottom w:val="0"/>
      <w:divBdr>
        <w:top w:val="none" w:sz="0" w:space="0" w:color="auto"/>
        <w:left w:val="none" w:sz="0" w:space="0" w:color="auto"/>
        <w:bottom w:val="none" w:sz="0" w:space="0" w:color="auto"/>
        <w:right w:val="none" w:sz="0" w:space="0" w:color="auto"/>
      </w:divBdr>
      <w:divsChild>
        <w:div w:id="348259578">
          <w:marLeft w:val="0"/>
          <w:marRight w:val="0"/>
          <w:marTop w:val="0"/>
          <w:marBottom w:val="0"/>
          <w:divBdr>
            <w:top w:val="none" w:sz="0" w:space="0" w:color="auto"/>
            <w:left w:val="none" w:sz="0" w:space="0" w:color="auto"/>
            <w:bottom w:val="none" w:sz="0" w:space="0" w:color="auto"/>
            <w:right w:val="none" w:sz="0" w:space="0" w:color="auto"/>
          </w:divBdr>
          <w:divsChild>
            <w:div w:id="1639846994">
              <w:marLeft w:val="0"/>
              <w:marRight w:val="0"/>
              <w:marTop w:val="0"/>
              <w:marBottom w:val="0"/>
              <w:divBdr>
                <w:top w:val="none" w:sz="0" w:space="0" w:color="auto"/>
                <w:left w:val="none" w:sz="0" w:space="0" w:color="auto"/>
                <w:bottom w:val="none" w:sz="0" w:space="0" w:color="auto"/>
                <w:right w:val="none" w:sz="0" w:space="0" w:color="auto"/>
              </w:divBdr>
              <w:divsChild>
                <w:div w:id="931083063">
                  <w:marLeft w:val="0"/>
                  <w:marRight w:val="0"/>
                  <w:marTop w:val="0"/>
                  <w:marBottom w:val="0"/>
                  <w:divBdr>
                    <w:top w:val="none" w:sz="0" w:space="0" w:color="auto"/>
                    <w:left w:val="none" w:sz="0" w:space="0" w:color="auto"/>
                    <w:bottom w:val="none" w:sz="0" w:space="0" w:color="auto"/>
                    <w:right w:val="none" w:sz="0" w:space="0" w:color="auto"/>
                  </w:divBdr>
                  <w:divsChild>
                    <w:div w:id="7819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er.1978" TargetMode="External"/><Relationship Id="rId18" Type="http://schemas.openxmlformats.org/officeDocument/2006/relationships/hyperlink" Target="https://doi.org/10.1002/per.494" TargetMode="External"/><Relationship Id="rId26" Type="http://schemas.openxmlformats.org/officeDocument/2006/relationships/hyperlink" Target="https://doi.org/10.1016/j.ssresearch.%202015.09.009" TargetMode="External"/><Relationship Id="rId21" Type="http://schemas.openxmlformats.org/officeDocument/2006/relationships/hyperlink" Target="https://doi.org/10.1111/josi.12341" TargetMode="External"/><Relationship Id="rId34" Type="http://schemas.openxmlformats.org/officeDocument/2006/relationships/hyperlink" Target="https://doi.org/10.21134/rpcna.2018.05.1.4" TargetMode="External"/><Relationship Id="rId7" Type="http://schemas.openxmlformats.org/officeDocument/2006/relationships/endnotes" Target="endnotes.xml"/><Relationship Id="rId12" Type="http://schemas.openxmlformats.org/officeDocument/2006/relationships/hyperlink" Target="https://doi.org/10.1080/10463283.2022.2040140" TargetMode="External"/><Relationship Id="rId17" Type="http://schemas.openxmlformats.org/officeDocument/2006/relationships/hyperlink" Target="https://doi.org/10.1002/per.614" TargetMode="External"/><Relationship Id="rId25" Type="http://schemas.openxmlformats.org/officeDocument/2006/relationships/hyperlink" Target="https://doi.org/10.3389/fpsyg.2020.608793" TargetMode="External"/><Relationship Id="rId33" Type="http://schemas.openxmlformats.org/officeDocument/2006/relationships/hyperlink" Target="https://doi.org/10.1177/0095798414537935" TargetMode="External"/><Relationship Id="rId2" Type="http://schemas.openxmlformats.org/officeDocument/2006/relationships/numbering" Target="numbering.xml"/><Relationship Id="rId16" Type="http://schemas.openxmlformats.org/officeDocument/2006/relationships/hyperlink" Target="https://doi.org/10.1016/S0065-2601(01)80004-6" TargetMode="External"/><Relationship Id="rId20" Type="http://schemas.openxmlformats.org/officeDocument/2006/relationships/hyperlink" Target="https://doi.org/10.1016/j.ijintrel.2018.03.006" TargetMode="External"/><Relationship Id="rId29" Type="http://schemas.openxmlformats.org/officeDocument/2006/relationships/hyperlink" Target="https://doi.org/10.1146/annurev-polisci-050317-06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aid.2016.05.052" TargetMode="External"/><Relationship Id="rId24" Type="http://schemas.openxmlformats.org/officeDocument/2006/relationships/hyperlink" Target="https://doi.org/10.6018/analesps.508701" TargetMode="External"/><Relationship Id="rId32" Type="http://schemas.openxmlformats.org/officeDocument/2006/relationships/hyperlink" Target="https://doi.org/10.1257/app.2015024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59/000277067" TargetMode="External"/><Relationship Id="rId23" Type="http://schemas.openxmlformats.org/officeDocument/2006/relationships/hyperlink" Target="https://ibdfam.org.br/noticias/12516/Retrospectiva+IBDFAM%3A+Descubra+quais+foram+as+not%C3%ADcias+mais+lidas+de+2024" TargetMode="External"/><Relationship Id="rId28" Type="http://schemas.openxmlformats.org/officeDocument/2006/relationships/hyperlink" Target="https://doi.org/10.1093/geronb/gbv079" TargetMode="External"/><Relationship Id="rId36" Type="http://schemas.openxmlformats.org/officeDocument/2006/relationships/fontTable" Target="fontTable.xml"/><Relationship Id="rId10" Type="http://schemas.openxmlformats.org/officeDocument/2006/relationships/hyperlink" Target="https://doi.org/10.1590/1413-81232022272.02342021" TargetMode="External"/><Relationship Id="rId19" Type="http://schemas.openxmlformats.org/officeDocument/2006/relationships/hyperlink" Target="https://pepsic.bvsalud.org/pdf/epp/v7n1/v7n1a06.pdf" TargetMode="External"/><Relationship Id="rId31" Type="http://schemas.openxmlformats.org/officeDocument/2006/relationships/hyperlink" Target="https://doi.org/10.5020/23590777.rs.v20iEsp1.e8734" TargetMode="External"/><Relationship Id="rId4" Type="http://schemas.openxmlformats.org/officeDocument/2006/relationships/settings" Target="settings.xml"/><Relationship Id="rId9" Type="http://schemas.openxmlformats.org/officeDocument/2006/relationships/hyperlink" Target="https://doi.org/10.1177/0956797610390384" TargetMode="External"/><Relationship Id="rId14" Type="http://schemas.openxmlformats.org/officeDocument/2006/relationships/hyperlink" Target="https://doi.org/10.1590/0103-166X2015000200002" TargetMode="External"/><Relationship Id="rId22" Type="http://schemas.openxmlformats.org/officeDocument/2006/relationships/hyperlink" Target="https://doi.org/10.1080/00224499909552007" TargetMode="External"/><Relationship Id="rId27" Type="http://schemas.openxmlformats.org/officeDocument/2006/relationships/hyperlink" Target="https://www.gov.br/saude/pt-br/assuntos/saude-brasil/eu-quero-ter-peso-saudavel/noticias/2017/imc-voce-sabe-calcular-seu-peso-adequado" TargetMode="External"/><Relationship Id="rId30" Type="http://schemas.openxmlformats.org/officeDocument/2006/relationships/hyperlink" Target="https://indicadores.safernet.org.br/helpline/helplineviz/helpchart-page.html" TargetMode="External"/><Relationship Id="rId35" Type="http://schemas.openxmlformats.org/officeDocument/2006/relationships/hyperlink" Target="https://worldjusticeproject.org/news/discrimination-getting-worse-globally"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Tssz/mYEJB+au+4HuMPAR7CKA==">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21</Pages>
  <Words>8150</Words>
  <Characters>44013</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 L</cp:lastModifiedBy>
  <cp:revision>22</cp:revision>
  <cp:lastPrinted>2025-02-28T14:25:00Z</cp:lastPrinted>
  <dcterms:created xsi:type="dcterms:W3CDTF">2025-02-28T18:52:00Z</dcterms:created>
  <dcterms:modified xsi:type="dcterms:W3CDTF">2025-03-01T18:57:00Z</dcterms:modified>
</cp:coreProperties>
</file>