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AC8D" w14:textId="77777777" w:rsidR="005563A1" w:rsidRPr="001776BC" w:rsidRDefault="005922C3" w:rsidP="00A60A51">
      <w:pPr>
        <w:spacing w:after="0" w:line="276" w:lineRule="auto"/>
        <w:jc w:val="both"/>
        <w:rPr>
          <w:rFonts w:ascii="Arial Narrow" w:hAnsi="Arial Narrow"/>
          <w:sz w:val="24"/>
          <w:szCs w:val="24"/>
        </w:rPr>
      </w:pPr>
      <w:r w:rsidRPr="001776BC">
        <w:rPr>
          <w:rFonts w:ascii="Arial Narrow" w:hAnsi="Arial Narrow"/>
          <w:b/>
          <w:bCs/>
          <w:sz w:val="24"/>
          <w:szCs w:val="24"/>
        </w:rPr>
        <w:t>Title:</w:t>
      </w:r>
      <w:r w:rsidRPr="001776BC">
        <w:rPr>
          <w:rFonts w:ascii="Arial Narrow" w:hAnsi="Arial Narrow"/>
          <w:sz w:val="24"/>
          <w:szCs w:val="24"/>
        </w:rPr>
        <w:t> </w:t>
      </w:r>
    </w:p>
    <w:p w14:paraId="3A6A71A8" w14:textId="77777777" w:rsidR="005563A1" w:rsidRPr="001776BC" w:rsidRDefault="005563A1" w:rsidP="00A60A51">
      <w:pPr>
        <w:spacing w:after="0" w:line="276" w:lineRule="auto"/>
        <w:jc w:val="both"/>
        <w:rPr>
          <w:rFonts w:ascii="Arial Narrow" w:hAnsi="Arial Narrow"/>
          <w:sz w:val="24"/>
          <w:szCs w:val="24"/>
        </w:rPr>
      </w:pPr>
    </w:p>
    <w:p w14:paraId="2EAFA660" w14:textId="18BD8A2C" w:rsidR="005922C3" w:rsidRPr="001776BC" w:rsidRDefault="005922C3" w:rsidP="00A60A51">
      <w:pPr>
        <w:spacing w:after="0" w:line="276" w:lineRule="auto"/>
        <w:jc w:val="both"/>
        <w:rPr>
          <w:rFonts w:ascii="Arial Narrow" w:hAnsi="Arial Narrow"/>
          <w:sz w:val="24"/>
          <w:szCs w:val="24"/>
        </w:rPr>
      </w:pPr>
      <w:r w:rsidRPr="001776BC">
        <w:rPr>
          <w:rFonts w:ascii="Arial Narrow" w:hAnsi="Arial Narrow"/>
          <w:sz w:val="24"/>
          <w:szCs w:val="24"/>
        </w:rPr>
        <w:t>Bridging the Gap: The Impact of Therapeutic Rapport and Cultural Competence on Mental Health Equity</w:t>
      </w:r>
    </w:p>
    <w:p w14:paraId="3F0F48E6" w14:textId="77777777" w:rsidR="008B463E" w:rsidRPr="001776BC" w:rsidRDefault="008B463E" w:rsidP="00A60A51">
      <w:pPr>
        <w:spacing w:after="0" w:line="276" w:lineRule="auto"/>
        <w:jc w:val="both"/>
        <w:rPr>
          <w:rFonts w:ascii="Arial Narrow" w:hAnsi="Arial Narrow"/>
          <w:b/>
          <w:bCs/>
          <w:sz w:val="24"/>
          <w:szCs w:val="24"/>
        </w:rPr>
      </w:pPr>
    </w:p>
    <w:p w14:paraId="238E7570" w14:textId="026D8837" w:rsidR="005922C3" w:rsidRPr="001776BC" w:rsidRDefault="005922C3" w:rsidP="00A60A51">
      <w:pPr>
        <w:spacing w:after="0" w:line="276" w:lineRule="auto"/>
        <w:jc w:val="both"/>
        <w:rPr>
          <w:rFonts w:ascii="Arial Narrow" w:hAnsi="Arial Narrow"/>
          <w:sz w:val="24"/>
          <w:szCs w:val="24"/>
        </w:rPr>
      </w:pPr>
      <w:r w:rsidRPr="001776BC">
        <w:rPr>
          <w:rFonts w:ascii="Arial Narrow" w:hAnsi="Arial Narrow"/>
          <w:b/>
          <w:bCs/>
          <w:sz w:val="24"/>
          <w:szCs w:val="24"/>
        </w:rPr>
        <w:t>Keywords:</w:t>
      </w:r>
      <w:r w:rsidRPr="001776BC">
        <w:rPr>
          <w:rFonts w:ascii="Arial Narrow" w:hAnsi="Arial Narrow"/>
          <w:sz w:val="24"/>
          <w:szCs w:val="24"/>
        </w:rPr>
        <w:t> Therapeutic Rapport, Cultural Competence, Health Equity, Cultural Intelligence, Mental Health Disparities, Situational Judgment Tests, Cultural Safety</w:t>
      </w:r>
    </w:p>
    <w:p w14:paraId="2B3C04E2" w14:textId="77777777" w:rsidR="005922C3" w:rsidRPr="001776BC" w:rsidRDefault="001776BC" w:rsidP="00A60A51">
      <w:pPr>
        <w:spacing w:after="0" w:line="276" w:lineRule="auto"/>
        <w:jc w:val="both"/>
        <w:rPr>
          <w:rFonts w:ascii="Arial Narrow" w:hAnsi="Arial Narrow"/>
          <w:sz w:val="24"/>
          <w:szCs w:val="24"/>
        </w:rPr>
      </w:pPr>
      <w:r w:rsidRPr="001776BC">
        <w:rPr>
          <w:rFonts w:ascii="Arial Narrow" w:hAnsi="Arial Narrow"/>
          <w:sz w:val="24"/>
          <w:szCs w:val="24"/>
        </w:rPr>
        <w:pict w14:anchorId="4528C3A7">
          <v:rect id="_x0000_i1025" style="width:0;height:1.5pt" o:hralign="center" o:hrstd="t" o:hrnoshade="t" o:hr="t" stroked="f"/>
        </w:pict>
      </w:r>
    </w:p>
    <w:p w14:paraId="2480EF97" w14:textId="4CD89602" w:rsidR="005922C3" w:rsidRPr="001776BC" w:rsidRDefault="005922C3" w:rsidP="00A60A51">
      <w:pPr>
        <w:spacing w:after="0" w:line="276" w:lineRule="auto"/>
        <w:jc w:val="both"/>
        <w:rPr>
          <w:rFonts w:ascii="Arial Narrow" w:hAnsi="Arial Narrow"/>
          <w:sz w:val="24"/>
          <w:szCs w:val="24"/>
        </w:rPr>
      </w:pPr>
      <w:r w:rsidRPr="001776BC">
        <w:rPr>
          <w:rFonts w:ascii="Arial Narrow" w:hAnsi="Arial Narrow"/>
          <w:b/>
          <w:bCs/>
          <w:sz w:val="24"/>
          <w:szCs w:val="24"/>
        </w:rPr>
        <w:t>Abstract:</w:t>
      </w:r>
    </w:p>
    <w:p w14:paraId="026ED7E8" w14:textId="77777777" w:rsidR="008B463E" w:rsidRPr="001776BC" w:rsidRDefault="008B463E" w:rsidP="00A60A51">
      <w:pPr>
        <w:spacing w:after="0" w:line="276" w:lineRule="auto"/>
        <w:jc w:val="both"/>
        <w:rPr>
          <w:rFonts w:ascii="Arial Narrow" w:hAnsi="Arial Narrow"/>
          <w:sz w:val="24"/>
          <w:szCs w:val="24"/>
        </w:rPr>
      </w:pPr>
    </w:p>
    <w:p w14:paraId="0174424F" w14:textId="486C6BC2" w:rsidR="005922C3" w:rsidRPr="001776BC" w:rsidRDefault="005922C3" w:rsidP="00A60A51">
      <w:pPr>
        <w:spacing w:after="0" w:line="276" w:lineRule="auto"/>
        <w:jc w:val="both"/>
        <w:rPr>
          <w:rFonts w:ascii="Arial Narrow" w:hAnsi="Arial Narrow"/>
          <w:sz w:val="24"/>
          <w:szCs w:val="24"/>
        </w:rPr>
      </w:pPr>
      <w:r w:rsidRPr="001776BC">
        <w:rPr>
          <w:rFonts w:ascii="Arial Narrow" w:hAnsi="Arial Narrow"/>
          <w:sz w:val="24"/>
          <w:szCs w:val="24"/>
        </w:rPr>
        <w:t>Therapeutic rapport is widely recognized as a critical element in successful psychotherapy across disciplines such as psychiatry, psychology, and social work. The ability to establish a strong therapeutic relationship is not merely a foundational skill for mental health professionals; it is a crucial determinant of intervention outcomes. Rapport facilitates trust, psychological safety, and openness, enabling clients to express their thoughts and emotions freely. Beyond individual therapeutic encounters, rapport is essential in addressing health disparities in mental health care, particularly among underserved populations. This paper explores the impact of therapeutic rapport on mental health outcomes, the importance of cultural competence, and the need for enhanced training for healthcare professionals to improve health equity.</w:t>
      </w:r>
    </w:p>
    <w:p w14:paraId="0EF48C71" w14:textId="77777777" w:rsidR="00F3292E" w:rsidRPr="001776BC" w:rsidRDefault="00F3292E" w:rsidP="00A60A51">
      <w:pPr>
        <w:spacing w:after="0" w:line="276" w:lineRule="auto"/>
        <w:jc w:val="both"/>
        <w:rPr>
          <w:rFonts w:ascii="Arial Narrow" w:hAnsi="Arial Narrow"/>
          <w:b/>
          <w:bCs/>
          <w:sz w:val="24"/>
          <w:szCs w:val="24"/>
        </w:rPr>
      </w:pPr>
    </w:p>
    <w:p w14:paraId="5EA5C666" w14:textId="2BFFA16C" w:rsidR="005563A1" w:rsidRPr="001776BC" w:rsidRDefault="005922C3" w:rsidP="00A60A51">
      <w:pPr>
        <w:spacing w:after="0" w:line="276" w:lineRule="auto"/>
        <w:jc w:val="both"/>
        <w:rPr>
          <w:rFonts w:ascii="Arial Narrow" w:hAnsi="Arial Narrow"/>
          <w:sz w:val="24"/>
          <w:szCs w:val="24"/>
        </w:rPr>
      </w:pPr>
      <w:r w:rsidRPr="001776BC">
        <w:rPr>
          <w:rFonts w:ascii="Arial Narrow" w:hAnsi="Arial Narrow"/>
          <w:b/>
          <w:bCs/>
          <w:sz w:val="24"/>
          <w:szCs w:val="24"/>
        </w:rPr>
        <w:t>Title:</w:t>
      </w:r>
      <w:r w:rsidRPr="001776BC">
        <w:rPr>
          <w:rFonts w:ascii="Arial Narrow" w:hAnsi="Arial Narrow"/>
          <w:sz w:val="24"/>
          <w:szCs w:val="24"/>
        </w:rPr>
        <w:t> </w:t>
      </w:r>
    </w:p>
    <w:p w14:paraId="103142B3" w14:textId="77777777" w:rsidR="005563A1" w:rsidRPr="001776BC" w:rsidRDefault="005563A1" w:rsidP="00A60A51">
      <w:pPr>
        <w:spacing w:after="0" w:line="276" w:lineRule="auto"/>
        <w:jc w:val="both"/>
        <w:rPr>
          <w:rFonts w:ascii="Arial Narrow" w:hAnsi="Arial Narrow"/>
          <w:sz w:val="24"/>
          <w:szCs w:val="24"/>
        </w:rPr>
      </w:pPr>
    </w:p>
    <w:p w14:paraId="64208AFE" w14:textId="18B91A43" w:rsidR="005922C3" w:rsidRPr="001776BC" w:rsidRDefault="005922C3" w:rsidP="00A60A51">
      <w:pPr>
        <w:spacing w:after="0" w:line="276" w:lineRule="auto"/>
        <w:jc w:val="both"/>
        <w:rPr>
          <w:rFonts w:ascii="Arial Narrow" w:hAnsi="Arial Narrow"/>
          <w:sz w:val="24"/>
          <w:szCs w:val="24"/>
        </w:rPr>
      </w:pPr>
      <w:r w:rsidRPr="001776BC">
        <w:rPr>
          <w:rFonts w:ascii="Arial Narrow" w:hAnsi="Arial Narrow"/>
          <w:sz w:val="24"/>
          <w:szCs w:val="24"/>
        </w:rPr>
        <w:t xml:space="preserve">Cerrando la Brecha: El Impacto del </w:t>
      </w:r>
      <w:proofErr w:type="spellStart"/>
      <w:r w:rsidRPr="001776BC">
        <w:rPr>
          <w:rFonts w:ascii="Arial Narrow" w:hAnsi="Arial Narrow"/>
          <w:sz w:val="24"/>
          <w:szCs w:val="24"/>
        </w:rPr>
        <w:t>Vínculo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Terapéutico</w:t>
      </w:r>
      <w:proofErr w:type="spellEnd"/>
      <w:r w:rsidRPr="001776BC">
        <w:rPr>
          <w:rFonts w:ascii="Arial Narrow" w:hAnsi="Arial Narrow"/>
          <w:sz w:val="24"/>
          <w:szCs w:val="24"/>
        </w:rPr>
        <w:t xml:space="preserve"> y la </w:t>
      </w:r>
      <w:proofErr w:type="spellStart"/>
      <w:r w:rsidRPr="001776BC">
        <w:rPr>
          <w:rFonts w:ascii="Arial Narrow" w:hAnsi="Arial Narrow"/>
          <w:sz w:val="24"/>
          <w:szCs w:val="24"/>
        </w:rPr>
        <w:t>Competencia</w:t>
      </w:r>
      <w:proofErr w:type="spellEnd"/>
      <w:r w:rsidRPr="001776BC">
        <w:rPr>
          <w:rFonts w:ascii="Arial Narrow" w:hAnsi="Arial Narrow"/>
          <w:sz w:val="24"/>
          <w:szCs w:val="24"/>
        </w:rPr>
        <w:t xml:space="preserve"> Cultural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la </w:t>
      </w:r>
      <w:proofErr w:type="spellStart"/>
      <w:r w:rsidRPr="001776BC">
        <w:rPr>
          <w:rFonts w:ascii="Arial Narrow" w:hAnsi="Arial Narrow"/>
          <w:sz w:val="24"/>
          <w:szCs w:val="24"/>
        </w:rPr>
        <w:t>Equidad</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Salud Mental</w:t>
      </w:r>
    </w:p>
    <w:p w14:paraId="1699E660" w14:textId="77777777" w:rsidR="00F3292E" w:rsidRPr="001776BC" w:rsidRDefault="00F3292E" w:rsidP="00A60A51">
      <w:pPr>
        <w:spacing w:after="0" w:line="276" w:lineRule="auto"/>
        <w:jc w:val="both"/>
        <w:rPr>
          <w:rFonts w:ascii="Arial Narrow" w:hAnsi="Arial Narrow"/>
          <w:b/>
          <w:bCs/>
          <w:sz w:val="24"/>
          <w:szCs w:val="24"/>
        </w:rPr>
      </w:pPr>
    </w:p>
    <w:p w14:paraId="4F811840" w14:textId="56BC7323" w:rsidR="005922C3" w:rsidRPr="001776BC" w:rsidRDefault="005922C3" w:rsidP="00A60A51">
      <w:pPr>
        <w:spacing w:after="0" w:line="276" w:lineRule="auto"/>
        <w:jc w:val="both"/>
        <w:rPr>
          <w:rFonts w:ascii="Arial Narrow" w:hAnsi="Arial Narrow"/>
          <w:sz w:val="24"/>
          <w:szCs w:val="24"/>
        </w:rPr>
      </w:pPr>
      <w:r w:rsidRPr="001776BC">
        <w:rPr>
          <w:rFonts w:ascii="Arial Narrow" w:hAnsi="Arial Narrow"/>
          <w:b/>
          <w:bCs/>
          <w:sz w:val="24"/>
          <w:szCs w:val="24"/>
        </w:rPr>
        <w:t>Palabras clave:</w:t>
      </w:r>
      <w:r w:rsidRPr="001776BC">
        <w:rPr>
          <w:rFonts w:ascii="Arial Narrow" w:hAnsi="Arial Narrow"/>
          <w:sz w:val="24"/>
          <w:szCs w:val="24"/>
        </w:rPr>
        <w:t> </w:t>
      </w:r>
      <w:proofErr w:type="spellStart"/>
      <w:r w:rsidRPr="001776BC">
        <w:rPr>
          <w:rFonts w:ascii="Arial Narrow" w:hAnsi="Arial Narrow"/>
          <w:sz w:val="24"/>
          <w:szCs w:val="24"/>
        </w:rPr>
        <w:t>Vínculo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Terapéutico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Competencia</w:t>
      </w:r>
      <w:proofErr w:type="spellEnd"/>
      <w:r w:rsidRPr="001776BC">
        <w:rPr>
          <w:rFonts w:ascii="Arial Narrow" w:hAnsi="Arial Narrow"/>
          <w:sz w:val="24"/>
          <w:szCs w:val="24"/>
        </w:rPr>
        <w:t xml:space="preserve"> Cultural, </w:t>
      </w:r>
      <w:proofErr w:type="spellStart"/>
      <w:r w:rsidRPr="001776BC">
        <w:rPr>
          <w:rFonts w:ascii="Arial Narrow" w:hAnsi="Arial Narrow"/>
          <w:sz w:val="24"/>
          <w:szCs w:val="24"/>
        </w:rPr>
        <w:t>Equidad</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Salud, </w:t>
      </w:r>
      <w:proofErr w:type="spellStart"/>
      <w:r w:rsidRPr="001776BC">
        <w:rPr>
          <w:rFonts w:ascii="Arial Narrow" w:hAnsi="Arial Narrow"/>
          <w:sz w:val="24"/>
          <w:szCs w:val="24"/>
        </w:rPr>
        <w:t>Inteligencia</w:t>
      </w:r>
      <w:proofErr w:type="spellEnd"/>
      <w:r w:rsidRPr="001776BC">
        <w:rPr>
          <w:rFonts w:ascii="Arial Narrow" w:hAnsi="Arial Narrow"/>
          <w:sz w:val="24"/>
          <w:szCs w:val="24"/>
        </w:rPr>
        <w:t xml:space="preserve"> Cultural, </w:t>
      </w:r>
      <w:proofErr w:type="spellStart"/>
      <w:r w:rsidRPr="001776BC">
        <w:rPr>
          <w:rFonts w:ascii="Arial Narrow" w:hAnsi="Arial Narrow"/>
          <w:sz w:val="24"/>
          <w:szCs w:val="24"/>
        </w:rPr>
        <w:t>Disparidades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Salud Mental, </w:t>
      </w:r>
      <w:proofErr w:type="spellStart"/>
      <w:r w:rsidRPr="001776BC">
        <w:rPr>
          <w:rFonts w:ascii="Arial Narrow" w:hAnsi="Arial Narrow"/>
          <w:sz w:val="24"/>
          <w:szCs w:val="24"/>
        </w:rPr>
        <w:t>Pruebas</w:t>
      </w:r>
      <w:proofErr w:type="spellEnd"/>
      <w:r w:rsidRPr="001776BC">
        <w:rPr>
          <w:rFonts w:ascii="Arial Narrow" w:hAnsi="Arial Narrow"/>
          <w:sz w:val="24"/>
          <w:szCs w:val="24"/>
        </w:rPr>
        <w:t xml:space="preserve"> de </w:t>
      </w:r>
      <w:proofErr w:type="spellStart"/>
      <w:r w:rsidRPr="001776BC">
        <w:rPr>
          <w:rFonts w:ascii="Arial Narrow" w:hAnsi="Arial Narrow"/>
          <w:sz w:val="24"/>
          <w:szCs w:val="24"/>
        </w:rPr>
        <w:t>Juicio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Situacional</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Seguridad</w:t>
      </w:r>
      <w:proofErr w:type="spellEnd"/>
      <w:r w:rsidRPr="001776BC">
        <w:rPr>
          <w:rFonts w:ascii="Arial Narrow" w:hAnsi="Arial Narrow"/>
          <w:sz w:val="24"/>
          <w:szCs w:val="24"/>
        </w:rPr>
        <w:t xml:space="preserve"> Cultural</w:t>
      </w:r>
    </w:p>
    <w:p w14:paraId="32A3BDA2" w14:textId="77777777" w:rsidR="008B463E" w:rsidRPr="001776BC" w:rsidRDefault="008B463E" w:rsidP="00A60A51">
      <w:pPr>
        <w:spacing w:after="0" w:line="276" w:lineRule="auto"/>
        <w:jc w:val="both"/>
        <w:rPr>
          <w:rFonts w:ascii="Arial Narrow" w:hAnsi="Arial Narrow"/>
          <w:b/>
          <w:bCs/>
          <w:sz w:val="24"/>
          <w:szCs w:val="24"/>
        </w:rPr>
      </w:pPr>
    </w:p>
    <w:p w14:paraId="268C3CB9" w14:textId="08E065C8" w:rsidR="005922C3" w:rsidRPr="001776BC" w:rsidRDefault="005922C3" w:rsidP="00A60A51">
      <w:pPr>
        <w:spacing w:after="0" w:line="276" w:lineRule="auto"/>
        <w:jc w:val="both"/>
        <w:rPr>
          <w:rFonts w:ascii="Arial Narrow" w:hAnsi="Arial Narrow"/>
          <w:sz w:val="24"/>
          <w:szCs w:val="24"/>
        </w:rPr>
      </w:pPr>
      <w:proofErr w:type="spellStart"/>
      <w:r w:rsidRPr="001776BC">
        <w:rPr>
          <w:rFonts w:ascii="Arial Narrow" w:hAnsi="Arial Narrow"/>
          <w:b/>
          <w:bCs/>
          <w:sz w:val="24"/>
          <w:szCs w:val="24"/>
        </w:rPr>
        <w:t>Resumen</w:t>
      </w:r>
      <w:proofErr w:type="spellEnd"/>
      <w:r w:rsidRPr="001776BC">
        <w:rPr>
          <w:rFonts w:ascii="Arial Narrow" w:hAnsi="Arial Narrow"/>
          <w:b/>
          <w:bCs/>
          <w:sz w:val="24"/>
          <w:szCs w:val="24"/>
        </w:rPr>
        <w:t>:</w:t>
      </w:r>
    </w:p>
    <w:p w14:paraId="224E5F0B" w14:textId="77777777" w:rsidR="008B463E" w:rsidRPr="001776BC" w:rsidRDefault="008B463E" w:rsidP="00A60A51">
      <w:pPr>
        <w:spacing w:after="0" w:line="276" w:lineRule="auto"/>
        <w:jc w:val="both"/>
        <w:rPr>
          <w:rFonts w:ascii="Arial Narrow" w:hAnsi="Arial Narrow"/>
          <w:sz w:val="24"/>
          <w:szCs w:val="24"/>
        </w:rPr>
      </w:pPr>
    </w:p>
    <w:p w14:paraId="6D024724" w14:textId="4EAEC87E" w:rsidR="005922C3" w:rsidRPr="001776BC" w:rsidRDefault="005922C3" w:rsidP="00A60A51">
      <w:pPr>
        <w:spacing w:after="0" w:line="276" w:lineRule="auto"/>
        <w:jc w:val="both"/>
        <w:rPr>
          <w:rFonts w:ascii="Arial Narrow" w:hAnsi="Arial Narrow"/>
          <w:sz w:val="24"/>
          <w:szCs w:val="24"/>
        </w:rPr>
      </w:pPr>
      <w:r w:rsidRPr="001776BC">
        <w:rPr>
          <w:rFonts w:ascii="Arial Narrow" w:hAnsi="Arial Narrow"/>
          <w:sz w:val="24"/>
          <w:szCs w:val="24"/>
        </w:rPr>
        <w:t xml:space="preserve">El </w:t>
      </w:r>
      <w:proofErr w:type="spellStart"/>
      <w:r w:rsidRPr="001776BC">
        <w:rPr>
          <w:rFonts w:ascii="Arial Narrow" w:hAnsi="Arial Narrow"/>
          <w:sz w:val="24"/>
          <w:szCs w:val="24"/>
        </w:rPr>
        <w:t>vínculo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terapéutico</w:t>
      </w:r>
      <w:proofErr w:type="spellEnd"/>
      <w:r w:rsidRPr="001776BC">
        <w:rPr>
          <w:rFonts w:ascii="Arial Narrow" w:hAnsi="Arial Narrow"/>
          <w:sz w:val="24"/>
          <w:szCs w:val="24"/>
        </w:rPr>
        <w:t xml:space="preserve"> es </w:t>
      </w:r>
      <w:proofErr w:type="spellStart"/>
      <w:r w:rsidRPr="001776BC">
        <w:rPr>
          <w:rFonts w:ascii="Arial Narrow" w:hAnsi="Arial Narrow"/>
          <w:sz w:val="24"/>
          <w:szCs w:val="24"/>
        </w:rPr>
        <w:t>ampliamente</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reconocido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como</w:t>
      </w:r>
      <w:proofErr w:type="spellEnd"/>
      <w:r w:rsidRPr="001776BC">
        <w:rPr>
          <w:rFonts w:ascii="Arial Narrow" w:hAnsi="Arial Narrow"/>
          <w:sz w:val="24"/>
          <w:szCs w:val="24"/>
        </w:rPr>
        <w:t xml:space="preserve"> un </w:t>
      </w:r>
      <w:proofErr w:type="spellStart"/>
      <w:r w:rsidRPr="001776BC">
        <w:rPr>
          <w:rFonts w:ascii="Arial Narrow" w:hAnsi="Arial Narrow"/>
          <w:sz w:val="24"/>
          <w:szCs w:val="24"/>
        </w:rPr>
        <w:t>elemento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crítico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la </w:t>
      </w:r>
      <w:proofErr w:type="spellStart"/>
      <w:r w:rsidRPr="001776BC">
        <w:rPr>
          <w:rFonts w:ascii="Arial Narrow" w:hAnsi="Arial Narrow"/>
          <w:sz w:val="24"/>
          <w:szCs w:val="24"/>
        </w:rPr>
        <w:t>psicoterapia</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exitosa</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disciplinas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como</w:t>
      </w:r>
      <w:proofErr w:type="spellEnd"/>
      <w:r w:rsidRPr="001776BC">
        <w:rPr>
          <w:rFonts w:ascii="Arial Narrow" w:hAnsi="Arial Narrow"/>
          <w:sz w:val="24"/>
          <w:szCs w:val="24"/>
        </w:rPr>
        <w:t xml:space="preserve"> la </w:t>
      </w:r>
      <w:proofErr w:type="spellStart"/>
      <w:r w:rsidRPr="001776BC">
        <w:rPr>
          <w:rFonts w:ascii="Arial Narrow" w:hAnsi="Arial Narrow"/>
          <w:sz w:val="24"/>
          <w:szCs w:val="24"/>
        </w:rPr>
        <w:t>psiquiatría</w:t>
      </w:r>
      <w:proofErr w:type="spellEnd"/>
      <w:r w:rsidRPr="001776BC">
        <w:rPr>
          <w:rFonts w:ascii="Arial Narrow" w:hAnsi="Arial Narrow"/>
          <w:sz w:val="24"/>
          <w:szCs w:val="24"/>
        </w:rPr>
        <w:t xml:space="preserve">, la </w:t>
      </w:r>
      <w:proofErr w:type="spellStart"/>
      <w:r w:rsidRPr="001776BC">
        <w:rPr>
          <w:rFonts w:ascii="Arial Narrow" w:hAnsi="Arial Narrow"/>
          <w:sz w:val="24"/>
          <w:szCs w:val="24"/>
        </w:rPr>
        <w:t>psicología</w:t>
      </w:r>
      <w:proofErr w:type="spellEnd"/>
      <w:r w:rsidRPr="001776BC">
        <w:rPr>
          <w:rFonts w:ascii="Arial Narrow" w:hAnsi="Arial Narrow"/>
          <w:sz w:val="24"/>
          <w:szCs w:val="24"/>
        </w:rPr>
        <w:t xml:space="preserve"> y </w:t>
      </w:r>
      <w:proofErr w:type="spellStart"/>
      <w:r w:rsidRPr="001776BC">
        <w:rPr>
          <w:rFonts w:ascii="Arial Narrow" w:hAnsi="Arial Narrow"/>
          <w:sz w:val="24"/>
          <w:szCs w:val="24"/>
        </w:rPr>
        <w:t>el</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trabajo</w:t>
      </w:r>
      <w:proofErr w:type="spellEnd"/>
      <w:r w:rsidRPr="001776BC">
        <w:rPr>
          <w:rFonts w:ascii="Arial Narrow" w:hAnsi="Arial Narrow"/>
          <w:sz w:val="24"/>
          <w:szCs w:val="24"/>
        </w:rPr>
        <w:t xml:space="preserve"> social. La </w:t>
      </w:r>
      <w:proofErr w:type="spellStart"/>
      <w:r w:rsidRPr="001776BC">
        <w:rPr>
          <w:rFonts w:ascii="Arial Narrow" w:hAnsi="Arial Narrow"/>
          <w:sz w:val="24"/>
          <w:szCs w:val="24"/>
        </w:rPr>
        <w:t>capacidad</w:t>
      </w:r>
      <w:proofErr w:type="spellEnd"/>
      <w:r w:rsidRPr="001776BC">
        <w:rPr>
          <w:rFonts w:ascii="Arial Narrow" w:hAnsi="Arial Narrow"/>
          <w:sz w:val="24"/>
          <w:szCs w:val="24"/>
        </w:rPr>
        <w:t xml:space="preserve"> de </w:t>
      </w:r>
      <w:proofErr w:type="spellStart"/>
      <w:r w:rsidRPr="001776BC">
        <w:rPr>
          <w:rFonts w:ascii="Arial Narrow" w:hAnsi="Arial Narrow"/>
          <w:sz w:val="24"/>
          <w:szCs w:val="24"/>
        </w:rPr>
        <w:t>establecer</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una</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relación</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terapéutica</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sólida</w:t>
      </w:r>
      <w:proofErr w:type="spellEnd"/>
      <w:r w:rsidRPr="001776BC">
        <w:rPr>
          <w:rFonts w:ascii="Arial Narrow" w:hAnsi="Arial Narrow"/>
          <w:sz w:val="24"/>
          <w:szCs w:val="24"/>
        </w:rPr>
        <w:t xml:space="preserve"> no es solo </w:t>
      </w:r>
      <w:proofErr w:type="spellStart"/>
      <w:r w:rsidRPr="001776BC">
        <w:rPr>
          <w:rFonts w:ascii="Arial Narrow" w:hAnsi="Arial Narrow"/>
          <w:sz w:val="24"/>
          <w:szCs w:val="24"/>
        </w:rPr>
        <w:t>una</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habilidad</w:t>
      </w:r>
      <w:proofErr w:type="spellEnd"/>
      <w:r w:rsidRPr="001776BC">
        <w:rPr>
          <w:rFonts w:ascii="Arial Narrow" w:hAnsi="Arial Narrow"/>
          <w:sz w:val="24"/>
          <w:szCs w:val="24"/>
        </w:rPr>
        <w:t xml:space="preserve"> fundamental para </w:t>
      </w:r>
      <w:proofErr w:type="spellStart"/>
      <w:r w:rsidRPr="001776BC">
        <w:rPr>
          <w:rFonts w:ascii="Arial Narrow" w:hAnsi="Arial Narrow"/>
          <w:sz w:val="24"/>
          <w:szCs w:val="24"/>
        </w:rPr>
        <w:t>los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profesionales</w:t>
      </w:r>
      <w:proofErr w:type="spellEnd"/>
      <w:r w:rsidRPr="001776BC">
        <w:rPr>
          <w:rFonts w:ascii="Arial Narrow" w:hAnsi="Arial Narrow"/>
          <w:sz w:val="24"/>
          <w:szCs w:val="24"/>
        </w:rPr>
        <w:t xml:space="preserve"> de la </w:t>
      </w:r>
      <w:proofErr w:type="spellStart"/>
      <w:r w:rsidRPr="001776BC">
        <w:rPr>
          <w:rFonts w:ascii="Arial Narrow" w:hAnsi="Arial Narrow"/>
          <w:sz w:val="24"/>
          <w:szCs w:val="24"/>
        </w:rPr>
        <w:t>salud</w:t>
      </w:r>
      <w:proofErr w:type="spellEnd"/>
      <w:r w:rsidRPr="001776BC">
        <w:rPr>
          <w:rFonts w:ascii="Arial Narrow" w:hAnsi="Arial Narrow"/>
          <w:sz w:val="24"/>
          <w:szCs w:val="24"/>
        </w:rPr>
        <w:t xml:space="preserve"> mental; es un </w:t>
      </w:r>
      <w:proofErr w:type="spellStart"/>
      <w:r w:rsidRPr="001776BC">
        <w:rPr>
          <w:rFonts w:ascii="Arial Narrow" w:hAnsi="Arial Narrow"/>
          <w:sz w:val="24"/>
          <w:szCs w:val="24"/>
        </w:rPr>
        <w:t>determinante</w:t>
      </w:r>
      <w:proofErr w:type="spellEnd"/>
      <w:r w:rsidRPr="001776BC">
        <w:rPr>
          <w:rFonts w:ascii="Arial Narrow" w:hAnsi="Arial Narrow"/>
          <w:sz w:val="24"/>
          <w:szCs w:val="24"/>
        </w:rPr>
        <w:t xml:space="preserve"> crucial de </w:t>
      </w:r>
      <w:proofErr w:type="spellStart"/>
      <w:r w:rsidRPr="001776BC">
        <w:rPr>
          <w:rFonts w:ascii="Arial Narrow" w:hAnsi="Arial Narrow"/>
          <w:sz w:val="24"/>
          <w:szCs w:val="24"/>
        </w:rPr>
        <w:t>los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resultados</w:t>
      </w:r>
      <w:proofErr w:type="spellEnd"/>
      <w:r w:rsidRPr="001776BC">
        <w:rPr>
          <w:rFonts w:ascii="Arial Narrow" w:hAnsi="Arial Narrow"/>
          <w:sz w:val="24"/>
          <w:szCs w:val="24"/>
        </w:rPr>
        <w:t xml:space="preserve"> de la </w:t>
      </w:r>
      <w:proofErr w:type="spellStart"/>
      <w:r w:rsidRPr="001776BC">
        <w:rPr>
          <w:rFonts w:ascii="Arial Narrow" w:hAnsi="Arial Narrow"/>
          <w:sz w:val="24"/>
          <w:szCs w:val="24"/>
        </w:rPr>
        <w:t>intervención</w:t>
      </w:r>
      <w:proofErr w:type="spellEnd"/>
      <w:r w:rsidRPr="001776BC">
        <w:rPr>
          <w:rFonts w:ascii="Arial Narrow" w:hAnsi="Arial Narrow"/>
          <w:sz w:val="24"/>
          <w:szCs w:val="24"/>
        </w:rPr>
        <w:t xml:space="preserve">. El </w:t>
      </w:r>
      <w:proofErr w:type="spellStart"/>
      <w:r w:rsidRPr="001776BC">
        <w:rPr>
          <w:rFonts w:ascii="Arial Narrow" w:hAnsi="Arial Narrow"/>
          <w:sz w:val="24"/>
          <w:szCs w:val="24"/>
        </w:rPr>
        <w:t>vínculo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facilita</w:t>
      </w:r>
      <w:proofErr w:type="spellEnd"/>
      <w:r w:rsidRPr="001776BC">
        <w:rPr>
          <w:rFonts w:ascii="Arial Narrow" w:hAnsi="Arial Narrow"/>
          <w:sz w:val="24"/>
          <w:szCs w:val="24"/>
        </w:rPr>
        <w:t xml:space="preserve"> la confianza, la </w:t>
      </w:r>
      <w:proofErr w:type="spellStart"/>
      <w:r w:rsidRPr="001776BC">
        <w:rPr>
          <w:rFonts w:ascii="Arial Narrow" w:hAnsi="Arial Narrow"/>
          <w:sz w:val="24"/>
          <w:szCs w:val="24"/>
        </w:rPr>
        <w:t>seguridad</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psicológica</w:t>
      </w:r>
      <w:proofErr w:type="spellEnd"/>
      <w:r w:rsidRPr="001776BC">
        <w:rPr>
          <w:rFonts w:ascii="Arial Narrow" w:hAnsi="Arial Narrow"/>
          <w:sz w:val="24"/>
          <w:szCs w:val="24"/>
        </w:rPr>
        <w:t xml:space="preserve"> y la </w:t>
      </w:r>
      <w:proofErr w:type="spellStart"/>
      <w:r w:rsidRPr="001776BC">
        <w:rPr>
          <w:rFonts w:ascii="Arial Narrow" w:hAnsi="Arial Narrow"/>
          <w:sz w:val="24"/>
          <w:szCs w:val="24"/>
        </w:rPr>
        <w:t>apertura</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permitiendo</w:t>
      </w:r>
      <w:proofErr w:type="spellEnd"/>
      <w:r w:rsidRPr="001776BC">
        <w:rPr>
          <w:rFonts w:ascii="Arial Narrow" w:hAnsi="Arial Narrow"/>
          <w:sz w:val="24"/>
          <w:szCs w:val="24"/>
        </w:rPr>
        <w:t xml:space="preserve"> a </w:t>
      </w:r>
      <w:proofErr w:type="spellStart"/>
      <w:r w:rsidRPr="001776BC">
        <w:rPr>
          <w:rFonts w:ascii="Arial Narrow" w:hAnsi="Arial Narrow"/>
          <w:sz w:val="24"/>
          <w:szCs w:val="24"/>
        </w:rPr>
        <w:t>los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clientes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expresar</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libremente</w:t>
      </w:r>
      <w:proofErr w:type="spellEnd"/>
      <w:r w:rsidRPr="001776BC">
        <w:rPr>
          <w:rFonts w:ascii="Arial Narrow" w:hAnsi="Arial Narrow"/>
          <w:sz w:val="24"/>
          <w:szCs w:val="24"/>
        </w:rPr>
        <w:t xml:space="preserve"> sus </w:t>
      </w:r>
      <w:proofErr w:type="spellStart"/>
      <w:r w:rsidRPr="001776BC">
        <w:rPr>
          <w:rFonts w:ascii="Arial Narrow" w:hAnsi="Arial Narrow"/>
          <w:sz w:val="24"/>
          <w:szCs w:val="24"/>
        </w:rPr>
        <w:t>pensamientos</w:t>
      </w:r>
      <w:proofErr w:type="spellEnd"/>
      <w:r w:rsidRPr="001776BC">
        <w:rPr>
          <w:rFonts w:ascii="Arial Narrow" w:hAnsi="Arial Narrow"/>
          <w:sz w:val="24"/>
          <w:szCs w:val="24"/>
        </w:rPr>
        <w:t xml:space="preserve"> y </w:t>
      </w:r>
      <w:proofErr w:type="spellStart"/>
      <w:r w:rsidRPr="001776BC">
        <w:rPr>
          <w:rFonts w:ascii="Arial Narrow" w:hAnsi="Arial Narrow"/>
          <w:sz w:val="24"/>
          <w:szCs w:val="24"/>
        </w:rPr>
        <w:t>emociones</w:t>
      </w:r>
      <w:proofErr w:type="spellEnd"/>
      <w:r w:rsidRPr="001776BC">
        <w:rPr>
          <w:rFonts w:ascii="Arial Narrow" w:hAnsi="Arial Narrow"/>
          <w:sz w:val="24"/>
          <w:szCs w:val="24"/>
        </w:rPr>
        <w:t xml:space="preserve">. Más </w:t>
      </w:r>
      <w:proofErr w:type="spellStart"/>
      <w:r w:rsidRPr="001776BC">
        <w:rPr>
          <w:rFonts w:ascii="Arial Narrow" w:hAnsi="Arial Narrow"/>
          <w:sz w:val="24"/>
          <w:szCs w:val="24"/>
        </w:rPr>
        <w:t>allá</w:t>
      </w:r>
      <w:proofErr w:type="spellEnd"/>
      <w:r w:rsidRPr="001776BC">
        <w:rPr>
          <w:rFonts w:ascii="Arial Narrow" w:hAnsi="Arial Narrow"/>
          <w:sz w:val="24"/>
          <w:szCs w:val="24"/>
        </w:rPr>
        <w:t xml:space="preserve"> de </w:t>
      </w:r>
      <w:proofErr w:type="spellStart"/>
      <w:r w:rsidRPr="001776BC">
        <w:rPr>
          <w:rFonts w:ascii="Arial Narrow" w:hAnsi="Arial Narrow"/>
          <w:sz w:val="24"/>
          <w:szCs w:val="24"/>
        </w:rPr>
        <w:t>los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encuentros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terapéuticos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individuales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el</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vínculo</w:t>
      </w:r>
      <w:proofErr w:type="spellEnd"/>
      <w:r w:rsidRPr="001776BC">
        <w:rPr>
          <w:rFonts w:ascii="Arial Narrow" w:hAnsi="Arial Narrow"/>
          <w:sz w:val="24"/>
          <w:szCs w:val="24"/>
        </w:rPr>
        <w:t xml:space="preserve"> es </w:t>
      </w:r>
      <w:proofErr w:type="spellStart"/>
      <w:r w:rsidRPr="001776BC">
        <w:rPr>
          <w:rFonts w:ascii="Arial Narrow" w:hAnsi="Arial Narrow"/>
          <w:sz w:val="24"/>
          <w:szCs w:val="24"/>
        </w:rPr>
        <w:t>esencial</w:t>
      </w:r>
      <w:proofErr w:type="spellEnd"/>
      <w:r w:rsidRPr="001776BC">
        <w:rPr>
          <w:rFonts w:ascii="Arial Narrow" w:hAnsi="Arial Narrow"/>
          <w:sz w:val="24"/>
          <w:szCs w:val="24"/>
        </w:rPr>
        <w:t xml:space="preserve"> para </w:t>
      </w:r>
      <w:proofErr w:type="spellStart"/>
      <w:r w:rsidRPr="001776BC">
        <w:rPr>
          <w:rFonts w:ascii="Arial Narrow" w:hAnsi="Arial Narrow"/>
          <w:sz w:val="24"/>
          <w:szCs w:val="24"/>
        </w:rPr>
        <w:t>abordar</w:t>
      </w:r>
      <w:proofErr w:type="spellEnd"/>
      <w:r w:rsidRPr="001776BC">
        <w:rPr>
          <w:rFonts w:ascii="Arial Narrow" w:hAnsi="Arial Narrow"/>
          <w:sz w:val="24"/>
          <w:szCs w:val="24"/>
        </w:rPr>
        <w:t xml:space="preserve"> las </w:t>
      </w:r>
      <w:proofErr w:type="spellStart"/>
      <w:r w:rsidRPr="001776BC">
        <w:rPr>
          <w:rFonts w:ascii="Arial Narrow" w:hAnsi="Arial Narrow"/>
          <w:sz w:val="24"/>
          <w:szCs w:val="24"/>
        </w:rPr>
        <w:t>disparidades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la </w:t>
      </w:r>
      <w:proofErr w:type="spellStart"/>
      <w:r w:rsidRPr="001776BC">
        <w:rPr>
          <w:rFonts w:ascii="Arial Narrow" w:hAnsi="Arial Narrow"/>
          <w:sz w:val="24"/>
          <w:szCs w:val="24"/>
        </w:rPr>
        <w:t>atención</w:t>
      </w:r>
      <w:proofErr w:type="spellEnd"/>
      <w:r w:rsidRPr="001776BC">
        <w:rPr>
          <w:rFonts w:ascii="Arial Narrow" w:hAnsi="Arial Narrow"/>
          <w:sz w:val="24"/>
          <w:szCs w:val="24"/>
        </w:rPr>
        <w:t xml:space="preserve"> de </w:t>
      </w:r>
      <w:proofErr w:type="spellStart"/>
      <w:r w:rsidRPr="001776BC">
        <w:rPr>
          <w:rFonts w:ascii="Arial Narrow" w:hAnsi="Arial Narrow"/>
          <w:sz w:val="24"/>
          <w:szCs w:val="24"/>
        </w:rPr>
        <w:t>salud</w:t>
      </w:r>
      <w:proofErr w:type="spellEnd"/>
      <w:r w:rsidRPr="001776BC">
        <w:rPr>
          <w:rFonts w:ascii="Arial Narrow" w:hAnsi="Arial Narrow"/>
          <w:sz w:val="24"/>
          <w:szCs w:val="24"/>
        </w:rPr>
        <w:t xml:space="preserve"> mental, </w:t>
      </w:r>
      <w:proofErr w:type="spellStart"/>
      <w:r w:rsidRPr="001776BC">
        <w:rPr>
          <w:rFonts w:ascii="Arial Narrow" w:hAnsi="Arial Narrow"/>
          <w:sz w:val="24"/>
          <w:szCs w:val="24"/>
        </w:rPr>
        <w:t>particularmente</w:t>
      </w:r>
      <w:proofErr w:type="spellEnd"/>
      <w:r w:rsidRPr="001776BC">
        <w:rPr>
          <w:rFonts w:ascii="Arial Narrow" w:hAnsi="Arial Narrow"/>
          <w:sz w:val="24"/>
          <w:szCs w:val="24"/>
        </w:rPr>
        <w:t xml:space="preserve"> entre las </w:t>
      </w:r>
      <w:proofErr w:type="spellStart"/>
      <w:r w:rsidRPr="001776BC">
        <w:rPr>
          <w:rFonts w:ascii="Arial Narrow" w:hAnsi="Arial Narrow"/>
          <w:sz w:val="24"/>
          <w:szCs w:val="24"/>
        </w:rPr>
        <w:t>poblaciones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desatendidas</w:t>
      </w:r>
      <w:proofErr w:type="spellEnd"/>
      <w:r w:rsidRPr="001776BC">
        <w:rPr>
          <w:rFonts w:ascii="Arial Narrow" w:hAnsi="Arial Narrow"/>
          <w:sz w:val="24"/>
          <w:szCs w:val="24"/>
        </w:rPr>
        <w:t xml:space="preserve">. Este </w:t>
      </w:r>
      <w:proofErr w:type="spellStart"/>
      <w:r w:rsidRPr="001776BC">
        <w:rPr>
          <w:rFonts w:ascii="Arial Narrow" w:hAnsi="Arial Narrow"/>
          <w:sz w:val="24"/>
          <w:szCs w:val="24"/>
        </w:rPr>
        <w:t>artículo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explora</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el</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impacto</w:t>
      </w:r>
      <w:proofErr w:type="spellEnd"/>
      <w:r w:rsidRPr="001776BC">
        <w:rPr>
          <w:rFonts w:ascii="Arial Narrow" w:hAnsi="Arial Narrow"/>
          <w:sz w:val="24"/>
          <w:szCs w:val="24"/>
        </w:rPr>
        <w:t xml:space="preserve"> del </w:t>
      </w:r>
      <w:proofErr w:type="spellStart"/>
      <w:r w:rsidRPr="001776BC">
        <w:rPr>
          <w:rFonts w:ascii="Arial Narrow" w:hAnsi="Arial Narrow"/>
          <w:sz w:val="24"/>
          <w:szCs w:val="24"/>
        </w:rPr>
        <w:t>vínculo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terapéutico</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los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resultados</w:t>
      </w:r>
      <w:proofErr w:type="spellEnd"/>
      <w:r w:rsidRPr="001776BC">
        <w:rPr>
          <w:rFonts w:ascii="Arial Narrow" w:hAnsi="Arial Narrow"/>
          <w:sz w:val="24"/>
          <w:szCs w:val="24"/>
        </w:rPr>
        <w:t xml:space="preserve"> de </w:t>
      </w:r>
      <w:proofErr w:type="spellStart"/>
      <w:r w:rsidRPr="001776BC">
        <w:rPr>
          <w:rFonts w:ascii="Arial Narrow" w:hAnsi="Arial Narrow"/>
          <w:sz w:val="24"/>
          <w:szCs w:val="24"/>
        </w:rPr>
        <w:t>salud</w:t>
      </w:r>
      <w:proofErr w:type="spellEnd"/>
      <w:r w:rsidRPr="001776BC">
        <w:rPr>
          <w:rFonts w:ascii="Arial Narrow" w:hAnsi="Arial Narrow"/>
          <w:sz w:val="24"/>
          <w:szCs w:val="24"/>
        </w:rPr>
        <w:t xml:space="preserve"> mental, la </w:t>
      </w:r>
      <w:proofErr w:type="spellStart"/>
      <w:r w:rsidRPr="001776BC">
        <w:rPr>
          <w:rFonts w:ascii="Arial Narrow" w:hAnsi="Arial Narrow"/>
          <w:sz w:val="24"/>
          <w:szCs w:val="24"/>
        </w:rPr>
        <w:t>importancia</w:t>
      </w:r>
      <w:proofErr w:type="spellEnd"/>
      <w:r w:rsidRPr="001776BC">
        <w:rPr>
          <w:rFonts w:ascii="Arial Narrow" w:hAnsi="Arial Narrow"/>
          <w:sz w:val="24"/>
          <w:szCs w:val="24"/>
        </w:rPr>
        <w:t xml:space="preserve"> de la </w:t>
      </w:r>
      <w:proofErr w:type="spellStart"/>
      <w:r w:rsidRPr="001776BC">
        <w:rPr>
          <w:rFonts w:ascii="Arial Narrow" w:hAnsi="Arial Narrow"/>
          <w:sz w:val="24"/>
          <w:szCs w:val="24"/>
        </w:rPr>
        <w:t>competencia</w:t>
      </w:r>
      <w:proofErr w:type="spellEnd"/>
      <w:r w:rsidRPr="001776BC">
        <w:rPr>
          <w:rFonts w:ascii="Arial Narrow" w:hAnsi="Arial Narrow"/>
          <w:sz w:val="24"/>
          <w:szCs w:val="24"/>
        </w:rPr>
        <w:t xml:space="preserve"> cultural y la </w:t>
      </w:r>
      <w:proofErr w:type="spellStart"/>
      <w:r w:rsidRPr="001776BC">
        <w:rPr>
          <w:rFonts w:ascii="Arial Narrow" w:hAnsi="Arial Narrow"/>
          <w:sz w:val="24"/>
          <w:szCs w:val="24"/>
        </w:rPr>
        <w:t>necesidad</w:t>
      </w:r>
      <w:proofErr w:type="spellEnd"/>
      <w:r w:rsidRPr="001776BC">
        <w:rPr>
          <w:rFonts w:ascii="Arial Narrow" w:hAnsi="Arial Narrow"/>
          <w:sz w:val="24"/>
          <w:szCs w:val="24"/>
        </w:rPr>
        <w:t xml:space="preserve"> de </w:t>
      </w:r>
      <w:proofErr w:type="spellStart"/>
      <w:r w:rsidRPr="001776BC">
        <w:rPr>
          <w:rFonts w:ascii="Arial Narrow" w:hAnsi="Arial Narrow"/>
          <w:sz w:val="24"/>
          <w:szCs w:val="24"/>
        </w:rPr>
        <w:t>una</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formación</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mejorada</w:t>
      </w:r>
      <w:proofErr w:type="spellEnd"/>
      <w:r w:rsidRPr="001776BC">
        <w:rPr>
          <w:rFonts w:ascii="Arial Narrow" w:hAnsi="Arial Narrow"/>
          <w:sz w:val="24"/>
          <w:szCs w:val="24"/>
        </w:rPr>
        <w:t xml:space="preserve"> para </w:t>
      </w:r>
      <w:proofErr w:type="spellStart"/>
      <w:r w:rsidRPr="001776BC">
        <w:rPr>
          <w:rFonts w:ascii="Arial Narrow" w:hAnsi="Arial Narrow"/>
          <w:sz w:val="24"/>
          <w:szCs w:val="24"/>
        </w:rPr>
        <w:t>los</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profesionales</w:t>
      </w:r>
      <w:proofErr w:type="spellEnd"/>
      <w:r w:rsidRPr="001776BC">
        <w:rPr>
          <w:rFonts w:ascii="Arial Narrow" w:hAnsi="Arial Narrow"/>
          <w:sz w:val="24"/>
          <w:szCs w:val="24"/>
        </w:rPr>
        <w:t xml:space="preserve"> de la </w:t>
      </w:r>
      <w:proofErr w:type="spellStart"/>
      <w:r w:rsidRPr="001776BC">
        <w:rPr>
          <w:rFonts w:ascii="Arial Narrow" w:hAnsi="Arial Narrow"/>
          <w:sz w:val="24"/>
          <w:szCs w:val="24"/>
        </w:rPr>
        <w:t>salud</w:t>
      </w:r>
      <w:proofErr w:type="spellEnd"/>
      <w:r w:rsidRPr="001776BC">
        <w:rPr>
          <w:rFonts w:ascii="Arial Narrow" w:hAnsi="Arial Narrow"/>
          <w:sz w:val="24"/>
          <w:szCs w:val="24"/>
        </w:rPr>
        <w:t xml:space="preserve"> con </w:t>
      </w:r>
      <w:proofErr w:type="spellStart"/>
      <w:r w:rsidRPr="001776BC">
        <w:rPr>
          <w:rFonts w:ascii="Arial Narrow" w:hAnsi="Arial Narrow"/>
          <w:sz w:val="24"/>
          <w:szCs w:val="24"/>
        </w:rPr>
        <w:t>el</w:t>
      </w:r>
      <w:proofErr w:type="spellEnd"/>
      <w:r w:rsidRPr="001776BC">
        <w:rPr>
          <w:rFonts w:ascii="Arial Narrow" w:hAnsi="Arial Narrow"/>
          <w:sz w:val="24"/>
          <w:szCs w:val="24"/>
        </w:rPr>
        <w:t xml:space="preserve"> fin de </w:t>
      </w:r>
      <w:proofErr w:type="spellStart"/>
      <w:r w:rsidRPr="001776BC">
        <w:rPr>
          <w:rFonts w:ascii="Arial Narrow" w:hAnsi="Arial Narrow"/>
          <w:sz w:val="24"/>
          <w:szCs w:val="24"/>
        </w:rPr>
        <w:t>mejorar</w:t>
      </w:r>
      <w:proofErr w:type="spellEnd"/>
      <w:r w:rsidRPr="001776BC">
        <w:rPr>
          <w:rFonts w:ascii="Arial Narrow" w:hAnsi="Arial Narrow"/>
          <w:sz w:val="24"/>
          <w:szCs w:val="24"/>
        </w:rPr>
        <w:t xml:space="preserve"> la </w:t>
      </w:r>
      <w:proofErr w:type="spellStart"/>
      <w:r w:rsidRPr="001776BC">
        <w:rPr>
          <w:rFonts w:ascii="Arial Narrow" w:hAnsi="Arial Narrow"/>
          <w:sz w:val="24"/>
          <w:szCs w:val="24"/>
        </w:rPr>
        <w:t>equidad</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en</w:t>
      </w:r>
      <w:proofErr w:type="spellEnd"/>
      <w:r w:rsidRPr="001776BC">
        <w:rPr>
          <w:rFonts w:ascii="Arial Narrow" w:hAnsi="Arial Narrow"/>
          <w:sz w:val="24"/>
          <w:szCs w:val="24"/>
        </w:rPr>
        <w:t xml:space="preserve"> </w:t>
      </w:r>
      <w:proofErr w:type="spellStart"/>
      <w:r w:rsidRPr="001776BC">
        <w:rPr>
          <w:rFonts w:ascii="Arial Narrow" w:hAnsi="Arial Narrow"/>
          <w:sz w:val="24"/>
          <w:szCs w:val="24"/>
        </w:rPr>
        <w:t>salud</w:t>
      </w:r>
      <w:proofErr w:type="spellEnd"/>
      <w:r w:rsidRPr="001776BC">
        <w:rPr>
          <w:rFonts w:ascii="Arial Narrow" w:hAnsi="Arial Narrow"/>
          <w:sz w:val="24"/>
          <w:szCs w:val="24"/>
        </w:rPr>
        <w:t>.</w:t>
      </w:r>
    </w:p>
    <w:p w14:paraId="0B702A4A" w14:textId="77777777" w:rsidR="005922C3" w:rsidRPr="001776BC" w:rsidRDefault="001776BC" w:rsidP="00A60A51">
      <w:pPr>
        <w:spacing w:after="0" w:line="276" w:lineRule="auto"/>
        <w:jc w:val="both"/>
        <w:rPr>
          <w:rFonts w:ascii="Arial Narrow" w:hAnsi="Arial Narrow"/>
          <w:sz w:val="24"/>
          <w:szCs w:val="24"/>
        </w:rPr>
      </w:pPr>
      <w:r w:rsidRPr="001776BC">
        <w:rPr>
          <w:rFonts w:ascii="Arial Narrow" w:hAnsi="Arial Narrow"/>
          <w:sz w:val="24"/>
          <w:szCs w:val="24"/>
        </w:rPr>
        <w:pict w14:anchorId="47E6C4EB">
          <v:rect id="_x0000_i1026" style="width:0;height:1.5pt" o:hralign="center" o:hrstd="t" o:hrnoshade="t" o:hr="t" stroked="f"/>
        </w:pict>
      </w:r>
    </w:p>
    <w:p w14:paraId="75B37200" w14:textId="77777777" w:rsidR="005346A1" w:rsidRPr="001776BC" w:rsidRDefault="005346A1" w:rsidP="00A60A51">
      <w:pPr>
        <w:spacing w:line="276" w:lineRule="auto"/>
        <w:jc w:val="both"/>
        <w:rPr>
          <w:rFonts w:ascii="Arial Narrow" w:hAnsi="Arial Narrow"/>
          <w:sz w:val="24"/>
          <w:szCs w:val="24"/>
        </w:rPr>
      </w:pPr>
      <w:r w:rsidRPr="001776BC">
        <w:rPr>
          <w:rFonts w:ascii="Arial Narrow" w:hAnsi="Arial Narrow"/>
          <w:sz w:val="24"/>
          <w:szCs w:val="24"/>
        </w:rPr>
        <w:br w:type="page"/>
      </w:r>
    </w:p>
    <w:p w14:paraId="22681324"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lastRenderedPageBreak/>
        <w:t>Introduction</w:t>
      </w:r>
    </w:p>
    <w:p w14:paraId="59CA8132" w14:textId="77777777" w:rsidR="00CE00C1" w:rsidRPr="001776BC" w:rsidRDefault="00CE00C1" w:rsidP="00260930">
      <w:pPr>
        <w:spacing w:after="0" w:line="276" w:lineRule="auto"/>
        <w:jc w:val="both"/>
        <w:rPr>
          <w:rFonts w:ascii="Arial Narrow" w:hAnsi="Arial Narrow"/>
          <w:sz w:val="24"/>
          <w:szCs w:val="24"/>
        </w:rPr>
      </w:pPr>
    </w:p>
    <w:p w14:paraId="0DB31583" w14:textId="1F09E608"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Stigma toward individuals with mental health conditions, particularly when originating from healthcare providers, remains an underexplored yet pervasive issue within various healthcare professions, including psychology, mental health care, and other medical fields (Knaak et al., 2017). This stigmatization within healthcare presents significant barriers to access and quality of care, adversely affecting patients and healthcare providers alike. Goffman’s (1963) foundational work on stigma describes the complex dynamics of labeling, othering, and discrimination, highlighting how stigma intertwines cognitive, emotional, and behavioral dimensions. These processes of stigmatization manifest across multiple levels: intrapersonal (e.g., self-stigma), interpersonal (e.g., patient-provider interactions), and structural (e.g., institutional policies and systemic inequities) (Livingston, 2013; Link &amp; Phelan, 2001).</w:t>
      </w:r>
    </w:p>
    <w:p w14:paraId="62F02A7B" w14:textId="77777777" w:rsidR="00985032" w:rsidRPr="001776BC" w:rsidRDefault="00985032" w:rsidP="00260930">
      <w:pPr>
        <w:spacing w:after="0" w:line="276" w:lineRule="auto"/>
        <w:jc w:val="both"/>
        <w:rPr>
          <w:rFonts w:ascii="Arial Narrow" w:hAnsi="Arial Narrow"/>
          <w:sz w:val="24"/>
          <w:szCs w:val="24"/>
        </w:rPr>
      </w:pPr>
    </w:p>
    <w:p w14:paraId="2A4D0D5F" w14:textId="13ACB032"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Stigmatization in healthcare settings can be seen in structural barriers, such as unequal resource allocation and disparities in care quality, as well as in interpersonal discrimination, where negative patient-provider interactions and provider prejudice are prominent (Conner &amp; Wilson, 2006). Individuals with mental health conditions often report feeling devalued, dismissed, or dehumanized by healthcare professionals, with common experiences including exclusion from decision-making processes, exposure to coercive treatment threats, and prolonged wait times (Hamilton et al., 2016). Moreover, individuals frequently express frustration with insufficient information on diagnoses or treatment options and experience paternalistic or stigmatizing attitudes from providers (Wang et al., 2018).</w:t>
      </w:r>
    </w:p>
    <w:p w14:paraId="6F05D9BC" w14:textId="77777777" w:rsidR="00985032" w:rsidRPr="001776BC" w:rsidRDefault="00985032" w:rsidP="00260930">
      <w:pPr>
        <w:spacing w:after="0" w:line="276" w:lineRule="auto"/>
        <w:jc w:val="both"/>
        <w:rPr>
          <w:rFonts w:ascii="Arial Narrow" w:hAnsi="Arial Narrow"/>
          <w:sz w:val="24"/>
          <w:szCs w:val="24"/>
        </w:rPr>
      </w:pPr>
    </w:p>
    <w:p w14:paraId="6906B3A0" w14:textId="329A92FE"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Provider stigma, while often unintended, can arise from high caseloads, limited institutional support, and the inherent complexities of treating severe mental health conditions, which may lead to professional stress and, inadvertently, negative attitudes toward patients (DeAngelis, 2024). Studies indicate that provider stigma, whether overt or subtle, has adverse effects not only on patients but also on providers, families, and society. Patients are particularly sensitive to such stigma, which can lead to marginalization, discontinuation of treatment, or reluctance to seek care (Wang et al., 2018). Addressing stigma within healthcare is thus essential to improve patient outcomes and foster an inclusive, respectful healthcare environment.</w:t>
      </w:r>
    </w:p>
    <w:p w14:paraId="4125F138" w14:textId="295A631B" w:rsidR="00B511CB" w:rsidRPr="001776BC" w:rsidRDefault="00B511CB" w:rsidP="00260930">
      <w:pPr>
        <w:spacing w:after="0" w:line="276" w:lineRule="auto"/>
        <w:rPr>
          <w:rFonts w:ascii="Arial Narrow" w:hAnsi="Arial Narrow"/>
          <w:sz w:val="24"/>
          <w:szCs w:val="24"/>
        </w:rPr>
      </w:pPr>
    </w:p>
    <w:p w14:paraId="67A3C0FE"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Therapeutic Rapport and Health Equity</w:t>
      </w:r>
    </w:p>
    <w:p w14:paraId="788C0747" w14:textId="77777777" w:rsidR="00985032" w:rsidRPr="001776BC" w:rsidRDefault="00985032" w:rsidP="00260930">
      <w:pPr>
        <w:spacing w:after="0" w:line="276" w:lineRule="auto"/>
        <w:jc w:val="both"/>
        <w:rPr>
          <w:rFonts w:ascii="Arial Narrow" w:hAnsi="Arial Narrow"/>
          <w:sz w:val="24"/>
          <w:szCs w:val="24"/>
        </w:rPr>
      </w:pPr>
    </w:p>
    <w:p w14:paraId="102FAD56" w14:textId="4E7EFBBB"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development of therapeutic rapport is widely recognized as crucial to the effectiveness of psychotherapy. As Easterbrook (2017) notes, therapeutic rapport is indispensable in fostering trust, psychological safety, and openness between therapist and client—fundamental elements for treatment efficacy and successful therapeutic outcomes. Therapeutic rapport takes on even greater significance within the context of health equity, particularly for marginalized and underserved populations. A therapeutic relationship grounded in empathy, collaboration, and cultural competence can dismantle barriers to care, including systemic mistrust, cultural misunderstandings, and inconsistent treatment adherence.</w:t>
      </w:r>
    </w:p>
    <w:p w14:paraId="32ECF76B" w14:textId="77777777" w:rsidR="00985032" w:rsidRPr="001776BC" w:rsidRDefault="00985032" w:rsidP="00260930">
      <w:pPr>
        <w:spacing w:after="0" w:line="276" w:lineRule="auto"/>
        <w:jc w:val="both"/>
        <w:rPr>
          <w:rFonts w:ascii="Arial Narrow" w:hAnsi="Arial Narrow"/>
          <w:sz w:val="24"/>
          <w:szCs w:val="24"/>
        </w:rPr>
      </w:pPr>
    </w:p>
    <w:p w14:paraId="101986A6" w14:textId="2F002089"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Therapeutic rapport enhances patient engagement and serves as a critical mechanism for addressing broader social determinants of health, such as socioeconomic challenges, housing instability, and limited </w:t>
      </w:r>
      <w:r w:rsidRPr="001776BC">
        <w:rPr>
          <w:rFonts w:ascii="Arial Narrow" w:hAnsi="Arial Narrow"/>
          <w:sz w:val="24"/>
          <w:szCs w:val="24"/>
        </w:rPr>
        <w:lastRenderedPageBreak/>
        <w:t>access to necessary resources. By establishing rapport, therapists create an environment in which individuals can more effectively manage underlying factors essential to mental wellbeing, thereby promoting health equity within mental health services.</w:t>
      </w:r>
    </w:p>
    <w:p w14:paraId="794CDB78" w14:textId="77777777" w:rsidR="00985032" w:rsidRPr="001776BC" w:rsidRDefault="00985032" w:rsidP="00260930">
      <w:pPr>
        <w:spacing w:after="0" w:line="276" w:lineRule="auto"/>
        <w:jc w:val="both"/>
        <w:rPr>
          <w:rFonts w:ascii="Arial Narrow" w:hAnsi="Arial Narrow"/>
          <w:sz w:val="24"/>
          <w:szCs w:val="24"/>
        </w:rPr>
      </w:pPr>
    </w:p>
    <w:p w14:paraId="70565307" w14:textId="77777777" w:rsidR="00985032" w:rsidRPr="001776BC" w:rsidRDefault="00985032" w:rsidP="00260930">
      <w:pPr>
        <w:spacing w:after="0" w:line="276" w:lineRule="auto"/>
        <w:jc w:val="both"/>
        <w:rPr>
          <w:rFonts w:ascii="Arial Narrow" w:hAnsi="Arial Narrow"/>
          <w:sz w:val="24"/>
          <w:szCs w:val="24"/>
        </w:rPr>
      </w:pPr>
    </w:p>
    <w:p w14:paraId="03BAAEE4" w14:textId="148C95AA"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Role of Cultural Competence</w:t>
      </w:r>
    </w:p>
    <w:p w14:paraId="7616BB3A" w14:textId="77777777" w:rsidR="00985032" w:rsidRPr="001776BC" w:rsidRDefault="00985032" w:rsidP="00260930">
      <w:pPr>
        <w:spacing w:after="0" w:line="276" w:lineRule="auto"/>
        <w:jc w:val="both"/>
        <w:rPr>
          <w:rFonts w:ascii="Arial Narrow" w:hAnsi="Arial Narrow"/>
          <w:sz w:val="24"/>
          <w:szCs w:val="24"/>
        </w:rPr>
      </w:pPr>
    </w:p>
    <w:p w14:paraId="2BD4083E" w14:textId="47DCA0EF"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Cultural competence is essential to advancing health equity and achieving effective mental health care. Cross et al. (1989) defines cultural competence as “a set of congruent behaviors, attitudes, and policies that come together in a system, agency, or among professionals, enabling that system or agency to work effectively in cross-cultural situations.” This systemic approach underscores that cultural competence is not solely the responsibility of individual practitioners but is also a responsibility that healthcare organizations must uphold.</w:t>
      </w:r>
    </w:p>
    <w:p w14:paraId="5DB8BF22" w14:textId="77777777" w:rsidR="00985032" w:rsidRPr="001776BC" w:rsidRDefault="00985032" w:rsidP="00260930">
      <w:pPr>
        <w:spacing w:after="0" w:line="276" w:lineRule="auto"/>
        <w:jc w:val="both"/>
        <w:rPr>
          <w:rFonts w:ascii="Arial Narrow" w:hAnsi="Arial Narrow"/>
          <w:sz w:val="24"/>
          <w:szCs w:val="24"/>
        </w:rPr>
      </w:pPr>
    </w:p>
    <w:p w14:paraId="004CFAD5" w14:textId="3ABC1D31"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While therapists often cultivate skills in rapport-building, diagnosis, and treatment over time, cultural competence requires structured training and practical experience. Unfortunately, many formal education programs for mental health professionals do not adequately emphasize cultural competence, leading practitioners to seek additional training independently to meet their clients’ diverse needs.</w:t>
      </w:r>
    </w:p>
    <w:p w14:paraId="20719205" w14:textId="77777777" w:rsidR="00666061" w:rsidRPr="001776BC" w:rsidRDefault="00666061" w:rsidP="00260930">
      <w:pPr>
        <w:spacing w:after="0" w:line="276" w:lineRule="auto"/>
        <w:jc w:val="both"/>
        <w:rPr>
          <w:rFonts w:ascii="Arial Narrow" w:hAnsi="Arial Narrow"/>
          <w:sz w:val="24"/>
          <w:szCs w:val="24"/>
        </w:rPr>
      </w:pPr>
    </w:p>
    <w:p w14:paraId="243F7BB9" w14:textId="2D25DBE4"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Recent literature emphasizes moving beyond theoretical knowledge to develop the practical skills necessary to implement cultural competence effectively. Vella et al. (2022) note that few studies rigorously assess the effectiveness of cultural competence training in clinical practice. To bridge this gap, researchers must examine the impact of these skills on practitioner behavior and measure how these interventions influence healthcare delivery and patient outcomes, advancing both individual and systemic efforts toward mental health equity.</w:t>
      </w:r>
    </w:p>
    <w:p w14:paraId="327A207B" w14:textId="4DADE941" w:rsidR="00B511CB" w:rsidRPr="001776BC" w:rsidRDefault="00B511CB" w:rsidP="00260930">
      <w:pPr>
        <w:spacing w:after="0" w:line="276" w:lineRule="auto"/>
        <w:jc w:val="both"/>
        <w:rPr>
          <w:rFonts w:ascii="Arial Narrow" w:hAnsi="Arial Narrow"/>
          <w:sz w:val="24"/>
          <w:szCs w:val="24"/>
        </w:rPr>
      </w:pPr>
    </w:p>
    <w:p w14:paraId="123CE05C"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Research Problem</w:t>
      </w:r>
    </w:p>
    <w:p w14:paraId="328EA38B" w14:textId="77777777" w:rsidR="00666061" w:rsidRPr="001776BC" w:rsidRDefault="00666061" w:rsidP="00260930">
      <w:pPr>
        <w:spacing w:after="0" w:line="276" w:lineRule="auto"/>
        <w:jc w:val="both"/>
        <w:rPr>
          <w:rFonts w:ascii="Arial Narrow" w:hAnsi="Arial Narrow"/>
          <w:sz w:val="24"/>
          <w:szCs w:val="24"/>
        </w:rPr>
      </w:pPr>
    </w:p>
    <w:p w14:paraId="4477DC73" w14:textId="3FFB9BA3"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Health disparities remain a global challenge, often driven by a lack of culturally competent care. While numerous training programs seek to enhance cultural competence, their effectiveness is typically assessed through changes in knowledge and attitudes rather than their practical application in clinical settings. This narrow focus limits understanding of how culturally competent behaviors are consistently implemented and evaluated in real-world practice. Without this insight, healthcare organizations may struggle to address the sociocultural barriers that contribute to disparities in care. Therefore, it is essential to move beyond measuring knowledge gains and assess the tangible impact of cultural competence training on healthcare provider behaviors and patient outcomes.</w:t>
      </w:r>
    </w:p>
    <w:p w14:paraId="4550F601" w14:textId="23DA43A6" w:rsidR="00B511CB" w:rsidRPr="001776BC" w:rsidRDefault="00B511CB" w:rsidP="00260930">
      <w:pPr>
        <w:spacing w:after="0" w:line="276" w:lineRule="auto"/>
        <w:jc w:val="both"/>
        <w:rPr>
          <w:rFonts w:ascii="Arial Narrow" w:hAnsi="Arial Narrow"/>
          <w:sz w:val="24"/>
          <w:szCs w:val="24"/>
        </w:rPr>
      </w:pPr>
    </w:p>
    <w:p w14:paraId="4DFA501E"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Background</w:t>
      </w:r>
    </w:p>
    <w:p w14:paraId="53C35D74" w14:textId="77777777" w:rsidR="00F86701" w:rsidRPr="001776BC" w:rsidRDefault="00F86701" w:rsidP="00260930">
      <w:pPr>
        <w:spacing w:after="0" w:line="276" w:lineRule="auto"/>
        <w:jc w:val="both"/>
        <w:rPr>
          <w:rFonts w:ascii="Arial Narrow" w:hAnsi="Arial Narrow"/>
          <w:sz w:val="24"/>
          <w:szCs w:val="24"/>
        </w:rPr>
      </w:pPr>
    </w:p>
    <w:p w14:paraId="16E05AE1" w14:textId="0761F36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Healthcare professionals play a pivotal role in shaping patients' experiences as they navigate complex healthcare systems. Cultural and linguistic disparities between providers and patients can lead to significant miscommunication, erode trust, reduce patient satisfaction, and foster feelings of disempowerment. In </w:t>
      </w:r>
      <w:r w:rsidRPr="001776BC">
        <w:rPr>
          <w:rFonts w:ascii="Arial Narrow" w:hAnsi="Arial Narrow"/>
          <w:sz w:val="24"/>
          <w:szCs w:val="24"/>
        </w:rPr>
        <w:lastRenderedPageBreak/>
        <w:t>contrast, research demonstrates that enhancing healthcare practitioners' cultural competence is closely associated with improved patient satisfaction, higher treatment adherence, and better information exchange between patients and providers. Given the critical influence healthcare professionals have on patient care, early strategies to address healthcare disparities have focused on improving cultural competence (</w:t>
      </w:r>
      <w:proofErr w:type="spellStart"/>
      <w:r w:rsidRPr="001776BC">
        <w:rPr>
          <w:rFonts w:ascii="Arial Narrow" w:hAnsi="Arial Narrow"/>
          <w:sz w:val="24"/>
          <w:szCs w:val="24"/>
        </w:rPr>
        <w:t>Jongen</w:t>
      </w:r>
      <w:proofErr w:type="spellEnd"/>
      <w:r w:rsidRPr="001776BC">
        <w:rPr>
          <w:rFonts w:ascii="Arial Narrow" w:hAnsi="Arial Narrow"/>
          <w:sz w:val="24"/>
          <w:szCs w:val="24"/>
        </w:rPr>
        <w:t xml:space="preserve"> et al., 2019).</w:t>
      </w:r>
    </w:p>
    <w:p w14:paraId="58A318D3" w14:textId="77777777" w:rsidR="00F86701" w:rsidRPr="001776BC" w:rsidRDefault="00F86701" w:rsidP="00260930">
      <w:pPr>
        <w:spacing w:after="0" w:line="276" w:lineRule="auto"/>
        <w:jc w:val="both"/>
        <w:rPr>
          <w:rFonts w:ascii="Arial Narrow" w:hAnsi="Arial Narrow"/>
          <w:sz w:val="24"/>
          <w:szCs w:val="24"/>
        </w:rPr>
      </w:pPr>
    </w:p>
    <w:p w14:paraId="380B2442" w14:textId="08E51D56"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Traditionally, cultural competence interventions within the healthcare workforce have centered on education and training that impart essential knowledge, attitudes, and skills to address sociocultural issues in clinical settings. These programs emphasize understanding how culture shapes behaviors, attitudes, and health outcomes, promoting respect for cultural differences, the use of culturally tailored practices, and ongoing self-awareness of personal biases. Despite these efforts, the literature reveals a key gap: while such programs raise awareness, they often fall short of equipping practitioners with the practical skills needed to consistently apply this knowledge in clinical encounters (</w:t>
      </w:r>
      <w:proofErr w:type="spellStart"/>
      <w:r w:rsidRPr="001776BC">
        <w:rPr>
          <w:rFonts w:ascii="Arial Narrow" w:hAnsi="Arial Narrow"/>
          <w:sz w:val="24"/>
          <w:szCs w:val="24"/>
        </w:rPr>
        <w:t>Jongen</w:t>
      </w:r>
      <w:proofErr w:type="spellEnd"/>
      <w:r w:rsidRPr="001776BC">
        <w:rPr>
          <w:rFonts w:ascii="Arial Narrow" w:hAnsi="Arial Narrow"/>
          <w:sz w:val="24"/>
          <w:szCs w:val="24"/>
        </w:rPr>
        <w:t xml:space="preserve"> et al., 2019).</w:t>
      </w:r>
    </w:p>
    <w:p w14:paraId="1E7ACC80" w14:textId="03FC336B" w:rsidR="00B511CB" w:rsidRPr="001776BC" w:rsidRDefault="00B511CB" w:rsidP="00260930">
      <w:pPr>
        <w:spacing w:after="0" w:line="276" w:lineRule="auto"/>
        <w:jc w:val="both"/>
        <w:rPr>
          <w:rFonts w:ascii="Arial Narrow" w:hAnsi="Arial Narrow"/>
          <w:sz w:val="24"/>
          <w:szCs w:val="24"/>
        </w:rPr>
      </w:pPr>
    </w:p>
    <w:p w14:paraId="6803F9C7"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Cultural Intelligence (CQ) in Mental Health Training</w:t>
      </w:r>
    </w:p>
    <w:p w14:paraId="06F3E08D" w14:textId="77777777" w:rsidR="00666061" w:rsidRPr="001776BC" w:rsidRDefault="00666061" w:rsidP="00260930">
      <w:pPr>
        <w:spacing w:after="0" w:line="276" w:lineRule="auto"/>
        <w:jc w:val="both"/>
        <w:rPr>
          <w:rFonts w:ascii="Arial Narrow" w:hAnsi="Arial Narrow"/>
          <w:sz w:val="24"/>
          <w:szCs w:val="24"/>
        </w:rPr>
      </w:pPr>
    </w:p>
    <w:p w14:paraId="7B9238BB" w14:textId="5F637E5F"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need for more targeted, behavior-focused training models in mental health is increasingly recognized, particularly in the context of cultural competence. While many strategies have advanced cultural awareness in healthcare, there remains a gap between cognitive understanding and practical application. This gap is particularly evident in the ability of mental health therapists to navigate culturally diverse client populations effectively. One promising solution is the integration of the Cultural Intelligence (CQ) model into existing cultural competence training programs for mental health professionals.</w:t>
      </w:r>
    </w:p>
    <w:p w14:paraId="10852830" w14:textId="77777777" w:rsidR="00666061" w:rsidRPr="001776BC" w:rsidRDefault="00666061" w:rsidP="00260930">
      <w:pPr>
        <w:spacing w:after="0" w:line="276" w:lineRule="auto"/>
        <w:jc w:val="both"/>
        <w:rPr>
          <w:rFonts w:ascii="Arial Narrow" w:hAnsi="Arial Narrow"/>
          <w:sz w:val="24"/>
          <w:szCs w:val="24"/>
        </w:rPr>
      </w:pPr>
    </w:p>
    <w:p w14:paraId="357B9A54" w14:textId="2524D17B"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Cultural Intelligence (CQ) refers to an individual’s ability to function effectively in culturally diverse settings (Ang et al., 2007). It parallels other forms of intelligence, such as emotional intelligence, in that it goes beyond mere knowledge and focuses on the practical application of skills. Emotional intelligence allows individuals to control and manage emotions; similarly, CQ enables individuals to adapt their behavior, communication, and interactions across different cultural contexts (Ang et al., 2007). The CQ model incorporates four key components that work synergistically to improve cross-cultural interactions: meta-cognitive, cognitive, motivational, and behavioral CQ (Van Dyne et al., 2012).  are better equipped to understand the diverse cultural dimensions of mental health. Additionally, by enhancing motivational and behavioral CQ, therapists are more likely to engage meaningfully with clients from different cultural backgrounds, ensuring that therapeutic interventions are both culturally sensitive and effective. This is particularly relevant in mental health, where the therapeutic alliance plays a critical role in treatment outcomes. </w:t>
      </w:r>
    </w:p>
    <w:p w14:paraId="61DC5085"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5C09ED82"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The application of the Cultural Intelligence model in training mental health therapists bridges the gap between cultural awareness and practical competence. By focusing on the development of cognitive, motivational, and behavioral capabilities, CQ training equips mental health professionals to provide more effective, culturally responsive care. This approach represents a significant advancement in intercultural education, moving beyond conventional training methods that prioritize cultural values but neglect the complexities of behavior in diverse cultural contexts (Earley et al., 2018). As mental health services continue to serve </w:t>
      </w:r>
      <w:r w:rsidRPr="001776BC">
        <w:rPr>
          <w:rFonts w:ascii="Arial Narrow" w:hAnsi="Arial Narrow"/>
          <w:sz w:val="24"/>
          <w:szCs w:val="24"/>
        </w:rPr>
        <w:lastRenderedPageBreak/>
        <w:t xml:space="preserve">increasingly diverse populations, CQ training becomes essential for fostering more inclusive and effective therapeutic practices. </w:t>
      </w:r>
    </w:p>
    <w:p w14:paraId="03E98359"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3060AF1F"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Purpose of the Study   </w:t>
      </w:r>
    </w:p>
    <w:p w14:paraId="082AFE2C" w14:textId="77777777" w:rsidR="00B511CB" w:rsidRPr="001776BC" w:rsidRDefault="00B511CB" w:rsidP="00260930">
      <w:pPr>
        <w:spacing w:after="0" w:line="276" w:lineRule="auto"/>
        <w:rPr>
          <w:rFonts w:ascii="Arial Narrow" w:hAnsi="Arial Narrow"/>
          <w:sz w:val="24"/>
          <w:szCs w:val="24"/>
        </w:rPr>
      </w:pPr>
      <w:r w:rsidRPr="001776BC">
        <w:rPr>
          <w:rFonts w:ascii="Arial Narrow" w:hAnsi="Arial Narrow"/>
          <w:sz w:val="24"/>
          <w:szCs w:val="24"/>
        </w:rPr>
        <w:t xml:space="preserve"> </w:t>
      </w:r>
    </w:p>
    <w:p w14:paraId="7465A384"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The purpose of this study is to evaluate the practical application of cultural competence training among healthcare providers and its impact on patient outcomes. By examining how culturally competent behaviors are implemented and assessed in clinical settings, this study aims to provide a comprehensive understanding of the effectiveness of these training programs. The goal is to bridge the gap between theoretical knowledge and practical application, ultimately contributing to the reduction of racial and ethnic health disparities. </w:t>
      </w:r>
    </w:p>
    <w:p w14:paraId="2A3A93BA" w14:textId="1EA67FAD"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Research Hypothesis: This study addresses two primary research questions. First, it investigates whether the application of Cultural Intelligence (CQ) among healthcare providers leads to more equitable patient outcomes. The hypothesis posited for this question is that healthcare providers with higher Cultural Intelligence will achieve more equitable outcomes for their patients compared to those with lower Cultural Intelligence.</w:t>
      </w:r>
    </w:p>
    <w:p w14:paraId="175FC78B" w14:textId="77777777" w:rsidR="00F86701" w:rsidRPr="001776BC" w:rsidRDefault="00F86701" w:rsidP="00260930">
      <w:pPr>
        <w:spacing w:after="0" w:line="276" w:lineRule="auto"/>
        <w:jc w:val="both"/>
        <w:rPr>
          <w:rFonts w:ascii="Arial Narrow" w:hAnsi="Arial Narrow"/>
          <w:sz w:val="24"/>
          <w:szCs w:val="24"/>
        </w:rPr>
      </w:pPr>
    </w:p>
    <w:p w14:paraId="2441FDF2" w14:textId="7D4D3E66"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second research question explores how different theoretical frameworks and training approaches impact the implementation of culturally competent behaviors in clinical settings. The corresponding hypothesis suggests that consistent and well-defined theoretical frameworks and training approaches will result in more effective implementation of culturally competent behaviors.</w:t>
      </w:r>
    </w:p>
    <w:p w14:paraId="12B7E94F"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347E3E9C"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Methodology </w:t>
      </w:r>
    </w:p>
    <w:p w14:paraId="6A34C860"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05F805B0"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This study employs a mixed-methods research design, integrating both qualitative and quantitative approaches to provide a comprehensive analysis (Creswell, 2014). Qualitative data will be gathered from open-ended responses, allowing participants to express their views without predetermined options, while quantitative data will be derived from close-ended instruments such as tests and questionnaires (Creswell, 2014). This design enables the integration of diverse data sources to thoroughly assess the impact of Cultural Competence Training on clinicians.</w:t>
      </w:r>
    </w:p>
    <w:p w14:paraId="16FED940" w14:textId="77777777" w:rsidR="00B511CB" w:rsidRPr="001776BC" w:rsidRDefault="00B511CB" w:rsidP="00260930">
      <w:pPr>
        <w:spacing w:after="0" w:line="276" w:lineRule="auto"/>
        <w:jc w:val="both"/>
        <w:rPr>
          <w:rFonts w:ascii="Arial Narrow" w:hAnsi="Arial Narrow"/>
          <w:sz w:val="24"/>
          <w:szCs w:val="24"/>
        </w:rPr>
      </w:pPr>
    </w:p>
    <w:p w14:paraId="49E13B73"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For the quantitative portion, a correlational research design will examine the relationship between cultural competence training and the professional development of mental health staff. The study will involve licensed clinical therapists and psychiatrists employed by Northern Lakes Community Mental Health Authority, a large community mental health organization in northern Michigan. Northern Lakes has four regional offices, and a purposive sample of approximately 50 therapists and psychiatrists—representing roughly one-third of all clinical staff—will be selected. Purposive sampling ensures the inclusion of participants with varying levels of exposure to cultural competence training, facilitating the exploration of this key factor. This method, commonly used in qualitative and mixed-methods research, is particularly suitable for identifying information-rich cases or addressing resource constraints.</w:t>
      </w:r>
    </w:p>
    <w:p w14:paraId="60B28464" w14:textId="77777777" w:rsidR="00B511CB" w:rsidRPr="001776BC" w:rsidRDefault="00B511CB" w:rsidP="00260930">
      <w:pPr>
        <w:spacing w:after="0" w:line="276" w:lineRule="auto"/>
        <w:jc w:val="both"/>
        <w:rPr>
          <w:rFonts w:ascii="Arial Narrow" w:hAnsi="Arial Narrow"/>
          <w:sz w:val="24"/>
          <w:szCs w:val="24"/>
        </w:rPr>
      </w:pPr>
    </w:p>
    <w:p w14:paraId="3B8DD375"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lastRenderedPageBreak/>
        <w:t>Participants will be recruited via an initial email invitation sent to all clinicians, requesting voluntary participation. Upon acceptance, participants will complete a pre-test using a survey questionnaire consisting of 10 cultural intelligence (CQ)-based scenarios. Responses to these scenarios will be submitted through Microsoft Forms. The researchers will score these responses using a standardized rubric, with scores ranging from 0 to 5 (where 5 represents the highest level of cultural competence). Following the pre-test, participants will be provided with a CQ study guide containing key concepts and strategies for culturally appropriate decision-making. Participants will be instructed to immerse themselves in this material over a two-week period as part of a self-directed learning process. At the conclusion of the reflection period, participants will complete a post-test consisting of the same 10 CQ-based scenarios to assess any improvement in their responses. These post-test responses will be scored using the same rubric, and the data will be analyzed to evaluate the effectiveness of the training intervention. Following the two-week reflection period, participants will complete a post-test involving new but similar CQ-based scenarios. These post-test responses will be scored using the same rubric, and pre- and post-test scores will be statistically analyzed to determine the training's effectiveness. To ensure inter-rater reliability in scoring, all assessments will be scored twice, with further analysis conducted to validate the scoring process.</w:t>
      </w:r>
    </w:p>
    <w:p w14:paraId="4AF61542" w14:textId="77777777" w:rsidR="00B511CB" w:rsidRPr="001776BC" w:rsidRDefault="00B511CB" w:rsidP="00260930">
      <w:pPr>
        <w:spacing w:after="0" w:line="276" w:lineRule="auto"/>
        <w:jc w:val="both"/>
        <w:rPr>
          <w:rFonts w:ascii="Arial Narrow" w:hAnsi="Arial Narrow"/>
          <w:sz w:val="24"/>
          <w:szCs w:val="24"/>
        </w:rPr>
      </w:pPr>
    </w:p>
    <w:p w14:paraId="5D9A5214"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Data Analysis</w:t>
      </w:r>
    </w:p>
    <w:p w14:paraId="044B9F96" w14:textId="77777777" w:rsidR="00B511CB" w:rsidRPr="001776BC" w:rsidRDefault="00B511CB" w:rsidP="00260930">
      <w:pPr>
        <w:spacing w:after="0" w:line="276" w:lineRule="auto"/>
        <w:jc w:val="both"/>
        <w:rPr>
          <w:rFonts w:ascii="Arial Narrow" w:hAnsi="Arial Narrow"/>
          <w:sz w:val="24"/>
          <w:szCs w:val="24"/>
        </w:rPr>
      </w:pPr>
    </w:p>
    <w:p w14:paraId="6435FA8F"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data analysis for this study incorporates both quantitative and qualitative methods to comprehensively assess the impact of Cultural Competence Training on clinicians' professional development. Statistical analysis will be conducted using a T-test, while qualitative data will be analyzed using Thematic Analysis, Braun and Clarke (2006). For quantitative data, descriptive statistics will summarize participants' demographic data and the distribution of pre-test and post-test cultural competence scores. Central tendencies (e.g., mean, median) and variability (e.g., standard deviation) will provide an overview of the data distribution prior to inferential testing. Inferential statistics will be employed to evaluate the impact of the training. Specifically, a paired t-test will compare participants' pre-test and post-test scores to assess whether there is a statistically significant improvement in cultural competence post-training. The pre-test and post-test scores will serve as the dependent variables, and the Cultural Competence Training will serve as the independent variable. The significance level will be set at p &lt; 0.05, and the effect size will be calculated to determine the magnitude of the intervention's impact.</w:t>
      </w:r>
    </w:p>
    <w:p w14:paraId="05DA1B37" w14:textId="77777777" w:rsidR="00B511CB" w:rsidRPr="001776BC" w:rsidRDefault="00B511CB" w:rsidP="00260930">
      <w:pPr>
        <w:spacing w:after="0" w:line="276" w:lineRule="auto"/>
        <w:jc w:val="both"/>
        <w:rPr>
          <w:rFonts w:ascii="Arial Narrow" w:hAnsi="Arial Narrow"/>
          <w:sz w:val="24"/>
          <w:szCs w:val="24"/>
        </w:rPr>
      </w:pPr>
    </w:p>
    <w:p w14:paraId="1B52C99A"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Thematic analysis, as outlined by Braun and Clarke (2006), will be used to analyze the qualitative data derived from participants' open-ended responses. This approach is particularly suitable for exploring clinicians' decision-making processes and identifying factors influencing their cultural sensitivity or insensitivity. The analysis will proceed through systematic steps: familiarization with the data, generation of initial codes, grouping of codes into potential themes, refinement and review of themes, and the definition and naming of final themes. A narrative report synthesizing the findings will provide rich insights into participants' thought processes and contextual influences.</w:t>
      </w:r>
    </w:p>
    <w:p w14:paraId="520CCA66" w14:textId="77777777" w:rsidR="00B511CB" w:rsidRPr="001776BC" w:rsidRDefault="00B511CB" w:rsidP="00260930">
      <w:pPr>
        <w:spacing w:after="0" w:line="276" w:lineRule="auto"/>
        <w:jc w:val="both"/>
        <w:rPr>
          <w:rFonts w:ascii="Arial Narrow" w:hAnsi="Arial Narrow"/>
          <w:sz w:val="24"/>
          <w:szCs w:val="24"/>
        </w:rPr>
      </w:pPr>
    </w:p>
    <w:p w14:paraId="4FBD8066"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lastRenderedPageBreak/>
        <w:t xml:space="preserve">This mixed-methods approach ensures a holistic assessment of the study's objectives, allowing for the integration of statistical findings and thematic insights to offer a nuanced understanding of the impact of Cultural Competence Training on clinicians. </w:t>
      </w:r>
    </w:p>
    <w:p w14:paraId="33F39EA0"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73F37683"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Thematic Analysis:   </w:t>
      </w:r>
    </w:p>
    <w:p w14:paraId="5E167AB2"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1F6DE94A"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raw responses to the cultural intelligence scenarios data will be analyzed using thematic analysis, as outlined by Braun and Clarke (2006). This method provides a systematic approach to identifying, analyzing, and reporting patterns within qualitative data. Thematic analysis is particularly suited to the goals of this study, as it facilitates a deeper understanding of why clinicians' decisions and responses may or may not be culturally sensitive. By exploring patterns and themes in the data, this approach enables the researcher to uncover underlying factors, such as implicit biases, systemic influences, or personal experiences, that contribute to culturally sensitive or insensitive responses.</w:t>
      </w:r>
    </w:p>
    <w:p w14:paraId="569B8191" w14:textId="77777777" w:rsidR="00B511CB" w:rsidRPr="001776BC" w:rsidRDefault="00B511CB" w:rsidP="00260930">
      <w:pPr>
        <w:spacing w:after="0" w:line="276" w:lineRule="auto"/>
        <w:jc w:val="both"/>
        <w:rPr>
          <w:rFonts w:ascii="Arial Narrow" w:hAnsi="Arial Narrow"/>
          <w:sz w:val="24"/>
          <w:szCs w:val="24"/>
        </w:rPr>
      </w:pPr>
    </w:p>
    <w:p w14:paraId="26C66EAB"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analysis will begin with familiarization, during which the responses will be read multiple times to ensure immersion in the data and to note initial ideas. Following this, initial codes will be generated systematically across the entire dataset, with key features of the data being identified and labeled. These codes will then be grouped into potential themes during the searching phase, with all relevant data associated with each theme being collated. The themes will be reviewed to ensure coherence and alignment with the dataset, with any necessary refinements being made. Each theme will then be defined and named, with clear descriptions of their scope and focus. Finally, the findings will be written up as a cohesive narrative, incorporating representative data extracts to provide rich insight into the patterns identified.</w:t>
      </w:r>
    </w:p>
    <w:p w14:paraId="25906B8B" w14:textId="77777777" w:rsidR="00B511CB" w:rsidRPr="001776BC" w:rsidRDefault="00B511CB" w:rsidP="00260930">
      <w:pPr>
        <w:spacing w:after="0" w:line="276" w:lineRule="auto"/>
        <w:jc w:val="both"/>
        <w:rPr>
          <w:rFonts w:ascii="Arial Narrow" w:hAnsi="Arial Narrow"/>
          <w:sz w:val="24"/>
          <w:szCs w:val="24"/>
        </w:rPr>
      </w:pPr>
    </w:p>
    <w:p w14:paraId="307A69AC"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This iterative process ensures a thorough and transparent analysis of the data, offering a nuanced understanding of the responses. The thematic analysis approach aligns with the study's focus on exploring subjective meanings and complex social phenomena, making it a valid and effective method for examining clinicians’ cultural sensitivity in decision-making. Braun and Clarke’s (2006) framework support this application, emphasizing the method’s flexibility and its ability to provide deep insights into participants’ perspectives and the broader context of their responses.</w:t>
      </w:r>
    </w:p>
    <w:p w14:paraId="6334AB79"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76A31F70"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The integration of quantitative and qualitative analysis will provide a comprehensive understanding of the impact of Cultural Competence Training. The two-week reflection period, although not directly measured, will be considered in the qualitative analysis as a significant factor in shaping participants' insights and experiences post-training. This period is expected to contribute to the depth of reflections captured in the qualitative data. </w:t>
      </w:r>
    </w:p>
    <w:p w14:paraId="6AFA0DC3"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15EED845"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Scoring Process </w:t>
      </w:r>
    </w:p>
    <w:p w14:paraId="23545F26" w14:textId="77777777" w:rsidR="00301EC1" w:rsidRPr="001776BC" w:rsidRDefault="00301EC1" w:rsidP="00260930">
      <w:pPr>
        <w:spacing w:after="0" w:line="276" w:lineRule="auto"/>
        <w:jc w:val="both"/>
        <w:rPr>
          <w:rFonts w:ascii="Arial Narrow" w:hAnsi="Arial Narrow"/>
          <w:sz w:val="24"/>
          <w:szCs w:val="24"/>
        </w:rPr>
      </w:pPr>
    </w:p>
    <w:p w14:paraId="06EB8E3C" w14:textId="1949126B"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Cultural competence scores were evaluated using a standardized scoring rubric designed to assess participants' responses to the cultural intelligence (CQ)-based scenarios. The rubric provided clear criteria for scoring, with scores ranging from 0 to 5. A score of 0 indicated no response or an inappropriate response </w:t>
      </w:r>
      <w:r w:rsidRPr="001776BC">
        <w:rPr>
          <w:rFonts w:ascii="Arial Narrow" w:hAnsi="Arial Narrow"/>
          <w:sz w:val="24"/>
          <w:szCs w:val="24"/>
        </w:rPr>
        <w:lastRenderedPageBreak/>
        <w:t>that failed to address the scenario or demonstrated cultural insensitivity, while a score of 5 represented an excellent response that was highly culturally intelligent, showing a deep understanding and respect for the patient’s cultural background and providing a comprehensive and empathetic solution.</w:t>
      </w:r>
    </w:p>
    <w:p w14:paraId="15BC4BFF" w14:textId="77777777" w:rsidR="00B511CB" w:rsidRPr="001776BC" w:rsidRDefault="00B511CB" w:rsidP="00260930">
      <w:pPr>
        <w:spacing w:after="0" w:line="276" w:lineRule="auto"/>
        <w:rPr>
          <w:rFonts w:ascii="Arial Narrow" w:hAnsi="Arial Narrow"/>
          <w:sz w:val="24"/>
          <w:szCs w:val="24"/>
        </w:rPr>
      </w:pPr>
    </w:p>
    <w:p w14:paraId="73BC31F3" w14:textId="77777777" w:rsidR="00B511CB" w:rsidRPr="001776BC" w:rsidRDefault="00B511CB" w:rsidP="00260930">
      <w:pPr>
        <w:spacing w:after="0" w:line="276" w:lineRule="auto"/>
        <w:rPr>
          <w:rFonts w:ascii="Arial Narrow" w:hAnsi="Arial Narrow"/>
          <w:sz w:val="24"/>
          <w:szCs w:val="24"/>
        </w:rPr>
      </w:pPr>
      <w:r w:rsidRPr="001776BC">
        <w:rPr>
          <w:rFonts w:ascii="Arial Narrow" w:hAnsi="Arial Narrow"/>
          <w:sz w:val="24"/>
          <w:szCs w:val="24"/>
        </w:rPr>
        <w:t>The full rubric used for this assessment is as follows:</w:t>
      </w:r>
    </w:p>
    <w:p w14:paraId="08813AE7" w14:textId="77777777" w:rsidR="00127283" w:rsidRPr="001776BC" w:rsidRDefault="00127283" w:rsidP="00260930">
      <w:pPr>
        <w:spacing w:after="0" w:line="276" w:lineRule="auto"/>
        <w:rPr>
          <w:rFonts w:ascii="Arial Narrow" w:hAnsi="Arial Narrow"/>
          <w:sz w:val="24"/>
          <w:szCs w:val="24"/>
        </w:rPr>
      </w:pPr>
    </w:p>
    <w:p w14:paraId="15D53FF3" w14:textId="195C4A0E" w:rsidR="00B511CB" w:rsidRPr="001776BC" w:rsidRDefault="00B511CB" w:rsidP="00260930">
      <w:pPr>
        <w:spacing w:after="0" w:line="276" w:lineRule="auto"/>
        <w:ind w:left="720"/>
        <w:rPr>
          <w:rFonts w:ascii="Arial Narrow" w:hAnsi="Arial Narrow"/>
          <w:i/>
          <w:iCs/>
          <w:sz w:val="24"/>
          <w:szCs w:val="24"/>
        </w:rPr>
      </w:pPr>
      <w:r w:rsidRPr="001776BC">
        <w:rPr>
          <w:rFonts w:ascii="Arial Narrow" w:hAnsi="Arial Narrow"/>
          <w:i/>
          <w:iCs/>
          <w:sz w:val="24"/>
          <w:szCs w:val="24"/>
        </w:rPr>
        <w:t>0: No Response or Inappropriate Response – The response does not address the scenario or is culturally insensitive.</w:t>
      </w:r>
    </w:p>
    <w:p w14:paraId="31030CBE" w14:textId="3BE5EF76" w:rsidR="00B511CB" w:rsidRPr="001776BC" w:rsidRDefault="00B511CB" w:rsidP="00260930">
      <w:pPr>
        <w:spacing w:after="0" w:line="276" w:lineRule="auto"/>
        <w:ind w:left="720"/>
        <w:rPr>
          <w:rFonts w:ascii="Arial Narrow" w:hAnsi="Arial Narrow"/>
          <w:i/>
          <w:iCs/>
          <w:sz w:val="24"/>
          <w:szCs w:val="24"/>
        </w:rPr>
      </w:pPr>
      <w:r w:rsidRPr="001776BC">
        <w:rPr>
          <w:rFonts w:ascii="Arial Narrow" w:hAnsi="Arial Narrow"/>
          <w:i/>
          <w:iCs/>
          <w:sz w:val="24"/>
          <w:szCs w:val="24"/>
        </w:rPr>
        <w:t>1: Minimal Response – The response shows minimal understanding of cultural issues but lacks depth and appropriateness.</w:t>
      </w:r>
    </w:p>
    <w:p w14:paraId="5D0CA917" w14:textId="66388115" w:rsidR="00B511CB" w:rsidRPr="001776BC" w:rsidRDefault="00B511CB" w:rsidP="00260930">
      <w:pPr>
        <w:spacing w:after="0" w:line="276" w:lineRule="auto"/>
        <w:ind w:left="720"/>
        <w:rPr>
          <w:rFonts w:ascii="Arial Narrow" w:hAnsi="Arial Narrow"/>
          <w:i/>
          <w:iCs/>
          <w:sz w:val="24"/>
          <w:szCs w:val="24"/>
        </w:rPr>
      </w:pPr>
      <w:r w:rsidRPr="001776BC">
        <w:rPr>
          <w:rFonts w:ascii="Arial Narrow" w:hAnsi="Arial Narrow"/>
          <w:i/>
          <w:iCs/>
          <w:sz w:val="24"/>
          <w:szCs w:val="24"/>
        </w:rPr>
        <w:t>2: Basic Response – The response addresses the cultural issue but lacks thoroughness and may not fully respect the patient's cultural background.</w:t>
      </w:r>
    </w:p>
    <w:p w14:paraId="49BFCFEA" w14:textId="0C174E97" w:rsidR="00B511CB" w:rsidRPr="001776BC" w:rsidRDefault="00B511CB" w:rsidP="00260930">
      <w:pPr>
        <w:spacing w:after="0" w:line="276" w:lineRule="auto"/>
        <w:ind w:left="720"/>
        <w:rPr>
          <w:rFonts w:ascii="Arial Narrow" w:hAnsi="Arial Narrow"/>
          <w:i/>
          <w:iCs/>
          <w:sz w:val="24"/>
          <w:szCs w:val="24"/>
        </w:rPr>
      </w:pPr>
      <w:r w:rsidRPr="001776BC">
        <w:rPr>
          <w:rFonts w:ascii="Arial Narrow" w:hAnsi="Arial Narrow"/>
          <w:i/>
          <w:iCs/>
          <w:sz w:val="24"/>
          <w:szCs w:val="24"/>
        </w:rPr>
        <w:t>3: Adequate Response – The response shows a good understanding of cultural issues and provides a respectful and appropriate solution but may lack some detail.</w:t>
      </w:r>
    </w:p>
    <w:p w14:paraId="4BF4C73D" w14:textId="77777777" w:rsidR="004421E2" w:rsidRPr="001776BC" w:rsidRDefault="00B511CB" w:rsidP="00260930">
      <w:pPr>
        <w:spacing w:after="0" w:line="276" w:lineRule="auto"/>
        <w:ind w:left="720"/>
        <w:rPr>
          <w:rFonts w:ascii="Arial Narrow" w:hAnsi="Arial Narrow"/>
          <w:i/>
          <w:iCs/>
          <w:sz w:val="24"/>
          <w:szCs w:val="24"/>
        </w:rPr>
      </w:pPr>
      <w:r w:rsidRPr="001776BC">
        <w:rPr>
          <w:rFonts w:ascii="Arial Narrow" w:hAnsi="Arial Narrow"/>
          <w:i/>
          <w:iCs/>
          <w:sz w:val="24"/>
          <w:szCs w:val="24"/>
        </w:rPr>
        <w:t>4: Good Response – The response is culturally sensitive, respectful, and provides a well-thought-out solution that addresses the patient's needs.</w:t>
      </w:r>
    </w:p>
    <w:p w14:paraId="0E3C2E4F" w14:textId="292001E0" w:rsidR="00B511CB" w:rsidRPr="001776BC" w:rsidRDefault="00B511CB" w:rsidP="00260930">
      <w:pPr>
        <w:spacing w:after="0" w:line="276" w:lineRule="auto"/>
        <w:ind w:left="720"/>
        <w:rPr>
          <w:rFonts w:ascii="Arial Narrow" w:hAnsi="Arial Narrow"/>
          <w:i/>
          <w:iCs/>
          <w:sz w:val="24"/>
          <w:szCs w:val="24"/>
        </w:rPr>
      </w:pPr>
      <w:r w:rsidRPr="001776BC">
        <w:rPr>
          <w:rFonts w:ascii="Arial Narrow" w:hAnsi="Arial Narrow"/>
          <w:i/>
          <w:iCs/>
          <w:sz w:val="24"/>
          <w:szCs w:val="24"/>
        </w:rPr>
        <w:t>5: Excellent Response – The response is highly culturally intelligent, showing deep understanding and respect for the patient’s cultural background, and provides a comprehensive and empathetic solution.</w:t>
      </w:r>
    </w:p>
    <w:p w14:paraId="35C934B6" w14:textId="77777777" w:rsidR="00B511CB" w:rsidRPr="001776BC" w:rsidRDefault="00B511CB" w:rsidP="00260930">
      <w:pPr>
        <w:spacing w:after="0" w:line="276" w:lineRule="auto"/>
        <w:rPr>
          <w:rFonts w:ascii="Arial Narrow" w:hAnsi="Arial Narrow"/>
          <w:sz w:val="24"/>
          <w:szCs w:val="24"/>
        </w:rPr>
      </w:pPr>
    </w:p>
    <w:p w14:paraId="02F803CF"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To ensure inter-rater reliability, all responses were independently scored by 2 raters. Raters were either certified by the Cultural Intelligence Center or trained by certified rater. Inter-rater reliability analyses were conducted to validate the scoring process and ensure robust evaluation of the participants' responses.</w:t>
      </w:r>
    </w:p>
    <w:p w14:paraId="5D97DFFB" w14:textId="77777777" w:rsidR="00127283"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25B9B576" w14:textId="60BD69FC"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Results</w:t>
      </w:r>
    </w:p>
    <w:p w14:paraId="7A01A66A" w14:textId="77777777" w:rsidR="00127283" w:rsidRPr="001776BC" w:rsidRDefault="00127283" w:rsidP="00260930">
      <w:pPr>
        <w:spacing w:after="0" w:line="276" w:lineRule="auto"/>
        <w:jc w:val="both"/>
        <w:rPr>
          <w:rFonts w:ascii="Arial Narrow" w:hAnsi="Arial Narrow"/>
          <w:sz w:val="24"/>
          <w:szCs w:val="24"/>
        </w:rPr>
      </w:pPr>
    </w:p>
    <w:p w14:paraId="3DB7E647" w14:textId="26788E8E"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To assess inter-rater reliability between two independent raters across 29 targets, Fleiss' Kappa (</w:t>
      </w:r>
      <w:r w:rsidRPr="001776BC">
        <w:rPr>
          <w:rFonts w:ascii="Arial Narrow" w:hAnsi="Arial Narrow" w:cs="Calibri"/>
          <w:sz w:val="24"/>
          <w:szCs w:val="24"/>
        </w:rPr>
        <w:t>Κ</w:t>
      </w:r>
      <w:r w:rsidRPr="001776BC">
        <w:rPr>
          <w:rFonts w:ascii="Arial Narrow" w:hAnsi="Arial Narrow"/>
          <w:sz w:val="24"/>
          <w:szCs w:val="24"/>
        </w:rPr>
        <w:t xml:space="preserve">) analysis was conducted. Fleiss' Kappa is a widely used statistical measure that accounts for agreement beyond chance and is particularly suited for categorical data with multiple raters (Fleiss, 1971; Landis &amp; Koch, 1977). The obtained Kappa value was </w:t>
      </w:r>
      <w:r w:rsidRPr="001776BC">
        <w:rPr>
          <w:rFonts w:ascii="Arial Narrow" w:hAnsi="Arial Narrow" w:cs="Calibri"/>
          <w:sz w:val="24"/>
          <w:szCs w:val="24"/>
        </w:rPr>
        <w:t>Κ</w:t>
      </w:r>
      <w:r w:rsidRPr="001776BC">
        <w:rPr>
          <w:rFonts w:ascii="Arial Narrow" w:hAnsi="Arial Narrow"/>
          <w:sz w:val="24"/>
          <w:szCs w:val="24"/>
        </w:rPr>
        <w:t xml:space="preserve"> = 0.643, indicating substantial agreement between the two raters.</w:t>
      </w:r>
    </w:p>
    <w:p w14:paraId="530A0171" w14:textId="77777777" w:rsidR="00B511CB" w:rsidRPr="001776BC" w:rsidRDefault="00B511CB" w:rsidP="00260930">
      <w:pPr>
        <w:spacing w:after="0" w:line="276" w:lineRule="auto"/>
        <w:jc w:val="both"/>
        <w:rPr>
          <w:rFonts w:ascii="Arial Narrow" w:hAnsi="Arial Narrow"/>
          <w:sz w:val="24"/>
          <w:szCs w:val="24"/>
        </w:rPr>
      </w:pPr>
    </w:p>
    <w:p w14:paraId="41E6291D"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Interpretation</w:t>
      </w:r>
    </w:p>
    <w:p w14:paraId="35C407F1" w14:textId="77777777" w:rsidR="00B511CB" w:rsidRPr="001776BC" w:rsidRDefault="00B511CB" w:rsidP="00260930">
      <w:pPr>
        <w:spacing w:after="0" w:line="276" w:lineRule="auto"/>
        <w:jc w:val="both"/>
        <w:rPr>
          <w:rFonts w:ascii="Arial Narrow" w:hAnsi="Arial Narrow"/>
          <w:sz w:val="24"/>
          <w:szCs w:val="24"/>
        </w:rPr>
      </w:pPr>
    </w:p>
    <w:p w14:paraId="3C716A30"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Kappa value of 0.643 suggests a substantial level of agreement (Landis &amp; Koch, 1977), implying that the raters were generally consistent in their evaluations. According to standard interpretative guidelines, a Kappa value can be categorized as follows:</w:t>
      </w:r>
    </w:p>
    <w:p w14:paraId="660391C5" w14:textId="77777777" w:rsidR="00B511CB" w:rsidRPr="001776BC" w:rsidRDefault="00B511CB" w:rsidP="00260930">
      <w:pPr>
        <w:spacing w:after="0" w:line="276" w:lineRule="auto"/>
        <w:jc w:val="both"/>
        <w:rPr>
          <w:rFonts w:ascii="Arial Narrow" w:hAnsi="Arial Narrow"/>
          <w:sz w:val="24"/>
          <w:szCs w:val="24"/>
        </w:rPr>
      </w:pPr>
    </w:p>
    <w:p w14:paraId="31FC26B5" w14:textId="030015A9" w:rsidR="00B511CB" w:rsidRPr="001776BC" w:rsidRDefault="00B511CB" w:rsidP="00260930">
      <w:pPr>
        <w:spacing w:after="0" w:line="276" w:lineRule="auto"/>
        <w:ind w:left="360"/>
        <w:jc w:val="both"/>
        <w:rPr>
          <w:rFonts w:ascii="Arial Narrow" w:hAnsi="Arial Narrow"/>
          <w:sz w:val="24"/>
          <w:szCs w:val="24"/>
        </w:rPr>
      </w:pPr>
      <w:r w:rsidRPr="001776BC">
        <w:rPr>
          <w:rFonts w:ascii="Arial Narrow" w:hAnsi="Arial Narrow"/>
          <w:sz w:val="24"/>
          <w:szCs w:val="24"/>
        </w:rPr>
        <w:t>Values close to 1: Indicate almost perfect agreement.</w:t>
      </w:r>
    </w:p>
    <w:p w14:paraId="3165B610" w14:textId="3F555558" w:rsidR="00B511CB" w:rsidRPr="001776BC" w:rsidRDefault="00B511CB" w:rsidP="00260930">
      <w:pPr>
        <w:spacing w:after="0" w:line="276" w:lineRule="auto"/>
        <w:ind w:left="360"/>
        <w:jc w:val="both"/>
        <w:rPr>
          <w:rFonts w:ascii="Arial Narrow" w:hAnsi="Arial Narrow"/>
          <w:sz w:val="24"/>
          <w:szCs w:val="24"/>
        </w:rPr>
      </w:pPr>
      <w:r w:rsidRPr="001776BC">
        <w:rPr>
          <w:rFonts w:ascii="Arial Narrow" w:hAnsi="Arial Narrow"/>
          <w:sz w:val="24"/>
          <w:szCs w:val="24"/>
        </w:rPr>
        <w:t>Values close to 0: Suggest agreement is similar to chance.</w:t>
      </w:r>
    </w:p>
    <w:p w14:paraId="26064228" w14:textId="7F341807" w:rsidR="00B511CB" w:rsidRPr="001776BC" w:rsidRDefault="00B511CB" w:rsidP="00260930">
      <w:pPr>
        <w:spacing w:after="0" w:line="276" w:lineRule="auto"/>
        <w:ind w:left="360"/>
        <w:jc w:val="both"/>
        <w:rPr>
          <w:rFonts w:ascii="Arial Narrow" w:hAnsi="Arial Narrow"/>
          <w:sz w:val="24"/>
          <w:szCs w:val="24"/>
        </w:rPr>
      </w:pPr>
      <w:r w:rsidRPr="001776BC">
        <w:rPr>
          <w:rFonts w:ascii="Arial Narrow" w:hAnsi="Arial Narrow"/>
          <w:sz w:val="24"/>
          <w:szCs w:val="24"/>
        </w:rPr>
        <w:t>Values between 0.6 and 0.8: Indicate substantial agreement (Landis &amp; Koch, 1977).</w:t>
      </w:r>
    </w:p>
    <w:p w14:paraId="101EEA7D" w14:textId="77777777" w:rsidR="00A93D61" w:rsidRPr="001776BC" w:rsidRDefault="00A93D61" w:rsidP="00260930">
      <w:pPr>
        <w:spacing w:after="0" w:line="276" w:lineRule="auto"/>
        <w:jc w:val="both"/>
        <w:rPr>
          <w:rFonts w:ascii="Arial Narrow" w:hAnsi="Arial Narrow"/>
          <w:sz w:val="24"/>
          <w:szCs w:val="24"/>
        </w:rPr>
      </w:pPr>
    </w:p>
    <w:p w14:paraId="5924B0CD" w14:textId="51F3C6D0"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lastRenderedPageBreak/>
        <w:t>Given that the obtained Kappa value falls within the substantial agreement range, the results suggest that the rating process was reliable, reducing concerns about subjective bias or inconsistencies between the raters.</w:t>
      </w:r>
    </w:p>
    <w:p w14:paraId="6F9F921E" w14:textId="77777777" w:rsidR="00B511CB" w:rsidRPr="001776BC" w:rsidRDefault="00B511CB" w:rsidP="00260930">
      <w:pPr>
        <w:spacing w:after="0" w:line="276" w:lineRule="auto"/>
        <w:jc w:val="both"/>
        <w:rPr>
          <w:rFonts w:ascii="Arial Narrow" w:hAnsi="Arial Narrow"/>
          <w:sz w:val="24"/>
          <w:szCs w:val="24"/>
        </w:rPr>
      </w:pPr>
    </w:p>
    <w:p w14:paraId="57B58D72" w14:textId="2C5A1FA1"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Implications</w:t>
      </w:r>
      <w:r w:rsidR="00127283" w:rsidRPr="001776BC">
        <w:rPr>
          <w:rFonts w:ascii="Arial Narrow" w:hAnsi="Arial Narrow"/>
          <w:sz w:val="24"/>
          <w:szCs w:val="24"/>
        </w:rPr>
        <w:t>:</w:t>
      </w:r>
    </w:p>
    <w:p w14:paraId="6DB1BA92" w14:textId="77777777" w:rsidR="00127283" w:rsidRPr="001776BC" w:rsidRDefault="00127283" w:rsidP="00260930">
      <w:pPr>
        <w:spacing w:after="0" w:line="276" w:lineRule="auto"/>
        <w:jc w:val="both"/>
        <w:rPr>
          <w:rFonts w:ascii="Arial Narrow" w:hAnsi="Arial Narrow"/>
          <w:sz w:val="24"/>
          <w:szCs w:val="24"/>
        </w:rPr>
      </w:pPr>
    </w:p>
    <w:p w14:paraId="6B0034B0" w14:textId="442DC23D" w:rsidR="00B511CB" w:rsidRPr="001776BC" w:rsidRDefault="00B511CB" w:rsidP="00127283">
      <w:pPr>
        <w:pStyle w:val="ListParagraph"/>
        <w:numPr>
          <w:ilvl w:val="0"/>
          <w:numId w:val="16"/>
        </w:numPr>
        <w:spacing w:after="0" w:line="276" w:lineRule="auto"/>
        <w:jc w:val="both"/>
        <w:rPr>
          <w:rFonts w:ascii="Arial Narrow" w:hAnsi="Arial Narrow"/>
          <w:sz w:val="24"/>
          <w:szCs w:val="24"/>
        </w:rPr>
      </w:pPr>
      <w:r w:rsidRPr="001776BC">
        <w:rPr>
          <w:rFonts w:ascii="Arial Narrow" w:hAnsi="Arial Narrow"/>
          <w:sz w:val="24"/>
          <w:szCs w:val="24"/>
        </w:rPr>
        <w:t>Training Effectiveness: The relatively high Kappa value indicates that the raters were well-aligned in their ratings, likely due to effective training and clearly defined rating criteria. Prior studies emphasize that structured training and calibration exercises enhance inter-rater reliability (McHugh, 2012).</w:t>
      </w:r>
    </w:p>
    <w:p w14:paraId="01F241D2" w14:textId="7D6CA893" w:rsidR="00B511CB" w:rsidRPr="001776BC" w:rsidRDefault="00B511CB" w:rsidP="00127283">
      <w:pPr>
        <w:pStyle w:val="ListParagraph"/>
        <w:numPr>
          <w:ilvl w:val="0"/>
          <w:numId w:val="16"/>
        </w:numPr>
        <w:spacing w:after="0" w:line="276" w:lineRule="auto"/>
        <w:jc w:val="both"/>
        <w:rPr>
          <w:rFonts w:ascii="Arial Narrow" w:hAnsi="Arial Narrow"/>
          <w:sz w:val="24"/>
          <w:szCs w:val="24"/>
        </w:rPr>
      </w:pPr>
      <w:r w:rsidRPr="001776BC">
        <w:rPr>
          <w:rFonts w:ascii="Arial Narrow" w:hAnsi="Arial Narrow"/>
          <w:sz w:val="24"/>
          <w:szCs w:val="24"/>
        </w:rPr>
        <w:t>Consistency in Ratings: The substantial agreement suggests that both raters interpreted and applied the rating criteria similarly. This consistency is essential in research settings to ensure the validity of observational and categorical assessments (Hallgren, 2012).</w:t>
      </w:r>
    </w:p>
    <w:p w14:paraId="4BEDC8C3" w14:textId="77777777" w:rsidR="00B10B48" w:rsidRPr="001776BC" w:rsidRDefault="00B10B48" w:rsidP="00B10B48">
      <w:pPr>
        <w:spacing w:after="0" w:line="276" w:lineRule="auto"/>
        <w:jc w:val="both"/>
        <w:rPr>
          <w:rFonts w:ascii="Arial Narrow" w:hAnsi="Arial Narrow"/>
          <w:sz w:val="24"/>
          <w:szCs w:val="24"/>
        </w:rPr>
      </w:pPr>
    </w:p>
    <w:p w14:paraId="69AFCE87" w14:textId="04C6711B" w:rsidR="00B511CB" w:rsidRPr="001776BC" w:rsidRDefault="00B511CB" w:rsidP="00B10B48">
      <w:pPr>
        <w:spacing w:after="0" w:line="276" w:lineRule="auto"/>
        <w:jc w:val="both"/>
        <w:rPr>
          <w:rFonts w:ascii="Arial Narrow" w:hAnsi="Arial Narrow"/>
          <w:sz w:val="24"/>
          <w:szCs w:val="24"/>
        </w:rPr>
      </w:pPr>
      <w:r w:rsidRPr="001776BC">
        <w:rPr>
          <w:rFonts w:ascii="Arial Narrow" w:hAnsi="Arial Narrow"/>
          <w:sz w:val="24"/>
          <w:szCs w:val="24"/>
        </w:rPr>
        <w:t>These findings reinforce the reliability of the ratings provided and suggest that further refinements in training or rating definitions may yield even higher agreement levels in future studies.</w:t>
      </w:r>
    </w:p>
    <w:p w14:paraId="3F0B24F0" w14:textId="77777777" w:rsidR="00A92A9C" w:rsidRPr="001776BC" w:rsidRDefault="00A92A9C" w:rsidP="00260930">
      <w:pPr>
        <w:spacing w:after="0" w:line="276" w:lineRule="auto"/>
        <w:jc w:val="both"/>
        <w:rPr>
          <w:rFonts w:ascii="Arial Narrow" w:hAnsi="Arial Narrow"/>
          <w:sz w:val="24"/>
          <w:szCs w:val="24"/>
        </w:rPr>
      </w:pPr>
    </w:p>
    <w:p w14:paraId="034985F3" w14:textId="77777777" w:rsidR="00A606D6" w:rsidRPr="001776BC" w:rsidRDefault="00A606D6" w:rsidP="00260930">
      <w:pPr>
        <w:spacing w:after="0" w:line="276" w:lineRule="auto"/>
        <w:jc w:val="both"/>
        <w:rPr>
          <w:rFonts w:ascii="Arial Narrow" w:hAnsi="Arial Narrow"/>
          <w:sz w:val="24"/>
          <w:szCs w:val="24"/>
        </w:rPr>
      </w:pPr>
      <w:r w:rsidRPr="001776BC">
        <w:rPr>
          <w:rFonts w:ascii="Arial Narrow" w:hAnsi="Arial Narrow"/>
          <w:sz w:val="24"/>
          <w:szCs w:val="24"/>
        </w:rPr>
        <w:t>Evaluation of CQ Training</w:t>
      </w:r>
    </w:p>
    <w:p w14:paraId="36A45B7F" w14:textId="77777777" w:rsidR="00A606D6" w:rsidRPr="001776BC" w:rsidRDefault="00A606D6" w:rsidP="00260930">
      <w:pPr>
        <w:spacing w:after="0" w:line="276" w:lineRule="auto"/>
        <w:jc w:val="both"/>
        <w:rPr>
          <w:rFonts w:ascii="Arial Narrow" w:hAnsi="Arial Narrow"/>
          <w:sz w:val="24"/>
          <w:szCs w:val="24"/>
        </w:rPr>
      </w:pPr>
      <w:r w:rsidRPr="001776BC">
        <w:rPr>
          <w:rFonts w:ascii="Arial Narrow" w:hAnsi="Arial Narrow"/>
          <w:sz w:val="24"/>
          <w:szCs w:val="24"/>
        </w:rPr>
        <w:t>Participants were given the opportunity to assess the perceived value of the Cultural Quotient (CQ) tutorial through a post-test evaluation. This evaluation provided valuable insights into the tutorial's effectiveness and areas for improvement.</w:t>
      </w:r>
    </w:p>
    <w:p w14:paraId="5A56F506" w14:textId="77777777" w:rsidR="00A606D6" w:rsidRPr="001776BC" w:rsidRDefault="00A606D6" w:rsidP="00260930">
      <w:pPr>
        <w:spacing w:after="0" w:line="276" w:lineRule="auto"/>
        <w:jc w:val="both"/>
        <w:rPr>
          <w:rFonts w:ascii="Arial Narrow" w:hAnsi="Arial Narrow"/>
          <w:sz w:val="24"/>
          <w:szCs w:val="24"/>
        </w:rPr>
      </w:pPr>
      <w:r w:rsidRPr="001776BC">
        <w:rPr>
          <w:rFonts w:ascii="Arial Narrow" w:hAnsi="Arial Narrow"/>
          <w:sz w:val="24"/>
          <w:szCs w:val="24"/>
        </w:rPr>
        <w:t>Quantitative Findings</w:t>
      </w:r>
    </w:p>
    <w:p w14:paraId="5502C883" w14:textId="77777777" w:rsidR="00A606D6" w:rsidRPr="001776BC" w:rsidRDefault="00A606D6"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The quantitative data revealed that the CQ tutorial was generally well-received by employees. Average ratings indicated moderate to high levels of satisfaction across various aspects of the tutorial. Specifically, the tutorial was rated highly for its helpfulness in preparing employees for the post-test and for boosting their confidence in applying CQ principles to real-world scenarios. These findings align with previous research that highlights the importance of CQ training in enhancing intercultural competence and performance in diverse work environments (Earley &amp; Ang, 2003; </w:t>
      </w:r>
      <w:proofErr w:type="spellStart"/>
      <w:r w:rsidRPr="001776BC">
        <w:rPr>
          <w:rFonts w:ascii="Arial Narrow" w:hAnsi="Arial Narrow"/>
          <w:sz w:val="24"/>
          <w:szCs w:val="24"/>
        </w:rPr>
        <w:t>Rockstuhl</w:t>
      </w:r>
      <w:proofErr w:type="spellEnd"/>
      <w:r w:rsidRPr="001776BC">
        <w:rPr>
          <w:rFonts w:ascii="Arial Narrow" w:hAnsi="Arial Narrow"/>
          <w:sz w:val="24"/>
          <w:szCs w:val="24"/>
        </w:rPr>
        <w:t xml:space="preserve"> &amp; Van Dyne, 2018).</w:t>
      </w:r>
    </w:p>
    <w:p w14:paraId="495B55DF" w14:textId="77777777" w:rsidR="00A87A30" w:rsidRPr="001776BC" w:rsidRDefault="00A87A30" w:rsidP="00260930">
      <w:pPr>
        <w:spacing w:after="0" w:line="276" w:lineRule="auto"/>
        <w:jc w:val="both"/>
        <w:rPr>
          <w:rFonts w:ascii="Arial Narrow" w:hAnsi="Arial Narrow"/>
          <w:sz w:val="24"/>
          <w:szCs w:val="24"/>
        </w:rPr>
      </w:pPr>
    </w:p>
    <w:p w14:paraId="4CBB27DE" w14:textId="600200C1" w:rsidR="00A606D6" w:rsidRPr="001776BC" w:rsidRDefault="00A606D6" w:rsidP="00260930">
      <w:pPr>
        <w:spacing w:after="0" w:line="276" w:lineRule="auto"/>
        <w:jc w:val="both"/>
        <w:rPr>
          <w:rFonts w:ascii="Arial Narrow" w:hAnsi="Arial Narrow"/>
          <w:sz w:val="24"/>
          <w:szCs w:val="24"/>
        </w:rPr>
      </w:pPr>
      <w:r w:rsidRPr="001776BC">
        <w:rPr>
          <w:rFonts w:ascii="Arial Narrow" w:hAnsi="Arial Narrow"/>
          <w:sz w:val="24"/>
          <w:szCs w:val="24"/>
        </w:rPr>
        <w:t>Thematic Analysis</w:t>
      </w:r>
      <w:r w:rsidR="001F4331" w:rsidRPr="001776BC">
        <w:rPr>
          <w:rFonts w:ascii="Arial Narrow" w:hAnsi="Arial Narrow"/>
          <w:sz w:val="24"/>
          <w:szCs w:val="24"/>
        </w:rPr>
        <w:t xml:space="preserve">:  </w:t>
      </w:r>
      <w:r w:rsidRPr="001776BC">
        <w:rPr>
          <w:rFonts w:ascii="Arial Narrow" w:hAnsi="Arial Narrow"/>
          <w:sz w:val="24"/>
          <w:szCs w:val="24"/>
        </w:rPr>
        <w:t>A thematic analysis of the open-ended responses highlighted several key themes:</w:t>
      </w:r>
    </w:p>
    <w:p w14:paraId="2F5E269B" w14:textId="77777777" w:rsidR="001F4331" w:rsidRPr="001776BC" w:rsidRDefault="001F4331" w:rsidP="00260930">
      <w:pPr>
        <w:spacing w:after="0" w:line="276" w:lineRule="auto"/>
        <w:jc w:val="both"/>
        <w:rPr>
          <w:rFonts w:ascii="Arial Narrow" w:hAnsi="Arial Narrow"/>
          <w:sz w:val="24"/>
          <w:szCs w:val="24"/>
        </w:rPr>
      </w:pPr>
    </w:p>
    <w:p w14:paraId="42F53CF9" w14:textId="77777777" w:rsidR="00A606D6" w:rsidRPr="001776BC" w:rsidRDefault="00A606D6" w:rsidP="00260930">
      <w:pPr>
        <w:numPr>
          <w:ilvl w:val="0"/>
          <w:numId w:val="5"/>
        </w:numPr>
        <w:spacing w:after="0" w:line="276" w:lineRule="auto"/>
        <w:jc w:val="both"/>
        <w:rPr>
          <w:rFonts w:ascii="Arial Narrow" w:hAnsi="Arial Narrow"/>
          <w:sz w:val="24"/>
          <w:szCs w:val="24"/>
        </w:rPr>
      </w:pPr>
      <w:r w:rsidRPr="001776BC">
        <w:rPr>
          <w:rFonts w:ascii="Arial Narrow" w:hAnsi="Arial Narrow"/>
          <w:i/>
          <w:iCs/>
          <w:sz w:val="24"/>
          <w:szCs w:val="24"/>
        </w:rPr>
        <w:t>Refresher on Cultural Competence:</w:t>
      </w:r>
      <w:r w:rsidRPr="001776BC">
        <w:rPr>
          <w:rFonts w:ascii="Arial Narrow" w:hAnsi="Arial Narrow"/>
          <w:sz w:val="24"/>
          <w:szCs w:val="24"/>
        </w:rPr>
        <w:t xml:space="preserve"> Many employees appreciated the tutorial as a refresher on cultural competence principles. This aligns with the notion that continuous learning and reinforcement are crucial for maintaining and enhancing CQ (Matsumoto &amp; Hwang, 2013).</w:t>
      </w:r>
    </w:p>
    <w:p w14:paraId="553107AE" w14:textId="77777777" w:rsidR="00A606D6" w:rsidRPr="001776BC" w:rsidRDefault="00A606D6" w:rsidP="00260930">
      <w:pPr>
        <w:numPr>
          <w:ilvl w:val="0"/>
          <w:numId w:val="5"/>
        </w:numPr>
        <w:spacing w:after="0" w:line="276" w:lineRule="auto"/>
        <w:jc w:val="both"/>
        <w:rPr>
          <w:rFonts w:ascii="Arial Narrow" w:hAnsi="Arial Narrow"/>
          <w:sz w:val="24"/>
          <w:szCs w:val="24"/>
        </w:rPr>
      </w:pPr>
      <w:r w:rsidRPr="001776BC">
        <w:rPr>
          <w:rFonts w:ascii="Arial Narrow" w:hAnsi="Arial Narrow"/>
          <w:i/>
          <w:iCs/>
          <w:sz w:val="24"/>
          <w:szCs w:val="24"/>
        </w:rPr>
        <w:t>Usefulness of Examples</w:t>
      </w:r>
      <w:r w:rsidRPr="001776BC">
        <w:rPr>
          <w:rFonts w:ascii="Arial Narrow" w:hAnsi="Arial Narrow"/>
          <w:sz w:val="24"/>
          <w:szCs w:val="24"/>
        </w:rPr>
        <w:t>: Specific examples and short summaries were particularly useful for understanding and applying CQ principles. This finding is consistent with the literature that emphasizes the role of practical examples in effective CQ training (Ahn &amp; Ettner, 2013).</w:t>
      </w:r>
    </w:p>
    <w:p w14:paraId="55007547" w14:textId="77777777" w:rsidR="00A606D6" w:rsidRPr="001776BC" w:rsidRDefault="00A606D6" w:rsidP="00260930">
      <w:pPr>
        <w:numPr>
          <w:ilvl w:val="0"/>
          <w:numId w:val="5"/>
        </w:numPr>
        <w:spacing w:after="0" w:line="276" w:lineRule="auto"/>
        <w:jc w:val="both"/>
        <w:rPr>
          <w:rFonts w:ascii="Arial Narrow" w:hAnsi="Arial Narrow"/>
          <w:sz w:val="24"/>
          <w:szCs w:val="24"/>
        </w:rPr>
      </w:pPr>
      <w:r w:rsidRPr="001776BC">
        <w:rPr>
          <w:rFonts w:ascii="Arial Narrow" w:hAnsi="Arial Narrow"/>
          <w:i/>
          <w:iCs/>
          <w:sz w:val="24"/>
          <w:szCs w:val="24"/>
        </w:rPr>
        <w:t>Suggestions for Improvement:</w:t>
      </w:r>
      <w:r w:rsidRPr="001776BC">
        <w:rPr>
          <w:rFonts w:ascii="Arial Narrow" w:hAnsi="Arial Narrow"/>
          <w:sz w:val="24"/>
          <w:szCs w:val="24"/>
        </w:rPr>
        <w:t xml:space="preserve"> Several respondents suggested the need for more detailed and specific examples or scenarios. Additionally, some employees expressed a desire for feedback on their original answers to enhance learning. These suggestions are supported by research indicating that detailed scenarios and feedback are critical components of effective training programs (Alexandra, 2018).</w:t>
      </w:r>
    </w:p>
    <w:p w14:paraId="003AEA20" w14:textId="77777777" w:rsidR="00A87A30" w:rsidRPr="001776BC" w:rsidRDefault="00A87A30" w:rsidP="00A87A30">
      <w:pPr>
        <w:spacing w:after="0" w:line="276" w:lineRule="auto"/>
        <w:ind w:left="720"/>
        <w:jc w:val="both"/>
        <w:rPr>
          <w:rFonts w:ascii="Arial Narrow" w:hAnsi="Arial Narrow"/>
          <w:sz w:val="24"/>
          <w:szCs w:val="24"/>
        </w:rPr>
      </w:pPr>
    </w:p>
    <w:p w14:paraId="4E5A1A20" w14:textId="77777777" w:rsidR="00A606D6" w:rsidRPr="001776BC" w:rsidRDefault="00A606D6" w:rsidP="00260930">
      <w:pPr>
        <w:spacing w:after="0" w:line="276" w:lineRule="auto"/>
        <w:jc w:val="both"/>
        <w:rPr>
          <w:rFonts w:ascii="Arial Narrow" w:hAnsi="Arial Narrow"/>
          <w:sz w:val="24"/>
          <w:szCs w:val="24"/>
        </w:rPr>
      </w:pPr>
      <w:r w:rsidRPr="001776BC">
        <w:rPr>
          <w:rFonts w:ascii="Arial Narrow" w:hAnsi="Arial Narrow"/>
          <w:sz w:val="24"/>
          <w:szCs w:val="24"/>
        </w:rPr>
        <w:t>Based on the findings, the following recommendations are proposed to enhance the CQ tutorial:</w:t>
      </w:r>
    </w:p>
    <w:p w14:paraId="0A055E1B" w14:textId="77777777" w:rsidR="001F4331" w:rsidRPr="001776BC" w:rsidRDefault="001F4331" w:rsidP="00260930">
      <w:pPr>
        <w:spacing w:after="0" w:line="276" w:lineRule="auto"/>
        <w:jc w:val="both"/>
        <w:rPr>
          <w:rFonts w:ascii="Arial Narrow" w:hAnsi="Arial Narrow"/>
          <w:sz w:val="24"/>
          <w:szCs w:val="24"/>
        </w:rPr>
      </w:pPr>
    </w:p>
    <w:p w14:paraId="71A92459" w14:textId="77777777" w:rsidR="00A606D6" w:rsidRPr="001776BC" w:rsidRDefault="00A606D6" w:rsidP="00260930">
      <w:pPr>
        <w:numPr>
          <w:ilvl w:val="0"/>
          <w:numId w:val="6"/>
        </w:numPr>
        <w:spacing w:after="0" w:line="276" w:lineRule="auto"/>
        <w:jc w:val="both"/>
        <w:rPr>
          <w:rFonts w:ascii="Arial Narrow" w:hAnsi="Arial Narrow"/>
          <w:sz w:val="24"/>
          <w:szCs w:val="24"/>
        </w:rPr>
      </w:pPr>
      <w:r w:rsidRPr="001776BC">
        <w:rPr>
          <w:rFonts w:ascii="Arial Narrow" w:hAnsi="Arial Narrow"/>
          <w:i/>
          <w:iCs/>
          <w:sz w:val="24"/>
          <w:szCs w:val="24"/>
        </w:rPr>
        <w:t>Incorporate More Detailed Scenarios:</w:t>
      </w:r>
      <w:r w:rsidRPr="001776BC">
        <w:rPr>
          <w:rFonts w:ascii="Arial Narrow" w:hAnsi="Arial Narrow"/>
          <w:sz w:val="24"/>
          <w:szCs w:val="24"/>
        </w:rPr>
        <w:t xml:space="preserve"> Including more specific and detailed scenarios can help employees better understand and apply CQ principles in various contexts.</w:t>
      </w:r>
    </w:p>
    <w:p w14:paraId="00E46BAA" w14:textId="77777777" w:rsidR="00A606D6" w:rsidRPr="001776BC" w:rsidRDefault="00A606D6" w:rsidP="00260930">
      <w:pPr>
        <w:numPr>
          <w:ilvl w:val="0"/>
          <w:numId w:val="6"/>
        </w:numPr>
        <w:spacing w:after="0" w:line="276" w:lineRule="auto"/>
        <w:jc w:val="both"/>
        <w:rPr>
          <w:rFonts w:ascii="Arial Narrow" w:hAnsi="Arial Narrow"/>
          <w:sz w:val="24"/>
          <w:szCs w:val="24"/>
        </w:rPr>
      </w:pPr>
      <w:r w:rsidRPr="001776BC">
        <w:rPr>
          <w:rFonts w:ascii="Arial Narrow" w:hAnsi="Arial Narrow"/>
          <w:i/>
          <w:iCs/>
          <w:sz w:val="24"/>
          <w:szCs w:val="24"/>
        </w:rPr>
        <w:t>Provide Feedback on Responses:</w:t>
      </w:r>
      <w:r w:rsidRPr="001776BC">
        <w:rPr>
          <w:rFonts w:ascii="Arial Narrow" w:hAnsi="Arial Narrow"/>
          <w:sz w:val="24"/>
          <w:szCs w:val="24"/>
        </w:rPr>
        <w:t xml:space="preserve"> Offering feedback on employees' original answers can help them identify areas for improvement and reinforce their learning.</w:t>
      </w:r>
    </w:p>
    <w:p w14:paraId="5602F9A6" w14:textId="77777777" w:rsidR="00A606D6" w:rsidRPr="001776BC" w:rsidRDefault="00A606D6" w:rsidP="00260930">
      <w:pPr>
        <w:numPr>
          <w:ilvl w:val="0"/>
          <w:numId w:val="6"/>
        </w:numPr>
        <w:spacing w:after="0" w:line="276" w:lineRule="auto"/>
        <w:jc w:val="both"/>
        <w:rPr>
          <w:rFonts w:ascii="Arial Narrow" w:hAnsi="Arial Narrow"/>
          <w:sz w:val="24"/>
          <w:szCs w:val="24"/>
        </w:rPr>
      </w:pPr>
      <w:r w:rsidRPr="001776BC">
        <w:rPr>
          <w:rFonts w:ascii="Arial Narrow" w:hAnsi="Arial Narrow"/>
          <w:i/>
          <w:iCs/>
          <w:sz w:val="24"/>
          <w:szCs w:val="24"/>
        </w:rPr>
        <w:t>Enhance Practical Examples:</w:t>
      </w:r>
      <w:r w:rsidRPr="001776BC">
        <w:rPr>
          <w:rFonts w:ascii="Arial Narrow" w:hAnsi="Arial Narrow"/>
          <w:sz w:val="24"/>
          <w:szCs w:val="24"/>
        </w:rPr>
        <w:t xml:space="preserve"> Expanding the range of practical examples can make the tutorial more engaging and relevant to employees' real-world experiences.</w:t>
      </w:r>
    </w:p>
    <w:p w14:paraId="4B38E11D" w14:textId="77777777" w:rsidR="001B1A1A" w:rsidRPr="001776BC" w:rsidRDefault="001B1A1A" w:rsidP="00260930">
      <w:pPr>
        <w:spacing w:after="0" w:line="276" w:lineRule="auto"/>
        <w:jc w:val="both"/>
        <w:rPr>
          <w:rFonts w:ascii="Arial Narrow" w:hAnsi="Arial Narrow"/>
          <w:sz w:val="24"/>
          <w:szCs w:val="24"/>
        </w:rPr>
      </w:pPr>
    </w:p>
    <w:p w14:paraId="4B304B8B" w14:textId="0718531B" w:rsidR="00A606D6" w:rsidRPr="001776BC" w:rsidRDefault="00A606D6" w:rsidP="00260930">
      <w:pPr>
        <w:spacing w:after="0" w:line="276" w:lineRule="auto"/>
        <w:jc w:val="both"/>
        <w:rPr>
          <w:rFonts w:ascii="Arial Narrow" w:hAnsi="Arial Narrow"/>
          <w:sz w:val="24"/>
          <w:szCs w:val="24"/>
        </w:rPr>
      </w:pPr>
      <w:r w:rsidRPr="001776BC">
        <w:rPr>
          <w:rFonts w:ascii="Arial Narrow" w:hAnsi="Arial Narrow"/>
          <w:sz w:val="24"/>
          <w:szCs w:val="24"/>
        </w:rPr>
        <w:t>Overall, the findings suggest that while the CQ tutorial is effective in raising cultural awareness and understanding, incorporating more detailed scenarios and providing feedback could further enhance its impact. These insights can guide future iterations of the tutorial to better meet the needs of employees and improve their cultural competence.</w:t>
      </w:r>
    </w:p>
    <w:p w14:paraId="18931106" w14:textId="77777777" w:rsidR="00B511CB" w:rsidRPr="001776BC" w:rsidRDefault="00B511CB" w:rsidP="00260930">
      <w:pPr>
        <w:spacing w:after="0" w:line="276" w:lineRule="auto"/>
        <w:jc w:val="both"/>
        <w:rPr>
          <w:rFonts w:ascii="Arial Narrow" w:hAnsi="Arial Narrow"/>
          <w:sz w:val="24"/>
          <w:szCs w:val="24"/>
        </w:rPr>
      </w:pPr>
    </w:p>
    <w:p w14:paraId="5FD1E178" w14:textId="0CDE9551" w:rsidR="00A606D6" w:rsidRPr="001776BC" w:rsidRDefault="00CC4438" w:rsidP="00260930">
      <w:pPr>
        <w:spacing w:after="0" w:line="276" w:lineRule="auto"/>
        <w:jc w:val="both"/>
        <w:rPr>
          <w:rFonts w:ascii="Arial Narrow" w:hAnsi="Arial Narrow"/>
          <w:sz w:val="24"/>
          <w:szCs w:val="24"/>
        </w:rPr>
      </w:pPr>
      <w:r w:rsidRPr="001776BC">
        <w:rPr>
          <w:rFonts w:ascii="Arial Narrow" w:hAnsi="Arial Narrow"/>
          <w:sz w:val="24"/>
          <w:szCs w:val="24"/>
        </w:rPr>
        <w:t>Pretest-Posttest Analysis</w:t>
      </w:r>
    </w:p>
    <w:p w14:paraId="341A71A9" w14:textId="77777777" w:rsidR="00A606D6" w:rsidRPr="001776BC" w:rsidRDefault="00A606D6" w:rsidP="00260930">
      <w:pPr>
        <w:spacing w:after="0" w:line="276" w:lineRule="auto"/>
        <w:jc w:val="both"/>
        <w:rPr>
          <w:rFonts w:ascii="Arial Narrow" w:hAnsi="Arial Narrow"/>
          <w:sz w:val="24"/>
          <w:szCs w:val="24"/>
        </w:rPr>
      </w:pPr>
    </w:p>
    <w:p w14:paraId="5D00CFF2"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The pretest-posttest analysis revealed no statistically significant improvement in clinicians’ application of Cultural Intelligence (CQ) principles following the intervention. Results of the paired samples t-test demonstrated a mean difference of -0.0868 (95% CI: -0.4520 to 0.2784), with </w:t>
      </w:r>
      <w:proofErr w:type="gramStart"/>
      <w:r w:rsidRPr="001776BC">
        <w:rPr>
          <w:rFonts w:ascii="Arial Narrow" w:hAnsi="Arial Narrow"/>
          <w:sz w:val="24"/>
          <w:szCs w:val="24"/>
        </w:rPr>
        <w:t>t(</w:t>
      </w:r>
      <w:proofErr w:type="gramEnd"/>
      <w:r w:rsidRPr="001776BC">
        <w:rPr>
          <w:rFonts w:ascii="Arial Narrow" w:hAnsi="Arial Narrow"/>
          <w:sz w:val="24"/>
          <w:szCs w:val="24"/>
        </w:rPr>
        <w:t>27) = 0.4876, p &gt; 0.05. This indicates that participation in the CQ tutorial did not result in measurable enhancement of clinicians' abilities to apply CQ principles in clinical scenarios. While the post-test mean score (M = 3.4286, SD = 0.6325) was marginally higher than the pre-test mean score (M = 3.3418, SD = 0.6613), this difference was not statistically significant. Additionally, the confidence interval included zero, suggesting that the observed variation could likely be attributed to chance.</w:t>
      </w:r>
    </w:p>
    <w:p w14:paraId="03365CAC" w14:textId="77777777" w:rsidR="00B511CB" w:rsidRPr="001776BC" w:rsidRDefault="00B511CB" w:rsidP="00260930">
      <w:pPr>
        <w:spacing w:after="0" w:line="276" w:lineRule="auto"/>
        <w:jc w:val="both"/>
        <w:rPr>
          <w:rFonts w:ascii="Arial Narrow" w:hAnsi="Arial Narrow"/>
          <w:sz w:val="24"/>
          <w:szCs w:val="24"/>
        </w:rPr>
      </w:pPr>
    </w:p>
    <w:p w14:paraId="578DD939"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Qualitative Data Analysis and Alignment</w:t>
      </w:r>
    </w:p>
    <w:p w14:paraId="77D33606" w14:textId="77777777" w:rsidR="00B511CB" w:rsidRPr="001776BC" w:rsidRDefault="00B511CB" w:rsidP="00260930">
      <w:pPr>
        <w:spacing w:after="0" w:line="276" w:lineRule="auto"/>
        <w:jc w:val="both"/>
        <w:rPr>
          <w:rFonts w:ascii="Arial Narrow" w:hAnsi="Arial Narrow"/>
          <w:sz w:val="24"/>
          <w:szCs w:val="24"/>
        </w:rPr>
      </w:pPr>
    </w:p>
    <w:p w14:paraId="7CCC7E9C"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Thematic analysis, as outlined by Braun and Clarke (2006), was employed to analyze clinicians' narrative responses to cultural intelligence scenarios. This approach was chosen for its ability to provide an in-depth understanding of clinicians' decision-making processes and the factors influencing cultural sensitivity or insensitivity in their responses. The analysis began with familiarization, during which the responses were read repeatedly to identify initial ideas. Initial codes were systematically generated to highlight key features in the data, which were then organized into broader themes. Themes were reviewed and refined to ensure coherence and alignment with the data before being defined and named. The final themes were synthesized into a narrative report to provide meaningful insights into clinicians' thought processes and the contextual factors affecting their application of CQ principles.</w:t>
      </w:r>
    </w:p>
    <w:p w14:paraId="4C221F62" w14:textId="77777777" w:rsidR="00B511CB" w:rsidRPr="001776BC" w:rsidRDefault="00B511CB" w:rsidP="00260930">
      <w:pPr>
        <w:spacing w:after="0" w:line="276" w:lineRule="auto"/>
        <w:jc w:val="both"/>
        <w:rPr>
          <w:rFonts w:ascii="Arial Narrow" w:hAnsi="Arial Narrow"/>
          <w:sz w:val="24"/>
          <w:szCs w:val="24"/>
        </w:rPr>
      </w:pPr>
    </w:p>
    <w:p w14:paraId="541ABE0E"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This qualitative approach was essential, given the study's objective to explore why clinicians’ responses varied in cultural sensitivity. By identifying patterns and contextual influences, thematic analysis allowed for a nuanced exploration that complements the quantitative findings. While the quantitative results showed no </w:t>
      </w:r>
      <w:r w:rsidRPr="001776BC">
        <w:rPr>
          <w:rFonts w:ascii="Arial Narrow" w:hAnsi="Arial Narrow"/>
          <w:sz w:val="24"/>
          <w:szCs w:val="24"/>
        </w:rPr>
        <w:lastRenderedPageBreak/>
        <w:t>significant improvement in CQ application post-intervention, the qualitative analysis highlighted the complexities of clinicians' decision-making, including potential systemic influences and implicit biases. This dual approach provides a more comprehensive understanding of the findings, underscoring the importance of qualitative methods in capturing the richness of subjective data and informing future interventions.</w:t>
      </w:r>
    </w:p>
    <w:p w14:paraId="20F9F58E"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 </w:t>
      </w:r>
    </w:p>
    <w:p w14:paraId="0D6DC44A" w14:textId="2E84147B" w:rsidR="00E9247D" w:rsidRPr="001776BC" w:rsidRDefault="00E1578B" w:rsidP="00E9247D">
      <w:pPr>
        <w:spacing w:after="0" w:line="276" w:lineRule="auto"/>
        <w:jc w:val="both"/>
        <w:rPr>
          <w:rFonts w:ascii="Arial Narrow" w:hAnsi="Arial Narrow"/>
          <w:sz w:val="24"/>
          <w:szCs w:val="24"/>
        </w:rPr>
      </w:pPr>
      <w:r w:rsidRPr="001776BC">
        <w:rPr>
          <w:rFonts w:ascii="Arial Narrow" w:hAnsi="Arial Narrow"/>
          <w:b/>
          <w:bCs/>
          <w:noProof/>
          <w:sz w:val="24"/>
          <w:szCs w:val="24"/>
        </w:rPr>
        <mc:AlternateContent>
          <mc:Choice Requires="wps">
            <w:drawing>
              <wp:anchor distT="0" distB="0" distL="114300" distR="114300" simplePos="0" relativeHeight="251659264" behindDoc="0" locked="0" layoutInCell="1" allowOverlap="1" wp14:anchorId="1C127CDD" wp14:editId="26E6B831">
                <wp:simplePos x="0" y="0"/>
                <wp:positionH relativeFrom="column">
                  <wp:posOffset>-22635</wp:posOffset>
                </wp:positionH>
                <wp:positionV relativeFrom="paragraph">
                  <wp:posOffset>161554</wp:posOffset>
                </wp:positionV>
                <wp:extent cx="5911913" cy="4527"/>
                <wp:effectExtent l="0" t="0" r="31750" b="33655"/>
                <wp:wrapNone/>
                <wp:docPr id="43595212" name="Straight Connector 1"/>
                <wp:cNvGraphicFramePr/>
                <a:graphic xmlns:a="http://schemas.openxmlformats.org/drawingml/2006/main">
                  <a:graphicData uri="http://schemas.microsoft.com/office/word/2010/wordprocessingShape">
                    <wps:wsp>
                      <wps:cNvCnPr/>
                      <wps:spPr>
                        <a:xfrm>
                          <a:off x="0" y="0"/>
                          <a:ext cx="5911913" cy="452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B0A76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2.7pt" to="463.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" strokecolor="black [3200]" strokeweight="1pt">
                <v:stroke joinstyle="miter"/>
              </v:line>
            </w:pict>
          </mc:Fallback>
        </mc:AlternateContent>
      </w:r>
      <w:r w:rsidR="00E9247D" w:rsidRPr="001776BC">
        <w:rPr>
          <w:rFonts w:ascii="Arial Narrow" w:hAnsi="Arial Narrow"/>
          <w:b/>
          <w:bCs/>
          <w:sz w:val="24"/>
          <w:szCs w:val="24"/>
        </w:rPr>
        <w:t>Table 1</w:t>
      </w:r>
    </w:p>
    <w:p w14:paraId="18301C3B" w14:textId="77777777" w:rsidR="00E1578B" w:rsidRPr="001776BC" w:rsidRDefault="00E1578B" w:rsidP="00E9247D">
      <w:pPr>
        <w:spacing w:after="0" w:line="276" w:lineRule="auto"/>
        <w:jc w:val="both"/>
        <w:rPr>
          <w:rFonts w:ascii="Arial Narrow" w:hAnsi="Arial Narrow"/>
          <w:sz w:val="24"/>
          <w:szCs w:val="24"/>
        </w:rPr>
      </w:pPr>
    </w:p>
    <w:p w14:paraId="470FFB10" w14:textId="7C34FF39"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Descriptive Statistics and t-test Results for Pre-Test and Post-Test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4"/>
        <w:gridCol w:w="848"/>
        <w:gridCol w:w="972"/>
      </w:tblGrid>
      <w:tr w:rsidR="00E9247D" w:rsidRPr="001776BC" w14:paraId="0994F793" w14:textId="77777777" w:rsidTr="00E9247D">
        <w:trPr>
          <w:tblHeader/>
          <w:tblCellSpacing w:w="15" w:type="dxa"/>
        </w:trPr>
        <w:tc>
          <w:tcPr>
            <w:tcW w:w="0" w:type="auto"/>
            <w:vAlign w:val="center"/>
            <w:hideMark/>
          </w:tcPr>
          <w:p w14:paraId="4B1F66C9" w14:textId="77777777" w:rsidR="00E9247D" w:rsidRPr="001776BC" w:rsidRDefault="00E9247D" w:rsidP="00E9247D">
            <w:pPr>
              <w:spacing w:after="0" w:line="276" w:lineRule="auto"/>
              <w:jc w:val="both"/>
              <w:rPr>
                <w:rFonts w:ascii="Arial Narrow" w:hAnsi="Arial Narrow"/>
                <w:b/>
                <w:bCs/>
                <w:sz w:val="24"/>
                <w:szCs w:val="24"/>
              </w:rPr>
            </w:pPr>
            <w:r w:rsidRPr="001776BC">
              <w:rPr>
                <w:rFonts w:ascii="Arial Narrow" w:hAnsi="Arial Narrow"/>
                <w:b/>
                <w:bCs/>
                <w:sz w:val="24"/>
                <w:szCs w:val="24"/>
              </w:rPr>
              <w:t>Measure</w:t>
            </w:r>
          </w:p>
        </w:tc>
        <w:tc>
          <w:tcPr>
            <w:tcW w:w="0" w:type="auto"/>
            <w:vAlign w:val="center"/>
            <w:hideMark/>
          </w:tcPr>
          <w:p w14:paraId="0EB6FBEC" w14:textId="77777777" w:rsidR="00E9247D" w:rsidRPr="001776BC" w:rsidRDefault="00E9247D" w:rsidP="00E9247D">
            <w:pPr>
              <w:spacing w:after="0" w:line="276" w:lineRule="auto"/>
              <w:jc w:val="both"/>
              <w:rPr>
                <w:rFonts w:ascii="Arial Narrow" w:hAnsi="Arial Narrow"/>
                <w:b/>
                <w:bCs/>
                <w:sz w:val="24"/>
                <w:szCs w:val="24"/>
              </w:rPr>
            </w:pPr>
            <w:r w:rsidRPr="001776BC">
              <w:rPr>
                <w:rFonts w:ascii="Arial Narrow" w:hAnsi="Arial Narrow"/>
                <w:b/>
                <w:bCs/>
                <w:sz w:val="24"/>
                <w:szCs w:val="24"/>
              </w:rPr>
              <w:t>Pre-Test</w:t>
            </w:r>
          </w:p>
        </w:tc>
        <w:tc>
          <w:tcPr>
            <w:tcW w:w="0" w:type="auto"/>
            <w:vAlign w:val="center"/>
            <w:hideMark/>
          </w:tcPr>
          <w:p w14:paraId="1CEB4A7A" w14:textId="77777777" w:rsidR="00E9247D" w:rsidRPr="001776BC" w:rsidRDefault="00E9247D" w:rsidP="00E9247D">
            <w:pPr>
              <w:spacing w:after="0" w:line="276" w:lineRule="auto"/>
              <w:jc w:val="both"/>
              <w:rPr>
                <w:rFonts w:ascii="Arial Narrow" w:hAnsi="Arial Narrow"/>
                <w:b/>
                <w:bCs/>
                <w:sz w:val="24"/>
                <w:szCs w:val="24"/>
              </w:rPr>
            </w:pPr>
            <w:r w:rsidRPr="001776BC">
              <w:rPr>
                <w:rFonts w:ascii="Arial Narrow" w:hAnsi="Arial Narrow"/>
                <w:b/>
                <w:bCs/>
                <w:sz w:val="24"/>
                <w:szCs w:val="24"/>
              </w:rPr>
              <w:t>Post-Test</w:t>
            </w:r>
          </w:p>
        </w:tc>
      </w:tr>
      <w:tr w:rsidR="00E9247D" w:rsidRPr="001776BC" w14:paraId="7FBBDD2D" w14:textId="77777777" w:rsidTr="00E9247D">
        <w:trPr>
          <w:tblCellSpacing w:w="15" w:type="dxa"/>
        </w:trPr>
        <w:tc>
          <w:tcPr>
            <w:tcW w:w="0" w:type="auto"/>
            <w:vAlign w:val="center"/>
            <w:hideMark/>
          </w:tcPr>
          <w:p w14:paraId="32EA804B"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Mean</w:t>
            </w:r>
          </w:p>
        </w:tc>
        <w:tc>
          <w:tcPr>
            <w:tcW w:w="0" w:type="auto"/>
            <w:vAlign w:val="center"/>
            <w:hideMark/>
          </w:tcPr>
          <w:p w14:paraId="6948986E"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3.169</w:t>
            </w:r>
          </w:p>
        </w:tc>
        <w:tc>
          <w:tcPr>
            <w:tcW w:w="0" w:type="auto"/>
            <w:vAlign w:val="center"/>
            <w:hideMark/>
          </w:tcPr>
          <w:p w14:paraId="210CB657"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3.331</w:t>
            </w:r>
          </w:p>
        </w:tc>
      </w:tr>
      <w:tr w:rsidR="00E9247D" w:rsidRPr="001776BC" w14:paraId="791BFFF4" w14:textId="77777777" w:rsidTr="00E9247D">
        <w:trPr>
          <w:tblCellSpacing w:w="15" w:type="dxa"/>
        </w:trPr>
        <w:tc>
          <w:tcPr>
            <w:tcW w:w="0" w:type="auto"/>
            <w:vAlign w:val="center"/>
            <w:hideMark/>
          </w:tcPr>
          <w:p w14:paraId="652102AD"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Standard Deviation (SD)</w:t>
            </w:r>
          </w:p>
        </w:tc>
        <w:tc>
          <w:tcPr>
            <w:tcW w:w="0" w:type="auto"/>
            <w:vAlign w:val="center"/>
            <w:hideMark/>
          </w:tcPr>
          <w:p w14:paraId="3E70A673"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0.6706</w:t>
            </w:r>
          </w:p>
        </w:tc>
        <w:tc>
          <w:tcPr>
            <w:tcW w:w="0" w:type="auto"/>
            <w:vAlign w:val="center"/>
            <w:hideMark/>
          </w:tcPr>
          <w:p w14:paraId="02AE706F"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0.7377</w:t>
            </w:r>
          </w:p>
        </w:tc>
      </w:tr>
      <w:tr w:rsidR="00E9247D" w:rsidRPr="001776BC" w14:paraId="46604D9B" w14:textId="77777777" w:rsidTr="00E9247D">
        <w:trPr>
          <w:tblCellSpacing w:w="15" w:type="dxa"/>
        </w:trPr>
        <w:tc>
          <w:tcPr>
            <w:tcW w:w="0" w:type="auto"/>
            <w:vAlign w:val="center"/>
            <w:hideMark/>
          </w:tcPr>
          <w:p w14:paraId="4237253C"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Standard Error of Mean (SEM)</w:t>
            </w:r>
          </w:p>
        </w:tc>
        <w:tc>
          <w:tcPr>
            <w:tcW w:w="0" w:type="auto"/>
            <w:vAlign w:val="center"/>
            <w:hideMark/>
          </w:tcPr>
          <w:p w14:paraId="589C4770"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0.1245</w:t>
            </w:r>
          </w:p>
        </w:tc>
        <w:tc>
          <w:tcPr>
            <w:tcW w:w="0" w:type="auto"/>
            <w:vAlign w:val="center"/>
            <w:hideMark/>
          </w:tcPr>
          <w:p w14:paraId="7E6D68F4"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0.1370</w:t>
            </w:r>
          </w:p>
        </w:tc>
      </w:tr>
      <w:tr w:rsidR="00E9247D" w:rsidRPr="001776BC" w14:paraId="40C9DDE5" w14:textId="77777777" w:rsidTr="00E9247D">
        <w:trPr>
          <w:tblCellSpacing w:w="15" w:type="dxa"/>
        </w:trPr>
        <w:tc>
          <w:tcPr>
            <w:tcW w:w="0" w:type="auto"/>
            <w:vAlign w:val="center"/>
            <w:hideMark/>
          </w:tcPr>
          <w:p w14:paraId="778DFB9D"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Sample Size (N)</w:t>
            </w:r>
          </w:p>
        </w:tc>
        <w:tc>
          <w:tcPr>
            <w:tcW w:w="0" w:type="auto"/>
            <w:vAlign w:val="center"/>
            <w:hideMark/>
          </w:tcPr>
          <w:p w14:paraId="1CFA9ABE"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29</w:t>
            </w:r>
          </w:p>
        </w:tc>
        <w:tc>
          <w:tcPr>
            <w:tcW w:w="0" w:type="auto"/>
            <w:vAlign w:val="center"/>
            <w:hideMark/>
          </w:tcPr>
          <w:p w14:paraId="550F234B" w14:textId="77777777" w:rsidR="00E9247D" w:rsidRPr="001776BC" w:rsidRDefault="00E9247D" w:rsidP="00E9247D">
            <w:pPr>
              <w:spacing w:after="0" w:line="276" w:lineRule="auto"/>
              <w:jc w:val="both"/>
              <w:rPr>
                <w:rFonts w:ascii="Arial Narrow" w:hAnsi="Arial Narrow"/>
                <w:sz w:val="24"/>
                <w:szCs w:val="24"/>
              </w:rPr>
            </w:pPr>
            <w:r w:rsidRPr="001776BC">
              <w:rPr>
                <w:rFonts w:ascii="Arial Narrow" w:hAnsi="Arial Narrow"/>
                <w:sz w:val="24"/>
                <w:szCs w:val="24"/>
              </w:rPr>
              <w:t>29</w:t>
            </w:r>
          </w:p>
        </w:tc>
      </w:tr>
    </w:tbl>
    <w:p w14:paraId="10F184FB" w14:textId="77777777" w:rsidR="00B511CB" w:rsidRPr="001776BC" w:rsidRDefault="00B511CB" w:rsidP="00260930">
      <w:pPr>
        <w:spacing w:after="0" w:line="276" w:lineRule="auto"/>
        <w:jc w:val="both"/>
        <w:rPr>
          <w:rFonts w:ascii="Arial Narrow" w:hAnsi="Arial Narrow"/>
          <w:sz w:val="24"/>
          <w:szCs w:val="24"/>
        </w:rPr>
      </w:pPr>
    </w:p>
    <w:p w14:paraId="1C8755BF" w14:textId="77777777" w:rsidR="00B511CB" w:rsidRPr="001776BC" w:rsidRDefault="00B511CB" w:rsidP="00260930">
      <w:pPr>
        <w:spacing w:after="0" w:line="276" w:lineRule="auto"/>
        <w:jc w:val="both"/>
        <w:rPr>
          <w:rFonts w:ascii="Arial Narrow" w:hAnsi="Arial Narrow"/>
          <w:i/>
          <w:iCs/>
        </w:rPr>
      </w:pPr>
      <w:r w:rsidRPr="001776BC">
        <w:rPr>
          <w:rFonts w:ascii="Arial Narrow" w:hAnsi="Arial Narrow"/>
          <w:i/>
          <w:iCs/>
        </w:rPr>
        <w:t xml:space="preserve">Note. The paired-samples t-test results indicate that the difference between pre-test and post-test scores was not statistically significant, </w:t>
      </w:r>
      <w:proofErr w:type="gramStart"/>
      <w:r w:rsidRPr="001776BC">
        <w:rPr>
          <w:rFonts w:ascii="Arial Narrow" w:hAnsi="Arial Narrow"/>
          <w:i/>
          <w:iCs/>
        </w:rPr>
        <w:t>t(</w:t>
      </w:r>
      <w:proofErr w:type="gramEnd"/>
      <w:r w:rsidRPr="001776BC">
        <w:rPr>
          <w:rFonts w:ascii="Arial Narrow" w:hAnsi="Arial Narrow"/>
          <w:i/>
          <w:iCs/>
        </w:rPr>
        <w:t>28) = 0.9702, p = .3403. The mean difference was -0.1621, with a 95% confidence interval ranging from -0.5042 to 0.1801. The standard error of the difference was 0.167.</w:t>
      </w:r>
    </w:p>
    <w:p w14:paraId="0EF13B95" w14:textId="77777777" w:rsidR="00B511CB" w:rsidRPr="001776BC" w:rsidRDefault="00B511CB" w:rsidP="00260930">
      <w:pPr>
        <w:spacing w:after="0" w:line="276" w:lineRule="auto"/>
        <w:jc w:val="both"/>
        <w:rPr>
          <w:rFonts w:ascii="Arial Narrow" w:hAnsi="Arial Narrow"/>
          <w:sz w:val="24"/>
          <w:szCs w:val="24"/>
        </w:rPr>
      </w:pPr>
    </w:p>
    <w:p w14:paraId="578789A3"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These results suggest that clinicians’ responses to cultural scenarios remained largely unchanged following the CQ tutorial, raising important questions about the effectiveness of the intervention and the broader challenges of integrating CQ into clinical practice. Notably, the lack of significant improvement aligns with prior research suggesting that passive exposure to cultural competence training does not necessarily translate into behavioral change (Earley &amp; Ang, 2003; Kumas-Tan et al., 2007; Livermore, 2015).</w:t>
      </w:r>
    </w:p>
    <w:p w14:paraId="05B80923" w14:textId="77777777" w:rsidR="00B511CB" w:rsidRPr="001776BC" w:rsidRDefault="00B511CB" w:rsidP="00260930">
      <w:pPr>
        <w:spacing w:after="0" w:line="276" w:lineRule="auto"/>
        <w:jc w:val="both"/>
        <w:rPr>
          <w:rFonts w:ascii="Arial Narrow" w:hAnsi="Arial Narrow"/>
          <w:sz w:val="24"/>
          <w:szCs w:val="24"/>
        </w:rPr>
      </w:pPr>
    </w:p>
    <w:p w14:paraId="00432BCE"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Thematic Analysis of Cultural Intelligence in Clinical Practice</w:t>
      </w:r>
    </w:p>
    <w:p w14:paraId="1583A8E7" w14:textId="619A217F"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raw responses to the cultural intelligence scenarios were analyzed using thematic analysis, following the rigorous framework outlined by Braun and Clarke (2006). This systematic and iterative method allows for the identification, examination, and interpretation of recurring patterns within qualitative data, providing</w:t>
      </w:r>
      <w:r w:rsidRPr="001776BC">
        <w:rPr>
          <w:rFonts w:ascii="Arial Narrow" w:eastAsia="Times New Roman" w:hAnsi="Arial Narrow" w:cs="Times New Roman"/>
          <w:kern w:val="0"/>
          <w:sz w:val="24"/>
          <w:szCs w:val="24"/>
          <w14:ligatures w14:val="none"/>
        </w:rPr>
        <w:t xml:space="preserve"> </w:t>
      </w:r>
      <w:r w:rsidRPr="001776BC">
        <w:rPr>
          <w:rFonts w:ascii="Arial Narrow" w:hAnsi="Arial Narrow"/>
          <w:sz w:val="24"/>
          <w:szCs w:val="24"/>
        </w:rPr>
        <w:t>insights into clinicians' decision-making processes and the underlying factors that influence cultural sensitivity or insensitivity in their responses. The thematic analysis revealed several key themes that help explain the complexities observed in the study’s findings:</w:t>
      </w:r>
    </w:p>
    <w:p w14:paraId="554945B4" w14:textId="77777777" w:rsidR="00FA6608" w:rsidRPr="001776BC" w:rsidRDefault="00FA6608" w:rsidP="00260930">
      <w:pPr>
        <w:spacing w:after="0" w:line="276" w:lineRule="auto"/>
        <w:jc w:val="both"/>
        <w:rPr>
          <w:rFonts w:ascii="Arial Narrow" w:hAnsi="Arial Narrow"/>
          <w:sz w:val="24"/>
          <w:szCs w:val="24"/>
        </w:rPr>
      </w:pPr>
    </w:p>
    <w:p w14:paraId="76F36335" w14:textId="20AE2EE2"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Implicit Bias and Stereotyping</w:t>
      </w:r>
    </w:p>
    <w:p w14:paraId="6CC1ACCF" w14:textId="77777777" w:rsidR="00FA6608" w:rsidRPr="001776BC" w:rsidRDefault="00FA6608" w:rsidP="00260930">
      <w:pPr>
        <w:spacing w:after="0" w:line="276" w:lineRule="auto"/>
        <w:jc w:val="both"/>
        <w:rPr>
          <w:rFonts w:ascii="Arial Narrow" w:hAnsi="Arial Narrow"/>
          <w:sz w:val="24"/>
          <w:szCs w:val="24"/>
        </w:rPr>
      </w:pPr>
    </w:p>
    <w:p w14:paraId="7231D86B" w14:textId="7703EDAB"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A common theme that emerged from the clinicians' responses was the subtle influence of implicit bias, where some clinicians demonstrated a tendency to rely on stereotypes or assumptions about clients' cultural backgrounds. While some participants expressed an understanding of cultural diversity, their responses still indicated a lack of awareness regarding their personal biases and the impact these biases could have on clinical decision-making. This finding supports the argument that even clinicians who engage in cultural competence training may struggle to fully eliminate unconscious biases that affect their practice.</w:t>
      </w:r>
    </w:p>
    <w:p w14:paraId="22CE25AC" w14:textId="77777777" w:rsidR="00FA6608" w:rsidRPr="001776BC" w:rsidRDefault="00FA6608" w:rsidP="00260930">
      <w:pPr>
        <w:spacing w:after="0" w:line="276" w:lineRule="auto"/>
        <w:jc w:val="both"/>
        <w:rPr>
          <w:rFonts w:ascii="Arial Narrow" w:hAnsi="Arial Narrow"/>
          <w:sz w:val="24"/>
          <w:szCs w:val="24"/>
        </w:rPr>
      </w:pPr>
    </w:p>
    <w:p w14:paraId="7D487DEC" w14:textId="1346EBBB"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Complexity of Cultural Competence</w:t>
      </w:r>
    </w:p>
    <w:p w14:paraId="53B172F6" w14:textId="77777777" w:rsidR="00FA6608" w:rsidRPr="001776BC" w:rsidRDefault="00FA6608" w:rsidP="00260930">
      <w:pPr>
        <w:spacing w:after="0" w:line="276" w:lineRule="auto"/>
        <w:jc w:val="both"/>
        <w:rPr>
          <w:rFonts w:ascii="Arial Narrow" w:hAnsi="Arial Narrow"/>
          <w:sz w:val="24"/>
          <w:szCs w:val="24"/>
        </w:rPr>
      </w:pPr>
    </w:p>
    <w:p w14:paraId="6113CD14" w14:textId="59880EED"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Participants’ responses reflected a recognition of the complexity involved in applying cultural competence in clinical settings. Many clinicians reported feeling overwhelmed by the need to balance cultural sensitivity with clinical judgment. For instance, while some showed an understanding of the importance of cultural factors in treatment, they also highlighted challenges in ensuring that these considerations were integrated appropriately within a clinical context. This theme underscores the need for more practical, scenario-based training that allows clinicians to practice applying cultural intelligence in diverse and complex clinical situations.</w:t>
      </w:r>
    </w:p>
    <w:p w14:paraId="3F27ECA7" w14:textId="77777777" w:rsidR="00FA6608" w:rsidRPr="001776BC" w:rsidRDefault="00FA6608" w:rsidP="00260930">
      <w:pPr>
        <w:spacing w:after="0" w:line="276" w:lineRule="auto"/>
        <w:jc w:val="both"/>
        <w:rPr>
          <w:rFonts w:ascii="Arial Narrow" w:hAnsi="Arial Narrow"/>
          <w:sz w:val="24"/>
          <w:szCs w:val="24"/>
        </w:rPr>
      </w:pPr>
    </w:p>
    <w:p w14:paraId="4FAF6C54" w14:textId="253D63BC"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Systemic and Organizational Barriers</w:t>
      </w:r>
    </w:p>
    <w:p w14:paraId="39B72469" w14:textId="77777777" w:rsidR="00FA6608" w:rsidRPr="001776BC" w:rsidRDefault="00FA6608" w:rsidP="00260930">
      <w:pPr>
        <w:spacing w:after="0" w:line="276" w:lineRule="auto"/>
        <w:jc w:val="both"/>
        <w:rPr>
          <w:rFonts w:ascii="Arial Narrow" w:hAnsi="Arial Narrow"/>
          <w:sz w:val="24"/>
          <w:szCs w:val="24"/>
        </w:rPr>
      </w:pPr>
    </w:p>
    <w:p w14:paraId="17DBBA38"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Several participants identified systemic and organizational barriers to the effective application of cultural intelligence, including institutional norms, lack of organizational support, and insufficient time allocated for cultural competence training. These factors suggested that, although individual clinicians may be motivated to improve their cultural competence, organizational structures and policies may hinder their ability to do so. This theme points to the need for systemic change in healthcare institutions to create an environment that actively supports the integration of cultural competence into everyday clinical practice.</w:t>
      </w:r>
    </w:p>
    <w:p w14:paraId="10FDFA91" w14:textId="77777777" w:rsidR="00FA6608" w:rsidRPr="001776BC" w:rsidRDefault="00FA6608" w:rsidP="00260930">
      <w:pPr>
        <w:spacing w:after="0" w:line="276" w:lineRule="auto"/>
        <w:jc w:val="both"/>
        <w:rPr>
          <w:rFonts w:ascii="Arial Narrow" w:hAnsi="Arial Narrow"/>
          <w:sz w:val="24"/>
          <w:szCs w:val="24"/>
        </w:rPr>
      </w:pPr>
    </w:p>
    <w:p w14:paraId="6383B8CE" w14:textId="790D5EE2"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Role of Self-Reflection and Continuous Learning</w:t>
      </w:r>
    </w:p>
    <w:p w14:paraId="72E69E33" w14:textId="77777777" w:rsidR="00FA6608" w:rsidRPr="001776BC" w:rsidRDefault="00FA6608" w:rsidP="00260930">
      <w:pPr>
        <w:spacing w:after="0" w:line="276" w:lineRule="auto"/>
        <w:jc w:val="both"/>
        <w:rPr>
          <w:rFonts w:ascii="Arial Narrow" w:hAnsi="Arial Narrow"/>
          <w:sz w:val="24"/>
          <w:szCs w:val="24"/>
        </w:rPr>
      </w:pPr>
    </w:p>
    <w:p w14:paraId="4F559518"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A significant portion of the qualitative data emphasized the importance of self-reflection and continuous learning in improving cultural intelligence. Clinicians who engaged deeply with the CQ study guide reported a stronger sense of awareness about their own cultural biases and the importance of reflecting on their clinical practices. This theme suggests that training programs that encourage ongoing self-assessment and reflection may be more effective than those relying solely on passive learning methods.</w:t>
      </w:r>
    </w:p>
    <w:p w14:paraId="2785DA29" w14:textId="77777777" w:rsidR="00FA6608" w:rsidRPr="001776BC" w:rsidRDefault="00FA6608" w:rsidP="00260930">
      <w:pPr>
        <w:spacing w:after="0" w:line="276" w:lineRule="auto"/>
        <w:jc w:val="both"/>
        <w:rPr>
          <w:rFonts w:ascii="Arial Narrow" w:hAnsi="Arial Narrow"/>
          <w:sz w:val="24"/>
          <w:szCs w:val="24"/>
        </w:rPr>
      </w:pPr>
    </w:p>
    <w:p w14:paraId="2145A6E4" w14:textId="52C9EC94"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Impact of Personal Experiences</w:t>
      </w:r>
    </w:p>
    <w:p w14:paraId="3FB411AA" w14:textId="77777777" w:rsidR="00FA6608" w:rsidRPr="001776BC" w:rsidRDefault="00FA6608" w:rsidP="00260930">
      <w:pPr>
        <w:spacing w:after="0" w:line="276" w:lineRule="auto"/>
        <w:jc w:val="both"/>
        <w:rPr>
          <w:rFonts w:ascii="Arial Narrow" w:hAnsi="Arial Narrow"/>
          <w:sz w:val="24"/>
          <w:szCs w:val="24"/>
        </w:rPr>
      </w:pPr>
    </w:p>
    <w:p w14:paraId="08204542" w14:textId="550F1C0D"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Participants’ personal experiences with diversity also played a significant role in shaping their responses to cultural intelligence scenarios. Those with more direct experience working with diverse populations often demonstrated more nuanced and culturally sensitive responses compared to those with limited exposure. This theme highlights the importance of experiential learning in cultural competence training and suggests that real-world experience can significantly enhance clinicians' ability to navigate complex cultural dynamics in clinical settings.</w:t>
      </w:r>
    </w:p>
    <w:p w14:paraId="4A39974F" w14:textId="77777777" w:rsidR="00FA6608" w:rsidRPr="001776BC" w:rsidRDefault="00FA6608" w:rsidP="00260930">
      <w:pPr>
        <w:spacing w:after="0" w:line="276" w:lineRule="auto"/>
        <w:jc w:val="both"/>
        <w:rPr>
          <w:rFonts w:ascii="Arial Narrow" w:hAnsi="Arial Narrow"/>
          <w:sz w:val="24"/>
          <w:szCs w:val="24"/>
        </w:rPr>
      </w:pPr>
    </w:p>
    <w:p w14:paraId="590DB2F1" w14:textId="7A1672A8"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Conclusion from Thematic and Quantitative Analysis:</w:t>
      </w:r>
    </w:p>
    <w:p w14:paraId="11BE00E1" w14:textId="77777777" w:rsidR="00FA6608" w:rsidRPr="001776BC" w:rsidRDefault="00FA6608" w:rsidP="00260930">
      <w:pPr>
        <w:spacing w:after="0" w:line="276" w:lineRule="auto"/>
        <w:jc w:val="both"/>
        <w:rPr>
          <w:rFonts w:ascii="Arial Narrow" w:hAnsi="Arial Narrow"/>
          <w:sz w:val="24"/>
          <w:szCs w:val="24"/>
        </w:rPr>
      </w:pPr>
    </w:p>
    <w:p w14:paraId="7D96A9B4" w14:textId="1E6E8A5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While the quantitative analysis indicated no significant improvement in clinicians' cultural intelligence scores following the CQ tutorial, the thematic analysis provided a richer, more nuanced understanding of the barriers </w:t>
      </w:r>
      <w:r w:rsidRPr="001776BC">
        <w:rPr>
          <w:rFonts w:ascii="Arial Narrow" w:hAnsi="Arial Narrow"/>
          <w:sz w:val="24"/>
          <w:szCs w:val="24"/>
        </w:rPr>
        <w:lastRenderedPageBreak/>
        <w:t>and challenges clinicians face in applying cultural competence. Thematic analysis illuminated the complex interplay of personal, organizational, and systemic factors that influence clinicians' ability to demonstrate cultural sensitivity. These insights suggest that while training interventions may improve cultural knowledge, they must also address deeper, systemic issues such as implicit bias and organizational support to achieve lasting improvements in clinical practice.</w:t>
      </w:r>
    </w:p>
    <w:p w14:paraId="1152C20E" w14:textId="77777777" w:rsidR="00FA6608" w:rsidRPr="001776BC" w:rsidRDefault="00FA6608" w:rsidP="00260930">
      <w:pPr>
        <w:spacing w:after="0" w:line="276" w:lineRule="auto"/>
        <w:jc w:val="both"/>
        <w:rPr>
          <w:rFonts w:ascii="Arial Narrow" w:hAnsi="Arial Narrow"/>
          <w:sz w:val="24"/>
          <w:szCs w:val="24"/>
        </w:rPr>
      </w:pPr>
    </w:p>
    <w:p w14:paraId="0D33CB2F" w14:textId="41345FFA"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study's findings underscore the importance of ongoing efforts to develop more robust and integrated approaches to cultural competence training. Future interventions may need to go beyond didactic learning and incorporate more hands-on, experiential learning opportunities, as well as systemic reforms to create environments that support culturally responsive care. These findings contribute valuable insights to the ongoing conversation about improving health equity and reducing disparities through enhanced cultural competence in healthcare. a structured approach to uncovering meaningful insights. Thematic analysis is particularly well-suited to this study, as it enables a nuanced exploration of the complexities underlying clinicians' decision-making processes, shedding light on the extent to which their responses reflect cultural sensitivity.</w:t>
      </w:r>
    </w:p>
    <w:p w14:paraId="13944D43" w14:textId="77777777" w:rsidR="00FA6608" w:rsidRPr="001776BC" w:rsidRDefault="00FA6608" w:rsidP="00260930">
      <w:pPr>
        <w:spacing w:after="0" w:line="276" w:lineRule="auto"/>
        <w:jc w:val="both"/>
        <w:rPr>
          <w:rFonts w:ascii="Arial Narrow" w:hAnsi="Arial Narrow"/>
          <w:sz w:val="24"/>
          <w:szCs w:val="24"/>
        </w:rPr>
      </w:pPr>
    </w:p>
    <w:p w14:paraId="17067A55" w14:textId="2EEB4A76"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By systematically coding and categorizing the data, this approach makes it possible to identify key themes that illustrate not only explicit expressions of cultural competence but also subtler influences, such as implicit biases, institutional constraints, and personal experiences that shape clinical interactions. Understanding these underlying factors is crucial in evaluating the effectiveness of cultural competence training and identifying gaps in its practical application.</w:t>
      </w:r>
    </w:p>
    <w:p w14:paraId="080230A7" w14:textId="77777777" w:rsidR="00733AB5" w:rsidRPr="001776BC" w:rsidRDefault="00733AB5" w:rsidP="00260930">
      <w:pPr>
        <w:spacing w:after="0" w:line="276" w:lineRule="auto"/>
        <w:jc w:val="both"/>
        <w:rPr>
          <w:rFonts w:ascii="Arial Narrow" w:hAnsi="Arial Narrow"/>
          <w:sz w:val="24"/>
          <w:szCs w:val="24"/>
        </w:rPr>
      </w:pPr>
    </w:p>
    <w:p w14:paraId="6E8FC174" w14:textId="7B65B5F3"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To complement and enhance the manual thematic analysis, an AI-driven thematic analysis tool was also employed. This additional layer of analysis provided an alternative perspective on the data, allowing for comparison between human-coded themes and AI-generated insights. The integration of AI-assisted analysis aimed to enhance the reliability and depth of thematic interpretation by identifying potential patterns that may not have been immediately apparent through manual coding alone. This dual approach ensures a comprehensive and multidimensional understanding of clinicians’ cultural intelligence, reinforcing the study’s ability to assess both the strengths and limitations of cultural competence in clinical practice.</w:t>
      </w:r>
    </w:p>
    <w:p w14:paraId="241666F5" w14:textId="77777777" w:rsidR="00FA6608" w:rsidRPr="001776BC" w:rsidRDefault="00FA6608" w:rsidP="00260930">
      <w:pPr>
        <w:spacing w:after="0" w:line="276" w:lineRule="auto"/>
        <w:jc w:val="both"/>
        <w:rPr>
          <w:rFonts w:ascii="Arial Narrow" w:hAnsi="Arial Narrow"/>
          <w:sz w:val="24"/>
          <w:szCs w:val="24"/>
        </w:rPr>
      </w:pPr>
    </w:p>
    <w:p w14:paraId="1BFD7049" w14:textId="3B64C640"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Analysis began with familiarization, during which responses were read multiple times to ensure immersion in the data and to note initial ideas. Following this, initial codes were systematically generated across the entire dataset, with key features identified and labeled. These codes were then grouped into potential themes, with all relevant data associated with each theme collated. The themes were reviewed to ensure coherence and alignment with the dataset, with refinements made as necessary. Each theme was then defined and named, with clear descriptions of their scope and focus. Finally, the findings were written as a cohesive narrative, incorporating representative data extracts to provide rich insights into the patterns identified.</w:t>
      </w:r>
    </w:p>
    <w:p w14:paraId="4FA39F74" w14:textId="77777777" w:rsidR="00FA6608" w:rsidRPr="001776BC" w:rsidRDefault="00FA6608" w:rsidP="00260930">
      <w:pPr>
        <w:spacing w:after="0" w:line="276" w:lineRule="auto"/>
        <w:jc w:val="both"/>
        <w:rPr>
          <w:rFonts w:ascii="Arial Narrow" w:hAnsi="Arial Narrow"/>
          <w:sz w:val="24"/>
          <w:szCs w:val="24"/>
        </w:rPr>
      </w:pPr>
    </w:p>
    <w:p w14:paraId="64C95EC8" w14:textId="0A789974"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This iterative process ensures a thorough and transparent analysis of the data, offering a nuanced understanding of the responses. Thematic analysis aligns with the study's focus on exploring subjective meanings and complex social phenomena, making it a valid and effective method for examining clinicians’ </w:t>
      </w:r>
      <w:r w:rsidRPr="001776BC">
        <w:rPr>
          <w:rFonts w:ascii="Arial Narrow" w:hAnsi="Arial Narrow"/>
          <w:sz w:val="24"/>
          <w:szCs w:val="24"/>
        </w:rPr>
        <w:lastRenderedPageBreak/>
        <w:t>cultural sensitivity in decision-making. Braun and Clarke’s (2006) framework support this application, emphasizing the method’s flexibility and its ability to provide deep insights into participants’ perspectives and the broader context of their responses.</w:t>
      </w:r>
    </w:p>
    <w:p w14:paraId="65328738" w14:textId="77777777" w:rsidR="00FA6608" w:rsidRPr="001776BC" w:rsidRDefault="00FA6608" w:rsidP="00260930">
      <w:pPr>
        <w:spacing w:after="0" w:line="276" w:lineRule="auto"/>
        <w:jc w:val="both"/>
        <w:rPr>
          <w:rFonts w:ascii="Arial Narrow" w:hAnsi="Arial Narrow"/>
          <w:sz w:val="24"/>
          <w:szCs w:val="24"/>
        </w:rPr>
      </w:pPr>
    </w:p>
    <w:p w14:paraId="1C461CB0" w14:textId="5328F45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integration of quantitative and qualitative analysis provides a comprehensive understanding of the impact of Cultural Competence Training. The two-week reflection period, although not directly measured, is considered in the qualitative analysis as a significant factor in shaping participants' insights and experiences post-training. This period is expected to contribute to the depth of reflections captured in the qualitative data.</w:t>
      </w:r>
    </w:p>
    <w:p w14:paraId="15BAD1B6" w14:textId="77777777" w:rsidR="00FA6608" w:rsidRPr="001776BC" w:rsidRDefault="00FA6608" w:rsidP="00260930">
      <w:pPr>
        <w:spacing w:after="0" w:line="276" w:lineRule="auto"/>
        <w:jc w:val="both"/>
        <w:rPr>
          <w:rFonts w:ascii="Arial Narrow" w:hAnsi="Arial Narrow"/>
          <w:sz w:val="24"/>
          <w:szCs w:val="24"/>
        </w:rPr>
      </w:pPr>
    </w:p>
    <w:p w14:paraId="48C75358" w14:textId="5E7A5279"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Overall, the responses did not reveal a strong sense of cultural competence and engagement. In some instances, clinicians opted to pass the case off, and while they knew they were supposed to address cultural issues, they stuck to process, procedure, and clinical training. Beyond the statistical findings, a qualitative review of clinicians’ responses offers further insights into the underlying dynamics at play. One key observation was that procedural correctness often took precedence over cultural engagement. Many clinicians adhered strictly to established organizational protocols and general therapeutic frameworks, demonstrating high levels of procedural competence but failing to apply CQ Strategy (planning for cultural interactions) or CQ Action (adapting behavior to different cultural settings) (Van Dyne et al., 2012). This suggests that, while clinicians are well-versed in technical and procedural aspects of care, they may struggle with contextualizing cultural information within real-world practice (Thomas et al., 2008).</w:t>
      </w:r>
    </w:p>
    <w:p w14:paraId="72D7ADEF" w14:textId="77777777" w:rsidR="0069783E" w:rsidRPr="001776BC" w:rsidRDefault="0069783E" w:rsidP="00260930">
      <w:pPr>
        <w:spacing w:after="0" w:line="276" w:lineRule="auto"/>
        <w:jc w:val="both"/>
        <w:rPr>
          <w:rFonts w:ascii="Arial Narrow" w:hAnsi="Arial Narrow"/>
          <w:sz w:val="24"/>
          <w:szCs w:val="24"/>
        </w:rPr>
      </w:pPr>
    </w:p>
    <w:p w14:paraId="21D534C8" w14:textId="3828086A"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Another notable trend was the prioritization of accuracy over engagement with cultural complexity. Clinicians frequently structured their responses in a highly formulaic manner, often echoing content from textbooks or training materials rather than demonstrating internalized understanding of CQ principles. This pattern aligns with research suggesting that clinicians may memorize cultural frameworks without meaningfully incorporating them into their decision-making processes (Hook et al., 2013; Livermore, 2015). Interestingly, responses that demonstrated empathy and compassion tended to score higher, reinforcing the notion that clinicians naturally exhibit compassionate care but do not necessarily apply CQ principles intentionally. This finding suggests that empathy alone is not synonymous with cultural intelligence, as clinicians may default to general therapeutic skills rather than actively considering cultural dimensions in patient interactions (Sue et al., 2007).</w:t>
      </w:r>
    </w:p>
    <w:p w14:paraId="34163DE9" w14:textId="77777777" w:rsidR="0069783E" w:rsidRPr="001776BC" w:rsidRDefault="0069783E" w:rsidP="00260930">
      <w:pPr>
        <w:spacing w:after="0" w:line="276" w:lineRule="auto"/>
        <w:jc w:val="both"/>
        <w:rPr>
          <w:rFonts w:ascii="Arial Narrow" w:hAnsi="Arial Narrow"/>
          <w:sz w:val="24"/>
          <w:szCs w:val="24"/>
        </w:rPr>
      </w:pPr>
    </w:p>
    <w:p w14:paraId="0B56A005" w14:textId="5738AB73"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The lack of evidence for CQ Drive—the intrinsic motivation to engage with cultural learning—was also apparent. Few responses reflected a genuine curiosity about clients’ cultural backgrounds, suggesting that awareness alone is insufficient to drive meaningful application of CQ in practice (Ang &amp; Van Dyne, 2015). In some cases, clinicians opted to refer culturally complex cases to other providers rather than addressing them directly. While referrals are sometimes appropriate, this pattern suggests a hesitancy or discomfort in navigating cultural issues, reinforcing previous findings that clinicians may defer cultural engagement rather than expand their own CQ capabilities (Sue et al., 2019). Perhaps the most unexpected finding was that some clinicians scored higher on the pretest than on the posttest. This suggests that clinicians initially relied on their foundational training, but the CQ tutorial did not enhance their ability to apply cultural principles. Instead, it may have introduced an external framework that clinicians struggled to integrate with their existing </w:t>
      </w:r>
      <w:r w:rsidRPr="001776BC">
        <w:rPr>
          <w:rFonts w:ascii="Arial Narrow" w:hAnsi="Arial Narrow"/>
          <w:sz w:val="24"/>
          <w:szCs w:val="24"/>
        </w:rPr>
        <w:lastRenderedPageBreak/>
        <w:t>clinical reasoning. Similar findings have been documented in studies examining the limitations of didactic cultural competence training, which may be perceived as abstract or disconnected from real clinical challenges (Kumas-Tan et al., 2007).</w:t>
      </w:r>
    </w:p>
    <w:p w14:paraId="6219CD5E" w14:textId="77777777" w:rsidR="0069783E" w:rsidRPr="001776BC" w:rsidRDefault="0069783E" w:rsidP="00260930">
      <w:pPr>
        <w:spacing w:after="0" w:line="276" w:lineRule="auto"/>
        <w:jc w:val="both"/>
        <w:rPr>
          <w:rFonts w:ascii="Arial Narrow" w:hAnsi="Arial Narrow"/>
          <w:sz w:val="24"/>
          <w:szCs w:val="24"/>
        </w:rPr>
      </w:pPr>
    </w:p>
    <w:p w14:paraId="15459E9C" w14:textId="5451D308"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Moreover, many responses in the post-test lacked depth or engagement, raising questions about the perceived value of the CQ tutorial. If clinicians did not find the material practical or applicable, it is possible that they engaged with it superficially rather than meaningfully. This aligns with concerns that traditional cultural competence training can sometimes feel detached from clinicians’ day-to-day responsibilities, reducing its impact (Hook et al., 2013). Overall, these findings highlight the challenges of integrating CQ principles into clinical practice. While clinicians demonstrate strong general therapeutic competence, the deliberate application of CQ remains limited. This underscores the need for more interactive, case-based learning approaches that encourage active problem-solving and cultural reflection, rather than passive information consumption (Livermore, 2015). Additionally, addressing CQ Drive by emphasizing the real-world benefits of cultural engagement may be key to fostering greater clinician motivation to apply CQ in practice (Ang &amp; Van Dyne, 2015).</w:t>
      </w:r>
    </w:p>
    <w:p w14:paraId="7E492771" w14:textId="77777777" w:rsidR="0069783E" w:rsidRPr="001776BC" w:rsidRDefault="0069783E" w:rsidP="00260930">
      <w:pPr>
        <w:spacing w:after="0" w:line="276" w:lineRule="auto"/>
        <w:jc w:val="both"/>
        <w:rPr>
          <w:rFonts w:ascii="Arial Narrow" w:hAnsi="Arial Narrow"/>
          <w:sz w:val="24"/>
          <w:szCs w:val="24"/>
        </w:rPr>
      </w:pPr>
    </w:p>
    <w:p w14:paraId="2AE28264" w14:textId="12E88BD5"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lack of significant statistical improvement, combined with observational findings, suggests that simply providing a tutorial on CQ may not be sufficient to drive behavioral change. Future research should explore alternative instructional methods, such as experiential learning, role-playing, and mentorship-based cultural training, to better equip clinicians with the tools needed to integrate CQ into real-world clinical encounters.</w:t>
      </w:r>
    </w:p>
    <w:p w14:paraId="4EB10740"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Conclusion</w:t>
      </w:r>
    </w:p>
    <w:p w14:paraId="28E19EFB" w14:textId="77777777" w:rsidR="0069783E" w:rsidRPr="001776BC" w:rsidRDefault="0069783E" w:rsidP="00260930">
      <w:pPr>
        <w:spacing w:after="0" w:line="276" w:lineRule="auto"/>
        <w:jc w:val="both"/>
        <w:rPr>
          <w:rFonts w:ascii="Arial Narrow" w:hAnsi="Arial Narrow"/>
          <w:sz w:val="24"/>
          <w:szCs w:val="24"/>
        </w:rPr>
      </w:pPr>
    </w:p>
    <w:p w14:paraId="787002AE" w14:textId="577B1BAD"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In conclusion, the persistent health disparities observed globally highlight the critical need for culturally competent care. Our study demonstrates that while training programs are effective in enhancing the knowledge and attitudes of healthcare providers, their true value lies in their practical application within clinical settings.</w:t>
      </w:r>
    </w:p>
    <w:p w14:paraId="02E14E82" w14:textId="77777777" w:rsidR="0069783E" w:rsidRPr="001776BC" w:rsidRDefault="0069783E" w:rsidP="00260930">
      <w:pPr>
        <w:spacing w:after="0" w:line="276" w:lineRule="auto"/>
        <w:jc w:val="both"/>
        <w:rPr>
          <w:rFonts w:ascii="Arial Narrow" w:hAnsi="Arial Narrow"/>
          <w:sz w:val="24"/>
          <w:szCs w:val="24"/>
        </w:rPr>
      </w:pPr>
    </w:p>
    <w:p w14:paraId="7C23C4A5" w14:textId="729CC292"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Our findings reveal that clinicians’ responses to cultural scenarios remained largely unchanged following the CQ tutorial, raising important questions about the effectiveness of the intervention and the broader challenges of integrating CQ into clinical practice. The lack of significant improvement aligns with prior research suggesting that passive exposure to cultural competence training does not necessarily translate into behavioral change (Earley &amp; Ang, 2003; Kumas-Tan et al., 2007; Livermore, 2015). The pretest-posttest analysis showed no statistically significant improvement in clinicians' application of CQ principles, indicating that participation in the CQ tutorial did not result in measurable enhancement of clinicians' abilities to apply CQ principles in clinical scenarios.</w:t>
      </w:r>
    </w:p>
    <w:p w14:paraId="07A48504" w14:textId="77777777" w:rsidR="0069783E" w:rsidRPr="001776BC" w:rsidRDefault="0069783E" w:rsidP="00260930">
      <w:pPr>
        <w:spacing w:after="0" w:line="276" w:lineRule="auto"/>
        <w:jc w:val="both"/>
        <w:rPr>
          <w:rFonts w:ascii="Arial Narrow" w:hAnsi="Arial Narrow"/>
          <w:sz w:val="24"/>
          <w:szCs w:val="24"/>
        </w:rPr>
      </w:pPr>
    </w:p>
    <w:p w14:paraId="033BDC77" w14:textId="188D8142"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 inter-rater reliability analysis, with a Kappa value of 0.643, indicates substantial agreement between raters, confirming the robustness of our scoring process. This suggests that our training and evaluation methods are reliable and can be effectively used to assess cultural competence in healthcare settings. However, the results suggest that while training programs may increase knowledge and awareness, they do not necessarily translate into improved practical application.</w:t>
      </w:r>
    </w:p>
    <w:p w14:paraId="2A8571B6" w14:textId="77777777"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lastRenderedPageBreak/>
        <w:t>Thematic analysis of the qualitative data provides further insights into the complexities of clinicians' decision-making processes and highlights the influence of systemic factors and implicit biases on cultural sensitivity. This dual approach ensures a comprehensive and multidimensional understanding of clinicians’ cultural intelligence, reinforcing the study’s ability to assess both the strengths and limitations of cultural competence in clinical practice. The integration of AI-assisted thematic analysis enhanced the reliability and depth of interpretation, providing a more nuanced exploration of the factors influencing clinicians' responses.</w:t>
      </w:r>
    </w:p>
    <w:p w14:paraId="1CB58217" w14:textId="77777777" w:rsidR="0069783E" w:rsidRPr="001776BC" w:rsidRDefault="0069783E" w:rsidP="00260930">
      <w:pPr>
        <w:spacing w:after="0" w:line="276" w:lineRule="auto"/>
        <w:jc w:val="both"/>
        <w:rPr>
          <w:rFonts w:ascii="Arial Narrow" w:hAnsi="Arial Narrow"/>
          <w:sz w:val="24"/>
          <w:szCs w:val="24"/>
        </w:rPr>
      </w:pPr>
    </w:p>
    <w:p w14:paraId="5C681A9A" w14:textId="4D8FB23C"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Notably, our qualitative findings revealed that procedural correctness often took precedence over cultural engagement. Clinicians adhered strictly to established organizational protocols and general therapeutic frameworks, demonstrating high levels of procedural competence but failing to apply CQ Strategy (planning for cultural interactions) or CQ Action (adapting behavior to different cultural settings) (Van Dyne et al., 2012). This suggests that, while clinicians are well-versed in technical and procedural aspects of care, they may struggle with contextualizing cultural information within real-world practice (Thomas et al., 2008).</w:t>
      </w:r>
    </w:p>
    <w:p w14:paraId="5E502832" w14:textId="77777777" w:rsidR="0069783E" w:rsidRPr="001776BC" w:rsidRDefault="0069783E" w:rsidP="00260930">
      <w:pPr>
        <w:spacing w:after="0" w:line="276" w:lineRule="auto"/>
        <w:jc w:val="both"/>
        <w:rPr>
          <w:rFonts w:ascii="Arial Narrow" w:hAnsi="Arial Narrow"/>
          <w:sz w:val="24"/>
          <w:szCs w:val="24"/>
        </w:rPr>
      </w:pPr>
    </w:p>
    <w:p w14:paraId="20D15B5E" w14:textId="7A4C5B1C"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Additionally, the lack of evidence for CQ Drive—the intrinsic motivation to engage with cultural learning—was also apparent. Few responses reflected a genuine curiosity about clients’ cultural backgrounds, suggesting that awareness alone is insufficient to drive meaningful application of CQ in practice (Ang &amp; Van Dyne, 2015). In some cases, clinicians opted to refer culturally complex cases to other providers rather than addressing them directly. This pattern suggests hesitancy or discomfort in navigating cultural issues, reinforcing previous findings that clinicians may defer cultural engagement rather than expand their own CQ capabilities (Sue et al., 2019).</w:t>
      </w:r>
    </w:p>
    <w:p w14:paraId="0D53A5DC" w14:textId="77777777" w:rsidR="0069783E" w:rsidRPr="001776BC" w:rsidRDefault="0069783E" w:rsidP="00260930">
      <w:pPr>
        <w:spacing w:after="0" w:line="276" w:lineRule="auto"/>
        <w:jc w:val="both"/>
        <w:rPr>
          <w:rFonts w:ascii="Arial Narrow" w:hAnsi="Arial Narrow"/>
          <w:sz w:val="24"/>
          <w:szCs w:val="24"/>
        </w:rPr>
      </w:pPr>
    </w:p>
    <w:p w14:paraId="1AAADB53" w14:textId="4422FD13"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Moreover, some clinicians scored higher on the pretest than on the posttest, indicating that the CQ tutorial did not enhance their ability to apply cultural principles. This may have introduced an external framework that clinicians struggled to integrate with their existing clinical reasoning, a finding consistent with studies on the limitations of didactic cultural competence training (Kumas-Tan et al., 2007). Many post-test responses lacked depth or engagement, raising questions about the perceived value of the CQ tutorial and suggesting that traditional cultural competence training can sometimes feel detached from clinicians’ day-to-day responsibilities (Hook et al., 2013).</w:t>
      </w:r>
    </w:p>
    <w:p w14:paraId="1658F24C" w14:textId="77777777" w:rsidR="0069783E" w:rsidRPr="001776BC" w:rsidRDefault="0069783E" w:rsidP="00260930">
      <w:pPr>
        <w:spacing w:after="0" w:line="276" w:lineRule="auto"/>
        <w:jc w:val="both"/>
        <w:rPr>
          <w:rFonts w:ascii="Arial Narrow" w:hAnsi="Arial Narrow"/>
          <w:sz w:val="24"/>
          <w:szCs w:val="24"/>
        </w:rPr>
      </w:pPr>
    </w:p>
    <w:p w14:paraId="27ACBF25" w14:textId="5D0EA83C"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These findings underscore the need for more interactive, case-based learning approaches that encourage active problem-solving and cultural reflection, rather than passive information consumption (Livermore, 2015). Additionally, addressing CQ Drive by emphasizing the real-world benefits of cultural engagement may be key to fostering greater clinician motivation to apply CQ in practice (Ang &amp; Van Dyne, 2015). The lack of significant statistical improvement, combined with observational findings, suggests that simply providing a tutorial on CQ may not be sufficient to drive behavioral change. Future research should explore alternative instructional methods, such as experiential learning, role-playing, and mentorship-based cultural training, to better equip clinicians with the tools needed to integrate CQ into real-world clinical encounters.</w:t>
      </w:r>
    </w:p>
    <w:p w14:paraId="199DE10E" w14:textId="77777777" w:rsidR="00EA2E7D" w:rsidRPr="001776BC" w:rsidRDefault="00EA2E7D" w:rsidP="00260930">
      <w:pPr>
        <w:spacing w:after="0" w:line="276" w:lineRule="auto"/>
        <w:jc w:val="both"/>
        <w:rPr>
          <w:rFonts w:ascii="Arial Narrow" w:hAnsi="Arial Narrow"/>
          <w:sz w:val="24"/>
          <w:szCs w:val="24"/>
        </w:rPr>
      </w:pPr>
    </w:p>
    <w:p w14:paraId="292DA690" w14:textId="2950BE36" w:rsidR="00B511CB" w:rsidRPr="001776BC" w:rsidRDefault="00B511CB" w:rsidP="00260930">
      <w:pPr>
        <w:spacing w:after="0" w:line="276" w:lineRule="auto"/>
        <w:jc w:val="both"/>
        <w:rPr>
          <w:rFonts w:ascii="Arial Narrow" w:hAnsi="Arial Narrow"/>
          <w:sz w:val="24"/>
          <w:szCs w:val="24"/>
        </w:rPr>
      </w:pPr>
      <w:r w:rsidRPr="001776BC">
        <w:rPr>
          <w:rFonts w:ascii="Arial Narrow" w:hAnsi="Arial Narrow"/>
          <w:sz w:val="24"/>
          <w:szCs w:val="24"/>
        </w:rPr>
        <w:t xml:space="preserve">By integrating both quantitative and qualitative approaches, this study provides a comprehensive understanding of the challenges and opportunities in promoting cultural competence in healthcare. </w:t>
      </w:r>
      <w:r w:rsidRPr="001776BC">
        <w:rPr>
          <w:rFonts w:ascii="Arial Narrow" w:hAnsi="Arial Narrow"/>
          <w:sz w:val="24"/>
          <w:szCs w:val="24"/>
        </w:rPr>
        <w:lastRenderedPageBreak/>
        <w:t>Healthcare organizations must prioritize the consistent implementation and evaluation of culturally competent behaviors to effectively address sociocultural barriers and reduce disparities in care.</w:t>
      </w:r>
    </w:p>
    <w:p w14:paraId="575BBE06" w14:textId="77777777" w:rsidR="00B511CB" w:rsidRPr="001776BC" w:rsidRDefault="00B511CB" w:rsidP="00260930">
      <w:pPr>
        <w:spacing w:after="0" w:line="276" w:lineRule="auto"/>
        <w:rPr>
          <w:rFonts w:ascii="Arial Narrow" w:hAnsi="Arial Narrow"/>
          <w:sz w:val="24"/>
          <w:szCs w:val="24"/>
        </w:rPr>
      </w:pPr>
    </w:p>
    <w:p w14:paraId="7595D29B" w14:textId="77777777" w:rsidR="00B511CB" w:rsidRPr="001776BC" w:rsidRDefault="00B511CB" w:rsidP="00260930">
      <w:pPr>
        <w:spacing w:after="0" w:line="276" w:lineRule="auto"/>
        <w:rPr>
          <w:rFonts w:ascii="Arial Narrow" w:hAnsi="Arial Narrow"/>
          <w:sz w:val="24"/>
          <w:szCs w:val="24"/>
        </w:rPr>
      </w:pPr>
    </w:p>
    <w:p w14:paraId="21C3CB61" w14:textId="77777777" w:rsidR="00EA2E7D" w:rsidRPr="001776BC" w:rsidRDefault="00EA2E7D" w:rsidP="00260930">
      <w:pPr>
        <w:spacing w:after="0" w:line="276" w:lineRule="auto"/>
        <w:rPr>
          <w:rFonts w:ascii="Arial Narrow" w:hAnsi="Arial Narrow"/>
          <w:sz w:val="24"/>
          <w:szCs w:val="24"/>
        </w:rPr>
      </w:pPr>
    </w:p>
    <w:p w14:paraId="1C903C11" w14:textId="51CF88E6" w:rsidR="00B511CB" w:rsidRPr="001776BC" w:rsidRDefault="00B511CB" w:rsidP="00260930">
      <w:pPr>
        <w:spacing w:after="0" w:line="276" w:lineRule="auto"/>
        <w:rPr>
          <w:rFonts w:ascii="Arial Narrow" w:hAnsi="Arial Narrow"/>
          <w:sz w:val="24"/>
          <w:szCs w:val="24"/>
        </w:rPr>
      </w:pPr>
      <w:r w:rsidRPr="001776BC">
        <w:rPr>
          <w:rFonts w:ascii="Arial Narrow" w:hAnsi="Arial Narrow"/>
          <w:sz w:val="24"/>
          <w:szCs w:val="24"/>
        </w:rPr>
        <w:t xml:space="preserve">References  </w:t>
      </w:r>
    </w:p>
    <w:p w14:paraId="4325217D"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Ahn, M. J., &amp; Ettner, L. (2013). Cultural intelligence (CQ) in MBA curricula. </w:t>
      </w:r>
      <w:r w:rsidRPr="001776BC">
        <w:rPr>
          <w:rFonts w:ascii="Arial Narrow" w:hAnsi="Arial Narrow"/>
          <w:i/>
          <w:iCs/>
          <w:sz w:val="24"/>
          <w:szCs w:val="24"/>
        </w:rPr>
        <w:t>Multicultural Education and Technology Journal, 7</w:t>
      </w:r>
      <w:r w:rsidRPr="001776BC">
        <w:rPr>
          <w:rFonts w:ascii="Arial Narrow" w:hAnsi="Arial Narrow"/>
          <w:sz w:val="24"/>
          <w:szCs w:val="24"/>
        </w:rPr>
        <w:t>(4), 4-16.</w:t>
      </w:r>
    </w:p>
    <w:p w14:paraId="02828EE2"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Alexandra, V. (2018). The roles of social complexity belief and perceived contact characteristics in cultural intelligence development among individuals receiving contact-based training. </w:t>
      </w:r>
      <w:r w:rsidRPr="001776BC">
        <w:rPr>
          <w:rFonts w:ascii="Arial Narrow" w:hAnsi="Arial Narrow"/>
          <w:i/>
          <w:iCs/>
          <w:sz w:val="24"/>
          <w:szCs w:val="24"/>
        </w:rPr>
        <w:t>Journal of Cross-Cultural Psychology, 49</w:t>
      </w:r>
      <w:r w:rsidRPr="001776BC">
        <w:rPr>
          <w:rFonts w:ascii="Arial Narrow" w:hAnsi="Arial Narrow"/>
          <w:sz w:val="24"/>
          <w:szCs w:val="24"/>
        </w:rPr>
        <w:t>(9), 1283-1301.</w:t>
      </w:r>
    </w:p>
    <w:p w14:paraId="65B018BD"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Alizadeh, S., &amp; Chavan, M. (2015). Cultural competence dimensions and outcomes: A systematic review of the literature. </w:t>
      </w:r>
      <w:r w:rsidRPr="001776BC">
        <w:rPr>
          <w:rFonts w:ascii="Arial Narrow" w:hAnsi="Arial Narrow"/>
          <w:i/>
          <w:iCs/>
          <w:sz w:val="24"/>
          <w:szCs w:val="24"/>
        </w:rPr>
        <w:t>International Journal of Intercultural Relations, 49</w:t>
      </w:r>
      <w:r w:rsidRPr="001776BC">
        <w:rPr>
          <w:rFonts w:ascii="Arial Narrow" w:hAnsi="Arial Narrow"/>
          <w:sz w:val="24"/>
          <w:szCs w:val="24"/>
        </w:rPr>
        <w:t>, 29–48.</w:t>
      </w:r>
    </w:p>
    <w:p w14:paraId="2FB2040C"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Ang, S., &amp; Inkpen, A. C. (2008). Cultural intelligence and offshore outsourcing success: A framework of firm-level intercultural capability. </w:t>
      </w:r>
      <w:r w:rsidRPr="001776BC">
        <w:rPr>
          <w:rFonts w:ascii="Arial Narrow" w:hAnsi="Arial Narrow"/>
          <w:i/>
          <w:iCs/>
          <w:sz w:val="24"/>
          <w:szCs w:val="24"/>
        </w:rPr>
        <w:t>Decision Science, 39</w:t>
      </w:r>
      <w:r w:rsidRPr="001776BC">
        <w:rPr>
          <w:rFonts w:ascii="Arial Narrow" w:hAnsi="Arial Narrow"/>
          <w:sz w:val="24"/>
          <w:szCs w:val="24"/>
        </w:rPr>
        <w:t>(3), 337–358.</w:t>
      </w:r>
    </w:p>
    <w:p w14:paraId="5B5214BA"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Ang, S., &amp; Van Dyne, L. (2015). </w:t>
      </w:r>
      <w:r w:rsidRPr="001776BC">
        <w:rPr>
          <w:rFonts w:ascii="Arial Narrow" w:hAnsi="Arial Narrow"/>
          <w:i/>
          <w:iCs/>
          <w:sz w:val="24"/>
          <w:szCs w:val="24"/>
        </w:rPr>
        <w:t>Handbook of cultural intelligence: Theory, measurement, and applications</w:t>
      </w:r>
      <w:r w:rsidRPr="001776BC">
        <w:rPr>
          <w:rFonts w:ascii="Arial Narrow" w:hAnsi="Arial Narrow"/>
          <w:sz w:val="24"/>
          <w:szCs w:val="24"/>
        </w:rPr>
        <w:t>. Routledge.</w:t>
      </w:r>
    </w:p>
    <w:p w14:paraId="76F211A3"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Ang, S., Van Dyne, L., Koh, C., Ng, K. Y., Templer, K. J., Tay, C., &amp; Chandrasekar, N. A. (2007). Cultural intelligence: Its measurement and effects on cultural judgment and decision-making, cultural adaptation, and task performance. </w:t>
      </w:r>
      <w:r w:rsidRPr="001776BC">
        <w:rPr>
          <w:rFonts w:ascii="Arial Narrow" w:hAnsi="Arial Narrow"/>
          <w:i/>
          <w:iCs/>
          <w:sz w:val="24"/>
          <w:szCs w:val="24"/>
        </w:rPr>
        <w:t>Management and Organization Review, 3</w:t>
      </w:r>
      <w:r w:rsidRPr="001776BC">
        <w:rPr>
          <w:rFonts w:ascii="Arial Narrow" w:hAnsi="Arial Narrow"/>
          <w:sz w:val="24"/>
          <w:szCs w:val="24"/>
        </w:rPr>
        <w:t>(3), 335–371.</w:t>
      </w:r>
    </w:p>
    <w:p w14:paraId="3F9B93E6"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Braun, V., &amp; Clarke, V. (2006). Using thematic analysis in psychology. </w:t>
      </w:r>
      <w:r w:rsidRPr="001776BC">
        <w:rPr>
          <w:rFonts w:ascii="Arial Narrow" w:hAnsi="Arial Narrow"/>
          <w:i/>
          <w:iCs/>
          <w:sz w:val="24"/>
          <w:szCs w:val="24"/>
        </w:rPr>
        <w:t>Qualitative Research in Psychology, 3</w:t>
      </w:r>
      <w:r w:rsidRPr="001776BC">
        <w:rPr>
          <w:rFonts w:ascii="Arial Narrow" w:hAnsi="Arial Narrow"/>
          <w:sz w:val="24"/>
          <w:szCs w:val="24"/>
        </w:rPr>
        <w:t>(2), 77-101. https://doi.org/10.1191/1478088706qp063oa</w:t>
      </w:r>
    </w:p>
    <w:p w14:paraId="4E85B7CB"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 xml:space="preserve">Cipta, D. A., </w:t>
      </w:r>
      <w:proofErr w:type="spellStart"/>
      <w:r w:rsidRPr="001776BC">
        <w:rPr>
          <w:rFonts w:ascii="Arial Narrow" w:hAnsi="Arial Narrow"/>
          <w:sz w:val="24"/>
          <w:szCs w:val="24"/>
        </w:rPr>
        <w:t>Andoko</w:t>
      </w:r>
      <w:proofErr w:type="spellEnd"/>
      <w:r w:rsidRPr="001776BC">
        <w:rPr>
          <w:rFonts w:ascii="Arial Narrow" w:hAnsi="Arial Narrow"/>
          <w:sz w:val="24"/>
          <w:szCs w:val="24"/>
        </w:rPr>
        <w:t xml:space="preserve">, D., </w:t>
      </w:r>
      <w:proofErr w:type="spellStart"/>
      <w:r w:rsidRPr="001776BC">
        <w:rPr>
          <w:rFonts w:ascii="Arial Narrow" w:hAnsi="Arial Narrow"/>
          <w:sz w:val="24"/>
          <w:szCs w:val="24"/>
        </w:rPr>
        <w:t>Theja</w:t>
      </w:r>
      <w:proofErr w:type="spellEnd"/>
      <w:r w:rsidRPr="001776BC">
        <w:rPr>
          <w:rFonts w:ascii="Arial Narrow" w:hAnsi="Arial Narrow"/>
          <w:sz w:val="24"/>
          <w:szCs w:val="24"/>
        </w:rPr>
        <w:t xml:space="preserve">, A., Utama, A. V. E., Hendrik, H., William, D. G., Reina, N., Handoko, M. T., &amp; </w:t>
      </w:r>
      <w:proofErr w:type="spellStart"/>
      <w:r w:rsidRPr="001776BC">
        <w:rPr>
          <w:rFonts w:ascii="Arial Narrow" w:hAnsi="Arial Narrow"/>
          <w:sz w:val="24"/>
          <w:szCs w:val="24"/>
        </w:rPr>
        <w:t>Lumbuun</w:t>
      </w:r>
      <w:proofErr w:type="spellEnd"/>
      <w:r w:rsidRPr="001776BC">
        <w:rPr>
          <w:rFonts w:ascii="Arial Narrow" w:hAnsi="Arial Narrow"/>
          <w:sz w:val="24"/>
          <w:szCs w:val="24"/>
        </w:rPr>
        <w:t>, N. (2024). Culturally sensitive patient-centered healthcare: A focus on health behavior modification in low and middle-income nations—insights from Indonesia. </w:t>
      </w:r>
      <w:r w:rsidRPr="001776BC">
        <w:rPr>
          <w:rFonts w:ascii="Arial Narrow" w:hAnsi="Arial Narrow"/>
          <w:i/>
          <w:iCs/>
          <w:sz w:val="24"/>
          <w:szCs w:val="24"/>
        </w:rPr>
        <w:t>Frontiers in Medicine, 11</w:t>
      </w:r>
      <w:r w:rsidRPr="001776BC">
        <w:rPr>
          <w:rFonts w:ascii="Arial Narrow" w:hAnsi="Arial Narrow"/>
          <w:sz w:val="24"/>
          <w:szCs w:val="24"/>
        </w:rPr>
        <w:t>. https://doi.org/10.3389/fmed.2024.1353037</w:t>
      </w:r>
    </w:p>
    <w:p w14:paraId="7AE8CD65"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Chowdhury, S., et al. (2022). Person-centered care and cultural competence in healthcare: A strategy for reducing racial disparities. </w:t>
      </w:r>
      <w:r w:rsidRPr="001776BC">
        <w:rPr>
          <w:rFonts w:ascii="Arial Narrow" w:hAnsi="Arial Narrow"/>
          <w:i/>
          <w:iCs/>
          <w:sz w:val="24"/>
          <w:szCs w:val="24"/>
        </w:rPr>
        <w:t>Journal of Healthcare Management, 67</w:t>
      </w:r>
      <w:r w:rsidRPr="001776BC">
        <w:rPr>
          <w:rFonts w:ascii="Arial Narrow" w:hAnsi="Arial Narrow"/>
          <w:sz w:val="24"/>
          <w:szCs w:val="24"/>
        </w:rPr>
        <w:t>(2), 123–135.</w:t>
      </w:r>
    </w:p>
    <w:p w14:paraId="501C960C"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Connor, S. L., &amp; Wilson, R. (2006). It’s important they learn from us for mental health to progress. </w:t>
      </w:r>
      <w:r w:rsidRPr="001776BC">
        <w:rPr>
          <w:rFonts w:ascii="Arial Narrow" w:hAnsi="Arial Narrow"/>
          <w:i/>
          <w:iCs/>
          <w:sz w:val="24"/>
          <w:szCs w:val="24"/>
        </w:rPr>
        <w:t>Journal of Mental Health, 15</w:t>
      </w:r>
      <w:r w:rsidRPr="001776BC">
        <w:rPr>
          <w:rFonts w:ascii="Arial Narrow" w:hAnsi="Arial Narrow"/>
          <w:sz w:val="24"/>
          <w:szCs w:val="24"/>
        </w:rPr>
        <w:t>(4), 461–474.</w:t>
      </w:r>
    </w:p>
    <w:p w14:paraId="73B53C06"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Creswell, J. W. (2014). </w:t>
      </w:r>
      <w:r w:rsidRPr="001776BC">
        <w:rPr>
          <w:rFonts w:ascii="Arial Narrow" w:hAnsi="Arial Narrow"/>
          <w:i/>
          <w:iCs/>
          <w:sz w:val="24"/>
          <w:szCs w:val="24"/>
        </w:rPr>
        <w:t xml:space="preserve">Research design: Qualitative, quantitative, and mixed methods </w:t>
      </w:r>
      <w:proofErr w:type="gramStart"/>
      <w:r w:rsidRPr="001776BC">
        <w:rPr>
          <w:rFonts w:ascii="Arial Narrow" w:hAnsi="Arial Narrow"/>
          <w:i/>
          <w:iCs/>
          <w:sz w:val="24"/>
          <w:szCs w:val="24"/>
        </w:rPr>
        <w:t>approaches</w:t>
      </w:r>
      <w:proofErr w:type="gramEnd"/>
      <w:r w:rsidRPr="001776BC">
        <w:rPr>
          <w:rFonts w:ascii="Arial Narrow" w:hAnsi="Arial Narrow"/>
          <w:sz w:val="24"/>
          <w:szCs w:val="24"/>
        </w:rPr>
        <w:t> (4th ed.). SAGE Publications, Inc.</w:t>
      </w:r>
    </w:p>
    <w:p w14:paraId="0ACCA114"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Cross, T., et al. (1989). Toward a culturally competent system of care. </w:t>
      </w:r>
      <w:r w:rsidRPr="001776BC">
        <w:rPr>
          <w:rFonts w:ascii="Arial Narrow" w:hAnsi="Arial Narrow"/>
          <w:i/>
          <w:iCs/>
          <w:sz w:val="24"/>
          <w:szCs w:val="24"/>
        </w:rPr>
        <w:t>Journal of Health Care for the Poor and Underserved, 1</w:t>
      </w:r>
      <w:r w:rsidRPr="001776BC">
        <w:rPr>
          <w:rFonts w:ascii="Arial Narrow" w:hAnsi="Arial Narrow"/>
          <w:sz w:val="24"/>
          <w:szCs w:val="24"/>
        </w:rPr>
        <w:t>(1), 19–26.</w:t>
      </w:r>
    </w:p>
    <w:p w14:paraId="674C2925"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DeAngelis, T. (2024). Fighting stigma by mental health providers toward patients. APA.org. Retrieved from https://www.apa.org/monitor/2024/07/stigma-against-patients</w:t>
      </w:r>
    </w:p>
    <w:p w14:paraId="6FD36913"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Earley, P. C., &amp; Ang, S. (2003). </w:t>
      </w:r>
      <w:r w:rsidRPr="001776BC">
        <w:rPr>
          <w:rFonts w:ascii="Arial Narrow" w:hAnsi="Arial Narrow"/>
          <w:i/>
          <w:iCs/>
          <w:sz w:val="24"/>
          <w:szCs w:val="24"/>
        </w:rPr>
        <w:t>Cultural intelligence: Individual interactions across cultures</w:t>
      </w:r>
      <w:r w:rsidRPr="001776BC">
        <w:rPr>
          <w:rFonts w:ascii="Arial Narrow" w:hAnsi="Arial Narrow"/>
          <w:sz w:val="24"/>
          <w:szCs w:val="24"/>
        </w:rPr>
        <w:t>. Stanford University Press.</w:t>
      </w:r>
    </w:p>
    <w:p w14:paraId="1C72E8AD"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Earley, P. C., &amp; Mosakowski, E. (2004). Cultural intelligence. </w:t>
      </w:r>
      <w:r w:rsidRPr="001776BC">
        <w:rPr>
          <w:rFonts w:ascii="Arial Narrow" w:hAnsi="Arial Narrow"/>
          <w:i/>
          <w:iCs/>
          <w:sz w:val="24"/>
          <w:szCs w:val="24"/>
        </w:rPr>
        <w:t>Harvard Business Review, 82</w:t>
      </w:r>
      <w:r w:rsidRPr="001776BC">
        <w:rPr>
          <w:rFonts w:ascii="Arial Narrow" w:hAnsi="Arial Narrow"/>
          <w:sz w:val="24"/>
          <w:szCs w:val="24"/>
        </w:rPr>
        <w:t>(10), 139–146.</w:t>
      </w:r>
    </w:p>
    <w:p w14:paraId="7F55088A"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Earley, P. C., &amp; Peterson, R. S. (2018). Chameleon: Cultural intelligence as a new approach to intercultural training for the global manager. </w:t>
      </w:r>
      <w:r w:rsidRPr="001776BC">
        <w:rPr>
          <w:rFonts w:ascii="Arial Narrow" w:hAnsi="Arial Narrow"/>
          <w:i/>
          <w:iCs/>
          <w:sz w:val="24"/>
          <w:szCs w:val="24"/>
        </w:rPr>
        <w:t>Academy of Management Learning &amp; Education, 3</w:t>
      </w:r>
      <w:r w:rsidRPr="001776BC">
        <w:rPr>
          <w:rFonts w:ascii="Arial Narrow" w:hAnsi="Arial Narrow"/>
          <w:sz w:val="24"/>
          <w:szCs w:val="24"/>
        </w:rPr>
        <w:t>(1), 100–115.</w:t>
      </w:r>
    </w:p>
    <w:p w14:paraId="7C359236"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lastRenderedPageBreak/>
        <w:t>Easterbrook, S. (2017). The therapeutic alliance: Foundations of trust in therapy. </w:t>
      </w:r>
      <w:r w:rsidRPr="001776BC">
        <w:rPr>
          <w:rFonts w:ascii="Arial Narrow" w:hAnsi="Arial Narrow"/>
          <w:i/>
          <w:iCs/>
          <w:sz w:val="24"/>
          <w:szCs w:val="24"/>
        </w:rPr>
        <w:t>Journal of Psychotherapy Integration, 27</w:t>
      </w:r>
      <w:r w:rsidRPr="001776BC">
        <w:rPr>
          <w:rFonts w:ascii="Arial Narrow" w:hAnsi="Arial Narrow"/>
          <w:sz w:val="24"/>
          <w:szCs w:val="24"/>
        </w:rPr>
        <w:t>(3), 201–215.</w:t>
      </w:r>
    </w:p>
    <w:p w14:paraId="2E371A07"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Fleiss, J. L. (1971). Measuring nominal scale agreement among many raters. </w:t>
      </w:r>
      <w:r w:rsidRPr="001776BC">
        <w:rPr>
          <w:rFonts w:ascii="Arial Narrow" w:hAnsi="Arial Narrow"/>
          <w:i/>
          <w:iCs/>
          <w:sz w:val="24"/>
          <w:szCs w:val="24"/>
        </w:rPr>
        <w:t>Psychological Bulletin, 76</w:t>
      </w:r>
      <w:r w:rsidRPr="001776BC">
        <w:rPr>
          <w:rFonts w:ascii="Arial Narrow" w:hAnsi="Arial Narrow"/>
          <w:sz w:val="24"/>
          <w:szCs w:val="24"/>
        </w:rPr>
        <w:t>(5), 378-382. https://doi.org/10.1037/h0031619</w:t>
      </w:r>
    </w:p>
    <w:p w14:paraId="12EE547D"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Goffman, E. (1963). </w:t>
      </w:r>
      <w:r w:rsidRPr="001776BC">
        <w:rPr>
          <w:rFonts w:ascii="Arial Narrow" w:hAnsi="Arial Narrow"/>
          <w:i/>
          <w:iCs/>
          <w:sz w:val="24"/>
          <w:szCs w:val="24"/>
        </w:rPr>
        <w:t>Stigma: Notes on the management of spoiled identity</w:t>
      </w:r>
      <w:r w:rsidRPr="001776BC">
        <w:rPr>
          <w:rFonts w:ascii="Arial Narrow" w:hAnsi="Arial Narrow"/>
          <w:sz w:val="24"/>
          <w:szCs w:val="24"/>
        </w:rPr>
        <w:t>. Prentice Hall.</w:t>
      </w:r>
    </w:p>
    <w:p w14:paraId="5C2BFFFF"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Govere, L., &amp; Govere, E. M. (2016). How effective is cultural competence training of healthcare providers on improving patient satisfaction of minority groups? A systematic review of literature. </w:t>
      </w:r>
      <w:r w:rsidRPr="001776BC">
        <w:rPr>
          <w:rFonts w:ascii="Arial Narrow" w:hAnsi="Arial Narrow"/>
          <w:i/>
          <w:iCs/>
          <w:sz w:val="24"/>
          <w:szCs w:val="24"/>
        </w:rPr>
        <w:t>Worldviews on Evidence-Based Nursing, 13</w:t>
      </w:r>
      <w:r w:rsidRPr="001776BC">
        <w:rPr>
          <w:rFonts w:ascii="Arial Narrow" w:hAnsi="Arial Narrow"/>
          <w:sz w:val="24"/>
          <w:szCs w:val="24"/>
        </w:rPr>
        <w:t>(6), 402–410. https://doi.org/10.1111/wvn.12176</w:t>
      </w:r>
    </w:p>
    <w:p w14:paraId="1F08C982"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Hamilton, S., Pinfold, V., Cotney, J., et al. (2016). Qualitative analysis of mental health service users’ reported experiences of discrimination. </w:t>
      </w:r>
      <w:r w:rsidRPr="001776BC">
        <w:rPr>
          <w:rFonts w:ascii="Arial Narrow" w:hAnsi="Arial Narrow"/>
          <w:i/>
          <w:iCs/>
          <w:sz w:val="24"/>
          <w:szCs w:val="24"/>
        </w:rPr>
        <w:t xml:space="preserve">Acta </w:t>
      </w:r>
      <w:proofErr w:type="spellStart"/>
      <w:r w:rsidRPr="001776BC">
        <w:rPr>
          <w:rFonts w:ascii="Arial Narrow" w:hAnsi="Arial Narrow"/>
          <w:i/>
          <w:iCs/>
          <w:sz w:val="24"/>
          <w:szCs w:val="24"/>
        </w:rPr>
        <w:t>Psychiatrica</w:t>
      </w:r>
      <w:proofErr w:type="spellEnd"/>
      <w:r w:rsidRPr="001776BC">
        <w:rPr>
          <w:rFonts w:ascii="Arial Narrow" w:hAnsi="Arial Narrow"/>
          <w:i/>
          <w:iCs/>
          <w:sz w:val="24"/>
          <w:szCs w:val="24"/>
        </w:rPr>
        <w:t xml:space="preserve"> Scandinavica, 134</w:t>
      </w:r>
      <w:r w:rsidRPr="001776BC">
        <w:rPr>
          <w:rFonts w:ascii="Arial Narrow" w:hAnsi="Arial Narrow"/>
          <w:sz w:val="24"/>
          <w:szCs w:val="24"/>
        </w:rPr>
        <w:t>(suppl 446), 14–22. https://doi.org/10.1111/acps.12611</w:t>
      </w:r>
    </w:p>
    <w:p w14:paraId="2F273AF9"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Hallgren, K. A. (2012). Computing inter-rater reliability for observational data: An overview and tutorial. </w:t>
      </w:r>
      <w:r w:rsidRPr="001776BC">
        <w:rPr>
          <w:rFonts w:ascii="Arial Narrow" w:hAnsi="Arial Narrow"/>
          <w:i/>
          <w:iCs/>
          <w:sz w:val="24"/>
          <w:szCs w:val="24"/>
        </w:rPr>
        <w:t>Tutorials in Quantitative Methods for Psychology, 8</w:t>
      </w:r>
      <w:r w:rsidRPr="001776BC">
        <w:rPr>
          <w:rFonts w:ascii="Arial Narrow" w:hAnsi="Arial Narrow"/>
          <w:sz w:val="24"/>
          <w:szCs w:val="24"/>
        </w:rPr>
        <w:t>(1), 23-34. https://doi.org/10.20982/tqmp.08.1.p023</w:t>
      </w:r>
    </w:p>
    <w:p w14:paraId="0F0E2585" w14:textId="77777777" w:rsidR="008074DF" w:rsidRPr="001776BC" w:rsidRDefault="008074DF" w:rsidP="00260930">
      <w:pPr>
        <w:spacing w:after="0" w:line="276" w:lineRule="auto"/>
        <w:rPr>
          <w:rFonts w:ascii="Arial Narrow" w:hAnsi="Arial Narrow"/>
          <w:sz w:val="24"/>
          <w:szCs w:val="24"/>
        </w:rPr>
      </w:pPr>
      <w:proofErr w:type="spellStart"/>
      <w:r w:rsidRPr="001776BC">
        <w:rPr>
          <w:rFonts w:ascii="Arial Narrow" w:hAnsi="Arial Narrow"/>
          <w:sz w:val="24"/>
          <w:szCs w:val="24"/>
        </w:rPr>
        <w:t>Handtke</w:t>
      </w:r>
      <w:proofErr w:type="spellEnd"/>
      <w:r w:rsidRPr="001776BC">
        <w:rPr>
          <w:rFonts w:ascii="Arial Narrow" w:hAnsi="Arial Narrow"/>
          <w:sz w:val="24"/>
          <w:szCs w:val="24"/>
        </w:rPr>
        <w:t xml:space="preserve">, O., Schilgen, B., &amp; </w:t>
      </w:r>
      <w:proofErr w:type="spellStart"/>
      <w:r w:rsidRPr="001776BC">
        <w:rPr>
          <w:rFonts w:ascii="Arial Narrow" w:hAnsi="Arial Narrow"/>
          <w:sz w:val="24"/>
          <w:szCs w:val="24"/>
        </w:rPr>
        <w:t>Mösko</w:t>
      </w:r>
      <w:proofErr w:type="spellEnd"/>
      <w:r w:rsidRPr="001776BC">
        <w:rPr>
          <w:rFonts w:ascii="Arial Narrow" w:hAnsi="Arial Narrow"/>
          <w:sz w:val="24"/>
          <w:szCs w:val="24"/>
        </w:rPr>
        <w:t>, M. (2019). Culturally competent healthcare – A scoping review of strategies implemented in healthcare organizations and a model of culturally competent healthcare provision. </w:t>
      </w:r>
      <w:r w:rsidRPr="001776BC">
        <w:rPr>
          <w:rFonts w:ascii="Arial Narrow" w:hAnsi="Arial Narrow"/>
          <w:i/>
          <w:iCs/>
          <w:sz w:val="24"/>
          <w:szCs w:val="24"/>
        </w:rPr>
        <w:t>PLOS ONE, 14</w:t>
      </w:r>
      <w:r w:rsidRPr="001776BC">
        <w:rPr>
          <w:rFonts w:ascii="Arial Narrow" w:hAnsi="Arial Narrow"/>
          <w:sz w:val="24"/>
          <w:szCs w:val="24"/>
        </w:rPr>
        <w:t>(7), 1–24. https://doi.org/10.1371/journal.pone.0219971</w:t>
      </w:r>
    </w:p>
    <w:p w14:paraId="2CC22899" w14:textId="77777777" w:rsidR="008074DF" w:rsidRPr="001776BC" w:rsidRDefault="008074DF" w:rsidP="00260930">
      <w:pPr>
        <w:spacing w:after="0" w:line="276" w:lineRule="auto"/>
        <w:rPr>
          <w:rFonts w:ascii="Arial Narrow" w:hAnsi="Arial Narrow"/>
          <w:sz w:val="24"/>
          <w:szCs w:val="24"/>
        </w:rPr>
      </w:pPr>
      <w:r w:rsidRPr="001776BC">
        <w:rPr>
          <w:rFonts w:ascii="Arial Narrow" w:hAnsi="Arial Narrow"/>
          <w:sz w:val="24"/>
          <w:szCs w:val="24"/>
        </w:rPr>
        <w:t>Hook, J. N., Davis, D. E., Owen, J., Worthington, E. L., &amp; Utsey, S. O. (2013). Cultural humility: Measuring openness to culturally diverse clients. </w:t>
      </w:r>
      <w:r w:rsidRPr="001776BC">
        <w:rPr>
          <w:rFonts w:ascii="Arial Narrow" w:hAnsi="Arial Narrow"/>
          <w:i/>
          <w:iCs/>
          <w:sz w:val="24"/>
          <w:szCs w:val="24"/>
        </w:rPr>
        <w:t>Journal of Counseling Psychology, 60</w:t>
      </w:r>
      <w:r w:rsidRPr="001776BC">
        <w:rPr>
          <w:rFonts w:ascii="Arial Narrow" w:hAnsi="Arial Narrow"/>
          <w:sz w:val="24"/>
          <w:szCs w:val="24"/>
        </w:rPr>
        <w:t>(3), 353–366. https://doi.org/10.1037/a0032595</w:t>
      </w:r>
    </w:p>
    <w:p w14:paraId="6EA9F1DF"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 xml:space="preserve">Knaak, S., </w:t>
      </w:r>
      <w:proofErr w:type="spellStart"/>
      <w:r w:rsidRPr="001776BC">
        <w:rPr>
          <w:rFonts w:ascii="Arial Narrow" w:hAnsi="Arial Narrow"/>
          <w:sz w:val="24"/>
          <w:szCs w:val="24"/>
        </w:rPr>
        <w:t>Mantler</w:t>
      </w:r>
      <w:proofErr w:type="spellEnd"/>
      <w:r w:rsidRPr="001776BC">
        <w:rPr>
          <w:rFonts w:ascii="Arial Narrow" w:hAnsi="Arial Narrow"/>
          <w:sz w:val="24"/>
          <w:szCs w:val="24"/>
        </w:rPr>
        <w:t>, E., &amp; Szeto, A. (2017). Mental illness-related stigma in healthcare: Barriers to access and care and evidence-based solutions. </w:t>
      </w:r>
      <w:r w:rsidRPr="001776BC">
        <w:rPr>
          <w:rFonts w:ascii="Arial Narrow" w:hAnsi="Arial Narrow"/>
          <w:i/>
          <w:iCs/>
          <w:sz w:val="24"/>
          <w:szCs w:val="24"/>
        </w:rPr>
        <w:t>Healthcare Management Forum, 30</w:t>
      </w:r>
      <w:r w:rsidRPr="001776BC">
        <w:rPr>
          <w:rFonts w:ascii="Arial Narrow" w:hAnsi="Arial Narrow"/>
          <w:sz w:val="24"/>
          <w:szCs w:val="24"/>
        </w:rPr>
        <w:t>(2), 111–116. https://doi.org/10.1177/0840470416679413</w:t>
      </w:r>
    </w:p>
    <w:p w14:paraId="08B0EB68"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 xml:space="preserve">Kumas-Tan, Z., Beagan, B., </w:t>
      </w:r>
      <w:proofErr w:type="spellStart"/>
      <w:r w:rsidRPr="001776BC">
        <w:rPr>
          <w:rFonts w:ascii="Arial Narrow" w:hAnsi="Arial Narrow"/>
          <w:sz w:val="24"/>
          <w:szCs w:val="24"/>
        </w:rPr>
        <w:t>Loppie</w:t>
      </w:r>
      <w:proofErr w:type="spellEnd"/>
      <w:r w:rsidRPr="001776BC">
        <w:rPr>
          <w:rFonts w:ascii="Arial Narrow" w:hAnsi="Arial Narrow"/>
          <w:sz w:val="24"/>
          <w:szCs w:val="24"/>
        </w:rPr>
        <w:t>, C., MacLeod, A., &amp; Frank, B. (2007). Measures of cultural competence: Examining hidden assumptions. </w:t>
      </w:r>
      <w:r w:rsidRPr="001776BC">
        <w:rPr>
          <w:rFonts w:ascii="Arial Narrow" w:hAnsi="Arial Narrow"/>
          <w:i/>
          <w:iCs/>
          <w:sz w:val="24"/>
          <w:szCs w:val="24"/>
        </w:rPr>
        <w:t>Academic Medicine, 82</w:t>
      </w:r>
      <w:r w:rsidRPr="001776BC">
        <w:rPr>
          <w:rFonts w:ascii="Arial Narrow" w:hAnsi="Arial Narrow"/>
          <w:sz w:val="24"/>
          <w:szCs w:val="24"/>
        </w:rPr>
        <w:t>(6), 548–557. https://doi.org/10.1097/ACM.0b013e3180555a2d</w:t>
      </w:r>
    </w:p>
    <w:p w14:paraId="06439DC5"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Landis, J. R., &amp; Koch, G. G. (1977). The measurement of observer agreement for categorical data. </w:t>
      </w:r>
      <w:r w:rsidRPr="001776BC">
        <w:rPr>
          <w:rFonts w:ascii="Arial Narrow" w:hAnsi="Arial Narrow"/>
          <w:i/>
          <w:iCs/>
          <w:sz w:val="24"/>
          <w:szCs w:val="24"/>
        </w:rPr>
        <w:t>Biometrics, 33</w:t>
      </w:r>
      <w:r w:rsidRPr="001776BC">
        <w:rPr>
          <w:rFonts w:ascii="Arial Narrow" w:hAnsi="Arial Narrow"/>
          <w:sz w:val="24"/>
          <w:szCs w:val="24"/>
        </w:rPr>
        <w:t>(1), 159-174. https://doi.org/10.2307/2529310</w:t>
      </w:r>
    </w:p>
    <w:p w14:paraId="6B084FC0"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Link, B. G., &amp; Phelan, J. C. (2001). Conceptualizing stigma. </w:t>
      </w:r>
      <w:r w:rsidRPr="001776BC">
        <w:rPr>
          <w:rFonts w:ascii="Arial Narrow" w:hAnsi="Arial Narrow"/>
          <w:i/>
          <w:iCs/>
          <w:sz w:val="24"/>
          <w:szCs w:val="24"/>
        </w:rPr>
        <w:t>Annual Review of Sociology, 27</w:t>
      </w:r>
      <w:r w:rsidRPr="001776BC">
        <w:rPr>
          <w:rFonts w:ascii="Arial Narrow" w:hAnsi="Arial Narrow"/>
          <w:sz w:val="24"/>
          <w:szCs w:val="24"/>
        </w:rPr>
        <w:t>(1), 363–385.</w:t>
      </w:r>
    </w:p>
    <w:p w14:paraId="38E87A01"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Livermore, D. (2015). </w:t>
      </w:r>
      <w:r w:rsidRPr="001776BC">
        <w:rPr>
          <w:rFonts w:ascii="Arial Narrow" w:hAnsi="Arial Narrow"/>
          <w:i/>
          <w:iCs/>
          <w:sz w:val="24"/>
          <w:szCs w:val="24"/>
        </w:rPr>
        <w:t>Leading with cultural intelligence: The real secret to success</w:t>
      </w:r>
      <w:r w:rsidRPr="001776BC">
        <w:rPr>
          <w:rFonts w:ascii="Arial Narrow" w:hAnsi="Arial Narrow"/>
          <w:sz w:val="24"/>
          <w:szCs w:val="24"/>
        </w:rPr>
        <w:t>. AMACOM.</w:t>
      </w:r>
    </w:p>
    <w:p w14:paraId="499D3894"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Livingston, J. D. (2013). Mental illness-related structural stigma: The downward spiral of systemic exclusion. Mental Health Commission of Canada. Retrieved from http://www.mentalhealthcommission.ca</w:t>
      </w:r>
    </w:p>
    <w:p w14:paraId="2F9052CB"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Matsumoto, D., &amp; Hwang, H. C. (2013). Assessing cross-cultural competence: A review of available tests. </w:t>
      </w:r>
      <w:r w:rsidRPr="001776BC">
        <w:rPr>
          <w:rFonts w:ascii="Arial Narrow" w:hAnsi="Arial Narrow"/>
          <w:i/>
          <w:iCs/>
          <w:sz w:val="24"/>
          <w:szCs w:val="24"/>
        </w:rPr>
        <w:t>Journal of Cross-Cultural Psychology, 44</w:t>
      </w:r>
      <w:r w:rsidRPr="001776BC">
        <w:rPr>
          <w:rFonts w:ascii="Arial Narrow" w:hAnsi="Arial Narrow"/>
          <w:sz w:val="24"/>
          <w:szCs w:val="24"/>
        </w:rPr>
        <w:t>(6), 849-873.</w:t>
      </w:r>
    </w:p>
    <w:p w14:paraId="4EC50518" w14:textId="1F0DCF03"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McHugh, M. L. (2012). Interrater reliability: The Kappa statistic. </w:t>
      </w:r>
      <w:proofErr w:type="spellStart"/>
      <w:r w:rsidRPr="001776BC">
        <w:rPr>
          <w:rFonts w:ascii="Arial Narrow" w:hAnsi="Arial Narrow"/>
          <w:i/>
          <w:iCs/>
          <w:sz w:val="24"/>
          <w:szCs w:val="24"/>
        </w:rPr>
        <w:t>Biochemia</w:t>
      </w:r>
      <w:proofErr w:type="spellEnd"/>
      <w:r w:rsidRPr="001776BC">
        <w:rPr>
          <w:rFonts w:ascii="Arial Narrow" w:hAnsi="Arial Narrow"/>
          <w:i/>
          <w:iCs/>
          <w:sz w:val="24"/>
          <w:szCs w:val="24"/>
        </w:rPr>
        <w:t xml:space="preserve"> Medica, 22</w:t>
      </w:r>
      <w:r w:rsidRPr="001776BC">
        <w:rPr>
          <w:rFonts w:ascii="Arial Narrow" w:hAnsi="Arial Narrow"/>
          <w:sz w:val="24"/>
          <w:szCs w:val="24"/>
        </w:rPr>
        <w:t>(3), 276-282. </w:t>
      </w:r>
      <w:hyperlink r:id="rId5" w:history="1">
        <w:r w:rsidRPr="001776BC">
          <w:rPr>
            <w:rStyle w:val="Hyperlink"/>
            <w:rFonts w:ascii="Arial Narrow" w:hAnsi="Arial Narrow"/>
            <w:sz w:val="24"/>
            <w:szCs w:val="24"/>
          </w:rPr>
          <w:t>https://doi.org/10.11613/BM.2012.031</w:t>
        </w:r>
      </w:hyperlink>
    </w:p>
    <w:p w14:paraId="6B25F415" w14:textId="77777777" w:rsidR="001565EC" w:rsidRPr="001776BC" w:rsidRDefault="001565EC" w:rsidP="00260930">
      <w:pPr>
        <w:spacing w:after="0" w:line="276" w:lineRule="auto"/>
        <w:rPr>
          <w:rFonts w:ascii="Arial Narrow" w:hAnsi="Arial Narrow"/>
          <w:sz w:val="24"/>
          <w:szCs w:val="24"/>
        </w:rPr>
      </w:pPr>
      <w:proofErr w:type="spellStart"/>
      <w:r w:rsidRPr="001776BC">
        <w:rPr>
          <w:rFonts w:ascii="Arial Narrow" w:hAnsi="Arial Narrow"/>
          <w:sz w:val="24"/>
          <w:szCs w:val="24"/>
        </w:rPr>
        <w:t>Ongen</w:t>
      </w:r>
      <w:proofErr w:type="spellEnd"/>
      <w:r w:rsidRPr="001776BC">
        <w:rPr>
          <w:rFonts w:ascii="Arial Narrow" w:hAnsi="Arial Narrow"/>
          <w:sz w:val="24"/>
          <w:szCs w:val="24"/>
        </w:rPr>
        <w:t>, C., McCalman, J., &amp; Bainbridge, R. (2019). Health workforce cultural competency interventions: A systematic scoping review. </w:t>
      </w:r>
      <w:r w:rsidRPr="001776BC">
        <w:rPr>
          <w:rFonts w:ascii="Arial Narrow" w:hAnsi="Arial Narrow"/>
          <w:i/>
          <w:iCs/>
          <w:sz w:val="24"/>
          <w:szCs w:val="24"/>
        </w:rPr>
        <w:t>BMC Health Services Research, 18</w:t>
      </w:r>
      <w:r w:rsidRPr="001776BC">
        <w:rPr>
          <w:rFonts w:ascii="Arial Narrow" w:hAnsi="Arial Narrow"/>
          <w:sz w:val="24"/>
          <w:szCs w:val="24"/>
        </w:rPr>
        <w:t>(1), 1–15. https://doi.org/10.1186/s12913-018-3001-5</w:t>
      </w:r>
    </w:p>
    <w:p w14:paraId="77615144" w14:textId="77777777" w:rsidR="001565EC" w:rsidRPr="001776BC" w:rsidRDefault="001565EC" w:rsidP="00260930">
      <w:pPr>
        <w:spacing w:after="0" w:line="276" w:lineRule="auto"/>
        <w:rPr>
          <w:rFonts w:ascii="Arial Narrow" w:hAnsi="Arial Narrow"/>
          <w:sz w:val="24"/>
          <w:szCs w:val="24"/>
        </w:rPr>
      </w:pPr>
      <w:proofErr w:type="spellStart"/>
      <w:r w:rsidRPr="001776BC">
        <w:rPr>
          <w:rFonts w:ascii="Arial Narrow" w:hAnsi="Arial Narrow"/>
          <w:sz w:val="24"/>
          <w:szCs w:val="24"/>
        </w:rPr>
        <w:lastRenderedPageBreak/>
        <w:t>Rockstuhl</w:t>
      </w:r>
      <w:proofErr w:type="spellEnd"/>
      <w:r w:rsidRPr="001776BC">
        <w:rPr>
          <w:rFonts w:ascii="Arial Narrow" w:hAnsi="Arial Narrow"/>
          <w:sz w:val="24"/>
          <w:szCs w:val="24"/>
        </w:rPr>
        <w:t>, T., &amp; Van Dyne, L. (2018). A bi-factor theory of the four-factor model of cultural intelligence: Meta-analysis and theoretical extensions. </w:t>
      </w:r>
      <w:r w:rsidRPr="001776BC">
        <w:rPr>
          <w:rFonts w:ascii="Arial Narrow" w:hAnsi="Arial Narrow"/>
          <w:i/>
          <w:iCs/>
          <w:sz w:val="24"/>
          <w:szCs w:val="24"/>
        </w:rPr>
        <w:t>Organizational Behavior and Human Decision Processes, 148</w:t>
      </w:r>
      <w:r w:rsidRPr="001776BC">
        <w:rPr>
          <w:rFonts w:ascii="Arial Narrow" w:hAnsi="Arial Narrow"/>
          <w:sz w:val="24"/>
          <w:szCs w:val="24"/>
        </w:rPr>
        <w:t>, 124-144.</w:t>
      </w:r>
    </w:p>
    <w:p w14:paraId="6B779EF4"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Shepherd, S. M., Willis-Esqueda, C., Newton, D., Sivasubramaniam, D., &amp; Paradies, Y. (2019). The challenge of cultural competence in the workplace: Perspectives of healthcare providers. </w:t>
      </w:r>
      <w:r w:rsidRPr="001776BC">
        <w:rPr>
          <w:rFonts w:ascii="Arial Narrow" w:hAnsi="Arial Narrow"/>
          <w:i/>
          <w:iCs/>
          <w:sz w:val="24"/>
          <w:szCs w:val="24"/>
        </w:rPr>
        <w:t>BMC Health Services Research, 19</w:t>
      </w:r>
      <w:r w:rsidRPr="001776BC">
        <w:rPr>
          <w:rFonts w:ascii="Arial Narrow" w:hAnsi="Arial Narrow"/>
          <w:sz w:val="24"/>
          <w:szCs w:val="24"/>
        </w:rPr>
        <w:t>(1), 1–11. https://doi.org/10.1186/s12913-019-3959-7</w:t>
      </w:r>
    </w:p>
    <w:p w14:paraId="6719DD37"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Sue, D. W., Capodilupo, C. M., Torino, G. C., Bucceri, J. M., Holder, A. M. B., Nadal, K. L., &amp; Esquilin, M. (2007). Racial microaggressions in everyday life: Implications for clinical practice. </w:t>
      </w:r>
      <w:r w:rsidRPr="001776BC">
        <w:rPr>
          <w:rFonts w:ascii="Arial Narrow" w:hAnsi="Arial Narrow"/>
          <w:i/>
          <w:iCs/>
          <w:sz w:val="24"/>
          <w:szCs w:val="24"/>
        </w:rPr>
        <w:t>American Psychologist, 62</w:t>
      </w:r>
      <w:r w:rsidRPr="001776BC">
        <w:rPr>
          <w:rFonts w:ascii="Arial Narrow" w:hAnsi="Arial Narrow"/>
          <w:sz w:val="24"/>
          <w:szCs w:val="24"/>
        </w:rPr>
        <w:t>(4), 271–286. https://doi.org/10.1037/0003-066X.62.4.271</w:t>
      </w:r>
    </w:p>
    <w:p w14:paraId="66487A71"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Sue, S., Cheng, J. K. Y., Saad, C. S., &amp; Chu, J. P. (2019). Asian American mental health: A call to action. </w:t>
      </w:r>
      <w:r w:rsidRPr="001776BC">
        <w:rPr>
          <w:rFonts w:ascii="Arial Narrow" w:hAnsi="Arial Narrow"/>
          <w:i/>
          <w:iCs/>
          <w:sz w:val="24"/>
          <w:szCs w:val="24"/>
        </w:rPr>
        <w:t>American Psychologist, 74</w:t>
      </w:r>
      <w:r w:rsidRPr="001776BC">
        <w:rPr>
          <w:rFonts w:ascii="Arial Narrow" w:hAnsi="Arial Narrow"/>
          <w:sz w:val="24"/>
          <w:szCs w:val="24"/>
        </w:rPr>
        <w:t>(5), 658–672.</w:t>
      </w:r>
    </w:p>
    <w:p w14:paraId="058E3DBC"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 xml:space="preserve">Thomas, D. C., Elron, E., Stahl, G., Ekelund, B. Z., Ravlin, E., </w:t>
      </w:r>
      <w:proofErr w:type="spellStart"/>
      <w:r w:rsidRPr="001776BC">
        <w:rPr>
          <w:rFonts w:ascii="Arial Narrow" w:hAnsi="Arial Narrow"/>
          <w:sz w:val="24"/>
          <w:szCs w:val="24"/>
        </w:rPr>
        <w:t>Cerdin</w:t>
      </w:r>
      <w:proofErr w:type="spellEnd"/>
      <w:r w:rsidRPr="001776BC">
        <w:rPr>
          <w:rFonts w:ascii="Arial Narrow" w:hAnsi="Arial Narrow"/>
          <w:sz w:val="24"/>
          <w:szCs w:val="24"/>
        </w:rPr>
        <w:t xml:space="preserve">, J. L., &amp; </w:t>
      </w:r>
      <w:proofErr w:type="spellStart"/>
      <w:r w:rsidRPr="001776BC">
        <w:rPr>
          <w:rFonts w:ascii="Arial Narrow" w:hAnsi="Arial Narrow"/>
          <w:sz w:val="24"/>
          <w:szCs w:val="24"/>
        </w:rPr>
        <w:t>Lazarova</w:t>
      </w:r>
      <w:proofErr w:type="spellEnd"/>
      <w:r w:rsidRPr="001776BC">
        <w:rPr>
          <w:rFonts w:ascii="Arial Narrow" w:hAnsi="Arial Narrow"/>
          <w:sz w:val="24"/>
          <w:szCs w:val="24"/>
        </w:rPr>
        <w:t>, M. B. (2008). Cultural intelligence: Domain and assessment. </w:t>
      </w:r>
      <w:r w:rsidRPr="001776BC">
        <w:rPr>
          <w:rFonts w:ascii="Arial Narrow" w:hAnsi="Arial Narrow"/>
          <w:i/>
          <w:iCs/>
          <w:sz w:val="24"/>
          <w:szCs w:val="24"/>
        </w:rPr>
        <w:t>International Journal of Cross-Cultural Management, 8</w:t>
      </w:r>
      <w:r w:rsidRPr="001776BC">
        <w:rPr>
          <w:rFonts w:ascii="Arial Narrow" w:hAnsi="Arial Narrow"/>
          <w:sz w:val="24"/>
          <w:szCs w:val="24"/>
        </w:rPr>
        <w:t>(2), 123–143.</w:t>
      </w:r>
    </w:p>
    <w:p w14:paraId="3CE3125D"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Van Dyne, L., Ang, S., &amp; Koh, C. (2008). Development and validation of the CQS. In S. Ang &amp; L. Van Dyne (Eds.), </w:t>
      </w:r>
      <w:r w:rsidRPr="001776BC">
        <w:rPr>
          <w:rFonts w:ascii="Arial Narrow" w:hAnsi="Arial Narrow"/>
          <w:i/>
          <w:iCs/>
          <w:sz w:val="24"/>
          <w:szCs w:val="24"/>
        </w:rPr>
        <w:t>Handbook of cultural intelligence: Theory, measurement, and applications</w:t>
      </w:r>
      <w:r w:rsidRPr="001776BC">
        <w:rPr>
          <w:rFonts w:ascii="Arial Narrow" w:hAnsi="Arial Narrow"/>
          <w:sz w:val="24"/>
          <w:szCs w:val="24"/>
        </w:rPr>
        <w:t> (pp. 16–38). M.E. Sharpe.</w:t>
      </w:r>
    </w:p>
    <w:p w14:paraId="6E44550C"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Van Dyne, L., Ang, S., &amp; Livermore, D. (2012). Cultural intelligence: A pathway for leading in a rapidly globalizing world. In K. S. Cameron &amp; G. M. Spreitzer (Eds.), </w:t>
      </w:r>
      <w:r w:rsidRPr="001776BC">
        <w:rPr>
          <w:rFonts w:ascii="Arial Narrow" w:hAnsi="Arial Narrow"/>
          <w:i/>
          <w:iCs/>
          <w:sz w:val="24"/>
          <w:szCs w:val="24"/>
        </w:rPr>
        <w:t>The Oxford Handbook of Positive Organizational Scholarship</w:t>
      </w:r>
      <w:r w:rsidRPr="001776BC">
        <w:rPr>
          <w:rFonts w:ascii="Arial Narrow" w:hAnsi="Arial Narrow"/>
          <w:sz w:val="24"/>
          <w:szCs w:val="24"/>
        </w:rPr>
        <w:t> (pp. 438–446). Oxford University Press.</w:t>
      </w:r>
    </w:p>
    <w:p w14:paraId="4E7F9057"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Van Dyne, L., Ang, S., &amp; Ryan, A. M. (2012). Cultural intelligence: A review, reflections, and recommendations for future research. </w:t>
      </w:r>
      <w:r w:rsidRPr="001776BC">
        <w:rPr>
          <w:rFonts w:ascii="Arial Narrow" w:hAnsi="Arial Narrow"/>
          <w:i/>
          <w:iCs/>
          <w:sz w:val="24"/>
          <w:szCs w:val="24"/>
        </w:rPr>
        <w:t xml:space="preserve">International Journal of </w:t>
      </w:r>
      <w:proofErr w:type="gramStart"/>
      <w:r w:rsidRPr="001776BC">
        <w:rPr>
          <w:rFonts w:ascii="Arial Narrow" w:hAnsi="Arial Narrow"/>
          <w:i/>
          <w:iCs/>
          <w:sz w:val="24"/>
          <w:szCs w:val="24"/>
        </w:rPr>
        <w:t>Cross Cultural</w:t>
      </w:r>
      <w:proofErr w:type="gramEnd"/>
      <w:r w:rsidRPr="001776BC">
        <w:rPr>
          <w:rFonts w:ascii="Arial Narrow" w:hAnsi="Arial Narrow"/>
          <w:i/>
          <w:iCs/>
          <w:sz w:val="24"/>
          <w:szCs w:val="24"/>
        </w:rPr>
        <w:t xml:space="preserve"> Management, 12</w:t>
      </w:r>
      <w:r w:rsidRPr="001776BC">
        <w:rPr>
          <w:rFonts w:ascii="Arial Narrow" w:hAnsi="Arial Narrow"/>
          <w:sz w:val="24"/>
          <w:szCs w:val="24"/>
        </w:rPr>
        <w:t>(3), 285–303.</w:t>
      </w:r>
    </w:p>
    <w:p w14:paraId="0ED13180" w14:textId="77777777" w:rsidR="001565EC" w:rsidRPr="001776BC" w:rsidRDefault="001565EC" w:rsidP="00260930">
      <w:pPr>
        <w:spacing w:after="0" w:line="276" w:lineRule="auto"/>
        <w:rPr>
          <w:rFonts w:ascii="Arial Narrow" w:hAnsi="Arial Narrow"/>
          <w:sz w:val="24"/>
          <w:szCs w:val="24"/>
        </w:rPr>
      </w:pPr>
      <w:r w:rsidRPr="001776BC">
        <w:rPr>
          <w:rFonts w:ascii="Arial Narrow" w:hAnsi="Arial Narrow"/>
          <w:sz w:val="24"/>
          <w:szCs w:val="24"/>
        </w:rPr>
        <w:t>Vella, J., et al. (2022). Evaluating the effectiveness of cultural competence training in clinical practice. </w:t>
      </w:r>
      <w:r w:rsidRPr="001776BC">
        <w:rPr>
          <w:rFonts w:ascii="Arial Narrow" w:hAnsi="Arial Narrow"/>
          <w:i/>
          <w:iCs/>
          <w:sz w:val="24"/>
          <w:szCs w:val="24"/>
        </w:rPr>
        <w:t>Journal of Clinical Nursing, 31</w:t>
      </w:r>
      <w:r w:rsidRPr="001776BC">
        <w:rPr>
          <w:rFonts w:ascii="Arial Narrow" w:hAnsi="Arial Narrow"/>
          <w:sz w:val="24"/>
          <w:szCs w:val="24"/>
        </w:rPr>
        <w:t>(4), 789–798.</w:t>
      </w:r>
    </w:p>
    <w:p w14:paraId="0758CB8A" w14:textId="77777777" w:rsidR="008074DF" w:rsidRPr="001776BC" w:rsidRDefault="008074DF" w:rsidP="00260930">
      <w:pPr>
        <w:spacing w:after="0" w:line="276" w:lineRule="auto"/>
        <w:rPr>
          <w:rFonts w:ascii="Arial Narrow" w:hAnsi="Arial Narrow"/>
          <w:sz w:val="24"/>
          <w:szCs w:val="24"/>
        </w:rPr>
      </w:pPr>
    </w:p>
    <w:sectPr w:rsidR="008074DF" w:rsidRPr="00177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F98"/>
    <w:multiLevelType w:val="multilevel"/>
    <w:tmpl w:val="279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73162"/>
    <w:multiLevelType w:val="multilevel"/>
    <w:tmpl w:val="90CE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553E5"/>
    <w:multiLevelType w:val="hybridMultilevel"/>
    <w:tmpl w:val="60AC0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757F8"/>
    <w:multiLevelType w:val="hybridMultilevel"/>
    <w:tmpl w:val="1A209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E6CAE"/>
    <w:multiLevelType w:val="multilevel"/>
    <w:tmpl w:val="27A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52093"/>
    <w:multiLevelType w:val="multilevel"/>
    <w:tmpl w:val="BD02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768BF"/>
    <w:multiLevelType w:val="hybridMultilevel"/>
    <w:tmpl w:val="0994CF6A"/>
    <w:lvl w:ilvl="0" w:tplc="FC9C6F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A47E2"/>
    <w:multiLevelType w:val="hybridMultilevel"/>
    <w:tmpl w:val="C87028B6"/>
    <w:lvl w:ilvl="0" w:tplc="434E86B8">
      <w:start w:val="3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808C0"/>
    <w:multiLevelType w:val="multilevel"/>
    <w:tmpl w:val="DA86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55CC1"/>
    <w:multiLevelType w:val="multilevel"/>
    <w:tmpl w:val="2AB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45349"/>
    <w:multiLevelType w:val="multilevel"/>
    <w:tmpl w:val="B31E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340F1"/>
    <w:multiLevelType w:val="hybridMultilevel"/>
    <w:tmpl w:val="5E3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E297C"/>
    <w:multiLevelType w:val="multilevel"/>
    <w:tmpl w:val="7792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F76698"/>
    <w:multiLevelType w:val="hybridMultilevel"/>
    <w:tmpl w:val="32321466"/>
    <w:lvl w:ilvl="0" w:tplc="FC9C6F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F072D"/>
    <w:multiLevelType w:val="hybridMultilevel"/>
    <w:tmpl w:val="3B54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8E269E"/>
    <w:multiLevelType w:val="multilevel"/>
    <w:tmpl w:val="7524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363700">
    <w:abstractNumId w:val="10"/>
  </w:num>
  <w:num w:numId="2" w16cid:durableId="1837456010">
    <w:abstractNumId w:val="1"/>
  </w:num>
  <w:num w:numId="3" w16cid:durableId="1356348469">
    <w:abstractNumId w:val="8"/>
  </w:num>
  <w:num w:numId="4" w16cid:durableId="23678003">
    <w:abstractNumId w:val="15"/>
  </w:num>
  <w:num w:numId="5" w16cid:durableId="1451126418">
    <w:abstractNumId w:val="12"/>
  </w:num>
  <w:num w:numId="6" w16cid:durableId="90468035">
    <w:abstractNumId w:val="5"/>
  </w:num>
  <w:num w:numId="7" w16cid:durableId="127944222">
    <w:abstractNumId w:val="0"/>
  </w:num>
  <w:num w:numId="8" w16cid:durableId="202450049">
    <w:abstractNumId w:val="3"/>
  </w:num>
  <w:num w:numId="9" w16cid:durableId="1820726683">
    <w:abstractNumId w:val="6"/>
  </w:num>
  <w:num w:numId="10" w16cid:durableId="798912645">
    <w:abstractNumId w:val="13"/>
  </w:num>
  <w:num w:numId="11" w16cid:durableId="852456947">
    <w:abstractNumId w:val="4"/>
  </w:num>
  <w:num w:numId="12" w16cid:durableId="696852073">
    <w:abstractNumId w:val="9"/>
  </w:num>
  <w:num w:numId="13" w16cid:durableId="1223757093">
    <w:abstractNumId w:val="11"/>
  </w:num>
  <w:num w:numId="14" w16cid:durableId="177623653">
    <w:abstractNumId w:val="7"/>
  </w:num>
  <w:num w:numId="15" w16cid:durableId="893926811">
    <w:abstractNumId w:val="2"/>
  </w:num>
  <w:num w:numId="16" w16cid:durableId="4302005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6C"/>
    <w:rsid w:val="000709D8"/>
    <w:rsid w:val="000B2713"/>
    <w:rsid w:val="000E4B94"/>
    <w:rsid w:val="00127283"/>
    <w:rsid w:val="001565EC"/>
    <w:rsid w:val="00172068"/>
    <w:rsid w:val="001776BC"/>
    <w:rsid w:val="001A5D73"/>
    <w:rsid w:val="001B1A1A"/>
    <w:rsid w:val="001D1675"/>
    <w:rsid w:val="001F4331"/>
    <w:rsid w:val="00256F7A"/>
    <w:rsid w:val="00260930"/>
    <w:rsid w:val="00301EC1"/>
    <w:rsid w:val="00317DE6"/>
    <w:rsid w:val="00394C8F"/>
    <w:rsid w:val="003F245E"/>
    <w:rsid w:val="004421E2"/>
    <w:rsid w:val="004458E9"/>
    <w:rsid w:val="005346A1"/>
    <w:rsid w:val="005563A1"/>
    <w:rsid w:val="005922C3"/>
    <w:rsid w:val="00666061"/>
    <w:rsid w:val="0069783E"/>
    <w:rsid w:val="006E6B75"/>
    <w:rsid w:val="00733AB5"/>
    <w:rsid w:val="00781A7E"/>
    <w:rsid w:val="008074DF"/>
    <w:rsid w:val="008115E3"/>
    <w:rsid w:val="008133FF"/>
    <w:rsid w:val="008B463E"/>
    <w:rsid w:val="00922A53"/>
    <w:rsid w:val="00951F6F"/>
    <w:rsid w:val="00964109"/>
    <w:rsid w:val="00985032"/>
    <w:rsid w:val="009968C3"/>
    <w:rsid w:val="00A223DA"/>
    <w:rsid w:val="00A606D6"/>
    <w:rsid w:val="00A60A51"/>
    <w:rsid w:val="00A87A30"/>
    <w:rsid w:val="00A92A9C"/>
    <w:rsid w:val="00A93D61"/>
    <w:rsid w:val="00B10B48"/>
    <w:rsid w:val="00B36A6E"/>
    <w:rsid w:val="00B511CB"/>
    <w:rsid w:val="00BA4AE4"/>
    <w:rsid w:val="00BA4AFE"/>
    <w:rsid w:val="00BD791F"/>
    <w:rsid w:val="00C00E6C"/>
    <w:rsid w:val="00C96B11"/>
    <w:rsid w:val="00CC4438"/>
    <w:rsid w:val="00CE00C1"/>
    <w:rsid w:val="00CE3074"/>
    <w:rsid w:val="00CF0AE8"/>
    <w:rsid w:val="00D55A56"/>
    <w:rsid w:val="00DF465D"/>
    <w:rsid w:val="00DF7C02"/>
    <w:rsid w:val="00E1578B"/>
    <w:rsid w:val="00E33447"/>
    <w:rsid w:val="00E9247D"/>
    <w:rsid w:val="00EA2E7D"/>
    <w:rsid w:val="00EB25C2"/>
    <w:rsid w:val="00EF1205"/>
    <w:rsid w:val="00F3292E"/>
    <w:rsid w:val="00F55EEE"/>
    <w:rsid w:val="00F86701"/>
    <w:rsid w:val="00FA147B"/>
    <w:rsid w:val="00FA6608"/>
    <w:rsid w:val="00FC227F"/>
    <w:rsid w:val="00FF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C25658"/>
  <w15:chartTrackingRefBased/>
  <w15:docId w15:val="{4E62EC66-3EEA-455D-94A6-D8B6A24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E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E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E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E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E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E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E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E6C"/>
    <w:rPr>
      <w:rFonts w:eastAsiaTheme="majorEastAsia" w:cstheme="majorBidi"/>
      <w:color w:val="272727" w:themeColor="text1" w:themeTint="D8"/>
    </w:rPr>
  </w:style>
  <w:style w:type="paragraph" w:styleId="Title">
    <w:name w:val="Title"/>
    <w:basedOn w:val="Normal"/>
    <w:next w:val="Normal"/>
    <w:link w:val="TitleChar"/>
    <w:uiPriority w:val="10"/>
    <w:qFormat/>
    <w:rsid w:val="00C00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E6C"/>
    <w:pPr>
      <w:spacing w:before="160"/>
      <w:jc w:val="center"/>
    </w:pPr>
    <w:rPr>
      <w:i/>
      <w:iCs/>
      <w:color w:val="404040" w:themeColor="text1" w:themeTint="BF"/>
    </w:rPr>
  </w:style>
  <w:style w:type="character" w:customStyle="1" w:styleId="QuoteChar">
    <w:name w:val="Quote Char"/>
    <w:basedOn w:val="DefaultParagraphFont"/>
    <w:link w:val="Quote"/>
    <w:uiPriority w:val="29"/>
    <w:rsid w:val="00C00E6C"/>
    <w:rPr>
      <w:i/>
      <w:iCs/>
      <w:color w:val="404040" w:themeColor="text1" w:themeTint="BF"/>
    </w:rPr>
  </w:style>
  <w:style w:type="paragraph" w:styleId="ListParagraph">
    <w:name w:val="List Paragraph"/>
    <w:basedOn w:val="Normal"/>
    <w:uiPriority w:val="34"/>
    <w:qFormat/>
    <w:rsid w:val="00C00E6C"/>
    <w:pPr>
      <w:ind w:left="720"/>
      <w:contextualSpacing/>
    </w:pPr>
  </w:style>
  <w:style w:type="character" w:styleId="IntenseEmphasis">
    <w:name w:val="Intense Emphasis"/>
    <w:basedOn w:val="DefaultParagraphFont"/>
    <w:uiPriority w:val="21"/>
    <w:qFormat/>
    <w:rsid w:val="00C00E6C"/>
    <w:rPr>
      <w:i/>
      <w:iCs/>
      <w:color w:val="2F5496" w:themeColor="accent1" w:themeShade="BF"/>
    </w:rPr>
  </w:style>
  <w:style w:type="paragraph" w:styleId="IntenseQuote">
    <w:name w:val="Intense Quote"/>
    <w:basedOn w:val="Normal"/>
    <w:next w:val="Normal"/>
    <w:link w:val="IntenseQuoteChar"/>
    <w:uiPriority w:val="30"/>
    <w:qFormat/>
    <w:rsid w:val="00C00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E6C"/>
    <w:rPr>
      <w:i/>
      <w:iCs/>
      <w:color w:val="2F5496" w:themeColor="accent1" w:themeShade="BF"/>
    </w:rPr>
  </w:style>
  <w:style w:type="character" w:styleId="IntenseReference">
    <w:name w:val="Intense Reference"/>
    <w:basedOn w:val="DefaultParagraphFont"/>
    <w:uiPriority w:val="32"/>
    <w:qFormat/>
    <w:rsid w:val="00C00E6C"/>
    <w:rPr>
      <w:b/>
      <w:bCs/>
      <w:smallCaps/>
      <w:color w:val="2F5496" w:themeColor="accent1" w:themeShade="BF"/>
      <w:spacing w:val="5"/>
    </w:rPr>
  </w:style>
  <w:style w:type="paragraph" w:styleId="NormalWeb">
    <w:name w:val="Normal (Web)"/>
    <w:basedOn w:val="Normal"/>
    <w:uiPriority w:val="99"/>
    <w:semiHidden/>
    <w:unhideWhenUsed/>
    <w:rsid w:val="00B511CB"/>
    <w:rPr>
      <w:rFonts w:ascii="Times New Roman" w:hAnsi="Times New Roman" w:cs="Times New Roman"/>
      <w:sz w:val="24"/>
      <w:szCs w:val="24"/>
    </w:rPr>
  </w:style>
  <w:style w:type="character" w:styleId="Hyperlink">
    <w:name w:val="Hyperlink"/>
    <w:basedOn w:val="DefaultParagraphFont"/>
    <w:uiPriority w:val="99"/>
    <w:unhideWhenUsed/>
    <w:rsid w:val="00FA147B"/>
    <w:rPr>
      <w:color w:val="0563C1" w:themeColor="hyperlink"/>
      <w:u w:val="single"/>
    </w:rPr>
  </w:style>
  <w:style w:type="character" w:styleId="UnresolvedMention">
    <w:name w:val="Unresolved Mention"/>
    <w:basedOn w:val="DefaultParagraphFont"/>
    <w:uiPriority w:val="99"/>
    <w:semiHidden/>
    <w:unhideWhenUsed/>
    <w:rsid w:val="00FA147B"/>
    <w:rPr>
      <w:color w:val="605E5C"/>
      <w:shd w:val="clear" w:color="auto" w:fill="E1DFDD"/>
    </w:rPr>
  </w:style>
  <w:style w:type="character" w:styleId="Emphasis">
    <w:name w:val="Emphasis"/>
    <w:basedOn w:val="DefaultParagraphFont"/>
    <w:uiPriority w:val="20"/>
    <w:qFormat/>
    <w:rsid w:val="004458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117">
      <w:bodyDiv w:val="1"/>
      <w:marLeft w:val="0"/>
      <w:marRight w:val="0"/>
      <w:marTop w:val="0"/>
      <w:marBottom w:val="0"/>
      <w:divBdr>
        <w:top w:val="none" w:sz="0" w:space="0" w:color="auto"/>
        <w:left w:val="none" w:sz="0" w:space="0" w:color="auto"/>
        <w:bottom w:val="none" w:sz="0" w:space="0" w:color="auto"/>
        <w:right w:val="none" w:sz="0" w:space="0" w:color="auto"/>
      </w:divBdr>
    </w:div>
    <w:div w:id="95446214">
      <w:bodyDiv w:val="1"/>
      <w:marLeft w:val="0"/>
      <w:marRight w:val="0"/>
      <w:marTop w:val="0"/>
      <w:marBottom w:val="0"/>
      <w:divBdr>
        <w:top w:val="none" w:sz="0" w:space="0" w:color="auto"/>
        <w:left w:val="none" w:sz="0" w:space="0" w:color="auto"/>
        <w:bottom w:val="none" w:sz="0" w:space="0" w:color="auto"/>
        <w:right w:val="none" w:sz="0" w:space="0" w:color="auto"/>
      </w:divBdr>
    </w:div>
    <w:div w:id="196158596">
      <w:bodyDiv w:val="1"/>
      <w:marLeft w:val="0"/>
      <w:marRight w:val="0"/>
      <w:marTop w:val="0"/>
      <w:marBottom w:val="0"/>
      <w:divBdr>
        <w:top w:val="none" w:sz="0" w:space="0" w:color="auto"/>
        <w:left w:val="none" w:sz="0" w:space="0" w:color="auto"/>
        <w:bottom w:val="none" w:sz="0" w:space="0" w:color="auto"/>
        <w:right w:val="none" w:sz="0" w:space="0" w:color="auto"/>
      </w:divBdr>
    </w:div>
    <w:div w:id="276104231">
      <w:bodyDiv w:val="1"/>
      <w:marLeft w:val="0"/>
      <w:marRight w:val="0"/>
      <w:marTop w:val="0"/>
      <w:marBottom w:val="0"/>
      <w:divBdr>
        <w:top w:val="none" w:sz="0" w:space="0" w:color="auto"/>
        <w:left w:val="none" w:sz="0" w:space="0" w:color="auto"/>
        <w:bottom w:val="none" w:sz="0" w:space="0" w:color="auto"/>
        <w:right w:val="none" w:sz="0" w:space="0" w:color="auto"/>
      </w:divBdr>
      <w:divsChild>
        <w:div w:id="1704012825">
          <w:marLeft w:val="0"/>
          <w:marRight w:val="0"/>
          <w:marTop w:val="0"/>
          <w:marBottom w:val="0"/>
          <w:divBdr>
            <w:top w:val="none" w:sz="0" w:space="0" w:color="auto"/>
            <w:left w:val="none" w:sz="0" w:space="0" w:color="auto"/>
            <w:bottom w:val="none" w:sz="0" w:space="0" w:color="auto"/>
            <w:right w:val="none" w:sz="0" w:space="0" w:color="auto"/>
          </w:divBdr>
        </w:div>
        <w:div w:id="1494759681">
          <w:marLeft w:val="0"/>
          <w:marRight w:val="0"/>
          <w:marTop w:val="0"/>
          <w:marBottom w:val="0"/>
          <w:divBdr>
            <w:top w:val="none" w:sz="0" w:space="0" w:color="auto"/>
            <w:left w:val="none" w:sz="0" w:space="0" w:color="auto"/>
            <w:bottom w:val="none" w:sz="0" w:space="0" w:color="auto"/>
            <w:right w:val="none" w:sz="0" w:space="0" w:color="auto"/>
          </w:divBdr>
        </w:div>
        <w:div w:id="1753820875">
          <w:marLeft w:val="0"/>
          <w:marRight w:val="0"/>
          <w:marTop w:val="0"/>
          <w:marBottom w:val="0"/>
          <w:divBdr>
            <w:top w:val="none" w:sz="0" w:space="0" w:color="auto"/>
            <w:left w:val="none" w:sz="0" w:space="0" w:color="auto"/>
            <w:bottom w:val="none" w:sz="0" w:space="0" w:color="auto"/>
            <w:right w:val="none" w:sz="0" w:space="0" w:color="auto"/>
          </w:divBdr>
        </w:div>
        <w:div w:id="1191185359">
          <w:marLeft w:val="0"/>
          <w:marRight w:val="0"/>
          <w:marTop w:val="0"/>
          <w:marBottom w:val="0"/>
          <w:divBdr>
            <w:top w:val="none" w:sz="0" w:space="0" w:color="auto"/>
            <w:left w:val="none" w:sz="0" w:space="0" w:color="auto"/>
            <w:bottom w:val="none" w:sz="0" w:space="0" w:color="auto"/>
            <w:right w:val="none" w:sz="0" w:space="0" w:color="auto"/>
          </w:divBdr>
        </w:div>
      </w:divsChild>
    </w:div>
    <w:div w:id="316495645">
      <w:bodyDiv w:val="1"/>
      <w:marLeft w:val="0"/>
      <w:marRight w:val="0"/>
      <w:marTop w:val="0"/>
      <w:marBottom w:val="0"/>
      <w:divBdr>
        <w:top w:val="none" w:sz="0" w:space="0" w:color="auto"/>
        <w:left w:val="none" w:sz="0" w:space="0" w:color="auto"/>
        <w:bottom w:val="none" w:sz="0" w:space="0" w:color="auto"/>
        <w:right w:val="none" w:sz="0" w:space="0" w:color="auto"/>
      </w:divBdr>
    </w:div>
    <w:div w:id="437725570">
      <w:bodyDiv w:val="1"/>
      <w:marLeft w:val="0"/>
      <w:marRight w:val="0"/>
      <w:marTop w:val="0"/>
      <w:marBottom w:val="0"/>
      <w:divBdr>
        <w:top w:val="none" w:sz="0" w:space="0" w:color="auto"/>
        <w:left w:val="none" w:sz="0" w:space="0" w:color="auto"/>
        <w:bottom w:val="none" w:sz="0" w:space="0" w:color="auto"/>
        <w:right w:val="none" w:sz="0" w:space="0" w:color="auto"/>
      </w:divBdr>
    </w:div>
    <w:div w:id="595093107">
      <w:bodyDiv w:val="1"/>
      <w:marLeft w:val="0"/>
      <w:marRight w:val="0"/>
      <w:marTop w:val="0"/>
      <w:marBottom w:val="0"/>
      <w:divBdr>
        <w:top w:val="none" w:sz="0" w:space="0" w:color="auto"/>
        <w:left w:val="none" w:sz="0" w:space="0" w:color="auto"/>
        <w:bottom w:val="none" w:sz="0" w:space="0" w:color="auto"/>
        <w:right w:val="none" w:sz="0" w:space="0" w:color="auto"/>
      </w:divBdr>
    </w:div>
    <w:div w:id="728304228">
      <w:bodyDiv w:val="1"/>
      <w:marLeft w:val="0"/>
      <w:marRight w:val="0"/>
      <w:marTop w:val="0"/>
      <w:marBottom w:val="0"/>
      <w:divBdr>
        <w:top w:val="none" w:sz="0" w:space="0" w:color="auto"/>
        <w:left w:val="none" w:sz="0" w:space="0" w:color="auto"/>
        <w:bottom w:val="none" w:sz="0" w:space="0" w:color="auto"/>
        <w:right w:val="none" w:sz="0" w:space="0" w:color="auto"/>
      </w:divBdr>
    </w:div>
    <w:div w:id="813184645">
      <w:bodyDiv w:val="1"/>
      <w:marLeft w:val="0"/>
      <w:marRight w:val="0"/>
      <w:marTop w:val="0"/>
      <w:marBottom w:val="0"/>
      <w:divBdr>
        <w:top w:val="none" w:sz="0" w:space="0" w:color="auto"/>
        <w:left w:val="none" w:sz="0" w:space="0" w:color="auto"/>
        <w:bottom w:val="none" w:sz="0" w:space="0" w:color="auto"/>
        <w:right w:val="none" w:sz="0" w:space="0" w:color="auto"/>
      </w:divBdr>
    </w:div>
    <w:div w:id="825321799">
      <w:bodyDiv w:val="1"/>
      <w:marLeft w:val="0"/>
      <w:marRight w:val="0"/>
      <w:marTop w:val="0"/>
      <w:marBottom w:val="0"/>
      <w:divBdr>
        <w:top w:val="none" w:sz="0" w:space="0" w:color="auto"/>
        <w:left w:val="none" w:sz="0" w:space="0" w:color="auto"/>
        <w:bottom w:val="none" w:sz="0" w:space="0" w:color="auto"/>
        <w:right w:val="none" w:sz="0" w:space="0" w:color="auto"/>
      </w:divBdr>
    </w:div>
    <w:div w:id="851912705">
      <w:bodyDiv w:val="1"/>
      <w:marLeft w:val="0"/>
      <w:marRight w:val="0"/>
      <w:marTop w:val="0"/>
      <w:marBottom w:val="0"/>
      <w:divBdr>
        <w:top w:val="none" w:sz="0" w:space="0" w:color="auto"/>
        <w:left w:val="none" w:sz="0" w:space="0" w:color="auto"/>
        <w:bottom w:val="none" w:sz="0" w:space="0" w:color="auto"/>
        <w:right w:val="none" w:sz="0" w:space="0" w:color="auto"/>
      </w:divBdr>
    </w:div>
    <w:div w:id="944507303">
      <w:bodyDiv w:val="1"/>
      <w:marLeft w:val="0"/>
      <w:marRight w:val="0"/>
      <w:marTop w:val="0"/>
      <w:marBottom w:val="0"/>
      <w:divBdr>
        <w:top w:val="none" w:sz="0" w:space="0" w:color="auto"/>
        <w:left w:val="none" w:sz="0" w:space="0" w:color="auto"/>
        <w:bottom w:val="none" w:sz="0" w:space="0" w:color="auto"/>
        <w:right w:val="none" w:sz="0" w:space="0" w:color="auto"/>
      </w:divBdr>
    </w:div>
    <w:div w:id="990526851">
      <w:bodyDiv w:val="1"/>
      <w:marLeft w:val="0"/>
      <w:marRight w:val="0"/>
      <w:marTop w:val="0"/>
      <w:marBottom w:val="0"/>
      <w:divBdr>
        <w:top w:val="none" w:sz="0" w:space="0" w:color="auto"/>
        <w:left w:val="none" w:sz="0" w:space="0" w:color="auto"/>
        <w:bottom w:val="none" w:sz="0" w:space="0" w:color="auto"/>
        <w:right w:val="none" w:sz="0" w:space="0" w:color="auto"/>
      </w:divBdr>
      <w:divsChild>
        <w:div w:id="46224858">
          <w:marLeft w:val="0"/>
          <w:marRight w:val="0"/>
          <w:marTop w:val="0"/>
          <w:marBottom w:val="0"/>
          <w:divBdr>
            <w:top w:val="none" w:sz="0" w:space="0" w:color="auto"/>
            <w:left w:val="none" w:sz="0" w:space="0" w:color="auto"/>
            <w:bottom w:val="none" w:sz="0" w:space="0" w:color="auto"/>
            <w:right w:val="none" w:sz="0" w:space="0" w:color="auto"/>
          </w:divBdr>
        </w:div>
      </w:divsChild>
    </w:div>
    <w:div w:id="1089691392">
      <w:bodyDiv w:val="1"/>
      <w:marLeft w:val="0"/>
      <w:marRight w:val="0"/>
      <w:marTop w:val="0"/>
      <w:marBottom w:val="0"/>
      <w:divBdr>
        <w:top w:val="none" w:sz="0" w:space="0" w:color="auto"/>
        <w:left w:val="none" w:sz="0" w:space="0" w:color="auto"/>
        <w:bottom w:val="none" w:sz="0" w:space="0" w:color="auto"/>
        <w:right w:val="none" w:sz="0" w:space="0" w:color="auto"/>
      </w:divBdr>
      <w:divsChild>
        <w:div w:id="2071415395">
          <w:marLeft w:val="0"/>
          <w:marRight w:val="0"/>
          <w:marTop w:val="0"/>
          <w:marBottom w:val="0"/>
          <w:divBdr>
            <w:top w:val="none" w:sz="0" w:space="0" w:color="auto"/>
            <w:left w:val="none" w:sz="0" w:space="0" w:color="auto"/>
            <w:bottom w:val="none" w:sz="0" w:space="0" w:color="auto"/>
            <w:right w:val="none" w:sz="0" w:space="0" w:color="auto"/>
          </w:divBdr>
        </w:div>
        <w:div w:id="1133865623">
          <w:marLeft w:val="0"/>
          <w:marRight w:val="0"/>
          <w:marTop w:val="0"/>
          <w:marBottom w:val="0"/>
          <w:divBdr>
            <w:top w:val="none" w:sz="0" w:space="0" w:color="auto"/>
            <w:left w:val="none" w:sz="0" w:space="0" w:color="auto"/>
            <w:bottom w:val="none" w:sz="0" w:space="0" w:color="auto"/>
            <w:right w:val="none" w:sz="0" w:space="0" w:color="auto"/>
          </w:divBdr>
        </w:div>
        <w:div w:id="962808327">
          <w:marLeft w:val="0"/>
          <w:marRight w:val="0"/>
          <w:marTop w:val="0"/>
          <w:marBottom w:val="0"/>
          <w:divBdr>
            <w:top w:val="none" w:sz="0" w:space="0" w:color="auto"/>
            <w:left w:val="none" w:sz="0" w:space="0" w:color="auto"/>
            <w:bottom w:val="none" w:sz="0" w:space="0" w:color="auto"/>
            <w:right w:val="none" w:sz="0" w:space="0" w:color="auto"/>
          </w:divBdr>
        </w:div>
        <w:div w:id="302076288">
          <w:marLeft w:val="0"/>
          <w:marRight w:val="0"/>
          <w:marTop w:val="0"/>
          <w:marBottom w:val="0"/>
          <w:divBdr>
            <w:top w:val="none" w:sz="0" w:space="0" w:color="auto"/>
            <w:left w:val="none" w:sz="0" w:space="0" w:color="auto"/>
            <w:bottom w:val="none" w:sz="0" w:space="0" w:color="auto"/>
            <w:right w:val="none" w:sz="0" w:space="0" w:color="auto"/>
          </w:divBdr>
        </w:div>
      </w:divsChild>
    </w:div>
    <w:div w:id="1102870854">
      <w:bodyDiv w:val="1"/>
      <w:marLeft w:val="0"/>
      <w:marRight w:val="0"/>
      <w:marTop w:val="0"/>
      <w:marBottom w:val="0"/>
      <w:divBdr>
        <w:top w:val="none" w:sz="0" w:space="0" w:color="auto"/>
        <w:left w:val="none" w:sz="0" w:space="0" w:color="auto"/>
        <w:bottom w:val="none" w:sz="0" w:space="0" w:color="auto"/>
        <w:right w:val="none" w:sz="0" w:space="0" w:color="auto"/>
      </w:divBdr>
    </w:div>
    <w:div w:id="1133214516">
      <w:bodyDiv w:val="1"/>
      <w:marLeft w:val="0"/>
      <w:marRight w:val="0"/>
      <w:marTop w:val="0"/>
      <w:marBottom w:val="0"/>
      <w:divBdr>
        <w:top w:val="none" w:sz="0" w:space="0" w:color="auto"/>
        <w:left w:val="none" w:sz="0" w:space="0" w:color="auto"/>
        <w:bottom w:val="none" w:sz="0" w:space="0" w:color="auto"/>
        <w:right w:val="none" w:sz="0" w:space="0" w:color="auto"/>
      </w:divBdr>
    </w:div>
    <w:div w:id="1191451621">
      <w:bodyDiv w:val="1"/>
      <w:marLeft w:val="0"/>
      <w:marRight w:val="0"/>
      <w:marTop w:val="0"/>
      <w:marBottom w:val="0"/>
      <w:divBdr>
        <w:top w:val="none" w:sz="0" w:space="0" w:color="auto"/>
        <w:left w:val="none" w:sz="0" w:space="0" w:color="auto"/>
        <w:bottom w:val="none" w:sz="0" w:space="0" w:color="auto"/>
        <w:right w:val="none" w:sz="0" w:space="0" w:color="auto"/>
      </w:divBdr>
    </w:div>
    <w:div w:id="1245184500">
      <w:bodyDiv w:val="1"/>
      <w:marLeft w:val="0"/>
      <w:marRight w:val="0"/>
      <w:marTop w:val="0"/>
      <w:marBottom w:val="0"/>
      <w:divBdr>
        <w:top w:val="none" w:sz="0" w:space="0" w:color="auto"/>
        <w:left w:val="none" w:sz="0" w:space="0" w:color="auto"/>
        <w:bottom w:val="none" w:sz="0" w:space="0" w:color="auto"/>
        <w:right w:val="none" w:sz="0" w:space="0" w:color="auto"/>
      </w:divBdr>
    </w:div>
    <w:div w:id="1326133540">
      <w:bodyDiv w:val="1"/>
      <w:marLeft w:val="0"/>
      <w:marRight w:val="0"/>
      <w:marTop w:val="0"/>
      <w:marBottom w:val="0"/>
      <w:divBdr>
        <w:top w:val="none" w:sz="0" w:space="0" w:color="auto"/>
        <w:left w:val="none" w:sz="0" w:space="0" w:color="auto"/>
        <w:bottom w:val="none" w:sz="0" w:space="0" w:color="auto"/>
        <w:right w:val="none" w:sz="0" w:space="0" w:color="auto"/>
      </w:divBdr>
    </w:div>
    <w:div w:id="1469322593">
      <w:bodyDiv w:val="1"/>
      <w:marLeft w:val="0"/>
      <w:marRight w:val="0"/>
      <w:marTop w:val="0"/>
      <w:marBottom w:val="0"/>
      <w:divBdr>
        <w:top w:val="none" w:sz="0" w:space="0" w:color="auto"/>
        <w:left w:val="none" w:sz="0" w:space="0" w:color="auto"/>
        <w:bottom w:val="none" w:sz="0" w:space="0" w:color="auto"/>
        <w:right w:val="none" w:sz="0" w:space="0" w:color="auto"/>
      </w:divBdr>
    </w:div>
    <w:div w:id="1566528741">
      <w:bodyDiv w:val="1"/>
      <w:marLeft w:val="0"/>
      <w:marRight w:val="0"/>
      <w:marTop w:val="0"/>
      <w:marBottom w:val="0"/>
      <w:divBdr>
        <w:top w:val="none" w:sz="0" w:space="0" w:color="auto"/>
        <w:left w:val="none" w:sz="0" w:space="0" w:color="auto"/>
        <w:bottom w:val="none" w:sz="0" w:space="0" w:color="auto"/>
        <w:right w:val="none" w:sz="0" w:space="0" w:color="auto"/>
      </w:divBdr>
    </w:div>
    <w:div w:id="1649480411">
      <w:bodyDiv w:val="1"/>
      <w:marLeft w:val="0"/>
      <w:marRight w:val="0"/>
      <w:marTop w:val="0"/>
      <w:marBottom w:val="0"/>
      <w:divBdr>
        <w:top w:val="none" w:sz="0" w:space="0" w:color="auto"/>
        <w:left w:val="none" w:sz="0" w:space="0" w:color="auto"/>
        <w:bottom w:val="none" w:sz="0" w:space="0" w:color="auto"/>
        <w:right w:val="none" w:sz="0" w:space="0" w:color="auto"/>
      </w:divBdr>
      <w:divsChild>
        <w:div w:id="198586944">
          <w:marLeft w:val="0"/>
          <w:marRight w:val="0"/>
          <w:marTop w:val="0"/>
          <w:marBottom w:val="0"/>
          <w:divBdr>
            <w:top w:val="none" w:sz="0" w:space="0" w:color="auto"/>
            <w:left w:val="none" w:sz="0" w:space="0" w:color="auto"/>
            <w:bottom w:val="none" w:sz="0" w:space="0" w:color="auto"/>
            <w:right w:val="none" w:sz="0" w:space="0" w:color="auto"/>
          </w:divBdr>
        </w:div>
      </w:divsChild>
    </w:div>
    <w:div w:id="1850096681">
      <w:bodyDiv w:val="1"/>
      <w:marLeft w:val="0"/>
      <w:marRight w:val="0"/>
      <w:marTop w:val="0"/>
      <w:marBottom w:val="0"/>
      <w:divBdr>
        <w:top w:val="none" w:sz="0" w:space="0" w:color="auto"/>
        <w:left w:val="none" w:sz="0" w:space="0" w:color="auto"/>
        <w:bottom w:val="none" w:sz="0" w:space="0" w:color="auto"/>
        <w:right w:val="none" w:sz="0" w:space="0" w:color="auto"/>
      </w:divBdr>
    </w:div>
    <w:div w:id="20455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613/BM.2012.0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7908</Words>
  <Characters>51007</Characters>
  <Application>Microsoft Office Word</Application>
  <DocSecurity>0</DocSecurity>
  <Lines>728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Washington</dc:creator>
  <cp:keywords/>
  <dc:description/>
  <cp:lastModifiedBy>Darryl Washington</cp:lastModifiedBy>
  <cp:revision>35</cp:revision>
  <dcterms:created xsi:type="dcterms:W3CDTF">2025-03-14T14:09:00Z</dcterms:created>
  <dcterms:modified xsi:type="dcterms:W3CDTF">2025-03-14T15:30:00Z</dcterms:modified>
</cp:coreProperties>
</file>