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3A565" w14:textId="576AD9CF" w:rsidR="00331804" w:rsidRPr="00BB49B8" w:rsidRDefault="007F2EF5" w:rsidP="00331804">
      <w:pPr>
        <w:spacing w:line="360" w:lineRule="auto"/>
        <w:jc w:val="center"/>
        <w:rPr>
          <w:b/>
          <w:bCs/>
          <w:color w:val="000000"/>
        </w:rPr>
      </w:pPr>
      <w:bookmarkStart w:id="0" w:name="_heading=h.gjdgxs" w:colFirst="0" w:colLast="0"/>
      <w:bookmarkEnd w:id="0"/>
      <w:r>
        <w:rPr>
          <w:b/>
          <w:bCs/>
          <w:color w:val="000000"/>
        </w:rPr>
        <w:t xml:space="preserve">Fortaleciendo el bienestar psicológico: el papel de la </w:t>
      </w:r>
      <w:r w:rsidR="00331804" w:rsidRPr="00BB49B8">
        <w:rPr>
          <w:b/>
          <w:bCs/>
          <w:color w:val="000000"/>
        </w:rPr>
        <w:t xml:space="preserve">Resiliencia y </w:t>
      </w:r>
      <w:r>
        <w:rPr>
          <w:b/>
          <w:bCs/>
          <w:color w:val="000000"/>
        </w:rPr>
        <w:t xml:space="preserve">el </w:t>
      </w:r>
      <w:r w:rsidR="00331804" w:rsidRPr="00BB49B8">
        <w:rPr>
          <w:b/>
          <w:bCs/>
          <w:color w:val="000000"/>
        </w:rPr>
        <w:t>Mindfulness</w:t>
      </w:r>
      <w:r>
        <w:rPr>
          <w:b/>
          <w:bCs/>
          <w:color w:val="000000"/>
        </w:rPr>
        <w:t xml:space="preserve"> en migrantes limeños</w:t>
      </w:r>
    </w:p>
    <w:p w14:paraId="6A0CFA91" w14:textId="77777777" w:rsidR="00331804" w:rsidRPr="00BB49B8" w:rsidRDefault="00331804" w:rsidP="00331804">
      <w:pPr>
        <w:spacing w:line="360" w:lineRule="auto"/>
        <w:jc w:val="center"/>
        <w:rPr>
          <w:b/>
          <w:bCs/>
          <w:color w:val="000000"/>
        </w:rPr>
      </w:pPr>
    </w:p>
    <w:p w14:paraId="0EF57594" w14:textId="77777777" w:rsidR="00331804" w:rsidRPr="00BB49B8" w:rsidRDefault="00331804" w:rsidP="00331804">
      <w:pPr>
        <w:spacing w:line="360" w:lineRule="auto"/>
        <w:jc w:val="center"/>
        <w:rPr>
          <w:b/>
          <w:color w:val="000000"/>
        </w:rPr>
      </w:pPr>
      <w:r w:rsidRPr="00BB49B8">
        <w:rPr>
          <w:b/>
          <w:color w:val="000000"/>
        </w:rPr>
        <w:t>RESUMEN</w:t>
      </w:r>
    </w:p>
    <w:p w14:paraId="79AC6DA1" w14:textId="77777777" w:rsidR="00331804" w:rsidRPr="00BB49B8" w:rsidRDefault="00331804" w:rsidP="00331804">
      <w:pPr>
        <w:spacing w:line="360" w:lineRule="auto"/>
        <w:jc w:val="both"/>
        <w:rPr>
          <w:color w:val="000000"/>
        </w:rPr>
      </w:pPr>
      <w:r w:rsidRPr="00BB49B8">
        <w:rPr>
          <w:color w:val="000000"/>
        </w:rPr>
        <w:t xml:space="preserve">El objetivo de esta investigación fue analizar si la resiliencia y el mindfulness son predictores del bienestar psicológico en personas migrantes residentes en Lima. La investigación contó con una muestra de 348 personas migrantes de nacionalidad venezolana, seleccionadas mediante un muestreo de tipo no probabilístico por conveniencia. La mayoría de las personas participantes tenían una edad promedio de 35 años, predominando el género femenino, tenían un tiempo de  permanencia en el país de más de 5 años y contaban con un estatus migratorio regularizado, además de ser laboralmente activas. Para la evaluación, se empleó la Escala de Resiliencia (ER),  </w:t>
      </w:r>
      <w:r w:rsidRPr="00BB49B8">
        <w:rPr>
          <w:i/>
          <w:color w:val="000000"/>
        </w:rPr>
        <w:t>Mindful Attention Awareness Scale</w:t>
      </w:r>
      <w:r w:rsidRPr="00BB49B8">
        <w:rPr>
          <w:color w:val="000000"/>
        </w:rPr>
        <w:t xml:space="preserve"> (MAAS-5) y la Escala Abreviada de Bienestar Psicológico de Ryff (SPWBA). Los hallazgos confirmaron que tanto la resiliencia como el mindfulness predicen significativamente la percepción del bienestar psicológico. Se concluye que, además de estos factores internos, elementos externos como el apoyo familiar y las redes de apoyo, la estabilidad migratoria y el acceso a servicios básicos y oportunidades laborales favorecen la integración y la percepción positiva del bienestar en la población migrante.</w:t>
      </w:r>
    </w:p>
    <w:p w14:paraId="66F6A289" w14:textId="77777777" w:rsidR="00331804" w:rsidRPr="00BB49B8" w:rsidRDefault="00331804" w:rsidP="00331804">
      <w:pPr>
        <w:spacing w:line="360" w:lineRule="auto"/>
        <w:jc w:val="both"/>
        <w:rPr>
          <w:color w:val="000000"/>
        </w:rPr>
      </w:pPr>
      <w:r w:rsidRPr="00BB49B8">
        <w:rPr>
          <w:b/>
          <w:color w:val="000000"/>
        </w:rPr>
        <w:t>Palabras clave</w:t>
      </w:r>
      <w:r w:rsidRPr="00BB49B8">
        <w:rPr>
          <w:color w:val="000000"/>
        </w:rPr>
        <w:t xml:space="preserve">: resiliencia; mindfulness; bienestar psicológico; migración; factores protectores. </w:t>
      </w:r>
    </w:p>
    <w:p w14:paraId="4A82C6C8" w14:textId="450DF289" w:rsidR="003A3994" w:rsidRPr="00BB49B8" w:rsidRDefault="007E4542" w:rsidP="00331804">
      <w:pPr>
        <w:spacing w:line="360" w:lineRule="auto"/>
        <w:jc w:val="center"/>
        <w:rPr>
          <w:b/>
          <w:bCs/>
          <w:color w:val="000000"/>
        </w:rPr>
      </w:pPr>
      <w:r w:rsidRPr="00BB49B8">
        <w:rPr>
          <w:b/>
          <w:bCs/>
          <w:color w:val="000000"/>
        </w:rPr>
        <w:t xml:space="preserve"> </w:t>
      </w:r>
    </w:p>
    <w:p w14:paraId="39BAF560" w14:textId="77777777" w:rsidR="00331804" w:rsidRPr="007F2EF5" w:rsidRDefault="00331804" w:rsidP="00331804">
      <w:pPr>
        <w:spacing w:line="259" w:lineRule="auto"/>
        <w:rPr>
          <w:b/>
          <w:color w:val="202124"/>
          <w:shd w:val="clear" w:color="auto" w:fill="F8F9FA"/>
        </w:rPr>
      </w:pPr>
      <w:r w:rsidRPr="007F2EF5">
        <w:rPr>
          <w:b/>
          <w:color w:val="202124"/>
          <w:shd w:val="clear" w:color="auto" w:fill="F8F9FA"/>
        </w:rPr>
        <w:br w:type="page"/>
      </w:r>
    </w:p>
    <w:p w14:paraId="24E9F010" w14:textId="5E0C8DD3" w:rsidR="003A3994" w:rsidRPr="007F2EF5" w:rsidRDefault="008B6DE2" w:rsidP="00331804">
      <w:pPr>
        <w:jc w:val="center"/>
        <w:rPr>
          <w:b/>
          <w:bCs/>
          <w:color w:val="000000"/>
          <w:lang w:val="en-US"/>
        </w:rPr>
      </w:pPr>
      <w:r w:rsidRPr="008B6DE2">
        <w:rPr>
          <w:b/>
          <w:bCs/>
          <w:color w:val="000000"/>
          <w:lang w:val="en-US"/>
        </w:rPr>
        <w:lastRenderedPageBreak/>
        <w:t>Strengthening Psychological Well-Being: The Role of Resilience and Mindfulness in Migrants from Lima</w:t>
      </w:r>
    </w:p>
    <w:p w14:paraId="0C33CB71" w14:textId="77777777" w:rsidR="00DA4756" w:rsidRPr="00BB49B8" w:rsidRDefault="00DA4756" w:rsidP="00331804">
      <w:pPr>
        <w:spacing w:line="360" w:lineRule="auto"/>
        <w:jc w:val="center"/>
        <w:rPr>
          <w:b/>
          <w:color w:val="202124"/>
          <w:shd w:val="clear" w:color="auto" w:fill="F8F9FA"/>
          <w:lang w:val="en-US"/>
        </w:rPr>
      </w:pPr>
    </w:p>
    <w:p w14:paraId="47D87212" w14:textId="77777777" w:rsidR="00DA4756" w:rsidRPr="00BB49B8" w:rsidRDefault="00DA4756" w:rsidP="00331804">
      <w:pPr>
        <w:spacing w:line="360" w:lineRule="auto"/>
        <w:jc w:val="center"/>
        <w:rPr>
          <w:b/>
          <w:color w:val="000000"/>
          <w:lang w:val="en-US"/>
        </w:rPr>
      </w:pPr>
      <w:r w:rsidRPr="00BB49B8">
        <w:rPr>
          <w:b/>
          <w:color w:val="000000"/>
          <w:lang w:val="en-US"/>
        </w:rPr>
        <w:t>ABSTRACT</w:t>
      </w:r>
    </w:p>
    <w:p w14:paraId="559CF5C7" w14:textId="68EBFBD5" w:rsidR="00DA4756" w:rsidRPr="00BB49B8" w:rsidRDefault="00DA4756" w:rsidP="00331804">
      <w:pPr>
        <w:spacing w:line="360" w:lineRule="auto"/>
        <w:jc w:val="both"/>
        <w:rPr>
          <w:color w:val="000000"/>
          <w:lang w:val="en-US"/>
        </w:rPr>
      </w:pPr>
      <w:r w:rsidRPr="00BB49B8">
        <w:rPr>
          <w:color w:val="000000"/>
          <w:lang w:val="en-US"/>
        </w:rPr>
        <w:t>The objective of this study was to analyze whether resilience and mindfulness are predictors of psychological well-being in migrants residing in Lima. The study included a sample of 348 Venezuelan migrants, selected through a non-probabilistic convenience sampling method. The majority of participants had an average age of 35 years, with a predominance of females. Additionally, they had been living in the country for more than five years, held a regularized migratory status, and were actively employed. For the assessment, the Resilience Scale (ER), the Mindful Attention Awareness Scale (MAAS-5), and the Brief Version of Ryff Psychological Well-Being Scale (SPWBA) were used. The findings confirmed that both resilience and mindfulness significantly predict the perception of psychological well-being. It is concluded that, in addition to these internal factors, external elements such as family support and social networks, migratory stability, and access to basic services and employment opportunities contribute to the integration and the positive perception of well-being among the migrant population.</w:t>
      </w:r>
    </w:p>
    <w:p w14:paraId="40290899" w14:textId="77777777" w:rsidR="00DA4756" w:rsidRPr="00BB49B8" w:rsidRDefault="00DA4756" w:rsidP="00331804">
      <w:pPr>
        <w:spacing w:line="360" w:lineRule="auto"/>
        <w:jc w:val="both"/>
        <w:rPr>
          <w:color w:val="000000"/>
          <w:lang w:val="en-US"/>
        </w:rPr>
      </w:pPr>
    </w:p>
    <w:p w14:paraId="018DB9F3" w14:textId="77777777" w:rsidR="00DA4756" w:rsidRPr="00BB49B8" w:rsidRDefault="00DA4756" w:rsidP="00331804">
      <w:pPr>
        <w:spacing w:line="360" w:lineRule="auto"/>
        <w:jc w:val="both"/>
        <w:rPr>
          <w:color w:val="000000"/>
          <w:lang w:val="en-US"/>
        </w:rPr>
      </w:pPr>
      <w:r w:rsidRPr="00BB49B8">
        <w:rPr>
          <w:b/>
          <w:color w:val="000000"/>
          <w:lang w:val="en-US"/>
        </w:rPr>
        <w:t>Keywords</w:t>
      </w:r>
      <w:r w:rsidRPr="00BB49B8">
        <w:rPr>
          <w:color w:val="000000"/>
          <w:lang w:val="en-US"/>
        </w:rPr>
        <w:t>: resilience; mindfulness; psychological well-being; migration; protective factors.</w:t>
      </w:r>
    </w:p>
    <w:p w14:paraId="35234CE9" w14:textId="77777777" w:rsidR="00DA4756" w:rsidRPr="00BB49B8" w:rsidRDefault="00DA4756" w:rsidP="00331804">
      <w:pPr>
        <w:spacing w:line="360" w:lineRule="auto"/>
        <w:jc w:val="both"/>
        <w:rPr>
          <w:b/>
          <w:color w:val="000000"/>
          <w:lang w:val="en-US"/>
        </w:rPr>
      </w:pPr>
    </w:p>
    <w:p w14:paraId="55F610A8" w14:textId="77777777" w:rsidR="009B06E8" w:rsidRPr="00BB49B8" w:rsidRDefault="009B06E8" w:rsidP="00331804">
      <w:pPr>
        <w:spacing w:line="360" w:lineRule="auto"/>
        <w:rPr>
          <w:color w:val="000000"/>
          <w:lang w:val="en-US"/>
        </w:rPr>
      </w:pPr>
    </w:p>
    <w:p w14:paraId="236ECCD0" w14:textId="77777777" w:rsidR="00271A5C" w:rsidRPr="00BB49B8" w:rsidRDefault="00271A5C" w:rsidP="00331804">
      <w:pPr>
        <w:spacing w:line="360" w:lineRule="auto"/>
        <w:rPr>
          <w:b/>
          <w:color w:val="000000"/>
          <w:lang w:val="en-US"/>
        </w:rPr>
      </w:pPr>
    </w:p>
    <w:p w14:paraId="552A6152" w14:textId="77777777" w:rsidR="00271A5C" w:rsidRPr="00BB49B8" w:rsidRDefault="00271A5C" w:rsidP="00331804">
      <w:pPr>
        <w:spacing w:line="360" w:lineRule="auto"/>
        <w:rPr>
          <w:b/>
          <w:color w:val="000000"/>
          <w:lang w:val="en-US"/>
        </w:rPr>
      </w:pPr>
    </w:p>
    <w:p w14:paraId="393E656A" w14:textId="77777777" w:rsidR="00271A5C" w:rsidRPr="00BB49B8" w:rsidRDefault="00271A5C" w:rsidP="00331804">
      <w:pPr>
        <w:spacing w:line="360" w:lineRule="auto"/>
        <w:rPr>
          <w:b/>
          <w:color w:val="000000"/>
          <w:lang w:val="en-US"/>
        </w:rPr>
      </w:pPr>
    </w:p>
    <w:p w14:paraId="14F84CE8" w14:textId="086AF9A8" w:rsidR="00271A5C" w:rsidRPr="00BB49B8" w:rsidRDefault="00271A5C" w:rsidP="00331804">
      <w:pPr>
        <w:spacing w:line="360" w:lineRule="auto"/>
        <w:rPr>
          <w:b/>
          <w:color w:val="000000"/>
          <w:lang w:val="en-US"/>
        </w:rPr>
      </w:pPr>
    </w:p>
    <w:p w14:paraId="0AF84939" w14:textId="721DC31B" w:rsidR="00DA4756" w:rsidRPr="00BB49B8" w:rsidRDefault="00DA4756" w:rsidP="00331804">
      <w:pPr>
        <w:spacing w:line="360" w:lineRule="auto"/>
        <w:rPr>
          <w:b/>
          <w:color w:val="000000"/>
          <w:lang w:val="en-US"/>
        </w:rPr>
      </w:pPr>
    </w:p>
    <w:p w14:paraId="7AD2D3DF" w14:textId="051715F7" w:rsidR="00DA4756" w:rsidRPr="00BB49B8" w:rsidRDefault="00DA4756" w:rsidP="00331804">
      <w:pPr>
        <w:spacing w:line="360" w:lineRule="auto"/>
        <w:rPr>
          <w:b/>
          <w:color w:val="000000"/>
          <w:lang w:val="en-US"/>
        </w:rPr>
      </w:pPr>
    </w:p>
    <w:p w14:paraId="61B25342" w14:textId="11310377" w:rsidR="00DA4756" w:rsidRPr="00BB49B8" w:rsidRDefault="00DA4756" w:rsidP="00331804">
      <w:pPr>
        <w:spacing w:line="360" w:lineRule="auto"/>
        <w:rPr>
          <w:b/>
          <w:color w:val="000000"/>
          <w:lang w:val="en-US"/>
        </w:rPr>
      </w:pPr>
    </w:p>
    <w:p w14:paraId="205EA2B5" w14:textId="77777777" w:rsidR="00DA4756" w:rsidRPr="00BB49B8" w:rsidRDefault="00DA4756" w:rsidP="00331804">
      <w:pPr>
        <w:spacing w:line="360" w:lineRule="auto"/>
        <w:rPr>
          <w:b/>
          <w:color w:val="000000"/>
          <w:lang w:val="en-US"/>
        </w:rPr>
      </w:pPr>
    </w:p>
    <w:p w14:paraId="016413B0" w14:textId="77777777" w:rsidR="00271A5C" w:rsidRPr="00BB49B8" w:rsidRDefault="00271A5C" w:rsidP="00331804">
      <w:pPr>
        <w:spacing w:line="360" w:lineRule="auto"/>
        <w:rPr>
          <w:b/>
          <w:color w:val="000000"/>
          <w:lang w:val="en-US"/>
        </w:rPr>
      </w:pPr>
    </w:p>
    <w:p w14:paraId="748EFB82" w14:textId="77777777" w:rsidR="00BB49B8" w:rsidRPr="00BB49B8" w:rsidRDefault="00BB49B8" w:rsidP="00331804">
      <w:pPr>
        <w:spacing w:line="360" w:lineRule="auto"/>
        <w:rPr>
          <w:b/>
          <w:color w:val="000000"/>
          <w:lang w:val="en-US"/>
        </w:rPr>
      </w:pPr>
    </w:p>
    <w:p w14:paraId="0BB289FD" w14:textId="77777777" w:rsidR="00271A5C" w:rsidRPr="007F2EF5" w:rsidRDefault="00271A5C" w:rsidP="00331804">
      <w:pPr>
        <w:spacing w:line="360" w:lineRule="auto"/>
        <w:rPr>
          <w:b/>
          <w:color w:val="000000"/>
          <w:lang w:val="en-US"/>
        </w:rPr>
      </w:pPr>
    </w:p>
    <w:p w14:paraId="486E87FC" w14:textId="77777777" w:rsidR="00271A5C" w:rsidRPr="007F2EF5" w:rsidRDefault="00271A5C" w:rsidP="00331804">
      <w:pPr>
        <w:spacing w:line="360" w:lineRule="auto"/>
        <w:rPr>
          <w:b/>
          <w:color w:val="000000"/>
          <w:lang w:val="en-US"/>
        </w:rPr>
      </w:pPr>
    </w:p>
    <w:p w14:paraId="29FBDD43" w14:textId="5B6473B1" w:rsidR="003A3994" w:rsidRPr="00BB49B8" w:rsidRDefault="007E4542" w:rsidP="00331804">
      <w:pPr>
        <w:spacing w:line="360" w:lineRule="auto"/>
        <w:rPr>
          <w:b/>
          <w:color w:val="000000"/>
        </w:rPr>
      </w:pPr>
      <w:r w:rsidRPr="00BB49B8">
        <w:rPr>
          <w:b/>
          <w:color w:val="000000"/>
        </w:rPr>
        <w:lastRenderedPageBreak/>
        <w:t xml:space="preserve">Introducción </w:t>
      </w:r>
    </w:p>
    <w:p w14:paraId="3E640E93" w14:textId="77777777" w:rsidR="003A3994" w:rsidRPr="00BB49B8" w:rsidRDefault="007E4542" w:rsidP="00331804">
      <w:pPr>
        <w:spacing w:line="360" w:lineRule="auto"/>
        <w:ind w:firstLine="720"/>
        <w:jc w:val="both"/>
        <w:rPr>
          <w:color w:val="000000"/>
        </w:rPr>
      </w:pPr>
      <w:r w:rsidRPr="00BB49B8">
        <w:rPr>
          <w:color w:val="000000"/>
        </w:rPr>
        <w:t>Los cambios geopolíticos y económicos de las últimas décadas han ocasionado el desplazamiento de millones de personas, quienes se han visto forzadas a migrar en busca de mayor seguridad o calidad de vida (International Organization for Migration [IOM], 2019). A</w:t>
      </w:r>
      <w:r w:rsidRPr="00BB49B8">
        <w:t xml:space="preserve"> finales del</w:t>
      </w:r>
      <w:r w:rsidRPr="00BB49B8">
        <w:rPr>
          <w:color w:val="000000"/>
        </w:rPr>
        <w:t xml:space="preserve"> 202</w:t>
      </w:r>
      <w:r w:rsidRPr="00BB49B8">
        <w:t>2</w:t>
      </w:r>
      <w:r w:rsidRPr="00BB49B8">
        <w:rPr>
          <w:color w:val="000000"/>
        </w:rPr>
        <w:t xml:space="preserve"> se registra</w:t>
      </w:r>
      <w:r w:rsidRPr="00BB49B8">
        <w:t xml:space="preserve"> una tendencia de</w:t>
      </w:r>
      <w:r w:rsidRPr="00BB49B8">
        <w:rPr>
          <w:color w:val="000000"/>
        </w:rPr>
        <w:t xml:space="preserve"> </w:t>
      </w:r>
      <w:r w:rsidRPr="00BB49B8">
        <w:t>108</w:t>
      </w:r>
      <w:r w:rsidRPr="00BB49B8">
        <w:rPr>
          <w:color w:val="000000"/>
        </w:rPr>
        <w:t>,</w:t>
      </w:r>
      <w:r w:rsidRPr="00BB49B8">
        <w:t>4</w:t>
      </w:r>
      <w:r w:rsidRPr="00BB49B8">
        <w:rPr>
          <w:color w:val="000000"/>
        </w:rPr>
        <w:t xml:space="preserve"> millones de personas desplazadas por motivos que van desde acontecimientos que han alterado el orden del país, hasta conflictos armados (Alto Comisionado de las Naciones Unidas para los Refugiados [ACNUR], 202</w:t>
      </w:r>
      <w:r w:rsidRPr="00BB49B8">
        <w:t>2</w:t>
      </w:r>
      <w:r w:rsidRPr="00BB49B8">
        <w:rPr>
          <w:color w:val="000000"/>
        </w:rPr>
        <w:t>).  En el Perú, se estima que, para finales del 202</w:t>
      </w:r>
      <w:r w:rsidRPr="00BB49B8">
        <w:t>3</w:t>
      </w:r>
      <w:r w:rsidRPr="00BB49B8">
        <w:rPr>
          <w:color w:val="000000"/>
        </w:rPr>
        <w:t xml:space="preserve"> habrá un promedio de 1,</w:t>
      </w:r>
      <w:r w:rsidRPr="00BB49B8">
        <w:t>6</w:t>
      </w:r>
      <w:r w:rsidRPr="00BB49B8">
        <w:rPr>
          <w:color w:val="000000"/>
        </w:rPr>
        <w:t xml:space="preserve"> millones de migrantes (Plataforma de Coordinación</w:t>
      </w:r>
      <w:r w:rsidRPr="00BB49B8">
        <w:t xml:space="preserve"> interagencial</w:t>
      </w:r>
      <w:r w:rsidRPr="00BB49B8">
        <w:rPr>
          <w:color w:val="000000"/>
        </w:rPr>
        <w:t xml:space="preserve"> para </w:t>
      </w:r>
      <w:r w:rsidRPr="00BB49B8">
        <w:t>R</w:t>
      </w:r>
      <w:r w:rsidRPr="00BB49B8">
        <w:rPr>
          <w:color w:val="000000"/>
        </w:rPr>
        <w:t xml:space="preserve">efugiados y </w:t>
      </w:r>
      <w:r w:rsidRPr="00BB49B8">
        <w:t>M</w:t>
      </w:r>
      <w:r w:rsidRPr="00BB49B8">
        <w:rPr>
          <w:color w:val="000000"/>
        </w:rPr>
        <w:t>igrantes de Venezuela</w:t>
      </w:r>
      <w:r w:rsidRPr="00BB49B8">
        <w:t xml:space="preserve"> [R4V],</w:t>
      </w:r>
      <w:r w:rsidRPr="00BB49B8">
        <w:rPr>
          <w:color w:val="000000"/>
        </w:rPr>
        <w:t xml:space="preserve"> 202</w:t>
      </w:r>
      <w:r w:rsidRPr="00BB49B8">
        <w:t>2</w:t>
      </w:r>
      <w:r w:rsidRPr="00BB49B8">
        <w:rPr>
          <w:color w:val="000000"/>
        </w:rPr>
        <w:t xml:space="preserve">), esta cifra podría ser aún mayor cuando se tiene en cuenta que no toda la población está debidamente regularizada (Plataforma de Coordinación para </w:t>
      </w:r>
      <w:r w:rsidRPr="00BB49B8">
        <w:t>R</w:t>
      </w:r>
      <w:r w:rsidRPr="00BB49B8">
        <w:rPr>
          <w:color w:val="000000"/>
        </w:rPr>
        <w:t xml:space="preserve">efugiados y </w:t>
      </w:r>
      <w:r w:rsidRPr="00BB49B8">
        <w:t>M</w:t>
      </w:r>
      <w:r w:rsidRPr="00BB49B8">
        <w:rPr>
          <w:color w:val="000000"/>
        </w:rPr>
        <w:t>igrantes de Venezuela [R4V], 202</w:t>
      </w:r>
      <w:r w:rsidRPr="00BB49B8">
        <w:t>0</w:t>
      </w:r>
      <w:r w:rsidRPr="00BB49B8">
        <w:rPr>
          <w:color w:val="000000"/>
        </w:rPr>
        <w:t>).</w:t>
      </w:r>
    </w:p>
    <w:p w14:paraId="1F8FEB38" w14:textId="77777777" w:rsidR="003A3994" w:rsidRPr="00BB49B8" w:rsidRDefault="007E4542" w:rsidP="00331804">
      <w:pPr>
        <w:spacing w:line="360" w:lineRule="auto"/>
        <w:ind w:firstLine="720"/>
        <w:jc w:val="both"/>
        <w:rPr>
          <w:color w:val="000000"/>
        </w:rPr>
      </w:pPr>
      <w:r w:rsidRPr="00BB49B8">
        <w:rPr>
          <w:color w:val="000000"/>
        </w:rPr>
        <w:t>El impacto que tiene la migración, sobre el bienestar integral de las personas ha sido sujeto de diversas investigaciones a la fecha (Cano et al., 2021; Richter et al., 2020; Sangalang et al., 2019; Steel et al., 2017; Waxenegger et al., 2019). No obstante, estos estudios se han centrado, casi en su totalidad, en los aspectos negativos que esto acarrea (Cobb et al., 2019). En el campo de la psicología se han explorado temas como depresión (Fanfan et al., 2020), ansiedad, estrés post traumático (Clearly et al., 2018) e ideaciones suicidas (Montgomery &amp; Bhugra, 2021), entre otros. Estas variables se agudizaron a raíz del confinamiento y la pandemia, llegando a afectar a cerca de la mitad de ellos (ACNUR, 2022).</w:t>
      </w:r>
    </w:p>
    <w:p w14:paraId="6F3F7BFD" w14:textId="77777777" w:rsidR="003A3994" w:rsidRPr="00BB49B8" w:rsidRDefault="007E4542" w:rsidP="00331804">
      <w:pPr>
        <w:spacing w:line="360" w:lineRule="auto"/>
        <w:ind w:firstLine="720"/>
        <w:jc w:val="both"/>
        <w:rPr>
          <w:color w:val="000000"/>
        </w:rPr>
      </w:pPr>
      <w:r w:rsidRPr="00BB49B8">
        <w:rPr>
          <w:color w:val="000000"/>
        </w:rPr>
        <w:t>En el trabajo con esta población, las investigaciones realizadas desde un enfoque positivista son muy puntuales, descuidando las fortalezas que esta población ostenta (Cobb et al., 2019; Pardo, 2022; Sanchez, 2023). Se ha señalado que pese a las dificultades que puedan afrontar, poseen capacidades inherentes o aprendidas, que les ayuda a mantener un determinado nivel de bienestar, el cual incluso puede sobrepasar aquel que tiene la población residente (Salas-Wright et al., 2016; Vitoroulis et al., 2022).</w:t>
      </w:r>
    </w:p>
    <w:p w14:paraId="71847F09" w14:textId="77777777" w:rsidR="003A3994" w:rsidRPr="00BB49B8" w:rsidRDefault="007E4542" w:rsidP="00331804">
      <w:pPr>
        <w:spacing w:line="360" w:lineRule="auto"/>
        <w:jc w:val="both"/>
        <w:rPr>
          <w:b/>
          <w:color w:val="000000"/>
        </w:rPr>
      </w:pPr>
      <w:r w:rsidRPr="00BB49B8">
        <w:rPr>
          <w:b/>
          <w:color w:val="000000"/>
        </w:rPr>
        <w:t>Resiliencia:</w:t>
      </w:r>
    </w:p>
    <w:p w14:paraId="030A6C4B" w14:textId="77777777" w:rsidR="003A3994" w:rsidRPr="00BB49B8" w:rsidRDefault="007E4542" w:rsidP="00331804">
      <w:pPr>
        <w:spacing w:line="360" w:lineRule="auto"/>
        <w:ind w:firstLine="720"/>
        <w:jc w:val="both"/>
        <w:rPr>
          <w:color w:val="000000"/>
        </w:rPr>
      </w:pPr>
      <w:r w:rsidRPr="00BB49B8">
        <w:rPr>
          <w:color w:val="000000"/>
        </w:rPr>
        <w:t xml:space="preserve">La resiliencia es un concepto que por su complejidad es utilizado en distintos ámbitos, desde negocios hasta el campo de la psicología (Immink, 2018; Vella &amp; Pai, 2019). Es entendida como la habilidad de ser flexibles, cognitiva y conductualmente, pudiendo atravesar situaciones difíciles o desafiantes y adaptarnos a ellas, sin perjuicio de nuestra salud mental (Guha, 2017; Vella </w:t>
      </w:r>
      <w:r w:rsidRPr="00BB49B8">
        <w:rPr>
          <w:color w:val="000000"/>
        </w:rPr>
        <w:lastRenderedPageBreak/>
        <w:t>&amp; Pai, 2019). Mientras un individuo posea un nivel más alto de resiliencia, será menos vulnerable a padecer de enfermedades e incluso será capaz de recuperarse con mayor rapidez que aquellos que presentan un nivel más bajo (Babić et al., 2020).  Se considera que la resiliencia engloba los siguientes factores:</w:t>
      </w:r>
      <w:r w:rsidRPr="00BB49B8">
        <w:rPr>
          <w:i/>
          <w:color w:val="000000"/>
        </w:rPr>
        <w:t xml:space="preserve"> Ecuanimidad, Confianza y sentirse bien solo,  Perseverancia y  Aceptación de uno mismo</w:t>
      </w:r>
      <w:r w:rsidRPr="00BB49B8">
        <w:rPr>
          <w:color w:val="000000"/>
        </w:rPr>
        <w:t xml:space="preserve"> (Wagnild &amp; Young, 1993). </w:t>
      </w:r>
    </w:p>
    <w:p w14:paraId="41E91BA3" w14:textId="77777777" w:rsidR="003A3994" w:rsidRPr="00BB49B8" w:rsidRDefault="007E4542" w:rsidP="00331804">
      <w:pPr>
        <w:pBdr>
          <w:top w:val="nil"/>
          <w:left w:val="nil"/>
          <w:bottom w:val="nil"/>
          <w:right w:val="nil"/>
          <w:between w:val="nil"/>
        </w:pBdr>
        <w:spacing w:line="360" w:lineRule="auto"/>
        <w:ind w:firstLine="720"/>
        <w:jc w:val="both"/>
        <w:rPr>
          <w:color w:val="000000"/>
        </w:rPr>
      </w:pPr>
      <w:r w:rsidRPr="00BB49B8">
        <w:rPr>
          <w:color w:val="000000"/>
        </w:rPr>
        <w:t>Como menciona Achotegui (2009), la población migrante posee ventajas que facilitan el proceso de adaptación cultural, no obstante, también enfrentan diferentes dificultades que les pueden ocasionar cuadros de estrés y malestar emocional. Aún más, se ha determinado que el afrontar situaciones de gran carga emocional y afectiva, puede llegar a poner en riesgo su salud mental (Caycho et al., 2014; Hahad et al., 2019).</w:t>
      </w:r>
    </w:p>
    <w:p w14:paraId="26D6245F" w14:textId="77777777" w:rsidR="003A3994" w:rsidRPr="00BB49B8" w:rsidRDefault="007E4542" w:rsidP="00331804">
      <w:pPr>
        <w:pBdr>
          <w:top w:val="nil"/>
          <w:left w:val="nil"/>
          <w:bottom w:val="nil"/>
          <w:right w:val="nil"/>
          <w:between w:val="nil"/>
        </w:pBdr>
        <w:spacing w:line="360" w:lineRule="auto"/>
        <w:jc w:val="both"/>
        <w:rPr>
          <w:b/>
          <w:color w:val="000000"/>
        </w:rPr>
      </w:pPr>
      <w:r w:rsidRPr="00BB49B8">
        <w:rPr>
          <w:b/>
          <w:color w:val="000000"/>
        </w:rPr>
        <w:t>Mindfulness:</w:t>
      </w:r>
    </w:p>
    <w:p w14:paraId="003E0710" w14:textId="77777777" w:rsidR="003A3994" w:rsidRPr="00BB49B8" w:rsidRDefault="007E4542" w:rsidP="00331804">
      <w:pPr>
        <w:spacing w:line="360" w:lineRule="auto"/>
        <w:ind w:firstLine="720"/>
        <w:jc w:val="both"/>
        <w:rPr>
          <w:color w:val="000000"/>
        </w:rPr>
      </w:pPr>
      <w:r w:rsidRPr="00BB49B8">
        <w:rPr>
          <w:color w:val="000000"/>
        </w:rPr>
        <w:t>El mindfulness o atención plena, como una función de la conciencia contribuye al bienestar (Brown et al., 2007; Jiménez et al., 2010). En psicología, se ha conceptualizado teniendo en consideración su habilidad en la regulación de la emoción (Arı et al., 2020; Baer, 2003), la misma que permite fungir de moderador ante las respuestas, basadas en el estrés y la ansiedad, que recibe del entorno (Jiménez et al., 2010). Además, contribuye a combatir la rumiación y la falta de aceptación hacia las experiencias, principales causantes de los cuadros depresivos (Hayes &amp; Felman, 2004; Jin et al., 2020).</w:t>
      </w:r>
    </w:p>
    <w:p w14:paraId="66A1AD47" w14:textId="77777777" w:rsidR="003A3994" w:rsidRPr="00BB49B8" w:rsidRDefault="007E4542" w:rsidP="00331804">
      <w:pPr>
        <w:spacing w:line="360" w:lineRule="auto"/>
        <w:ind w:firstLine="720"/>
        <w:jc w:val="both"/>
        <w:rPr>
          <w:color w:val="000000"/>
        </w:rPr>
      </w:pPr>
      <w:r w:rsidRPr="00BB49B8">
        <w:rPr>
          <w:color w:val="000000"/>
        </w:rPr>
        <w:t xml:space="preserve">Sin embargo, el mindfulness más allá de ser una práctica, también se considera un proceso psicológico, que consiste en enfocar la atención a un objeto determinado (Germer, 2011), se puede practicar y desarrollar (García </w:t>
      </w:r>
      <w:r w:rsidRPr="00BB49B8">
        <w:t>&amp; Demarzo</w:t>
      </w:r>
      <w:r w:rsidRPr="00BB49B8">
        <w:rPr>
          <w:color w:val="000000"/>
        </w:rPr>
        <w:t xml:space="preserve">., 2015), y se asocia con la reducción del malestar psicológico (Alsubaie et al., 2017; Gu et al., 2015; Hepburn et al., 2021). </w:t>
      </w:r>
    </w:p>
    <w:p w14:paraId="63816D09" w14:textId="77777777" w:rsidR="003A3994" w:rsidRPr="00BB49B8" w:rsidRDefault="007E4542" w:rsidP="00331804">
      <w:pPr>
        <w:spacing w:line="360" w:lineRule="auto"/>
        <w:ind w:firstLine="720"/>
        <w:jc w:val="both"/>
        <w:rPr>
          <w:color w:val="000000"/>
        </w:rPr>
      </w:pPr>
      <w:r w:rsidRPr="00BB49B8">
        <w:rPr>
          <w:color w:val="000000"/>
        </w:rPr>
        <w:t xml:space="preserve"> Como mencionan Laca et al., (2017), los seres humanos somos capaces de estar atentos en el momento presente y tener consciencia de este; sin embargo, cada ser humano presenta habilidades para la atención y la concentración, la cual puede variar, por lo que pueda estar ocurriendo en el contexto (Brown &amp; Ryan, 2003). A los estados espontáneos de conciencia plena, que no se activan mediante una práctica específica, se les ha descrito como “disposición al mindfulness” (Jiménez et al., 2010). </w:t>
      </w:r>
    </w:p>
    <w:p w14:paraId="7740DE3D" w14:textId="77777777" w:rsidR="003A3994" w:rsidRPr="00BB49B8" w:rsidRDefault="007E4542" w:rsidP="00331804">
      <w:pPr>
        <w:spacing w:line="360" w:lineRule="auto"/>
        <w:ind w:firstLine="720"/>
        <w:jc w:val="both"/>
        <w:rPr>
          <w:color w:val="000000"/>
        </w:rPr>
      </w:pPr>
      <w:r w:rsidRPr="00BB49B8">
        <w:rPr>
          <w:color w:val="000000"/>
        </w:rPr>
        <w:t xml:space="preserve">Asimismo, al practicar la atención plena de forma constante se consigue una mayor capacidad de concentrarse y notar objetivamente las cosas que acontecen alrededor nuestro y en nuestro entorno (Pélaez-López et al., 2021). Las personas que incorporan en su día a día la atención </w:t>
      </w:r>
      <w:r w:rsidRPr="00BB49B8">
        <w:rPr>
          <w:color w:val="000000"/>
        </w:rPr>
        <w:lastRenderedPageBreak/>
        <w:t>plena, logran desarrollar sus capacidades de empatía y compasión, lo que lleva a tener relaciones personales fortalecidas y gestionan de manera más eficaz los conflictos (Fernández</w:t>
      </w:r>
      <w:r w:rsidRPr="00BB49B8">
        <w:t>-</w:t>
      </w:r>
      <w:r w:rsidRPr="00BB49B8">
        <w:rPr>
          <w:color w:val="000000"/>
        </w:rPr>
        <w:t>Ozcorta et al., 2014; Pérez-Aranda et al., 2021).</w:t>
      </w:r>
    </w:p>
    <w:p w14:paraId="731EE937" w14:textId="77777777" w:rsidR="003A3994" w:rsidRPr="00BB49B8" w:rsidRDefault="007E4542" w:rsidP="00331804">
      <w:pPr>
        <w:spacing w:line="360" w:lineRule="auto"/>
        <w:jc w:val="both"/>
        <w:rPr>
          <w:b/>
          <w:color w:val="000000"/>
        </w:rPr>
      </w:pPr>
      <w:r w:rsidRPr="00BB49B8">
        <w:rPr>
          <w:b/>
          <w:color w:val="000000"/>
        </w:rPr>
        <w:t>Bienestar Psicológico:</w:t>
      </w:r>
    </w:p>
    <w:p w14:paraId="03E5CCDC" w14:textId="77777777" w:rsidR="003A3994" w:rsidRPr="00BB49B8" w:rsidRDefault="007E4542" w:rsidP="00331804">
      <w:pPr>
        <w:spacing w:line="360" w:lineRule="auto"/>
        <w:ind w:firstLine="708"/>
        <w:jc w:val="both"/>
        <w:rPr>
          <w:color w:val="000000"/>
        </w:rPr>
      </w:pPr>
      <w:r w:rsidRPr="00BB49B8">
        <w:rPr>
          <w:color w:val="000000"/>
        </w:rPr>
        <w:t xml:space="preserve">Por otra parte, se puede identificar situaciones como la discriminación (Mera-Lemp et al., 2020), la falta de oportunidades laborales (Mera-Lemp et al., 2019) y la dificultad para integrarse que pueden generar un resultado negativo en la salud mental e impactar en el bienestar psicológico de un migrante lo cual, lo puede limitar u obstaculizar en su proceso de integración en el país de acogida (Mera-Lemp et al., 2020). En relación con ello, se identifica que los migrantes de origen venezolano, por su condición de ser marginados, y encontrarse frecuentemente en situaciones de pobreza, son más vulnerables a sufrir actos discriminatorios que afecta de manera negativa su salud integral, bienestar e incluso su calidad de vida (Ubach &amp; Santacana, 2016). </w:t>
      </w:r>
    </w:p>
    <w:p w14:paraId="21F0BA5D" w14:textId="77777777" w:rsidR="003A3994" w:rsidRPr="00BB49B8" w:rsidRDefault="007E4542" w:rsidP="00331804">
      <w:pPr>
        <w:spacing w:line="360" w:lineRule="auto"/>
        <w:ind w:firstLine="708"/>
        <w:jc w:val="both"/>
        <w:rPr>
          <w:color w:val="000000"/>
        </w:rPr>
      </w:pPr>
      <w:r w:rsidRPr="00BB49B8">
        <w:rPr>
          <w:color w:val="000000"/>
        </w:rPr>
        <w:t>Además, se identificó que los motivos por los que los migrantes tuvieron que salir de su país de origen, así como su situación legal en el país que residen, puede afectar su bienestar (Pinilla &amp; Amparo, 2013). Asimismo, los migrantes que se encuentran en situación irregular, en su mayoría, están en una situación vulnerable que impacta en su salud, aunado a esto se enfrentan a diferentes barreras que complican el acceso a los servicios de salud del país anfitrión (Larenas-Rosa &amp; Valdés, 2019) sobre todo los que tienen menor tiempo de residencia en Lima (</w:t>
      </w:r>
      <w:r w:rsidRPr="00BB49B8">
        <w:t>Blouin, 2019</w:t>
      </w:r>
      <w:r w:rsidRPr="00BB49B8">
        <w:rPr>
          <w:color w:val="000000"/>
        </w:rPr>
        <w:t xml:space="preserve">). </w:t>
      </w:r>
    </w:p>
    <w:p w14:paraId="2B2A3C3B" w14:textId="77777777" w:rsidR="003A3994" w:rsidRPr="00BB49B8" w:rsidRDefault="007E4542" w:rsidP="00331804">
      <w:pPr>
        <w:spacing w:line="360" w:lineRule="auto"/>
        <w:ind w:firstLine="720"/>
        <w:jc w:val="both"/>
        <w:rPr>
          <w:color w:val="000000"/>
        </w:rPr>
      </w:pPr>
      <w:r w:rsidRPr="00BB49B8">
        <w:rPr>
          <w:color w:val="000000"/>
        </w:rPr>
        <w:t>El bienestar psicológico, propuesto por Ryff en 1989 refiere a la condición de apertura del ser humano para evolucionar, desarrollarse y a la manera de cómo hace frente a los desafíos haciendo uso de sus competencias personales (Castellar, 2020; Ramos, 2020). Además, Ryff, desarrolla un modelo multidimensional de bienestar psicológico que se divide en seis dimensiones, las cuales son; autoaceptación, dominio del entorno, autonomía, relaciones positivas con otras personas, crecimiento personal y propósito de vida (Luna, et al., 2020). En base a dichas dimensiones se crea la Escala de Bienestar Psicológico (</w:t>
      </w:r>
      <w:r w:rsidRPr="00BB49B8">
        <w:t>A</w:t>
      </w:r>
      <w:r w:rsidRPr="00BB49B8">
        <w:rPr>
          <w:color w:val="000000"/>
        </w:rPr>
        <w:t>lvarez</w:t>
      </w:r>
      <w:r w:rsidRPr="00BB49B8">
        <w:t>-</w:t>
      </w:r>
      <w:r w:rsidRPr="00BB49B8">
        <w:rPr>
          <w:color w:val="000000"/>
        </w:rPr>
        <w:t>Sol</w:t>
      </w:r>
      <w:r w:rsidRPr="00BB49B8">
        <w:t>ó</w:t>
      </w:r>
      <w:r w:rsidRPr="00BB49B8">
        <w:rPr>
          <w:color w:val="000000"/>
        </w:rPr>
        <w:t xml:space="preserve">rzano, 2019). </w:t>
      </w:r>
    </w:p>
    <w:p w14:paraId="0E5570FD" w14:textId="77777777" w:rsidR="003A3994" w:rsidRPr="00BB49B8" w:rsidRDefault="007E4542" w:rsidP="00331804">
      <w:pPr>
        <w:spacing w:line="360" w:lineRule="auto"/>
        <w:ind w:firstLine="720"/>
        <w:jc w:val="both"/>
        <w:rPr>
          <w:color w:val="000000"/>
        </w:rPr>
      </w:pPr>
      <w:r w:rsidRPr="00BB49B8">
        <w:rPr>
          <w:color w:val="000000"/>
        </w:rPr>
        <w:t xml:space="preserve">Por otro lado, si un migrante al llegar a una nueva sociedad identifica diferencias culturales, pero supera estas diferencias, logra su adaptación social, lo cual correlaciona de manera positiva con su bienestar psicológico (Martínez, 2018). </w:t>
      </w:r>
    </w:p>
    <w:p w14:paraId="7EDC4D4F" w14:textId="77777777" w:rsidR="003A3994" w:rsidRPr="00BB49B8" w:rsidRDefault="007E4542" w:rsidP="00331804">
      <w:pPr>
        <w:spacing w:line="360" w:lineRule="auto"/>
        <w:ind w:firstLine="708"/>
        <w:jc w:val="both"/>
        <w:rPr>
          <w:color w:val="000000"/>
        </w:rPr>
      </w:pPr>
      <w:r w:rsidRPr="00BB49B8">
        <w:rPr>
          <w:color w:val="000000"/>
        </w:rPr>
        <w:t xml:space="preserve">En otro punto, un estudio identificó que las mujeres migrantes muestran activos internos que les ayudan a encontrar propósito, significado y desarrollar resiliencia, los cuales son: la </w:t>
      </w:r>
      <w:r w:rsidRPr="00BB49B8">
        <w:rPr>
          <w:color w:val="000000"/>
        </w:rPr>
        <w:lastRenderedPageBreak/>
        <w:t>automotivación y autoconfianza; la reflexión del bien en su vida y gratitud; el objetivo personal; la decisión de no permitir que el miedo limite sus esfuerzos; el anhelo de encontrar información y soporte para resolver problemas; y la capacidad de no victimizarse (Sajquim de Torres &amp; Lusk, 2018).  Sumado a lo anterior, en otros estudios se expone que las mujeres migrantes pueden ser psicológicamente más vulnerables a diferencia de los hombres porque están expuestas a más riesgos (Jasinskaja-Lathi et al., 2006; Singh et al., 2015).</w:t>
      </w:r>
    </w:p>
    <w:p w14:paraId="648EC0C4" w14:textId="77777777" w:rsidR="003A3994" w:rsidRPr="00BB49B8" w:rsidRDefault="007E4542" w:rsidP="00331804">
      <w:pPr>
        <w:spacing w:line="360" w:lineRule="auto"/>
        <w:ind w:firstLine="720"/>
        <w:jc w:val="both"/>
        <w:rPr>
          <w:color w:val="000000"/>
        </w:rPr>
      </w:pPr>
      <w:r w:rsidRPr="00BB49B8">
        <w:rPr>
          <w:color w:val="000000"/>
        </w:rPr>
        <w:t>Se considera que, cuando una persona migrante accede a un trabajo en el país de refugio mantiene una relación positiva y significativa con su bienestar (Mera-Lemp et al., 2019). Sin embargo, se presentan diferencias entre el nivel de bienestar dependiendo si el migrante accede a un trabajo de tiempo completo o parcial, siendo este último el que presenta un porcentaje más bajo a diferencia del trabajo a tiempo completo (Salcedo et al., 2019).  Además, si las condiciones laborales cumplen con las expectativas esperadas, esto puede repercutir de manera positiva en su salud mental (Elgorriaga et al., 2019).</w:t>
      </w:r>
    </w:p>
    <w:p w14:paraId="5385FCCA" w14:textId="77777777" w:rsidR="003A3994" w:rsidRPr="00BB49B8" w:rsidRDefault="007E4542" w:rsidP="00331804">
      <w:pPr>
        <w:spacing w:line="360" w:lineRule="auto"/>
        <w:ind w:firstLine="720"/>
        <w:jc w:val="both"/>
        <w:rPr>
          <w:color w:val="000000"/>
        </w:rPr>
      </w:pPr>
      <w:r w:rsidRPr="00BB49B8">
        <w:rPr>
          <w:color w:val="000000"/>
        </w:rPr>
        <w:t xml:space="preserve">En base a lo que se ha venido señalando, se hace evidente que la población migrante es una población vulnerable, que se encuentra expuesta a diferentes tipos de dificultades (Kevers et al., 2022). Pese a ello, encontramos que poseen factores protectores que les permiten mantener un grado óptimo de bienestar ante las adversidades (Berry &amp; Hou, 2021). </w:t>
      </w:r>
    </w:p>
    <w:p w14:paraId="563FA633" w14:textId="77777777" w:rsidR="003A3994" w:rsidRPr="00BB49B8" w:rsidRDefault="007E4542" w:rsidP="00331804">
      <w:pPr>
        <w:spacing w:line="360" w:lineRule="auto"/>
        <w:ind w:firstLine="720"/>
        <w:jc w:val="both"/>
        <w:rPr>
          <w:color w:val="000000"/>
        </w:rPr>
      </w:pPr>
      <w:r w:rsidRPr="00BB49B8">
        <w:rPr>
          <w:color w:val="000000"/>
        </w:rPr>
        <w:t xml:space="preserve">Así mismo, se evidencia que los migrantes poseen factores protectores derivados de las experiencias adversas que han afrontado a lo largo de su vida, las cuales pueden presentarse desde la etapa infanto-juvenil hasta la etapa de la adultez, ello les confiere una alta capacidad de resiliencia (García &amp; Domínguez, 2013). </w:t>
      </w:r>
    </w:p>
    <w:p w14:paraId="62D7E40B" w14:textId="77777777" w:rsidR="003A3994" w:rsidRPr="00BB49B8" w:rsidRDefault="007E4542" w:rsidP="00331804">
      <w:pPr>
        <w:spacing w:line="360" w:lineRule="auto"/>
        <w:ind w:firstLine="720"/>
        <w:jc w:val="both"/>
        <w:rPr>
          <w:color w:val="000000"/>
        </w:rPr>
      </w:pPr>
      <w:r w:rsidRPr="00BB49B8">
        <w:rPr>
          <w:color w:val="000000"/>
        </w:rPr>
        <w:t xml:space="preserve">Partiendo del conocimiento de que el nivel bajo de resiliencia de una persona guarda una correlación negativa con el incremento de problemas en la salud, física y psicológica; mientras que un nivel alto de resiliencia predice conductas positivas de motivación, optimismo y desarrollo de habilidades sociales, las que a su vez están relacionadas con el grado de bienestar (Babić et al., 2020). </w:t>
      </w:r>
    </w:p>
    <w:p w14:paraId="0F545AF5" w14:textId="77777777" w:rsidR="003A3994" w:rsidRPr="00BB49B8" w:rsidRDefault="007E4542" w:rsidP="00331804">
      <w:pPr>
        <w:spacing w:line="360" w:lineRule="auto"/>
        <w:ind w:firstLine="720"/>
        <w:jc w:val="both"/>
        <w:rPr>
          <w:color w:val="000000"/>
        </w:rPr>
      </w:pPr>
      <w:r w:rsidRPr="00BB49B8">
        <w:rPr>
          <w:color w:val="000000"/>
        </w:rPr>
        <w:t xml:space="preserve">Del mismo modo, la influencia de variables como resiliencia y mindfulness sobre el bienestar psicológico de las personas ha sido indagada. Estudios realizados en estudiantes universitarios han encontrado una relación significativamente positiva entre estas, al grado que se sugiere la creación de programas que ayuden a cultivarlas para mejorar el bienestar (Pidgeon &amp; Keye, 2014). En esa misma línea, otro estudio exploró esta misma relación en universitarios </w:t>
      </w:r>
      <w:r w:rsidRPr="00BB49B8">
        <w:rPr>
          <w:color w:val="000000"/>
        </w:rPr>
        <w:lastRenderedPageBreak/>
        <w:t>provenientes de Pakistán y Rusia, estableciendo una asociación positiva, pese a las diferentes nacionalidades de los participantes, donde la relación entre mindfulness y el bienestar subjetivo estaban moderado por la resiliencia (Zubair et al., 2018).</w:t>
      </w:r>
    </w:p>
    <w:p w14:paraId="32321E21" w14:textId="77777777" w:rsidR="003A3994" w:rsidRPr="00BB49B8" w:rsidRDefault="007E4542" w:rsidP="00331804">
      <w:pPr>
        <w:spacing w:line="360" w:lineRule="auto"/>
        <w:ind w:firstLine="700"/>
        <w:jc w:val="both"/>
        <w:rPr>
          <w:color w:val="000000"/>
        </w:rPr>
      </w:pPr>
      <w:r w:rsidRPr="00BB49B8">
        <w:rPr>
          <w:color w:val="000000"/>
        </w:rPr>
        <w:t>Asimismo, en una investigación realizada en Malasia se concluyó que los estudiantes de enfermería que presentaban altos niveles de resiliencia y mindfulness también tendrían un alto nivel de bienestar psicológico. Además, se expone que la resiliencia y mindfulness influyen de manera significativa en la predicción del bienestar psicológico (Fen, 2020).</w:t>
      </w:r>
    </w:p>
    <w:p w14:paraId="47BAA983" w14:textId="77777777" w:rsidR="003A3994" w:rsidRPr="00BB49B8" w:rsidRDefault="007E4542" w:rsidP="00331804">
      <w:pPr>
        <w:spacing w:line="360" w:lineRule="auto"/>
        <w:ind w:firstLine="700"/>
        <w:jc w:val="both"/>
        <w:rPr>
          <w:color w:val="000000"/>
        </w:rPr>
      </w:pPr>
      <w:r w:rsidRPr="00BB49B8">
        <w:rPr>
          <w:color w:val="000000"/>
        </w:rPr>
        <w:t>Siguiendo en la línea del área de salud, una investigación realizada en médicos de Pakistán donde la mitad de los participantes trabajaban en las unidades de cuidados intensivos y la otra mitad en las unidades no críticas, se mostró que existía una correlación positiva y significativa entre la resiliencia, la autocompasión, la atención plena y el bienestar emocional en los médicos, sin diferenciarse por el área en el cual laboran.  En el análisis de regresión se identificó que la autocompasión predecía de manera significativa en el bienestar emocional (Sabir et al., 2018).</w:t>
      </w:r>
    </w:p>
    <w:p w14:paraId="5F05D20B" w14:textId="77777777" w:rsidR="003A3994" w:rsidRPr="00BB49B8" w:rsidRDefault="007E4542" w:rsidP="00331804">
      <w:pPr>
        <w:spacing w:line="360" w:lineRule="auto"/>
        <w:ind w:firstLine="720"/>
        <w:jc w:val="both"/>
        <w:rPr>
          <w:color w:val="000000"/>
        </w:rPr>
      </w:pPr>
      <w:r w:rsidRPr="00BB49B8">
        <w:rPr>
          <w:color w:val="000000"/>
        </w:rPr>
        <w:t>Pese a que las anteriores investigaciones han indagado acerca de la influencia sobre el bienestar psicológico que tienen el mindfulness y la resiliencia, dichos estudios no se han realizado sobre la población migrante, la misma que como se ha expuesto enfrenta diversas problemáticas que requieren de factores protectores para superarlas. Por ello, es relevante la exploración de elementos que permitan que los migrantes mantengan un adecuado nivel de bienestar psicológico, pese a las adversidades a las que se enfrentan. Ya que ello permitirá que, por un lado, se obtenga un conocimiento más profundo de los factores protectores que poseen, empoderando a una población que ha venido siendo estudiada desde perspectivas patológicas; por otro lado, se contribuirá a expandir las investigaciones desde la visión de la psicología positivista que adolecen en relación con este grupo (Cobb et al., 2019).</w:t>
      </w:r>
    </w:p>
    <w:p w14:paraId="7D57C676" w14:textId="77777777" w:rsidR="003A3994" w:rsidRPr="00BB49B8" w:rsidRDefault="007E4542" w:rsidP="00331804">
      <w:pPr>
        <w:spacing w:line="360" w:lineRule="auto"/>
        <w:jc w:val="both"/>
        <w:rPr>
          <w:b/>
          <w:color w:val="000000"/>
        </w:rPr>
      </w:pPr>
      <w:r w:rsidRPr="00BB49B8">
        <w:rPr>
          <w:b/>
          <w:color w:val="000000"/>
        </w:rPr>
        <w:t>Objetivo:</w:t>
      </w:r>
    </w:p>
    <w:p w14:paraId="7ED511DA" w14:textId="77777777" w:rsidR="0057617F" w:rsidRPr="00BB49B8" w:rsidRDefault="007E4542" w:rsidP="00331804">
      <w:pPr>
        <w:spacing w:line="360" w:lineRule="auto"/>
        <w:ind w:firstLine="720"/>
        <w:jc w:val="both"/>
        <w:rPr>
          <w:color w:val="000000"/>
        </w:rPr>
      </w:pPr>
      <w:r w:rsidRPr="00BB49B8">
        <w:rPr>
          <w:color w:val="000000"/>
        </w:rPr>
        <w:t xml:space="preserve">El objetivo general de la presente investigación es determinar si la resiliencia y el mindfulness predicen el bienestar psicológico en la población migrante que reside en la ciudad de Lima. </w:t>
      </w:r>
    </w:p>
    <w:p w14:paraId="1F599FBF" w14:textId="77777777" w:rsidR="00BB49B8" w:rsidRPr="00BB49B8" w:rsidRDefault="00BB49B8" w:rsidP="00331804">
      <w:pPr>
        <w:spacing w:line="360" w:lineRule="auto"/>
        <w:rPr>
          <w:b/>
          <w:color w:val="000000"/>
        </w:rPr>
      </w:pPr>
    </w:p>
    <w:p w14:paraId="06EF1080" w14:textId="77777777" w:rsidR="00BB49B8" w:rsidRPr="00BB49B8" w:rsidRDefault="00BB49B8" w:rsidP="00331804">
      <w:pPr>
        <w:spacing w:line="360" w:lineRule="auto"/>
        <w:rPr>
          <w:b/>
          <w:color w:val="000000"/>
        </w:rPr>
      </w:pPr>
    </w:p>
    <w:p w14:paraId="11D5F3D0" w14:textId="77777777" w:rsidR="00BB49B8" w:rsidRPr="00BB49B8" w:rsidRDefault="00BB49B8" w:rsidP="00331804">
      <w:pPr>
        <w:spacing w:line="360" w:lineRule="auto"/>
        <w:rPr>
          <w:b/>
          <w:color w:val="000000"/>
        </w:rPr>
      </w:pPr>
    </w:p>
    <w:p w14:paraId="42E2181E" w14:textId="77777777" w:rsidR="00BB49B8" w:rsidRPr="00BB49B8" w:rsidRDefault="00BB49B8" w:rsidP="00331804">
      <w:pPr>
        <w:spacing w:line="360" w:lineRule="auto"/>
        <w:rPr>
          <w:b/>
          <w:color w:val="000000"/>
        </w:rPr>
      </w:pPr>
    </w:p>
    <w:p w14:paraId="058CAE91" w14:textId="57F73CBE" w:rsidR="003A3994" w:rsidRPr="00BB49B8" w:rsidRDefault="007E4542" w:rsidP="00331804">
      <w:pPr>
        <w:spacing w:line="360" w:lineRule="auto"/>
        <w:rPr>
          <w:b/>
          <w:color w:val="000000"/>
        </w:rPr>
      </w:pPr>
      <w:r w:rsidRPr="00BB49B8">
        <w:rPr>
          <w:b/>
          <w:color w:val="000000"/>
        </w:rPr>
        <w:lastRenderedPageBreak/>
        <w:t>Método</w:t>
      </w:r>
    </w:p>
    <w:p w14:paraId="0111A355" w14:textId="77777777" w:rsidR="003A3994" w:rsidRPr="00BB49B8" w:rsidRDefault="007E4542" w:rsidP="00331804">
      <w:pPr>
        <w:spacing w:line="360" w:lineRule="auto"/>
        <w:rPr>
          <w:b/>
          <w:color w:val="000000"/>
        </w:rPr>
      </w:pPr>
      <w:r w:rsidRPr="00BB49B8">
        <w:rPr>
          <w:b/>
          <w:color w:val="000000"/>
        </w:rPr>
        <w:t>Diseño</w:t>
      </w:r>
    </w:p>
    <w:p w14:paraId="1CB39F44" w14:textId="77777777" w:rsidR="003A3994" w:rsidRPr="00BB49B8" w:rsidRDefault="007E4542" w:rsidP="00331804">
      <w:pPr>
        <w:spacing w:line="360" w:lineRule="auto"/>
        <w:ind w:firstLine="708"/>
        <w:jc w:val="both"/>
        <w:rPr>
          <w:color w:val="000000"/>
        </w:rPr>
      </w:pPr>
      <w:r w:rsidRPr="00BB49B8">
        <w:rPr>
          <w:color w:val="000000"/>
        </w:rPr>
        <w:t xml:space="preserve">La presente investigación de tipo empírica utilizó un enfoque cuantitativo, se desarrolló utilizando una estrategia asociativa y un diseño predictivo, ya que se buscó explorar la relación presente entre las variables estudiadas (Ato et al., 2013). </w:t>
      </w:r>
    </w:p>
    <w:p w14:paraId="31F1ADB3" w14:textId="77777777" w:rsidR="003A3994" w:rsidRPr="00BB49B8" w:rsidRDefault="007E4542" w:rsidP="00331804">
      <w:pPr>
        <w:spacing w:line="360" w:lineRule="auto"/>
        <w:jc w:val="both"/>
        <w:rPr>
          <w:b/>
          <w:color w:val="000000"/>
        </w:rPr>
      </w:pPr>
      <w:r w:rsidRPr="00BB49B8">
        <w:rPr>
          <w:b/>
          <w:color w:val="000000"/>
        </w:rPr>
        <w:t xml:space="preserve">Participantes </w:t>
      </w:r>
      <w:r w:rsidRPr="00BB49B8">
        <w:rPr>
          <w:b/>
          <w:color w:val="000000"/>
        </w:rPr>
        <w:tab/>
      </w:r>
    </w:p>
    <w:p w14:paraId="1FA181A3" w14:textId="77777777" w:rsidR="003A3994" w:rsidRPr="00BB49B8" w:rsidRDefault="007E4542" w:rsidP="00331804">
      <w:pPr>
        <w:spacing w:line="360" w:lineRule="auto"/>
        <w:ind w:firstLine="720"/>
        <w:jc w:val="both"/>
        <w:rPr>
          <w:color w:val="000000"/>
        </w:rPr>
      </w:pPr>
      <w:r w:rsidRPr="00BB49B8">
        <w:rPr>
          <w:color w:val="000000"/>
        </w:rPr>
        <w:t xml:space="preserve">La muestra de la presente investigación se obtuvo por medio del muestreo no probabilístico por conveniencia (Hernández, 2021), y estuvo conformada por 348 migrantes de nacionalidad venezolana que residían en la ciudad de Lima. </w:t>
      </w:r>
    </w:p>
    <w:p w14:paraId="11F6FEA1" w14:textId="77777777" w:rsidR="003A3994" w:rsidRPr="00BB49B8" w:rsidRDefault="007E4542" w:rsidP="00331804">
      <w:pPr>
        <w:spacing w:line="360" w:lineRule="auto"/>
        <w:ind w:firstLine="720"/>
        <w:jc w:val="both"/>
        <w:rPr>
          <w:color w:val="000000"/>
        </w:rPr>
      </w:pPr>
      <w:r w:rsidRPr="00BB49B8">
        <w:rPr>
          <w:color w:val="000000"/>
        </w:rPr>
        <w:t xml:space="preserve">Los participantes fueron todos mayores de 18 a 71 años, con una edad promedio de 35.7 años y una desviación estándar de 10.9, el 63.8% fueron de sexo femenino, y el 36.2% restante fue de sexo masculino. Además, presentaban una media de 55.8 meses de permanencia en el Perú, con una desviación estándar de 22.4; y el 85.3% tenía un estatus migratorio regular, mientras que el 14.7% era irregular. El 80,7% de la muestra se desempeñaba en alguna labor, y el 19.3% no laboraba. Por otro lado, el 86.8% de la muestra vive con otra persona como pareja, familiares o amigos mientras que el 13.2% vive solo. </w:t>
      </w:r>
    </w:p>
    <w:p w14:paraId="4B932F5B" w14:textId="77777777" w:rsidR="003A3994" w:rsidRPr="00BB49B8" w:rsidRDefault="007E4542" w:rsidP="00331804">
      <w:pPr>
        <w:spacing w:line="360" w:lineRule="auto"/>
        <w:ind w:firstLine="720"/>
        <w:jc w:val="both"/>
        <w:rPr>
          <w:b/>
          <w:color w:val="000000"/>
        </w:rPr>
      </w:pPr>
      <w:r w:rsidRPr="00BB49B8">
        <w:rPr>
          <w:color w:val="000000"/>
        </w:rPr>
        <w:t xml:space="preserve">En cuanto a los criterios de exclusión que se manejaron en la investigación, no se consideró a aquellas personas que tuvieran menos de 6 meses de residencia en el Perú, o que tuvieran antecedentes psiquiátricos y/o neurológicos. </w:t>
      </w:r>
    </w:p>
    <w:p w14:paraId="744F628D" w14:textId="77777777" w:rsidR="003A3994" w:rsidRPr="00BB49B8" w:rsidRDefault="007E4542" w:rsidP="00331804">
      <w:pPr>
        <w:spacing w:line="360" w:lineRule="auto"/>
        <w:ind w:firstLine="720"/>
        <w:jc w:val="both"/>
        <w:rPr>
          <w:color w:val="000000"/>
        </w:rPr>
      </w:pPr>
      <w:r w:rsidRPr="00BB49B8">
        <w:rPr>
          <w:color w:val="000000"/>
        </w:rPr>
        <w:t>La muestra se extrajo a través del método de tipo no probabilístico de tipo intencional, esto debido a que los elementos fueron seleccionados de acuerdo con los criterios predeterminados por el equipo de investigación (Hernández, 2021).</w:t>
      </w:r>
    </w:p>
    <w:p w14:paraId="2484B761" w14:textId="77777777" w:rsidR="003A3994" w:rsidRPr="00BB49B8" w:rsidRDefault="007E4542" w:rsidP="00331804">
      <w:pPr>
        <w:spacing w:line="360" w:lineRule="auto"/>
        <w:jc w:val="both"/>
        <w:rPr>
          <w:b/>
          <w:color w:val="000000"/>
        </w:rPr>
      </w:pPr>
      <w:r w:rsidRPr="00BB49B8">
        <w:rPr>
          <w:b/>
          <w:color w:val="000000"/>
        </w:rPr>
        <w:t xml:space="preserve">Instrumentos </w:t>
      </w:r>
    </w:p>
    <w:p w14:paraId="127BDD55" w14:textId="77777777" w:rsidR="003A3994" w:rsidRPr="00BB49B8" w:rsidRDefault="007E4542" w:rsidP="00331804">
      <w:pPr>
        <w:spacing w:line="360" w:lineRule="auto"/>
        <w:jc w:val="both"/>
        <w:rPr>
          <w:b/>
          <w:color w:val="000000"/>
        </w:rPr>
      </w:pPr>
      <w:r w:rsidRPr="00BB49B8">
        <w:rPr>
          <w:b/>
          <w:color w:val="000000"/>
        </w:rPr>
        <w:t xml:space="preserve">Ficha Sociodemográfica </w:t>
      </w:r>
    </w:p>
    <w:p w14:paraId="34E6B83B" w14:textId="77777777" w:rsidR="003A3994" w:rsidRPr="00BB49B8" w:rsidRDefault="007E4542" w:rsidP="00331804">
      <w:pPr>
        <w:spacing w:line="360" w:lineRule="auto"/>
        <w:ind w:firstLine="708"/>
        <w:jc w:val="both"/>
        <w:rPr>
          <w:color w:val="000000"/>
        </w:rPr>
      </w:pPr>
      <w:r w:rsidRPr="00BB49B8">
        <w:rPr>
          <w:color w:val="000000"/>
        </w:rPr>
        <w:t xml:space="preserve">Este instrumento de recolección de datos tuvo como finalidad, identificar las características sociodemográficas de los migrantes que residen en Lima. Este instrumento constaba de 10 variables, como: la edad, género, nacionalidad, estado civil, distrito de residencia, estatus migratorio, tiempo de permanencia en el Perú, medio de transporte en el que llegó a Perú, estatus laboral y redes de apoyo. </w:t>
      </w:r>
    </w:p>
    <w:p w14:paraId="5D49B73B" w14:textId="77777777" w:rsidR="00BB49B8" w:rsidRPr="00BB49B8" w:rsidRDefault="00BB49B8" w:rsidP="00331804">
      <w:pPr>
        <w:spacing w:line="360" w:lineRule="auto"/>
        <w:jc w:val="both"/>
        <w:rPr>
          <w:b/>
          <w:color w:val="000000"/>
        </w:rPr>
      </w:pPr>
    </w:p>
    <w:p w14:paraId="62F194C8" w14:textId="77777777" w:rsidR="00BB49B8" w:rsidRPr="00BB49B8" w:rsidRDefault="00BB49B8" w:rsidP="00331804">
      <w:pPr>
        <w:spacing w:line="360" w:lineRule="auto"/>
        <w:jc w:val="both"/>
        <w:rPr>
          <w:b/>
          <w:color w:val="000000"/>
        </w:rPr>
      </w:pPr>
    </w:p>
    <w:p w14:paraId="51990FF6" w14:textId="77777777" w:rsidR="003A3994" w:rsidRPr="00BB49B8" w:rsidRDefault="007E4542" w:rsidP="00331804">
      <w:pPr>
        <w:spacing w:line="360" w:lineRule="auto"/>
        <w:ind w:firstLine="708"/>
        <w:jc w:val="both"/>
        <w:rPr>
          <w:color w:val="000000"/>
        </w:rPr>
      </w:pPr>
      <w:r w:rsidRPr="00BB49B8">
        <w:rPr>
          <w:color w:val="000000"/>
        </w:rPr>
        <w:lastRenderedPageBreak/>
        <w:t>En la presente investigación se utilizó la escala de Resiliencia (ER) creada por Wagnild y Young (1993), en su versión adaptada por Castilla et al., (2014), tiene como estructura del instrumento 4 componentes: Ecuanimidad, Confianza y sentirse bien solo, Perseverancia y Aceptación de uno mismo. La escala está compuesta por 25 enunciados, puede ser contestada utilizando la escala Likert, la cual va de 1, que representa desacuerdo, a 7, que representa acuerdo. Su propósito es identificar el nivel individual de resiliencia.</w:t>
      </w:r>
    </w:p>
    <w:p w14:paraId="78063F55" w14:textId="77777777" w:rsidR="003A3994" w:rsidRPr="00BB49B8" w:rsidRDefault="007E4542" w:rsidP="00331804">
      <w:pPr>
        <w:spacing w:line="360" w:lineRule="auto"/>
        <w:ind w:firstLine="708"/>
        <w:jc w:val="both"/>
        <w:rPr>
          <w:color w:val="000000"/>
        </w:rPr>
      </w:pPr>
      <w:r w:rsidRPr="00BB49B8">
        <w:rPr>
          <w:color w:val="000000"/>
        </w:rPr>
        <w:t>La validez sobre el análisis factorial se emplearon un análisis de factores de principales componentes mediante el método varimax para la estimación de los factores, Identificando cuatro componentes con valores Eigen que varían de 1.244 a 7.969. El primer componente explica el 31,046% de la varianza, el segundo componente explica el 5.892%, el tercer componente explica el 5.748% y el cuarto componente el 4.978%, en tanto que los cuatro componentes sumados explican el 48.493% de la varianza total. Por otro lado, respecto a la confiabilidad total, mediante el coeficiente de Alfa de Cronbach (α= .906), se demostró una alta consistencia interna. Asimismo, se identificó el coeficiente de mitades de Spearman-Brown (longitudes desiguales) r= .848; lo que otorga una mayor confiabilidad (Castilla et al., 2014).</w:t>
      </w:r>
    </w:p>
    <w:p w14:paraId="22B8A075" w14:textId="77777777" w:rsidR="003A3994" w:rsidRPr="00BB49B8" w:rsidRDefault="007E4542" w:rsidP="00331804">
      <w:pPr>
        <w:spacing w:line="360" w:lineRule="auto"/>
        <w:ind w:firstLine="708"/>
        <w:jc w:val="both"/>
        <w:rPr>
          <w:color w:val="000000"/>
        </w:rPr>
      </w:pPr>
      <w:r w:rsidRPr="00BB49B8">
        <w:rPr>
          <w:color w:val="000000"/>
        </w:rPr>
        <w:t>Para el presente estudio se calcularon los coeficientes de confiabilidad para las componentes de la escala de Resiliencia (ER). Los resultados obtenidos fueron los siguientes:  Confianza y sentirse bien solo (ω= .92, .91-.92), Perseverancia (ω= .87, .83-.87), Ecuanimidad (ω= .77, .71-.77), estos tres componentes evidencian un resultado aceptable a excepción del cuarto componente de Aceptación de uno mismo (ω= .62, .44 -.63) no llegando este último a los valores recomendados (Campo-Arias &amp; Oviedo, 2008).</w:t>
      </w:r>
    </w:p>
    <w:p w14:paraId="6704CFD0" w14:textId="77777777" w:rsidR="003A3994" w:rsidRPr="00BB49B8" w:rsidRDefault="007E4542" w:rsidP="00331804">
      <w:pPr>
        <w:spacing w:line="360" w:lineRule="auto"/>
        <w:ind w:firstLine="720"/>
        <w:jc w:val="both"/>
        <w:rPr>
          <w:color w:val="000000"/>
        </w:rPr>
      </w:pPr>
      <w:r w:rsidRPr="00BB49B8">
        <w:rPr>
          <w:color w:val="000000"/>
        </w:rPr>
        <w:t>Para la presente investigación, se consideró utilizar el Mindful Attention Awareness Scale (MAAS-5) en su versión breve, adaptada al español y aplicada a una muestra de estudiantes universitarios peruanos (Caycho</w:t>
      </w:r>
      <w:r w:rsidRPr="00BB49B8">
        <w:t>-Rodríguez</w:t>
      </w:r>
      <w:r w:rsidRPr="00BB49B8">
        <w:rPr>
          <w:color w:val="000000"/>
        </w:rPr>
        <w:t xml:space="preserve"> et al., 2019). El MAAS- 5, es unidimensional, está conformado por 5 ítems calificados en 1 (casi siempre) a 6 (casi nunca) y tiene por objetivo cuantificar el grado de atención a los eventos que ocurren en el momento presente, indicando que los puntajes más altos representan un nivel mayor de atención plena. Esta versión breve, con el modelo de un factor del MAAS presenta un ajuste satisfactorio (χ²= 9.87, gl = 5, p = .08; χ²/gl= 1.97; CFI = .99; RMSEA = .05 [IC90%: .00-.09]; WRMR = .42). Además, presenta una confiabilidad de (ω= .83 [IC95%: .79 -.85]), lo que sugiere que la consistencia interna del MASS-5 fue buena (Caycho</w:t>
      </w:r>
      <w:r w:rsidRPr="00BB49B8">
        <w:t>-Rodríguez</w:t>
      </w:r>
      <w:r w:rsidRPr="00BB49B8">
        <w:rPr>
          <w:color w:val="000000"/>
        </w:rPr>
        <w:t xml:space="preserve"> et al., 2019). </w:t>
      </w:r>
    </w:p>
    <w:p w14:paraId="3EA55506" w14:textId="77777777" w:rsidR="003A3994" w:rsidRPr="00BB49B8" w:rsidRDefault="007E4542" w:rsidP="00331804">
      <w:pPr>
        <w:spacing w:line="360" w:lineRule="auto"/>
        <w:ind w:firstLine="720"/>
        <w:jc w:val="both"/>
        <w:rPr>
          <w:color w:val="000000"/>
        </w:rPr>
      </w:pPr>
      <w:r w:rsidRPr="00BB49B8">
        <w:rPr>
          <w:color w:val="000000"/>
        </w:rPr>
        <w:lastRenderedPageBreak/>
        <w:t xml:space="preserve">Para el presente estudio, se calcularon los coeficientes de confiabilidad para la dimensión de la escala Mindful Attention Awareness. Al ser una escala unidimensional, se encontró un adecuado coeficiente de confiabilidad (ω= .82) y las correlaciones ítem - test estuvieron entre .74 y .81, las cuales se consideran dentro de lo aceptable (Campo-Arias &amp; Oviedo, 2008). </w:t>
      </w:r>
    </w:p>
    <w:p w14:paraId="251CE2FB" w14:textId="564906A8" w:rsidR="003A3994" w:rsidRPr="00BB49B8" w:rsidRDefault="007E4542" w:rsidP="00331804">
      <w:pPr>
        <w:spacing w:line="360" w:lineRule="auto"/>
        <w:ind w:firstLine="720"/>
        <w:jc w:val="both"/>
        <w:rPr>
          <w:color w:val="000000"/>
        </w:rPr>
      </w:pPr>
      <w:r w:rsidRPr="00BB49B8">
        <w:rPr>
          <w:color w:val="000000"/>
        </w:rPr>
        <w:t xml:space="preserve">La escala original de Bienestar Psicológico (SPWB) fue desarrollada por Ryff (1989), pero para fines de esta investigación utilizamos la Escala Abreviada de Bienestar Psicológico de Ryff adaptada por Briones, que está dividida en 6 dimensiones, las cuales son: autoaceptación, relaciones positivas, autonomía, dominio del entorno, propósito de vida y crecimiento personal (Briones, 2018). Esta escala consta de 18 ítems y la medición está planteada en 4 puntos de modo Likert, y tiene como alternativas de respuesta lo siguiente: siempre, casi siempre, casi nunca y nunca. </w:t>
      </w:r>
      <w:r w:rsidRPr="00BB49B8">
        <w:rPr>
          <w:i/>
          <w:color w:val="000000"/>
        </w:rPr>
        <w:t xml:space="preserve"> </w:t>
      </w:r>
      <w:r w:rsidRPr="00BB49B8">
        <w:rPr>
          <w:color w:val="000000"/>
        </w:rPr>
        <w:t xml:space="preserve">La escala cuenta con confiabilidad por el método de consistencia interna (α= ,83), estabilidad temporal (,63) e índices de ajuste de RMSEA= ,03, TLI= ,98 y CFI= ,99. También cuenta con validez convergente </w:t>
      </w:r>
      <w:r w:rsidR="00331804" w:rsidRPr="00BB49B8">
        <w:rPr>
          <w:color w:val="000000"/>
        </w:rPr>
        <w:t>(</w:t>
      </w:r>
      <w:r w:rsidRPr="00BB49B8">
        <w:rPr>
          <w:color w:val="000000"/>
        </w:rPr>
        <w:t>,56) y divergente (-,52), hallados con las escalas de Depresión para Adolescentes de Reynolds (EDAR) y Satisfacción con la Vida (SWLS) (Briones, 2018).</w:t>
      </w:r>
    </w:p>
    <w:p w14:paraId="603C7B11" w14:textId="77777777" w:rsidR="003A3994" w:rsidRPr="00BB49B8" w:rsidRDefault="007E4542" w:rsidP="00331804">
      <w:pPr>
        <w:spacing w:line="360" w:lineRule="auto"/>
        <w:ind w:firstLine="700"/>
        <w:jc w:val="both"/>
        <w:rPr>
          <w:color w:val="000000"/>
        </w:rPr>
      </w:pPr>
      <w:r w:rsidRPr="00BB49B8">
        <w:rPr>
          <w:color w:val="000000"/>
        </w:rPr>
        <w:t>Para el presente estudio se calcularon los coeficientes de confiabilidad para las dimensiones de la Escala Abreviada de Bienestar Psicológico de Ryff (SPWBA). Como resultado del análisis de las dimensiones de la escala se obtuvieron las siguientes omegas w (.24 - .52). En cuanto a la confiabilidad total se logró un resultado (ω= .86) y las correlaciones ítem-test estuvieron entre .84 y .86 (Campo-Arias &amp; Oviedo, 2008).</w:t>
      </w:r>
    </w:p>
    <w:p w14:paraId="0B4A2ABF" w14:textId="77777777" w:rsidR="003A3994" w:rsidRPr="00BB49B8" w:rsidRDefault="007E4542" w:rsidP="00331804">
      <w:pPr>
        <w:spacing w:line="360" w:lineRule="auto"/>
        <w:jc w:val="both"/>
        <w:rPr>
          <w:b/>
          <w:color w:val="000000"/>
        </w:rPr>
      </w:pPr>
      <w:r w:rsidRPr="00BB49B8">
        <w:rPr>
          <w:b/>
          <w:color w:val="000000"/>
        </w:rPr>
        <w:t>Procedimiento</w:t>
      </w:r>
    </w:p>
    <w:p w14:paraId="3756A69F" w14:textId="1235FE58" w:rsidR="003A3994" w:rsidRPr="00BB49B8" w:rsidRDefault="007E4542" w:rsidP="00331804">
      <w:pPr>
        <w:spacing w:line="360" w:lineRule="auto"/>
        <w:ind w:firstLine="708"/>
        <w:jc w:val="both"/>
        <w:rPr>
          <w:color w:val="000000"/>
        </w:rPr>
      </w:pPr>
      <w:r w:rsidRPr="00BB49B8">
        <w:rPr>
          <w:color w:val="000000"/>
        </w:rPr>
        <w:t>La investigación, con código PI 098-23, pasó por la revisión y autorización del subcomité de ética de la facultad de ciencias de la Salud y Psicología, para su aprobación</w:t>
      </w:r>
      <w:r w:rsidR="00C2251F" w:rsidRPr="00BB49B8">
        <w:rPr>
          <w:color w:val="000000"/>
        </w:rPr>
        <w:t xml:space="preserve">, de la misma forma, se han seguido </w:t>
      </w:r>
      <w:r w:rsidR="00CC26BC" w:rsidRPr="00BB49B8">
        <w:rPr>
          <w:color w:val="000000"/>
        </w:rPr>
        <w:t>las normas éticas generales y específicas de la Declaración Universal de Principios Éticos para psicólogos</w:t>
      </w:r>
      <w:r w:rsidR="0094336D" w:rsidRPr="00BB49B8">
        <w:rPr>
          <w:color w:val="000000"/>
        </w:rPr>
        <w:t xml:space="preserve"> (IUPsyS, 2008)</w:t>
      </w:r>
      <w:r w:rsidR="008841F5" w:rsidRPr="00BB49B8">
        <w:rPr>
          <w:color w:val="000000"/>
        </w:rPr>
        <w:t>, las Guías éticas Internacionales para la investigación Biomédica en Seres humanos</w:t>
      </w:r>
      <w:r w:rsidR="0098426D" w:rsidRPr="00BB49B8">
        <w:rPr>
          <w:color w:val="000000"/>
        </w:rPr>
        <w:t xml:space="preserve"> (CIOMS, 2017)</w:t>
      </w:r>
      <w:r w:rsidR="008841F5" w:rsidRPr="00BB49B8">
        <w:rPr>
          <w:color w:val="000000"/>
        </w:rPr>
        <w:t xml:space="preserve"> y las declaraciones </w:t>
      </w:r>
      <w:r w:rsidR="00E5303C" w:rsidRPr="00BB49B8">
        <w:rPr>
          <w:color w:val="000000"/>
        </w:rPr>
        <w:t xml:space="preserve">de la Sociedad Interamericana de Psicología  (SIP, 2019), </w:t>
      </w:r>
      <w:r w:rsidR="008841F5" w:rsidRPr="00BB49B8">
        <w:rPr>
          <w:color w:val="000000"/>
        </w:rPr>
        <w:t xml:space="preserve"> respecto al comportamiento ético para la recolección de la información. </w:t>
      </w:r>
    </w:p>
    <w:p w14:paraId="1242F54F" w14:textId="77777777" w:rsidR="003A3994" w:rsidRPr="00BB49B8" w:rsidRDefault="007E4542" w:rsidP="00331804">
      <w:pPr>
        <w:spacing w:line="360" w:lineRule="auto"/>
        <w:ind w:firstLine="708"/>
        <w:jc w:val="both"/>
        <w:rPr>
          <w:color w:val="000000"/>
        </w:rPr>
      </w:pPr>
      <w:r w:rsidRPr="00BB49B8">
        <w:rPr>
          <w:color w:val="000000"/>
        </w:rPr>
        <w:t xml:space="preserve">Posteriormente, se inició comunicación con los directivos de las ONGs Veneactiva y Unión Venezolana en Perú, mediante la entrega de una carta en la que se expuso el tema, los objetivos y lineamientos éticos del estudio con el propósito de realizar la investigación. Luego de recibir la aceptación y autorización por parte de las ONGs, se planificó de manera conjunta las fechas en las que se aplicaron los instrumentos de evaluación con la finalidad de recoger los datos en la población </w:t>
      </w:r>
      <w:r w:rsidRPr="00BB49B8">
        <w:rPr>
          <w:color w:val="000000"/>
        </w:rPr>
        <w:lastRenderedPageBreak/>
        <w:t xml:space="preserve">objetivo, especialmente en las jornadas y en las oficinas de atención. La recolección de los datos se realizó en formatos físicos y virtuales a través de un formulario. </w:t>
      </w:r>
    </w:p>
    <w:p w14:paraId="2C2D2F42" w14:textId="541BCD93" w:rsidR="00C2251F" w:rsidRPr="00BB49B8" w:rsidRDefault="007E4542" w:rsidP="00331804">
      <w:pPr>
        <w:spacing w:line="360" w:lineRule="auto"/>
        <w:ind w:firstLine="708"/>
        <w:jc w:val="both"/>
        <w:rPr>
          <w:color w:val="000000"/>
        </w:rPr>
      </w:pPr>
      <w:r w:rsidRPr="00BB49B8">
        <w:rPr>
          <w:color w:val="000000"/>
        </w:rPr>
        <w:t xml:space="preserve">Asimismo, se compartió el formulario en diferentes grupos de </w:t>
      </w:r>
      <w:r w:rsidRPr="00BB49B8">
        <w:rPr>
          <w:i/>
          <w:color w:val="000000"/>
        </w:rPr>
        <w:t>WhatsApp</w:t>
      </w:r>
      <w:r w:rsidRPr="00BB49B8">
        <w:rPr>
          <w:color w:val="000000"/>
        </w:rPr>
        <w:t xml:space="preserve"> con el apoyo de algunos líderes comunitarios que tienen contacto con la población migrante en Lima. </w:t>
      </w:r>
    </w:p>
    <w:p w14:paraId="2AF80BF9" w14:textId="7726F25F" w:rsidR="003A3994" w:rsidRPr="00BB49B8" w:rsidRDefault="007E4542" w:rsidP="00331804">
      <w:pPr>
        <w:spacing w:line="360" w:lineRule="auto"/>
        <w:jc w:val="both"/>
        <w:rPr>
          <w:b/>
          <w:color w:val="000000"/>
        </w:rPr>
      </w:pPr>
      <w:r w:rsidRPr="00BB49B8">
        <w:rPr>
          <w:b/>
          <w:color w:val="000000"/>
        </w:rPr>
        <w:t>Técnica de recolección de información</w:t>
      </w:r>
    </w:p>
    <w:p w14:paraId="08F02494" w14:textId="77777777" w:rsidR="003A3994" w:rsidRPr="00BB49B8" w:rsidRDefault="007E4542" w:rsidP="00331804">
      <w:pPr>
        <w:spacing w:line="360" w:lineRule="auto"/>
        <w:ind w:firstLine="708"/>
        <w:jc w:val="both"/>
        <w:rPr>
          <w:color w:val="000000"/>
        </w:rPr>
      </w:pPr>
      <w:r w:rsidRPr="00BB49B8">
        <w:rPr>
          <w:color w:val="000000"/>
        </w:rPr>
        <w:t>Se realizó un contacto inicial con la población, en el que se les explicó acerca de los objetivos de la investigación, se les solicitó su participación la cual era voluntaria, así mismo, se les comunicó que toda información recabada era confidencial y anónima. Cabe resaltar que, la toma de datos se realizó tanto de forma presencial como virtual, por medio de un formulario de Google.</w:t>
      </w:r>
    </w:p>
    <w:p w14:paraId="7FB8026D" w14:textId="77777777" w:rsidR="003A3994" w:rsidRPr="00BB49B8" w:rsidRDefault="007E4542" w:rsidP="00331804">
      <w:pPr>
        <w:spacing w:line="360" w:lineRule="auto"/>
        <w:ind w:firstLine="708"/>
        <w:jc w:val="both"/>
        <w:rPr>
          <w:color w:val="000000"/>
        </w:rPr>
      </w:pPr>
      <w:r w:rsidRPr="00BB49B8">
        <w:rPr>
          <w:color w:val="000000"/>
        </w:rPr>
        <w:t xml:space="preserve">Posteriormente, se hizo el llenado de la ficha sociodemográfica, </w:t>
      </w:r>
      <w:r w:rsidRPr="00BB49B8">
        <w:rPr>
          <w:i/>
          <w:color w:val="000000"/>
        </w:rPr>
        <w:t>orientada a recolectar datos particulares de los participantes, que son considerados importantes para el análisis a posterior</w:t>
      </w:r>
      <w:r w:rsidRPr="00BB49B8">
        <w:rPr>
          <w:color w:val="000000"/>
        </w:rPr>
        <w:t xml:space="preserve">i; Escala de Resiliencia de Wagnild y Young, Mindful Attention Awareness Scale (MAAS- 5), y la Escala Abreviada de Bienestar Psicológico de Ryff (SPWBA). Para ello se les dio tiempo y las facilidades necesarias para el llenado correcto. Además, se estuvo en contacto con los participantes de manera que podían consultar cualquier duda que les surgía. </w:t>
      </w:r>
    </w:p>
    <w:p w14:paraId="5142066F" w14:textId="77777777" w:rsidR="003A3994" w:rsidRPr="00BB49B8" w:rsidRDefault="007E4542" w:rsidP="00331804">
      <w:pPr>
        <w:spacing w:line="360" w:lineRule="auto"/>
        <w:ind w:firstLine="708"/>
        <w:jc w:val="both"/>
        <w:rPr>
          <w:color w:val="000000"/>
        </w:rPr>
      </w:pPr>
      <w:r w:rsidRPr="00BB49B8">
        <w:rPr>
          <w:color w:val="000000"/>
        </w:rPr>
        <w:t>Una vez concluidos los test, se agradeció a todos los participantes y a las organizaciones por su colaboración.</w:t>
      </w:r>
    </w:p>
    <w:p w14:paraId="6CFDAD75" w14:textId="77777777" w:rsidR="003A3994" w:rsidRPr="00BB49B8" w:rsidRDefault="007E4542" w:rsidP="00331804">
      <w:pPr>
        <w:spacing w:line="360" w:lineRule="auto"/>
        <w:jc w:val="both"/>
        <w:rPr>
          <w:b/>
          <w:color w:val="000000"/>
        </w:rPr>
      </w:pPr>
      <w:r w:rsidRPr="00BB49B8">
        <w:rPr>
          <w:b/>
          <w:color w:val="000000"/>
        </w:rPr>
        <w:t>Análisis de datos</w:t>
      </w:r>
    </w:p>
    <w:p w14:paraId="5AF4593D" w14:textId="77777777" w:rsidR="003A3994" w:rsidRPr="00BB49B8" w:rsidRDefault="007E4542" w:rsidP="00331804">
      <w:pPr>
        <w:spacing w:line="360" w:lineRule="auto"/>
        <w:ind w:firstLine="720"/>
        <w:jc w:val="both"/>
        <w:rPr>
          <w:color w:val="000000"/>
        </w:rPr>
      </w:pPr>
      <w:r w:rsidRPr="00BB49B8">
        <w:rPr>
          <w:color w:val="000000"/>
        </w:rPr>
        <w:t>La información recogida en la aplicación de los instrumentos fue procesada utilizando el programa de análisis Jamovi 2.3.26.</w:t>
      </w:r>
    </w:p>
    <w:p w14:paraId="6B105D30" w14:textId="77777777" w:rsidR="003A3994" w:rsidRPr="00BB49B8" w:rsidRDefault="007E4542" w:rsidP="00331804">
      <w:pPr>
        <w:spacing w:line="360" w:lineRule="auto"/>
        <w:ind w:firstLine="720"/>
        <w:jc w:val="both"/>
        <w:rPr>
          <w:color w:val="000000"/>
        </w:rPr>
      </w:pPr>
      <w:r w:rsidRPr="00BB49B8">
        <w:rPr>
          <w:color w:val="000000"/>
        </w:rPr>
        <w:t xml:space="preserve">El análisis de la confiabilidad para determinar la consistencia interna de los datos se realizó mediante el coeficiente omega, para lo cual se tomó en cuenta el criterio de interpretación que debió encontrarse en un rango entre .70 y .90 para ser considerado aceptable (Campo-Arias &amp; Oviedo, 2008). </w:t>
      </w:r>
    </w:p>
    <w:p w14:paraId="6DD3E715" w14:textId="77777777" w:rsidR="003A3994" w:rsidRPr="00BB49B8" w:rsidRDefault="007E4542" w:rsidP="00331804">
      <w:pPr>
        <w:spacing w:line="360" w:lineRule="auto"/>
        <w:ind w:firstLine="720"/>
        <w:jc w:val="both"/>
        <w:rPr>
          <w:color w:val="000000"/>
        </w:rPr>
      </w:pPr>
      <w:r w:rsidRPr="00BB49B8">
        <w:rPr>
          <w:color w:val="000000"/>
        </w:rPr>
        <w:t xml:space="preserve">Respecto al análisis descriptivo, se tomaron los cálculos obtenidos de la media y de la desviación estándar de las variables estudiadas, para conocer la tendencia de los valores obtenidos de la muestra. </w:t>
      </w:r>
    </w:p>
    <w:p w14:paraId="7554F927" w14:textId="77777777" w:rsidR="003A3994" w:rsidRPr="00BB49B8" w:rsidRDefault="007E4542" w:rsidP="00331804">
      <w:pPr>
        <w:spacing w:line="360" w:lineRule="auto"/>
        <w:ind w:firstLine="720"/>
        <w:jc w:val="both"/>
        <w:rPr>
          <w:color w:val="000000"/>
        </w:rPr>
      </w:pPr>
      <w:r w:rsidRPr="00BB49B8">
        <w:rPr>
          <w:color w:val="000000"/>
        </w:rPr>
        <w:t>En el análisis correlacional se empleó el coeficiente de correlación de Pearson, el cual se interpretó con el siguiente criterio en el de .10 a 29 es pequeña, 30 a 49 es mediana, y 50 es grande (Cohen, 1992).</w:t>
      </w:r>
    </w:p>
    <w:p w14:paraId="57E735FE" w14:textId="77777777" w:rsidR="003A3994" w:rsidRPr="00BB49B8" w:rsidRDefault="007E4542" w:rsidP="00331804">
      <w:pPr>
        <w:spacing w:line="360" w:lineRule="auto"/>
        <w:ind w:firstLine="720"/>
        <w:jc w:val="both"/>
        <w:rPr>
          <w:color w:val="000000"/>
        </w:rPr>
      </w:pPr>
      <w:r w:rsidRPr="00BB49B8">
        <w:rPr>
          <w:color w:val="000000"/>
        </w:rPr>
        <w:lastRenderedPageBreak/>
        <w:t>En consideración al diseño de la investigación, se realizó el análisis predictivo de regresión lineal múltiple, utilizando el coeficiente beta estandarizado, el cual evaluó la capacidad predictiva de las variables independientes y se encontró que entre los niveles que van hasta menor de .20 es débil, entre .20 y .50 es moderado, y mayor a .50 es fuerte (Cohen, 1992).</w:t>
      </w:r>
    </w:p>
    <w:p w14:paraId="5C0F2F9B" w14:textId="77777777" w:rsidR="003A3994" w:rsidRPr="00BB49B8" w:rsidRDefault="007E4542" w:rsidP="00331804">
      <w:pPr>
        <w:spacing w:line="360" w:lineRule="auto"/>
        <w:ind w:firstLine="720"/>
        <w:jc w:val="both"/>
        <w:rPr>
          <w:color w:val="000000"/>
        </w:rPr>
      </w:pPr>
      <w:r w:rsidRPr="00BB49B8">
        <w:rPr>
          <w:color w:val="000000"/>
        </w:rPr>
        <w:t>Finalmente como un indicador de la capacidad global predictiva del modelo se empleó el coeficiente R</w:t>
      </w:r>
      <w:r w:rsidRPr="00BB49B8">
        <w:rPr>
          <w:color w:val="000000"/>
          <w:vertAlign w:val="superscript"/>
        </w:rPr>
        <w:t xml:space="preserve">2 </w:t>
      </w:r>
      <w:r w:rsidRPr="00BB49B8">
        <w:rPr>
          <w:color w:val="000000"/>
        </w:rPr>
        <w:t>, en el que los valores que se encuentran entre .1 son pequeñas, .10 son medianas, y .25 son grandes. Estos para obtener una predicción que explique la variable dependiente (Cohen, 1992).</w:t>
      </w:r>
    </w:p>
    <w:p w14:paraId="4DA24172" w14:textId="4F1AC9B6" w:rsidR="003A3994" w:rsidRPr="00BB49B8" w:rsidRDefault="007E4542" w:rsidP="00331804">
      <w:pPr>
        <w:spacing w:line="360" w:lineRule="auto"/>
        <w:jc w:val="both"/>
        <w:rPr>
          <w:b/>
          <w:color w:val="000000"/>
        </w:rPr>
      </w:pPr>
      <w:r w:rsidRPr="00BB49B8">
        <w:rPr>
          <w:b/>
          <w:color w:val="000000"/>
        </w:rPr>
        <w:t xml:space="preserve">Resultados </w:t>
      </w:r>
    </w:p>
    <w:p w14:paraId="64B5A115" w14:textId="682A6052" w:rsidR="003A3994" w:rsidRPr="00BB49B8" w:rsidRDefault="007E4542" w:rsidP="00331804">
      <w:pPr>
        <w:spacing w:line="360" w:lineRule="auto"/>
        <w:ind w:firstLine="720"/>
        <w:jc w:val="both"/>
        <w:rPr>
          <w:color w:val="000000"/>
        </w:rPr>
      </w:pPr>
      <w:r w:rsidRPr="00BB49B8">
        <w:rPr>
          <w:color w:val="000000"/>
        </w:rPr>
        <w:t xml:space="preserve">De acuerdo con los análisis descriptivos, que se muestran </w:t>
      </w:r>
      <w:r w:rsidR="000840A8" w:rsidRPr="00BB49B8">
        <w:rPr>
          <w:color w:val="000000"/>
        </w:rPr>
        <w:t>(Ver</w:t>
      </w:r>
      <w:r w:rsidRPr="00BB49B8">
        <w:rPr>
          <w:color w:val="000000"/>
        </w:rPr>
        <w:t xml:space="preserve"> tabla 1</w:t>
      </w:r>
      <w:r w:rsidR="000840A8" w:rsidRPr="00BB49B8">
        <w:rPr>
          <w:color w:val="000000"/>
        </w:rPr>
        <w:t>)</w:t>
      </w:r>
      <w:r w:rsidRPr="00BB49B8">
        <w:rPr>
          <w:color w:val="000000"/>
        </w:rPr>
        <w:t xml:space="preserve">, se obtuvo que el puntaje por dimensiones y total de Resiliencia presenta valores cercanos a puntajes altos porque la media es cercana al valor máximo de 7 y porque los valores de asimetría son negativos y en algunos casos superiores a 2. En la variable mindfulness se observó una tendencia hacia valores altos porque la media es más cercana a 6 pero el valor de la asimetría no es tan marcado. En la variable bienestar se observaron valores cercanos a puntajes altos porque la media es cercana al valor máximo de 4 y porque los valores de asimetría son negativos. </w:t>
      </w:r>
    </w:p>
    <w:p w14:paraId="26F18756" w14:textId="77777777" w:rsidR="003A3994" w:rsidRPr="00BB49B8" w:rsidRDefault="007E4542" w:rsidP="00331804">
      <w:pPr>
        <w:spacing w:line="360" w:lineRule="auto"/>
        <w:jc w:val="both"/>
        <w:rPr>
          <w:b/>
          <w:color w:val="000000"/>
        </w:rPr>
      </w:pPr>
      <w:r w:rsidRPr="00BB49B8">
        <w:rPr>
          <w:b/>
          <w:color w:val="000000"/>
        </w:rPr>
        <w:t>Tabla 1</w:t>
      </w:r>
    </w:p>
    <w:p w14:paraId="1AE1A684" w14:textId="77777777" w:rsidR="003A3994" w:rsidRPr="00BB49B8" w:rsidRDefault="007E4542" w:rsidP="00331804">
      <w:pPr>
        <w:spacing w:line="360" w:lineRule="auto"/>
        <w:jc w:val="both"/>
        <w:rPr>
          <w:i/>
          <w:color w:val="000000"/>
        </w:rPr>
      </w:pPr>
      <w:r w:rsidRPr="00BB49B8">
        <w:rPr>
          <w:i/>
          <w:color w:val="000000"/>
        </w:rPr>
        <w:t>Estadísticos descriptivos de las variables Resiliencia, Mindfulness y Bienestar Psicológico.</w:t>
      </w:r>
    </w:p>
    <w:tbl>
      <w:tblPr>
        <w:tblStyle w:val="af"/>
        <w:tblW w:w="9375"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356"/>
        <w:gridCol w:w="754"/>
        <w:gridCol w:w="698"/>
        <w:gridCol w:w="964"/>
        <w:gridCol w:w="991"/>
        <w:gridCol w:w="1118"/>
        <w:gridCol w:w="991"/>
        <w:gridCol w:w="1189"/>
        <w:gridCol w:w="1314"/>
      </w:tblGrid>
      <w:tr w:rsidR="00BB49B8" w:rsidRPr="00BB49B8" w14:paraId="3262E011" w14:textId="77777777" w:rsidTr="00BB49B8">
        <w:trPr>
          <w:trHeight w:val="487"/>
        </w:trPr>
        <w:tc>
          <w:tcPr>
            <w:tcW w:w="1356" w:type="dxa"/>
            <w:tcBorders>
              <w:top w:val="single" w:sz="4" w:space="0" w:color="000000"/>
              <w:bottom w:val="single" w:sz="4" w:space="0" w:color="000000"/>
            </w:tcBorders>
          </w:tcPr>
          <w:p w14:paraId="5DBDD93D" w14:textId="77777777" w:rsidR="003A3994" w:rsidRPr="00BB49B8" w:rsidRDefault="007E4542" w:rsidP="00331804">
            <w:pPr>
              <w:rPr>
                <w:color w:val="000000"/>
                <w:sz w:val="20"/>
                <w:szCs w:val="20"/>
              </w:rPr>
            </w:pPr>
            <w:r w:rsidRPr="00BB49B8">
              <w:rPr>
                <w:color w:val="000000"/>
                <w:sz w:val="20"/>
                <w:szCs w:val="20"/>
              </w:rPr>
              <w:t>Variable</w:t>
            </w:r>
          </w:p>
        </w:tc>
        <w:tc>
          <w:tcPr>
            <w:tcW w:w="754" w:type="dxa"/>
            <w:tcBorders>
              <w:top w:val="single" w:sz="4" w:space="0" w:color="000000"/>
              <w:bottom w:val="single" w:sz="4" w:space="0" w:color="000000"/>
            </w:tcBorders>
          </w:tcPr>
          <w:p w14:paraId="5743D758" w14:textId="77777777" w:rsidR="003A3994" w:rsidRPr="00BB49B8" w:rsidRDefault="007E4542" w:rsidP="00331804">
            <w:pPr>
              <w:jc w:val="center"/>
              <w:rPr>
                <w:color w:val="000000"/>
                <w:sz w:val="20"/>
                <w:szCs w:val="20"/>
              </w:rPr>
            </w:pPr>
            <w:r w:rsidRPr="00BB49B8">
              <w:rPr>
                <w:color w:val="000000"/>
                <w:sz w:val="20"/>
                <w:szCs w:val="20"/>
              </w:rPr>
              <w:t>M</w:t>
            </w:r>
          </w:p>
        </w:tc>
        <w:tc>
          <w:tcPr>
            <w:tcW w:w="698" w:type="dxa"/>
            <w:tcBorders>
              <w:top w:val="single" w:sz="4" w:space="0" w:color="000000"/>
              <w:bottom w:val="single" w:sz="4" w:space="0" w:color="000000"/>
            </w:tcBorders>
          </w:tcPr>
          <w:p w14:paraId="60A9312B" w14:textId="77777777" w:rsidR="003A3994" w:rsidRPr="00BB49B8" w:rsidRDefault="007E4542" w:rsidP="00331804">
            <w:pPr>
              <w:jc w:val="center"/>
              <w:rPr>
                <w:color w:val="000000"/>
                <w:sz w:val="20"/>
                <w:szCs w:val="20"/>
              </w:rPr>
            </w:pPr>
            <w:r w:rsidRPr="00BB49B8">
              <w:rPr>
                <w:color w:val="000000"/>
                <w:sz w:val="20"/>
                <w:szCs w:val="20"/>
              </w:rPr>
              <w:t>DE</w:t>
            </w:r>
          </w:p>
        </w:tc>
        <w:tc>
          <w:tcPr>
            <w:tcW w:w="964" w:type="dxa"/>
            <w:tcBorders>
              <w:top w:val="single" w:sz="4" w:space="0" w:color="000000"/>
              <w:bottom w:val="single" w:sz="4" w:space="0" w:color="000000"/>
            </w:tcBorders>
          </w:tcPr>
          <w:p w14:paraId="55D03588" w14:textId="77777777" w:rsidR="003A3994" w:rsidRPr="00BB49B8" w:rsidRDefault="007E4542" w:rsidP="00331804">
            <w:pPr>
              <w:jc w:val="center"/>
              <w:rPr>
                <w:i/>
                <w:color w:val="000000"/>
                <w:sz w:val="20"/>
                <w:szCs w:val="20"/>
              </w:rPr>
            </w:pPr>
            <w:r w:rsidRPr="00BB49B8">
              <w:rPr>
                <w:i/>
                <w:color w:val="000000"/>
                <w:sz w:val="20"/>
                <w:szCs w:val="20"/>
              </w:rPr>
              <w:t>Mínimo</w:t>
            </w:r>
          </w:p>
        </w:tc>
        <w:tc>
          <w:tcPr>
            <w:tcW w:w="991" w:type="dxa"/>
            <w:tcBorders>
              <w:top w:val="single" w:sz="4" w:space="0" w:color="000000"/>
              <w:bottom w:val="single" w:sz="4" w:space="0" w:color="000000"/>
            </w:tcBorders>
          </w:tcPr>
          <w:p w14:paraId="2FA2865D" w14:textId="77777777" w:rsidR="003A3994" w:rsidRPr="00BB49B8" w:rsidRDefault="007E4542" w:rsidP="00331804">
            <w:pPr>
              <w:jc w:val="center"/>
              <w:rPr>
                <w:i/>
                <w:color w:val="000000"/>
                <w:sz w:val="20"/>
                <w:szCs w:val="20"/>
              </w:rPr>
            </w:pPr>
            <w:r w:rsidRPr="00BB49B8">
              <w:rPr>
                <w:i/>
                <w:color w:val="000000"/>
                <w:sz w:val="20"/>
                <w:szCs w:val="20"/>
              </w:rPr>
              <w:t>Máximo</w:t>
            </w:r>
          </w:p>
        </w:tc>
        <w:tc>
          <w:tcPr>
            <w:tcW w:w="1118" w:type="dxa"/>
            <w:tcBorders>
              <w:top w:val="single" w:sz="4" w:space="0" w:color="000000"/>
              <w:bottom w:val="single" w:sz="4" w:space="0" w:color="000000"/>
            </w:tcBorders>
          </w:tcPr>
          <w:p w14:paraId="09095D1A" w14:textId="77777777" w:rsidR="003A3994" w:rsidRPr="00BB49B8" w:rsidRDefault="007E4542" w:rsidP="00331804">
            <w:pPr>
              <w:jc w:val="center"/>
              <w:rPr>
                <w:i/>
                <w:color w:val="000000"/>
                <w:sz w:val="20"/>
                <w:szCs w:val="20"/>
              </w:rPr>
            </w:pPr>
            <w:r w:rsidRPr="00BB49B8">
              <w:rPr>
                <w:i/>
                <w:color w:val="000000"/>
                <w:sz w:val="20"/>
                <w:szCs w:val="20"/>
              </w:rPr>
              <w:t>Asimetría</w:t>
            </w:r>
          </w:p>
        </w:tc>
        <w:tc>
          <w:tcPr>
            <w:tcW w:w="991" w:type="dxa"/>
            <w:tcBorders>
              <w:top w:val="single" w:sz="4" w:space="0" w:color="000000"/>
              <w:bottom w:val="single" w:sz="4" w:space="0" w:color="000000"/>
            </w:tcBorders>
          </w:tcPr>
          <w:p w14:paraId="47457494" w14:textId="77777777" w:rsidR="003A3994" w:rsidRPr="00BB49B8" w:rsidRDefault="007E4542" w:rsidP="00331804">
            <w:pPr>
              <w:jc w:val="center"/>
              <w:rPr>
                <w:i/>
                <w:color w:val="000000"/>
                <w:sz w:val="20"/>
                <w:szCs w:val="20"/>
              </w:rPr>
            </w:pPr>
            <w:r w:rsidRPr="00BB49B8">
              <w:rPr>
                <w:i/>
                <w:color w:val="000000"/>
                <w:sz w:val="20"/>
                <w:szCs w:val="20"/>
              </w:rPr>
              <w:t>Curtosis</w:t>
            </w:r>
          </w:p>
        </w:tc>
        <w:tc>
          <w:tcPr>
            <w:tcW w:w="1189" w:type="dxa"/>
            <w:tcBorders>
              <w:top w:val="single" w:sz="4" w:space="0" w:color="000000"/>
              <w:bottom w:val="single" w:sz="4" w:space="0" w:color="000000"/>
            </w:tcBorders>
          </w:tcPr>
          <w:p w14:paraId="4E962C34" w14:textId="77777777" w:rsidR="003A3994" w:rsidRPr="00BB49B8" w:rsidRDefault="007E4542" w:rsidP="00331804">
            <w:pPr>
              <w:jc w:val="center"/>
              <w:rPr>
                <w:i/>
                <w:color w:val="000000"/>
                <w:sz w:val="20"/>
                <w:szCs w:val="20"/>
              </w:rPr>
            </w:pPr>
            <w:r w:rsidRPr="00BB49B8">
              <w:rPr>
                <w:i/>
                <w:color w:val="000000"/>
                <w:sz w:val="20"/>
                <w:szCs w:val="20"/>
              </w:rPr>
              <w:t>Error</w:t>
            </w:r>
          </w:p>
          <w:p w14:paraId="722AA9F1" w14:textId="77777777" w:rsidR="003A3994" w:rsidRPr="00BB49B8" w:rsidRDefault="007E4542" w:rsidP="00331804">
            <w:pPr>
              <w:jc w:val="center"/>
              <w:rPr>
                <w:i/>
                <w:color w:val="000000"/>
                <w:sz w:val="20"/>
                <w:szCs w:val="20"/>
              </w:rPr>
            </w:pPr>
            <w:r w:rsidRPr="00BB49B8">
              <w:rPr>
                <w:i/>
                <w:color w:val="000000"/>
                <w:sz w:val="20"/>
                <w:szCs w:val="20"/>
              </w:rPr>
              <w:t>Asimetría</w:t>
            </w:r>
          </w:p>
        </w:tc>
        <w:tc>
          <w:tcPr>
            <w:tcW w:w="1314" w:type="dxa"/>
            <w:tcBorders>
              <w:top w:val="single" w:sz="4" w:space="0" w:color="000000"/>
              <w:bottom w:val="single" w:sz="4" w:space="0" w:color="000000"/>
            </w:tcBorders>
          </w:tcPr>
          <w:p w14:paraId="69C687B2" w14:textId="77777777" w:rsidR="003A3994" w:rsidRPr="00BB49B8" w:rsidRDefault="007E4542" w:rsidP="00331804">
            <w:pPr>
              <w:jc w:val="center"/>
              <w:rPr>
                <w:i/>
                <w:color w:val="000000"/>
                <w:sz w:val="20"/>
                <w:szCs w:val="20"/>
              </w:rPr>
            </w:pPr>
            <w:r w:rsidRPr="00BB49B8">
              <w:rPr>
                <w:i/>
                <w:color w:val="000000"/>
                <w:sz w:val="20"/>
                <w:szCs w:val="20"/>
              </w:rPr>
              <w:t>Error</w:t>
            </w:r>
          </w:p>
          <w:p w14:paraId="0050AF54" w14:textId="77777777" w:rsidR="003A3994" w:rsidRPr="00BB49B8" w:rsidRDefault="007E4542" w:rsidP="00331804">
            <w:pPr>
              <w:jc w:val="center"/>
              <w:rPr>
                <w:i/>
                <w:color w:val="000000"/>
                <w:sz w:val="20"/>
                <w:szCs w:val="20"/>
              </w:rPr>
            </w:pPr>
            <w:r w:rsidRPr="00BB49B8">
              <w:rPr>
                <w:i/>
                <w:color w:val="000000"/>
                <w:sz w:val="20"/>
                <w:szCs w:val="20"/>
              </w:rPr>
              <w:t>Curtosis</w:t>
            </w:r>
          </w:p>
        </w:tc>
      </w:tr>
      <w:tr w:rsidR="00BB49B8" w:rsidRPr="00BB49B8" w14:paraId="34AAA374" w14:textId="77777777" w:rsidTr="00BB49B8">
        <w:trPr>
          <w:trHeight w:val="248"/>
        </w:trPr>
        <w:tc>
          <w:tcPr>
            <w:tcW w:w="1356" w:type="dxa"/>
            <w:tcBorders>
              <w:top w:val="nil"/>
            </w:tcBorders>
          </w:tcPr>
          <w:p w14:paraId="163AA8A6" w14:textId="77777777" w:rsidR="003A3994" w:rsidRPr="00BB49B8" w:rsidRDefault="007E4542" w:rsidP="00331804">
            <w:pPr>
              <w:rPr>
                <w:color w:val="000000"/>
                <w:sz w:val="20"/>
                <w:szCs w:val="20"/>
              </w:rPr>
            </w:pPr>
            <w:r w:rsidRPr="00BB49B8">
              <w:rPr>
                <w:color w:val="000000"/>
                <w:sz w:val="20"/>
                <w:szCs w:val="20"/>
              </w:rPr>
              <w:t>DConfi</w:t>
            </w:r>
          </w:p>
        </w:tc>
        <w:tc>
          <w:tcPr>
            <w:tcW w:w="754" w:type="dxa"/>
            <w:tcBorders>
              <w:top w:val="nil"/>
            </w:tcBorders>
          </w:tcPr>
          <w:p w14:paraId="63649A35" w14:textId="77777777" w:rsidR="003A3994" w:rsidRPr="00BB49B8" w:rsidRDefault="007E4542" w:rsidP="00331804">
            <w:pPr>
              <w:jc w:val="center"/>
              <w:rPr>
                <w:color w:val="000000"/>
                <w:sz w:val="20"/>
                <w:szCs w:val="20"/>
              </w:rPr>
            </w:pPr>
            <w:r w:rsidRPr="00BB49B8">
              <w:rPr>
                <w:color w:val="000000"/>
                <w:sz w:val="20"/>
                <w:szCs w:val="20"/>
              </w:rPr>
              <w:t>5.99</w:t>
            </w:r>
          </w:p>
        </w:tc>
        <w:tc>
          <w:tcPr>
            <w:tcW w:w="698" w:type="dxa"/>
            <w:tcBorders>
              <w:top w:val="nil"/>
            </w:tcBorders>
          </w:tcPr>
          <w:p w14:paraId="257CBC0C" w14:textId="77777777" w:rsidR="003A3994" w:rsidRPr="00BB49B8" w:rsidRDefault="007E4542" w:rsidP="00331804">
            <w:pPr>
              <w:jc w:val="center"/>
              <w:rPr>
                <w:color w:val="000000"/>
                <w:sz w:val="20"/>
                <w:szCs w:val="20"/>
              </w:rPr>
            </w:pPr>
            <w:r w:rsidRPr="00BB49B8">
              <w:rPr>
                <w:color w:val="000000"/>
                <w:sz w:val="20"/>
                <w:szCs w:val="20"/>
              </w:rPr>
              <w:t>1.21</w:t>
            </w:r>
          </w:p>
        </w:tc>
        <w:tc>
          <w:tcPr>
            <w:tcW w:w="964" w:type="dxa"/>
            <w:tcBorders>
              <w:top w:val="nil"/>
            </w:tcBorders>
          </w:tcPr>
          <w:p w14:paraId="3D46D534" w14:textId="77777777" w:rsidR="003A3994" w:rsidRPr="00BB49B8" w:rsidRDefault="007E4542" w:rsidP="00331804">
            <w:pPr>
              <w:jc w:val="center"/>
              <w:rPr>
                <w:color w:val="000000"/>
                <w:sz w:val="20"/>
                <w:szCs w:val="20"/>
              </w:rPr>
            </w:pPr>
            <w:r w:rsidRPr="00BB49B8">
              <w:rPr>
                <w:color w:val="000000"/>
                <w:sz w:val="20"/>
                <w:szCs w:val="20"/>
              </w:rPr>
              <w:t>1.00</w:t>
            </w:r>
          </w:p>
        </w:tc>
        <w:tc>
          <w:tcPr>
            <w:tcW w:w="991" w:type="dxa"/>
            <w:tcBorders>
              <w:top w:val="nil"/>
            </w:tcBorders>
          </w:tcPr>
          <w:p w14:paraId="616DF23F" w14:textId="77777777" w:rsidR="003A3994" w:rsidRPr="00BB49B8" w:rsidRDefault="007E4542" w:rsidP="00331804">
            <w:pPr>
              <w:jc w:val="center"/>
              <w:rPr>
                <w:color w:val="000000"/>
                <w:sz w:val="20"/>
                <w:szCs w:val="20"/>
              </w:rPr>
            </w:pPr>
            <w:r w:rsidRPr="00BB49B8">
              <w:rPr>
                <w:color w:val="000000"/>
                <w:sz w:val="20"/>
                <w:szCs w:val="20"/>
              </w:rPr>
              <w:t>7.00</w:t>
            </w:r>
          </w:p>
        </w:tc>
        <w:tc>
          <w:tcPr>
            <w:tcW w:w="1118" w:type="dxa"/>
            <w:tcBorders>
              <w:top w:val="nil"/>
            </w:tcBorders>
          </w:tcPr>
          <w:p w14:paraId="51F34A3B" w14:textId="77777777" w:rsidR="003A3994" w:rsidRPr="00BB49B8" w:rsidRDefault="007E4542" w:rsidP="00331804">
            <w:pPr>
              <w:jc w:val="center"/>
              <w:rPr>
                <w:color w:val="000000"/>
                <w:sz w:val="20"/>
                <w:szCs w:val="20"/>
              </w:rPr>
            </w:pPr>
            <w:r w:rsidRPr="00BB49B8">
              <w:rPr>
                <w:color w:val="000000"/>
                <w:sz w:val="20"/>
                <w:szCs w:val="20"/>
              </w:rPr>
              <w:t>-2.46</w:t>
            </w:r>
          </w:p>
        </w:tc>
        <w:tc>
          <w:tcPr>
            <w:tcW w:w="991" w:type="dxa"/>
            <w:tcBorders>
              <w:top w:val="nil"/>
            </w:tcBorders>
          </w:tcPr>
          <w:p w14:paraId="7D73901F" w14:textId="77777777" w:rsidR="003A3994" w:rsidRPr="00BB49B8" w:rsidRDefault="007E4542" w:rsidP="00331804">
            <w:pPr>
              <w:jc w:val="center"/>
              <w:rPr>
                <w:color w:val="000000"/>
                <w:sz w:val="20"/>
                <w:szCs w:val="20"/>
              </w:rPr>
            </w:pPr>
            <w:r w:rsidRPr="00BB49B8">
              <w:rPr>
                <w:color w:val="000000"/>
                <w:sz w:val="20"/>
                <w:szCs w:val="20"/>
              </w:rPr>
              <w:t>6.31</w:t>
            </w:r>
          </w:p>
        </w:tc>
        <w:tc>
          <w:tcPr>
            <w:tcW w:w="1189" w:type="dxa"/>
            <w:tcBorders>
              <w:top w:val="nil"/>
            </w:tcBorders>
          </w:tcPr>
          <w:p w14:paraId="556CFB88" w14:textId="77777777" w:rsidR="003A3994" w:rsidRPr="00BB49B8" w:rsidRDefault="007E4542" w:rsidP="00331804">
            <w:pPr>
              <w:jc w:val="center"/>
              <w:rPr>
                <w:color w:val="000000"/>
                <w:sz w:val="20"/>
                <w:szCs w:val="20"/>
              </w:rPr>
            </w:pPr>
            <w:r w:rsidRPr="00BB49B8">
              <w:rPr>
                <w:color w:val="000000"/>
                <w:sz w:val="20"/>
                <w:szCs w:val="20"/>
              </w:rPr>
              <w:t>0.131</w:t>
            </w:r>
          </w:p>
        </w:tc>
        <w:tc>
          <w:tcPr>
            <w:tcW w:w="1314" w:type="dxa"/>
            <w:tcBorders>
              <w:top w:val="nil"/>
            </w:tcBorders>
          </w:tcPr>
          <w:p w14:paraId="50FA7D6D" w14:textId="77777777" w:rsidR="003A3994" w:rsidRPr="00BB49B8" w:rsidRDefault="007E4542" w:rsidP="00331804">
            <w:pPr>
              <w:jc w:val="center"/>
              <w:rPr>
                <w:color w:val="000000"/>
                <w:sz w:val="20"/>
                <w:szCs w:val="20"/>
              </w:rPr>
            </w:pPr>
            <w:r w:rsidRPr="00BB49B8">
              <w:rPr>
                <w:color w:val="000000"/>
                <w:sz w:val="20"/>
                <w:szCs w:val="20"/>
              </w:rPr>
              <w:t>0.261</w:t>
            </w:r>
          </w:p>
        </w:tc>
      </w:tr>
      <w:tr w:rsidR="00BB49B8" w:rsidRPr="00BB49B8" w14:paraId="0B16C27E" w14:textId="77777777" w:rsidTr="00BB49B8">
        <w:trPr>
          <w:trHeight w:val="237"/>
        </w:trPr>
        <w:tc>
          <w:tcPr>
            <w:tcW w:w="1356" w:type="dxa"/>
          </w:tcPr>
          <w:p w14:paraId="114D5F5A" w14:textId="77777777" w:rsidR="003A3994" w:rsidRPr="00BB49B8" w:rsidRDefault="007E4542" w:rsidP="00331804">
            <w:pPr>
              <w:rPr>
                <w:color w:val="000000"/>
                <w:sz w:val="20"/>
                <w:szCs w:val="20"/>
              </w:rPr>
            </w:pPr>
            <w:r w:rsidRPr="00BB49B8">
              <w:rPr>
                <w:color w:val="000000"/>
                <w:sz w:val="20"/>
                <w:szCs w:val="20"/>
              </w:rPr>
              <w:t>DPerse</w:t>
            </w:r>
          </w:p>
        </w:tc>
        <w:tc>
          <w:tcPr>
            <w:tcW w:w="754" w:type="dxa"/>
          </w:tcPr>
          <w:p w14:paraId="604FBABD" w14:textId="77777777" w:rsidR="003A3994" w:rsidRPr="00BB49B8" w:rsidRDefault="007E4542" w:rsidP="00331804">
            <w:pPr>
              <w:jc w:val="center"/>
              <w:rPr>
                <w:color w:val="000000"/>
                <w:sz w:val="20"/>
                <w:szCs w:val="20"/>
              </w:rPr>
            </w:pPr>
            <w:r w:rsidRPr="00BB49B8">
              <w:rPr>
                <w:color w:val="000000"/>
                <w:sz w:val="20"/>
                <w:szCs w:val="20"/>
              </w:rPr>
              <w:t>5.78</w:t>
            </w:r>
          </w:p>
        </w:tc>
        <w:tc>
          <w:tcPr>
            <w:tcW w:w="698" w:type="dxa"/>
          </w:tcPr>
          <w:p w14:paraId="6DBBC398" w14:textId="77777777" w:rsidR="003A3994" w:rsidRPr="00BB49B8" w:rsidRDefault="007E4542" w:rsidP="00331804">
            <w:pPr>
              <w:jc w:val="center"/>
              <w:rPr>
                <w:color w:val="000000"/>
                <w:sz w:val="20"/>
                <w:szCs w:val="20"/>
              </w:rPr>
            </w:pPr>
            <w:r w:rsidRPr="00BB49B8">
              <w:rPr>
                <w:color w:val="000000"/>
                <w:sz w:val="20"/>
                <w:szCs w:val="20"/>
              </w:rPr>
              <w:t>1.29</w:t>
            </w:r>
          </w:p>
        </w:tc>
        <w:tc>
          <w:tcPr>
            <w:tcW w:w="964" w:type="dxa"/>
          </w:tcPr>
          <w:p w14:paraId="574B7D60" w14:textId="77777777" w:rsidR="003A3994" w:rsidRPr="00BB49B8" w:rsidRDefault="007E4542" w:rsidP="00331804">
            <w:pPr>
              <w:jc w:val="center"/>
              <w:rPr>
                <w:color w:val="000000"/>
                <w:sz w:val="20"/>
                <w:szCs w:val="20"/>
              </w:rPr>
            </w:pPr>
            <w:r w:rsidRPr="00BB49B8">
              <w:rPr>
                <w:color w:val="000000"/>
                <w:sz w:val="20"/>
                <w:szCs w:val="20"/>
              </w:rPr>
              <w:t>1.00</w:t>
            </w:r>
          </w:p>
        </w:tc>
        <w:tc>
          <w:tcPr>
            <w:tcW w:w="991" w:type="dxa"/>
          </w:tcPr>
          <w:p w14:paraId="0615C018" w14:textId="77777777" w:rsidR="003A3994" w:rsidRPr="00BB49B8" w:rsidRDefault="007E4542" w:rsidP="00331804">
            <w:pPr>
              <w:jc w:val="center"/>
              <w:rPr>
                <w:color w:val="000000"/>
                <w:sz w:val="20"/>
                <w:szCs w:val="20"/>
              </w:rPr>
            </w:pPr>
            <w:r w:rsidRPr="00BB49B8">
              <w:rPr>
                <w:color w:val="000000"/>
                <w:sz w:val="20"/>
                <w:szCs w:val="20"/>
              </w:rPr>
              <w:t>7.00</w:t>
            </w:r>
          </w:p>
        </w:tc>
        <w:tc>
          <w:tcPr>
            <w:tcW w:w="1118" w:type="dxa"/>
          </w:tcPr>
          <w:p w14:paraId="0B7701A2" w14:textId="77777777" w:rsidR="003A3994" w:rsidRPr="00BB49B8" w:rsidRDefault="007E4542" w:rsidP="00331804">
            <w:pPr>
              <w:jc w:val="center"/>
              <w:rPr>
                <w:color w:val="000000"/>
                <w:sz w:val="20"/>
                <w:szCs w:val="20"/>
              </w:rPr>
            </w:pPr>
            <w:r w:rsidRPr="00BB49B8">
              <w:rPr>
                <w:color w:val="000000"/>
                <w:sz w:val="20"/>
                <w:szCs w:val="20"/>
              </w:rPr>
              <w:t>-1.84</w:t>
            </w:r>
          </w:p>
        </w:tc>
        <w:tc>
          <w:tcPr>
            <w:tcW w:w="991" w:type="dxa"/>
          </w:tcPr>
          <w:p w14:paraId="6F865E11" w14:textId="77777777" w:rsidR="003A3994" w:rsidRPr="00BB49B8" w:rsidRDefault="007E4542" w:rsidP="00331804">
            <w:pPr>
              <w:jc w:val="center"/>
              <w:rPr>
                <w:color w:val="000000"/>
                <w:sz w:val="20"/>
                <w:szCs w:val="20"/>
              </w:rPr>
            </w:pPr>
            <w:r w:rsidRPr="00BB49B8">
              <w:rPr>
                <w:color w:val="000000"/>
                <w:sz w:val="20"/>
                <w:szCs w:val="20"/>
              </w:rPr>
              <w:t>3.56</w:t>
            </w:r>
          </w:p>
        </w:tc>
        <w:tc>
          <w:tcPr>
            <w:tcW w:w="1189" w:type="dxa"/>
          </w:tcPr>
          <w:p w14:paraId="10D3B78D" w14:textId="77777777" w:rsidR="003A3994" w:rsidRPr="00BB49B8" w:rsidRDefault="007E4542" w:rsidP="00331804">
            <w:pPr>
              <w:jc w:val="center"/>
              <w:rPr>
                <w:color w:val="000000"/>
                <w:sz w:val="20"/>
                <w:szCs w:val="20"/>
              </w:rPr>
            </w:pPr>
            <w:r w:rsidRPr="00BB49B8">
              <w:rPr>
                <w:color w:val="000000"/>
                <w:sz w:val="20"/>
                <w:szCs w:val="20"/>
              </w:rPr>
              <w:t>0.131</w:t>
            </w:r>
          </w:p>
        </w:tc>
        <w:tc>
          <w:tcPr>
            <w:tcW w:w="1314" w:type="dxa"/>
          </w:tcPr>
          <w:p w14:paraId="25355BFD" w14:textId="77777777" w:rsidR="003A3994" w:rsidRPr="00BB49B8" w:rsidRDefault="007E4542" w:rsidP="00331804">
            <w:pPr>
              <w:jc w:val="center"/>
              <w:rPr>
                <w:color w:val="000000"/>
                <w:sz w:val="20"/>
                <w:szCs w:val="20"/>
              </w:rPr>
            </w:pPr>
            <w:r w:rsidRPr="00BB49B8">
              <w:rPr>
                <w:color w:val="000000"/>
                <w:sz w:val="20"/>
                <w:szCs w:val="20"/>
              </w:rPr>
              <w:t>0.261</w:t>
            </w:r>
          </w:p>
        </w:tc>
      </w:tr>
      <w:tr w:rsidR="00BB49B8" w:rsidRPr="00BB49B8" w14:paraId="5467F8AC" w14:textId="77777777" w:rsidTr="00BB49B8">
        <w:trPr>
          <w:trHeight w:val="248"/>
        </w:trPr>
        <w:tc>
          <w:tcPr>
            <w:tcW w:w="1356" w:type="dxa"/>
          </w:tcPr>
          <w:p w14:paraId="03301D7D" w14:textId="77777777" w:rsidR="003A3994" w:rsidRPr="00BB49B8" w:rsidRDefault="007E4542" w:rsidP="00331804">
            <w:pPr>
              <w:rPr>
                <w:color w:val="000000"/>
                <w:sz w:val="20"/>
                <w:szCs w:val="20"/>
              </w:rPr>
            </w:pPr>
            <w:r w:rsidRPr="00BB49B8">
              <w:rPr>
                <w:color w:val="000000"/>
                <w:sz w:val="20"/>
                <w:szCs w:val="20"/>
              </w:rPr>
              <w:t>DEcua</w:t>
            </w:r>
          </w:p>
        </w:tc>
        <w:tc>
          <w:tcPr>
            <w:tcW w:w="754" w:type="dxa"/>
          </w:tcPr>
          <w:p w14:paraId="67E80359" w14:textId="77777777" w:rsidR="003A3994" w:rsidRPr="00BB49B8" w:rsidRDefault="007E4542" w:rsidP="00331804">
            <w:pPr>
              <w:jc w:val="center"/>
              <w:rPr>
                <w:color w:val="000000"/>
                <w:sz w:val="20"/>
                <w:szCs w:val="20"/>
              </w:rPr>
            </w:pPr>
            <w:r w:rsidRPr="00BB49B8">
              <w:rPr>
                <w:color w:val="000000"/>
                <w:sz w:val="20"/>
                <w:szCs w:val="20"/>
              </w:rPr>
              <w:t>5.23</w:t>
            </w:r>
          </w:p>
        </w:tc>
        <w:tc>
          <w:tcPr>
            <w:tcW w:w="698" w:type="dxa"/>
          </w:tcPr>
          <w:p w14:paraId="4AD55D5A" w14:textId="77777777" w:rsidR="003A3994" w:rsidRPr="00BB49B8" w:rsidRDefault="007E4542" w:rsidP="00331804">
            <w:pPr>
              <w:jc w:val="center"/>
              <w:rPr>
                <w:color w:val="000000"/>
                <w:sz w:val="20"/>
                <w:szCs w:val="20"/>
              </w:rPr>
            </w:pPr>
            <w:r w:rsidRPr="00BB49B8">
              <w:rPr>
                <w:color w:val="000000"/>
                <w:sz w:val="20"/>
                <w:szCs w:val="20"/>
              </w:rPr>
              <w:t>1.19</w:t>
            </w:r>
          </w:p>
        </w:tc>
        <w:tc>
          <w:tcPr>
            <w:tcW w:w="964" w:type="dxa"/>
          </w:tcPr>
          <w:p w14:paraId="766B2560" w14:textId="77777777" w:rsidR="003A3994" w:rsidRPr="00BB49B8" w:rsidRDefault="007E4542" w:rsidP="00331804">
            <w:pPr>
              <w:jc w:val="center"/>
              <w:rPr>
                <w:color w:val="000000"/>
                <w:sz w:val="20"/>
                <w:szCs w:val="20"/>
              </w:rPr>
            </w:pPr>
            <w:r w:rsidRPr="00BB49B8">
              <w:rPr>
                <w:color w:val="000000"/>
                <w:sz w:val="20"/>
                <w:szCs w:val="20"/>
              </w:rPr>
              <w:t>1.00</w:t>
            </w:r>
          </w:p>
        </w:tc>
        <w:tc>
          <w:tcPr>
            <w:tcW w:w="991" w:type="dxa"/>
          </w:tcPr>
          <w:p w14:paraId="0785D25C" w14:textId="77777777" w:rsidR="003A3994" w:rsidRPr="00BB49B8" w:rsidRDefault="007E4542" w:rsidP="00331804">
            <w:pPr>
              <w:jc w:val="center"/>
              <w:rPr>
                <w:color w:val="000000"/>
                <w:sz w:val="20"/>
                <w:szCs w:val="20"/>
              </w:rPr>
            </w:pPr>
            <w:r w:rsidRPr="00BB49B8">
              <w:rPr>
                <w:color w:val="000000"/>
                <w:sz w:val="20"/>
                <w:szCs w:val="20"/>
              </w:rPr>
              <w:t>7.00</w:t>
            </w:r>
          </w:p>
        </w:tc>
        <w:tc>
          <w:tcPr>
            <w:tcW w:w="1118" w:type="dxa"/>
          </w:tcPr>
          <w:p w14:paraId="33E3B7EA" w14:textId="77777777" w:rsidR="003A3994" w:rsidRPr="00BB49B8" w:rsidRDefault="007E4542" w:rsidP="00331804">
            <w:pPr>
              <w:jc w:val="center"/>
              <w:rPr>
                <w:color w:val="000000"/>
                <w:sz w:val="20"/>
                <w:szCs w:val="20"/>
              </w:rPr>
            </w:pPr>
            <w:r w:rsidRPr="00BB49B8">
              <w:rPr>
                <w:color w:val="000000"/>
                <w:sz w:val="20"/>
                <w:szCs w:val="20"/>
              </w:rPr>
              <w:t>-1.49</w:t>
            </w:r>
          </w:p>
        </w:tc>
        <w:tc>
          <w:tcPr>
            <w:tcW w:w="991" w:type="dxa"/>
          </w:tcPr>
          <w:p w14:paraId="42135118" w14:textId="77777777" w:rsidR="003A3994" w:rsidRPr="00BB49B8" w:rsidRDefault="007E4542" w:rsidP="00331804">
            <w:pPr>
              <w:jc w:val="center"/>
              <w:rPr>
                <w:color w:val="000000"/>
                <w:sz w:val="20"/>
                <w:szCs w:val="20"/>
              </w:rPr>
            </w:pPr>
            <w:r w:rsidRPr="00BB49B8">
              <w:rPr>
                <w:color w:val="000000"/>
                <w:sz w:val="20"/>
                <w:szCs w:val="20"/>
              </w:rPr>
              <w:t>2.67</w:t>
            </w:r>
          </w:p>
        </w:tc>
        <w:tc>
          <w:tcPr>
            <w:tcW w:w="1189" w:type="dxa"/>
          </w:tcPr>
          <w:p w14:paraId="7A1ACB53" w14:textId="77777777" w:rsidR="003A3994" w:rsidRPr="00BB49B8" w:rsidRDefault="007E4542" w:rsidP="00331804">
            <w:pPr>
              <w:jc w:val="center"/>
              <w:rPr>
                <w:color w:val="000000"/>
                <w:sz w:val="20"/>
                <w:szCs w:val="20"/>
              </w:rPr>
            </w:pPr>
            <w:r w:rsidRPr="00BB49B8">
              <w:rPr>
                <w:color w:val="000000"/>
                <w:sz w:val="20"/>
                <w:szCs w:val="20"/>
              </w:rPr>
              <w:t>0.131</w:t>
            </w:r>
          </w:p>
        </w:tc>
        <w:tc>
          <w:tcPr>
            <w:tcW w:w="1314" w:type="dxa"/>
          </w:tcPr>
          <w:p w14:paraId="70F72589" w14:textId="77777777" w:rsidR="003A3994" w:rsidRPr="00BB49B8" w:rsidRDefault="007E4542" w:rsidP="00331804">
            <w:pPr>
              <w:jc w:val="center"/>
              <w:rPr>
                <w:color w:val="000000"/>
                <w:sz w:val="20"/>
                <w:szCs w:val="20"/>
              </w:rPr>
            </w:pPr>
            <w:r w:rsidRPr="00BB49B8">
              <w:rPr>
                <w:color w:val="000000"/>
                <w:sz w:val="20"/>
                <w:szCs w:val="20"/>
              </w:rPr>
              <w:t>0.261</w:t>
            </w:r>
          </w:p>
        </w:tc>
      </w:tr>
      <w:tr w:rsidR="00BB49B8" w:rsidRPr="00BB49B8" w14:paraId="06832C6C" w14:textId="77777777" w:rsidTr="00BB49B8">
        <w:trPr>
          <w:trHeight w:val="248"/>
        </w:trPr>
        <w:tc>
          <w:tcPr>
            <w:tcW w:w="1356" w:type="dxa"/>
          </w:tcPr>
          <w:p w14:paraId="33BBBAB9" w14:textId="77777777" w:rsidR="003A3994" w:rsidRPr="00BB49B8" w:rsidRDefault="007E4542" w:rsidP="00331804">
            <w:pPr>
              <w:rPr>
                <w:color w:val="000000"/>
                <w:sz w:val="20"/>
                <w:szCs w:val="20"/>
              </w:rPr>
            </w:pPr>
            <w:r w:rsidRPr="00BB49B8">
              <w:rPr>
                <w:color w:val="000000"/>
                <w:sz w:val="20"/>
                <w:szCs w:val="20"/>
              </w:rPr>
              <w:t>DAcept</w:t>
            </w:r>
          </w:p>
        </w:tc>
        <w:tc>
          <w:tcPr>
            <w:tcW w:w="754" w:type="dxa"/>
          </w:tcPr>
          <w:p w14:paraId="43F715B0" w14:textId="77777777" w:rsidR="003A3994" w:rsidRPr="00BB49B8" w:rsidRDefault="007E4542" w:rsidP="00331804">
            <w:pPr>
              <w:jc w:val="center"/>
              <w:rPr>
                <w:i/>
                <w:color w:val="000000"/>
                <w:sz w:val="20"/>
                <w:szCs w:val="20"/>
              </w:rPr>
            </w:pPr>
            <w:r w:rsidRPr="00BB49B8">
              <w:rPr>
                <w:color w:val="000000"/>
                <w:sz w:val="20"/>
                <w:szCs w:val="20"/>
              </w:rPr>
              <w:t>5.42</w:t>
            </w:r>
          </w:p>
        </w:tc>
        <w:tc>
          <w:tcPr>
            <w:tcW w:w="698" w:type="dxa"/>
          </w:tcPr>
          <w:p w14:paraId="7907C98A" w14:textId="77777777" w:rsidR="003A3994" w:rsidRPr="00BB49B8" w:rsidRDefault="007E4542" w:rsidP="00331804">
            <w:pPr>
              <w:jc w:val="center"/>
              <w:rPr>
                <w:i/>
                <w:color w:val="000000"/>
                <w:sz w:val="20"/>
                <w:szCs w:val="20"/>
              </w:rPr>
            </w:pPr>
            <w:r w:rsidRPr="00BB49B8">
              <w:rPr>
                <w:color w:val="000000"/>
                <w:sz w:val="20"/>
                <w:szCs w:val="20"/>
              </w:rPr>
              <w:t>1.16</w:t>
            </w:r>
          </w:p>
        </w:tc>
        <w:tc>
          <w:tcPr>
            <w:tcW w:w="964" w:type="dxa"/>
          </w:tcPr>
          <w:p w14:paraId="3ACBB3B6" w14:textId="77777777" w:rsidR="003A3994" w:rsidRPr="00BB49B8" w:rsidRDefault="007E4542" w:rsidP="00331804">
            <w:pPr>
              <w:jc w:val="center"/>
              <w:rPr>
                <w:i/>
                <w:color w:val="000000"/>
                <w:sz w:val="20"/>
                <w:szCs w:val="20"/>
              </w:rPr>
            </w:pPr>
            <w:r w:rsidRPr="00BB49B8">
              <w:rPr>
                <w:color w:val="000000"/>
                <w:sz w:val="20"/>
                <w:szCs w:val="20"/>
              </w:rPr>
              <w:t>1.00</w:t>
            </w:r>
          </w:p>
        </w:tc>
        <w:tc>
          <w:tcPr>
            <w:tcW w:w="991" w:type="dxa"/>
          </w:tcPr>
          <w:p w14:paraId="33BA1B45" w14:textId="77777777" w:rsidR="003A3994" w:rsidRPr="00BB49B8" w:rsidRDefault="007E4542" w:rsidP="00331804">
            <w:pPr>
              <w:jc w:val="center"/>
              <w:rPr>
                <w:i/>
                <w:color w:val="000000"/>
                <w:sz w:val="20"/>
                <w:szCs w:val="20"/>
              </w:rPr>
            </w:pPr>
            <w:r w:rsidRPr="00BB49B8">
              <w:rPr>
                <w:color w:val="000000"/>
                <w:sz w:val="20"/>
                <w:szCs w:val="20"/>
              </w:rPr>
              <w:t>7.00</w:t>
            </w:r>
          </w:p>
        </w:tc>
        <w:tc>
          <w:tcPr>
            <w:tcW w:w="1118" w:type="dxa"/>
          </w:tcPr>
          <w:p w14:paraId="05B4EADB" w14:textId="77777777" w:rsidR="003A3994" w:rsidRPr="00BB49B8" w:rsidRDefault="007E4542" w:rsidP="00331804">
            <w:pPr>
              <w:jc w:val="center"/>
              <w:rPr>
                <w:i/>
                <w:color w:val="000000"/>
                <w:sz w:val="20"/>
                <w:szCs w:val="20"/>
              </w:rPr>
            </w:pPr>
            <w:r w:rsidRPr="00BB49B8">
              <w:rPr>
                <w:color w:val="000000"/>
                <w:sz w:val="20"/>
                <w:szCs w:val="20"/>
              </w:rPr>
              <w:t>-1.37</w:t>
            </w:r>
          </w:p>
        </w:tc>
        <w:tc>
          <w:tcPr>
            <w:tcW w:w="991" w:type="dxa"/>
          </w:tcPr>
          <w:p w14:paraId="08A27D4C" w14:textId="77777777" w:rsidR="003A3994" w:rsidRPr="00BB49B8" w:rsidRDefault="007E4542" w:rsidP="00331804">
            <w:pPr>
              <w:jc w:val="center"/>
              <w:rPr>
                <w:i/>
                <w:color w:val="000000"/>
                <w:sz w:val="20"/>
                <w:szCs w:val="20"/>
              </w:rPr>
            </w:pPr>
            <w:r w:rsidRPr="00BB49B8">
              <w:rPr>
                <w:color w:val="000000"/>
                <w:sz w:val="20"/>
                <w:szCs w:val="20"/>
              </w:rPr>
              <w:t>2.90</w:t>
            </w:r>
          </w:p>
        </w:tc>
        <w:tc>
          <w:tcPr>
            <w:tcW w:w="1189" w:type="dxa"/>
          </w:tcPr>
          <w:p w14:paraId="5CAD86C1" w14:textId="77777777" w:rsidR="003A3994" w:rsidRPr="00BB49B8" w:rsidRDefault="007E4542" w:rsidP="00331804">
            <w:pPr>
              <w:jc w:val="center"/>
              <w:rPr>
                <w:i/>
                <w:color w:val="000000"/>
                <w:sz w:val="20"/>
                <w:szCs w:val="20"/>
              </w:rPr>
            </w:pPr>
            <w:r w:rsidRPr="00BB49B8">
              <w:rPr>
                <w:color w:val="000000"/>
                <w:sz w:val="20"/>
                <w:szCs w:val="20"/>
              </w:rPr>
              <w:t>0.131</w:t>
            </w:r>
          </w:p>
        </w:tc>
        <w:tc>
          <w:tcPr>
            <w:tcW w:w="1314" w:type="dxa"/>
          </w:tcPr>
          <w:p w14:paraId="08177228" w14:textId="77777777" w:rsidR="003A3994" w:rsidRPr="00BB49B8" w:rsidRDefault="007E4542" w:rsidP="00331804">
            <w:pPr>
              <w:jc w:val="center"/>
              <w:rPr>
                <w:i/>
                <w:color w:val="000000"/>
                <w:sz w:val="20"/>
                <w:szCs w:val="20"/>
              </w:rPr>
            </w:pPr>
            <w:r w:rsidRPr="00BB49B8">
              <w:rPr>
                <w:color w:val="000000"/>
                <w:sz w:val="20"/>
                <w:szCs w:val="20"/>
              </w:rPr>
              <w:t>0.261</w:t>
            </w:r>
          </w:p>
        </w:tc>
      </w:tr>
      <w:tr w:rsidR="00BB49B8" w:rsidRPr="00BB49B8" w14:paraId="141CD214" w14:textId="77777777" w:rsidTr="00BB49B8">
        <w:trPr>
          <w:trHeight w:val="486"/>
        </w:trPr>
        <w:tc>
          <w:tcPr>
            <w:tcW w:w="1356" w:type="dxa"/>
          </w:tcPr>
          <w:p w14:paraId="714BCE13" w14:textId="77777777" w:rsidR="003A3994" w:rsidRPr="00BB49B8" w:rsidRDefault="007E4542" w:rsidP="00331804">
            <w:pPr>
              <w:rPr>
                <w:color w:val="000000"/>
                <w:sz w:val="20"/>
                <w:szCs w:val="20"/>
              </w:rPr>
            </w:pPr>
            <w:r w:rsidRPr="00BB49B8">
              <w:rPr>
                <w:color w:val="000000"/>
                <w:sz w:val="20"/>
                <w:szCs w:val="20"/>
              </w:rPr>
              <w:t xml:space="preserve">Escala de Resiliencia </w:t>
            </w:r>
          </w:p>
        </w:tc>
        <w:tc>
          <w:tcPr>
            <w:tcW w:w="754" w:type="dxa"/>
          </w:tcPr>
          <w:p w14:paraId="042D9A81" w14:textId="77777777" w:rsidR="003A3994" w:rsidRPr="00BB49B8" w:rsidRDefault="007E4542" w:rsidP="00331804">
            <w:pPr>
              <w:jc w:val="center"/>
              <w:rPr>
                <w:i/>
                <w:color w:val="000000"/>
                <w:sz w:val="20"/>
                <w:szCs w:val="20"/>
              </w:rPr>
            </w:pPr>
            <w:r w:rsidRPr="00BB49B8">
              <w:rPr>
                <w:color w:val="000000"/>
                <w:sz w:val="20"/>
                <w:szCs w:val="20"/>
              </w:rPr>
              <w:t>142</w:t>
            </w:r>
          </w:p>
        </w:tc>
        <w:tc>
          <w:tcPr>
            <w:tcW w:w="698" w:type="dxa"/>
          </w:tcPr>
          <w:p w14:paraId="648CF40B" w14:textId="77777777" w:rsidR="003A3994" w:rsidRPr="00BB49B8" w:rsidRDefault="007E4542" w:rsidP="00331804">
            <w:pPr>
              <w:jc w:val="center"/>
              <w:rPr>
                <w:i/>
                <w:color w:val="000000"/>
                <w:sz w:val="20"/>
                <w:szCs w:val="20"/>
              </w:rPr>
            </w:pPr>
            <w:r w:rsidRPr="00BB49B8">
              <w:rPr>
                <w:color w:val="000000"/>
                <w:sz w:val="20"/>
                <w:szCs w:val="20"/>
              </w:rPr>
              <w:t>27.6</w:t>
            </w:r>
          </w:p>
        </w:tc>
        <w:tc>
          <w:tcPr>
            <w:tcW w:w="964" w:type="dxa"/>
          </w:tcPr>
          <w:p w14:paraId="0E7B3825" w14:textId="77777777" w:rsidR="003A3994" w:rsidRPr="00BB49B8" w:rsidRDefault="007E4542" w:rsidP="00331804">
            <w:pPr>
              <w:jc w:val="center"/>
              <w:rPr>
                <w:i/>
                <w:color w:val="000000"/>
                <w:sz w:val="20"/>
                <w:szCs w:val="20"/>
              </w:rPr>
            </w:pPr>
            <w:r w:rsidRPr="00BB49B8">
              <w:rPr>
                <w:color w:val="000000"/>
                <w:sz w:val="20"/>
                <w:szCs w:val="20"/>
              </w:rPr>
              <w:t>25.0</w:t>
            </w:r>
          </w:p>
        </w:tc>
        <w:tc>
          <w:tcPr>
            <w:tcW w:w="991" w:type="dxa"/>
          </w:tcPr>
          <w:p w14:paraId="2825975E" w14:textId="77777777" w:rsidR="003A3994" w:rsidRPr="00BB49B8" w:rsidRDefault="007E4542" w:rsidP="00331804">
            <w:pPr>
              <w:jc w:val="center"/>
              <w:rPr>
                <w:i/>
                <w:color w:val="000000"/>
                <w:sz w:val="20"/>
                <w:szCs w:val="20"/>
              </w:rPr>
            </w:pPr>
            <w:r w:rsidRPr="00BB49B8">
              <w:rPr>
                <w:color w:val="000000"/>
                <w:sz w:val="20"/>
                <w:szCs w:val="20"/>
              </w:rPr>
              <w:t>175</w:t>
            </w:r>
          </w:p>
        </w:tc>
        <w:tc>
          <w:tcPr>
            <w:tcW w:w="1118" w:type="dxa"/>
          </w:tcPr>
          <w:p w14:paraId="452CC644" w14:textId="77777777" w:rsidR="003A3994" w:rsidRPr="00BB49B8" w:rsidRDefault="007E4542" w:rsidP="00331804">
            <w:pPr>
              <w:jc w:val="center"/>
              <w:rPr>
                <w:i/>
                <w:color w:val="000000"/>
                <w:sz w:val="20"/>
                <w:szCs w:val="20"/>
              </w:rPr>
            </w:pPr>
            <w:r w:rsidRPr="00BB49B8">
              <w:rPr>
                <w:color w:val="000000"/>
                <w:sz w:val="20"/>
                <w:szCs w:val="20"/>
              </w:rPr>
              <w:t>-2.34</w:t>
            </w:r>
          </w:p>
        </w:tc>
        <w:tc>
          <w:tcPr>
            <w:tcW w:w="991" w:type="dxa"/>
          </w:tcPr>
          <w:p w14:paraId="61BF05BA" w14:textId="77777777" w:rsidR="003A3994" w:rsidRPr="00BB49B8" w:rsidRDefault="007E4542" w:rsidP="00331804">
            <w:pPr>
              <w:jc w:val="center"/>
              <w:rPr>
                <w:i/>
                <w:color w:val="000000"/>
                <w:sz w:val="20"/>
                <w:szCs w:val="20"/>
              </w:rPr>
            </w:pPr>
            <w:r w:rsidRPr="00BB49B8">
              <w:rPr>
                <w:color w:val="000000"/>
                <w:sz w:val="20"/>
                <w:szCs w:val="20"/>
              </w:rPr>
              <w:t>6.08</w:t>
            </w:r>
          </w:p>
        </w:tc>
        <w:tc>
          <w:tcPr>
            <w:tcW w:w="1189" w:type="dxa"/>
          </w:tcPr>
          <w:p w14:paraId="784BA767" w14:textId="77777777" w:rsidR="003A3994" w:rsidRPr="00BB49B8" w:rsidRDefault="007E4542" w:rsidP="00331804">
            <w:pPr>
              <w:jc w:val="center"/>
              <w:rPr>
                <w:i/>
                <w:color w:val="000000"/>
                <w:sz w:val="20"/>
                <w:szCs w:val="20"/>
              </w:rPr>
            </w:pPr>
            <w:r w:rsidRPr="00BB49B8">
              <w:rPr>
                <w:color w:val="000000"/>
                <w:sz w:val="20"/>
                <w:szCs w:val="20"/>
              </w:rPr>
              <w:t>0.131</w:t>
            </w:r>
          </w:p>
        </w:tc>
        <w:tc>
          <w:tcPr>
            <w:tcW w:w="1314" w:type="dxa"/>
          </w:tcPr>
          <w:p w14:paraId="09621DC5" w14:textId="77777777" w:rsidR="003A3994" w:rsidRPr="00BB49B8" w:rsidRDefault="007E4542" w:rsidP="00331804">
            <w:pPr>
              <w:jc w:val="center"/>
              <w:rPr>
                <w:i/>
                <w:color w:val="000000"/>
                <w:sz w:val="20"/>
                <w:szCs w:val="20"/>
              </w:rPr>
            </w:pPr>
            <w:r w:rsidRPr="00BB49B8">
              <w:rPr>
                <w:color w:val="000000"/>
                <w:sz w:val="20"/>
                <w:szCs w:val="20"/>
              </w:rPr>
              <w:t>0.261</w:t>
            </w:r>
          </w:p>
        </w:tc>
      </w:tr>
      <w:tr w:rsidR="00BB49B8" w:rsidRPr="00BB49B8" w14:paraId="1DA08D73" w14:textId="77777777" w:rsidTr="00BB49B8">
        <w:trPr>
          <w:trHeight w:val="330"/>
        </w:trPr>
        <w:tc>
          <w:tcPr>
            <w:tcW w:w="1356" w:type="dxa"/>
          </w:tcPr>
          <w:p w14:paraId="30B415FE" w14:textId="77777777" w:rsidR="003A3994" w:rsidRPr="00BB49B8" w:rsidRDefault="007E4542" w:rsidP="00331804">
            <w:pPr>
              <w:rPr>
                <w:color w:val="000000"/>
                <w:sz w:val="20"/>
                <w:szCs w:val="20"/>
              </w:rPr>
            </w:pPr>
            <w:r w:rsidRPr="00BB49B8">
              <w:rPr>
                <w:color w:val="000000"/>
                <w:sz w:val="20"/>
                <w:szCs w:val="20"/>
              </w:rPr>
              <w:t>Escala de Bienestar</w:t>
            </w:r>
          </w:p>
        </w:tc>
        <w:tc>
          <w:tcPr>
            <w:tcW w:w="754" w:type="dxa"/>
          </w:tcPr>
          <w:p w14:paraId="07BC8B1E" w14:textId="77777777" w:rsidR="003A3994" w:rsidRPr="00BB49B8" w:rsidRDefault="007E4542" w:rsidP="00331804">
            <w:pPr>
              <w:jc w:val="center"/>
              <w:rPr>
                <w:i/>
                <w:color w:val="000000"/>
                <w:sz w:val="20"/>
                <w:szCs w:val="20"/>
              </w:rPr>
            </w:pPr>
            <w:r w:rsidRPr="00BB49B8">
              <w:rPr>
                <w:color w:val="000000"/>
                <w:sz w:val="20"/>
                <w:szCs w:val="20"/>
              </w:rPr>
              <w:t>59.3</w:t>
            </w:r>
          </w:p>
        </w:tc>
        <w:tc>
          <w:tcPr>
            <w:tcW w:w="698" w:type="dxa"/>
          </w:tcPr>
          <w:p w14:paraId="6731A934" w14:textId="77777777" w:rsidR="003A3994" w:rsidRPr="00BB49B8" w:rsidRDefault="007E4542" w:rsidP="00331804">
            <w:pPr>
              <w:jc w:val="center"/>
              <w:rPr>
                <w:i/>
                <w:color w:val="000000"/>
                <w:sz w:val="20"/>
                <w:szCs w:val="20"/>
              </w:rPr>
            </w:pPr>
            <w:r w:rsidRPr="00BB49B8">
              <w:rPr>
                <w:color w:val="000000"/>
                <w:sz w:val="20"/>
                <w:szCs w:val="20"/>
              </w:rPr>
              <w:t>7.17</w:t>
            </w:r>
          </w:p>
        </w:tc>
        <w:tc>
          <w:tcPr>
            <w:tcW w:w="964" w:type="dxa"/>
          </w:tcPr>
          <w:p w14:paraId="77352FA4" w14:textId="77777777" w:rsidR="003A3994" w:rsidRPr="00BB49B8" w:rsidRDefault="007E4542" w:rsidP="00331804">
            <w:pPr>
              <w:jc w:val="center"/>
              <w:rPr>
                <w:i/>
                <w:color w:val="000000"/>
                <w:sz w:val="20"/>
                <w:szCs w:val="20"/>
              </w:rPr>
            </w:pPr>
            <w:r w:rsidRPr="00BB49B8">
              <w:rPr>
                <w:color w:val="000000"/>
                <w:sz w:val="20"/>
                <w:szCs w:val="20"/>
              </w:rPr>
              <w:t>30.0</w:t>
            </w:r>
          </w:p>
        </w:tc>
        <w:tc>
          <w:tcPr>
            <w:tcW w:w="991" w:type="dxa"/>
          </w:tcPr>
          <w:p w14:paraId="4E719B2A" w14:textId="77777777" w:rsidR="003A3994" w:rsidRPr="00BB49B8" w:rsidRDefault="007E4542" w:rsidP="00331804">
            <w:pPr>
              <w:jc w:val="center"/>
              <w:rPr>
                <w:i/>
                <w:color w:val="000000"/>
                <w:sz w:val="20"/>
                <w:szCs w:val="20"/>
              </w:rPr>
            </w:pPr>
            <w:r w:rsidRPr="00BB49B8">
              <w:rPr>
                <w:color w:val="000000"/>
                <w:sz w:val="20"/>
                <w:szCs w:val="20"/>
              </w:rPr>
              <w:t>72.0</w:t>
            </w:r>
          </w:p>
        </w:tc>
        <w:tc>
          <w:tcPr>
            <w:tcW w:w="1118" w:type="dxa"/>
          </w:tcPr>
          <w:p w14:paraId="775A8C5F" w14:textId="77777777" w:rsidR="003A3994" w:rsidRPr="00BB49B8" w:rsidRDefault="007E4542" w:rsidP="00331804">
            <w:pPr>
              <w:jc w:val="center"/>
              <w:rPr>
                <w:i/>
                <w:color w:val="000000"/>
                <w:sz w:val="20"/>
                <w:szCs w:val="20"/>
              </w:rPr>
            </w:pPr>
            <w:r w:rsidRPr="00BB49B8">
              <w:rPr>
                <w:color w:val="000000"/>
                <w:sz w:val="20"/>
                <w:szCs w:val="20"/>
              </w:rPr>
              <w:t>-0.933</w:t>
            </w:r>
          </w:p>
        </w:tc>
        <w:tc>
          <w:tcPr>
            <w:tcW w:w="991" w:type="dxa"/>
          </w:tcPr>
          <w:p w14:paraId="67C80ADA" w14:textId="77777777" w:rsidR="003A3994" w:rsidRPr="00BB49B8" w:rsidRDefault="007E4542" w:rsidP="00331804">
            <w:pPr>
              <w:jc w:val="center"/>
              <w:rPr>
                <w:i/>
                <w:color w:val="000000"/>
                <w:sz w:val="20"/>
                <w:szCs w:val="20"/>
              </w:rPr>
            </w:pPr>
            <w:r w:rsidRPr="00BB49B8">
              <w:rPr>
                <w:color w:val="000000"/>
                <w:sz w:val="20"/>
                <w:szCs w:val="20"/>
              </w:rPr>
              <w:t>1.56</w:t>
            </w:r>
          </w:p>
        </w:tc>
        <w:tc>
          <w:tcPr>
            <w:tcW w:w="1189" w:type="dxa"/>
          </w:tcPr>
          <w:p w14:paraId="00552E3B" w14:textId="77777777" w:rsidR="003A3994" w:rsidRPr="00BB49B8" w:rsidRDefault="007E4542" w:rsidP="00331804">
            <w:pPr>
              <w:jc w:val="center"/>
              <w:rPr>
                <w:i/>
                <w:color w:val="000000"/>
                <w:sz w:val="20"/>
                <w:szCs w:val="20"/>
              </w:rPr>
            </w:pPr>
            <w:r w:rsidRPr="00BB49B8">
              <w:rPr>
                <w:color w:val="000000"/>
                <w:sz w:val="20"/>
                <w:szCs w:val="20"/>
              </w:rPr>
              <w:t>0.131</w:t>
            </w:r>
          </w:p>
        </w:tc>
        <w:tc>
          <w:tcPr>
            <w:tcW w:w="1314" w:type="dxa"/>
          </w:tcPr>
          <w:p w14:paraId="5EDB4986" w14:textId="77777777" w:rsidR="003A3994" w:rsidRPr="00BB49B8" w:rsidRDefault="007E4542" w:rsidP="00331804">
            <w:pPr>
              <w:jc w:val="center"/>
              <w:rPr>
                <w:i/>
                <w:color w:val="000000"/>
                <w:sz w:val="20"/>
                <w:szCs w:val="20"/>
              </w:rPr>
            </w:pPr>
            <w:r w:rsidRPr="00BB49B8">
              <w:rPr>
                <w:color w:val="000000"/>
                <w:sz w:val="20"/>
                <w:szCs w:val="20"/>
              </w:rPr>
              <w:t>0.261</w:t>
            </w:r>
          </w:p>
        </w:tc>
      </w:tr>
      <w:tr w:rsidR="00BB49B8" w:rsidRPr="00BB49B8" w14:paraId="5B5192CA" w14:textId="77777777" w:rsidTr="00BB49B8">
        <w:trPr>
          <w:trHeight w:val="487"/>
        </w:trPr>
        <w:tc>
          <w:tcPr>
            <w:tcW w:w="1356" w:type="dxa"/>
          </w:tcPr>
          <w:p w14:paraId="335F28A1" w14:textId="77777777" w:rsidR="003A3994" w:rsidRPr="00BB49B8" w:rsidRDefault="007E4542" w:rsidP="00331804">
            <w:pPr>
              <w:rPr>
                <w:color w:val="000000"/>
                <w:sz w:val="20"/>
                <w:szCs w:val="20"/>
              </w:rPr>
            </w:pPr>
            <w:r w:rsidRPr="00BB49B8">
              <w:rPr>
                <w:color w:val="000000"/>
                <w:sz w:val="20"/>
                <w:szCs w:val="20"/>
              </w:rPr>
              <w:t>Escala de Mindfulness</w:t>
            </w:r>
          </w:p>
        </w:tc>
        <w:tc>
          <w:tcPr>
            <w:tcW w:w="754" w:type="dxa"/>
          </w:tcPr>
          <w:p w14:paraId="64A676A3" w14:textId="77777777" w:rsidR="003A3994" w:rsidRPr="00BB49B8" w:rsidRDefault="007E4542" w:rsidP="00331804">
            <w:pPr>
              <w:jc w:val="center"/>
              <w:rPr>
                <w:i/>
                <w:color w:val="000000"/>
                <w:sz w:val="20"/>
                <w:szCs w:val="20"/>
              </w:rPr>
            </w:pPr>
            <w:r w:rsidRPr="00BB49B8">
              <w:rPr>
                <w:color w:val="000000"/>
                <w:sz w:val="20"/>
                <w:szCs w:val="20"/>
              </w:rPr>
              <w:t>4.36</w:t>
            </w:r>
          </w:p>
        </w:tc>
        <w:tc>
          <w:tcPr>
            <w:tcW w:w="698" w:type="dxa"/>
          </w:tcPr>
          <w:p w14:paraId="6122365C" w14:textId="77777777" w:rsidR="003A3994" w:rsidRPr="00BB49B8" w:rsidRDefault="007E4542" w:rsidP="00331804">
            <w:pPr>
              <w:jc w:val="center"/>
              <w:rPr>
                <w:i/>
                <w:color w:val="000000"/>
                <w:sz w:val="20"/>
                <w:szCs w:val="20"/>
              </w:rPr>
            </w:pPr>
            <w:r w:rsidRPr="00BB49B8">
              <w:rPr>
                <w:color w:val="000000"/>
                <w:sz w:val="20"/>
                <w:szCs w:val="20"/>
              </w:rPr>
              <w:t>1.25</w:t>
            </w:r>
          </w:p>
        </w:tc>
        <w:tc>
          <w:tcPr>
            <w:tcW w:w="964" w:type="dxa"/>
          </w:tcPr>
          <w:p w14:paraId="788C5DE1" w14:textId="77777777" w:rsidR="003A3994" w:rsidRPr="00BB49B8" w:rsidRDefault="007E4542" w:rsidP="00331804">
            <w:pPr>
              <w:jc w:val="center"/>
              <w:rPr>
                <w:i/>
                <w:color w:val="000000"/>
                <w:sz w:val="20"/>
                <w:szCs w:val="20"/>
              </w:rPr>
            </w:pPr>
            <w:r w:rsidRPr="00BB49B8">
              <w:rPr>
                <w:color w:val="000000"/>
                <w:sz w:val="20"/>
                <w:szCs w:val="20"/>
              </w:rPr>
              <w:t>1.00</w:t>
            </w:r>
          </w:p>
        </w:tc>
        <w:tc>
          <w:tcPr>
            <w:tcW w:w="991" w:type="dxa"/>
          </w:tcPr>
          <w:p w14:paraId="3BFA879C" w14:textId="77777777" w:rsidR="003A3994" w:rsidRPr="00BB49B8" w:rsidRDefault="007E4542" w:rsidP="00331804">
            <w:pPr>
              <w:jc w:val="center"/>
              <w:rPr>
                <w:i/>
                <w:color w:val="000000"/>
                <w:sz w:val="20"/>
                <w:szCs w:val="20"/>
              </w:rPr>
            </w:pPr>
            <w:r w:rsidRPr="00BB49B8">
              <w:rPr>
                <w:color w:val="000000"/>
                <w:sz w:val="20"/>
                <w:szCs w:val="20"/>
              </w:rPr>
              <w:t>6.00</w:t>
            </w:r>
          </w:p>
        </w:tc>
        <w:tc>
          <w:tcPr>
            <w:tcW w:w="1118" w:type="dxa"/>
          </w:tcPr>
          <w:p w14:paraId="153143B7" w14:textId="77777777" w:rsidR="003A3994" w:rsidRPr="00BB49B8" w:rsidRDefault="007E4542" w:rsidP="00331804">
            <w:pPr>
              <w:jc w:val="center"/>
              <w:rPr>
                <w:i/>
                <w:color w:val="000000"/>
                <w:sz w:val="20"/>
                <w:szCs w:val="20"/>
              </w:rPr>
            </w:pPr>
            <w:r w:rsidRPr="00BB49B8">
              <w:rPr>
                <w:color w:val="000000"/>
                <w:sz w:val="20"/>
                <w:szCs w:val="20"/>
              </w:rPr>
              <w:t>-0.561</w:t>
            </w:r>
          </w:p>
        </w:tc>
        <w:tc>
          <w:tcPr>
            <w:tcW w:w="991" w:type="dxa"/>
          </w:tcPr>
          <w:p w14:paraId="1DFF875E" w14:textId="77777777" w:rsidR="003A3994" w:rsidRPr="00BB49B8" w:rsidRDefault="007E4542" w:rsidP="00331804">
            <w:pPr>
              <w:jc w:val="center"/>
              <w:rPr>
                <w:i/>
                <w:color w:val="000000"/>
                <w:sz w:val="20"/>
                <w:szCs w:val="20"/>
              </w:rPr>
            </w:pPr>
            <w:r w:rsidRPr="00BB49B8">
              <w:rPr>
                <w:color w:val="000000"/>
                <w:sz w:val="20"/>
                <w:szCs w:val="20"/>
              </w:rPr>
              <w:t>-0.425</w:t>
            </w:r>
          </w:p>
        </w:tc>
        <w:tc>
          <w:tcPr>
            <w:tcW w:w="1189" w:type="dxa"/>
          </w:tcPr>
          <w:p w14:paraId="6EF8EA5A" w14:textId="77777777" w:rsidR="003A3994" w:rsidRPr="00BB49B8" w:rsidRDefault="007E4542" w:rsidP="00331804">
            <w:pPr>
              <w:jc w:val="center"/>
              <w:rPr>
                <w:i/>
                <w:color w:val="000000"/>
                <w:sz w:val="20"/>
                <w:szCs w:val="20"/>
              </w:rPr>
            </w:pPr>
            <w:r w:rsidRPr="00BB49B8">
              <w:rPr>
                <w:color w:val="000000"/>
                <w:sz w:val="20"/>
                <w:szCs w:val="20"/>
              </w:rPr>
              <w:t>0.131</w:t>
            </w:r>
          </w:p>
        </w:tc>
        <w:tc>
          <w:tcPr>
            <w:tcW w:w="1314" w:type="dxa"/>
          </w:tcPr>
          <w:p w14:paraId="5E436A4A" w14:textId="77777777" w:rsidR="003A3994" w:rsidRPr="00BB49B8" w:rsidRDefault="007E4542" w:rsidP="00331804">
            <w:pPr>
              <w:jc w:val="center"/>
              <w:rPr>
                <w:i/>
                <w:color w:val="000000"/>
                <w:sz w:val="20"/>
                <w:szCs w:val="20"/>
              </w:rPr>
            </w:pPr>
            <w:r w:rsidRPr="00BB49B8">
              <w:rPr>
                <w:color w:val="000000"/>
                <w:sz w:val="20"/>
                <w:szCs w:val="20"/>
              </w:rPr>
              <w:t>0.261</w:t>
            </w:r>
          </w:p>
        </w:tc>
      </w:tr>
    </w:tbl>
    <w:p w14:paraId="3D3A3E55" w14:textId="3B259861" w:rsidR="003A3994" w:rsidRPr="00BB49B8" w:rsidRDefault="007E4542" w:rsidP="00331804">
      <w:pPr>
        <w:tabs>
          <w:tab w:val="left" w:pos="2220"/>
        </w:tabs>
        <w:jc w:val="both"/>
        <w:rPr>
          <w:color w:val="000000"/>
          <w:sz w:val="18"/>
          <w:szCs w:val="18"/>
        </w:rPr>
      </w:pPr>
      <w:r w:rsidRPr="00BB49B8">
        <w:rPr>
          <w:i/>
          <w:color w:val="000000"/>
          <w:sz w:val="18"/>
          <w:szCs w:val="18"/>
        </w:rPr>
        <w:t xml:space="preserve">Nota. </w:t>
      </w:r>
      <w:r w:rsidRPr="00BB49B8">
        <w:rPr>
          <w:color w:val="000000"/>
          <w:sz w:val="18"/>
          <w:szCs w:val="18"/>
        </w:rPr>
        <w:t>DConfi= dimensión de confianza y sentirse bien solo, DPerse= dimensión de perseverancia, DEcua= dimensión de ecuanimidad, DAcept= dimensión de aceptación de uno mismo, DAutoacept= dimensión de autoaceptación, DRela= dimensión de relaciones positivas, DAuto= dimensión de autonomía, DPropo= dimensión de propósito de vida, DCreci= dimensión de crecimiento personal, DDomini= dimensión de dominio del entorno, M= media, DE= desviación estandar</w:t>
      </w:r>
    </w:p>
    <w:p w14:paraId="7E7617FE" w14:textId="19A6C5C6" w:rsidR="003A3994" w:rsidRPr="00BB49B8" w:rsidRDefault="007E4542" w:rsidP="00331804">
      <w:pPr>
        <w:spacing w:line="360" w:lineRule="auto"/>
        <w:ind w:firstLine="720"/>
        <w:jc w:val="both"/>
        <w:rPr>
          <w:color w:val="000000"/>
        </w:rPr>
      </w:pPr>
      <w:r w:rsidRPr="00BB49B8">
        <w:rPr>
          <w:color w:val="000000"/>
        </w:rPr>
        <w:lastRenderedPageBreak/>
        <w:t xml:space="preserve">Para establecer las asociaciones entre variables, se empleó el coeficiente de correlación de Pearson. De acuerdo con los datos mostrados </w:t>
      </w:r>
      <w:r w:rsidR="00DB55E7" w:rsidRPr="00BB49B8">
        <w:rPr>
          <w:color w:val="000000"/>
        </w:rPr>
        <w:t xml:space="preserve">(Ver </w:t>
      </w:r>
      <w:r w:rsidR="00B87D19" w:rsidRPr="00BB49B8">
        <w:rPr>
          <w:color w:val="000000"/>
        </w:rPr>
        <w:t>T</w:t>
      </w:r>
      <w:r w:rsidRPr="00BB49B8">
        <w:rPr>
          <w:color w:val="000000"/>
        </w:rPr>
        <w:t>abla 2</w:t>
      </w:r>
      <w:r w:rsidR="00B87D19" w:rsidRPr="00BB49B8">
        <w:rPr>
          <w:color w:val="000000"/>
        </w:rPr>
        <w:t>)</w:t>
      </w:r>
      <w:r w:rsidRPr="00BB49B8">
        <w:rPr>
          <w:color w:val="000000"/>
        </w:rPr>
        <w:t xml:space="preserve">, se observa que las dimensiones de confianza, perseverancia y ecuanimidad de la escala de resiliencia se han asociado positiva, significativa y moderadamente </w:t>
      </w:r>
      <w:r w:rsidRPr="00BB49B8">
        <w:rPr>
          <w:i/>
          <w:color w:val="000000"/>
        </w:rPr>
        <w:t xml:space="preserve">(r </w:t>
      </w:r>
      <w:r w:rsidRPr="00BB49B8">
        <w:rPr>
          <w:color w:val="000000"/>
        </w:rPr>
        <w:t>&lt; .30).</w:t>
      </w:r>
    </w:p>
    <w:p w14:paraId="35B8E24F" w14:textId="2C53838D" w:rsidR="003A3994" w:rsidRPr="00BB49B8" w:rsidRDefault="007E4542" w:rsidP="00331804">
      <w:pPr>
        <w:spacing w:line="360" w:lineRule="auto"/>
        <w:ind w:firstLine="720"/>
        <w:jc w:val="both"/>
        <w:rPr>
          <w:color w:val="000000"/>
        </w:rPr>
      </w:pPr>
      <w:r w:rsidRPr="00BB49B8">
        <w:rPr>
          <w:color w:val="000000"/>
        </w:rPr>
        <w:t xml:space="preserve">Asimismo, se encontraron relaciones positivas, significativas y moderadas entre las escalas de Mindfulness y bienestar psicológico. Se observa que, se ha asociado moderadamente </w:t>
      </w:r>
      <w:r w:rsidRPr="00BB49B8">
        <w:rPr>
          <w:i/>
          <w:color w:val="000000"/>
        </w:rPr>
        <w:t xml:space="preserve">(r </w:t>
      </w:r>
      <w:r w:rsidRPr="00BB49B8">
        <w:rPr>
          <w:color w:val="000000"/>
        </w:rPr>
        <w:t>&lt; .30)</w:t>
      </w:r>
    </w:p>
    <w:p w14:paraId="10CEAE4B" w14:textId="174627C2" w:rsidR="003A3994" w:rsidRPr="00BB49B8" w:rsidRDefault="007E4542" w:rsidP="00331804">
      <w:pPr>
        <w:spacing w:line="360" w:lineRule="auto"/>
        <w:rPr>
          <w:b/>
          <w:color w:val="000000"/>
        </w:rPr>
      </w:pPr>
      <w:r w:rsidRPr="00BB49B8">
        <w:rPr>
          <w:b/>
          <w:color w:val="000000"/>
        </w:rPr>
        <w:t>Tabla 2</w:t>
      </w:r>
    </w:p>
    <w:p w14:paraId="6401328F" w14:textId="77777777" w:rsidR="003A3994" w:rsidRPr="00BB49B8" w:rsidRDefault="007E4542" w:rsidP="00331804">
      <w:pPr>
        <w:spacing w:line="360" w:lineRule="auto"/>
        <w:jc w:val="both"/>
        <w:rPr>
          <w:i/>
          <w:color w:val="000000"/>
        </w:rPr>
      </w:pPr>
      <w:r w:rsidRPr="00BB49B8">
        <w:rPr>
          <w:i/>
          <w:color w:val="000000"/>
        </w:rPr>
        <w:t>Correlaciones bivariadas de las variables Resiliencia, Mindfulness y Bienestar Psicológico.</w:t>
      </w:r>
    </w:p>
    <w:tbl>
      <w:tblPr>
        <w:tblStyle w:val="af0"/>
        <w:tblpPr w:leftFromText="141" w:rightFromText="141" w:vertAnchor="text" w:tblpY="1"/>
        <w:tblW w:w="9526" w:type="dxa"/>
        <w:tblInd w:w="0" w:type="dxa"/>
        <w:tblLayout w:type="fixed"/>
        <w:tblLook w:val="0400" w:firstRow="0" w:lastRow="0" w:firstColumn="0" w:lastColumn="0" w:noHBand="0" w:noVBand="1"/>
      </w:tblPr>
      <w:tblGrid>
        <w:gridCol w:w="1701"/>
        <w:gridCol w:w="1138"/>
        <w:gridCol w:w="1138"/>
        <w:gridCol w:w="1138"/>
        <w:gridCol w:w="1138"/>
        <w:gridCol w:w="1138"/>
        <w:gridCol w:w="1127"/>
        <w:gridCol w:w="1008"/>
      </w:tblGrid>
      <w:tr w:rsidR="00BB49B8" w:rsidRPr="00BB49B8" w14:paraId="39074820" w14:textId="77777777" w:rsidTr="00BB49B8">
        <w:trPr>
          <w:trHeight w:val="473"/>
        </w:trPr>
        <w:tc>
          <w:tcPr>
            <w:tcW w:w="1701" w:type="dxa"/>
            <w:tcBorders>
              <w:bottom w:val="single" w:sz="4" w:space="0" w:color="000000"/>
            </w:tcBorders>
          </w:tcPr>
          <w:p w14:paraId="1CFD8473" w14:textId="77777777" w:rsidR="003A3994" w:rsidRPr="00BB49B8" w:rsidRDefault="007E4542" w:rsidP="00331804">
            <w:pPr>
              <w:jc w:val="both"/>
              <w:rPr>
                <w:color w:val="000000"/>
                <w:sz w:val="20"/>
                <w:szCs w:val="20"/>
              </w:rPr>
            </w:pPr>
            <w:bookmarkStart w:id="1" w:name="_heading=h.1fob9te" w:colFirst="0" w:colLast="0"/>
            <w:bookmarkEnd w:id="1"/>
            <w:r w:rsidRPr="00BB49B8">
              <w:rPr>
                <w:color w:val="000000"/>
                <w:sz w:val="20"/>
                <w:szCs w:val="20"/>
              </w:rPr>
              <w:t>VARIABLES</w:t>
            </w:r>
          </w:p>
        </w:tc>
        <w:tc>
          <w:tcPr>
            <w:tcW w:w="1138" w:type="dxa"/>
            <w:tcBorders>
              <w:bottom w:val="single" w:sz="4" w:space="0" w:color="000000"/>
            </w:tcBorders>
          </w:tcPr>
          <w:p w14:paraId="44CEE3DA" w14:textId="77777777" w:rsidR="003A3994" w:rsidRPr="00BB49B8" w:rsidRDefault="007E4542" w:rsidP="00331804">
            <w:pPr>
              <w:ind w:left="-106" w:right="-75"/>
              <w:jc w:val="both"/>
              <w:rPr>
                <w:i/>
                <w:color w:val="000000"/>
                <w:sz w:val="20"/>
                <w:szCs w:val="20"/>
              </w:rPr>
            </w:pPr>
            <w:r w:rsidRPr="00BB49B8">
              <w:rPr>
                <w:color w:val="000000"/>
                <w:sz w:val="20"/>
                <w:szCs w:val="20"/>
              </w:rPr>
              <w:t>ER_  CONFI</w:t>
            </w:r>
          </w:p>
        </w:tc>
        <w:tc>
          <w:tcPr>
            <w:tcW w:w="1138" w:type="dxa"/>
            <w:tcBorders>
              <w:bottom w:val="single" w:sz="4" w:space="0" w:color="000000"/>
            </w:tcBorders>
          </w:tcPr>
          <w:p w14:paraId="50080540" w14:textId="77777777" w:rsidR="003A3994" w:rsidRPr="00BB49B8" w:rsidRDefault="007E4542" w:rsidP="00331804">
            <w:pPr>
              <w:jc w:val="both"/>
              <w:rPr>
                <w:i/>
                <w:color w:val="000000"/>
                <w:sz w:val="20"/>
                <w:szCs w:val="20"/>
              </w:rPr>
            </w:pPr>
            <w:r w:rsidRPr="00BB49B8">
              <w:rPr>
                <w:color w:val="000000"/>
                <w:sz w:val="20"/>
                <w:szCs w:val="20"/>
              </w:rPr>
              <w:t>ER_ PERSE</w:t>
            </w:r>
          </w:p>
        </w:tc>
        <w:tc>
          <w:tcPr>
            <w:tcW w:w="1138" w:type="dxa"/>
            <w:tcBorders>
              <w:bottom w:val="single" w:sz="4" w:space="0" w:color="000000"/>
            </w:tcBorders>
          </w:tcPr>
          <w:p w14:paraId="5EBE4708" w14:textId="77777777" w:rsidR="003A3994" w:rsidRPr="00BB49B8" w:rsidRDefault="007E4542" w:rsidP="00331804">
            <w:pPr>
              <w:jc w:val="center"/>
              <w:rPr>
                <w:color w:val="000000"/>
                <w:sz w:val="20"/>
                <w:szCs w:val="20"/>
              </w:rPr>
            </w:pPr>
            <w:r w:rsidRPr="00BB49B8">
              <w:rPr>
                <w:color w:val="000000"/>
                <w:sz w:val="20"/>
                <w:szCs w:val="20"/>
              </w:rPr>
              <w:t>ER_  ECUA</w:t>
            </w:r>
          </w:p>
        </w:tc>
        <w:tc>
          <w:tcPr>
            <w:tcW w:w="1138" w:type="dxa"/>
            <w:tcBorders>
              <w:bottom w:val="single" w:sz="4" w:space="0" w:color="000000"/>
            </w:tcBorders>
          </w:tcPr>
          <w:p w14:paraId="44B7F57E" w14:textId="77777777" w:rsidR="003A3994" w:rsidRPr="00BB49B8" w:rsidRDefault="007E4542" w:rsidP="00331804">
            <w:pPr>
              <w:jc w:val="center"/>
              <w:rPr>
                <w:color w:val="000000"/>
                <w:sz w:val="20"/>
                <w:szCs w:val="20"/>
              </w:rPr>
            </w:pPr>
            <w:r w:rsidRPr="00BB49B8">
              <w:rPr>
                <w:color w:val="000000"/>
                <w:sz w:val="20"/>
                <w:szCs w:val="20"/>
              </w:rPr>
              <w:t>ER_ ACEPT</w:t>
            </w:r>
          </w:p>
        </w:tc>
        <w:tc>
          <w:tcPr>
            <w:tcW w:w="1138" w:type="dxa"/>
            <w:tcBorders>
              <w:bottom w:val="single" w:sz="4" w:space="0" w:color="000000"/>
            </w:tcBorders>
          </w:tcPr>
          <w:p w14:paraId="6051B8B7" w14:textId="77777777" w:rsidR="003A3994" w:rsidRPr="00BB49B8" w:rsidRDefault="007E4542" w:rsidP="00331804">
            <w:pPr>
              <w:jc w:val="center"/>
              <w:rPr>
                <w:color w:val="000000"/>
                <w:sz w:val="20"/>
                <w:szCs w:val="20"/>
              </w:rPr>
            </w:pPr>
            <w:r w:rsidRPr="00BB49B8">
              <w:rPr>
                <w:color w:val="000000"/>
                <w:sz w:val="20"/>
                <w:szCs w:val="20"/>
              </w:rPr>
              <w:t>ER_  PTOTAL</w:t>
            </w:r>
          </w:p>
        </w:tc>
        <w:tc>
          <w:tcPr>
            <w:tcW w:w="1127" w:type="dxa"/>
            <w:tcBorders>
              <w:bottom w:val="single" w:sz="4" w:space="0" w:color="000000"/>
            </w:tcBorders>
          </w:tcPr>
          <w:p w14:paraId="3A282B6F" w14:textId="77777777" w:rsidR="003A3994" w:rsidRPr="00BB49B8" w:rsidRDefault="007E4542" w:rsidP="00331804">
            <w:pPr>
              <w:jc w:val="center"/>
              <w:rPr>
                <w:color w:val="000000"/>
                <w:sz w:val="20"/>
                <w:szCs w:val="20"/>
              </w:rPr>
            </w:pPr>
            <w:r w:rsidRPr="00BB49B8">
              <w:rPr>
                <w:color w:val="000000"/>
                <w:sz w:val="20"/>
                <w:szCs w:val="20"/>
              </w:rPr>
              <w:t>MAAS_ TOTAL</w:t>
            </w:r>
          </w:p>
        </w:tc>
        <w:tc>
          <w:tcPr>
            <w:tcW w:w="1008" w:type="dxa"/>
            <w:tcBorders>
              <w:bottom w:val="single" w:sz="4" w:space="0" w:color="000000"/>
            </w:tcBorders>
          </w:tcPr>
          <w:p w14:paraId="32170AD4" w14:textId="77777777" w:rsidR="003A3994" w:rsidRPr="00BB49B8" w:rsidRDefault="007E4542" w:rsidP="00331804">
            <w:pPr>
              <w:jc w:val="center"/>
              <w:rPr>
                <w:color w:val="000000"/>
                <w:sz w:val="20"/>
                <w:szCs w:val="20"/>
              </w:rPr>
            </w:pPr>
            <w:r w:rsidRPr="00BB49B8">
              <w:rPr>
                <w:color w:val="000000"/>
                <w:sz w:val="20"/>
                <w:szCs w:val="20"/>
              </w:rPr>
              <w:t>SPWBA_ TOTAL</w:t>
            </w:r>
          </w:p>
        </w:tc>
      </w:tr>
      <w:tr w:rsidR="00BB49B8" w:rsidRPr="00BB49B8" w14:paraId="1C1F6199" w14:textId="77777777" w:rsidTr="00BB49B8">
        <w:trPr>
          <w:trHeight w:val="156"/>
        </w:trPr>
        <w:tc>
          <w:tcPr>
            <w:tcW w:w="1701" w:type="dxa"/>
            <w:tcBorders>
              <w:top w:val="single" w:sz="4" w:space="0" w:color="000000"/>
            </w:tcBorders>
          </w:tcPr>
          <w:p w14:paraId="6766B6AF" w14:textId="77777777" w:rsidR="003A3994" w:rsidRPr="00BB49B8" w:rsidRDefault="007E4542" w:rsidP="00331804">
            <w:pPr>
              <w:rPr>
                <w:color w:val="000000"/>
                <w:sz w:val="20"/>
                <w:szCs w:val="20"/>
              </w:rPr>
            </w:pPr>
            <w:r w:rsidRPr="00BB49B8">
              <w:rPr>
                <w:color w:val="000000"/>
                <w:sz w:val="20"/>
                <w:szCs w:val="20"/>
              </w:rPr>
              <w:t>ER_CONFI</w:t>
            </w:r>
          </w:p>
        </w:tc>
        <w:tc>
          <w:tcPr>
            <w:tcW w:w="1138" w:type="dxa"/>
            <w:tcBorders>
              <w:top w:val="single" w:sz="4" w:space="0" w:color="000000"/>
            </w:tcBorders>
          </w:tcPr>
          <w:p w14:paraId="6A7B4737" w14:textId="77777777" w:rsidR="003A3994" w:rsidRPr="00BB49B8" w:rsidRDefault="007E4542" w:rsidP="00331804">
            <w:pPr>
              <w:jc w:val="both"/>
              <w:rPr>
                <w:color w:val="000000"/>
                <w:sz w:val="20"/>
                <w:szCs w:val="20"/>
              </w:rPr>
            </w:pPr>
            <w:r w:rsidRPr="00BB49B8">
              <w:rPr>
                <w:color w:val="000000"/>
                <w:sz w:val="20"/>
                <w:szCs w:val="20"/>
              </w:rPr>
              <w:t>1</w:t>
            </w:r>
          </w:p>
        </w:tc>
        <w:tc>
          <w:tcPr>
            <w:tcW w:w="1138" w:type="dxa"/>
            <w:tcBorders>
              <w:top w:val="single" w:sz="4" w:space="0" w:color="000000"/>
            </w:tcBorders>
          </w:tcPr>
          <w:p w14:paraId="1667FB8C" w14:textId="77777777" w:rsidR="003A3994" w:rsidRPr="00BB49B8" w:rsidRDefault="003A3994" w:rsidP="00331804">
            <w:pPr>
              <w:jc w:val="both"/>
              <w:rPr>
                <w:color w:val="000000"/>
                <w:sz w:val="20"/>
                <w:szCs w:val="20"/>
              </w:rPr>
            </w:pPr>
          </w:p>
        </w:tc>
        <w:tc>
          <w:tcPr>
            <w:tcW w:w="1138" w:type="dxa"/>
            <w:tcBorders>
              <w:top w:val="single" w:sz="4" w:space="0" w:color="000000"/>
            </w:tcBorders>
          </w:tcPr>
          <w:p w14:paraId="2E29F949" w14:textId="77777777" w:rsidR="003A3994" w:rsidRPr="00BB49B8" w:rsidRDefault="003A3994" w:rsidP="00331804">
            <w:pPr>
              <w:jc w:val="center"/>
              <w:rPr>
                <w:color w:val="000000"/>
                <w:sz w:val="20"/>
                <w:szCs w:val="20"/>
              </w:rPr>
            </w:pPr>
          </w:p>
        </w:tc>
        <w:tc>
          <w:tcPr>
            <w:tcW w:w="1138" w:type="dxa"/>
            <w:tcBorders>
              <w:top w:val="single" w:sz="4" w:space="0" w:color="000000"/>
            </w:tcBorders>
          </w:tcPr>
          <w:p w14:paraId="1B4D2DAE" w14:textId="77777777" w:rsidR="003A3994" w:rsidRPr="00BB49B8" w:rsidRDefault="003A3994" w:rsidP="00331804">
            <w:pPr>
              <w:jc w:val="center"/>
              <w:rPr>
                <w:color w:val="000000"/>
                <w:sz w:val="20"/>
                <w:szCs w:val="20"/>
              </w:rPr>
            </w:pPr>
          </w:p>
        </w:tc>
        <w:tc>
          <w:tcPr>
            <w:tcW w:w="1138" w:type="dxa"/>
            <w:tcBorders>
              <w:top w:val="single" w:sz="4" w:space="0" w:color="000000"/>
            </w:tcBorders>
          </w:tcPr>
          <w:p w14:paraId="7ADE1C9D" w14:textId="77777777" w:rsidR="003A3994" w:rsidRPr="00BB49B8" w:rsidRDefault="003A3994" w:rsidP="00331804">
            <w:pPr>
              <w:jc w:val="center"/>
              <w:rPr>
                <w:color w:val="000000"/>
                <w:sz w:val="20"/>
                <w:szCs w:val="20"/>
              </w:rPr>
            </w:pPr>
          </w:p>
        </w:tc>
        <w:tc>
          <w:tcPr>
            <w:tcW w:w="1127" w:type="dxa"/>
            <w:tcBorders>
              <w:top w:val="single" w:sz="4" w:space="0" w:color="000000"/>
            </w:tcBorders>
          </w:tcPr>
          <w:p w14:paraId="35FC99EA" w14:textId="77777777" w:rsidR="003A3994" w:rsidRPr="00BB49B8" w:rsidRDefault="003A3994" w:rsidP="00331804">
            <w:pPr>
              <w:jc w:val="center"/>
              <w:rPr>
                <w:color w:val="000000"/>
                <w:sz w:val="20"/>
                <w:szCs w:val="20"/>
              </w:rPr>
            </w:pPr>
          </w:p>
        </w:tc>
        <w:tc>
          <w:tcPr>
            <w:tcW w:w="1008" w:type="dxa"/>
            <w:tcBorders>
              <w:top w:val="single" w:sz="4" w:space="0" w:color="000000"/>
            </w:tcBorders>
          </w:tcPr>
          <w:p w14:paraId="36A9689F" w14:textId="77777777" w:rsidR="003A3994" w:rsidRPr="00BB49B8" w:rsidRDefault="003A3994" w:rsidP="00331804">
            <w:pPr>
              <w:jc w:val="center"/>
              <w:rPr>
                <w:color w:val="000000"/>
                <w:sz w:val="20"/>
                <w:szCs w:val="20"/>
              </w:rPr>
            </w:pPr>
          </w:p>
        </w:tc>
      </w:tr>
      <w:tr w:rsidR="00BB49B8" w:rsidRPr="00BB49B8" w14:paraId="4D73A419" w14:textId="77777777" w:rsidTr="00BB49B8">
        <w:trPr>
          <w:trHeight w:val="314"/>
        </w:trPr>
        <w:tc>
          <w:tcPr>
            <w:tcW w:w="1701" w:type="dxa"/>
          </w:tcPr>
          <w:p w14:paraId="7AEFE925" w14:textId="77777777" w:rsidR="003A3994" w:rsidRPr="00BB49B8" w:rsidRDefault="007E4542" w:rsidP="00331804">
            <w:pPr>
              <w:rPr>
                <w:color w:val="000000"/>
                <w:sz w:val="20"/>
                <w:szCs w:val="20"/>
              </w:rPr>
            </w:pPr>
            <w:r w:rsidRPr="00BB49B8">
              <w:rPr>
                <w:color w:val="000000"/>
                <w:sz w:val="20"/>
                <w:szCs w:val="20"/>
              </w:rPr>
              <w:t>ER_</w:t>
            </w:r>
          </w:p>
          <w:p w14:paraId="60D023FB" w14:textId="77777777" w:rsidR="003A3994" w:rsidRPr="00BB49B8" w:rsidRDefault="007E4542" w:rsidP="00331804">
            <w:pPr>
              <w:rPr>
                <w:color w:val="000000"/>
                <w:sz w:val="20"/>
                <w:szCs w:val="20"/>
              </w:rPr>
            </w:pPr>
            <w:r w:rsidRPr="00BB49B8">
              <w:rPr>
                <w:color w:val="000000"/>
                <w:sz w:val="20"/>
                <w:szCs w:val="20"/>
              </w:rPr>
              <w:t>PERSE</w:t>
            </w:r>
          </w:p>
        </w:tc>
        <w:tc>
          <w:tcPr>
            <w:tcW w:w="1138" w:type="dxa"/>
          </w:tcPr>
          <w:p w14:paraId="2C01319F" w14:textId="77777777" w:rsidR="003A3994" w:rsidRPr="00BB49B8" w:rsidRDefault="007E4542" w:rsidP="00331804">
            <w:pPr>
              <w:jc w:val="both"/>
              <w:rPr>
                <w:color w:val="000000"/>
                <w:sz w:val="20"/>
                <w:szCs w:val="20"/>
              </w:rPr>
            </w:pPr>
            <w:r w:rsidRPr="00BB49B8">
              <w:rPr>
                <w:color w:val="000000"/>
                <w:sz w:val="20"/>
                <w:szCs w:val="20"/>
              </w:rPr>
              <w:t>0.870***</w:t>
            </w:r>
          </w:p>
        </w:tc>
        <w:tc>
          <w:tcPr>
            <w:tcW w:w="1138" w:type="dxa"/>
          </w:tcPr>
          <w:p w14:paraId="44D967A5" w14:textId="77777777" w:rsidR="003A3994" w:rsidRPr="00BB49B8" w:rsidRDefault="007E4542" w:rsidP="00331804">
            <w:pPr>
              <w:jc w:val="both"/>
              <w:rPr>
                <w:color w:val="000000"/>
                <w:sz w:val="20"/>
                <w:szCs w:val="20"/>
              </w:rPr>
            </w:pPr>
            <w:r w:rsidRPr="00BB49B8">
              <w:rPr>
                <w:color w:val="000000"/>
                <w:sz w:val="20"/>
                <w:szCs w:val="20"/>
              </w:rPr>
              <w:t xml:space="preserve">    1</w:t>
            </w:r>
          </w:p>
        </w:tc>
        <w:tc>
          <w:tcPr>
            <w:tcW w:w="1138" w:type="dxa"/>
          </w:tcPr>
          <w:p w14:paraId="6369F856" w14:textId="77777777" w:rsidR="003A3994" w:rsidRPr="00BB49B8" w:rsidRDefault="003A3994" w:rsidP="00331804">
            <w:pPr>
              <w:jc w:val="center"/>
              <w:rPr>
                <w:color w:val="000000"/>
                <w:sz w:val="20"/>
                <w:szCs w:val="20"/>
              </w:rPr>
            </w:pPr>
          </w:p>
        </w:tc>
        <w:tc>
          <w:tcPr>
            <w:tcW w:w="1138" w:type="dxa"/>
          </w:tcPr>
          <w:p w14:paraId="7368DB73" w14:textId="77777777" w:rsidR="003A3994" w:rsidRPr="00BB49B8" w:rsidRDefault="003A3994" w:rsidP="00331804">
            <w:pPr>
              <w:jc w:val="center"/>
              <w:rPr>
                <w:color w:val="000000"/>
                <w:sz w:val="20"/>
                <w:szCs w:val="20"/>
              </w:rPr>
            </w:pPr>
          </w:p>
        </w:tc>
        <w:tc>
          <w:tcPr>
            <w:tcW w:w="1138" w:type="dxa"/>
          </w:tcPr>
          <w:p w14:paraId="18B7AD50" w14:textId="77777777" w:rsidR="003A3994" w:rsidRPr="00BB49B8" w:rsidRDefault="003A3994" w:rsidP="00331804">
            <w:pPr>
              <w:jc w:val="center"/>
              <w:rPr>
                <w:color w:val="000000"/>
                <w:sz w:val="20"/>
                <w:szCs w:val="20"/>
              </w:rPr>
            </w:pPr>
          </w:p>
        </w:tc>
        <w:tc>
          <w:tcPr>
            <w:tcW w:w="1127" w:type="dxa"/>
          </w:tcPr>
          <w:p w14:paraId="59808424" w14:textId="77777777" w:rsidR="003A3994" w:rsidRPr="00BB49B8" w:rsidRDefault="003A3994" w:rsidP="00331804">
            <w:pPr>
              <w:jc w:val="center"/>
              <w:rPr>
                <w:color w:val="000000"/>
                <w:sz w:val="20"/>
                <w:szCs w:val="20"/>
              </w:rPr>
            </w:pPr>
          </w:p>
        </w:tc>
        <w:tc>
          <w:tcPr>
            <w:tcW w:w="1008" w:type="dxa"/>
          </w:tcPr>
          <w:p w14:paraId="325A4E1E" w14:textId="77777777" w:rsidR="003A3994" w:rsidRPr="00BB49B8" w:rsidRDefault="003A3994" w:rsidP="00331804">
            <w:pPr>
              <w:jc w:val="center"/>
              <w:rPr>
                <w:color w:val="000000"/>
                <w:sz w:val="20"/>
                <w:szCs w:val="20"/>
              </w:rPr>
            </w:pPr>
          </w:p>
        </w:tc>
      </w:tr>
      <w:tr w:rsidR="00BB49B8" w:rsidRPr="00BB49B8" w14:paraId="02DC5EBE" w14:textId="77777777" w:rsidTr="00BB49B8">
        <w:trPr>
          <w:trHeight w:val="314"/>
        </w:trPr>
        <w:tc>
          <w:tcPr>
            <w:tcW w:w="1701" w:type="dxa"/>
          </w:tcPr>
          <w:p w14:paraId="686B2CB2" w14:textId="77777777" w:rsidR="003A3994" w:rsidRPr="00BB49B8" w:rsidRDefault="007E4542" w:rsidP="00331804">
            <w:pPr>
              <w:rPr>
                <w:color w:val="000000"/>
                <w:sz w:val="20"/>
                <w:szCs w:val="20"/>
              </w:rPr>
            </w:pPr>
            <w:r w:rsidRPr="00BB49B8">
              <w:rPr>
                <w:color w:val="000000"/>
                <w:sz w:val="20"/>
                <w:szCs w:val="20"/>
              </w:rPr>
              <w:t>ER_</w:t>
            </w:r>
          </w:p>
          <w:p w14:paraId="729E8BCB" w14:textId="77777777" w:rsidR="003A3994" w:rsidRPr="00BB49B8" w:rsidRDefault="007E4542" w:rsidP="00331804">
            <w:pPr>
              <w:rPr>
                <w:color w:val="000000"/>
                <w:sz w:val="20"/>
                <w:szCs w:val="20"/>
              </w:rPr>
            </w:pPr>
            <w:r w:rsidRPr="00BB49B8">
              <w:rPr>
                <w:color w:val="000000"/>
                <w:sz w:val="20"/>
                <w:szCs w:val="20"/>
              </w:rPr>
              <w:t>ECUA</w:t>
            </w:r>
          </w:p>
        </w:tc>
        <w:tc>
          <w:tcPr>
            <w:tcW w:w="1138" w:type="dxa"/>
          </w:tcPr>
          <w:p w14:paraId="4765D080" w14:textId="77777777" w:rsidR="003A3994" w:rsidRPr="00BB49B8" w:rsidRDefault="007E4542" w:rsidP="00331804">
            <w:pPr>
              <w:jc w:val="both"/>
              <w:rPr>
                <w:color w:val="000000"/>
                <w:sz w:val="20"/>
                <w:szCs w:val="20"/>
              </w:rPr>
            </w:pPr>
            <w:r w:rsidRPr="00BB49B8">
              <w:rPr>
                <w:color w:val="000000"/>
                <w:sz w:val="20"/>
                <w:szCs w:val="20"/>
              </w:rPr>
              <w:t>0.802***</w:t>
            </w:r>
          </w:p>
        </w:tc>
        <w:tc>
          <w:tcPr>
            <w:tcW w:w="1138" w:type="dxa"/>
          </w:tcPr>
          <w:p w14:paraId="27FC8BC1" w14:textId="77777777" w:rsidR="003A3994" w:rsidRPr="00BB49B8" w:rsidRDefault="007E4542" w:rsidP="00331804">
            <w:pPr>
              <w:jc w:val="both"/>
              <w:rPr>
                <w:color w:val="000000"/>
                <w:sz w:val="20"/>
                <w:szCs w:val="20"/>
              </w:rPr>
            </w:pPr>
            <w:r w:rsidRPr="00BB49B8">
              <w:rPr>
                <w:color w:val="000000"/>
                <w:sz w:val="20"/>
                <w:szCs w:val="20"/>
              </w:rPr>
              <w:t>0.787***</w:t>
            </w:r>
          </w:p>
        </w:tc>
        <w:tc>
          <w:tcPr>
            <w:tcW w:w="1138" w:type="dxa"/>
          </w:tcPr>
          <w:p w14:paraId="1E8A2902" w14:textId="77777777" w:rsidR="003A3994" w:rsidRPr="00BB49B8" w:rsidRDefault="007E4542" w:rsidP="00331804">
            <w:pPr>
              <w:rPr>
                <w:color w:val="000000"/>
                <w:sz w:val="20"/>
                <w:szCs w:val="20"/>
              </w:rPr>
            </w:pPr>
            <w:r w:rsidRPr="00BB49B8">
              <w:rPr>
                <w:color w:val="000000"/>
                <w:sz w:val="20"/>
                <w:szCs w:val="20"/>
              </w:rPr>
              <w:t xml:space="preserve">    1</w:t>
            </w:r>
          </w:p>
        </w:tc>
        <w:tc>
          <w:tcPr>
            <w:tcW w:w="1138" w:type="dxa"/>
          </w:tcPr>
          <w:p w14:paraId="3553E68D" w14:textId="77777777" w:rsidR="003A3994" w:rsidRPr="00BB49B8" w:rsidRDefault="003A3994" w:rsidP="00331804">
            <w:pPr>
              <w:jc w:val="center"/>
              <w:rPr>
                <w:color w:val="000000"/>
                <w:sz w:val="20"/>
                <w:szCs w:val="20"/>
              </w:rPr>
            </w:pPr>
          </w:p>
        </w:tc>
        <w:tc>
          <w:tcPr>
            <w:tcW w:w="1138" w:type="dxa"/>
          </w:tcPr>
          <w:p w14:paraId="6EC08B3B" w14:textId="77777777" w:rsidR="003A3994" w:rsidRPr="00BB49B8" w:rsidRDefault="003A3994" w:rsidP="00331804">
            <w:pPr>
              <w:jc w:val="center"/>
              <w:rPr>
                <w:color w:val="000000"/>
                <w:sz w:val="20"/>
                <w:szCs w:val="20"/>
              </w:rPr>
            </w:pPr>
          </w:p>
        </w:tc>
        <w:tc>
          <w:tcPr>
            <w:tcW w:w="1127" w:type="dxa"/>
          </w:tcPr>
          <w:p w14:paraId="6BAA58BB" w14:textId="77777777" w:rsidR="003A3994" w:rsidRPr="00BB49B8" w:rsidRDefault="003A3994" w:rsidP="00331804">
            <w:pPr>
              <w:jc w:val="center"/>
              <w:rPr>
                <w:color w:val="000000"/>
                <w:sz w:val="20"/>
                <w:szCs w:val="20"/>
              </w:rPr>
            </w:pPr>
          </w:p>
        </w:tc>
        <w:tc>
          <w:tcPr>
            <w:tcW w:w="1008" w:type="dxa"/>
          </w:tcPr>
          <w:p w14:paraId="011AF958" w14:textId="77777777" w:rsidR="003A3994" w:rsidRPr="00BB49B8" w:rsidRDefault="003A3994" w:rsidP="00331804">
            <w:pPr>
              <w:jc w:val="center"/>
              <w:rPr>
                <w:color w:val="000000"/>
                <w:sz w:val="20"/>
                <w:szCs w:val="20"/>
              </w:rPr>
            </w:pPr>
          </w:p>
        </w:tc>
      </w:tr>
      <w:tr w:rsidR="00BB49B8" w:rsidRPr="00BB49B8" w14:paraId="7B36A708" w14:textId="77777777" w:rsidTr="00BB49B8">
        <w:trPr>
          <w:trHeight w:val="314"/>
        </w:trPr>
        <w:tc>
          <w:tcPr>
            <w:tcW w:w="1701" w:type="dxa"/>
          </w:tcPr>
          <w:p w14:paraId="5B2B5439" w14:textId="77777777" w:rsidR="003A3994" w:rsidRPr="00BB49B8" w:rsidRDefault="007E4542" w:rsidP="00331804">
            <w:pPr>
              <w:rPr>
                <w:color w:val="000000"/>
                <w:sz w:val="20"/>
                <w:szCs w:val="20"/>
              </w:rPr>
            </w:pPr>
            <w:r w:rsidRPr="00BB49B8">
              <w:rPr>
                <w:color w:val="000000"/>
                <w:sz w:val="20"/>
                <w:szCs w:val="20"/>
              </w:rPr>
              <w:t>ER_</w:t>
            </w:r>
          </w:p>
          <w:p w14:paraId="284AF2B3" w14:textId="77777777" w:rsidR="003A3994" w:rsidRPr="00BB49B8" w:rsidRDefault="007E4542" w:rsidP="00331804">
            <w:pPr>
              <w:rPr>
                <w:color w:val="000000"/>
                <w:sz w:val="20"/>
                <w:szCs w:val="20"/>
              </w:rPr>
            </w:pPr>
            <w:r w:rsidRPr="00BB49B8">
              <w:rPr>
                <w:color w:val="000000"/>
                <w:sz w:val="20"/>
                <w:szCs w:val="20"/>
              </w:rPr>
              <w:t>ACEPT</w:t>
            </w:r>
          </w:p>
        </w:tc>
        <w:tc>
          <w:tcPr>
            <w:tcW w:w="1138" w:type="dxa"/>
          </w:tcPr>
          <w:p w14:paraId="5E4D7C0A" w14:textId="77777777" w:rsidR="003A3994" w:rsidRPr="00BB49B8" w:rsidRDefault="007E4542" w:rsidP="00331804">
            <w:pPr>
              <w:jc w:val="both"/>
              <w:rPr>
                <w:color w:val="000000"/>
                <w:sz w:val="20"/>
                <w:szCs w:val="20"/>
              </w:rPr>
            </w:pPr>
            <w:r w:rsidRPr="00BB49B8">
              <w:rPr>
                <w:color w:val="000000"/>
                <w:sz w:val="20"/>
                <w:szCs w:val="20"/>
              </w:rPr>
              <w:t>0.682***</w:t>
            </w:r>
          </w:p>
        </w:tc>
        <w:tc>
          <w:tcPr>
            <w:tcW w:w="1138" w:type="dxa"/>
          </w:tcPr>
          <w:p w14:paraId="5D9C829E" w14:textId="77777777" w:rsidR="003A3994" w:rsidRPr="00BB49B8" w:rsidRDefault="007E4542" w:rsidP="00331804">
            <w:pPr>
              <w:jc w:val="both"/>
              <w:rPr>
                <w:color w:val="000000"/>
                <w:sz w:val="20"/>
                <w:szCs w:val="20"/>
              </w:rPr>
            </w:pPr>
            <w:r w:rsidRPr="00BB49B8">
              <w:rPr>
                <w:color w:val="000000"/>
                <w:sz w:val="20"/>
                <w:szCs w:val="20"/>
              </w:rPr>
              <w:t>0.634***</w:t>
            </w:r>
          </w:p>
        </w:tc>
        <w:tc>
          <w:tcPr>
            <w:tcW w:w="1138" w:type="dxa"/>
          </w:tcPr>
          <w:p w14:paraId="584BD252" w14:textId="77777777" w:rsidR="003A3994" w:rsidRPr="00BB49B8" w:rsidRDefault="007E4542" w:rsidP="00331804">
            <w:pPr>
              <w:jc w:val="center"/>
              <w:rPr>
                <w:color w:val="000000"/>
                <w:sz w:val="20"/>
                <w:szCs w:val="20"/>
              </w:rPr>
            </w:pPr>
            <w:r w:rsidRPr="00BB49B8">
              <w:rPr>
                <w:color w:val="000000"/>
                <w:sz w:val="20"/>
                <w:szCs w:val="20"/>
              </w:rPr>
              <w:t>0.590***</w:t>
            </w:r>
          </w:p>
        </w:tc>
        <w:tc>
          <w:tcPr>
            <w:tcW w:w="1138" w:type="dxa"/>
          </w:tcPr>
          <w:p w14:paraId="6FD07558" w14:textId="77777777" w:rsidR="003A3994" w:rsidRPr="00BB49B8" w:rsidRDefault="007E4542" w:rsidP="00331804">
            <w:pPr>
              <w:rPr>
                <w:color w:val="000000"/>
                <w:sz w:val="20"/>
                <w:szCs w:val="20"/>
              </w:rPr>
            </w:pPr>
            <w:r w:rsidRPr="00BB49B8">
              <w:rPr>
                <w:color w:val="000000"/>
                <w:sz w:val="20"/>
                <w:szCs w:val="20"/>
              </w:rPr>
              <w:t xml:space="preserve">     1</w:t>
            </w:r>
          </w:p>
        </w:tc>
        <w:tc>
          <w:tcPr>
            <w:tcW w:w="1138" w:type="dxa"/>
          </w:tcPr>
          <w:p w14:paraId="2B329DD7" w14:textId="77777777" w:rsidR="003A3994" w:rsidRPr="00BB49B8" w:rsidRDefault="003A3994" w:rsidP="00331804">
            <w:pPr>
              <w:jc w:val="center"/>
              <w:rPr>
                <w:color w:val="000000"/>
                <w:sz w:val="20"/>
                <w:szCs w:val="20"/>
              </w:rPr>
            </w:pPr>
          </w:p>
        </w:tc>
        <w:tc>
          <w:tcPr>
            <w:tcW w:w="1127" w:type="dxa"/>
          </w:tcPr>
          <w:p w14:paraId="4FDE1819" w14:textId="77777777" w:rsidR="003A3994" w:rsidRPr="00BB49B8" w:rsidRDefault="003A3994" w:rsidP="00331804">
            <w:pPr>
              <w:jc w:val="center"/>
              <w:rPr>
                <w:color w:val="000000"/>
                <w:sz w:val="20"/>
                <w:szCs w:val="20"/>
              </w:rPr>
            </w:pPr>
          </w:p>
        </w:tc>
        <w:tc>
          <w:tcPr>
            <w:tcW w:w="1008" w:type="dxa"/>
          </w:tcPr>
          <w:p w14:paraId="164F4C81" w14:textId="77777777" w:rsidR="003A3994" w:rsidRPr="00BB49B8" w:rsidRDefault="003A3994" w:rsidP="00331804">
            <w:pPr>
              <w:jc w:val="center"/>
              <w:rPr>
                <w:color w:val="000000"/>
                <w:sz w:val="20"/>
                <w:szCs w:val="20"/>
              </w:rPr>
            </w:pPr>
          </w:p>
        </w:tc>
      </w:tr>
      <w:tr w:rsidR="00BB49B8" w:rsidRPr="00BB49B8" w14:paraId="1F202A39" w14:textId="77777777" w:rsidTr="00BB49B8">
        <w:trPr>
          <w:trHeight w:val="314"/>
        </w:trPr>
        <w:tc>
          <w:tcPr>
            <w:tcW w:w="1701" w:type="dxa"/>
          </w:tcPr>
          <w:p w14:paraId="7AB2EA9E" w14:textId="77777777" w:rsidR="003A3994" w:rsidRPr="00BB49B8" w:rsidRDefault="007E4542" w:rsidP="00331804">
            <w:pPr>
              <w:rPr>
                <w:color w:val="000000"/>
                <w:sz w:val="20"/>
                <w:szCs w:val="20"/>
              </w:rPr>
            </w:pPr>
            <w:r w:rsidRPr="00BB49B8">
              <w:rPr>
                <w:color w:val="000000"/>
                <w:sz w:val="20"/>
                <w:szCs w:val="20"/>
              </w:rPr>
              <w:t>ER_</w:t>
            </w:r>
          </w:p>
          <w:p w14:paraId="3CDFB466" w14:textId="77777777" w:rsidR="003A3994" w:rsidRPr="00BB49B8" w:rsidRDefault="007E4542" w:rsidP="00331804">
            <w:pPr>
              <w:rPr>
                <w:color w:val="000000"/>
                <w:sz w:val="20"/>
                <w:szCs w:val="20"/>
              </w:rPr>
            </w:pPr>
            <w:r w:rsidRPr="00BB49B8">
              <w:rPr>
                <w:color w:val="000000"/>
                <w:sz w:val="20"/>
                <w:szCs w:val="20"/>
              </w:rPr>
              <w:t>PTOTAL</w:t>
            </w:r>
          </w:p>
        </w:tc>
        <w:tc>
          <w:tcPr>
            <w:tcW w:w="1138" w:type="dxa"/>
          </w:tcPr>
          <w:p w14:paraId="6D18706A" w14:textId="77777777" w:rsidR="003A3994" w:rsidRPr="00BB49B8" w:rsidRDefault="007E4542" w:rsidP="00331804">
            <w:pPr>
              <w:jc w:val="both"/>
              <w:rPr>
                <w:color w:val="000000"/>
                <w:sz w:val="20"/>
                <w:szCs w:val="20"/>
              </w:rPr>
            </w:pPr>
            <w:r w:rsidRPr="00BB49B8">
              <w:rPr>
                <w:color w:val="000000"/>
                <w:sz w:val="20"/>
                <w:szCs w:val="20"/>
              </w:rPr>
              <w:t>0.964***</w:t>
            </w:r>
          </w:p>
        </w:tc>
        <w:tc>
          <w:tcPr>
            <w:tcW w:w="1138" w:type="dxa"/>
          </w:tcPr>
          <w:p w14:paraId="5D9D77A9" w14:textId="77777777" w:rsidR="003A3994" w:rsidRPr="00BB49B8" w:rsidRDefault="007E4542" w:rsidP="00331804">
            <w:pPr>
              <w:jc w:val="both"/>
              <w:rPr>
                <w:color w:val="000000"/>
                <w:sz w:val="20"/>
                <w:szCs w:val="20"/>
              </w:rPr>
            </w:pPr>
            <w:r w:rsidRPr="00BB49B8">
              <w:rPr>
                <w:color w:val="000000"/>
                <w:sz w:val="20"/>
                <w:szCs w:val="20"/>
              </w:rPr>
              <w:t>0.926***</w:t>
            </w:r>
          </w:p>
        </w:tc>
        <w:tc>
          <w:tcPr>
            <w:tcW w:w="1138" w:type="dxa"/>
          </w:tcPr>
          <w:p w14:paraId="7D04709F" w14:textId="77777777" w:rsidR="003A3994" w:rsidRPr="00BB49B8" w:rsidRDefault="007E4542" w:rsidP="00331804">
            <w:pPr>
              <w:jc w:val="center"/>
              <w:rPr>
                <w:color w:val="000000"/>
                <w:sz w:val="20"/>
                <w:szCs w:val="20"/>
              </w:rPr>
            </w:pPr>
            <w:r w:rsidRPr="00BB49B8">
              <w:rPr>
                <w:color w:val="000000"/>
                <w:sz w:val="20"/>
                <w:szCs w:val="20"/>
              </w:rPr>
              <w:t>0.894***</w:t>
            </w:r>
          </w:p>
        </w:tc>
        <w:tc>
          <w:tcPr>
            <w:tcW w:w="1138" w:type="dxa"/>
          </w:tcPr>
          <w:p w14:paraId="2E6188FC" w14:textId="77777777" w:rsidR="003A3994" w:rsidRPr="00BB49B8" w:rsidRDefault="007E4542" w:rsidP="00331804">
            <w:pPr>
              <w:jc w:val="center"/>
              <w:rPr>
                <w:color w:val="000000"/>
                <w:sz w:val="20"/>
                <w:szCs w:val="20"/>
              </w:rPr>
            </w:pPr>
            <w:r w:rsidRPr="00BB49B8">
              <w:rPr>
                <w:color w:val="000000"/>
                <w:sz w:val="20"/>
                <w:szCs w:val="20"/>
              </w:rPr>
              <w:t>0.768***</w:t>
            </w:r>
          </w:p>
        </w:tc>
        <w:tc>
          <w:tcPr>
            <w:tcW w:w="1138" w:type="dxa"/>
          </w:tcPr>
          <w:p w14:paraId="6ED103E3" w14:textId="77777777" w:rsidR="003A3994" w:rsidRPr="00BB49B8" w:rsidRDefault="007E4542" w:rsidP="00331804">
            <w:pPr>
              <w:jc w:val="center"/>
              <w:rPr>
                <w:color w:val="000000"/>
                <w:sz w:val="20"/>
                <w:szCs w:val="20"/>
              </w:rPr>
            </w:pPr>
            <w:r w:rsidRPr="00BB49B8">
              <w:rPr>
                <w:color w:val="000000"/>
                <w:sz w:val="20"/>
                <w:szCs w:val="20"/>
              </w:rPr>
              <w:t xml:space="preserve"> 1</w:t>
            </w:r>
          </w:p>
        </w:tc>
        <w:tc>
          <w:tcPr>
            <w:tcW w:w="1127" w:type="dxa"/>
          </w:tcPr>
          <w:p w14:paraId="638EFB39" w14:textId="77777777" w:rsidR="003A3994" w:rsidRPr="00BB49B8" w:rsidRDefault="003A3994" w:rsidP="00331804">
            <w:pPr>
              <w:jc w:val="center"/>
              <w:rPr>
                <w:color w:val="000000"/>
                <w:sz w:val="20"/>
                <w:szCs w:val="20"/>
              </w:rPr>
            </w:pPr>
          </w:p>
        </w:tc>
        <w:tc>
          <w:tcPr>
            <w:tcW w:w="1008" w:type="dxa"/>
          </w:tcPr>
          <w:p w14:paraId="7F4898F0" w14:textId="77777777" w:rsidR="003A3994" w:rsidRPr="00BB49B8" w:rsidRDefault="003A3994" w:rsidP="00331804">
            <w:pPr>
              <w:jc w:val="center"/>
              <w:rPr>
                <w:color w:val="000000"/>
                <w:sz w:val="20"/>
                <w:szCs w:val="20"/>
              </w:rPr>
            </w:pPr>
          </w:p>
        </w:tc>
      </w:tr>
      <w:tr w:rsidR="00BB49B8" w:rsidRPr="00BB49B8" w14:paraId="0AABE2CA" w14:textId="77777777" w:rsidTr="00BB49B8">
        <w:trPr>
          <w:trHeight w:val="314"/>
        </w:trPr>
        <w:tc>
          <w:tcPr>
            <w:tcW w:w="1701" w:type="dxa"/>
          </w:tcPr>
          <w:p w14:paraId="30008A13" w14:textId="77777777" w:rsidR="003A3994" w:rsidRPr="00BB49B8" w:rsidRDefault="007E4542" w:rsidP="00331804">
            <w:pPr>
              <w:rPr>
                <w:color w:val="000000"/>
                <w:sz w:val="20"/>
                <w:szCs w:val="20"/>
              </w:rPr>
            </w:pPr>
            <w:r w:rsidRPr="00BB49B8">
              <w:rPr>
                <w:color w:val="000000"/>
                <w:sz w:val="20"/>
                <w:szCs w:val="20"/>
              </w:rPr>
              <w:t>MAAS_</w:t>
            </w:r>
          </w:p>
          <w:p w14:paraId="1FBDCBAD" w14:textId="77777777" w:rsidR="003A3994" w:rsidRPr="00BB49B8" w:rsidRDefault="007E4542" w:rsidP="00331804">
            <w:pPr>
              <w:rPr>
                <w:color w:val="000000"/>
                <w:sz w:val="20"/>
                <w:szCs w:val="20"/>
              </w:rPr>
            </w:pPr>
            <w:r w:rsidRPr="00BB49B8">
              <w:rPr>
                <w:color w:val="000000"/>
                <w:sz w:val="20"/>
                <w:szCs w:val="20"/>
              </w:rPr>
              <w:t>TOTAL</w:t>
            </w:r>
          </w:p>
        </w:tc>
        <w:tc>
          <w:tcPr>
            <w:tcW w:w="1138" w:type="dxa"/>
          </w:tcPr>
          <w:p w14:paraId="4F3B7E58" w14:textId="77777777" w:rsidR="003A3994" w:rsidRPr="00BB49B8" w:rsidRDefault="007E4542" w:rsidP="00331804">
            <w:pPr>
              <w:jc w:val="both"/>
              <w:rPr>
                <w:color w:val="000000"/>
                <w:sz w:val="20"/>
                <w:szCs w:val="20"/>
              </w:rPr>
            </w:pPr>
            <w:r w:rsidRPr="00BB49B8">
              <w:rPr>
                <w:color w:val="000000"/>
                <w:sz w:val="20"/>
                <w:szCs w:val="20"/>
              </w:rPr>
              <w:t>0.285***</w:t>
            </w:r>
          </w:p>
        </w:tc>
        <w:tc>
          <w:tcPr>
            <w:tcW w:w="1138" w:type="dxa"/>
          </w:tcPr>
          <w:p w14:paraId="386ACF49" w14:textId="77777777" w:rsidR="003A3994" w:rsidRPr="00BB49B8" w:rsidRDefault="007E4542" w:rsidP="00331804">
            <w:pPr>
              <w:jc w:val="both"/>
              <w:rPr>
                <w:color w:val="000000"/>
                <w:sz w:val="20"/>
                <w:szCs w:val="20"/>
              </w:rPr>
            </w:pPr>
            <w:r w:rsidRPr="00BB49B8">
              <w:rPr>
                <w:color w:val="000000"/>
                <w:sz w:val="20"/>
                <w:szCs w:val="20"/>
              </w:rPr>
              <w:t>0.327***</w:t>
            </w:r>
          </w:p>
        </w:tc>
        <w:tc>
          <w:tcPr>
            <w:tcW w:w="1138" w:type="dxa"/>
          </w:tcPr>
          <w:p w14:paraId="749EEAC6" w14:textId="77777777" w:rsidR="003A3994" w:rsidRPr="00BB49B8" w:rsidRDefault="007E4542" w:rsidP="00331804">
            <w:pPr>
              <w:jc w:val="center"/>
              <w:rPr>
                <w:color w:val="000000"/>
                <w:sz w:val="20"/>
                <w:szCs w:val="20"/>
              </w:rPr>
            </w:pPr>
            <w:r w:rsidRPr="00BB49B8">
              <w:rPr>
                <w:color w:val="000000"/>
                <w:sz w:val="20"/>
                <w:szCs w:val="20"/>
              </w:rPr>
              <w:t>0.255***</w:t>
            </w:r>
          </w:p>
        </w:tc>
        <w:tc>
          <w:tcPr>
            <w:tcW w:w="1138" w:type="dxa"/>
          </w:tcPr>
          <w:p w14:paraId="0FA1A42B" w14:textId="77777777" w:rsidR="003A3994" w:rsidRPr="00BB49B8" w:rsidRDefault="007E4542" w:rsidP="00331804">
            <w:pPr>
              <w:jc w:val="center"/>
              <w:rPr>
                <w:color w:val="000000"/>
                <w:sz w:val="20"/>
                <w:szCs w:val="20"/>
              </w:rPr>
            </w:pPr>
            <w:r w:rsidRPr="00BB49B8">
              <w:rPr>
                <w:color w:val="000000"/>
                <w:sz w:val="20"/>
                <w:szCs w:val="20"/>
              </w:rPr>
              <w:t>0.162**</w:t>
            </w:r>
          </w:p>
        </w:tc>
        <w:tc>
          <w:tcPr>
            <w:tcW w:w="1138" w:type="dxa"/>
          </w:tcPr>
          <w:p w14:paraId="4723D160" w14:textId="77777777" w:rsidR="003A3994" w:rsidRPr="00BB49B8" w:rsidRDefault="007E4542" w:rsidP="00331804">
            <w:pPr>
              <w:jc w:val="center"/>
              <w:rPr>
                <w:color w:val="000000"/>
                <w:sz w:val="20"/>
                <w:szCs w:val="20"/>
              </w:rPr>
            </w:pPr>
            <w:r w:rsidRPr="00BB49B8">
              <w:rPr>
                <w:color w:val="000000"/>
                <w:sz w:val="20"/>
                <w:szCs w:val="20"/>
              </w:rPr>
              <w:t>0.295***</w:t>
            </w:r>
          </w:p>
        </w:tc>
        <w:tc>
          <w:tcPr>
            <w:tcW w:w="1127" w:type="dxa"/>
          </w:tcPr>
          <w:p w14:paraId="44241BDA" w14:textId="77777777" w:rsidR="003A3994" w:rsidRPr="00BB49B8" w:rsidRDefault="007E4542" w:rsidP="00331804">
            <w:pPr>
              <w:jc w:val="center"/>
              <w:rPr>
                <w:color w:val="000000"/>
                <w:sz w:val="20"/>
                <w:szCs w:val="20"/>
              </w:rPr>
            </w:pPr>
            <w:r w:rsidRPr="00BB49B8">
              <w:rPr>
                <w:color w:val="000000"/>
                <w:sz w:val="20"/>
                <w:szCs w:val="20"/>
              </w:rPr>
              <w:t xml:space="preserve"> 1</w:t>
            </w:r>
          </w:p>
        </w:tc>
        <w:tc>
          <w:tcPr>
            <w:tcW w:w="1008" w:type="dxa"/>
          </w:tcPr>
          <w:p w14:paraId="384D5B14" w14:textId="77777777" w:rsidR="003A3994" w:rsidRPr="00BB49B8" w:rsidRDefault="003A3994" w:rsidP="00331804">
            <w:pPr>
              <w:jc w:val="center"/>
              <w:rPr>
                <w:color w:val="000000"/>
                <w:sz w:val="20"/>
                <w:szCs w:val="20"/>
              </w:rPr>
            </w:pPr>
          </w:p>
        </w:tc>
      </w:tr>
      <w:tr w:rsidR="00BB49B8" w:rsidRPr="00BB49B8" w14:paraId="348180C7" w14:textId="77777777" w:rsidTr="00BB49B8">
        <w:trPr>
          <w:trHeight w:val="314"/>
        </w:trPr>
        <w:tc>
          <w:tcPr>
            <w:tcW w:w="1701" w:type="dxa"/>
            <w:tcBorders>
              <w:bottom w:val="single" w:sz="4" w:space="0" w:color="000000"/>
            </w:tcBorders>
          </w:tcPr>
          <w:p w14:paraId="7F280EA9" w14:textId="77777777" w:rsidR="003A3994" w:rsidRPr="00BB49B8" w:rsidRDefault="007E4542" w:rsidP="00331804">
            <w:pPr>
              <w:rPr>
                <w:color w:val="000000"/>
                <w:sz w:val="20"/>
                <w:szCs w:val="20"/>
              </w:rPr>
            </w:pPr>
            <w:r w:rsidRPr="00BB49B8">
              <w:rPr>
                <w:color w:val="000000"/>
                <w:sz w:val="20"/>
                <w:szCs w:val="20"/>
              </w:rPr>
              <w:t>SPWBA_</w:t>
            </w:r>
          </w:p>
          <w:p w14:paraId="3EC75AD6" w14:textId="77777777" w:rsidR="003A3994" w:rsidRPr="00BB49B8" w:rsidRDefault="007E4542" w:rsidP="00331804">
            <w:pPr>
              <w:rPr>
                <w:color w:val="000000"/>
                <w:sz w:val="20"/>
                <w:szCs w:val="20"/>
              </w:rPr>
            </w:pPr>
            <w:r w:rsidRPr="00BB49B8">
              <w:rPr>
                <w:color w:val="000000"/>
                <w:sz w:val="20"/>
                <w:szCs w:val="20"/>
              </w:rPr>
              <w:t>TOTAL</w:t>
            </w:r>
          </w:p>
        </w:tc>
        <w:tc>
          <w:tcPr>
            <w:tcW w:w="1138" w:type="dxa"/>
            <w:tcBorders>
              <w:bottom w:val="single" w:sz="4" w:space="0" w:color="000000"/>
            </w:tcBorders>
          </w:tcPr>
          <w:p w14:paraId="00F49DE3" w14:textId="77777777" w:rsidR="003A3994" w:rsidRPr="00BB49B8" w:rsidRDefault="007E4542" w:rsidP="00331804">
            <w:pPr>
              <w:jc w:val="both"/>
              <w:rPr>
                <w:color w:val="000000"/>
                <w:sz w:val="20"/>
                <w:szCs w:val="20"/>
              </w:rPr>
            </w:pPr>
            <w:r w:rsidRPr="00BB49B8">
              <w:rPr>
                <w:color w:val="000000"/>
                <w:sz w:val="20"/>
                <w:szCs w:val="20"/>
              </w:rPr>
              <w:t>0.355***</w:t>
            </w:r>
          </w:p>
        </w:tc>
        <w:tc>
          <w:tcPr>
            <w:tcW w:w="1138" w:type="dxa"/>
            <w:tcBorders>
              <w:bottom w:val="single" w:sz="4" w:space="0" w:color="000000"/>
            </w:tcBorders>
          </w:tcPr>
          <w:p w14:paraId="4359AE49" w14:textId="77777777" w:rsidR="003A3994" w:rsidRPr="00BB49B8" w:rsidRDefault="007E4542" w:rsidP="00331804">
            <w:pPr>
              <w:jc w:val="both"/>
              <w:rPr>
                <w:color w:val="000000"/>
                <w:sz w:val="20"/>
                <w:szCs w:val="20"/>
              </w:rPr>
            </w:pPr>
            <w:r w:rsidRPr="00BB49B8">
              <w:rPr>
                <w:color w:val="000000"/>
                <w:sz w:val="20"/>
                <w:szCs w:val="20"/>
              </w:rPr>
              <w:t>0.464***</w:t>
            </w:r>
          </w:p>
        </w:tc>
        <w:tc>
          <w:tcPr>
            <w:tcW w:w="1138" w:type="dxa"/>
            <w:tcBorders>
              <w:bottom w:val="single" w:sz="4" w:space="0" w:color="000000"/>
            </w:tcBorders>
          </w:tcPr>
          <w:p w14:paraId="627FEF6D" w14:textId="77777777" w:rsidR="003A3994" w:rsidRPr="00BB49B8" w:rsidRDefault="007E4542" w:rsidP="00331804">
            <w:pPr>
              <w:jc w:val="center"/>
              <w:rPr>
                <w:color w:val="000000"/>
                <w:sz w:val="20"/>
                <w:szCs w:val="20"/>
              </w:rPr>
            </w:pPr>
            <w:r w:rsidRPr="00BB49B8">
              <w:rPr>
                <w:color w:val="000000"/>
                <w:sz w:val="20"/>
                <w:szCs w:val="20"/>
              </w:rPr>
              <w:t>0.354***</w:t>
            </w:r>
          </w:p>
        </w:tc>
        <w:tc>
          <w:tcPr>
            <w:tcW w:w="1138" w:type="dxa"/>
            <w:tcBorders>
              <w:bottom w:val="single" w:sz="4" w:space="0" w:color="000000"/>
            </w:tcBorders>
          </w:tcPr>
          <w:p w14:paraId="611103C9" w14:textId="77777777" w:rsidR="003A3994" w:rsidRPr="00BB49B8" w:rsidRDefault="007E4542" w:rsidP="00331804">
            <w:pPr>
              <w:jc w:val="center"/>
              <w:rPr>
                <w:color w:val="000000"/>
                <w:sz w:val="20"/>
                <w:szCs w:val="20"/>
              </w:rPr>
            </w:pPr>
            <w:r w:rsidRPr="00BB49B8">
              <w:rPr>
                <w:color w:val="000000"/>
                <w:sz w:val="20"/>
                <w:szCs w:val="20"/>
              </w:rPr>
              <w:t>0.223***</w:t>
            </w:r>
          </w:p>
        </w:tc>
        <w:tc>
          <w:tcPr>
            <w:tcW w:w="1138" w:type="dxa"/>
            <w:tcBorders>
              <w:bottom w:val="single" w:sz="4" w:space="0" w:color="000000"/>
            </w:tcBorders>
          </w:tcPr>
          <w:p w14:paraId="64CB1208" w14:textId="77777777" w:rsidR="003A3994" w:rsidRPr="00BB49B8" w:rsidRDefault="007E4542" w:rsidP="00331804">
            <w:pPr>
              <w:jc w:val="center"/>
              <w:rPr>
                <w:color w:val="000000"/>
                <w:sz w:val="20"/>
                <w:szCs w:val="20"/>
              </w:rPr>
            </w:pPr>
            <w:r w:rsidRPr="00BB49B8">
              <w:rPr>
                <w:color w:val="000000"/>
                <w:sz w:val="20"/>
                <w:szCs w:val="20"/>
              </w:rPr>
              <w:t>0.393***</w:t>
            </w:r>
          </w:p>
        </w:tc>
        <w:tc>
          <w:tcPr>
            <w:tcW w:w="1127" w:type="dxa"/>
            <w:tcBorders>
              <w:bottom w:val="single" w:sz="4" w:space="0" w:color="000000"/>
            </w:tcBorders>
          </w:tcPr>
          <w:p w14:paraId="5D7F98D7" w14:textId="77777777" w:rsidR="003A3994" w:rsidRPr="00BB49B8" w:rsidRDefault="007E4542" w:rsidP="00331804">
            <w:pPr>
              <w:jc w:val="center"/>
              <w:rPr>
                <w:color w:val="000000"/>
                <w:sz w:val="20"/>
                <w:szCs w:val="20"/>
              </w:rPr>
            </w:pPr>
            <w:r w:rsidRPr="00BB49B8">
              <w:rPr>
                <w:color w:val="000000"/>
                <w:sz w:val="20"/>
                <w:szCs w:val="20"/>
              </w:rPr>
              <w:t>0.434***</w:t>
            </w:r>
          </w:p>
        </w:tc>
        <w:tc>
          <w:tcPr>
            <w:tcW w:w="1008" w:type="dxa"/>
            <w:tcBorders>
              <w:bottom w:val="single" w:sz="4" w:space="0" w:color="000000"/>
            </w:tcBorders>
          </w:tcPr>
          <w:p w14:paraId="03176B71" w14:textId="77777777" w:rsidR="003A3994" w:rsidRPr="00BB49B8" w:rsidRDefault="007E4542" w:rsidP="00331804">
            <w:pPr>
              <w:jc w:val="center"/>
              <w:rPr>
                <w:color w:val="000000"/>
                <w:sz w:val="20"/>
                <w:szCs w:val="20"/>
              </w:rPr>
            </w:pPr>
            <w:r w:rsidRPr="00BB49B8">
              <w:rPr>
                <w:color w:val="000000"/>
                <w:sz w:val="20"/>
                <w:szCs w:val="20"/>
              </w:rPr>
              <w:t>1</w:t>
            </w:r>
          </w:p>
        </w:tc>
      </w:tr>
    </w:tbl>
    <w:p w14:paraId="67362B02" w14:textId="328531E9" w:rsidR="003A3994" w:rsidRPr="00BB49B8" w:rsidRDefault="007E4542" w:rsidP="00331804">
      <w:pPr>
        <w:tabs>
          <w:tab w:val="left" w:pos="2220"/>
        </w:tabs>
        <w:spacing w:line="360" w:lineRule="auto"/>
        <w:jc w:val="both"/>
        <w:rPr>
          <w:color w:val="000000"/>
          <w:sz w:val="16"/>
          <w:szCs w:val="16"/>
        </w:rPr>
        <w:sectPr w:rsidR="003A3994" w:rsidRPr="00BB49B8" w:rsidSect="009B06E8">
          <w:pgSz w:w="12240" w:h="15840"/>
          <w:pgMar w:top="1418" w:right="1418" w:bottom="1418" w:left="1418" w:header="720" w:footer="720" w:gutter="0"/>
          <w:pgNumType w:start="1"/>
          <w:cols w:space="720"/>
        </w:sectPr>
      </w:pPr>
      <w:r w:rsidRPr="00BB49B8">
        <w:rPr>
          <w:i/>
          <w:color w:val="000000"/>
          <w:sz w:val="16"/>
          <w:szCs w:val="16"/>
        </w:rPr>
        <w:br/>
        <w:t>Nota</w:t>
      </w:r>
      <w:r w:rsidRPr="00BB49B8">
        <w:rPr>
          <w:color w:val="000000"/>
          <w:sz w:val="16"/>
          <w:szCs w:val="16"/>
        </w:rPr>
        <w:t>. *p &lt; .05, ** p &lt; .01, *** p &lt; .001**</w:t>
      </w:r>
      <w:r w:rsidRPr="00BB49B8">
        <w:rPr>
          <w:i/>
          <w:color w:val="000000"/>
          <w:sz w:val="16"/>
          <w:szCs w:val="16"/>
        </w:rPr>
        <w:t>p</w:t>
      </w:r>
      <w:r w:rsidRPr="00BB49B8">
        <w:rPr>
          <w:color w:val="000000"/>
          <w:sz w:val="16"/>
          <w:szCs w:val="16"/>
        </w:rPr>
        <w:t xml:space="preserve"> &lt; .01 ERConfi= escala de resiliencia de confianza y sentirse bien solo, ERPerse= escala de resiliencia de perseverancia, EREcua= escala de resiliencia de ecuanimidad, ERAcept= escala de resiliencia de aceptación de uno mismo, ERPTotal= escala de resiliencia total, MAASTotal= mindfulness total, SPWBATotal= bienestar psicológico tota</w:t>
      </w:r>
      <w:r w:rsidR="000840A8" w:rsidRPr="00BB49B8">
        <w:rPr>
          <w:color w:val="000000"/>
          <w:sz w:val="16"/>
          <w:szCs w:val="16"/>
        </w:rPr>
        <w:t>l</w:t>
      </w:r>
      <w:r w:rsidR="00B87D19" w:rsidRPr="00BB49B8">
        <w:rPr>
          <w:color w:val="000000"/>
          <w:sz w:val="16"/>
          <w:szCs w:val="16"/>
        </w:rPr>
        <w:t>.</w:t>
      </w:r>
    </w:p>
    <w:p w14:paraId="588CB831" w14:textId="77777777" w:rsidR="00331804" w:rsidRPr="00BB49B8" w:rsidRDefault="00331804" w:rsidP="00331804">
      <w:pPr>
        <w:spacing w:line="360" w:lineRule="auto"/>
        <w:ind w:firstLine="720"/>
        <w:jc w:val="both"/>
        <w:rPr>
          <w:color w:val="000000"/>
        </w:rPr>
      </w:pPr>
    </w:p>
    <w:p w14:paraId="02A29183" w14:textId="298315DB" w:rsidR="003A3994" w:rsidRPr="00BB49B8" w:rsidRDefault="007E4542" w:rsidP="00331804">
      <w:pPr>
        <w:spacing w:line="360" w:lineRule="auto"/>
        <w:ind w:firstLine="720"/>
        <w:jc w:val="both"/>
        <w:rPr>
          <w:color w:val="000000"/>
        </w:rPr>
      </w:pPr>
      <w:r w:rsidRPr="00BB49B8">
        <w:rPr>
          <w:color w:val="000000"/>
        </w:rPr>
        <w:t xml:space="preserve">Finalmente, como se observa en el análisis de regresión lineal </w:t>
      </w:r>
      <w:r w:rsidR="00B87D19" w:rsidRPr="00BB49B8">
        <w:rPr>
          <w:color w:val="000000"/>
        </w:rPr>
        <w:t>(Ver Tabla 3),</w:t>
      </w:r>
      <w:r w:rsidRPr="00BB49B8">
        <w:rPr>
          <w:color w:val="000000"/>
        </w:rPr>
        <w:t xml:space="preserve"> el modelo de ajuste que incluyó al mindfulness y la resiliencia como predictores del bienestar psicológico, obtuvo una capacidad global predictiva grande (</w:t>
      </w:r>
      <w:r w:rsidRPr="00BB49B8">
        <w:rPr>
          <w:i/>
          <w:color w:val="000000"/>
        </w:rPr>
        <w:t>R</w:t>
      </w:r>
      <w:r w:rsidRPr="00BB49B8">
        <w:rPr>
          <w:i/>
          <w:color w:val="000000"/>
          <w:vertAlign w:val="superscript"/>
        </w:rPr>
        <w:t>2</w:t>
      </w:r>
      <w:r w:rsidRPr="00BB49B8">
        <w:rPr>
          <w:i/>
          <w:color w:val="000000"/>
        </w:rPr>
        <w:t xml:space="preserve"> </w:t>
      </w:r>
      <w:r w:rsidRPr="00BB49B8">
        <w:rPr>
          <w:color w:val="000000"/>
        </w:rPr>
        <w:t>= .26), lo cual significa que la resiliencia y el mindfulness explican el 26% de la variabilidad del bienestar psicológico. En ambos casos, las variables de mindfulness (</w:t>
      </w:r>
      <w:r w:rsidRPr="00BB49B8">
        <w:rPr>
          <w:i/>
          <w:color w:val="000000"/>
        </w:rPr>
        <w:t>β</w:t>
      </w:r>
      <w:r w:rsidRPr="00BB49B8">
        <w:rPr>
          <w:color w:val="000000"/>
        </w:rPr>
        <w:t>&lt;35) y resiliencia (</w:t>
      </w:r>
      <w:r w:rsidRPr="00BB49B8">
        <w:rPr>
          <w:i/>
          <w:color w:val="000000"/>
        </w:rPr>
        <w:t>β</w:t>
      </w:r>
      <w:r w:rsidRPr="00BB49B8">
        <w:rPr>
          <w:color w:val="000000"/>
        </w:rPr>
        <w:t>&lt;29), han sido significativas (p &lt; .05) en una capacidad predictiva moderada. Siendo el mindfulness un mayor predictor de bienestar psicológico.</w:t>
      </w:r>
    </w:p>
    <w:p w14:paraId="31B4F1A8" w14:textId="77777777" w:rsidR="003A3994" w:rsidRPr="00BB49B8" w:rsidRDefault="007E4542" w:rsidP="00BB49B8">
      <w:pPr>
        <w:jc w:val="both"/>
        <w:rPr>
          <w:color w:val="000000"/>
        </w:rPr>
      </w:pPr>
      <w:r w:rsidRPr="00BB49B8">
        <w:rPr>
          <w:b/>
          <w:color w:val="000000"/>
        </w:rPr>
        <w:lastRenderedPageBreak/>
        <w:t>Tabla 3</w:t>
      </w:r>
    </w:p>
    <w:p w14:paraId="05A7942D" w14:textId="77777777" w:rsidR="003A3994" w:rsidRPr="00BB49B8" w:rsidRDefault="007E4542" w:rsidP="00BB49B8">
      <w:pPr>
        <w:jc w:val="both"/>
        <w:rPr>
          <w:i/>
          <w:color w:val="000000"/>
        </w:rPr>
      </w:pPr>
      <w:r w:rsidRPr="00BB49B8">
        <w:rPr>
          <w:b/>
          <w:color w:val="000000"/>
        </w:rPr>
        <w:t xml:space="preserve"> </w:t>
      </w:r>
      <w:r w:rsidRPr="00BB49B8">
        <w:rPr>
          <w:i/>
          <w:color w:val="000000"/>
        </w:rPr>
        <w:t>Regresión Lineal de las variables Resiliencia, Mindfulness y Bienestar Psicológico.</w:t>
      </w:r>
    </w:p>
    <w:tbl>
      <w:tblPr>
        <w:tblStyle w:val="af1"/>
        <w:tblW w:w="9519" w:type="dxa"/>
        <w:tblInd w:w="0" w:type="dxa"/>
        <w:tblLayout w:type="fixed"/>
        <w:tblLook w:val="0400" w:firstRow="0" w:lastRow="0" w:firstColumn="0" w:lastColumn="0" w:noHBand="0" w:noVBand="1"/>
      </w:tblPr>
      <w:tblGrid>
        <w:gridCol w:w="2019"/>
        <w:gridCol w:w="186"/>
        <w:gridCol w:w="1130"/>
        <w:gridCol w:w="220"/>
        <w:gridCol w:w="810"/>
        <w:gridCol w:w="186"/>
        <w:gridCol w:w="690"/>
        <w:gridCol w:w="186"/>
        <w:gridCol w:w="754"/>
        <w:gridCol w:w="186"/>
        <w:gridCol w:w="690"/>
        <w:gridCol w:w="186"/>
        <w:gridCol w:w="858"/>
        <w:gridCol w:w="226"/>
        <w:gridCol w:w="934"/>
        <w:gridCol w:w="258"/>
      </w:tblGrid>
      <w:tr w:rsidR="003A3994" w:rsidRPr="00BB49B8" w14:paraId="5F24F082" w14:textId="77777777" w:rsidTr="00BB49B8">
        <w:trPr>
          <w:cantSplit/>
          <w:tblHeader/>
        </w:trPr>
        <w:tc>
          <w:tcPr>
            <w:tcW w:w="7243" w:type="dxa"/>
            <w:gridSpan w:val="12"/>
            <w:tcBorders>
              <w:top w:val="single" w:sz="4" w:space="0" w:color="auto"/>
              <w:left w:val="nil"/>
              <w:bottom w:val="nil"/>
              <w:right w:val="nil"/>
            </w:tcBorders>
            <w:tcMar>
              <w:top w:w="60" w:type="dxa"/>
              <w:left w:w="120" w:type="dxa"/>
              <w:bottom w:w="60" w:type="dxa"/>
              <w:right w:w="120" w:type="dxa"/>
            </w:tcMar>
            <w:vAlign w:val="center"/>
          </w:tcPr>
          <w:p w14:paraId="7E689432" w14:textId="77777777" w:rsidR="003A3994" w:rsidRPr="00BB49B8" w:rsidRDefault="003A3994" w:rsidP="00331804">
            <w:pPr>
              <w:spacing w:line="360" w:lineRule="auto"/>
              <w:rPr>
                <w:b/>
                <w:color w:val="000000"/>
              </w:rPr>
            </w:pPr>
          </w:p>
        </w:tc>
        <w:tc>
          <w:tcPr>
            <w:tcW w:w="2276" w:type="dxa"/>
            <w:gridSpan w:val="4"/>
            <w:tcBorders>
              <w:top w:val="single" w:sz="4" w:space="0" w:color="auto"/>
              <w:left w:val="nil"/>
              <w:bottom w:val="single" w:sz="6" w:space="0" w:color="333333"/>
              <w:right w:val="nil"/>
            </w:tcBorders>
            <w:tcMar>
              <w:top w:w="60" w:type="dxa"/>
              <w:left w:w="120" w:type="dxa"/>
              <w:bottom w:w="60" w:type="dxa"/>
              <w:right w:w="120" w:type="dxa"/>
            </w:tcMar>
            <w:vAlign w:val="center"/>
          </w:tcPr>
          <w:p w14:paraId="0D0A4C7C" w14:textId="77777777" w:rsidR="003A3994" w:rsidRPr="00BB49B8" w:rsidRDefault="007E4542" w:rsidP="00331804">
            <w:pPr>
              <w:spacing w:line="360" w:lineRule="auto"/>
              <w:jc w:val="center"/>
              <w:rPr>
                <w:b/>
                <w:color w:val="000000"/>
              </w:rPr>
            </w:pPr>
            <w:r w:rsidRPr="00BB49B8">
              <w:rPr>
                <w:b/>
                <w:color w:val="000000"/>
              </w:rPr>
              <w:t>IC 95%</w:t>
            </w:r>
          </w:p>
        </w:tc>
      </w:tr>
      <w:tr w:rsidR="003A3994" w:rsidRPr="00BB49B8" w14:paraId="0073462D" w14:textId="77777777">
        <w:trPr>
          <w:cantSplit/>
          <w:tblHeader/>
        </w:trPr>
        <w:tc>
          <w:tcPr>
            <w:tcW w:w="2205" w:type="dxa"/>
            <w:gridSpan w:val="2"/>
            <w:tcBorders>
              <w:top w:val="nil"/>
              <w:left w:val="nil"/>
              <w:bottom w:val="single" w:sz="6" w:space="0" w:color="333333"/>
              <w:right w:val="nil"/>
            </w:tcBorders>
            <w:tcMar>
              <w:top w:w="60" w:type="dxa"/>
              <w:left w:w="120" w:type="dxa"/>
              <w:bottom w:w="60" w:type="dxa"/>
              <w:right w:w="120" w:type="dxa"/>
            </w:tcMar>
            <w:vAlign w:val="center"/>
          </w:tcPr>
          <w:p w14:paraId="272BA5A9" w14:textId="77777777" w:rsidR="003A3994" w:rsidRPr="00BB49B8" w:rsidRDefault="007E4542" w:rsidP="00331804">
            <w:pPr>
              <w:spacing w:line="360" w:lineRule="auto"/>
              <w:jc w:val="center"/>
              <w:rPr>
                <w:b/>
                <w:color w:val="000000"/>
              </w:rPr>
            </w:pPr>
            <w:r w:rsidRPr="00BB49B8">
              <w:rPr>
                <w:b/>
                <w:color w:val="000000"/>
              </w:rPr>
              <w:t>Predictor</w:t>
            </w:r>
          </w:p>
        </w:tc>
        <w:tc>
          <w:tcPr>
            <w:tcW w:w="1350" w:type="dxa"/>
            <w:gridSpan w:val="2"/>
            <w:tcBorders>
              <w:top w:val="nil"/>
              <w:left w:val="nil"/>
              <w:bottom w:val="single" w:sz="6" w:space="0" w:color="333333"/>
              <w:right w:val="nil"/>
            </w:tcBorders>
            <w:tcMar>
              <w:top w:w="60" w:type="dxa"/>
              <w:left w:w="120" w:type="dxa"/>
              <w:bottom w:w="60" w:type="dxa"/>
              <w:right w:w="120" w:type="dxa"/>
            </w:tcMar>
            <w:vAlign w:val="center"/>
          </w:tcPr>
          <w:p w14:paraId="507F1697" w14:textId="77777777" w:rsidR="003A3994" w:rsidRPr="00BB49B8" w:rsidRDefault="007E4542" w:rsidP="00331804">
            <w:pPr>
              <w:spacing w:line="360" w:lineRule="auto"/>
              <w:jc w:val="center"/>
              <w:rPr>
                <w:b/>
                <w:color w:val="000000"/>
              </w:rPr>
            </w:pPr>
            <w:r w:rsidRPr="00BB49B8">
              <w:rPr>
                <w:b/>
                <w:color w:val="000000"/>
              </w:rPr>
              <w:t>Estimador</w:t>
            </w:r>
          </w:p>
        </w:tc>
        <w:tc>
          <w:tcPr>
            <w:tcW w:w="996" w:type="dxa"/>
            <w:gridSpan w:val="2"/>
            <w:tcBorders>
              <w:top w:val="nil"/>
              <w:left w:val="nil"/>
              <w:bottom w:val="single" w:sz="6" w:space="0" w:color="333333"/>
              <w:right w:val="nil"/>
            </w:tcBorders>
            <w:tcMar>
              <w:top w:w="60" w:type="dxa"/>
              <w:left w:w="120" w:type="dxa"/>
              <w:bottom w:w="60" w:type="dxa"/>
              <w:right w:w="120" w:type="dxa"/>
            </w:tcMar>
            <w:vAlign w:val="center"/>
          </w:tcPr>
          <w:p w14:paraId="369282A9" w14:textId="77777777" w:rsidR="003A3994" w:rsidRPr="00BB49B8" w:rsidRDefault="007E4542" w:rsidP="00331804">
            <w:pPr>
              <w:spacing w:line="360" w:lineRule="auto"/>
              <w:jc w:val="center"/>
              <w:rPr>
                <w:b/>
                <w:color w:val="000000"/>
              </w:rPr>
            </w:pPr>
            <w:r w:rsidRPr="00BB49B8">
              <w:rPr>
                <w:b/>
                <w:color w:val="000000"/>
              </w:rPr>
              <w:t>EE</w:t>
            </w:r>
          </w:p>
        </w:tc>
        <w:tc>
          <w:tcPr>
            <w:tcW w:w="876" w:type="dxa"/>
            <w:gridSpan w:val="2"/>
            <w:tcBorders>
              <w:top w:val="nil"/>
              <w:left w:val="nil"/>
              <w:bottom w:val="single" w:sz="6" w:space="0" w:color="333333"/>
              <w:right w:val="nil"/>
            </w:tcBorders>
            <w:tcMar>
              <w:top w:w="60" w:type="dxa"/>
              <w:left w:w="120" w:type="dxa"/>
              <w:bottom w:w="60" w:type="dxa"/>
              <w:right w:w="120" w:type="dxa"/>
            </w:tcMar>
            <w:vAlign w:val="center"/>
          </w:tcPr>
          <w:p w14:paraId="2DAB6523" w14:textId="77777777" w:rsidR="003A3994" w:rsidRPr="00BB49B8" w:rsidRDefault="007E4542" w:rsidP="00331804">
            <w:pPr>
              <w:spacing w:line="360" w:lineRule="auto"/>
              <w:jc w:val="center"/>
              <w:rPr>
                <w:b/>
                <w:color w:val="000000"/>
              </w:rPr>
            </w:pPr>
            <w:r w:rsidRPr="00BB49B8">
              <w:rPr>
                <w:b/>
                <w:color w:val="000000"/>
              </w:rPr>
              <w:t>t</w:t>
            </w:r>
          </w:p>
        </w:tc>
        <w:tc>
          <w:tcPr>
            <w:tcW w:w="940" w:type="dxa"/>
            <w:gridSpan w:val="2"/>
            <w:tcBorders>
              <w:top w:val="nil"/>
              <w:left w:val="nil"/>
              <w:bottom w:val="single" w:sz="6" w:space="0" w:color="333333"/>
              <w:right w:val="nil"/>
            </w:tcBorders>
            <w:tcMar>
              <w:top w:w="60" w:type="dxa"/>
              <w:left w:w="120" w:type="dxa"/>
              <w:bottom w:w="60" w:type="dxa"/>
              <w:right w:w="120" w:type="dxa"/>
            </w:tcMar>
            <w:vAlign w:val="center"/>
          </w:tcPr>
          <w:p w14:paraId="2353BE18" w14:textId="77777777" w:rsidR="003A3994" w:rsidRPr="00BB49B8" w:rsidRDefault="007E4542" w:rsidP="00331804">
            <w:pPr>
              <w:spacing w:line="360" w:lineRule="auto"/>
              <w:jc w:val="center"/>
              <w:rPr>
                <w:b/>
                <w:color w:val="000000"/>
              </w:rPr>
            </w:pPr>
            <w:r w:rsidRPr="00BB49B8">
              <w:rPr>
                <w:b/>
                <w:color w:val="000000"/>
              </w:rPr>
              <w:t>p</w:t>
            </w:r>
          </w:p>
        </w:tc>
        <w:tc>
          <w:tcPr>
            <w:tcW w:w="876" w:type="dxa"/>
            <w:gridSpan w:val="2"/>
            <w:tcBorders>
              <w:top w:val="nil"/>
              <w:left w:val="nil"/>
              <w:bottom w:val="single" w:sz="6" w:space="0" w:color="333333"/>
              <w:right w:val="nil"/>
            </w:tcBorders>
            <w:tcMar>
              <w:top w:w="60" w:type="dxa"/>
              <w:left w:w="120" w:type="dxa"/>
              <w:bottom w:w="60" w:type="dxa"/>
              <w:right w:w="120" w:type="dxa"/>
            </w:tcMar>
            <w:vAlign w:val="center"/>
          </w:tcPr>
          <w:p w14:paraId="5EB0520B" w14:textId="77777777" w:rsidR="003A3994" w:rsidRPr="00BB49B8" w:rsidRDefault="007E4542" w:rsidP="00331804">
            <w:pPr>
              <w:spacing w:line="360" w:lineRule="auto"/>
              <w:jc w:val="center"/>
              <w:rPr>
                <w:rFonts w:eastAsia="Quattrocento Sans"/>
                <w:b/>
                <w:color w:val="000000"/>
              </w:rPr>
            </w:pPr>
            <w:r w:rsidRPr="00BB49B8">
              <w:rPr>
                <w:b/>
                <w:i/>
                <w:color w:val="000000"/>
              </w:rPr>
              <w:t>β</w:t>
            </w:r>
          </w:p>
        </w:tc>
        <w:tc>
          <w:tcPr>
            <w:tcW w:w="1084" w:type="dxa"/>
            <w:gridSpan w:val="2"/>
            <w:tcBorders>
              <w:top w:val="nil"/>
              <w:left w:val="nil"/>
              <w:bottom w:val="single" w:sz="6" w:space="0" w:color="333333"/>
              <w:right w:val="nil"/>
            </w:tcBorders>
            <w:tcMar>
              <w:top w:w="60" w:type="dxa"/>
              <w:left w:w="120" w:type="dxa"/>
              <w:bottom w:w="60" w:type="dxa"/>
              <w:right w:w="120" w:type="dxa"/>
            </w:tcMar>
            <w:vAlign w:val="center"/>
          </w:tcPr>
          <w:p w14:paraId="2D485A19" w14:textId="77777777" w:rsidR="003A3994" w:rsidRPr="00BB49B8" w:rsidRDefault="007E4542" w:rsidP="00331804">
            <w:pPr>
              <w:spacing w:line="360" w:lineRule="auto"/>
              <w:jc w:val="center"/>
              <w:rPr>
                <w:b/>
                <w:color w:val="000000"/>
              </w:rPr>
            </w:pPr>
            <w:r w:rsidRPr="00BB49B8">
              <w:rPr>
                <w:b/>
                <w:color w:val="000000"/>
              </w:rPr>
              <w:t>Inferior</w:t>
            </w:r>
          </w:p>
        </w:tc>
        <w:tc>
          <w:tcPr>
            <w:tcW w:w="1192" w:type="dxa"/>
            <w:gridSpan w:val="2"/>
            <w:tcBorders>
              <w:top w:val="nil"/>
              <w:left w:val="nil"/>
              <w:bottom w:val="single" w:sz="6" w:space="0" w:color="333333"/>
              <w:right w:val="nil"/>
            </w:tcBorders>
            <w:tcMar>
              <w:top w:w="60" w:type="dxa"/>
              <w:left w:w="120" w:type="dxa"/>
              <w:bottom w:w="60" w:type="dxa"/>
              <w:right w:w="120" w:type="dxa"/>
            </w:tcMar>
            <w:vAlign w:val="center"/>
          </w:tcPr>
          <w:p w14:paraId="4BB52C5A" w14:textId="77777777" w:rsidR="003A3994" w:rsidRPr="00BB49B8" w:rsidRDefault="007E4542" w:rsidP="00331804">
            <w:pPr>
              <w:spacing w:line="360" w:lineRule="auto"/>
              <w:jc w:val="center"/>
              <w:rPr>
                <w:b/>
                <w:color w:val="000000"/>
              </w:rPr>
            </w:pPr>
            <w:r w:rsidRPr="00BB49B8">
              <w:rPr>
                <w:b/>
                <w:color w:val="000000"/>
              </w:rPr>
              <w:t>Superior</w:t>
            </w:r>
          </w:p>
        </w:tc>
      </w:tr>
      <w:tr w:rsidR="003A3994" w:rsidRPr="00BB49B8" w14:paraId="3213771E" w14:textId="77777777">
        <w:trPr>
          <w:cantSplit/>
        </w:trPr>
        <w:tc>
          <w:tcPr>
            <w:tcW w:w="2019" w:type="dxa"/>
            <w:tcBorders>
              <w:top w:val="nil"/>
              <w:left w:val="nil"/>
              <w:bottom w:val="nil"/>
              <w:right w:val="nil"/>
            </w:tcBorders>
            <w:tcMar>
              <w:top w:w="120" w:type="dxa"/>
              <w:left w:w="120" w:type="dxa"/>
              <w:bottom w:w="30" w:type="dxa"/>
              <w:right w:w="0" w:type="dxa"/>
            </w:tcMar>
            <w:vAlign w:val="center"/>
          </w:tcPr>
          <w:p w14:paraId="6157D8C7" w14:textId="77777777" w:rsidR="003A3994" w:rsidRPr="00BB49B8" w:rsidRDefault="007E4542" w:rsidP="00331804">
            <w:pPr>
              <w:spacing w:line="360" w:lineRule="auto"/>
              <w:rPr>
                <w:color w:val="000000"/>
              </w:rPr>
            </w:pPr>
            <w:r w:rsidRPr="00BB49B8">
              <w:rPr>
                <w:color w:val="000000"/>
              </w:rPr>
              <w:t>Constante</w:t>
            </w:r>
          </w:p>
        </w:tc>
        <w:tc>
          <w:tcPr>
            <w:tcW w:w="186" w:type="dxa"/>
            <w:tcBorders>
              <w:top w:val="nil"/>
              <w:left w:val="nil"/>
              <w:bottom w:val="nil"/>
              <w:right w:val="nil"/>
            </w:tcBorders>
            <w:tcMar>
              <w:top w:w="120" w:type="dxa"/>
              <w:left w:w="30" w:type="dxa"/>
              <w:bottom w:w="30" w:type="dxa"/>
              <w:right w:w="120" w:type="dxa"/>
            </w:tcMar>
            <w:vAlign w:val="center"/>
          </w:tcPr>
          <w:p w14:paraId="02243F7C" w14:textId="77777777" w:rsidR="003A3994" w:rsidRPr="00BB49B8" w:rsidRDefault="003A3994" w:rsidP="00331804">
            <w:pPr>
              <w:spacing w:line="360" w:lineRule="auto"/>
              <w:rPr>
                <w:color w:val="000000"/>
              </w:rPr>
            </w:pPr>
          </w:p>
        </w:tc>
        <w:tc>
          <w:tcPr>
            <w:tcW w:w="1130" w:type="dxa"/>
            <w:tcBorders>
              <w:top w:val="nil"/>
              <w:left w:val="nil"/>
              <w:bottom w:val="nil"/>
              <w:right w:val="nil"/>
            </w:tcBorders>
            <w:tcMar>
              <w:top w:w="120" w:type="dxa"/>
              <w:left w:w="120" w:type="dxa"/>
              <w:bottom w:w="30" w:type="dxa"/>
              <w:right w:w="0" w:type="dxa"/>
            </w:tcMar>
            <w:vAlign w:val="center"/>
          </w:tcPr>
          <w:p w14:paraId="43A43A49" w14:textId="77777777" w:rsidR="003A3994" w:rsidRPr="00BB49B8" w:rsidRDefault="007E4542" w:rsidP="00331804">
            <w:pPr>
              <w:spacing w:line="360" w:lineRule="auto"/>
              <w:jc w:val="right"/>
              <w:rPr>
                <w:color w:val="000000"/>
              </w:rPr>
            </w:pPr>
            <w:r w:rsidRPr="00BB49B8">
              <w:rPr>
                <w:color w:val="000000"/>
              </w:rPr>
              <w:t>39.8229</w:t>
            </w:r>
          </w:p>
        </w:tc>
        <w:tc>
          <w:tcPr>
            <w:tcW w:w="220" w:type="dxa"/>
            <w:tcBorders>
              <w:top w:val="nil"/>
              <w:left w:val="nil"/>
              <w:bottom w:val="nil"/>
              <w:right w:val="nil"/>
            </w:tcBorders>
            <w:tcMar>
              <w:top w:w="120" w:type="dxa"/>
              <w:left w:w="30" w:type="dxa"/>
              <w:bottom w:w="30" w:type="dxa"/>
              <w:right w:w="120" w:type="dxa"/>
            </w:tcMar>
            <w:vAlign w:val="center"/>
          </w:tcPr>
          <w:p w14:paraId="0E5CCBE1" w14:textId="77777777" w:rsidR="003A3994" w:rsidRPr="00BB49B8" w:rsidRDefault="003A3994" w:rsidP="00331804">
            <w:pPr>
              <w:spacing w:line="360" w:lineRule="auto"/>
              <w:jc w:val="right"/>
              <w:rPr>
                <w:color w:val="000000"/>
              </w:rPr>
            </w:pPr>
          </w:p>
        </w:tc>
        <w:tc>
          <w:tcPr>
            <w:tcW w:w="810" w:type="dxa"/>
            <w:tcBorders>
              <w:top w:val="nil"/>
              <w:left w:val="nil"/>
              <w:bottom w:val="nil"/>
              <w:right w:val="nil"/>
            </w:tcBorders>
            <w:tcMar>
              <w:top w:w="120" w:type="dxa"/>
              <w:left w:w="120" w:type="dxa"/>
              <w:bottom w:w="30" w:type="dxa"/>
              <w:right w:w="0" w:type="dxa"/>
            </w:tcMar>
            <w:vAlign w:val="center"/>
          </w:tcPr>
          <w:p w14:paraId="19063A8D" w14:textId="77777777" w:rsidR="003A3994" w:rsidRPr="00BB49B8" w:rsidRDefault="007E4542" w:rsidP="00331804">
            <w:pPr>
              <w:spacing w:line="360" w:lineRule="auto"/>
              <w:jc w:val="right"/>
              <w:rPr>
                <w:color w:val="000000"/>
              </w:rPr>
            </w:pPr>
            <w:r w:rsidRPr="00BB49B8">
              <w:rPr>
                <w:color w:val="000000"/>
              </w:rPr>
              <w:t>1.8642</w:t>
            </w:r>
          </w:p>
        </w:tc>
        <w:tc>
          <w:tcPr>
            <w:tcW w:w="186" w:type="dxa"/>
            <w:tcBorders>
              <w:top w:val="nil"/>
              <w:left w:val="nil"/>
              <w:bottom w:val="nil"/>
              <w:right w:val="nil"/>
            </w:tcBorders>
            <w:tcMar>
              <w:top w:w="120" w:type="dxa"/>
              <w:left w:w="30" w:type="dxa"/>
              <w:bottom w:w="30" w:type="dxa"/>
              <w:right w:w="120" w:type="dxa"/>
            </w:tcMar>
            <w:vAlign w:val="center"/>
          </w:tcPr>
          <w:p w14:paraId="1F00F576" w14:textId="77777777" w:rsidR="003A3994" w:rsidRPr="00BB49B8" w:rsidRDefault="003A3994" w:rsidP="00331804">
            <w:pPr>
              <w:spacing w:line="360" w:lineRule="auto"/>
              <w:jc w:val="right"/>
              <w:rPr>
                <w:color w:val="000000"/>
              </w:rPr>
            </w:pPr>
          </w:p>
        </w:tc>
        <w:tc>
          <w:tcPr>
            <w:tcW w:w="690" w:type="dxa"/>
            <w:tcBorders>
              <w:top w:val="nil"/>
              <w:left w:val="nil"/>
              <w:bottom w:val="nil"/>
              <w:right w:val="nil"/>
            </w:tcBorders>
            <w:tcMar>
              <w:top w:w="120" w:type="dxa"/>
              <w:left w:w="120" w:type="dxa"/>
              <w:bottom w:w="30" w:type="dxa"/>
              <w:right w:w="0" w:type="dxa"/>
            </w:tcMar>
            <w:vAlign w:val="center"/>
          </w:tcPr>
          <w:p w14:paraId="02D5793A" w14:textId="77777777" w:rsidR="003A3994" w:rsidRPr="00BB49B8" w:rsidRDefault="007E4542" w:rsidP="00331804">
            <w:pPr>
              <w:spacing w:line="360" w:lineRule="auto"/>
              <w:jc w:val="right"/>
              <w:rPr>
                <w:color w:val="000000"/>
              </w:rPr>
            </w:pPr>
            <w:r w:rsidRPr="00BB49B8">
              <w:rPr>
                <w:color w:val="000000"/>
              </w:rPr>
              <w:t>21.36</w:t>
            </w:r>
          </w:p>
        </w:tc>
        <w:tc>
          <w:tcPr>
            <w:tcW w:w="186" w:type="dxa"/>
            <w:tcBorders>
              <w:top w:val="nil"/>
              <w:left w:val="nil"/>
              <w:bottom w:val="nil"/>
              <w:right w:val="nil"/>
            </w:tcBorders>
            <w:tcMar>
              <w:top w:w="120" w:type="dxa"/>
              <w:left w:w="30" w:type="dxa"/>
              <w:bottom w:w="30" w:type="dxa"/>
              <w:right w:w="120" w:type="dxa"/>
            </w:tcMar>
            <w:vAlign w:val="center"/>
          </w:tcPr>
          <w:p w14:paraId="529852E0" w14:textId="77777777" w:rsidR="003A3994" w:rsidRPr="00BB49B8" w:rsidRDefault="003A3994" w:rsidP="00331804">
            <w:pPr>
              <w:spacing w:line="360" w:lineRule="auto"/>
              <w:jc w:val="right"/>
              <w:rPr>
                <w:color w:val="000000"/>
              </w:rPr>
            </w:pPr>
          </w:p>
        </w:tc>
        <w:tc>
          <w:tcPr>
            <w:tcW w:w="754" w:type="dxa"/>
            <w:tcBorders>
              <w:top w:val="nil"/>
              <w:left w:val="nil"/>
              <w:bottom w:val="nil"/>
              <w:right w:val="nil"/>
            </w:tcBorders>
            <w:tcMar>
              <w:top w:w="120" w:type="dxa"/>
              <w:left w:w="120" w:type="dxa"/>
              <w:bottom w:w="30" w:type="dxa"/>
              <w:right w:w="0" w:type="dxa"/>
            </w:tcMar>
            <w:vAlign w:val="center"/>
          </w:tcPr>
          <w:p w14:paraId="38B04D0B" w14:textId="77777777" w:rsidR="003A3994" w:rsidRPr="00BB49B8" w:rsidRDefault="007E4542" w:rsidP="00331804">
            <w:pPr>
              <w:spacing w:line="360" w:lineRule="auto"/>
              <w:jc w:val="right"/>
              <w:rPr>
                <w:color w:val="000000"/>
              </w:rPr>
            </w:pPr>
            <w:r w:rsidRPr="00BB49B8">
              <w:rPr>
                <w:color w:val="000000"/>
              </w:rPr>
              <w:t>&lt; .001</w:t>
            </w:r>
          </w:p>
        </w:tc>
        <w:tc>
          <w:tcPr>
            <w:tcW w:w="186" w:type="dxa"/>
            <w:tcBorders>
              <w:top w:val="nil"/>
              <w:left w:val="nil"/>
              <w:bottom w:val="nil"/>
              <w:right w:val="nil"/>
            </w:tcBorders>
            <w:tcMar>
              <w:top w:w="120" w:type="dxa"/>
              <w:left w:w="30" w:type="dxa"/>
              <w:bottom w:w="30" w:type="dxa"/>
              <w:right w:w="120" w:type="dxa"/>
            </w:tcMar>
            <w:vAlign w:val="center"/>
          </w:tcPr>
          <w:p w14:paraId="5E887E87" w14:textId="77777777" w:rsidR="003A3994" w:rsidRPr="00BB49B8" w:rsidRDefault="003A3994" w:rsidP="00331804">
            <w:pPr>
              <w:spacing w:line="360" w:lineRule="auto"/>
              <w:jc w:val="right"/>
              <w:rPr>
                <w:rFonts w:eastAsia="Quattrocento Sans"/>
                <w:color w:val="000000"/>
              </w:rPr>
            </w:pPr>
          </w:p>
        </w:tc>
        <w:tc>
          <w:tcPr>
            <w:tcW w:w="690" w:type="dxa"/>
            <w:tcBorders>
              <w:top w:val="nil"/>
              <w:left w:val="nil"/>
              <w:bottom w:val="nil"/>
              <w:right w:val="nil"/>
            </w:tcBorders>
            <w:tcMar>
              <w:top w:w="120" w:type="dxa"/>
              <w:left w:w="120" w:type="dxa"/>
              <w:bottom w:w="30" w:type="dxa"/>
              <w:right w:w="0" w:type="dxa"/>
            </w:tcMar>
            <w:vAlign w:val="center"/>
          </w:tcPr>
          <w:p w14:paraId="356AF196" w14:textId="77777777" w:rsidR="003A3994" w:rsidRPr="00BB49B8" w:rsidRDefault="007E4542" w:rsidP="00331804">
            <w:pPr>
              <w:spacing w:line="360" w:lineRule="auto"/>
              <w:jc w:val="right"/>
              <w:rPr>
                <w:rFonts w:eastAsia="Quattrocento Sans"/>
                <w:color w:val="000000"/>
              </w:rPr>
            </w:pPr>
            <w:r w:rsidRPr="00BB49B8">
              <w:rPr>
                <w:rFonts w:eastAsia="Quattrocento Sans"/>
                <w:color w:val="000000"/>
              </w:rPr>
              <w:t> </w:t>
            </w:r>
          </w:p>
        </w:tc>
        <w:tc>
          <w:tcPr>
            <w:tcW w:w="186" w:type="dxa"/>
            <w:tcBorders>
              <w:top w:val="nil"/>
              <w:left w:val="nil"/>
              <w:bottom w:val="nil"/>
              <w:right w:val="nil"/>
            </w:tcBorders>
            <w:tcMar>
              <w:top w:w="120" w:type="dxa"/>
              <w:left w:w="30" w:type="dxa"/>
              <w:bottom w:w="30" w:type="dxa"/>
              <w:right w:w="120" w:type="dxa"/>
            </w:tcMar>
            <w:vAlign w:val="center"/>
          </w:tcPr>
          <w:p w14:paraId="62C2DA96" w14:textId="77777777" w:rsidR="003A3994" w:rsidRPr="00BB49B8" w:rsidRDefault="003A3994" w:rsidP="00331804">
            <w:pPr>
              <w:spacing w:line="360" w:lineRule="auto"/>
              <w:jc w:val="right"/>
              <w:rPr>
                <w:rFonts w:eastAsia="Quattrocento Sans"/>
                <w:color w:val="000000"/>
              </w:rPr>
            </w:pPr>
          </w:p>
        </w:tc>
        <w:tc>
          <w:tcPr>
            <w:tcW w:w="858" w:type="dxa"/>
            <w:tcBorders>
              <w:top w:val="nil"/>
              <w:left w:val="nil"/>
              <w:bottom w:val="nil"/>
              <w:right w:val="nil"/>
            </w:tcBorders>
            <w:tcMar>
              <w:top w:w="120" w:type="dxa"/>
              <w:left w:w="120" w:type="dxa"/>
              <w:bottom w:w="30" w:type="dxa"/>
              <w:right w:w="0" w:type="dxa"/>
            </w:tcMar>
            <w:vAlign w:val="center"/>
          </w:tcPr>
          <w:p w14:paraId="68489730" w14:textId="77777777" w:rsidR="003A3994" w:rsidRPr="00BB49B8" w:rsidRDefault="007E4542" w:rsidP="00331804">
            <w:pPr>
              <w:spacing w:line="360" w:lineRule="auto"/>
              <w:jc w:val="right"/>
              <w:rPr>
                <w:color w:val="000000"/>
              </w:rPr>
            </w:pPr>
            <w:r w:rsidRPr="00BB49B8">
              <w:rPr>
                <w:color w:val="000000"/>
              </w:rPr>
              <w:t> </w:t>
            </w:r>
          </w:p>
        </w:tc>
        <w:tc>
          <w:tcPr>
            <w:tcW w:w="226" w:type="dxa"/>
            <w:tcBorders>
              <w:top w:val="nil"/>
              <w:left w:val="nil"/>
              <w:bottom w:val="nil"/>
              <w:right w:val="nil"/>
            </w:tcBorders>
            <w:tcMar>
              <w:top w:w="120" w:type="dxa"/>
              <w:left w:w="30" w:type="dxa"/>
              <w:bottom w:w="30" w:type="dxa"/>
              <w:right w:w="120" w:type="dxa"/>
            </w:tcMar>
            <w:vAlign w:val="center"/>
          </w:tcPr>
          <w:p w14:paraId="43DCFF74" w14:textId="77777777" w:rsidR="003A3994" w:rsidRPr="00BB49B8" w:rsidRDefault="003A3994" w:rsidP="00331804">
            <w:pPr>
              <w:spacing w:line="360" w:lineRule="auto"/>
              <w:jc w:val="right"/>
              <w:rPr>
                <w:color w:val="000000"/>
              </w:rPr>
            </w:pPr>
          </w:p>
        </w:tc>
        <w:tc>
          <w:tcPr>
            <w:tcW w:w="934" w:type="dxa"/>
            <w:tcBorders>
              <w:top w:val="nil"/>
              <w:left w:val="nil"/>
              <w:bottom w:val="nil"/>
              <w:right w:val="nil"/>
            </w:tcBorders>
            <w:tcMar>
              <w:top w:w="120" w:type="dxa"/>
              <w:left w:w="120" w:type="dxa"/>
              <w:bottom w:w="30" w:type="dxa"/>
              <w:right w:w="0" w:type="dxa"/>
            </w:tcMar>
            <w:vAlign w:val="center"/>
          </w:tcPr>
          <w:p w14:paraId="1040D804" w14:textId="77777777" w:rsidR="003A3994" w:rsidRPr="00BB49B8" w:rsidRDefault="007E4542" w:rsidP="00331804">
            <w:pPr>
              <w:spacing w:line="360" w:lineRule="auto"/>
              <w:jc w:val="right"/>
              <w:rPr>
                <w:color w:val="000000"/>
              </w:rPr>
            </w:pPr>
            <w:r w:rsidRPr="00BB49B8">
              <w:rPr>
                <w:color w:val="000000"/>
              </w:rPr>
              <w:t> </w:t>
            </w:r>
          </w:p>
        </w:tc>
        <w:tc>
          <w:tcPr>
            <w:tcW w:w="258" w:type="dxa"/>
            <w:tcBorders>
              <w:top w:val="nil"/>
              <w:left w:val="nil"/>
              <w:bottom w:val="nil"/>
              <w:right w:val="nil"/>
            </w:tcBorders>
            <w:tcMar>
              <w:top w:w="120" w:type="dxa"/>
              <w:left w:w="30" w:type="dxa"/>
              <w:bottom w:w="30" w:type="dxa"/>
              <w:right w:w="120" w:type="dxa"/>
            </w:tcMar>
            <w:vAlign w:val="center"/>
          </w:tcPr>
          <w:p w14:paraId="22ABC0E3" w14:textId="77777777" w:rsidR="003A3994" w:rsidRPr="00BB49B8" w:rsidRDefault="003A3994" w:rsidP="00331804">
            <w:pPr>
              <w:spacing w:line="360" w:lineRule="auto"/>
              <w:jc w:val="right"/>
              <w:rPr>
                <w:rFonts w:eastAsia="Quattrocento Sans"/>
                <w:color w:val="000000"/>
              </w:rPr>
            </w:pPr>
          </w:p>
        </w:tc>
      </w:tr>
      <w:tr w:rsidR="003A3994" w:rsidRPr="00BB49B8" w14:paraId="47D3D4C2" w14:textId="77777777">
        <w:trPr>
          <w:cantSplit/>
        </w:trPr>
        <w:tc>
          <w:tcPr>
            <w:tcW w:w="2019" w:type="dxa"/>
            <w:tcBorders>
              <w:top w:val="nil"/>
              <w:left w:val="nil"/>
              <w:bottom w:val="nil"/>
              <w:right w:val="nil"/>
            </w:tcBorders>
            <w:tcMar>
              <w:top w:w="30" w:type="dxa"/>
              <w:left w:w="120" w:type="dxa"/>
              <w:bottom w:w="30" w:type="dxa"/>
              <w:right w:w="0" w:type="dxa"/>
            </w:tcMar>
            <w:vAlign w:val="center"/>
          </w:tcPr>
          <w:p w14:paraId="2FCD8BA6" w14:textId="77777777" w:rsidR="003A3994" w:rsidRPr="00BB49B8" w:rsidRDefault="007E4542" w:rsidP="00331804">
            <w:pPr>
              <w:spacing w:line="360" w:lineRule="auto"/>
              <w:rPr>
                <w:color w:val="000000"/>
              </w:rPr>
            </w:pPr>
            <w:r w:rsidRPr="00BB49B8">
              <w:rPr>
                <w:color w:val="000000"/>
              </w:rPr>
              <w:t>MAAS_PTOTAL_</w:t>
            </w:r>
          </w:p>
        </w:tc>
        <w:tc>
          <w:tcPr>
            <w:tcW w:w="186" w:type="dxa"/>
            <w:tcBorders>
              <w:top w:val="nil"/>
              <w:left w:val="nil"/>
              <w:bottom w:val="nil"/>
              <w:right w:val="nil"/>
            </w:tcBorders>
            <w:tcMar>
              <w:top w:w="30" w:type="dxa"/>
              <w:left w:w="30" w:type="dxa"/>
              <w:bottom w:w="30" w:type="dxa"/>
              <w:right w:w="120" w:type="dxa"/>
            </w:tcMar>
            <w:vAlign w:val="center"/>
          </w:tcPr>
          <w:p w14:paraId="7B73194C" w14:textId="77777777" w:rsidR="003A3994" w:rsidRPr="00BB49B8" w:rsidRDefault="003A3994" w:rsidP="00331804">
            <w:pPr>
              <w:spacing w:line="360" w:lineRule="auto"/>
              <w:rPr>
                <w:color w:val="000000"/>
              </w:rPr>
            </w:pPr>
          </w:p>
        </w:tc>
        <w:tc>
          <w:tcPr>
            <w:tcW w:w="1130" w:type="dxa"/>
            <w:tcBorders>
              <w:top w:val="nil"/>
              <w:left w:val="nil"/>
              <w:bottom w:val="nil"/>
              <w:right w:val="nil"/>
            </w:tcBorders>
            <w:tcMar>
              <w:top w:w="30" w:type="dxa"/>
              <w:left w:w="120" w:type="dxa"/>
              <w:bottom w:w="30" w:type="dxa"/>
              <w:right w:w="0" w:type="dxa"/>
            </w:tcMar>
            <w:vAlign w:val="center"/>
          </w:tcPr>
          <w:p w14:paraId="099E6915" w14:textId="77777777" w:rsidR="003A3994" w:rsidRPr="00BB49B8" w:rsidRDefault="007E4542" w:rsidP="00331804">
            <w:pPr>
              <w:spacing w:line="360" w:lineRule="auto"/>
              <w:jc w:val="right"/>
              <w:rPr>
                <w:color w:val="000000"/>
              </w:rPr>
            </w:pPr>
            <w:r w:rsidRPr="00BB49B8">
              <w:rPr>
                <w:color w:val="000000"/>
              </w:rPr>
              <w:t>0.4011</w:t>
            </w:r>
          </w:p>
        </w:tc>
        <w:tc>
          <w:tcPr>
            <w:tcW w:w="220" w:type="dxa"/>
            <w:tcBorders>
              <w:top w:val="nil"/>
              <w:left w:val="nil"/>
              <w:bottom w:val="nil"/>
              <w:right w:val="nil"/>
            </w:tcBorders>
            <w:tcMar>
              <w:top w:w="30" w:type="dxa"/>
              <w:left w:w="30" w:type="dxa"/>
              <w:bottom w:w="30" w:type="dxa"/>
              <w:right w:w="120" w:type="dxa"/>
            </w:tcMar>
            <w:vAlign w:val="center"/>
          </w:tcPr>
          <w:p w14:paraId="1D31F078" w14:textId="77777777" w:rsidR="003A3994" w:rsidRPr="00BB49B8" w:rsidRDefault="003A3994" w:rsidP="00331804">
            <w:pPr>
              <w:spacing w:line="360" w:lineRule="auto"/>
              <w:jc w:val="right"/>
              <w:rPr>
                <w:color w:val="000000"/>
              </w:rPr>
            </w:pPr>
          </w:p>
        </w:tc>
        <w:tc>
          <w:tcPr>
            <w:tcW w:w="810" w:type="dxa"/>
            <w:tcBorders>
              <w:top w:val="nil"/>
              <w:left w:val="nil"/>
              <w:bottom w:val="nil"/>
              <w:right w:val="nil"/>
            </w:tcBorders>
            <w:tcMar>
              <w:top w:w="30" w:type="dxa"/>
              <w:left w:w="120" w:type="dxa"/>
              <w:bottom w:w="30" w:type="dxa"/>
              <w:right w:w="0" w:type="dxa"/>
            </w:tcMar>
            <w:vAlign w:val="center"/>
          </w:tcPr>
          <w:p w14:paraId="1FE2FB05" w14:textId="77777777" w:rsidR="003A3994" w:rsidRPr="00BB49B8" w:rsidRDefault="007E4542" w:rsidP="00331804">
            <w:pPr>
              <w:spacing w:line="360" w:lineRule="auto"/>
              <w:jc w:val="right"/>
              <w:rPr>
                <w:color w:val="000000"/>
              </w:rPr>
            </w:pPr>
            <w:r w:rsidRPr="00BB49B8">
              <w:rPr>
                <w:color w:val="000000"/>
              </w:rPr>
              <w:t>0.0555</w:t>
            </w:r>
          </w:p>
        </w:tc>
        <w:tc>
          <w:tcPr>
            <w:tcW w:w="186" w:type="dxa"/>
            <w:tcBorders>
              <w:top w:val="nil"/>
              <w:left w:val="nil"/>
              <w:bottom w:val="nil"/>
              <w:right w:val="nil"/>
            </w:tcBorders>
            <w:tcMar>
              <w:top w:w="30" w:type="dxa"/>
              <w:left w:w="30" w:type="dxa"/>
              <w:bottom w:w="30" w:type="dxa"/>
              <w:right w:w="120" w:type="dxa"/>
            </w:tcMar>
            <w:vAlign w:val="center"/>
          </w:tcPr>
          <w:p w14:paraId="61C4B6F8" w14:textId="77777777" w:rsidR="003A3994" w:rsidRPr="00BB49B8" w:rsidRDefault="003A3994" w:rsidP="00331804">
            <w:pPr>
              <w:spacing w:line="360" w:lineRule="auto"/>
              <w:jc w:val="right"/>
              <w:rPr>
                <w:color w:val="000000"/>
              </w:rPr>
            </w:pPr>
          </w:p>
        </w:tc>
        <w:tc>
          <w:tcPr>
            <w:tcW w:w="690" w:type="dxa"/>
            <w:tcBorders>
              <w:top w:val="nil"/>
              <w:left w:val="nil"/>
              <w:bottom w:val="nil"/>
              <w:right w:val="nil"/>
            </w:tcBorders>
            <w:tcMar>
              <w:top w:w="30" w:type="dxa"/>
              <w:left w:w="120" w:type="dxa"/>
              <w:bottom w:w="30" w:type="dxa"/>
              <w:right w:w="0" w:type="dxa"/>
            </w:tcMar>
            <w:vAlign w:val="center"/>
          </w:tcPr>
          <w:p w14:paraId="52AC4539" w14:textId="77777777" w:rsidR="003A3994" w:rsidRPr="00BB49B8" w:rsidRDefault="007E4542" w:rsidP="00331804">
            <w:pPr>
              <w:spacing w:line="360" w:lineRule="auto"/>
              <w:jc w:val="right"/>
              <w:rPr>
                <w:color w:val="000000"/>
              </w:rPr>
            </w:pPr>
            <w:r w:rsidRPr="00BB49B8">
              <w:rPr>
                <w:color w:val="000000"/>
              </w:rPr>
              <w:t>7.22</w:t>
            </w:r>
          </w:p>
        </w:tc>
        <w:tc>
          <w:tcPr>
            <w:tcW w:w="186" w:type="dxa"/>
            <w:tcBorders>
              <w:top w:val="nil"/>
              <w:left w:val="nil"/>
              <w:bottom w:val="nil"/>
              <w:right w:val="nil"/>
            </w:tcBorders>
            <w:tcMar>
              <w:top w:w="30" w:type="dxa"/>
              <w:left w:w="30" w:type="dxa"/>
              <w:bottom w:w="30" w:type="dxa"/>
              <w:right w:w="120" w:type="dxa"/>
            </w:tcMar>
            <w:vAlign w:val="center"/>
          </w:tcPr>
          <w:p w14:paraId="35E88296" w14:textId="77777777" w:rsidR="003A3994" w:rsidRPr="00BB49B8" w:rsidRDefault="003A3994" w:rsidP="00331804">
            <w:pPr>
              <w:spacing w:line="360" w:lineRule="auto"/>
              <w:jc w:val="right"/>
              <w:rPr>
                <w:color w:val="000000"/>
              </w:rPr>
            </w:pPr>
          </w:p>
        </w:tc>
        <w:tc>
          <w:tcPr>
            <w:tcW w:w="754" w:type="dxa"/>
            <w:tcBorders>
              <w:top w:val="nil"/>
              <w:left w:val="nil"/>
              <w:bottom w:val="nil"/>
              <w:right w:val="nil"/>
            </w:tcBorders>
            <w:tcMar>
              <w:top w:w="30" w:type="dxa"/>
              <w:left w:w="120" w:type="dxa"/>
              <w:bottom w:w="30" w:type="dxa"/>
              <w:right w:w="0" w:type="dxa"/>
            </w:tcMar>
            <w:vAlign w:val="center"/>
          </w:tcPr>
          <w:p w14:paraId="33E67708" w14:textId="77777777" w:rsidR="003A3994" w:rsidRPr="00BB49B8" w:rsidRDefault="007E4542" w:rsidP="00331804">
            <w:pPr>
              <w:spacing w:line="360" w:lineRule="auto"/>
              <w:jc w:val="right"/>
              <w:rPr>
                <w:color w:val="000000"/>
              </w:rPr>
            </w:pPr>
            <w:r w:rsidRPr="00BB49B8">
              <w:rPr>
                <w:color w:val="000000"/>
              </w:rPr>
              <w:t>&lt; .001</w:t>
            </w:r>
          </w:p>
        </w:tc>
        <w:tc>
          <w:tcPr>
            <w:tcW w:w="186" w:type="dxa"/>
            <w:tcBorders>
              <w:top w:val="nil"/>
              <w:left w:val="nil"/>
              <w:bottom w:val="nil"/>
              <w:right w:val="nil"/>
            </w:tcBorders>
            <w:tcMar>
              <w:top w:w="30" w:type="dxa"/>
              <w:left w:w="30" w:type="dxa"/>
              <w:bottom w:w="30" w:type="dxa"/>
              <w:right w:w="120" w:type="dxa"/>
            </w:tcMar>
            <w:vAlign w:val="center"/>
          </w:tcPr>
          <w:p w14:paraId="2B712CC6" w14:textId="77777777" w:rsidR="003A3994" w:rsidRPr="00BB49B8" w:rsidRDefault="003A3994" w:rsidP="00331804">
            <w:pPr>
              <w:spacing w:line="360" w:lineRule="auto"/>
              <w:jc w:val="right"/>
              <w:rPr>
                <w:rFonts w:eastAsia="Quattrocento Sans"/>
                <w:color w:val="000000"/>
              </w:rPr>
            </w:pPr>
          </w:p>
        </w:tc>
        <w:tc>
          <w:tcPr>
            <w:tcW w:w="690" w:type="dxa"/>
            <w:tcBorders>
              <w:top w:val="nil"/>
              <w:left w:val="nil"/>
              <w:bottom w:val="nil"/>
              <w:right w:val="nil"/>
            </w:tcBorders>
            <w:tcMar>
              <w:top w:w="30" w:type="dxa"/>
              <w:left w:w="120" w:type="dxa"/>
              <w:bottom w:w="30" w:type="dxa"/>
              <w:right w:w="0" w:type="dxa"/>
            </w:tcMar>
            <w:vAlign w:val="center"/>
          </w:tcPr>
          <w:p w14:paraId="2FCF6A9E" w14:textId="77777777" w:rsidR="003A3994" w:rsidRPr="00BB49B8" w:rsidRDefault="007E4542" w:rsidP="00331804">
            <w:pPr>
              <w:tabs>
                <w:tab w:val="left" w:pos="0"/>
              </w:tabs>
              <w:spacing w:line="360" w:lineRule="auto"/>
              <w:jc w:val="right"/>
              <w:rPr>
                <w:color w:val="000000"/>
              </w:rPr>
            </w:pPr>
            <w:r w:rsidRPr="00BB49B8">
              <w:rPr>
                <w:color w:val="000000"/>
              </w:rPr>
              <w:t>0.349</w:t>
            </w:r>
          </w:p>
        </w:tc>
        <w:tc>
          <w:tcPr>
            <w:tcW w:w="186" w:type="dxa"/>
            <w:tcBorders>
              <w:top w:val="nil"/>
              <w:left w:val="nil"/>
              <w:bottom w:val="nil"/>
              <w:right w:val="nil"/>
            </w:tcBorders>
            <w:tcMar>
              <w:top w:w="30" w:type="dxa"/>
              <w:left w:w="30" w:type="dxa"/>
              <w:bottom w:w="30" w:type="dxa"/>
              <w:right w:w="120" w:type="dxa"/>
            </w:tcMar>
            <w:vAlign w:val="center"/>
          </w:tcPr>
          <w:p w14:paraId="4339FC33" w14:textId="77777777" w:rsidR="003A3994" w:rsidRPr="00BB49B8" w:rsidRDefault="003A3994" w:rsidP="00331804">
            <w:pPr>
              <w:tabs>
                <w:tab w:val="left" w:pos="0"/>
              </w:tabs>
              <w:spacing w:line="360" w:lineRule="auto"/>
              <w:jc w:val="right"/>
              <w:rPr>
                <w:color w:val="000000"/>
              </w:rPr>
            </w:pPr>
          </w:p>
        </w:tc>
        <w:tc>
          <w:tcPr>
            <w:tcW w:w="858" w:type="dxa"/>
            <w:tcBorders>
              <w:top w:val="nil"/>
              <w:left w:val="nil"/>
              <w:bottom w:val="nil"/>
              <w:right w:val="nil"/>
            </w:tcBorders>
            <w:tcMar>
              <w:top w:w="30" w:type="dxa"/>
              <w:left w:w="120" w:type="dxa"/>
              <w:bottom w:w="30" w:type="dxa"/>
              <w:right w:w="0" w:type="dxa"/>
            </w:tcMar>
            <w:vAlign w:val="center"/>
          </w:tcPr>
          <w:p w14:paraId="228D1156" w14:textId="77777777" w:rsidR="003A3994" w:rsidRPr="00BB49B8" w:rsidRDefault="007E4542" w:rsidP="00331804">
            <w:pPr>
              <w:spacing w:line="360" w:lineRule="auto"/>
              <w:jc w:val="right"/>
              <w:rPr>
                <w:color w:val="000000"/>
              </w:rPr>
            </w:pPr>
            <w:r w:rsidRPr="00BB49B8">
              <w:rPr>
                <w:color w:val="000000"/>
              </w:rPr>
              <w:t>0.254</w:t>
            </w:r>
          </w:p>
        </w:tc>
        <w:tc>
          <w:tcPr>
            <w:tcW w:w="226" w:type="dxa"/>
            <w:tcBorders>
              <w:top w:val="nil"/>
              <w:left w:val="nil"/>
              <w:bottom w:val="nil"/>
              <w:right w:val="nil"/>
            </w:tcBorders>
            <w:tcMar>
              <w:top w:w="30" w:type="dxa"/>
              <w:left w:w="30" w:type="dxa"/>
              <w:bottom w:w="30" w:type="dxa"/>
              <w:right w:w="120" w:type="dxa"/>
            </w:tcMar>
            <w:vAlign w:val="center"/>
          </w:tcPr>
          <w:p w14:paraId="18DEDDCC" w14:textId="77777777" w:rsidR="003A3994" w:rsidRPr="00BB49B8" w:rsidRDefault="003A3994" w:rsidP="00331804">
            <w:pPr>
              <w:spacing w:line="360" w:lineRule="auto"/>
              <w:jc w:val="right"/>
              <w:rPr>
                <w:color w:val="000000"/>
              </w:rPr>
            </w:pPr>
          </w:p>
        </w:tc>
        <w:tc>
          <w:tcPr>
            <w:tcW w:w="934" w:type="dxa"/>
            <w:tcBorders>
              <w:top w:val="nil"/>
              <w:left w:val="nil"/>
              <w:bottom w:val="nil"/>
              <w:right w:val="nil"/>
            </w:tcBorders>
            <w:tcMar>
              <w:top w:w="30" w:type="dxa"/>
              <w:left w:w="120" w:type="dxa"/>
              <w:bottom w:w="30" w:type="dxa"/>
              <w:right w:w="0" w:type="dxa"/>
            </w:tcMar>
            <w:vAlign w:val="center"/>
          </w:tcPr>
          <w:p w14:paraId="38EF8E83" w14:textId="77777777" w:rsidR="003A3994" w:rsidRPr="00BB49B8" w:rsidRDefault="007E4542" w:rsidP="00331804">
            <w:pPr>
              <w:spacing w:line="360" w:lineRule="auto"/>
              <w:jc w:val="right"/>
              <w:rPr>
                <w:color w:val="000000"/>
              </w:rPr>
            </w:pPr>
            <w:r w:rsidRPr="00BB49B8">
              <w:rPr>
                <w:color w:val="000000"/>
              </w:rPr>
              <w:t>0.444</w:t>
            </w:r>
          </w:p>
        </w:tc>
        <w:tc>
          <w:tcPr>
            <w:tcW w:w="258" w:type="dxa"/>
            <w:tcBorders>
              <w:top w:val="nil"/>
              <w:left w:val="nil"/>
              <w:bottom w:val="nil"/>
              <w:right w:val="nil"/>
            </w:tcBorders>
            <w:tcMar>
              <w:top w:w="30" w:type="dxa"/>
              <w:left w:w="30" w:type="dxa"/>
              <w:bottom w:w="30" w:type="dxa"/>
              <w:right w:w="120" w:type="dxa"/>
            </w:tcMar>
            <w:vAlign w:val="center"/>
          </w:tcPr>
          <w:p w14:paraId="593B024B" w14:textId="77777777" w:rsidR="003A3994" w:rsidRPr="00BB49B8" w:rsidRDefault="003A3994" w:rsidP="00331804">
            <w:pPr>
              <w:spacing w:line="360" w:lineRule="auto"/>
              <w:jc w:val="right"/>
              <w:rPr>
                <w:rFonts w:eastAsia="Quattrocento Sans"/>
                <w:color w:val="000000"/>
              </w:rPr>
            </w:pPr>
          </w:p>
        </w:tc>
      </w:tr>
      <w:tr w:rsidR="003A3994" w:rsidRPr="00BB49B8" w14:paraId="0F7AFA71" w14:textId="77777777">
        <w:trPr>
          <w:cantSplit/>
        </w:trPr>
        <w:tc>
          <w:tcPr>
            <w:tcW w:w="2019" w:type="dxa"/>
            <w:tcBorders>
              <w:top w:val="nil"/>
              <w:left w:val="nil"/>
              <w:bottom w:val="single" w:sz="12" w:space="0" w:color="333333"/>
              <w:right w:val="nil"/>
            </w:tcBorders>
            <w:tcMar>
              <w:top w:w="30" w:type="dxa"/>
              <w:left w:w="120" w:type="dxa"/>
              <w:bottom w:w="120" w:type="dxa"/>
              <w:right w:w="0" w:type="dxa"/>
            </w:tcMar>
            <w:vAlign w:val="center"/>
          </w:tcPr>
          <w:p w14:paraId="2495E454" w14:textId="77777777" w:rsidR="003A3994" w:rsidRPr="00BB49B8" w:rsidRDefault="007E4542" w:rsidP="00331804">
            <w:pPr>
              <w:spacing w:line="360" w:lineRule="auto"/>
              <w:rPr>
                <w:color w:val="000000"/>
              </w:rPr>
            </w:pPr>
            <w:r w:rsidRPr="00BB49B8">
              <w:rPr>
                <w:color w:val="000000"/>
              </w:rPr>
              <w:t>ER_PTOTAL</w:t>
            </w:r>
          </w:p>
        </w:tc>
        <w:tc>
          <w:tcPr>
            <w:tcW w:w="186" w:type="dxa"/>
            <w:tcBorders>
              <w:top w:val="nil"/>
              <w:left w:val="nil"/>
              <w:bottom w:val="single" w:sz="12" w:space="0" w:color="333333"/>
              <w:right w:val="nil"/>
            </w:tcBorders>
            <w:tcMar>
              <w:top w:w="30" w:type="dxa"/>
              <w:left w:w="30" w:type="dxa"/>
              <w:bottom w:w="120" w:type="dxa"/>
              <w:right w:w="120" w:type="dxa"/>
            </w:tcMar>
            <w:vAlign w:val="center"/>
          </w:tcPr>
          <w:p w14:paraId="256539CB" w14:textId="77777777" w:rsidR="003A3994" w:rsidRPr="00BB49B8" w:rsidRDefault="003A3994" w:rsidP="00331804">
            <w:pPr>
              <w:spacing w:line="360" w:lineRule="auto"/>
              <w:rPr>
                <w:color w:val="000000"/>
              </w:rPr>
            </w:pPr>
          </w:p>
        </w:tc>
        <w:tc>
          <w:tcPr>
            <w:tcW w:w="1130" w:type="dxa"/>
            <w:tcBorders>
              <w:top w:val="nil"/>
              <w:left w:val="nil"/>
              <w:bottom w:val="single" w:sz="12" w:space="0" w:color="333333"/>
              <w:right w:val="nil"/>
            </w:tcBorders>
            <w:tcMar>
              <w:top w:w="30" w:type="dxa"/>
              <w:left w:w="120" w:type="dxa"/>
              <w:bottom w:w="120" w:type="dxa"/>
              <w:right w:w="0" w:type="dxa"/>
            </w:tcMar>
            <w:vAlign w:val="center"/>
          </w:tcPr>
          <w:p w14:paraId="3766DAF7" w14:textId="77777777" w:rsidR="003A3994" w:rsidRPr="00BB49B8" w:rsidRDefault="007E4542" w:rsidP="00331804">
            <w:pPr>
              <w:spacing w:line="360" w:lineRule="auto"/>
              <w:jc w:val="right"/>
              <w:rPr>
                <w:color w:val="000000"/>
              </w:rPr>
            </w:pPr>
            <w:r w:rsidRPr="00BB49B8">
              <w:rPr>
                <w:color w:val="000000"/>
              </w:rPr>
              <w:t>0.0755</w:t>
            </w:r>
          </w:p>
        </w:tc>
        <w:tc>
          <w:tcPr>
            <w:tcW w:w="220" w:type="dxa"/>
            <w:tcBorders>
              <w:top w:val="nil"/>
              <w:left w:val="nil"/>
              <w:bottom w:val="single" w:sz="12" w:space="0" w:color="333333"/>
              <w:right w:val="nil"/>
            </w:tcBorders>
            <w:tcMar>
              <w:top w:w="30" w:type="dxa"/>
              <w:left w:w="30" w:type="dxa"/>
              <w:bottom w:w="120" w:type="dxa"/>
              <w:right w:w="120" w:type="dxa"/>
            </w:tcMar>
            <w:vAlign w:val="center"/>
          </w:tcPr>
          <w:p w14:paraId="7FEB14BC" w14:textId="77777777" w:rsidR="003A3994" w:rsidRPr="00BB49B8" w:rsidRDefault="003A3994" w:rsidP="00331804">
            <w:pPr>
              <w:spacing w:line="360" w:lineRule="auto"/>
              <w:jc w:val="right"/>
              <w:rPr>
                <w:color w:val="000000"/>
              </w:rPr>
            </w:pPr>
          </w:p>
        </w:tc>
        <w:tc>
          <w:tcPr>
            <w:tcW w:w="810" w:type="dxa"/>
            <w:tcBorders>
              <w:top w:val="nil"/>
              <w:left w:val="nil"/>
              <w:bottom w:val="single" w:sz="12" w:space="0" w:color="333333"/>
              <w:right w:val="nil"/>
            </w:tcBorders>
            <w:tcMar>
              <w:top w:w="30" w:type="dxa"/>
              <w:left w:w="120" w:type="dxa"/>
              <w:bottom w:w="120" w:type="dxa"/>
              <w:right w:w="0" w:type="dxa"/>
            </w:tcMar>
            <w:vAlign w:val="center"/>
          </w:tcPr>
          <w:p w14:paraId="78877CC9" w14:textId="77777777" w:rsidR="003A3994" w:rsidRPr="00BB49B8" w:rsidRDefault="007E4542" w:rsidP="00331804">
            <w:pPr>
              <w:spacing w:line="360" w:lineRule="auto"/>
              <w:jc w:val="right"/>
              <w:rPr>
                <w:color w:val="000000"/>
              </w:rPr>
            </w:pPr>
            <w:r w:rsidRPr="00BB49B8">
              <w:rPr>
                <w:color w:val="000000"/>
              </w:rPr>
              <w:t>0.0126</w:t>
            </w:r>
          </w:p>
        </w:tc>
        <w:tc>
          <w:tcPr>
            <w:tcW w:w="186" w:type="dxa"/>
            <w:tcBorders>
              <w:top w:val="nil"/>
              <w:left w:val="nil"/>
              <w:bottom w:val="single" w:sz="12" w:space="0" w:color="333333"/>
              <w:right w:val="nil"/>
            </w:tcBorders>
            <w:tcMar>
              <w:top w:w="30" w:type="dxa"/>
              <w:left w:w="30" w:type="dxa"/>
              <w:bottom w:w="120" w:type="dxa"/>
              <w:right w:w="120" w:type="dxa"/>
            </w:tcMar>
            <w:vAlign w:val="center"/>
          </w:tcPr>
          <w:p w14:paraId="00CB1B0B" w14:textId="77777777" w:rsidR="003A3994" w:rsidRPr="00BB49B8" w:rsidRDefault="003A3994" w:rsidP="00331804">
            <w:pPr>
              <w:spacing w:line="360" w:lineRule="auto"/>
              <w:jc w:val="right"/>
              <w:rPr>
                <w:color w:val="000000"/>
              </w:rPr>
            </w:pPr>
          </w:p>
        </w:tc>
        <w:tc>
          <w:tcPr>
            <w:tcW w:w="690" w:type="dxa"/>
            <w:tcBorders>
              <w:top w:val="nil"/>
              <w:left w:val="nil"/>
              <w:bottom w:val="single" w:sz="12" w:space="0" w:color="333333"/>
              <w:right w:val="nil"/>
            </w:tcBorders>
            <w:tcMar>
              <w:top w:w="30" w:type="dxa"/>
              <w:left w:w="120" w:type="dxa"/>
              <w:bottom w:w="120" w:type="dxa"/>
              <w:right w:w="0" w:type="dxa"/>
            </w:tcMar>
            <w:vAlign w:val="center"/>
          </w:tcPr>
          <w:p w14:paraId="0AD91764" w14:textId="77777777" w:rsidR="003A3994" w:rsidRPr="00BB49B8" w:rsidRDefault="007E4542" w:rsidP="00331804">
            <w:pPr>
              <w:spacing w:line="360" w:lineRule="auto"/>
              <w:jc w:val="right"/>
              <w:rPr>
                <w:color w:val="000000"/>
              </w:rPr>
            </w:pPr>
            <w:r w:rsidRPr="00BB49B8">
              <w:rPr>
                <w:color w:val="000000"/>
              </w:rPr>
              <w:t>6.02</w:t>
            </w:r>
          </w:p>
        </w:tc>
        <w:tc>
          <w:tcPr>
            <w:tcW w:w="186" w:type="dxa"/>
            <w:tcBorders>
              <w:top w:val="nil"/>
              <w:left w:val="nil"/>
              <w:bottom w:val="single" w:sz="12" w:space="0" w:color="333333"/>
              <w:right w:val="nil"/>
            </w:tcBorders>
            <w:tcMar>
              <w:top w:w="30" w:type="dxa"/>
              <w:left w:w="30" w:type="dxa"/>
              <w:bottom w:w="120" w:type="dxa"/>
              <w:right w:w="120" w:type="dxa"/>
            </w:tcMar>
            <w:vAlign w:val="center"/>
          </w:tcPr>
          <w:p w14:paraId="4563191E" w14:textId="77777777" w:rsidR="003A3994" w:rsidRPr="00BB49B8" w:rsidRDefault="003A3994" w:rsidP="00331804">
            <w:pPr>
              <w:spacing w:line="360" w:lineRule="auto"/>
              <w:jc w:val="right"/>
              <w:rPr>
                <w:color w:val="000000"/>
              </w:rPr>
            </w:pPr>
          </w:p>
        </w:tc>
        <w:tc>
          <w:tcPr>
            <w:tcW w:w="754" w:type="dxa"/>
            <w:tcBorders>
              <w:top w:val="nil"/>
              <w:left w:val="nil"/>
              <w:bottom w:val="single" w:sz="12" w:space="0" w:color="333333"/>
              <w:right w:val="nil"/>
            </w:tcBorders>
            <w:tcMar>
              <w:top w:w="30" w:type="dxa"/>
              <w:left w:w="120" w:type="dxa"/>
              <w:bottom w:w="120" w:type="dxa"/>
              <w:right w:w="0" w:type="dxa"/>
            </w:tcMar>
            <w:vAlign w:val="center"/>
          </w:tcPr>
          <w:p w14:paraId="05C76550" w14:textId="77777777" w:rsidR="003A3994" w:rsidRPr="00BB49B8" w:rsidRDefault="007E4542" w:rsidP="00331804">
            <w:pPr>
              <w:spacing w:line="360" w:lineRule="auto"/>
              <w:jc w:val="right"/>
              <w:rPr>
                <w:color w:val="000000"/>
              </w:rPr>
            </w:pPr>
            <w:r w:rsidRPr="00BB49B8">
              <w:rPr>
                <w:color w:val="000000"/>
              </w:rPr>
              <w:t>&lt; .001</w:t>
            </w:r>
          </w:p>
        </w:tc>
        <w:tc>
          <w:tcPr>
            <w:tcW w:w="186" w:type="dxa"/>
            <w:tcBorders>
              <w:top w:val="nil"/>
              <w:left w:val="nil"/>
              <w:bottom w:val="single" w:sz="12" w:space="0" w:color="333333"/>
              <w:right w:val="nil"/>
            </w:tcBorders>
            <w:tcMar>
              <w:top w:w="30" w:type="dxa"/>
              <w:left w:w="30" w:type="dxa"/>
              <w:bottom w:w="120" w:type="dxa"/>
              <w:right w:w="120" w:type="dxa"/>
            </w:tcMar>
            <w:vAlign w:val="center"/>
          </w:tcPr>
          <w:p w14:paraId="4D865BEB" w14:textId="77777777" w:rsidR="003A3994" w:rsidRPr="00BB49B8" w:rsidRDefault="003A3994" w:rsidP="00331804">
            <w:pPr>
              <w:spacing w:line="360" w:lineRule="auto"/>
              <w:jc w:val="right"/>
              <w:rPr>
                <w:rFonts w:eastAsia="Quattrocento Sans"/>
                <w:color w:val="000000"/>
              </w:rPr>
            </w:pPr>
          </w:p>
        </w:tc>
        <w:tc>
          <w:tcPr>
            <w:tcW w:w="690" w:type="dxa"/>
            <w:tcBorders>
              <w:top w:val="nil"/>
              <w:left w:val="nil"/>
              <w:bottom w:val="single" w:sz="12" w:space="0" w:color="333333"/>
              <w:right w:val="nil"/>
            </w:tcBorders>
            <w:tcMar>
              <w:top w:w="30" w:type="dxa"/>
              <w:left w:w="120" w:type="dxa"/>
              <w:bottom w:w="120" w:type="dxa"/>
              <w:right w:w="0" w:type="dxa"/>
            </w:tcMar>
            <w:vAlign w:val="center"/>
          </w:tcPr>
          <w:p w14:paraId="36812681" w14:textId="77777777" w:rsidR="003A3994" w:rsidRPr="00BB49B8" w:rsidRDefault="007E4542" w:rsidP="00331804">
            <w:pPr>
              <w:tabs>
                <w:tab w:val="left" w:pos="0"/>
              </w:tabs>
              <w:spacing w:line="360" w:lineRule="auto"/>
              <w:jc w:val="right"/>
              <w:rPr>
                <w:color w:val="000000"/>
              </w:rPr>
            </w:pPr>
            <w:r w:rsidRPr="00BB49B8">
              <w:rPr>
                <w:color w:val="000000"/>
              </w:rPr>
              <w:t>0.291</w:t>
            </w:r>
          </w:p>
        </w:tc>
        <w:tc>
          <w:tcPr>
            <w:tcW w:w="186" w:type="dxa"/>
            <w:tcBorders>
              <w:top w:val="nil"/>
              <w:left w:val="nil"/>
              <w:bottom w:val="single" w:sz="12" w:space="0" w:color="333333"/>
              <w:right w:val="nil"/>
            </w:tcBorders>
            <w:tcMar>
              <w:top w:w="30" w:type="dxa"/>
              <w:left w:w="30" w:type="dxa"/>
              <w:bottom w:w="120" w:type="dxa"/>
              <w:right w:w="120" w:type="dxa"/>
            </w:tcMar>
            <w:vAlign w:val="center"/>
          </w:tcPr>
          <w:p w14:paraId="13AEFE6E" w14:textId="77777777" w:rsidR="003A3994" w:rsidRPr="00BB49B8" w:rsidRDefault="003A3994" w:rsidP="00331804">
            <w:pPr>
              <w:tabs>
                <w:tab w:val="left" w:pos="0"/>
              </w:tabs>
              <w:spacing w:line="360" w:lineRule="auto"/>
              <w:jc w:val="right"/>
              <w:rPr>
                <w:color w:val="000000"/>
              </w:rPr>
            </w:pPr>
          </w:p>
        </w:tc>
        <w:tc>
          <w:tcPr>
            <w:tcW w:w="858" w:type="dxa"/>
            <w:tcBorders>
              <w:top w:val="nil"/>
              <w:left w:val="nil"/>
              <w:bottom w:val="single" w:sz="12" w:space="0" w:color="333333"/>
              <w:right w:val="nil"/>
            </w:tcBorders>
            <w:tcMar>
              <w:top w:w="30" w:type="dxa"/>
              <w:left w:w="120" w:type="dxa"/>
              <w:bottom w:w="120" w:type="dxa"/>
              <w:right w:w="0" w:type="dxa"/>
            </w:tcMar>
            <w:vAlign w:val="center"/>
          </w:tcPr>
          <w:p w14:paraId="3B637417" w14:textId="77777777" w:rsidR="003A3994" w:rsidRPr="00BB49B8" w:rsidRDefault="007E4542" w:rsidP="00331804">
            <w:pPr>
              <w:spacing w:line="360" w:lineRule="auto"/>
              <w:jc w:val="right"/>
              <w:rPr>
                <w:color w:val="000000"/>
              </w:rPr>
            </w:pPr>
            <w:r w:rsidRPr="00BB49B8">
              <w:rPr>
                <w:color w:val="000000"/>
              </w:rPr>
              <w:t>0.196</w:t>
            </w:r>
          </w:p>
        </w:tc>
        <w:tc>
          <w:tcPr>
            <w:tcW w:w="226" w:type="dxa"/>
            <w:tcBorders>
              <w:top w:val="nil"/>
              <w:left w:val="nil"/>
              <w:bottom w:val="single" w:sz="12" w:space="0" w:color="333333"/>
              <w:right w:val="nil"/>
            </w:tcBorders>
            <w:tcMar>
              <w:top w:w="30" w:type="dxa"/>
              <w:left w:w="30" w:type="dxa"/>
              <w:bottom w:w="120" w:type="dxa"/>
              <w:right w:w="120" w:type="dxa"/>
            </w:tcMar>
            <w:vAlign w:val="center"/>
          </w:tcPr>
          <w:p w14:paraId="71695DAF" w14:textId="77777777" w:rsidR="003A3994" w:rsidRPr="00BB49B8" w:rsidRDefault="003A3994" w:rsidP="00331804">
            <w:pPr>
              <w:spacing w:line="360" w:lineRule="auto"/>
              <w:jc w:val="right"/>
              <w:rPr>
                <w:color w:val="000000"/>
              </w:rPr>
            </w:pPr>
          </w:p>
        </w:tc>
        <w:tc>
          <w:tcPr>
            <w:tcW w:w="934" w:type="dxa"/>
            <w:tcBorders>
              <w:top w:val="nil"/>
              <w:left w:val="nil"/>
              <w:bottom w:val="single" w:sz="12" w:space="0" w:color="333333"/>
              <w:right w:val="nil"/>
            </w:tcBorders>
            <w:tcMar>
              <w:top w:w="30" w:type="dxa"/>
              <w:left w:w="120" w:type="dxa"/>
              <w:bottom w:w="120" w:type="dxa"/>
              <w:right w:w="0" w:type="dxa"/>
            </w:tcMar>
            <w:vAlign w:val="center"/>
          </w:tcPr>
          <w:p w14:paraId="723BFFC7" w14:textId="77777777" w:rsidR="003A3994" w:rsidRPr="00BB49B8" w:rsidRDefault="007E4542" w:rsidP="00331804">
            <w:pPr>
              <w:spacing w:line="360" w:lineRule="auto"/>
              <w:jc w:val="right"/>
              <w:rPr>
                <w:color w:val="000000"/>
              </w:rPr>
            </w:pPr>
            <w:r w:rsidRPr="00BB49B8">
              <w:rPr>
                <w:color w:val="000000"/>
              </w:rPr>
              <w:t>0.385</w:t>
            </w:r>
          </w:p>
        </w:tc>
        <w:tc>
          <w:tcPr>
            <w:tcW w:w="258" w:type="dxa"/>
            <w:tcBorders>
              <w:top w:val="nil"/>
              <w:left w:val="nil"/>
              <w:bottom w:val="single" w:sz="12" w:space="0" w:color="333333"/>
              <w:right w:val="nil"/>
            </w:tcBorders>
            <w:tcMar>
              <w:top w:w="30" w:type="dxa"/>
              <w:left w:w="30" w:type="dxa"/>
              <w:bottom w:w="120" w:type="dxa"/>
              <w:right w:w="120" w:type="dxa"/>
            </w:tcMar>
            <w:vAlign w:val="center"/>
          </w:tcPr>
          <w:p w14:paraId="02D06338" w14:textId="77777777" w:rsidR="003A3994" w:rsidRPr="00BB49B8" w:rsidRDefault="003A3994" w:rsidP="00331804">
            <w:pPr>
              <w:spacing w:line="360" w:lineRule="auto"/>
              <w:jc w:val="right"/>
              <w:rPr>
                <w:rFonts w:eastAsia="Quattrocento Sans"/>
                <w:color w:val="000000"/>
              </w:rPr>
            </w:pPr>
          </w:p>
        </w:tc>
      </w:tr>
    </w:tbl>
    <w:p w14:paraId="7BE68323" w14:textId="77777777" w:rsidR="003A3994" w:rsidRPr="00BB49B8" w:rsidRDefault="007E4542" w:rsidP="00331804">
      <w:pPr>
        <w:spacing w:line="360" w:lineRule="auto"/>
        <w:jc w:val="both"/>
        <w:rPr>
          <w:color w:val="000000"/>
        </w:rPr>
      </w:pPr>
      <w:r w:rsidRPr="00BB49B8">
        <w:rPr>
          <w:i/>
          <w:color w:val="000000"/>
        </w:rPr>
        <w:t>Nota</w:t>
      </w:r>
      <w:r w:rsidRPr="00BB49B8">
        <w:rPr>
          <w:color w:val="000000"/>
        </w:rPr>
        <w:t>. EE = Error estándar; β = coeficiente beta estandarizado; IC = Intervalo de Confianza</w:t>
      </w:r>
    </w:p>
    <w:p w14:paraId="3ACFA1BE" w14:textId="77777777" w:rsidR="00B87D19" w:rsidRPr="00BB49B8" w:rsidRDefault="00B87D19" w:rsidP="00331804">
      <w:pPr>
        <w:spacing w:line="360" w:lineRule="auto"/>
        <w:jc w:val="both"/>
        <w:rPr>
          <w:b/>
        </w:rPr>
      </w:pPr>
    </w:p>
    <w:p w14:paraId="6D8E0E35" w14:textId="3D95E71A" w:rsidR="003A3994" w:rsidRPr="00BB49B8" w:rsidRDefault="007E4542" w:rsidP="00331804">
      <w:pPr>
        <w:spacing w:line="360" w:lineRule="auto"/>
        <w:jc w:val="both"/>
        <w:rPr>
          <w:color w:val="000000"/>
        </w:rPr>
      </w:pPr>
      <w:r w:rsidRPr="00BB49B8">
        <w:rPr>
          <w:b/>
          <w:color w:val="000000"/>
        </w:rPr>
        <w:t>Discusión</w:t>
      </w:r>
    </w:p>
    <w:p w14:paraId="7DC3FD1D" w14:textId="31B4FDA8" w:rsidR="003A3994" w:rsidRPr="00BB49B8" w:rsidRDefault="007E4542" w:rsidP="00331804">
      <w:pPr>
        <w:spacing w:line="360" w:lineRule="auto"/>
        <w:ind w:firstLine="720"/>
        <w:jc w:val="both"/>
        <w:rPr>
          <w:color w:val="000000"/>
        </w:rPr>
      </w:pPr>
      <w:r w:rsidRPr="00BB49B8">
        <w:rPr>
          <w:color w:val="000000"/>
        </w:rPr>
        <w:t>El objetivo de la presente investigación fue determinar si la resiliencia y el mindfulness predicen el bienestar psicológico en la población migrante que reside en la ciudad de Lima. Este</w:t>
      </w:r>
      <w:r w:rsidR="00B87D19" w:rsidRPr="00BB49B8">
        <w:rPr>
          <w:color w:val="000000"/>
        </w:rPr>
        <w:t xml:space="preserve"> </w:t>
      </w:r>
      <w:r w:rsidRPr="00BB49B8">
        <w:rPr>
          <w:color w:val="000000"/>
        </w:rPr>
        <w:t xml:space="preserve">estudio encontró que ambas variables son predictoras del bienestar psicológico en un nivel positivo y significativo. </w:t>
      </w:r>
    </w:p>
    <w:p w14:paraId="62D23719" w14:textId="1D610F61" w:rsidR="003A3994" w:rsidRPr="00BB49B8" w:rsidRDefault="007E4542" w:rsidP="00331804">
      <w:pPr>
        <w:spacing w:line="360" w:lineRule="auto"/>
        <w:ind w:firstLine="720"/>
        <w:jc w:val="both"/>
        <w:rPr>
          <w:color w:val="000000"/>
        </w:rPr>
      </w:pPr>
      <w:r w:rsidRPr="00BB49B8">
        <w:rPr>
          <w:color w:val="000000"/>
        </w:rPr>
        <w:t xml:space="preserve">Los resultados encontrados dan cuenta de que la muestra estudiada revela una disposición positiva hacia al mindfulness, presentando habilidades y actitudes que les permiten mantenerse centrados en el momento presente, lo que podría favorecer su capacidad para observar los diferentes factores o situaciones difíciles derivadas del contexto migratorio como la falta de oportunidades a nivel laboral, dificultad al acceso de los servicios como la salud, la educación, la protección legal y social (IOM, 2022; Plataforma de Coordinación para </w:t>
      </w:r>
      <w:r w:rsidRPr="00BB49B8">
        <w:t>R</w:t>
      </w:r>
      <w:r w:rsidRPr="00BB49B8">
        <w:rPr>
          <w:color w:val="000000"/>
        </w:rPr>
        <w:t xml:space="preserve">efugiados y </w:t>
      </w:r>
      <w:r w:rsidRPr="00BB49B8">
        <w:t>M</w:t>
      </w:r>
      <w:r w:rsidRPr="00BB49B8">
        <w:rPr>
          <w:color w:val="000000"/>
        </w:rPr>
        <w:t xml:space="preserve">igrantes de Venezuela </w:t>
      </w:r>
      <w:r w:rsidRPr="00BB49B8">
        <w:t xml:space="preserve">[R4V], </w:t>
      </w:r>
      <w:r w:rsidRPr="00BB49B8">
        <w:rPr>
          <w:color w:val="000000"/>
        </w:rPr>
        <w:t>2020). Todo ello supondría un gran reto pese al cual ellos son capaces de afrontar sin ver afectada significativamente su salud mental (Germer, 2011; Greenberg, 2018</w:t>
      </w:r>
      <w:r w:rsidR="00EE7F3D" w:rsidRPr="00BB49B8">
        <w:rPr>
          <w:color w:val="000000"/>
        </w:rPr>
        <w:t>; Torres et al., 2024</w:t>
      </w:r>
      <w:r w:rsidRPr="00BB49B8">
        <w:rPr>
          <w:color w:val="000000"/>
        </w:rPr>
        <w:t xml:space="preserve">). </w:t>
      </w:r>
    </w:p>
    <w:p w14:paraId="359893C6" w14:textId="281B2E85" w:rsidR="003A3994" w:rsidRPr="00BB49B8" w:rsidRDefault="007E4542" w:rsidP="00331804">
      <w:pPr>
        <w:spacing w:line="360" w:lineRule="auto"/>
        <w:ind w:firstLine="720"/>
        <w:jc w:val="both"/>
        <w:rPr>
          <w:color w:val="000000"/>
        </w:rPr>
      </w:pPr>
      <w:r w:rsidRPr="00BB49B8">
        <w:rPr>
          <w:color w:val="000000"/>
        </w:rPr>
        <w:t>Los migrantes evaluados cuentan con factores protectores importantes como son las redes de apoyo, el acceso a un trabajo, la regularización migratoria; los cuales les permiten mantener altos niveles de resiliencia (Barba, 2012</w:t>
      </w:r>
      <w:r w:rsidR="00386799" w:rsidRPr="00BB49B8">
        <w:rPr>
          <w:color w:val="000000"/>
        </w:rPr>
        <w:t xml:space="preserve">; Berthancourt </w:t>
      </w:r>
      <w:r w:rsidR="00386799" w:rsidRPr="00BB49B8">
        <w:t>&amp;</w:t>
      </w:r>
      <w:r w:rsidR="00642CEB" w:rsidRPr="00BB49B8">
        <w:t xml:space="preserve"> Santos, 2024</w:t>
      </w:r>
      <w:r w:rsidRPr="00BB49B8">
        <w:rPr>
          <w:color w:val="000000"/>
        </w:rPr>
        <w:t xml:space="preserve">). Como se ha venido exponiendo esta muestra está continuamente expuesta a diversos desafíos y adversidades tanto durante su proceso migratorio como al llegar al país de acogida (Achotegui, 2009; Plataforma de Coordinación para </w:t>
      </w:r>
      <w:r w:rsidRPr="00BB49B8">
        <w:t>R</w:t>
      </w:r>
      <w:r w:rsidRPr="00BB49B8">
        <w:rPr>
          <w:color w:val="000000"/>
        </w:rPr>
        <w:t xml:space="preserve">efugiados y </w:t>
      </w:r>
      <w:r w:rsidRPr="00BB49B8">
        <w:t>M</w:t>
      </w:r>
      <w:r w:rsidRPr="00BB49B8">
        <w:rPr>
          <w:color w:val="000000"/>
        </w:rPr>
        <w:t>igrantes de Venezuela</w:t>
      </w:r>
      <w:r w:rsidRPr="00BB49B8">
        <w:t xml:space="preserve"> [R4V],</w:t>
      </w:r>
      <w:r w:rsidRPr="00BB49B8">
        <w:rPr>
          <w:color w:val="000000"/>
        </w:rPr>
        <w:t xml:space="preserve"> 2020). Por lo tanto, para poder </w:t>
      </w:r>
      <w:r w:rsidRPr="00BB49B8">
        <w:rPr>
          <w:color w:val="000000"/>
        </w:rPr>
        <w:lastRenderedPageBreak/>
        <w:t>afrontar todo ello, sin que suponga un demérito a su bienestar, deben contar con niveles de resiliencia suficiente que le permitan transicionar por nuevos roles, pérdidas y cambios constantes en su rutina diaria que les obliga a desarrollar nuevas estrategias de supervivencia (Nuñez, 2022; Rodríguez, 2018). En ese sentido, se ha comprobado que la exposición constante a sucesos estresantes puede convertirse en un factor protector, dado a que a largo plazo los migrantes pueden llegar a desarrollar estrategias adecuadas para lidiar con estos sucesos transformando los problemas en oportunidades de mejora para su bienestar (Santana et al., 2021).</w:t>
      </w:r>
    </w:p>
    <w:p w14:paraId="3969D6AA" w14:textId="77777777" w:rsidR="003A3994" w:rsidRPr="00BB49B8" w:rsidRDefault="007E4542" w:rsidP="00331804">
      <w:pPr>
        <w:spacing w:line="360" w:lineRule="auto"/>
        <w:ind w:firstLine="720"/>
        <w:jc w:val="both"/>
        <w:rPr>
          <w:color w:val="000000"/>
        </w:rPr>
      </w:pPr>
      <w:bookmarkStart w:id="2" w:name="_heading=h.2et92p0" w:colFirst="0" w:colLast="0"/>
      <w:bookmarkEnd w:id="2"/>
      <w:r w:rsidRPr="00BB49B8">
        <w:rPr>
          <w:color w:val="000000"/>
        </w:rPr>
        <w:t>Cabe destacar que, este tipo de migración se caracteriza particularmente por ser migraciones familiares, lo que es evidente en los resultados obtenidos porque la mayoría de la muestra vive con su familia y/o pareja por lo que se presume que las relaciones familiares cumplen un rol protector influyendo de manera positiva en su bienestar (Centro de atención psicosocial [CAPS], 2022; Palomar</w:t>
      </w:r>
      <w:r w:rsidRPr="00BB49B8">
        <w:t>-Lever</w:t>
      </w:r>
      <w:r w:rsidRPr="00BB49B8">
        <w:rPr>
          <w:color w:val="000000"/>
        </w:rPr>
        <w:t xml:space="preserve">, 2017).  Además, esta información fue recolectada en organizaciones que cuentan con diversos programas que favorecen la integración y abarcan áreas como la protección legal o gobernanza migratoria, por ello tienen acceso a una mejor información y protección en aspectos como la regularización, la salud, el empleo, la educación, el apoyo emocional, entre otros servicios que son ofrecidos, los cuales permiten que el grupo estudiado tenga apoyos sociales en la comunidad. Considerando que las redes de apoyo juegan un rol regulador en las capacidades de resiliencia de las personas y que influyen positivamente en el bienestar psicológico (CAPS, 2022; Leiva et al., 2013). </w:t>
      </w:r>
    </w:p>
    <w:p w14:paraId="2C5D1964" w14:textId="77777777" w:rsidR="003A3994" w:rsidRPr="00BB49B8" w:rsidRDefault="007E4542" w:rsidP="00331804">
      <w:pPr>
        <w:spacing w:line="360" w:lineRule="auto"/>
        <w:ind w:firstLine="720"/>
        <w:jc w:val="both"/>
        <w:rPr>
          <w:color w:val="000000"/>
        </w:rPr>
      </w:pPr>
      <w:r w:rsidRPr="00BB49B8">
        <w:rPr>
          <w:color w:val="000000"/>
        </w:rPr>
        <w:t xml:space="preserve">Otro hallazgo importante, y que puede considerarse como un factor protector es la regularización migratoria, ya que, la mayoría de la muestra indica estar regularizada en el Perú, lo que puede generar mayor oportunidad para acceder a derechos y servicios esenciales del Estado. Este resultado obtenido, se relaciona con un informe de estudio sobre la integración de migrantes venezolanos en situación de vulnerabilidad en Perú, donde indican que los migrantes en situación migratoria regular, puntuaron más alto en los indicadores de integración en comparación a los migrantes que se encuentran en situación migratoria irregular (IOM, 2022). Por lo que, podemos suponer que la regularización tiene gran importancia al momento de poder enfrentar las adversidades que se puedan presentar en el país de acogida, aunado a esto, cuando el Estado otorga una calidad migratoria incentiva a la regularización migratoria, y este hecho puede llegar a influir positivamente en su sentido de pertenencia en el país de acogida, favoreciendo los aspectos </w:t>
      </w:r>
      <w:r w:rsidRPr="00BB49B8">
        <w:rPr>
          <w:color w:val="000000"/>
        </w:rPr>
        <w:lastRenderedPageBreak/>
        <w:t xml:space="preserve">psicosociales y generando mayores oportunidades de participación en la comunidad (Rodríguez, 2022). </w:t>
      </w:r>
    </w:p>
    <w:p w14:paraId="0AA3DECF" w14:textId="36652AF7" w:rsidR="003A3994" w:rsidRPr="00BB49B8" w:rsidRDefault="007E4542" w:rsidP="00331804">
      <w:pPr>
        <w:spacing w:line="360" w:lineRule="auto"/>
        <w:ind w:firstLine="720"/>
        <w:jc w:val="both"/>
        <w:rPr>
          <w:b/>
          <w:color w:val="000000"/>
        </w:rPr>
      </w:pPr>
      <w:r w:rsidRPr="00BB49B8">
        <w:rPr>
          <w:color w:val="000000"/>
        </w:rPr>
        <w:t xml:space="preserve">De igual forma, cabe considerar que, la mayoría se encuentra laborando. Si bien, no todos ejercen su profesión, un número importante indican que cuentan con educación superior, pero registran laborar de forma independiente o en emprendimientos. Esta situación podría resultar como un evento de carácter estresante que generaría malestar emocional, dado a que se aúna a la transición de roles que están viviendo y que en muchos casos ha supuesto la pérdida del estatus laboral que tenían en su país de origen, teniendo que llegar a asumir roles diferentes en el interior de la comunidad de acogida (Achotegui, 2009; Mosquera </w:t>
      </w:r>
      <w:r w:rsidRPr="00BB49B8">
        <w:t>&amp; Gálvez</w:t>
      </w:r>
      <w:r w:rsidRPr="00BB49B8">
        <w:rPr>
          <w:color w:val="000000"/>
        </w:rPr>
        <w:t>, 2020)</w:t>
      </w:r>
      <w:r w:rsidRPr="00BB49B8">
        <w:rPr>
          <w:b/>
          <w:color w:val="000000"/>
        </w:rPr>
        <w:t>;</w:t>
      </w:r>
      <w:r w:rsidRPr="00BB49B8">
        <w:rPr>
          <w:color w:val="000000"/>
        </w:rPr>
        <w:t xml:space="preserve"> sin embargo, considerando que esta población ha demostrado tener un óptimo nivel de mindfulness, permite que se mantengan en el presente, disminuyendo la rumiación de pensamientos negativos o adversos vinculados a su situación, y tenga una mayor predisposición a la autonomía (Brown &amp; Ryan, 2003; Salinas, 2022), el que la mayoría cuente con un trabajo que le permita subsistir y desarrollar una identidad y estatus nuevo o adaptado en la sociedad contribuye a sentirse integrado y promover su percepción de bienestar</w:t>
      </w:r>
      <w:r w:rsidR="00C375B8" w:rsidRPr="00BB49B8">
        <w:rPr>
          <w:color w:val="000000"/>
        </w:rPr>
        <w:t xml:space="preserve"> (Molina</w:t>
      </w:r>
      <w:r w:rsidR="00331804" w:rsidRPr="00BB49B8">
        <w:rPr>
          <w:color w:val="000000"/>
        </w:rPr>
        <w:t xml:space="preserve"> et al.</w:t>
      </w:r>
      <w:r w:rsidR="00C375B8" w:rsidRPr="00BB49B8">
        <w:rPr>
          <w:color w:val="000000"/>
        </w:rPr>
        <w:t>, 2024)</w:t>
      </w:r>
      <w:r w:rsidRPr="00BB49B8">
        <w:rPr>
          <w:color w:val="000000"/>
        </w:rPr>
        <w:t>.</w:t>
      </w:r>
    </w:p>
    <w:p w14:paraId="4BA757A2" w14:textId="63BA48D9" w:rsidR="003A3994" w:rsidRPr="00BB49B8" w:rsidRDefault="007E4542" w:rsidP="00331804">
      <w:pPr>
        <w:spacing w:line="360" w:lineRule="auto"/>
        <w:ind w:firstLine="720"/>
        <w:jc w:val="both"/>
        <w:rPr>
          <w:color w:val="000000"/>
        </w:rPr>
      </w:pPr>
      <w:r w:rsidRPr="00BB49B8">
        <w:rPr>
          <w:color w:val="000000"/>
        </w:rPr>
        <w:t>Además, otro dato relevante es que la mayoría presentan un tiempo de permanencia de 4 años y medio en el país, lo que podría sugerir que, a mayor tiempo de permanencia tengan, más integrados podrían sentirse (OIM,2022). Esto podría permitir que los migrantes perciban que poseen una mejor seguridad en el país de residencia, ya que, tienen un mejor conocimiento de su entorno y cómo desenvolverse en él, además facilita que se auto perciban como parte de la comunidad, tejiendo nuevas relaciones con la población migrante y de acogida sin que ello suponga el rechazo a su propia cultura (Millán</w:t>
      </w:r>
      <w:r w:rsidRPr="00BB49B8">
        <w:t>-Franco</w:t>
      </w:r>
      <w:r w:rsidRPr="00BB49B8">
        <w:rPr>
          <w:color w:val="000000"/>
        </w:rPr>
        <w:t xml:space="preserve"> et al., 2019</w:t>
      </w:r>
      <w:r w:rsidR="00191665" w:rsidRPr="00BB49B8">
        <w:rPr>
          <w:color w:val="000000"/>
        </w:rPr>
        <w:t>; Otero, 2023</w:t>
      </w:r>
      <w:r w:rsidRPr="00BB49B8">
        <w:rPr>
          <w:color w:val="000000"/>
        </w:rPr>
        <w:t>). Wu et al. (2018), remarcaron  el impacto que tiene la integración en los migrantes, identificando como una fortaleza que les permite sentirse reconocidos y validados dentro de la población de acogida, aumentando su resiliencia y promoviendo su bienestar, asimismo, encontró una diferencia significativa en los migrantes que se habían integrado por medio de la asimilación, demostrando que el no poder compartir y practicar su cultura en el país en que residían resultaba perjudicial para su salud mental. </w:t>
      </w:r>
      <w:r w:rsidR="00026065" w:rsidRPr="00BB49B8">
        <w:rPr>
          <w:color w:val="000000"/>
        </w:rPr>
        <w:t xml:space="preserve">De manera similar, Benalcázar </w:t>
      </w:r>
      <w:r w:rsidR="005072CA" w:rsidRPr="00BB49B8">
        <w:rPr>
          <w:color w:val="000000"/>
        </w:rPr>
        <w:t>(2024), encontró que la integración tambien juega un papel crucial en el bienestar psicologico de los migrantes, destacando que existe una correlacion negativa entre la adaptacion a la cultura local y el impacto negativo en la salud mental</w:t>
      </w:r>
    </w:p>
    <w:p w14:paraId="6DD9B0AC" w14:textId="77777777" w:rsidR="003A3994" w:rsidRPr="00BB49B8" w:rsidRDefault="007E4542" w:rsidP="00331804">
      <w:pPr>
        <w:spacing w:line="360" w:lineRule="auto"/>
        <w:ind w:firstLine="720"/>
        <w:jc w:val="both"/>
        <w:rPr>
          <w:color w:val="000000"/>
        </w:rPr>
      </w:pPr>
      <w:r w:rsidRPr="00BB49B8">
        <w:rPr>
          <w:color w:val="000000"/>
        </w:rPr>
        <w:lastRenderedPageBreak/>
        <w:t xml:space="preserve">Por otro lado, al ser la  muestra participante del estudio ciudadanos venezolanos que han emigrado a otro país de Sudamérica podría favorecer su adaptación al mismo, dado que este es un proceso complejo y variado (Nina-Estrella, 2018), el compartir características análogas o afines con el país de acogida puede facilitar su incorporación en el mismo, además de que al compartir similitudes culturales con la población residente, podría contribuir a que la población de acogida tenga una actitud más abierta hacia ellos, disminuyendo la aparición de prejuicios o sesgos de corte negativo, lo cual puede repercutir en la percepción de bienestar de los migrantes (Gómez &amp; </w:t>
      </w:r>
      <w:r w:rsidRPr="00BB49B8">
        <w:t>Espinosa</w:t>
      </w:r>
      <w:r w:rsidRPr="00BB49B8">
        <w:rPr>
          <w:color w:val="000000"/>
        </w:rPr>
        <w:t>, 2021). </w:t>
      </w:r>
    </w:p>
    <w:p w14:paraId="535BB9FC" w14:textId="77777777" w:rsidR="003A3994" w:rsidRPr="00BB49B8" w:rsidRDefault="007E4542" w:rsidP="00331804">
      <w:pPr>
        <w:spacing w:line="360" w:lineRule="auto"/>
        <w:ind w:firstLine="720"/>
        <w:jc w:val="both"/>
        <w:rPr>
          <w:color w:val="000000"/>
        </w:rPr>
      </w:pPr>
      <w:r w:rsidRPr="00BB49B8">
        <w:rPr>
          <w:color w:val="000000"/>
        </w:rPr>
        <w:t>Dentro de las limitaciones se identificó que el instrumento Escala Abreviada de Bienestar Psicológico de Ryff (SPWBA) no cuenta con investigaciones previas en las cuales haya sido utilizado en una población similar en nuestro país. Asimismo, debido a las características de la población estudiada el muestreo utilizado fue de tipo no probabilístico por conveniencia (Hernández, 2021), siendo en su mayoría los participantes encuestados en una ONG de base venezolana lo que no permitiría una visión global de las variables psicológicas de esta población.</w:t>
      </w:r>
    </w:p>
    <w:p w14:paraId="0E3928F8" w14:textId="41E55D07" w:rsidR="00B87D19" w:rsidRPr="00BB49B8" w:rsidRDefault="007E4542" w:rsidP="00331804">
      <w:pPr>
        <w:spacing w:line="360" w:lineRule="auto"/>
        <w:ind w:firstLine="720"/>
        <w:jc w:val="both"/>
        <w:rPr>
          <w:color w:val="000000"/>
        </w:rPr>
      </w:pPr>
      <w:r w:rsidRPr="00BB49B8">
        <w:rPr>
          <w:color w:val="000000"/>
        </w:rPr>
        <w:t>Del estudio se concluye, que los participantes encuestados, pese a los retos o desafíos a los que se enfrentan diariamente pueden sobrellevarlos porque cuentan con una disposición favorable a mantenerse en el presente, lo que les permite centrarse en sus objetivos a corto y mediano plazo; de esta forma logran autorregular sus emociones, manejar sus niveles de estrés, valiéndose de estrategias de afrontamiento que se adecuan a su situación impactando positivamente en su bienestar psicológico. Por otro lado, entre los factores protectores de la muestra se encontró que las redes de apoyo familiar y comunitarias contribuyen generando un importante soporte psicosocial que favorece el bienestar psicológico. De igual modo, es importante considerar el rol que juega la regularización migratoria para el bienestar de esta muestra, ya que disminuye la probabilidad de estar inmersos en situaciones de riesgo y promueve el acceso a servicios esenciales del estado para una mejor integración al país de acogida.</w:t>
      </w:r>
    </w:p>
    <w:p w14:paraId="3024001F" w14:textId="77777777" w:rsidR="003A3994" w:rsidRPr="00BB49B8" w:rsidRDefault="007E4542" w:rsidP="00331804">
      <w:pPr>
        <w:shd w:val="clear" w:color="auto" w:fill="FFFFFF"/>
        <w:spacing w:line="360" w:lineRule="auto"/>
        <w:ind w:firstLine="720"/>
        <w:jc w:val="both"/>
        <w:rPr>
          <w:color w:val="000000"/>
        </w:rPr>
      </w:pPr>
      <w:r w:rsidRPr="00BB49B8">
        <w:rPr>
          <w:color w:val="000000"/>
        </w:rPr>
        <w:t xml:space="preserve">Dentro de las recomendaciones, en primer lugar, contemplamos la posibilidad de estandarizar y validar test psicométricos en esta población, para tener una mejor visión acerca de sus características particulares. Además, apoyar y fortalecer la experiencia de futuras investigaciones que se centren en el estudio de los factores positivos y protectores de los migrantes, de forma que los resultados obtenidos puedan ser usados para una mejor visión de su realidades y </w:t>
      </w:r>
      <w:r w:rsidRPr="00BB49B8">
        <w:rPr>
          <w:color w:val="000000"/>
        </w:rPr>
        <w:lastRenderedPageBreak/>
        <w:t>fortalezas; y la creación de programas específicos a sus necesidades. Por último, nos parece válido señalar que el apoyo de las organizaciones e instituciones que trabajan directamente con la población migrantes es fundamental para la ejecución óptima de investigaciones, ya que, permitirá que se tenga un mejor acceso a ella y se obtenga una muestra más variada y representativa.</w:t>
      </w:r>
    </w:p>
    <w:p w14:paraId="70257FD9" w14:textId="77777777" w:rsidR="003A3994" w:rsidRPr="00BB49B8" w:rsidRDefault="007E4542" w:rsidP="00331804">
      <w:pPr>
        <w:spacing w:line="360" w:lineRule="auto"/>
        <w:ind w:firstLine="720"/>
        <w:jc w:val="both"/>
        <w:rPr>
          <w:color w:val="000000"/>
        </w:rPr>
      </w:pPr>
      <w:r w:rsidRPr="00BB49B8">
        <w:rPr>
          <w:color w:val="000000"/>
        </w:rPr>
        <w:t xml:space="preserve">En segundo lugar, es importante considerar </w:t>
      </w:r>
      <w:r w:rsidRPr="00BB49B8">
        <w:t>los roles</w:t>
      </w:r>
      <w:r w:rsidRPr="00BB49B8">
        <w:rPr>
          <w:color w:val="000000"/>
        </w:rPr>
        <w:t xml:space="preserve"> que ejercen el sector público y privado ante este contexto de migración forzada, por lo que es necesario continuar impulsando políticas, programas y proyectos con enfoque de género, intercultural y comunitari</w:t>
      </w:r>
      <w:r w:rsidRPr="00BB49B8">
        <w:t>o. De esta manera los esfuerzos se podrán centrar tanto en la protección, como en el fortalecimiento de</w:t>
      </w:r>
      <w:r w:rsidRPr="00BB49B8">
        <w:rPr>
          <w:color w:val="000000"/>
        </w:rPr>
        <w:t xml:space="preserve"> los aspectos psicosociales y </w:t>
      </w:r>
      <w:r w:rsidRPr="00BB49B8">
        <w:t>la promoción de</w:t>
      </w:r>
      <w:r w:rsidRPr="00BB49B8">
        <w:rPr>
          <w:color w:val="000000"/>
        </w:rPr>
        <w:t xml:space="preserve"> la salud mental de los migrantes. </w:t>
      </w:r>
    </w:p>
    <w:p w14:paraId="69A6A453" w14:textId="77777777" w:rsidR="003A3994" w:rsidRPr="00BB49B8" w:rsidRDefault="007E4542" w:rsidP="00331804">
      <w:pPr>
        <w:spacing w:line="360" w:lineRule="auto"/>
        <w:ind w:firstLine="720"/>
        <w:jc w:val="both"/>
        <w:rPr>
          <w:color w:val="000000"/>
        </w:rPr>
      </w:pPr>
      <w:r w:rsidRPr="00BB49B8">
        <w:rPr>
          <w:color w:val="000000"/>
        </w:rPr>
        <w:t>Finalmente, aunque los resultados del presente estudio tienen una orientación positiva considerando que la mayoría de la muestra tienen un periodo mayor de cuatro años asentados en</w:t>
      </w:r>
    </w:p>
    <w:p w14:paraId="38FAE962" w14:textId="77777777" w:rsidR="003A3994" w:rsidRPr="00BB49B8" w:rsidRDefault="007E4542" w:rsidP="00331804">
      <w:pPr>
        <w:spacing w:line="360" w:lineRule="auto"/>
        <w:jc w:val="both"/>
        <w:rPr>
          <w:color w:val="000000"/>
        </w:rPr>
      </w:pPr>
      <w:r w:rsidRPr="00BB49B8">
        <w:rPr>
          <w:color w:val="000000"/>
        </w:rPr>
        <w:t xml:space="preserve">Perú, no podemos dejar de lado a las personas que aún continúan en tránsito y que están propensas a mayores riesgos y desafíos, por lo que su salud mental puede verse vulnerada constantemente. Por lo expuesto, se recomienda continuar con el apoyo en asistencia humanitaria acompañándolos de programas basados en Mindfulness para proporcionar técnicas y estrategias que les permita afrontar con mayor efectividad las diversas situaciones de estrés a los que puedan estar sometidos e influya de manera negativa en su bienestar psicológico. </w:t>
      </w:r>
    </w:p>
    <w:p w14:paraId="0CD8174B" w14:textId="77777777" w:rsidR="003A3994" w:rsidRPr="00BB49B8" w:rsidRDefault="007E4542" w:rsidP="00331804">
      <w:pPr>
        <w:spacing w:line="360" w:lineRule="auto"/>
        <w:ind w:firstLine="720"/>
        <w:jc w:val="both"/>
        <w:rPr>
          <w:color w:val="000000"/>
        </w:rPr>
      </w:pPr>
      <w:r w:rsidRPr="00BB49B8">
        <w:rPr>
          <w:color w:val="000000"/>
        </w:rPr>
        <w:t>Se recomienda ponerse en contacto con organizaciones que representen a diversas comunidades de inmigrantes y compartir sus puntos de vista sobre los eventos cubiertos. De esta forma, se garantiza la difusión de la voz de los inmigrantes y las comunidades.</w:t>
      </w:r>
    </w:p>
    <w:p w14:paraId="45400967" w14:textId="77777777" w:rsidR="00191665" w:rsidRPr="00BB49B8" w:rsidRDefault="00191665" w:rsidP="00331804">
      <w:pPr>
        <w:pBdr>
          <w:top w:val="nil"/>
          <w:left w:val="nil"/>
          <w:bottom w:val="nil"/>
          <w:right w:val="nil"/>
          <w:between w:val="nil"/>
        </w:pBdr>
        <w:spacing w:line="360" w:lineRule="auto"/>
        <w:jc w:val="both"/>
        <w:rPr>
          <w:b/>
          <w:color w:val="000000"/>
        </w:rPr>
      </w:pPr>
    </w:p>
    <w:p w14:paraId="462BA062" w14:textId="59D46BFF" w:rsidR="003A3994" w:rsidRPr="00BB49B8" w:rsidRDefault="007E4542" w:rsidP="00331804">
      <w:pPr>
        <w:pBdr>
          <w:top w:val="nil"/>
          <w:left w:val="nil"/>
          <w:bottom w:val="nil"/>
          <w:right w:val="nil"/>
          <w:between w:val="nil"/>
        </w:pBdr>
        <w:spacing w:line="360" w:lineRule="auto"/>
        <w:jc w:val="both"/>
        <w:rPr>
          <w:b/>
          <w:color w:val="000000"/>
        </w:rPr>
      </w:pPr>
      <w:r w:rsidRPr="00BB49B8">
        <w:rPr>
          <w:b/>
          <w:color w:val="000000"/>
        </w:rPr>
        <w:t xml:space="preserve">Referencias </w:t>
      </w:r>
    </w:p>
    <w:p w14:paraId="12B49D28" w14:textId="77777777" w:rsidR="003A3994" w:rsidRPr="00BB49B8" w:rsidRDefault="007E4542" w:rsidP="00331804">
      <w:pPr>
        <w:pBdr>
          <w:top w:val="nil"/>
          <w:left w:val="nil"/>
          <w:bottom w:val="nil"/>
          <w:right w:val="nil"/>
          <w:between w:val="nil"/>
        </w:pBdr>
        <w:spacing w:line="360" w:lineRule="auto"/>
        <w:ind w:left="709" w:hanging="709"/>
        <w:jc w:val="both"/>
        <w:rPr>
          <w:color w:val="000000"/>
        </w:rPr>
      </w:pPr>
      <w:r w:rsidRPr="00BB49B8">
        <w:rPr>
          <w:color w:val="000000"/>
        </w:rPr>
        <w:t xml:space="preserve">Achotegui, J. (2009). Migración y salud mental. El síndrome del inmigrante con estrés crónico y múltiple (síndrome de Ulises). </w:t>
      </w:r>
      <w:r w:rsidRPr="00BB49B8">
        <w:rPr>
          <w:i/>
          <w:color w:val="000000"/>
        </w:rPr>
        <w:t>Zerbitzuan,</w:t>
      </w:r>
      <w:r w:rsidRPr="00BB49B8">
        <w:rPr>
          <w:color w:val="000000"/>
        </w:rPr>
        <w:t xml:space="preserve"> </w:t>
      </w:r>
      <w:r w:rsidRPr="00BB49B8">
        <w:rPr>
          <w:i/>
          <w:color w:val="000000"/>
        </w:rPr>
        <w:t>46(1)</w:t>
      </w:r>
      <w:r w:rsidRPr="00BB49B8">
        <w:rPr>
          <w:color w:val="000000"/>
        </w:rPr>
        <w:t xml:space="preserve">, 163-171. </w:t>
      </w:r>
      <w:hyperlink r:id="rId7" w:anchor="page=163">
        <w:r w:rsidRPr="00BB49B8">
          <w:rPr>
            <w:color w:val="000000"/>
          </w:rPr>
          <w:t>http://zerbitzuan.net/documentos/zerbitzuan/ZERBITZUAN%2046.pdf#page=163</w:t>
        </w:r>
      </w:hyperlink>
      <w:r w:rsidRPr="00BB49B8">
        <w:rPr>
          <w:color w:val="000000"/>
        </w:rPr>
        <w:t xml:space="preserve"> </w:t>
      </w:r>
    </w:p>
    <w:p w14:paraId="35FDBAEF" w14:textId="77777777" w:rsidR="003A3994" w:rsidRPr="00BB49B8" w:rsidRDefault="007E4542" w:rsidP="00331804">
      <w:pPr>
        <w:spacing w:line="360" w:lineRule="auto"/>
        <w:ind w:left="709" w:hanging="709"/>
        <w:jc w:val="both"/>
        <w:rPr>
          <w:color w:val="000000"/>
        </w:rPr>
      </w:pPr>
      <w:r w:rsidRPr="00BB49B8">
        <w:rPr>
          <w:color w:val="000000"/>
        </w:rPr>
        <w:t xml:space="preserve">Alsubaie, M., Abbott, R., Dunn, B., Dickens, C., Keil, T. F., Henley, W., &amp; Kuyken, W. (2017). </w:t>
      </w:r>
      <w:r w:rsidRPr="00BB49B8">
        <w:rPr>
          <w:color w:val="000000"/>
          <w:lang w:val="en-US"/>
        </w:rPr>
        <w:t xml:space="preserve">Mechanisms of action in mindfulness-based cognitive therapy (MBCT) and mindfulness-based stress reduction (MBSR) in people with physical and/or psychological conditions: A systematic review. </w:t>
      </w:r>
      <w:r w:rsidRPr="00BB49B8">
        <w:rPr>
          <w:i/>
          <w:color w:val="000000"/>
        </w:rPr>
        <w:t>Clinical Psychology Review</w:t>
      </w:r>
      <w:r w:rsidRPr="00BB49B8">
        <w:rPr>
          <w:color w:val="000000"/>
        </w:rPr>
        <w:t xml:space="preserve">, </w:t>
      </w:r>
      <w:r w:rsidRPr="00BB49B8">
        <w:rPr>
          <w:i/>
          <w:color w:val="000000"/>
        </w:rPr>
        <w:t>55</w:t>
      </w:r>
      <w:r w:rsidRPr="00BB49B8">
        <w:rPr>
          <w:color w:val="000000"/>
        </w:rPr>
        <w:t xml:space="preserve">, 74-91. </w:t>
      </w:r>
      <w:hyperlink r:id="rId8">
        <w:r w:rsidRPr="00BB49B8">
          <w:rPr>
            <w:color w:val="000000"/>
            <w:u w:val="single"/>
          </w:rPr>
          <w:t>https://doi.org/10.1016/j.cpr.2017.04.008</w:t>
        </w:r>
      </w:hyperlink>
    </w:p>
    <w:p w14:paraId="61F92D87" w14:textId="77777777" w:rsidR="003A3994" w:rsidRPr="00BB49B8" w:rsidRDefault="007E4542" w:rsidP="00331804">
      <w:pPr>
        <w:spacing w:line="360" w:lineRule="auto"/>
        <w:ind w:left="720" w:hanging="720"/>
        <w:jc w:val="both"/>
      </w:pPr>
      <w:r w:rsidRPr="00BB49B8">
        <w:rPr>
          <w:color w:val="000000"/>
        </w:rPr>
        <w:lastRenderedPageBreak/>
        <w:t>Alto Comisionado de las Naciones Unidas para los Refugiados (202</w:t>
      </w:r>
      <w:r w:rsidRPr="00BB49B8">
        <w:t>2</w:t>
      </w:r>
      <w:r w:rsidRPr="00BB49B8">
        <w:rPr>
          <w:color w:val="000000"/>
        </w:rPr>
        <w:t xml:space="preserve">). </w:t>
      </w:r>
      <w:r w:rsidRPr="00BB49B8">
        <w:rPr>
          <w:i/>
        </w:rPr>
        <w:t>Tendencias globales de desplazamiento forzado 2022 ACNUR</w:t>
      </w:r>
      <w:r w:rsidRPr="00BB49B8">
        <w:t>. Recuperado el 14 de febrero de 2024, de https://www.acnur.org/tendencias-globales-de-desplazamiento-forzado-en-2022</w:t>
      </w:r>
    </w:p>
    <w:p w14:paraId="2F54718E" w14:textId="77777777" w:rsidR="003A3994" w:rsidRPr="00BB49B8" w:rsidRDefault="007E4542" w:rsidP="00331804">
      <w:pPr>
        <w:pBdr>
          <w:top w:val="nil"/>
          <w:left w:val="nil"/>
          <w:bottom w:val="nil"/>
          <w:right w:val="nil"/>
          <w:between w:val="nil"/>
        </w:pBdr>
        <w:spacing w:line="360" w:lineRule="auto"/>
        <w:ind w:left="720" w:hanging="720"/>
        <w:jc w:val="both"/>
        <w:rPr>
          <w:color w:val="000000"/>
        </w:rPr>
      </w:pPr>
      <w:r w:rsidRPr="00BB49B8">
        <w:rPr>
          <w:color w:val="000000"/>
        </w:rPr>
        <w:t>Alvarez</w:t>
      </w:r>
      <w:r w:rsidRPr="00BB49B8">
        <w:t>-</w:t>
      </w:r>
      <w:r w:rsidRPr="00BB49B8">
        <w:rPr>
          <w:color w:val="000000"/>
        </w:rPr>
        <w:t xml:space="preserve">Solórzano, N. D. P. (2019). </w:t>
      </w:r>
      <w:r w:rsidRPr="00BB49B8">
        <w:rPr>
          <w:i/>
          <w:color w:val="000000"/>
        </w:rPr>
        <w:t>Propiedades psicométricas de la escala de bienestar psicológico</w:t>
      </w:r>
      <w:r w:rsidRPr="00BB49B8">
        <w:rPr>
          <w:color w:val="000000"/>
        </w:rPr>
        <w:t xml:space="preserve"> [Tesis de licenciatura, Universidad de Lima]. Repositorio Institucional ULima. </w:t>
      </w:r>
      <w:hyperlink r:id="rId9">
        <w:r w:rsidRPr="00BB49B8">
          <w:rPr>
            <w:color w:val="000000"/>
          </w:rPr>
          <w:t>http://doi.org/10.26439/ulima.tesis/10604</w:t>
        </w:r>
      </w:hyperlink>
    </w:p>
    <w:p w14:paraId="5595226F" w14:textId="77777777" w:rsidR="003A3994" w:rsidRPr="00BB49B8" w:rsidRDefault="007E4542" w:rsidP="00331804">
      <w:pPr>
        <w:pBdr>
          <w:top w:val="nil"/>
          <w:left w:val="nil"/>
          <w:bottom w:val="nil"/>
          <w:right w:val="nil"/>
          <w:between w:val="nil"/>
        </w:pBdr>
        <w:spacing w:line="360" w:lineRule="auto"/>
        <w:ind w:left="720" w:hanging="720"/>
        <w:jc w:val="both"/>
        <w:rPr>
          <w:color w:val="000000"/>
        </w:rPr>
      </w:pPr>
      <w:r w:rsidRPr="00BB49B8">
        <w:rPr>
          <w:color w:val="000000"/>
        </w:rPr>
        <w:t>Ar</w:t>
      </w:r>
      <w:r w:rsidRPr="00BB49B8">
        <w:t>i</w:t>
      </w:r>
      <w:r w:rsidRPr="00BB49B8">
        <w:rPr>
          <w:color w:val="000000"/>
        </w:rPr>
        <w:t xml:space="preserve">, Ç., Ulun, C., Yarayan, Y. E., Dursun, M., Mutlu, T., &amp; Üstün, Ü. D. (2020). </w:t>
      </w:r>
      <w:r w:rsidRPr="00BB49B8">
        <w:rPr>
          <w:color w:val="000000"/>
          <w:lang w:val="en-US"/>
        </w:rPr>
        <w:t xml:space="preserve">Mindfulness, healthy life skills and life satisfaction in varsity athletes and university students. </w:t>
      </w:r>
      <w:r w:rsidRPr="00BB49B8">
        <w:rPr>
          <w:i/>
          <w:color w:val="000000"/>
        </w:rPr>
        <w:t>Progress in Nutrition</w:t>
      </w:r>
      <w:r w:rsidRPr="00BB49B8">
        <w:rPr>
          <w:color w:val="000000"/>
        </w:rPr>
        <w:t xml:space="preserve">, </w:t>
      </w:r>
      <w:r w:rsidRPr="00BB49B8">
        <w:rPr>
          <w:i/>
          <w:color w:val="000000"/>
        </w:rPr>
        <w:t>22</w:t>
      </w:r>
      <w:r w:rsidRPr="00BB49B8">
        <w:rPr>
          <w:color w:val="000000"/>
        </w:rPr>
        <w:t>(2), 1-8.</w:t>
      </w:r>
    </w:p>
    <w:p w14:paraId="5556F1F6" w14:textId="77777777" w:rsidR="003A3994" w:rsidRPr="00BB49B8" w:rsidRDefault="007E4542" w:rsidP="00331804">
      <w:pPr>
        <w:spacing w:line="360" w:lineRule="auto"/>
        <w:ind w:left="720" w:hanging="720"/>
        <w:jc w:val="both"/>
        <w:rPr>
          <w:i/>
          <w:color w:val="000000"/>
        </w:rPr>
      </w:pPr>
      <w:r w:rsidRPr="00BB49B8">
        <w:rPr>
          <w:color w:val="000000"/>
        </w:rPr>
        <w:t xml:space="preserve">Ato, M., López, J., &amp; Benavente, A. (2013). Un Sistema de Clasificación de los Diseños de investigación en psicología. </w:t>
      </w:r>
      <w:r w:rsidRPr="00BB49B8">
        <w:rPr>
          <w:i/>
          <w:color w:val="000000"/>
        </w:rPr>
        <w:t>Anales de Psicología. 29</w:t>
      </w:r>
      <w:r w:rsidRPr="00BB49B8">
        <w:rPr>
          <w:color w:val="000000"/>
        </w:rPr>
        <w:t xml:space="preserve">(3), 1038 – 1059. </w:t>
      </w:r>
      <w:hyperlink r:id="rId10">
        <w:r w:rsidRPr="00BB49B8">
          <w:rPr>
            <w:color w:val="000000"/>
            <w:u w:val="single"/>
          </w:rPr>
          <w:t>https://doi.org/10.6018/analesps.29.3.178511</w:t>
        </w:r>
      </w:hyperlink>
    </w:p>
    <w:p w14:paraId="5F613C71" w14:textId="77777777" w:rsidR="00331804" w:rsidRPr="007F2EF5" w:rsidRDefault="007E4542" w:rsidP="00331804">
      <w:pPr>
        <w:spacing w:line="360" w:lineRule="auto"/>
        <w:ind w:left="720" w:hanging="720"/>
        <w:jc w:val="both"/>
        <w:rPr>
          <w:lang w:val="en-US"/>
        </w:rPr>
      </w:pPr>
      <w:r w:rsidRPr="00BB49B8">
        <w:rPr>
          <w:color w:val="000000"/>
        </w:rPr>
        <w:t xml:space="preserve">Babić, R., Babić, M., Rastović, P., Ćurlin, M., Šimić, J., Mandić, K., &amp; Pavlović, K. (2020). </w:t>
      </w:r>
      <w:r w:rsidRPr="00BB49B8">
        <w:rPr>
          <w:color w:val="000000"/>
          <w:lang w:val="en-US"/>
        </w:rPr>
        <w:t>Resilience in health and illness.</w:t>
      </w:r>
      <w:r w:rsidRPr="00BB49B8">
        <w:rPr>
          <w:i/>
          <w:color w:val="000000"/>
          <w:lang w:val="en-US"/>
        </w:rPr>
        <w:t xml:space="preserve"> Psychiatr Danub,</w:t>
      </w:r>
      <w:r w:rsidRPr="00BB49B8">
        <w:rPr>
          <w:color w:val="000000"/>
          <w:lang w:val="en-US"/>
        </w:rPr>
        <w:t xml:space="preserve"> </w:t>
      </w:r>
      <w:r w:rsidRPr="00BB49B8">
        <w:rPr>
          <w:i/>
          <w:color w:val="000000"/>
          <w:lang w:val="en-US"/>
        </w:rPr>
        <w:t>32</w:t>
      </w:r>
      <w:r w:rsidRPr="00BB49B8">
        <w:rPr>
          <w:color w:val="000000"/>
          <w:lang w:val="en-US"/>
        </w:rPr>
        <w:t xml:space="preserve">(2), 226-232. </w:t>
      </w:r>
      <w:hyperlink r:id="rId11">
        <w:r w:rsidRPr="00BB49B8">
          <w:rPr>
            <w:color w:val="000000"/>
            <w:u w:val="single"/>
            <w:lang w:val="en-US"/>
          </w:rPr>
          <w:t>https://hrcak.srce.hr/262525</w:t>
        </w:r>
      </w:hyperlink>
    </w:p>
    <w:p w14:paraId="5E812B49" w14:textId="1E167A5E" w:rsidR="003A3994" w:rsidRPr="00BB49B8" w:rsidRDefault="007E4542" w:rsidP="00331804">
      <w:pPr>
        <w:spacing w:line="360" w:lineRule="auto"/>
        <w:ind w:left="720" w:hanging="720"/>
        <w:jc w:val="both"/>
        <w:rPr>
          <w:color w:val="000000"/>
          <w:u w:val="single"/>
        </w:rPr>
      </w:pPr>
      <w:r w:rsidRPr="00BB49B8">
        <w:rPr>
          <w:color w:val="000000"/>
        </w:rPr>
        <w:t xml:space="preserve">Baer, R. (2003). El entrenamiento en mindfulness como intervención clínica: una revisión conceptual y empírica. </w:t>
      </w:r>
      <w:r w:rsidRPr="00BB49B8">
        <w:rPr>
          <w:i/>
          <w:color w:val="000000"/>
        </w:rPr>
        <w:t>Psicología clínica: ciencia y práctica</w:t>
      </w:r>
      <w:r w:rsidRPr="00BB49B8">
        <w:rPr>
          <w:color w:val="000000"/>
        </w:rPr>
        <w:t xml:space="preserve">, </w:t>
      </w:r>
      <w:r w:rsidRPr="00BB49B8">
        <w:rPr>
          <w:i/>
          <w:color w:val="000000"/>
        </w:rPr>
        <w:t>10</w:t>
      </w:r>
      <w:r w:rsidRPr="00BB49B8">
        <w:rPr>
          <w:color w:val="000000"/>
        </w:rPr>
        <w:t xml:space="preserve">(2), 125–143. </w:t>
      </w:r>
      <w:hyperlink r:id="rId12">
        <w:r w:rsidRPr="00BB49B8">
          <w:rPr>
            <w:color w:val="000000"/>
            <w:u w:val="single"/>
          </w:rPr>
          <w:t>https://doi.org/10.1093/clipsy.bpg015</w:t>
        </w:r>
      </w:hyperlink>
    </w:p>
    <w:p w14:paraId="1A24D91A" w14:textId="2604E5D0" w:rsidR="005072CA" w:rsidRPr="00BB49B8" w:rsidRDefault="007E4542" w:rsidP="00331804">
      <w:pPr>
        <w:spacing w:line="360" w:lineRule="auto"/>
        <w:ind w:left="709" w:hanging="709"/>
        <w:jc w:val="both"/>
        <w:rPr>
          <w:i/>
          <w:color w:val="000000"/>
          <w:lang w:val="en-US"/>
        </w:rPr>
      </w:pPr>
      <w:r w:rsidRPr="00BB49B8">
        <w:rPr>
          <w:color w:val="000000"/>
        </w:rPr>
        <w:t>Barba, G. (2012). Migración y Resiliencia: los esfuerzos cotidianos de los jóvenes inmigrantes.</w:t>
      </w:r>
      <w:r w:rsidRPr="00BB49B8">
        <w:rPr>
          <w:i/>
          <w:color w:val="000000"/>
        </w:rPr>
        <w:t xml:space="preserve"> Rayuela. Revista Iberoamericana sobre Niñez y Juventud en Lucha por sus Derechos, 3(6), 201-212. </w:t>
      </w:r>
      <w:hyperlink r:id="rId13" w:history="1">
        <w:r w:rsidR="005072CA" w:rsidRPr="00BB49B8">
          <w:rPr>
            <w:rStyle w:val="Hipervnculo"/>
            <w:i/>
            <w:lang w:val="en-US"/>
          </w:rPr>
          <w:t>https://cojetac.files.wordpress.com/2011/12/rayuela-5.pdf</w:t>
        </w:r>
      </w:hyperlink>
    </w:p>
    <w:p w14:paraId="6BD7EE8D" w14:textId="24F130DC" w:rsidR="005072CA" w:rsidRPr="00BB49B8" w:rsidRDefault="005072CA" w:rsidP="00331804">
      <w:pPr>
        <w:spacing w:line="360" w:lineRule="auto"/>
        <w:ind w:left="709" w:hanging="709"/>
        <w:jc w:val="both"/>
        <w:rPr>
          <w:i/>
          <w:color w:val="000000"/>
        </w:rPr>
      </w:pPr>
      <w:r w:rsidRPr="00BB49B8">
        <w:rPr>
          <w:lang w:val="en-US"/>
        </w:rPr>
        <w:t xml:space="preserve">Benalcázar Noboa, C. A. (2024). </w:t>
      </w:r>
      <w:r w:rsidRPr="00BB49B8">
        <w:rPr>
          <w:rStyle w:val="nfasis"/>
        </w:rPr>
        <w:t>Bienestar psicológico en adultos migrantes de nacionalidad venezolana radicados en la ciudad de Quito, Ecuador</w:t>
      </w:r>
      <w:r w:rsidRPr="00BB49B8">
        <w:t xml:space="preserve"> (Tesis de maestría, Universidad de las Américas, Quito, Ecuador).</w:t>
      </w:r>
    </w:p>
    <w:p w14:paraId="00629E2E" w14:textId="33AA31B9" w:rsidR="00642CEB" w:rsidRPr="00BB49B8" w:rsidRDefault="007E4542" w:rsidP="00331804">
      <w:pPr>
        <w:pBdr>
          <w:top w:val="nil"/>
          <w:bottom w:val="nil"/>
          <w:right w:val="nil"/>
          <w:between w:val="nil"/>
        </w:pBdr>
        <w:spacing w:line="360" w:lineRule="auto"/>
        <w:ind w:left="720" w:hanging="720"/>
        <w:jc w:val="both"/>
        <w:rPr>
          <w:color w:val="000000"/>
          <w:lang w:val="en-US"/>
        </w:rPr>
      </w:pPr>
      <w:r w:rsidRPr="00BB49B8">
        <w:rPr>
          <w:color w:val="000000"/>
          <w:lang w:val="en-US"/>
        </w:rPr>
        <w:t xml:space="preserve">Berry, J. W., &amp; Hou, F. (2021). Immigrant acculturation and wellbeing across generations and settlement contexts in Canada, International Review of Psychiatry, 33:1-2, 140-153, DOI: </w:t>
      </w:r>
      <w:hyperlink r:id="rId14">
        <w:r w:rsidRPr="00BB49B8">
          <w:rPr>
            <w:color w:val="000000"/>
            <w:lang w:val="en-US"/>
          </w:rPr>
          <w:t>10.1080/09540261.2020.1750801</w:t>
        </w:r>
      </w:hyperlink>
    </w:p>
    <w:p w14:paraId="316EF36F" w14:textId="10A761E1" w:rsidR="00642CEB" w:rsidRPr="00BB49B8" w:rsidRDefault="00642CEB" w:rsidP="00331804">
      <w:pPr>
        <w:pBdr>
          <w:top w:val="nil"/>
          <w:bottom w:val="nil"/>
          <w:right w:val="nil"/>
          <w:between w:val="nil"/>
        </w:pBdr>
        <w:spacing w:line="360" w:lineRule="auto"/>
        <w:ind w:left="720" w:hanging="720"/>
        <w:jc w:val="both"/>
        <w:rPr>
          <w:color w:val="000000"/>
          <w:lang w:eastAsia="es-PE"/>
        </w:rPr>
      </w:pPr>
      <w:r w:rsidRPr="00BB49B8">
        <w:t xml:space="preserve">Bethancourt Pierroz, L. F., &amp; Santos Figueroa, E. M. (2024). Factores de riesgo y protectores en las condiciones de salud mental en los migrantes que cruzaron recientemente la selva del Darién. </w:t>
      </w:r>
      <w:r w:rsidRPr="00BB49B8">
        <w:rPr>
          <w:i/>
          <w:iCs/>
        </w:rPr>
        <w:t>REDEPSIC</w:t>
      </w:r>
      <w:r w:rsidRPr="00BB49B8">
        <w:t xml:space="preserve">, </w:t>
      </w:r>
      <w:r w:rsidRPr="00BB49B8">
        <w:rPr>
          <w:i/>
          <w:iCs/>
        </w:rPr>
        <w:t>3</w:t>
      </w:r>
      <w:r w:rsidRPr="00BB49B8">
        <w:t>(2), 44-55.</w:t>
      </w:r>
    </w:p>
    <w:p w14:paraId="4AC6082D" w14:textId="77777777" w:rsidR="003A3994" w:rsidRPr="00BB49B8" w:rsidRDefault="007E4542" w:rsidP="00331804">
      <w:pPr>
        <w:pBdr>
          <w:top w:val="nil"/>
          <w:bottom w:val="nil"/>
          <w:right w:val="nil"/>
          <w:between w:val="nil"/>
        </w:pBdr>
        <w:spacing w:line="360" w:lineRule="auto"/>
        <w:ind w:left="720" w:hanging="720"/>
        <w:jc w:val="both"/>
      </w:pPr>
      <w:r w:rsidRPr="00BB49B8">
        <w:lastRenderedPageBreak/>
        <w:t xml:space="preserve">Blouin, C. (2019). </w:t>
      </w:r>
      <w:r w:rsidRPr="00BB49B8">
        <w:rPr>
          <w:i/>
        </w:rPr>
        <w:t>Estudio sobre el perfil socio económico de la población venezolana y sus comunidades de acogida: una mirada hacia la inclusión, Lima</w:t>
      </w:r>
      <w:r w:rsidRPr="00BB49B8">
        <w:t>: Instituto de Democracia y Derechos Humanos de la Pontificia Universidad Católica del Perú (IDEHPUCP) y PADF. Repositorio Institucional de la IDEHPUCP. https://cdn01.pucp.education/idehpucp/wp-content/uploads/2019/08/02195731/estudio-final-.pdf</w:t>
      </w:r>
    </w:p>
    <w:p w14:paraId="2A348BA7" w14:textId="77777777" w:rsidR="003A3994" w:rsidRPr="00BB49B8" w:rsidRDefault="007E4542" w:rsidP="00331804">
      <w:pPr>
        <w:pBdr>
          <w:top w:val="nil"/>
          <w:bottom w:val="nil"/>
          <w:right w:val="nil"/>
          <w:between w:val="nil"/>
        </w:pBdr>
        <w:spacing w:line="360" w:lineRule="auto"/>
        <w:ind w:left="720" w:hanging="720"/>
        <w:jc w:val="both"/>
        <w:rPr>
          <w:color w:val="000000"/>
          <w:lang w:val="en-US"/>
        </w:rPr>
      </w:pPr>
      <w:r w:rsidRPr="00BB49B8">
        <w:rPr>
          <w:color w:val="000000"/>
        </w:rPr>
        <w:t>Briones, K. V. (2018).</w:t>
      </w:r>
      <w:r w:rsidRPr="00BB49B8">
        <w:rPr>
          <w:i/>
          <w:color w:val="000000"/>
        </w:rPr>
        <w:t xml:space="preserve"> Propiedades Psicométricas de la Escala de Bienestar Psicológico (SPWB) de Ryff Versión Abreviada en Adolescentes de la Ciudad de Cajamarca</w:t>
      </w:r>
      <w:r w:rsidRPr="00BB49B8">
        <w:rPr>
          <w:color w:val="000000"/>
        </w:rPr>
        <w:t xml:space="preserve">.  [Tesis de licenciatura, Universidad Privada Antonio Guillermo Urrelo]. Repositorio de la Universidad Privada Antonio Guillermo Urrelo. </w:t>
      </w:r>
      <w:hyperlink r:id="rId15">
        <w:r w:rsidRPr="00BB49B8">
          <w:rPr>
            <w:color w:val="000000"/>
            <w:u w:val="single"/>
            <w:lang w:val="en-US"/>
          </w:rPr>
          <w:t>http://repositorio.upagu.edu.pe/handle/UPAGU/813</w:t>
        </w:r>
      </w:hyperlink>
    </w:p>
    <w:p w14:paraId="3CDE4F53" w14:textId="77777777" w:rsidR="003A3994" w:rsidRPr="00BB49B8" w:rsidRDefault="007E4542" w:rsidP="00331804">
      <w:pPr>
        <w:pBdr>
          <w:top w:val="nil"/>
          <w:bottom w:val="nil"/>
          <w:right w:val="nil"/>
          <w:between w:val="nil"/>
        </w:pBdr>
        <w:spacing w:line="360" w:lineRule="auto"/>
        <w:ind w:left="720" w:hanging="720"/>
        <w:jc w:val="both"/>
        <w:rPr>
          <w:color w:val="000000"/>
          <w:lang w:val="en-US"/>
        </w:rPr>
      </w:pPr>
      <w:r w:rsidRPr="00BB49B8">
        <w:rPr>
          <w:color w:val="000000"/>
          <w:lang w:val="en-US"/>
        </w:rPr>
        <w:t xml:space="preserve">Brown, K. W., Ryan, R. M., &amp; Creswell, J. D. (2007). Mindfulness: Theoretical Foundations and Evidence for its Salutary Effects. </w:t>
      </w:r>
      <w:r w:rsidRPr="00BB49B8">
        <w:rPr>
          <w:i/>
          <w:color w:val="000000"/>
          <w:lang w:val="en-US"/>
        </w:rPr>
        <w:t>Psychological Inquiry,</w:t>
      </w:r>
      <w:r w:rsidRPr="00BB49B8">
        <w:rPr>
          <w:color w:val="000000"/>
          <w:lang w:val="en-US"/>
        </w:rPr>
        <w:t xml:space="preserve"> </w:t>
      </w:r>
      <w:r w:rsidRPr="00BB49B8">
        <w:rPr>
          <w:i/>
          <w:color w:val="000000"/>
          <w:lang w:val="en-US"/>
        </w:rPr>
        <w:t>18(4)</w:t>
      </w:r>
      <w:r w:rsidRPr="00BB49B8">
        <w:rPr>
          <w:color w:val="000000"/>
          <w:lang w:val="en-US"/>
        </w:rPr>
        <w:t>, 211-237. https://doi.org/10.1080/10478400701598298</w:t>
      </w:r>
    </w:p>
    <w:p w14:paraId="3795EBD5" w14:textId="77777777" w:rsidR="003A3994" w:rsidRPr="00BB49B8" w:rsidRDefault="007E4542" w:rsidP="00331804">
      <w:pPr>
        <w:spacing w:line="360" w:lineRule="auto"/>
        <w:ind w:left="709" w:hanging="709"/>
        <w:jc w:val="both"/>
        <w:rPr>
          <w:color w:val="000000"/>
          <w:lang w:val="en-US"/>
        </w:rPr>
      </w:pPr>
      <w:r w:rsidRPr="00BB49B8">
        <w:rPr>
          <w:color w:val="000000"/>
          <w:lang w:val="en-US"/>
        </w:rPr>
        <w:t xml:space="preserve">Brown, K. W. &amp; Ryan, R. M. (2003). The benefits of being present: Mindfulness and its role in psychological well-being. </w:t>
      </w:r>
      <w:r w:rsidRPr="00BB49B8">
        <w:rPr>
          <w:i/>
          <w:color w:val="000000"/>
          <w:lang w:val="en-US"/>
        </w:rPr>
        <w:t>Journal of Personality &amp; Social Psychology, 84(4)</w:t>
      </w:r>
      <w:r w:rsidRPr="00BB49B8">
        <w:rPr>
          <w:color w:val="000000"/>
          <w:lang w:val="en-US"/>
        </w:rPr>
        <w:t>, 822-848. doi:10.1037/022.3514.84.4.822</w:t>
      </w:r>
    </w:p>
    <w:p w14:paraId="0D852B90" w14:textId="77777777" w:rsidR="003A3994" w:rsidRPr="00BB49B8" w:rsidRDefault="007E4542" w:rsidP="00331804">
      <w:pPr>
        <w:spacing w:line="360" w:lineRule="auto"/>
        <w:ind w:left="720" w:hanging="720"/>
        <w:jc w:val="both"/>
        <w:rPr>
          <w:color w:val="000000"/>
        </w:rPr>
      </w:pPr>
      <w:r w:rsidRPr="007F2EF5">
        <w:rPr>
          <w:color w:val="000000"/>
          <w:lang w:val="en-US"/>
        </w:rPr>
        <w:t xml:space="preserve">Campo-Arias, A., &amp; Oviedo, H. C. (2008). </w:t>
      </w:r>
      <w:r w:rsidRPr="00BB49B8">
        <w:rPr>
          <w:color w:val="000000"/>
        </w:rPr>
        <w:t xml:space="preserve">Propiedades psicométricas de una escala: la consistencia interna. </w:t>
      </w:r>
      <w:r w:rsidRPr="00BB49B8">
        <w:rPr>
          <w:i/>
          <w:color w:val="000000"/>
        </w:rPr>
        <w:t>Revista Salud Pública, 10</w:t>
      </w:r>
      <w:r w:rsidRPr="00BB49B8">
        <w:rPr>
          <w:color w:val="000000"/>
        </w:rPr>
        <w:t xml:space="preserve">(5), 831-839. </w:t>
      </w:r>
      <w:hyperlink r:id="rId16">
        <w:r w:rsidRPr="00BB49B8">
          <w:rPr>
            <w:color w:val="000000"/>
            <w:u w:val="single"/>
          </w:rPr>
          <w:t>https://doi.org/10.1590/s0124-00642008000500015</w:t>
        </w:r>
      </w:hyperlink>
    </w:p>
    <w:p w14:paraId="48E4FD57" w14:textId="77777777" w:rsidR="003A3994" w:rsidRPr="00BB49B8" w:rsidRDefault="007E4542" w:rsidP="00331804">
      <w:pPr>
        <w:spacing w:line="360" w:lineRule="auto"/>
        <w:ind w:left="720" w:hanging="720"/>
        <w:jc w:val="both"/>
        <w:rPr>
          <w:color w:val="000000"/>
        </w:rPr>
      </w:pPr>
      <w:r w:rsidRPr="00BB49B8">
        <w:rPr>
          <w:color w:val="000000"/>
        </w:rPr>
        <w:t xml:space="preserve">Cano, L., Hernández, M., &amp; Priego, H. (2021). </w:t>
      </w:r>
      <w:r w:rsidRPr="00BB49B8">
        <w:rPr>
          <w:color w:val="000000"/>
          <w:lang w:val="en-US"/>
        </w:rPr>
        <w:t>Mental health of immigrants in a shelter in Tabasco, Mexico during the COVID-19 epidemic.</w:t>
      </w:r>
      <w:r w:rsidRPr="00BB49B8">
        <w:rPr>
          <w:i/>
          <w:color w:val="000000"/>
          <w:lang w:val="en-US"/>
        </w:rPr>
        <w:t xml:space="preserve"> </w:t>
      </w:r>
      <w:r w:rsidRPr="00BB49B8">
        <w:rPr>
          <w:i/>
          <w:color w:val="000000"/>
        </w:rPr>
        <w:t>Revista Salud Uninorte,</w:t>
      </w:r>
      <w:r w:rsidRPr="00BB49B8">
        <w:rPr>
          <w:color w:val="000000"/>
        </w:rPr>
        <w:t xml:space="preserve"> </w:t>
      </w:r>
      <w:r w:rsidRPr="00BB49B8">
        <w:rPr>
          <w:i/>
          <w:color w:val="000000"/>
        </w:rPr>
        <w:t>37</w:t>
      </w:r>
      <w:r w:rsidRPr="00BB49B8">
        <w:rPr>
          <w:color w:val="000000"/>
        </w:rPr>
        <w:t>(3), 583-609.</w:t>
      </w:r>
      <w:hyperlink r:id="rId17">
        <w:r w:rsidRPr="00BB49B8">
          <w:rPr>
            <w:color w:val="000000"/>
            <w:u w:val="single"/>
          </w:rPr>
          <w:t>https://doi.org/10.14482/sun.37.3.616.89</w:t>
        </w:r>
      </w:hyperlink>
    </w:p>
    <w:p w14:paraId="13D7DE21" w14:textId="77777777" w:rsidR="003A3994" w:rsidRPr="00BB49B8" w:rsidRDefault="007E4542" w:rsidP="00331804">
      <w:pPr>
        <w:spacing w:line="360" w:lineRule="auto"/>
        <w:ind w:left="720" w:hanging="720"/>
        <w:jc w:val="both"/>
        <w:rPr>
          <w:color w:val="000000"/>
        </w:rPr>
      </w:pPr>
      <w:r w:rsidRPr="00BB49B8">
        <w:rPr>
          <w:color w:val="000000"/>
        </w:rPr>
        <w:t xml:space="preserve">Castellar, D. M. (2020). </w:t>
      </w:r>
      <w:r w:rsidRPr="00BB49B8">
        <w:rPr>
          <w:i/>
          <w:color w:val="000000"/>
        </w:rPr>
        <w:t xml:space="preserve">Validación del bienestar general en jóvenes víctimas de desplazamiento forzado reubicados y retornados </w:t>
      </w:r>
      <w:r w:rsidRPr="00BB49B8">
        <w:rPr>
          <w:color w:val="000000"/>
        </w:rPr>
        <w:t xml:space="preserve">[Tesis de Maestría, Universidad del Norte]. Repositorio Institucional Universidad del Norte. </w:t>
      </w:r>
      <w:hyperlink r:id="rId18" w:anchor="page=1">
        <w:r w:rsidRPr="00BB49B8">
          <w:rPr>
            <w:color w:val="000000"/>
            <w:u w:val="single"/>
          </w:rPr>
          <w:t>https://manglar.uninorte.edu.co/handle/10584/10782#page=1</w:t>
        </w:r>
      </w:hyperlink>
      <w:r w:rsidRPr="00BB49B8">
        <w:rPr>
          <w:color w:val="000000"/>
        </w:rPr>
        <w:t xml:space="preserve"> </w:t>
      </w:r>
    </w:p>
    <w:p w14:paraId="5B716490" w14:textId="77777777" w:rsidR="003A3994" w:rsidRPr="00BB49B8" w:rsidRDefault="007E4542" w:rsidP="00331804">
      <w:pPr>
        <w:spacing w:line="360" w:lineRule="auto"/>
        <w:ind w:left="720" w:hanging="720"/>
        <w:jc w:val="both"/>
        <w:rPr>
          <w:color w:val="000000"/>
          <w:u w:val="single"/>
        </w:rPr>
      </w:pPr>
      <w:r w:rsidRPr="00BB49B8">
        <w:rPr>
          <w:color w:val="000000"/>
        </w:rPr>
        <w:t xml:space="preserve">Castilla, H., Caycho, T., Shimabukuro, M., Valdivia, A. &amp; Torres-Calderón, M. (2014). Análisis exploratorio de la escala de resiliencia de Wagnild y Young en una muestra de adolescentes, jóvenes y adultos universitarios de Lima Metropolitana. </w:t>
      </w:r>
      <w:r w:rsidRPr="00BB49B8">
        <w:rPr>
          <w:i/>
          <w:color w:val="000000"/>
        </w:rPr>
        <w:t>Revista de Psicología de Arequipa,</w:t>
      </w:r>
      <w:r w:rsidRPr="00BB49B8">
        <w:rPr>
          <w:color w:val="000000"/>
        </w:rPr>
        <w:t xml:space="preserve"> </w:t>
      </w:r>
      <w:r w:rsidRPr="00BB49B8">
        <w:rPr>
          <w:i/>
          <w:color w:val="000000"/>
        </w:rPr>
        <w:t>4(1)</w:t>
      </w:r>
      <w:r w:rsidRPr="00BB49B8">
        <w:rPr>
          <w:color w:val="000000"/>
        </w:rPr>
        <w:t xml:space="preserve">, 80-93. </w:t>
      </w:r>
      <w:hyperlink r:id="rId19">
        <w:r w:rsidRPr="00BB49B8">
          <w:rPr>
            <w:color w:val="000000"/>
            <w:u w:val="single"/>
          </w:rPr>
          <w:t>https://www.researchgate.net/publication/312092117_Analisis_exploratorio_de_la_Escala_de_Resiliencia_de_Wagnild_y_Young_en_una_muestra_de_adolescentes_jovenes_y_adultos_universitarios_de_Lima_Metropolitana</w:t>
        </w:r>
      </w:hyperlink>
    </w:p>
    <w:p w14:paraId="282BDA94" w14:textId="77777777" w:rsidR="003A3994" w:rsidRPr="00BB49B8" w:rsidRDefault="007E4542" w:rsidP="00331804">
      <w:pPr>
        <w:spacing w:line="360" w:lineRule="auto"/>
        <w:ind w:left="720" w:hanging="720"/>
        <w:jc w:val="both"/>
        <w:rPr>
          <w:color w:val="000000"/>
        </w:rPr>
      </w:pPr>
      <w:r w:rsidRPr="00BB49B8">
        <w:rPr>
          <w:color w:val="000000"/>
        </w:rPr>
        <w:t xml:space="preserve">Caycho, T., Ventura, L., Barbosa, M. &amp; Carbajal, C. (2014). Bienestar psicológico subjetivo, Apoyo social y variables demográficas en migrantes peruanos residentes en Italia. </w:t>
      </w:r>
      <w:r w:rsidRPr="00BB49B8">
        <w:rPr>
          <w:i/>
          <w:color w:val="000000"/>
        </w:rPr>
        <w:t>Revista de la Universidad Privada del Norte,</w:t>
      </w:r>
      <w:r w:rsidRPr="00BB49B8">
        <w:rPr>
          <w:color w:val="000000"/>
        </w:rPr>
        <w:t xml:space="preserve"> </w:t>
      </w:r>
      <w:r w:rsidRPr="00BB49B8">
        <w:rPr>
          <w:i/>
          <w:color w:val="000000"/>
        </w:rPr>
        <w:t>1</w:t>
      </w:r>
      <w:r w:rsidRPr="00BB49B8">
        <w:rPr>
          <w:color w:val="000000"/>
        </w:rPr>
        <w:t>(2), 307–323. http://201.234.119.250/index.php/ACPP/article/view/13</w:t>
      </w:r>
    </w:p>
    <w:p w14:paraId="356D39AE" w14:textId="77777777" w:rsidR="003A3994" w:rsidRPr="00BB49B8" w:rsidRDefault="007E4542" w:rsidP="00331804">
      <w:pPr>
        <w:spacing w:line="360" w:lineRule="auto"/>
        <w:ind w:left="720" w:hanging="720"/>
        <w:jc w:val="both"/>
        <w:rPr>
          <w:color w:val="000000"/>
          <w:u w:val="single"/>
        </w:rPr>
      </w:pPr>
      <w:r w:rsidRPr="00BB49B8">
        <w:rPr>
          <w:color w:val="000000"/>
        </w:rPr>
        <w:t xml:space="preserve">Caycho-Rodríguez, T., Cadena, C. G., Reyes-Bossio, M., Cabrera-Orosco, I., Guadalupe, L. O., &amp; Gallegos, W. A. (2019). Evidencias psicométricas de una versión breve de la mindful awareness attention scale en estudiantes universitarios. </w:t>
      </w:r>
      <w:r w:rsidRPr="00BB49B8">
        <w:rPr>
          <w:i/>
          <w:color w:val="000000"/>
        </w:rPr>
        <w:t>Revista Argentina de Ciencias del Comportamiento</w:t>
      </w:r>
      <w:r w:rsidRPr="00BB49B8">
        <w:rPr>
          <w:color w:val="000000"/>
        </w:rPr>
        <w:t xml:space="preserve">, </w:t>
      </w:r>
      <w:r w:rsidRPr="00BB49B8">
        <w:rPr>
          <w:i/>
          <w:color w:val="000000"/>
        </w:rPr>
        <w:t>11</w:t>
      </w:r>
      <w:r w:rsidRPr="00BB49B8">
        <w:rPr>
          <w:color w:val="000000"/>
        </w:rPr>
        <w:t xml:space="preserve">(3), 19-32. </w:t>
      </w:r>
      <w:hyperlink r:id="rId20">
        <w:r w:rsidRPr="00BB49B8">
          <w:rPr>
            <w:color w:val="000000"/>
            <w:u w:val="single"/>
          </w:rPr>
          <w:t>https://doi.org/10.32348/1852.4206.v11.n3.24870</w:t>
        </w:r>
      </w:hyperlink>
    </w:p>
    <w:p w14:paraId="3A4AA0DA" w14:textId="065D3FB2" w:rsidR="003A3994" w:rsidRPr="00BB49B8" w:rsidRDefault="007E4542" w:rsidP="00331804">
      <w:pPr>
        <w:spacing w:line="360" w:lineRule="auto"/>
        <w:ind w:left="720" w:hanging="720"/>
        <w:jc w:val="both"/>
        <w:rPr>
          <w:color w:val="000000"/>
          <w:lang w:val="pt-BR"/>
        </w:rPr>
      </w:pPr>
      <w:r w:rsidRPr="00BB49B8">
        <w:rPr>
          <w:color w:val="000000"/>
        </w:rPr>
        <w:t>Centro de Atención Psicosocial</w:t>
      </w:r>
      <w:r w:rsidRPr="00BB49B8">
        <w:t xml:space="preserve"> </w:t>
      </w:r>
      <w:r w:rsidRPr="00BB49B8">
        <w:rPr>
          <w:color w:val="000000"/>
        </w:rPr>
        <w:t xml:space="preserve">(2022). </w:t>
      </w:r>
      <w:r w:rsidRPr="00BB49B8">
        <w:rPr>
          <w:i/>
          <w:color w:val="000000"/>
        </w:rPr>
        <w:t>Diagnóstico sobre la situación de salud mental de los refugiados y migrantes venezolanos en Lima y Tumbes</w:t>
      </w:r>
      <w:r w:rsidRPr="00BB49B8">
        <w:rPr>
          <w:color w:val="000000"/>
        </w:rPr>
        <w:t xml:space="preserve">. </w:t>
      </w:r>
      <w:r w:rsidRPr="00BB49B8">
        <w:rPr>
          <w:color w:val="000000"/>
          <w:lang w:val="pt-BR"/>
        </w:rPr>
        <w:t>R4V. https://www.r4v.info/es/document/CAPS_Diagnostico_Salud_Mental_Refugiados_Migrantes_Lima_Tumbes_Ago2022</w:t>
      </w:r>
      <w:r w:rsidR="0098426D" w:rsidRPr="00BB49B8">
        <w:rPr>
          <w:color w:val="000000"/>
          <w:lang w:val="pt-BR"/>
        </w:rPr>
        <w:t>.</w:t>
      </w:r>
    </w:p>
    <w:p w14:paraId="27BE54BC" w14:textId="1EE10AB8" w:rsidR="0098426D" w:rsidRPr="00BB49B8" w:rsidRDefault="00647898" w:rsidP="00331804">
      <w:pPr>
        <w:spacing w:line="360" w:lineRule="auto"/>
        <w:ind w:left="720" w:hanging="720"/>
        <w:jc w:val="both"/>
        <w:rPr>
          <w:color w:val="000000"/>
          <w:lang w:val="en-US"/>
        </w:rPr>
      </w:pPr>
      <w:r w:rsidRPr="00BB49B8">
        <w:rPr>
          <w:color w:val="000000"/>
          <w:lang w:val="en-US"/>
        </w:rPr>
        <w:t xml:space="preserve">Council for International Organizations of Medical Sciences. (2017). International ethical guidelines for health-related research involving humans. </w:t>
      </w:r>
      <w:r w:rsidR="008E5EFF" w:rsidRPr="00BB49B8">
        <w:rPr>
          <w:color w:val="000000"/>
          <w:lang w:val="en-US"/>
        </w:rPr>
        <w:t>https://cioms.ch/wp-content/uploads/2017/12/CIOMS-EthicalGuideline_SP_INTERIOR-FINAL.pdf</w:t>
      </w:r>
    </w:p>
    <w:p w14:paraId="5C09A076" w14:textId="77777777" w:rsidR="003A3994" w:rsidRPr="00BB49B8" w:rsidRDefault="007E4542" w:rsidP="00331804">
      <w:pPr>
        <w:spacing w:line="360" w:lineRule="auto"/>
        <w:ind w:left="720" w:hanging="720"/>
        <w:jc w:val="both"/>
        <w:rPr>
          <w:color w:val="000000"/>
          <w:lang w:val="en-US"/>
        </w:rPr>
      </w:pPr>
      <w:r w:rsidRPr="00BB49B8">
        <w:rPr>
          <w:color w:val="000000"/>
          <w:lang w:val="en-US"/>
        </w:rPr>
        <w:t xml:space="preserve">Clearly, S., Snead, R., Dietz-Chavez, D., Rivera, I., &amp; Edberg, M. (2018). Immigrant trauma and mental health outcomes among latino youth. </w:t>
      </w:r>
      <w:r w:rsidRPr="00BB49B8">
        <w:rPr>
          <w:i/>
          <w:color w:val="000000"/>
          <w:lang w:val="en-US"/>
        </w:rPr>
        <w:t>Journal of Inmigrant Minority Health</w:t>
      </w:r>
      <w:r w:rsidRPr="00BB49B8">
        <w:rPr>
          <w:color w:val="000000"/>
          <w:lang w:val="en-US"/>
        </w:rPr>
        <w:t xml:space="preserve">,  </w:t>
      </w:r>
      <w:r w:rsidRPr="00BB49B8">
        <w:rPr>
          <w:i/>
          <w:color w:val="000000"/>
          <w:lang w:val="en-US"/>
        </w:rPr>
        <w:t>20(</w:t>
      </w:r>
      <w:r w:rsidRPr="00BB49B8">
        <w:rPr>
          <w:color w:val="000000"/>
          <w:lang w:val="en-US"/>
        </w:rPr>
        <w:t>5), 1053-1059. https://doi.org/10.1007/s10903-017-0673-6</w:t>
      </w:r>
    </w:p>
    <w:p w14:paraId="785DC3D4" w14:textId="77777777" w:rsidR="003A3994" w:rsidRPr="00BB49B8" w:rsidRDefault="007E4542" w:rsidP="00331804">
      <w:pPr>
        <w:spacing w:line="360" w:lineRule="auto"/>
        <w:ind w:left="720" w:hanging="720"/>
        <w:jc w:val="both"/>
        <w:rPr>
          <w:color w:val="000000"/>
          <w:lang w:val="en-US"/>
        </w:rPr>
      </w:pPr>
      <w:r w:rsidRPr="00BB49B8">
        <w:rPr>
          <w:lang w:val="pt-BR"/>
        </w:rPr>
        <w:t>Cobb</w:t>
      </w:r>
      <w:r w:rsidRPr="00BB49B8">
        <w:rPr>
          <w:color w:val="000000"/>
          <w:lang w:val="pt-BR"/>
        </w:rPr>
        <w:t xml:space="preserve">, C. L., Branscombe, N. R., Meca, A., Schwartz, S. J., Xie, D., Zea, M. C., Molina, L. &amp; Martinez Jr, C. R. (2019). </w:t>
      </w:r>
      <w:r w:rsidRPr="00BB49B8">
        <w:rPr>
          <w:color w:val="000000"/>
          <w:lang w:val="en-US"/>
        </w:rPr>
        <w:t xml:space="preserve">Toward a positive psychology of immigrants. </w:t>
      </w:r>
      <w:r w:rsidRPr="00BB49B8">
        <w:rPr>
          <w:i/>
          <w:color w:val="000000"/>
          <w:lang w:val="en-US"/>
        </w:rPr>
        <w:t>Perspectives on Psychological Science</w:t>
      </w:r>
      <w:r w:rsidRPr="00BB49B8">
        <w:rPr>
          <w:color w:val="000000"/>
          <w:lang w:val="en-US"/>
        </w:rPr>
        <w:t xml:space="preserve">, </w:t>
      </w:r>
      <w:r w:rsidRPr="00BB49B8">
        <w:rPr>
          <w:i/>
          <w:color w:val="000000"/>
          <w:lang w:val="en-US"/>
        </w:rPr>
        <w:t>14</w:t>
      </w:r>
      <w:r w:rsidRPr="00BB49B8">
        <w:rPr>
          <w:color w:val="000000"/>
          <w:lang w:val="en-US"/>
        </w:rPr>
        <w:t xml:space="preserve">(4), 619-632. </w:t>
      </w:r>
      <w:hyperlink r:id="rId21">
        <w:r w:rsidRPr="00BB49B8">
          <w:rPr>
            <w:color w:val="000000"/>
            <w:u w:val="single"/>
            <w:lang w:val="en-US"/>
          </w:rPr>
          <w:t>https://doi.org/10.1177/17456916198258</w:t>
        </w:r>
      </w:hyperlink>
    </w:p>
    <w:p w14:paraId="402E8A9C" w14:textId="77777777" w:rsidR="003A3994" w:rsidRPr="007F2EF5" w:rsidRDefault="007E4542" w:rsidP="00331804">
      <w:pPr>
        <w:spacing w:line="360" w:lineRule="auto"/>
        <w:ind w:left="720" w:hanging="720"/>
        <w:jc w:val="both"/>
        <w:rPr>
          <w:color w:val="000000"/>
        </w:rPr>
      </w:pPr>
      <w:r w:rsidRPr="00BB49B8">
        <w:rPr>
          <w:color w:val="000000"/>
          <w:lang w:val="en-US"/>
        </w:rPr>
        <w:t xml:space="preserve">Cohen, J. (1992). A power prime. </w:t>
      </w:r>
      <w:r w:rsidRPr="00BB49B8">
        <w:rPr>
          <w:i/>
          <w:color w:val="000000"/>
          <w:lang w:val="en-US"/>
        </w:rPr>
        <w:t>Psychological Bulletin</w:t>
      </w:r>
      <w:r w:rsidRPr="00BB49B8">
        <w:rPr>
          <w:color w:val="000000"/>
          <w:lang w:val="en-US"/>
        </w:rPr>
        <w:t xml:space="preserve">, </w:t>
      </w:r>
      <w:r w:rsidRPr="00BB49B8">
        <w:rPr>
          <w:i/>
          <w:color w:val="000000"/>
          <w:lang w:val="en-US"/>
        </w:rPr>
        <w:t>112</w:t>
      </w:r>
      <w:r w:rsidRPr="00BB49B8">
        <w:rPr>
          <w:color w:val="000000"/>
          <w:lang w:val="en-US"/>
        </w:rPr>
        <w:t xml:space="preserve">(1), 155-159. </w:t>
      </w:r>
      <w:hyperlink r:id="rId22">
        <w:r w:rsidRPr="007F2EF5">
          <w:rPr>
            <w:color w:val="000000"/>
            <w:u w:val="single"/>
          </w:rPr>
          <w:t>https://doi.org/10.1037//0033-2909.112.1.155</w:t>
        </w:r>
      </w:hyperlink>
    </w:p>
    <w:p w14:paraId="54886068" w14:textId="77777777" w:rsidR="003A3994" w:rsidRPr="00BB49B8" w:rsidRDefault="007E4542" w:rsidP="00331804">
      <w:pPr>
        <w:pBdr>
          <w:top w:val="nil"/>
          <w:left w:val="nil"/>
          <w:bottom w:val="nil"/>
          <w:right w:val="nil"/>
          <w:between w:val="nil"/>
        </w:pBdr>
        <w:spacing w:line="360" w:lineRule="auto"/>
        <w:ind w:left="720" w:hanging="720"/>
        <w:jc w:val="both"/>
        <w:rPr>
          <w:color w:val="000000"/>
          <w:lang w:val="en-US"/>
        </w:rPr>
      </w:pPr>
      <w:r w:rsidRPr="00BB49B8">
        <w:rPr>
          <w:color w:val="000000"/>
        </w:rPr>
        <w:t xml:space="preserve">Elgorriaga, E., Ibabe, I., &amp; Arnoso, A. (2019). Salud mental de inmigrantes españoles en Alemania y Reino Unido en comparación con no inmigrantes y factores protectores de la migración. </w:t>
      </w:r>
      <w:r w:rsidRPr="00BB49B8">
        <w:rPr>
          <w:i/>
          <w:color w:val="000000"/>
          <w:lang w:val="en-US"/>
        </w:rPr>
        <w:t xml:space="preserve">Psychosocial Intervention. 28 (1) </w:t>
      </w:r>
      <w:r w:rsidRPr="00BB49B8">
        <w:rPr>
          <w:color w:val="000000"/>
          <w:lang w:val="en-US"/>
        </w:rPr>
        <w:t>19-27. https://doi.org/10.5093/, pi2018a16.</w:t>
      </w:r>
    </w:p>
    <w:p w14:paraId="0EE7588A" w14:textId="77777777" w:rsidR="003A3994" w:rsidRPr="00BB49B8" w:rsidRDefault="007E4542" w:rsidP="00331804">
      <w:pPr>
        <w:pBdr>
          <w:top w:val="nil"/>
          <w:left w:val="nil"/>
          <w:bottom w:val="nil"/>
          <w:right w:val="nil"/>
          <w:between w:val="nil"/>
        </w:pBdr>
        <w:spacing w:line="360" w:lineRule="auto"/>
        <w:ind w:left="720" w:hanging="720"/>
        <w:jc w:val="both"/>
        <w:rPr>
          <w:color w:val="000000"/>
          <w:lang w:val="en-US"/>
        </w:rPr>
      </w:pPr>
      <w:r w:rsidRPr="00BB49B8">
        <w:rPr>
          <w:color w:val="000000"/>
          <w:lang w:val="en-US"/>
        </w:rPr>
        <w:lastRenderedPageBreak/>
        <w:t xml:space="preserve">Fanfan, D., Rodríguez, C. S., Groer, M., Weaver, M., &amp; Stacciarini, J. M. R. (2020). Stress and depression in the context of migration among Haitians in the United States. </w:t>
      </w:r>
      <w:r w:rsidRPr="00BB49B8">
        <w:rPr>
          <w:i/>
          <w:color w:val="000000"/>
          <w:lang w:val="en-US"/>
        </w:rPr>
        <w:t>Health &amp; Social Care in the Community</w:t>
      </w:r>
      <w:r w:rsidRPr="00BB49B8">
        <w:rPr>
          <w:color w:val="000000"/>
          <w:lang w:val="en-US"/>
        </w:rPr>
        <w:t xml:space="preserve">, </w:t>
      </w:r>
      <w:r w:rsidRPr="00BB49B8">
        <w:rPr>
          <w:i/>
          <w:color w:val="000000"/>
          <w:lang w:val="en-US"/>
        </w:rPr>
        <w:t>28</w:t>
      </w:r>
      <w:r w:rsidRPr="00BB49B8">
        <w:rPr>
          <w:color w:val="000000"/>
          <w:lang w:val="en-US"/>
        </w:rPr>
        <w:t xml:space="preserve">(5), 1795-1806. </w:t>
      </w:r>
      <w:hyperlink r:id="rId23">
        <w:r w:rsidRPr="00BB49B8">
          <w:rPr>
            <w:color w:val="000000"/>
            <w:lang w:val="en-US"/>
          </w:rPr>
          <w:t>https://doi.org/10.1111/hsc.13006</w:t>
        </w:r>
      </w:hyperlink>
    </w:p>
    <w:p w14:paraId="5C3C690B" w14:textId="77777777" w:rsidR="003A3994" w:rsidRPr="00BB49B8" w:rsidRDefault="007E4542" w:rsidP="00331804">
      <w:pPr>
        <w:spacing w:line="360" w:lineRule="auto"/>
        <w:ind w:left="720" w:hanging="720"/>
        <w:jc w:val="both"/>
        <w:rPr>
          <w:color w:val="000000"/>
          <w:lang w:val="en-US"/>
        </w:rPr>
      </w:pPr>
      <w:r w:rsidRPr="00BB49B8">
        <w:rPr>
          <w:color w:val="000000"/>
          <w:lang w:val="en-US"/>
        </w:rPr>
        <w:t xml:space="preserve">Fen, L. R. (2020) </w:t>
      </w:r>
      <w:r w:rsidRPr="00BB49B8">
        <w:rPr>
          <w:i/>
          <w:color w:val="000000"/>
          <w:lang w:val="en-US"/>
        </w:rPr>
        <w:t xml:space="preserve">Resilience, Mindfulness and psychological well-being among nursing students  </w:t>
      </w:r>
      <w:r w:rsidRPr="00BB49B8">
        <w:rPr>
          <w:color w:val="000000"/>
          <w:lang w:val="en-US"/>
        </w:rPr>
        <w:t xml:space="preserve">    [Tesis de maestría, Universidad Utara Malaysia]. UMM Electronic Theses and Dissertation. </w:t>
      </w:r>
      <w:hyperlink r:id="rId24">
        <w:r w:rsidRPr="00BB49B8">
          <w:rPr>
            <w:color w:val="000000"/>
            <w:lang w:val="en-US"/>
          </w:rPr>
          <w:t>https://etd.uum.edu.my/id/eprint/9222</w:t>
        </w:r>
      </w:hyperlink>
      <w:r w:rsidRPr="00BB49B8">
        <w:rPr>
          <w:color w:val="000000"/>
          <w:lang w:val="en-US"/>
        </w:rPr>
        <w:t xml:space="preserve"> </w:t>
      </w:r>
    </w:p>
    <w:p w14:paraId="1496ACB5" w14:textId="77777777" w:rsidR="003A3994" w:rsidRPr="00BB49B8" w:rsidRDefault="007E4542" w:rsidP="00331804">
      <w:pPr>
        <w:spacing w:line="360" w:lineRule="auto"/>
        <w:ind w:left="720" w:hanging="720"/>
        <w:jc w:val="both"/>
        <w:rPr>
          <w:color w:val="000000"/>
        </w:rPr>
      </w:pPr>
      <w:r w:rsidRPr="00BB49B8">
        <w:rPr>
          <w:color w:val="000000"/>
        </w:rPr>
        <w:t>Fernández</w:t>
      </w:r>
      <w:r w:rsidRPr="00BB49B8">
        <w:t>-</w:t>
      </w:r>
      <w:r w:rsidRPr="00BB49B8">
        <w:rPr>
          <w:color w:val="000000"/>
        </w:rPr>
        <w:t xml:space="preserve">Ozcorta, E. J., Sáenz-López Buñuel, P., Almansa, G., Budia, M. A., López, J. L., Márquez, M. J., Martínez, A. I., Palacios, B., Peña, M. D. M., Santafe, P., &amp; Zafra, J. (2014). Efecto de un programa de mindfulness sobre variables motivacionales y psicológicas en educación primaria. </w:t>
      </w:r>
      <w:r w:rsidRPr="00BB49B8">
        <w:rPr>
          <w:i/>
          <w:color w:val="000000"/>
        </w:rPr>
        <w:t>E-Motion: Revista De Educación, Motricidad E Investigación</w:t>
      </w:r>
      <w:r w:rsidRPr="00BB49B8">
        <w:rPr>
          <w:color w:val="000000"/>
        </w:rPr>
        <w:t>, (3), 120-140. https://doi.org/10.33776/remo.v0i3.2449</w:t>
      </w:r>
    </w:p>
    <w:p w14:paraId="736C49D5" w14:textId="77777777" w:rsidR="003A3994" w:rsidRPr="00BB49B8" w:rsidRDefault="007E4542" w:rsidP="00331804">
      <w:pPr>
        <w:spacing w:line="360" w:lineRule="auto"/>
        <w:ind w:left="709" w:hanging="709"/>
        <w:jc w:val="both"/>
        <w:rPr>
          <w:color w:val="000000"/>
        </w:rPr>
      </w:pPr>
      <w:r w:rsidRPr="00BB49B8">
        <w:rPr>
          <w:color w:val="000000"/>
        </w:rPr>
        <w:t xml:space="preserve">García, J. &amp; Demarzo, M. (2015). </w:t>
      </w:r>
      <w:r w:rsidRPr="00BB49B8">
        <w:rPr>
          <w:i/>
          <w:color w:val="000000"/>
        </w:rPr>
        <w:t xml:space="preserve"> Manual práctico Mindfulness: Curiosidad y Aceptación</w:t>
      </w:r>
      <w:r w:rsidRPr="00BB49B8">
        <w:rPr>
          <w:color w:val="000000"/>
        </w:rPr>
        <w:t>. Sigalntana.</w:t>
      </w:r>
    </w:p>
    <w:p w14:paraId="1C59656B" w14:textId="77777777" w:rsidR="003A3994" w:rsidRPr="00BB49B8" w:rsidRDefault="007E4542" w:rsidP="00331804">
      <w:pPr>
        <w:pBdr>
          <w:top w:val="nil"/>
          <w:left w:val="nil"/>
          <w:bottom w:val="nil"/>
          <w:right w:val="nil"/>
          <w:between w:val="nil"/>
        </w:pBdr>
        <w:spacing w:line="360" w:lineRule="auto"/>
        <w:ind w:left="709" w:hanging="709"/>
        <w:jc w:val="both"/>
        <w:rPr>
          <w:color w:val="000000"/>
        </w:rPr>
      </w:pPr>
      <w:r w:rsidRPr="00BB49B8">
        <w:rPr>
          <w:color w:val="000000"/>
        </w:rPr>
        <w:t xml:space="preserve">García, M., </w:t>
      </w:r>
      <w:r w:rsidRPr="00BB49B8">
        <w:t>&amp;</w:t>
      </w:r>
      <w:r w:rsidRPr="00BB49B8">
        <w:rPr>
          <w:color w:val="000000"/>
        </w:rPr>
        <w:t xml:space="preserve"> Domínguez, E. (2013). Desarrollo teórico de la Resiliencia y su aplicación en situaciones adversas: Una revisión analítica. </w:t>
      </w:r>
      <w:r w:rsidRPr="00BB49B8">
        <w:rPr>
          <w:i/>
          <w:color w:val="000000"/>
        </w:rPr>
        <w:t>Revista Latinoamericana de Ciencias Sociales, Niñez y Juventud</w:t>
      </w:r>
      <w:r w:rsidRPr="00BB49B8">
        <w:rPr>
          <w:color w:val="000000"/>
        </w:rPr>
        <w:t xml:space="preserve">, 63-77. Recuperado de: </w:t>
      </w:r>
      <w:hyperlink r:id="rId25">
        <w:r w:rsidRPr="00BB49B8">
          <w:rPr>
            <w:color w:val="000000"/>
            <w:u w:val="single"/>
          </w:rPr>
          <w:t>https://www.redalyc.org/pdf/773/77325885001.pdf</w:t>
        </w:r>
      </w:hyperlink>
    </w:p>
    <w:p w14:paraId="2C948939" w14:textId="77777777" w:rsidR="003A3994" w:rsidRPr="00BB49B8" w:rsidRDefault="007E4542" w:rsidP="00331804">
      <w:pPr>
        <w:spacing w:line="360" w:lineRule="auto"/>
        <w:ind w:left="709" w:hanging="709"/>
        <w:jc w:val="both"/>
        <w:rPr>
          <w:color w:val="000000"/>
          <w:lang w:val="pt-BR"/>
        </w:rPr>
      </w:pPr>
      <w:r w:rsidRPr="00BB49B8">
        <w:rPr>
          <w:color w:val="000000"/>
        </w:rPr>
        <w:t xml:space="preserve">Germer, C. (2011). </w:t>
      </w:r>
      <w:r w:rsidRPr="00BB49B8">
        <w:rPr>
          <w:i/>
          <w:color w:val="000000"/>
        </w:rPr>
        <w:t>El poder del mindfulness</w:t>
      </w:r>
      <w:r w:rsidRPr="00BB49B8">
        <w:rPr>
          <w:color w:val="000000"/>
        </w:rPr>
        <w:t xml:space="preserve">. </w:t>
      </w:r>
      <w:r w:rsidRPr="00BB49B8">
        <w:rPr>
          <w:color w:val="000000"/>
          <w:lang w:val="pt-BR"/>
        </w:rPr>
        <w:t>Paidós.</w:t>
      </w:r>
    </w:p>
    <w:p w14:paraId="596110E5" w14:textId="77777777" w:rsidR="003A3994" w:rsidRPr="00BB49B8" w:rsidRDefault="007E4542" w:rsidP="00331804">
      <w:pPr>
        <w:spacing w:line="360" w:lineRule="auto"/>
        <w:ind w:left="709" w:hanging="709"/>
        <w:jc w:val="both"/>
        <w:rPr>
          <w:color w:val="000000"/>
        </w:rPr>
      </w:pPr>
      <w:r w:rsidRPr="00BB49B8">
        <w:rPr>
          <w:color w:val="000000"/>
          <w:lang w:val="pt-BR"/>
        </w:rPr>
        <w:t xml:space="preserve">Gómez, M. &amp; Espinosa, A. (2021). </w:t>
      </w:r>
      <w:r w:rsidRPr="00BB49B8">
        <w:rPr>
          <w:color w:val="000000"/>
        </w:rPr>
        <w:t xml:space="preserve">Percepción de amenaza como mediadora de la relación entre los estereotipos y el prejuicio hacia los migrantes venezolanos en Perú. </w:t>
      </w:r>
      <w:r w:rsidRPr="00BB49B8">
        <w:rPr>
          <w:i/>
          <w:color w:val="000000"/>
        </w:rPr>
        <w:t>Liberabit</w:t>
      </w:r>
      <w:r w:rsidRPr="00BB49B8">
        <w:rPr>
          <w:color w:val="000000"/>
        </w:rPr>
        <w:t xml:space="preserve"> . https://doi.org/10.24265/liberabit.2021.v27n1.04</w:t>
      </w:r>
    </w:p>
    <w:p w14:paraId="7BD1FC13" w14:textId="77777777" w:rsidR="003A3994" w:rsidRPr="00BB49B8" w:rsidRDefault="007E4542" w:rsidP="00331804">
      <w:pPr>
        <w:pBdr>
          <w:top w:val="nil"/>
          <w:left w:val="nil"/>
          <w:bottom w:val="nil"/>
          <w:right w:val="nil"/>
          <w:between w:val="nil"/>
        </w:pBdr>
        <w:spacing w:line="360" w:lineRule="auto"/>
        <w:ind w:left="709" w:hanging="709"/>
        <w:jc w:val="both"/>
        <w:rPr>
          <w:color w:val="000000"/>
          <w:lang w:val="en-US"/>
        </w:rPr>
      </w:pPr>
      <w:r w:rsidRPr="00BB49B8">
        <w:rPr>
          <w:color w:val="000000"/>
        </w:rPr>
        <w:t xml:space="preserve">Greenberg, M. (2018). Mindfulness y Neuroplasticidad para un cerebro a prueba de estrés. </w:t>
      </w:r>
      <w:r w:rsidRPr="00BB49B8">
        <w:rPr>
          <w:color w:val="000000"/>
          <w:lang w:val="en-US"/>
        </w:rPr>
        <w:t>Editorial Sirio S.A.</w:t>
      </w:r>
    </w:p>
    <w:p w14:paraId="41C071C5" w14:textId="77777777" w:rsidR="003A3994" w:rsidRPr="00BB49B8" w:rsidRDefault="007E4542" w:rsidP="00331804">
      <w:pPr>
        <w:spacing w:line="360" w:lineRule="auto"/>
        <w:ind w:left="709" w:hanging="709"/>
        <w:jc w:val="both"/>
        <w:rPr>
          <w:color w:val="000000"/>
          <w:lang w:val="en-US"/>
        </w:rPr>
      </w:pPr>
      <w:r w:rsidRPr="00BB49B8">
        <w:rPr>
          <w:color w:val="000000"/>
          <w:lang w:val="en-US"/>
        </w:rPr>
        <w:t xml:space="preserve">Gu, J., Strauss, C., Bond, R., &amp; Cavanagh, K. (2015). How do mindfulness-based cognitive therapy and mindfulness-based stress reduction improve mental health and wellbeing? A systematic review and meta-analysis of mediation studies. </w:t>
      </w:r>
      <w:r w:rsidRPr="00BB49B8">
        <w:rPr>
          <w:i/>
          <w:color w:val="000000"/>
          <w:lang w:val="en-US"/>
        </w:rPr>
        <w:t>Clinical Psychology Review</w:t>
      </w:r>
      <w:r w:rsidRPr="00BB49B8">
        <w:rPr>
          <w:color w:val="000000"/>
          <w:lang w:val="en-US"/>
        </w:rPr>
        <w:t xml:space="preserve">, </w:t>
      </w:r>
      <w:r w:rsidRPr="00BB49B8">
        <w:rPr>
          <w:i/>
          <w:color w:val="000000"/>
          <w:lang w:val="en-US"/>
        </w:rPr>
        <w:t>37,</w:t>
      </w:r>
      <w:r w:rsidRPr="00BB49B8">
        <w:rPr>
          <w:color w:val="000000"/>
          <w:lang w:val="en-US"/>
        </w:rPr>
        <w:t xml:space="preserve">1-12. </w:t>
      </w:r>
      <w:hyperlink r:id="rId26">
        <w:r w:rsidRPr="00BB49B8">
          <w:rPr>
            <w:color w:val="000000"/>
            <w:u w:val="single"/>
            <w:lang w:val="en-US"/>
          </w:rPr>
          <w:t>https://doi.org/10.1016/j.cpr.2015.01.006</w:t>
        </w:r>
      </w:hyperlink>
    </w:p>
    <w:p w14:paraId="0ED958A1" w14:textId="77777777" w:rsidR="003A3994" w:rsidRPr="00BB49B8" w:rsidRDefault="007E4542" w:rsidP="00331804">
      <w:pPr>
        <w:spacing w:line="360" w:lineRule="auto"/>
        <w:ind w:left="709" w:hanging="709"/>
        <w:jc w:val="both"/>
        <w:rPr>
          <w:color w:val="000000"/>
          <w:lang w:val="en-US"/>
        </w:rPr>
      </w:pPr>
      <w:r w:rsidRPr="00BB49B8">
        <w:rPr>
          <w:color w:val="000000"/>
          <w:lang w:val="en-US"/>
        </w:rPr>
        <w:t xml:space="preserve">Guha, M. (Ed.).(2017). </w:t>
      </w:r>
      <w:r w:rsidRPr="00BB49B8">
        <w:rPr>
          <w:i/>
          <w:color w:val="000000"/>
          <w:lang w:val="en-US"/>
        </w:rPr>
        <w:t>APA College Dictionary of Psychology.</w:t>
      </w:r>
      <w:r w:rsidRPr="00BB49B8">
        <w:rPr>
          <w:color w:val="000000"/>
          <w:lang w:val="en-US"/>
        </w:rPr>
        <w:t xml:space="preserve"> American Psychological Association</w:t>
      </w:r>
    </w:p>
    <w:p w14:paraId="4329C598" w14:textId="77777777" w:rsidR="003A3994" w:rsidRPr="00BB49B8" w:rsidRDefault="007E4542" w:rsidP="00331804">
      <w:pPr>
        <w:spacing w:line="360" w:lineRule="auto"/>
        <w:ind w:left="709" w:hanging="709"/>
        <w:jc w:val="both"/>
        <w:rPr>
          <w:color w:val="000000"/>
          <w:lang w:val="en-US"/>
        </w:rPr>
      </w:pPr>
      <w:r w:rsidRPr="00BB49B8">
        <w:rPr>
          <w:color w:val="000000"/>
          <w:lang w:val="en-US"/>
        </w:rPr>
        <w:lastRenderedPageBreak/>
        <w:t xml:space="preserve">Hahad, O., Prochaska, J. H., Daiber, A., &amp; Muenzel, T. (2019). Environmental noise-induced effects on stress hormones, oxidative stress, and vascular dysfunction: key factors in the relationship between cerebrocardiovascular and psychological disorders. Oxidative medicine and cellular longevity, 2019. </w:t>
      </w:r>
      <w:hyperlink r:id="rId27">
        <w:r w:rsidRPr="00BB49B8">
          <w:rPr>
            <w:color w:val="000000"/>
            <w:lang w:val="en-US"/>
          </w:rPr>
          <w:t>https://doi.org/10.1155/2019/4623109</w:t>
        </w:r>
      </w:hyperlink>
    </w:p>
    <w:p w14:paraId="348E3F65" w14:textId="77777777" w:rsidR="003A3994" w:rsidRPr="00BB49B8" w:rsidRDefault="007E4542" w:rsidP="00331804">
      <w:pPr>
        <w:spacing w:line="360" w:lineRule="auto"/>
        <w:ind w:left="709" w:hanging="709"/>
        <w:jc w:val="both"/>
        <w:rPr>
          <w:color w:val="000000"/>
          <w:lang w:val="en-US"/>
        </w:rPr>
      </w:pPr>
      <w:r w:rsidRPr="00BB49B8">
        <w:rPr>
          <w:color w:val="000000"/>
          <w:lang w:val="en-US"/>
        </w:rPr>
        <w:t xml:space="preserve">Hayes, A. M. &amp; Feldman, G. (2004). Clarifying the construct of mindfulness in the context of emotion regulation and the process of change in therapy. </w:t>
      </w:r>
      <w:r w:rsidRPr="00BB49B8">
        <w:rPr>
          <w:i/>
          <w:color w:val="000000"/>
          <w:lang w:val="en-US"/>
        </w:rPr>
        <w:t>Clinical Psychology: Science and Practice,</w:t>
      </w:r>
      <w:r w:rsidRPr="00BB49B8">
        <w:rPr>
          <w:color w:val="000000"/>
          <w:lang w:val="en-US"/>
        </w:rPr>
        <w:t xml:space="preserve"> </w:t>
      </w:r>
      <w:r w:rsidRPr="00BB49B8">
        <w:rPr>
          <w:i/>
          <w:color w:val="000000"/>
          <w:lang w:val="en-US"/>
        </w:rPr>
        <w:t>11</w:t>
      </w:r>
      <w:r w:rsidRPr="00BB49B8">
        <w:rPr>
          <w:color w:val="000000"/>
          <w:lang w:val="en-US"/>
        </w:rPr>
        <w:t>(3), 225-262. doi:10.1093/clipsy.bph080.</w:t>
      </w:r>
    </w:p>
    <w:p w14:paraId="5022E41A" w14:textId="77777777" w:rsidR="003A3994" w:rsidRPr="00BB49B8" w:rsidRDefault="007E4542" w:rsidP="00331804">
      <w:pPr>
        <w:spacing w:line="360" w:lineRule="auto"/>
        <w:ind w:left="709" w:hanging="709"/>
        <w:jc w:val="both"/>
        <w:rPr>
          <w:color w:val="000000"/>
          <w:lang w:val="en-US"/>
        </w:rPr>
      </w:pPr>
      <w:r w:rsidRPr="00BB49B8">
        <w:rPr>
          <w:color w:val="000000"/>
          <w:lang w:val="en-US"/>
        </w:rPr>
        <w:t xml:space="preserve">Hepburn, S. J., Carroll, A., &amp; McCuaig, L. (2021). The relationship between mindful attention awareness, perceived stress and subjective wellbeing. </w:t>
      </w:r>
      <w:r w:rsidRPr="00BB49B8">
        <w:rPr>
          <w:i/>
          <w:color w:val="000000"/>
          <w:lang w:val="en-US"/>
        </w:rPr>
        <w:t>International Journal of Environmental Research and Public Health</w:t>
      </w:r>
      <w:r w:rsidRPr="00BB49B8">
        <w:rPr>
          <w:color w:val="000000"/>
          <w:lang w:val="en-US"/>
        </w:rPr>
        <w:t xml:space="preserve">, </w:t>
      </w:r>
      <w:r w:rsidRPr="00BB49B8">
        <w:rPr>
          <w:i/>
          <w:color w:val="000000"/>
          <w:lang w:val="en-US"/>
        </w:rPr>
        <w:t>18</w:t>
      </w:r>
      <w:r w:rsidRPr="00BB49B8">
        <w:rPr>
          <w:color w:val="000000"/>
          <w:lang w:val="en-US"/>
        </w:rPr>
        <w:t>(23), 12290.</w:t>
      </w:r>
    </w:p>
    <w:p w14:paraId="65958E30" w14:textId="77777777" w:rsidR="003A3994" w:rsidRPr="00BB49B8" w:rsidRDefault="007E4542" w:rsidP="00331804">
      <w:pPr>
        <w:spacing w:line="360" w:lineRule="auto"/>
        <w:ind w:left="709" w:hanging="709"/>
        <w:jc w:val="both"/>
        <w:rPr>
          <w:color w:val="000000"/>
        </w:rPr>
      </w:pPr>
      <w:r w:rsidRPr="00BB49B8">
        <w:rPr>
          <w:color w:val="000000"/>
          <w:lang w:val="en-US"/>
        </w:rPr>
        <w:t xml:space="preserve">Hernández, O. (2021). </w:t>
      </w:r>
      <w:r w:rsidRPr="00BB49B8">
        <w:rPr>
          <w:color w:val="000000"/>
        </w:rPr>
        <w:t xml:space="preserve">Aproximación a los distintos tipos de muestreo no probabilístico que existe. </w:t>
      </w:r>
      <w:r w:rsidRPr="00BB49B8">
        <w:rPr>
          <w:i/>
          <w:color w:val="000000"/>
        </w:rPr>
        <w:t>Revista Cubana de Medicina General Integral,</w:t>
      </w:r>
      <w:r w:rsidRPr="00BB49B8">
        <w:rPr>
          <w:color w:val="000000"/>
        </w:rPr>
        <w:t xml:space="preserve"> </w:t>
      </w:r>
      <w:r w:rsidRPr="00BB49B8">
        <w:rPr>
          <w:i/>
          <w:color w:val="000000"/>
        </w:rPr>
        <w:t>37(3)</w:t>
      </w:r>
      <w:r w:rsidRPr="00BB49B8">
        <w:rPr>
          <w:color w:val="000000"/>
        </w:rPr>
        <w:t>. http://scielo.sld.cu/scielo.php?pid=S0864-21252021000300002&amp;script=sci_arttext</w:t>
      </w:r>
    </w:p>
    <w:p w14:paraId="357CB1FD" w14:textId="77777777" w:rsidR="003A3994" w:rsidRPr="00BB49B8" w:rsidRDefault="007E4542" w:rsidP="00331804">
      <w:pPr>
        <w:spacing w:line="360" w:lineRule="auto"/>
        <w:rPr>
          <w:color w:val="000000"/>
          <w:lang w:val="en-US"/>
        </w:rPr>
      </w:pPr>
      <w:r w:rsidRPr="00BB49B8">
        <w:rPr>
          <w:color w:val="000000"/>
          <w:lang w:val="en-US"/>
        </w:rPr>
        <w:t xml:space="preserve">Immink, R. (2018).  </w:t>
      </w:r>
      <w:r w:rsidRPr="00BB49B8">
        <w:rPr>
          <w:i/>
          <w:color w:val="000000"/>
          <w:lang w:val="en-US"/>
        </w:rPr>
        <w:t>Resilience</w:t>
      </w:r>
      <w:r w:rsidRPr="00BB49B8">
        <w:rPr>
          <w:color w:val="000000"/>
          <w:lang w:val="en-US"/>
        </w:rPr>
        <w:t>. Oak Tree Press</w:t>
      </w:r>
    </w:p>
    <w:p w14:paraId="0BC4F5A1" w14:textId="77777777" w:rsidR="003A3994" w:rsidRPr="00BB49B8" w:rsidRDefault="007E4542" w:rsidP="00331804">
      <w:pPr>
        <w:spacing w:line="360" w:lineRule="auto"/>
        <w:ind w:left="720" w:hanging="720"/>
        <w:jc w:val="both"/>
        <w:rPr>
          <w:color w:val="000000"/>
          <w:lang w:val="en-US"/>
        </w:rPr>
      </w:pPr>
      <w:r w:rsidRPr="00BB49B8">
        <w:rPr>
          <w:color w:val="000000"/>
          <w:lang w:val="en-US"/>
        </w:rPr>
        <w:t xml:space="preserve">International Organization for Migration (2019). </w:t>
      </w:r>
      <w:r w:rsidRPr="00BB49B8">
        <w:rPr>
          <w:i/>
          <w:color w:val="000000"/>
          <w:lang w:val="en-US"/>
        </w:rPr>
        <w:t>World migration report 2020</w:t>
      </w:r>
      <w:r w:rsidRPr="00BB49B8">
        <w:rPr>
          <w:color w:val="000000"/>
          <w:lang w:val="en-US"/>
        </w:rPr>
        <w:t xml:space="preserve">. </w:t>
      </w:r>
      <w:hyperlink r:id="rId28">
        <w:r w:rsidRPr="00BB49B8">
          <w:rPr>
            <w:color w:val="000000"/>
            <w:u w:val="single"/>
            <w:lang w:val="en-US"/>
          </w:rPr>
          <w:t>https://publications.iom.int/system/files/pdf/wmr_2020.pdf</w:t>
        </w:r>
      </w:hyperlink>
    </w:p>
    <w:p w14:paraId="1E0FD63D" w14:textId="77777777" w:rsidR="003A3994" w:rsidRPr="00BB49B8" w:rsidRDefault="007E4542" w:rsidP="00331804">
      <w:pPr>
        <w:spacing w:line="360" w:lineRule="auto"/>
        <w:ind w:left="720" w:hanging="720"/>
        <w:jc w:val="both"/>
      </w:pPr>
      <w:r w:rsidRPr="00BB49B8">
        <w:rPr>
          <w:color w:val="000000"/>
          <w:lang w:val="en-US"/>
        </w:rPr>
        <w:t xml:space="preserve">International Organization for Migration (2022). </w:t>
      </w:r>
      <w:r w:rsidRPr="00BB49B8">
        <w:rPr>
          <w:i/>
          <w:color w:val="000000"/>
          <w:lang w:val="en-US"/>
        </w:rPr>
        <w:t>Integration of Venezuela migrants in vulnerable situations in Peru</w:t>
      </w:r>
      <w:r w:rsidRPr="00BB49B8">
        <w:rPr>
          <w:color w:val="000000"/>
          <w:lang w:val="en-US"/>
        </w:rPr>
        <w:t xml:space="preserve">. </w:t>
      </w:r>
      <w:hyperlink r:id="rId29">
        <w:r w:rsidRPr="00BB49B8">
          <w:rPr>
            <w:color w:val="000000"/>
            <w:u w:val="single"/>
          </w:rPr>
          <w:t>https://peru.iom.int/sites/g/files/tmzbdl951/files/documents/Peru%20Study%20Report_EN_Dic2022.pdf</w:t>
        </w:r>
      </w:hyperlink>
    </w:p>
    <w:p w14:paraId="1B6D7C2F" w14:textId="18EC2712" w:rsidR="00D22787" w:rsidRPr="00BB49B8" w:rsidRDefault="00853899" w:rsidP="00331804">
      <w:pPr>
        <w:spacing w:line="360" w:lineRule="auto"/>
        <w:ind w:left="720" w:hanging="720"/>
        <w:jc w:val="both"/>
        <w:rPr>
          <w:color w:val="000000"/>
          <w:lang w:val="en-US"/>
        </w:rPr>
      </w:pPr>
      <w:r w:rsidRPr="00BB49B8">
        <w:rPr>
          <w:color w:val="000000"/>
          <w:lang w:val="en-US"/>
        </w:rPr>
        <w:t>International Union of Psychological Science. (2008). Universal Declaration of Ethical Principles for Psychologists.</w:t>
      </w:r>
      <w:r w:rsidR="00D22787" w:rsidRPr="00BB49B8">
        <w:rPr>
          <w:color w:val="000000"/>
          <w:lang w:val="en-US"/>
        </w:rPr>
        <w:t xml:space="preserve"> https://www.iupsys.net/about/declarations/universal-declaration-of-ethical-principles-for-psychologists/</w:t>
      </w:r>
    </w:p>
    <w:p w14:paraId="609AB734" w14:textId="77777777" w:rsidR="003A3994" w:rsidRPr="00BB49B8" w:rsidRDefault="007E4542" w:rsidP="00331804">
      <w:pPr>
        <w:spacing w:line="360" w:lineRule="auto"/>
        <w:jc w:val="both"/>
        <w:rPr>
          <w:color w:val="000000"/>
          <w:lang w:val="en-US"/>
        </w:rPr>
      </w:pPr>
      <w:r w:rsidRPr="00BB49B8">
        <w:rPr>
          <w:color w:val="000000"/>
          <w:lang w:val="en-US"/>
        </w:rPr>
        <w:t xml:space="preserve">Jasinskaja-Lahti, I., Liebkind, K., Jaakkola, M., &amp; Reuter, A. (2006). Perceived discrimination, social support networks, and psychological well-being among three immigrant groups. Journal of cross-cultural psychology, 37(3), 293-311. </w:t>
      </w:r>
      <w:hyperlink r:id="rId30">
        <w:r w:rsidRPr="00BB49B8">
          <w:rPr>
            <w:color w:val="000000"/>
            <w:lang w:val="en-US"/>
          </w:rPr>
          <w:t>https://doi.org/10.1177/0022022106286</w:t>
        </w:r>
      </w:hyperlink>
    </w:p>
    <w:p w14:paraId="2A7325F3" w14:textId="77777777" w:rsidR="003A3994" w:rsidRPr="00BB49B8" w:rsidRDefault="007E4542" w:rsidP="00331804">
      <w:pPr>
        <w:spacing w:line="360" w:lineRule="auto"/>
        <w:ind w:left="709" w:hanging="709"/>
        <w:jc w:val="both"/>
        <w:rPr>
          <w:color w:val="000000"/>
          <w:lang w:val="en-US"/>
        </w:rPr>
      </w:pPr>
      <w:r w:rsidRPr="00BB49B8">
        <w:rPr>
          <w:color w:val="000000"/>
          <w:lang w:val="en-US"/>
        </w:rPr>
        <w:t xml:space="preserve">Jiménez, S. S., Niles, B. L., &amp; Park, C. L. (2010). A mindfulness model of affect regulation and depressive symptoms: Positive emotions, mood regulation expectancies, and self-acceptance as regulatory mechanisms. </w:t>
      </w:r>
      <w:r w:rsidRPr="00BB49B8">
        <w:rPr>
          <w:i/>
          <w:color w:val="000000"/>
          <w:lang w:val="en-US"/>
        </w:rPr>
        <w:t>Personality and Individual Differences</w:t>
      </w:r>
      <w:r w:rsidRPr="00BB49B8">
        <w:rPr>
          <w:color w:val="000000"/>
          <w:lang w:val="en-US"/>
        </w:rPr>
        <w:t xml:space="preserve">, </w:t>
      </w:r>
      <w:r w:rsidRPr="00BB49B8">
        <w:rPr>
          <w:i/>
          <w:color w:val="000000"/>
          <w:lang w:val="en-US"/>
        </w:rPr>
        <w:t>49</w:t>
      </w:r>
      <w:r w:rsidRPr="00BB49B8">
        <w:rPr>
          <w:color w:val="000000"/>
          <w:lang w:val="en-US"/>
        </w:rPr>
        <w:t xml:space="preserve">(6), 645-650. </w:t>
      </w:r>
      <w:hyperlink r:id="rId31">
        <w:r w:rsidRPr="00BB49B8">
          <w:rPr>
            <w:color w:val="000000"/>
            <w:u w:val="single"/>
            <w:lang w:val="en-US"/>
          </w:rPr>
          <w:t>https://doi.org/10.1016/j.paid.2010.05.041</w:t>
        </w:r>
      </w:hyperlink>
    </w:p>
    <w:p w14:paraId="1E83AFE0" w14:textId="77777777" w:rsidR="003A3994" w:rsidRPr="00BB49B8" w:rsidRDefault="007E4542" w:rsidP="00331804">
      <w:pPr>
        <w:spacing w:line="360" w:lineRule="auto"/>
        <w:ind w:left="709" w:hanging="709"/>
        <w:jc w:val="both"/>
        <w:rPr>
          <w:color w:val="000000"/>
          <w:lang w:val="en-US"/>
        </w:rPr>
      </w:pPr>
      <w:r w:rsidRPr="00BB49B8">
        <w:rPr>
          <w:color w:val="000000"/>
          <w:lang w:val="en-US"/>
        </w:rPr>
        <w:lastRenderedPageBreak/>
        <w:t xml:space="preserve">Jin, Y., Zhang, M., Wang, Y., &amp; An, J. (2020). The relationship between trait mindfulness, loneliness, regulatory emotional self-efficacy, and subjective well-being. </w:t>
      </w:r>
      <w:r w:rsidRPr="00BB49B8">
        <w:rPr>
          <w:i/>
          <w:color w:val="000000"/>
          <w:lang w:val="en-US"/>
        </w:rPr>
        <w:t>Personality and Individual Differences</w:t>
      </w:r>
      <w:r w:rsidRPr="00BB49B8">
        <w:rPr>
          <w:color w:val="000000"/>
          <w:lang w:val="en-US"/>
        </w:rPr>
        <w:t xml:space="preserve">, </w:t>
      </w:r>
      <w:r w:rsidRPr="00BB49B8">
        <w:rPr>
          <w:i/>
          <w:color w:val="000000"/>
          <w:lang w:val="en-US"/>
        </w:rPr>
        <w:t>154</w:t>
      </w:r>
      <w:r w:rsidRPr="00BB49B8">
        <w:rPr>
          <w:color w:val="000000"/>
          <w:lang w:val="en-US"/>
        </w:rPr>
        <w:t>, 109650.</w:t>
      </w:r>
    </w:p>
    <w:p w14:paraId="3CFEDAA0" w14:textId="77777777" w:rsidR="003A3994" w:rsidRPr="00BB49B8" w:rsidRDefault="007E4542" w:rsidP="00331804">
      <w:pPr>
        <w:spacing w:line="360" w:lineRule="auto"/>
        <w:ind w:left="709" w:hanging="709"/>
        <w:jc w:val="both"/>
        <w:rPr>
          <w:color w:val="000000"/>
          <w:lang w:val="en-US"/>
        </w:rPr>
      </w:pPr>
      <w:r w:rsidRPr="00BB49B8">
        <w:rPr>
          <w:color w:val="000000"/>
          <w:lang w:val="en-US"/>
        </w:rPr>
        <w:t>Kevers R, Spaas C, Colpin H, et al. Mental health problems in refugee and immigrant primary school children in Flanders, Belgium. Clinical Child Psychology and Psychiatry. 2022;27(4):938-952. doi:10.1177/13591045221105199</w:t>
      </w:r>
    </w:p>
    <w:p w14:paraId="1815F316" w14:textId="77777777" w:rsidR="003A3994" w:rsidRPr="00BB49B8" w:rsidRDefault="007E4542" w:rsidP="00331804">
      <w:pPr>
        <w:spacing w:line="360" w:lineRule="auto"/>
        <w:ind w:left="709" w:hanging="709"/>
        <w:jc w:val="both"/>
        <w:rPr>
          <w:color w:val="000000"/>
          <w:u w:val="single"/>
        </w:rPr>
      </w:pPr>
      <w:r w:rsidRPr="00BB49B8">
        <w:rPr>
          <w:color w:val="000000"/>
        </w:rPr>
        <w:t xml:space="preserve">Laca, F. A.., Mejía, J. C.., Rodríguez, E., &amp; Carrillo, E.. (2017). Avances en Psicología del Bienestar Subjetivo: Relación entre el Mindfulness y la Satisfacción con la Vida. Uaricha, </w:t>
      </w:r>
      <w:r w:rsidRPr="00BB49B8">
        <w:rPr>
          <w:i/>
          <w:color w:val="000000"/>
        </w:rPr>
        <w:t>Revista De Psicología</w:t>
      </w:r>
      <w:r w:rsidRPr="00BB49B8">
        <w:rPr>
          <w:color w:val="000000"/>
        </w:rPr>
        <w:t xml:space="preserve">, </w:t>
      </w:r>
      <w:r w:rsidRPr="00BB49B8">
        <w:rPr>
          <w:i/>
          <w:color w:val="000000"/>
        </w:rPr>
        <w:t>14</w:t>
      </w:r>
      <w:r w:rsidRPr="00BB49B8">
        <w:rPr>
          <w:color w:val="000000"/>
        </w:rPr>
        <w:t xml:space="preserve">(32), 78–86. </w:t>
      </w:r>
      <w:hyperlink r:id="rId32">
        <w:r w:rsidRPr="00BB49B8">
          <w:rPr>
            <w:color w:val="000000"/>
            <w:u w:val="single"/>
          </w:rPr>
          <w:t>http://www.revistauaricha.umich.mx/index.php/urp/article/view/154</w:t>
        </w:r>
      </w:hyperlink>
    </w:p>
    <w:p w14:paraId="1D1B46FF" w14:textId="77777777" w:rsidR="003A3994" w:rsidRPr="00BB49B8" w:rsidRDefault="007E4542" w:rsidP="00331804">
      <w:pPr>
        <w:spacing w:line="360" w:lineRule="auto"/>
        <w:ind w:left="709" w:hanging="709"/>
        <w:jc w:val="both"/>
        <w:rPr>
          <w:color w:val="000000"/>
        </w:rPr>
      </w:pPr>
      <w:r w:rsidRPr="00BB49B8">
        <w:rPr>
          <w:color w:val="000000"/>
          <w:lang w:val="pt-BR"/>
        </w:rPr>
        <w:t xml:space="preserve">Larenas-Rosa, D., &amp; Valdés, B. C. (2019). </w:t>
      </w:r>
      <w:r w:rsidRPr="00BB49B8">
        <w:rPr>
          <w:color w:val="000000"/>
        </w:rPr>
        <w:t xml:space="preserve">Salud de migrantes internacionales en situación irregular: una revisión narrativa de iniciativas. </w:t>
      </w:r>
      <w:r w:rsidRPr="00BB49B8">
        <w:rPr>
          <w:i/>
          <w:color w:val="000000"/>
        </w:rPr>
        <w:t>Revista Peruana de Medicina Experimental y Salud Pública</w:t>
      </w:r>
      <w:r w:rsidRPr="00BB49B8">
        <w:rPr>
          <w:color w:val="000000"/>
        </w:rPr>
        <w:t xml:space="preserve">, </w:t>
      </w:r>
      <w:r w:rsidRPr="00BB49B8">
        <w:rPr>
          <w:i/>
          <w:color w:val="000000"/>
        </w:rPr>
        <w:t>36</w:t>
      </w:r>
      <w:r w:rsidRPr="00BB49B8">
        <w:rPr>
          <w:color w:val="000000"/>
        </w:rPr>
        <w:t xml:space="preserve">, 487-496.  </w:t>
      </w:r>
      <w:hyperlink r:id="rId33">
        <w:r w:rsidRPr="00BB49B8">
          <w:rPr>
            <w:color w:val="000000"/>
          </w:rPr>
          <w:t>https://doi.org/10.17843/rpmesp.2019.363.4469</w:t>
        </w:r>
      </w:hyperlink>
    </w:p>
    <w:p w14:paraId="3A7F5A5C" w14:textId="77777777" w:rsidR="003A3994" w:rsidRPr="00BB49B8" w:rsidRDefault="007E4542" w:rsidP="00331804">
      <w:pPr>
        <w:spacing w:line="360" w:lineRule="auto"/>
        <w:ind w:left="709" w:hanging="709"/>
        <w:jc w:val="both"/>
        <w:rPr>
          <w:color w:val="000000"/>
        </w:rPr>
      </w:pPr>
      <w:r w:rsidRPr="00BB49B8">
        <w:rPr>
          <w:color w:val="000000"/>
        </w:rPr>
        <w:t xml:space="preserve">Leiva, L., Pineda, M. y Encina, Y. (2013). Autoestima y apoyo social como predictores de la resiliencia en un grupo de adolescentes en vulnerabilidad social. </w:t>
      </w:r>
      <w:r w:rsidRPr="00BB49B8">
        <w:rPr>
          <w:i/>
          <w:color w:val="000000"/>
        </w:rPr>
        <w:t>Revista De Psicología</w:t>
      </w:r>
      <w:r w:rsidRPr="00BB49B8">
        <w:rPr>
          <w:color w:val="000000"/>
        </w:rPr>
        <w:t xml:space="preserve"> , </w:t>
      </w:r>
      <w:r w:rsidRPr="00BB49B8">
        <w:rPr>
          <w:i/>
          <w:color w:val="000000"/>
        </w:rPr>
        <w:t>22</w:t>
      </w:r>
      <w:r w:rsidRPr="00BB49B8">
        <w:rPr>
          <w:color w:val="000000"/>
        </w:rPr>
        <w:t xml:space="preserve"> (2), 111. https://doi.org/10.5354/0719-0581.2013.30859</w:t>
      </w:r>
    </w:p>
    <w:p w14:paraId="42BA5E54" w14:textId="77777777" w:rsidR="003A3994" w:rsidRPr="00BB49B8" w:rsidRDefault="007E4542" w:rsidP="00331804">
      <w:pPr>
        <w:pBdr>
          <w:top w:val="nil"/>
          <w:left w:val="nil"/>
          <w:bottom w:val="nil"/>
          <w:right w:val="nil"/>
          <w:between w:val="nil"/>
        </w:pBdr>
        <w:spacing w:line="360" w:lineRule="auto"/>
        <w:ind w:left="709" w:hanging="709"/>
        <w:jc w:val="both"/>
        <w:rPr>
          <w:color w:val="000000"/>
        </w:rPr>
      </w:pPr>
      <w:r w:rsidRPr="00BB49B8">
        <w:rPr>
          <w:color w:val="000000"/>
        </w:rPr>
        <w:t xml:space="preserve">Luna, D., Figuerola-Escoto, R. P., Contreras-Ramírez, J., Sienra-Monge, J. J. L., Navarrete-Rodríguez, E. M., Serret Montoya, J., &amp; Meneses-González, F. (2020). Propiedades psicométricas de la Escala de Bienestar Psicológico para Adolescentes (BIEPS-J) en una muestra mexicana. </w:t>
      </w:r>
      <w:r w:rsidRPr="00BB49B8">
        <w:rPr>
          <w:i/>
          <w:color w:val="000000"/>
        </w:rPr>
        <w:t>Revista psicodebate: psicología, cultura y sociedad, 20</w:t>
      </w:r>
      <w:r w:rsidRPr="00BB49B8">
        <w:rPr>
          <w:color w:val="000000"/>
        </w:rPr>
        <w:t>(1), 43-55.</w:t>
      </w:r>
      <w:hyperlink r:id="rId34">
        <w:r w:rsidRPr="00BB49B8">
          <w:rPr>
            <w:color w:val="000000"/>
          </w:rPr>
          <w:t xml:space="preserve"> http://dx.doi.org/10.18682/pd.v20i1.957</w:t>
        </w:r>
      </w:hyperlink>
    </w:p>
    <w:p w14:paraId="02C18D5E" w14:textId="77777777" w:rsidR="003A3994" w:rsidRPr="00BB49B8" w:rsidRDefault="007E4542" w:rsidP="00331804">
      <w:pPr>
        <w:spacing w:line="360" w:lineRule="auto"/>
        <w:ind w:left="709" w:hanging="709"/>
        <w:jc w:val="both"/>
        <w:rPr>
          <w:color w:val="000000"/>
        </w:rPr>
      </w:pPr>
      <w:r w:rsidRPr="00BB49B8">
        <w:rPr>
          <w:color w:val="000000"/>
        </w:rPr>
        <w:t xml:space="preserve">Martínez, A. (2018). </w:t>
      </w:r>
      <w:r w:rsidRPr="00BB49B8">
        <w:rPr>
          <w:i/>
          <w:color w:val="000000"/>
        </w:rPr>
        <w:t xml:space="preserve">Adaptación social y bienestar psicológico en población refugiada en Ecuador. </w:t>
      </w:r>
      <w:r w:rsidRPr="00BB49B8">
        <w:rPr>
          <w:color w:val="000000"/>
        </w:rPr>
        <w:t xml:space="preserve">[Tesis de licenciatura, Universidad Técnica de Ambato]. Repositorio técnico de Ambato. </w:t>
      </w:r>
      <w:hyperlink r:id="rId35">
        <w:r w:rsidRPr="00BB49B8">
          <w:rPr>
            <w:color w:val="000000"/>
          </w:rPr>
          <w:t>http://repositorio.uta.edu.ec/jspui/handle/123456789/27411</w:t>
        </w:r>
      </w:hyperlink>
    </w:p>
    <w:p w14:paraId="56590240" w14:textId="77777777" w:rsidR="003A3994" w:rsidRPr="00BB49B8" w:rsidRDefault="007E4542" w:rsidP="00331804">
      <w:pPr>
        <w:spacing w:line="360" w:lineRule="auto"/>
        <w:ind w:left="709" w:hanging="709"/>
        <w:jc w:val="both"/>
        <w:rPr>
          <w:color w:val="000000"/>
        </w:rPr>
      </w:pPr>
      <w:r w:rsidRPr="00BB49B8">
        <w:rPr>
          <w:color w:val="000000"/>
        </w:rPr>
        <w:t xml:space="preserve">Mera-Lemp, M. J., Ramírez-Vielma, R., Bilbao, M. D. L. Á., &amp; Nazar, G. (2019). La discriminación percibida, la empleabilidad y el bienestar psicológico en los inmigrantes latinoamericanos en Chile. </w:t>
      </w:r>
      <w:r w:rsidRPr="00BB49B8">
        <w:rPr>
          <w:i/>
          <w:color w:val="000000"/>
        </w:rPr>
        <w:t>Revista de Psicología del Trabajo y de las Organizaciones</w:t>
      </w:r>
      <w:r w:rsidRPr="00BB49B8">
        <w:rPr>
          <w:color w:val="000000"/>
        </w:rPr>
        <w:t xml:space="preserve">, 35(3), 227-236. https://dx.doi.org/10.5093/jwop2019a24 </w:t>
      </w:r>
    </w:p>
    <w:p w14:paraId="2FB82672" w14:textId="77777777" w:rsidR="003A3994" w:rsidRPr="00BB49B8" w:rsidRDefault="007E4542" w:rsidP="00331804">
      <w:pPr>
        <w:keepNext/>
        <w:keepLines/>
        <w:pBdr>
          <w:top w:val="nil"/>
          <w:left w:val="nil"/>
          <w:bottom w:val="nil"/>
          <w:right w:val="nil"/>
          <w:between w:val="nil"/>
        </w:pBdr>
        <w:spacing w:line="360" w:lineRule="auto"/>
        <w:rPr>
          <w:color w:val="000000"/>
        </w:rPr>
      </w:pPr>
      <w:r w:rsidRPr="00BB49B8">
        <w:rPr>
          <w:color w:val="000000"/>
        </w:rPr>
        <w:lastRenderedPageBreak/>
        <w:t>Mera-Lemp, M. J., Bilbao, M., &amp; Martínez-Zelaya, G. (2020). Discriminación, aculturación y</w:t>
      </w:r>
    </w:p>
    <w:p w14:paraId="46A7C20C" w14:textId="77777777" w:rsidR="003A3994" w:rsidRPr="00BB49B8" w:rsidRDefault="007E4542" w:rsidP="00331804">
      <w:pPr>
        <w:keepNext/>
        <w:keepLines/>
        <w:pBdr>
          <w:top w:val="nil"/>
          <w:left w:val="nil"/>
          <w:bottom w:val="nil"/>
          <w:right w:val="nil"/>
          <w:between w:val="nil"/>
        </w:pBdr>
        <w:spacing w:line="360" w:lineRule="auto"/>
        <w:ind w:firstLine="709"/>
        <w:rPr>
          <w:color w:val="000000"/>
        </w:rPr>
      </w:pPr>
      <w:r w:rsidRPr="00BB49B8">
        <w:rPr>
          <w:color w:val="000000"/>
        </w:rPr>
        <w:t xml:space="preserve">bienestar psicológico en inmigrantes latinoamericanos en Chile. </w:t>
      </w:r>
      <w:r w:rsidRPr="00BB49B8">
        <w:rPr>
          <w:i/>
          <w:color w:val="000000"/>
        </w:rPr>
        <w:t xml:space="preserve">Revista de psicología, </w:t>
      </w:r>
      <w:r w:rsidRPr="00BB49B8">
        <w:rPr>
          <w:color w:val="000000"/>
        </w:rPr>
        <w:t xml:space="preserve">  </w:t>
      </w:r>
    </w:p>
    <w:p w14:paraId="2CCC3002" w14:textId="77777777" w:rsidR="003A3994" w:rsidRPr="00BB49B8" w:rsidRDefault="007E4542" w:rsidP="00331804">
      <w:pPr>
        <w:keepNext/>
        <w:keepLines/>
        <w:pBdr>
          <w:top w:val="nil"/>
          <w:left w:val="nil"/>
          <w:bottom w:val="nil"/>
          <w:right w:val="nil"/>
          <w:between w:val="nil"/>
        </w:pBdr>
        <w:spacing w:line="360" w:lineRule="auto"/>
        <w:ind w:firstLine="709"/>
        <w:rPr>
          <w:color w:val="000000"/>
        </w:rPr>
      </w:pPr>
      <w:r w:rsidRPr="00BB49B8">
        <w:rPr>
          <w:color w:val="000000"/>
        </w:rPr>
        <w:t xml:space="preserve">29(1), 65-79.  </w:t>
      </w:r>
      <w:hyperlink r:id="rId36">
        <w:r w:rsidRPr="00BB49B8">
          <w:rPr>
            <w:color w:val="000000"/>
          </w:rPr>
          <w:t>http://dx.doi.org/10.5354/0719-0581.2020.55711</w:t>
        </w:r>
      </w:hyperlink>
    </w:p>
    <w:p w14:paraId="0AA24DFD" w14:textId="77777777" w:rsidR="00C375B8" w:rsidRPr="00BB49B8" w:rsidRDefault="007E4542" w:rsidP="00331804">
      <w:pPr>
        <w:pBdr>
          <w:top w:val="nil"/>
          <w:left w:val="nil"/>
          <w:bottom w:val="nil"/>
          <w:right w:val="nil"/>
          <w:between w:val="nil"/>
        </w:pBdr>
        <w:spacing w:line="360" w:lineRule="auto"/>
        <w:ind w:left="709" w:hanging="709"/>
        <w:jc w:val="both"/>
        <w:rPr>
          <w:color w:val="000000"/>
        </w:rPr>
      </w:pPr>
      <w:r w:rsidRPr="00BB49B8">
        <w:rPr>
          <w:color w:val="000000"/>
        </w:rPr>
        <w:t xml:space="preserve">Millán-Franco, M., Gómez-Jacinto, L., Hombrados-Mendieta, I., González-Castro, F., &amp; García-Cid, A. (2019). El efecto de la duración de la residencia y el origen geográfico en la inclusión social de los inmigrantes. </w:t>
      </w:r>
      <w:r w:rsidRPr="00BB49B8">
        <w:rPr>
          <w:i/>
          <w:color w:val="000000"/>
        </w:rPr>
        <w:t>Psychosocial Intervention</w:t>
      </w:r>
      <w:r w:rsidRPr="00BB49B8">
        <w:rPr>
          <w:color w:val="000000"/>
        </w:rPr>
        <w:t xml:space="preserve">, 28(3), 119-130. </w:t>
      </w:r>
      <w:hyperlink r:id="rId37">
        <w:r w:rsidRPr="00BB49B8">
          <w:rPr>
            <w:color w:val="000000"/>
          </w:rPr>
          <w:t>https://doi.org/10.5093/pi2019a10</w:t>
        </w:r>
      </w:hyperlink>
    </w:p>
    <w:p w14:paraId="13F65A7D" w14:textId="77777777" w:rsidR="00C375B8" w:rsidRPr="00BB49B8" w:rsidRDefault="00C375B8" w:rsidP="00331804">
      <w:pPr>
        <w:pBdr>
          <w:top w:val="nil"/>
          <w:left w:val="nil"/>
          <w:bottom w:val="nil"/>
          <w:right w:val="nil"/>
          <w:between w:val="nil"/>
        </w:pBdr>
        <w:spacing w:line="360" w:lineRule="auto"/>
        <w:ind w:left="709" w:hanging="709"/>
        <w:jc w:val="both"/>
        <w:rPr>
          <w:color w:val="000000"/>
        </w:rPr>
      </w:pPr>
      <w:r w:rsidRPr="00BB49B8">
        <w:t xml:space="preserve">Molina Ramón, J. A., Carrera Guanga, G. L., &amp; Villalva León, C. L. (2024). Resiliencia y adaptación de los migrantes venezolanos en Ecuador: Superando desafíos durante la pandemia de COVID-19. </w:t>
      </w:r>
      <w:r w:rsidRPr="00BB49B8">
        <w:rPr>
          <w:rStyle w:val="nfasis"/>
        </w:rPr>
        <w:t>Revista Universidad y Sociedad</w:t>
      </w:r>
      <w:r w:rsidRPr="00BB49B8">
        <w:t xml:space="preserve">, </w:t>
      </w:r>
      <w:r w:rsidRPr="00BB49B8">
        <w:rPr>
          <w:rStyle w:val="nfasis"/>
        </w:rPr>
        <w:t>16</w:t>
      </w:r>
      <w:r w:rsidRPr="00BB49B8">
        <w:t>(5), 157-166.</w:t>
      </w:r>
    </w:p>
    <w:p w14:paraId="1EF5C2D9" w14:textId="206D161F" w:rsidR="003A3994" w:rsidRPr="00BB49B8" w:rsidRDefault="007E4542" w:rsidP="00331804">
      <w:pPr>
        <w:pBdr>
          <w:top w:val="nil"/>
          <w:left w:val="nil"/>
          <w:bottom w:val="nil"/>
          <w:right w:val="nil"/>
          <w:between w:val="nil"/>
        </w:pBdr>
        <w:spacing w:line="360" w:lineRule="auto"/>
        <w:ind w:left="709" w:hanging="709"/>
        <w:jc w:val="both"/>
        <w:rPr>
          <w:color w:val="000000"/>
          <w:lang w:val="en-US"/>
        </w:rPr>
      </w:pPr>
      <w:r w:rsidRPr="00BB49B8">
        <w:rPr>
          <w:color w:val="000000"/>
        </w:rPr>
        <w:t xml:space="preserve">Montgomery, A. &amp; Bhurga, D. (2021). Suicide among migrants - En D. Wasserman (Ed.) </w:t>
      </w:r>
      <w:r w:rsidRPr="00BB49B8">
        <w:rPr>
          <w:i/>
          <w:color w:val="000000"/>
          <w:lang w:val="en-US"/>
        </w:rPr>
        <w:t>Suicidology and suicide prevention</w:t>
      </w:r>
      <w:r w:rsidRPr="00BB49B8">
        <w:rPr>
          <w:color w:val="000000"/>
          <w:lang w:val="en-US"/>
        </w:rPr>
        <w:t xml:space="preserve"> (237-240). </w:t>
      </w:r>
      <w:r w:rsidRPr="007F2EF5">
        <w:rPr>
          <w:color w:val="000000"/>
          <w:lang w:val="en-US"/>
        </w:rPr>
        <w:t>Oxford University Press.</w:t>
      </w:r>
    </w:p>
    <w:p w14:paraId="5540CF61" w14:textId="77777777" w:rsidR="003A3994" w:rsidRPr="00BB49B8" w:rsidRDefault="007E4542" w:rsidP="00331804">
      <w:pPr>
        <w:spacing w:line="360" w:lineRule="auto"/>
        <w:ind w:left="720" w:hanging="720"/>
        <w:jc w:val="both"/>
        <w:rPr>
          <w:color w:val="000000"/>
        </w:rPr>
      </w:pPr>
      <w:r w:rsidRPr="007F2EF5">
        <w:rPr>
          <w:color w:val="000000"/>
          <w:lang w:val="en-US"/>
        </w:rPr>
        <w:t xml:space="preserve">Mosquera, G. H., &amp; Gálvez, G. C. (2020). </w:t>
      </w:r>
      <w:r w:rsidRPr="00BB49B8">
        <w:rPr>
          <w:color w:val="000000"/>
        </w:rPr>
        <w:t xml:space="preserve">Los tortuosos caminos de la migración venezolana en Sudamérica: tránsitos precarios y cierre de fronteras. </w:t>
      </w:r>
      <w:r w:rsidRPr="00BB49B8">
        <w:rPr>
          <w:i/>
          <w:color w:val="000000"/>
        </w:rPr>
        <w:t>Migración y Desarrollo</w:t>
      </w:r>
      <w:r w:rsidRPr="00BB49B8">
        <w:rPr>
          <w:color w:val="000000"/>
        </w:rPr>
        <w:t xml:space="preserve">, </w:t>
      </w:r>
      <w:r w:rsidRPr="00BB49B8">
        <w:rPr>
          <w:i/>
          <w:color w:val="000000"/>
        </w:rPr>
        <w:t>18</w:t>
      </w:r>
      <w:r w:rsidRPr="00BB49B8">
        <w:rPr>
          <w:color w:val="000000"/>
        </w:rPr>
        <w:t xml:space="preserve">(34), 33-56. </w:t>
      </w:r>
      <w:hyperlink r:id="rId38">
        <w:r w:rsidRPr="00BB49B8">
          <w:rPr>
            <w:color w:val="000000"/>
          </w:rPr>
          <w:t>https://doi.org/10.35533/myd.1834.ghm</w:t>
        </w:r>
      </w:hyperlink>
    </w:p>
    <w:p w14:paraId="3260A032" w14:textId="2950D6A4" w:rsidR="003A3994" w:rsidRPr="00BB49B8" w:rsidRDefault="007E4542" w:rsidP="00331804">
      <w:pPr>
        <w:spacing w:line="360" w:lineRule="auto"/>
        <w:ind w:left="720" w:hanging="720"/>
        <w:jc w:val="both"/>
        <w:rPr>
          <w:color w:val="000000"/>
        </w:rPr>
      </w:pPr>
      <w:r w:rsidRPr="00BB49B8">
        <w:rPr>
          <w:color w:val="000000"/>
        </w:rPr>
        <w:t xml:space="preserve">Nina-Estrella, R. V. (2018). Procesos psicológicos de la migración: aculturación, estrés y resiliencia. </w:t>
      </w:r>
      <w:r w:rsidRPr="00BB49B8">
        <w:rPr>
          <w:i/>
          <w:color w:val="000000"/>
        </w:rPr>
        <w:t>Boletín Científico Sapiens Research</w:t>
      </w:r>
      <w:r w:rsidRPr="00BB49B8">
        <w:rPr>
          <w:color w:val="000000"/>
        </w:rPr>
        <w:t xml:space="preserve">, </w:t>
      </w:r>
      <w:r w:rsidRPr="00BB49B8">
        <w:rPr>
          <w:i/>
          <w:color w:val="000000"/>
        </w:rPr>
        <w:t>8</w:t>
      </w:r>
      <w:r w:rsidRPr="00BB49B8">
        <w:rPr>
          <w:color w:val="000000"/>
        </w:rPr>
        <w:t xml:space="preserve">(2), 29-37. </w:t>
      </w:r>
      <w:hyperlink r:id="rId39">
        <w:r w:rsidRPr="00BB49B8">
          <w:rPr>
            <w:color w:val="000000"/>
            <w:u w:val="single"/>
          </w:rPr>
          <w:t>https://www.srg.com.co/bcsr/index.php/bcsr/article/view/282</w:t>
        </w:r>
      </w:hyperlink>
      <w:r w:rsidRPr="00BB49B8">
        <w:rPr>
          <w:color w:val="000000"/>
        </w:rPr>
        <w:t xml:space="preserve">  </w:t>
      </w:r>
    </w:p>
    <w:p w14:paraId="7BF62A21" w14:textId="77777777" w:rsidR="00191665" w:rsidRPr="00BB49B8" w:rsidRDefault="007E4542" w:rsidP="00331804">
      <w:pPr>
        <w:spacing w:line="360" w:lineRule="auto"/>
        <w:ind w:left="720" w:hanging="720"/>
        <w:jc w:val="both"/>
        <w:rPr>
          <w:color w:val="000000"/>
        </w:rPr>
      </w:pPr>
      <w:r w:rsidRPr="00BB49B8">
        <w:rPr>
          <w:color w:val="000000"/>
        </w:rPr>
        <w:t xml:space="preserve">Nuñez, A. (2022). Resiliencia y su relación con el bienestar psicológico en estudiantes universitarios. </w:t>
      </w:r>
      <w:r w:rsidRPr="00BB49B8">
        <w:rPr>
          <w:i/>
          <w:color w:val="000000"/>
        </w:rPr>
        <w:t>Ciencia Latina Revista Científica Multidisciplinar</w:t>
      </w:r>
      <w:r w:rsidRPr="00BB49B8">
        <w:rPr>
          <w:color w:val="000000"/>
        </w:rPr>
        <w:t xml:space="preserve">, </w:t>
      </w:r>
      <w:r w:rsidRPr="00BB49B8">
        <w:rPr>
          <w:i/>
          <w:color w:val="000000"/>
        </w:rPr>
        <w:t>6</w:t>
      </w:r>
      <w:r w:rsidRPr="00BB49B8">
        <w:rPr>
          <w:color w:val="000000"/>
        </w:rPr>
        <w:t xml:space="preserve">(6), 8502-8515. </w:t>
      </w:r>
      <w:hyperlink r:id="rId40">
        <w:r w:rsidRPr="00BB49B8">
          <w:rPr>
            <w:color w:val="000000"/>
            <w:u w:val="single"/>
          </w:rPr>
          <w:t>https://repositorio.uta.edu.ec/jspui/handle/123456789/38057</w:t>
        </w:r>
      </w:hyperlink>
    </w:p>
    <w:p w14:paraId="3059C21A" w14:textId="2DBB3DA2" w:rsidR="00191665" w:rsidRPr="00BB49B8" w:rsidRDefault="00191665" w:rsidP="00331804">
      <w:pPr>
        <w:spacing w:line="360" w:lineRule="auto"/>
        <w:ind w:left="720" w:hanging="720"/>
        <w:jc w:val="both"/>
        <w:rPr>
          <w:color w:val="000000"/>
        </w:rPr>
      </w:pPr>
      <w:r w:rsidRPr="00BB49B8">
        <w:rPr>
          <w:rStyle w:val="Textoennegrita"/>
          <w:b w:val="0"/>
        </w:rPr>
        <w:t>Otero, K. (2023).</w:t>
      </w:r>
      <w:r w:rsidRPr="00BB49B8">
        <w:t xml:space="preserve"> </w:t>
      </w:r>
      <w:r w:rsidRPr="00BB49B8">
        <w:rPr>
          <w:rStyle w:val="nfasis"/>
        </w:rPr>
        <w:t>Apego e identidad al lugar en migrantes venezolanos</w:t>
      </w:r>
      <w:r w:rsidRPr="00BB49B8">
        <w:t xml:space="preserve">. </w:t>
      </w:r>
      <w:r w:rsidRPr="00BB49B8">
        <w:rPr>
          <w:rStyle w:val="nfasis"/>
        </w:rPr>
        <w:t>Interdisciplinaria, 40</w:t>
      </w:r>
      <w:r w:rsidRPr="00BB49B8">
        <w:t>(3).</w:t>
      </w:r>
    </w:p>
    <w:p w14:paraId="3684FDD1" w14:textId="2CF0E3A3" w:rsidR="003A3994" w:rsidRPr="00BB49B8" w:rsidRDefault="007E4542" w:rsidP="00331804">
      <w:pPr>
        <w:spacing w:line="360" w:lineRule="auto"/>
        <w:ind w:left="720" w:hanging="720"/>
        <w:jc w:val="both"/>
        <w:rPr>
          <w:color w:val="000000"/>
        </w:rPr>
      </w:pPr>
      <w:r w:rsidRPr="00BB49B8">
        <w:rPr>
          <w:color w:val="000000"/>
        </w:rPr>
        <w:t xml:space="preserve">Palomar-Lever, J. (2017). Factores Protectores y de Riesgo que influyen en el Bienestar Subjetivo y Económico de Migrantes Latinos en Boston, Estados Unidos. </w:t>
      </w:r>
      <w:r w:rsidRPr="00BB49B8">
        <w:rPr>
          <w:i/>
          <w:color w:val="000000"/>
        </w:rPr>
        <w:t>Enseñanza e Investigación en Psicología</w:t>
      </w:r>
      <w:r w:rsidRPr="00BB49B8">
        <w:rPr>
          <w:color w:val="000000"/>
        </w:rPr>
        <w:t xml:space="preserve">, 22(1), 86-102. </w:t>
      </w:r>
      <w:hyperlink r:id="rId41">
        <w:r w:rsidRPr="00BB49B8">
          <w:rPr>
            <w:color w:val="000000"/>
            <w:u w:val="single"/>
          </w:rPr>
          <w:t>https://www.redalyc.org/pdf/292/29251161008.pdf</w:t>
        </w:r>
      </w:hyperlink>
    </w:p>
    <w:p w14:paraId="270A155E" w14:textId="77777777" w:rsidR="003A3994" w:rsidRPr="00BB49B8" w:rsidRDefault="007E4542" w:rsidP="00331804">
      <w:pPr>
        <w:pBdr>
          <w:top w:val="nil"/>
          <w:left w:val="nil"/>
          <w:bottom w:val="nil"/>
          <w:right w:val="nil"/>
          <w:between w:val="nil"/>
        </w:pBdr>
        <w:spacing w:line="360" w:lineRule="auto"/>
        <w:ind w:left="720" w:hanging="720"/>
        <w:jc w:val="both"/>
        <w:rPr>
          <w:color w:val="000000"/>
          <w:u w:val="single"/>
        </w:rPr>
      </w:pPr>
      <w:r w:rsidRPr="00BB49B8">
        <w:rPr>
          <w:color w:val="000000"/>
        </w:rPr>
        <w:t>Pardo, N. A. M. (2022). Diferencias en el bienestar social de inmigrantes peruanos y colombianos en función del apoyo social percibido en Chile. Revista de Ciencias Sociales ISSN:0718-3631.</w:t>
      </w:r>
      <w:hyperlink r:id="rId42">
        <w:r w:rsidRPr="00BB49B8">
          <w:rPr>
            <w:color w:val="000000"/>
            <w:u w:val="single"/>
          </w:rPr>
          <w:t>https://www.revistacienciasociales.cl/index.php/publicacion/article/view/223</w:t>
        </w:r>
      </w:hyperlink>
    </w:p>
    <w:p w14:paraId="48E273D7" w14:textId="77777777" w:rsidR="003A3994" w:rsidRPr="00BB49B8" w:rsidRDefault="007E4542" w:rsidP="00331804">
      <w:pPr>
        <w:pBdr>
          <w:top w:val="nil"/>
          <w:left w:val="nil"/>
          <w:bottom w:val="nil"/>
          <w:right w:val="nil"/>
          <w:between w:val="nil"/>
        </w:pBdr>
        <w:spacing w:line="360" w:lineRule="auto"/>
        <w:ind w:left="720" w:hanging="720"/>
        <w:jc w:val="both"/>
        <w:rPr>
          <w:color w:val="000000"/>
        </w:rPr>
      </w:pPr>
      <w:r w:rsidRPr="00BB49B8">
        <w:rPr>
          <w:color w:val="000000"/>
        </w:rPr>
        <w:lastRenderedPageBreak/>
        <w:t>Peláez</w:t>
      </w:r>
      <w:r w:rsidRPr="00BB49B8">
        <w:t>-</w:t>
      </w:r>
      <w:r w:rsidRPr="00BB49B8">
        <w:rPr>
          <w:color w:val="000000"/>
        </w:rPr>
        <w:t xml:space="preserve">López, M. A., Lozano Zuluaga, J. J., Narváez Andrade, M. J., &amp; Becerra Hernández, L. V. (2021). El cerebro del meditador de atención plena: de la prospección a la tarea. </w:t>
      </w:r>
      <w:r w:rsidRPr="00BB49B8">
        <w:rPr>
          <w:i/>
          <w:color w:val="000000"/>
        </w:rPr>
        <w:t>Universitas Medica</w:t>
      </w:r>
      <w:r w:rsidRPr="00BB49B8">
        <w:rPr>
          <w:color w:val="000000"/>
        </w:rPr>
        <w:t xml:space="preserve">, </w:t>
      </w:r>
      <w:r w:rsidRPr="00BB49B8">
        <w:rPr>
          <w:i/>
          <w:color w:val="000000"/>
        </w:rPr>
        <w:t>62</w:t>
      </w:r>
      <w:r w:rsidRPr="00BB49B8">
        <w:rPr>
          <w:color w:val="000000"/>
        </w:rPr>
        <w:t>(4), 172-187.</w:t>
      </w:r>
    </w:p>
    <w:p w14:paraId="3282DDE4" w14:textId="77777777" w:rsidR="003A3994" w:rsidRPr="00BB49B8" w:rsidRDefault="007E4542" w:rsidP="00331804">
      <w:pPr>
        <w:pBdr>
          <w:top w:val="nil"/>
          <w:left w:val="nil"/>
          <w:bottom w:val="nil"/>
          <w:right w:val="nil"/>
          <w:between w:val="nil"/>
        </w:pBdr>
        <w:spacing w:line="360" w:lineRule="auto"/>
        <w:ind w:left="720" w:hanging="720"/>
        <w:jc w:val="both"/>
        <w:rPr>
          <w:color w:val="000000"/>
          <w:lang w:val="en-US"/>
        </w:rPr>
      </w:pPr>
      <w:r w:rsidRPr="00BB49B8">
        <w:rPr>
          <w:color w:val="000000"/>
        </w:rPr>
        <w:t xml:space="preserve">Pérez-Aranda, A., García-Campayo, J., Gude, F., Luciano, J. V., Feliu-Soler, A., González-Quintela, A., López-del-Hoyo, Y. &amp; Montero-Marin, J. (2021). </w:t>
      </w:r>
      <w:r w:rsidRPr="00BB49B8">
        <w:rPr>
          <w:color w:val="000000"/>
          <w:lang w:val="en-US"/>
        </w:rPr>
        <w:t xml:space="preserve">Impact of mindfulness and self-compassion on anxiety and depression: The mediating role of resilience. International Journal of Clinical and Health Psychology, 21(2), 100229. </w:t>
      </w:r>
    </w:p>
    <w:p w14:paraId="6187450C" w14:textId="77777777" w:rsidR="003A3994" w:rsidRPr="00BB49B8" w:rsidRDefault="007E4542" w:rsidP="00331804">
      <w:pPr>
        <w:spacing w:line="360" w:lineRule="auto"/>
        <w:ind w:left="720" w:hanging="720"/>
        <w:jc w:val="both"/>
        <w:rPr>
          <w:color w:val="000000"/>
          <w:lang w:val="en-US"/>
        </w:rPr>
      </w:pPr>
      <w:r w:rsidRPr="00BB49B8">
        <w:rPr>
          <w:color w:val="000000"/>
          <w:lang w:val="en-US"/>
        </w:rPr>
        <w:t xml:space="preserve">Pidgeon, A.M., &amp; Keye, M. (2014). Relationship between resilience, mindfulness, and psychological well-being in University students. </w:t>
      </w:r>
      <w:r w:rsidRPr="00BB49B8">
        <w:rPr>
          <w:i/>
          <w:color w:val="000000"/>
          <w:lang w:val="en-US"/>
        </w:rPr>
        <w:t>International Journal of Liberal Arts and Social Science</w:t>
      </w:r>
      <w:r w:rsidRPr="00BB49B8">
        <w:rPr>
          <w:color w:val="000000"/>
          <w:lang w:val="en-US"/>
        </w:rPr>
        <w:t xml:space="preserve">, </w:t>
      </w:r>
      <w:r w:rsidRPr="00BB49B8">
        <w:rPr>
          <w:i/>
          <w:color w:val="000000"/>
          <w:lang w:val="en-US"/>
        </w:rPr>
        <w:t>2</w:t>
      </w:r>
      <w:r w:rsidRPr="00BB49B8">
        <w:rPr>
          <w:color w:val="000000"/>
          <w:lang w:val="en-US"/>
        </w:rPr>
        <w:t xml:space="preserve">(5), 27-32. </w:t>
      </w:r>
      <w:hyperlink r:id="rId43">
        <w:r w:rsidRPr="00BB49B8">
          <w:rPr>
            <w:color w:val="000000"/>
            <w:u w:val="single"/>
            <w:lang w:val="en-US"/>
          </w:rPr>
          <w:t>http://www.ijlass.org/data/frontImages/gallery/Vol._2_No._5/3.pdf</w:t>
        </w:r>
      </w:hyperlink>
    </w:p>
    <w:p w14:paraId="1D70D9AB" w14:textId="77777777" w:rsidR="003A3994" w:rsidRPr="00BB49B8" w:rsidRDefault="007E4542" w:rsidP="00331804">
      <w:pPr>
        <w:spacing w:line="360" w:lineRule="auto"/>
        <w:ind w:left="720" w:hanging="720"/>
        <w:jc w:val="both"/>
        <w:rPr>
          <w:color w:val="000000"/>
        </w:rPr>
      </w:pPr>
      <w:r w:rsidRPr="00BB49B8">
        <w:rPr>
          <w:color w:val="000000"/>
        </w:rPr>
        <w:t xml:space="preserve">Pinilla, R. L., &amp; Amparo, J. I. (2013). El bienestar subjetivo en colectivos vulnerables: El caso de los refugiados en España. </w:t>
      </w:r>
      <w:r w:rsidRPr="00BB49B8">
        <w:rPr>
          <w:i/>
          <w:color w:val="000000"/>
        </w:rPr>
        <w:t>Revista de Investigación en Psicología Social</w:t>
      </w:r>
      <w:r w:rsidRPr="00BB49B8">
        <w:rPr>
          <w:color w:val="000000"/>
        </w:rPr>
        <w:t xml:space="preserve">, </w:t>
      </w:r>
      <w:r w:rsidRPr="00BB49B8">
        <w:rPr>
          <w:i/>
          <w:color w:val="000000"/>
        </w:rPr>
        <w:t>1</w:t>
      </w:r>
      <w:r w:rsidRPr="00BB49B8">
        <w:rPr>
          <w:color w:val="000000"/>
        </w:rPr>
        <w:t xml:space="preserve">(1), 67-84. </w:t>
      </w:r>
      <w:hyperlink r:id="rId44">
        <w:r w:rsidRPr="00BB49B8">
          <w:rPr>
            <w:color w:val="000000"/>
            <w:u w:val="single"/>
          </w:rPr>
          <w:t>https://www.researchgate.net/publication/313361273_El_bienestar_subjetivo_en_colectivos_vulnerables_El_caso_de_los_refugiados_en_Espana</w:t>
        </w:r>
      </w:hyperlink>
      <w:r w:rsidRPr="00BB49B8">
        <w:rPr>
          <w:color w:val="000000"/>
        </w:rPr>
        <w:t xml:space="preserve"> </w:t>
      </w:r>
    </w:p>
    <w:p w14:paraId="0D5B35B6" w14:textId="77777777" w:rsidR="003A3994" w:rsidRPr="00BB49B8" w:rsidRDefault="007E4542" w:rsidP="00331804">
      <w:pPr>
        <w:spacing w:line="360" w:lineRule="auto"/>
        <w:ind w:left="720" w:hanging="720"/>
        <w:jc w:val="both"/>
      </w:pPr>
      <w:r w:rsidRPr="00BB49B8">
        <w:rPr>
          <w:color w:val="000000"/>
        </w:rPr>
        <w:t xml:space="preserve">Plataforma de Coordinación Interagencial para </w:t>
      </w:r>
      <w:r w:rsidRPr="00BB49B8">
        <w:t>R</w:t>
      </w:r>
      <w:r w:rsidRPr="00BB49B8">
        <w:rPr>
          <w:color w:val="000000"/>
        </w:rPr>
        <w:t>efugiados y Migrantes de Venezuela</w:t>
      </w:r>
      <w:r w:rsidRPr="00BB49B8">
        <w:t xml:space="preserve"> (2022). </w:t>
      </w:r>
      <w:r w:rsidRPr="00BB49B8">
        <w:rPr>
          <w:color w:val="000000"/>
        </w:rPr>
        <w:t>P</w:t>
      </w:r>
      <w:r w:rsidRPr="00BB49B8">
        <w:rPr>
          <w:i/>
          <w:color w:val="000000"/>
        </w:rPr>
        <w:t>lan de respuesta para refugiados y migrantes</w:t>
      </w:r>
      <w:r w:rsidRPr="00BB49B8">
        <w:rPr>
          <w:i/>
        </w:rPr>
        <w:t xml:space="preserve"> </w:t>
      </w:r>
      <w:r w:rsidRPr="00BB49B8">
        <w:rPr>
          <w:i/>
          <w:color w:val="000000"/>
        </w:rPr>
        <w:t>(RMRP)</w:t>
      </w:r>
      <w:r w:rsidRPr="00BB49B8">
        <w:rPr>
          <w:color w:val="000000"/>
        </w:rPr>
        <w:t xml:space="preserve"> 07 de marzo 2023, R4V. </w:t>
      </w:r>
      <w:hyperlink r:id="rId45">
        <w:r w:rsidRPr="00BB49B8">
          <w:rPr>
            <w:color w:val="1155CC"/>
            <w:u w:val="single"/>
          </w:rPr>
          <w:t>https://www.r4v.info/es/rmrp2023-2024</w:t>
        </w:r>
      </w:hyperlink>
    </w:p>
    <w:p w14:paraId="7F28509E" w14:textId="77777777" w:rsidR="003A3994" w:rsidRPr="00BB49B8" w:rsidRDefault="007E4542" w:rsidP="00331804">
      <w:pPr>
        <w:spacing w:line="360" w:lineRule="auto"/>
        <w:ind w:left="720" w:hanging="720"/>
        <w:jc w:val="both"/>
      </w:pPr>
      <w:r w:rsidRPr="00BB49B8">
        <w:rPr>
          <w:color w:val="000000"/>
        </w:rPr>
        <w:t>Plataforma de Coordinación para Refugiados y Migrantes de Venezuela</w:t>
      </w:r>
      <w:r w:rsidRPr="00BB49B8">
        <w:t xml:space="preserve"> </w:t>
      </w:r>
      <w:r w:rsidRPr="00BB49B8">
        <w:rPr>
          <w:color w:val="000000"/>
        </w:rPr>
        <w:t>(2020</w:t>
      </w:r>
      <w:r w:rsidRPr="00BB49B8">
        <w:t>).</w:t>
      </w:r>
      <w:r w:rsidRPr="00BB49B8">
        <w:rPr>
          <w:color w:val="000000"/>
        </w:rPr>
        <w:t xml:space="preserve"> </w:t>
      </w:r>
      <w:r w:rsidRPr="00BB49B8">
        <w:rPr>
          <w:i/>
          <w:color w:val="000000"/>
        </w:rPr>
        <w:t>Plan de Respuesta para Refugiados y Migrantes de Venezuela</w:t>
      </w:r>
      <w:r w:rsidRPr="00BB49B8">
        <w:rPr>
          <w:color w:val="000000"/>
        </w:rPr>
        <w:t>, 23 Marzo 2020, disponible en esta dirección: https://www.refworld.org.es/docid/5e7c2c3d4.html [Accesado el 28 Octubre 2023]</w:t>
      </w:r>
    </w:p>
    <w:p w14:paraId="48A9C4DE" w14:textId="77777777" w:rsidR="003A3994" w:rsidRPr="00BB49B8" w:rsidRDefault="007E4542" w:rsidP="00331804">
      <w:pPr>
        <w:spacing w:line="360" w:lineRule="auto"/>
        <w:ind w:left="720" w:hanging="720"/>
        <w:jc w:val="both"/>
        <w:rPr>
          <w:color w:val="000000"/>
          <w:lang w:val="en-US"/>
        </w:rPr>
      </w:pPr>
      <w:r w:rsidRPr="00BB49B8">
        <w:rPr>
          <w:color w:val="000000"/>
        </w:rPr>
        <w:t xml:space="preserve">Ramos, D. C. (2020). </w:t>
      </w:r>
      <w:r w:rsidRPr="00BB49B8">
        <w:rPr>
          <w:i/>
          <w:color w:val="000000"/>
        </w:rPr>
        <w:t xml:space="preserve">Estado de bienestar de las personas adultas migrantes venezolanas en el Departamento de Córdoba. </w:t>
      </w:r>
      <w:r w:rsidRPr="00BB49B8">
        <w:rPr>
          <w:color w:val="000000"/>
        </w:rPr>
        <w:t xml:space="preserve">[Tesis de Maestría, Universidad del Norte] Repositorio Institucional de la Universidad del Norte.   </w:t>
      </w:r>
      <w:r w:rsidRPr="00BB49B8">
        <w:rPr>
          <w:color w:val="000000"/>
          <w:lang w:val="en-US"/>
        </w:rPr>
        <w:t>http://manglar.uninorte.edu.co/handle/10584/9817#page=1</w:t>
      </w:r>
    </w:p>
    <w:p w14:paraId="33F26213" w14:textId="77777777" w:rsidR="003A3994" w:rsidRPr="00BB49B8" w:rsidRDefault="007E4542" w:rsidP="00331804">
      <w:pPr>
        <w:spacing w:line="360" w:lineRule="auto"/>
        <w:ind w:left="720" w:hanging="720"/>
        <w:jc w:val="both"/>
        <w:rPr>
          <w:color w:val="000000"/>
        </w:rPr>
      </w:pPr>
      <w:r w:rsidRPr="00BB49B8">
        <w:rPr>
          <w:color w:val="000000"/>
          <w:lang w:val="en-US"/>
        </w:rPr>
        <w:t xml:space="preserve">Richter, K., Baumgärtner, L., Niklewski, G., Peter, L., Köck, M., Kellner, S., Hillemacher, T., &amp; Büttner-Teleaga, A. (2020). Sleep disorders in migrants and refugees: a systematic review with implications for personalized medical approach. </w:t>
      </w:r>
      <w:r w:rsidRPr="00BB49B8">
        <w:rPr>
          <w:i/>
          <w:color w:val="000000"/>
        </w:rPr>
        <w:t>EPMA Journal,</w:t>
      </w:r>
      <w:r w:rsidRPr="00BB49B8">
        <w:rPr>
          <w:color w:val="000000"/>
        </w:rPr>
        <w:t xml:space="preserve"> </w:t>
      </w:r>
      <w:r w:rsidRPr="00BB49B8">
        <w:rPr>
          <w:i/>
          <w:color w:val="000000"/>
        </w:rPr>
        <w:t>11</w:t>
      </w:r>
      <w:r w:rsidRPr="00BB49B8">
        <w:rPr>
          <w:color w:val="000000"/>
        </w:rPr>
        <w:t>(2), 251-160</w:t>
      </w:r>
    </w:p>
    <w:p w14:paraId="74A93C2E" w14:textId="77777777" w:rsidR="003A3994" w:rsidRPr="00BB49B8" w:rsidRDefault="007E4542" w:rsidP="00331804">
      <w:pPr>
        <w:spacing w:line="360" w:lineRule="auto"/>
        <w:ind w:left="720" w:hanging="720"/>
        <w:jc w:val="both"/>
        <w:rPr>
          <w:color w:val="000000"/>
        </w:rPr>
      </w:pPr>
      <w:r w:rsidRPr="00BB49B8">
        <w:rPr>
          <w:color w:val="000000"/>
        </w:rPr>
        <w:lastRenderedPageBreak/>
        <w:t xml:space="preserve">Rodríguez, R. C. (2018). Redefinición de roles y relaciones de género en las migraciones internacionales. Estudio cualitativo en el Estado de Tamaulipas. Papeles de Población, 24(95) 153-179.  </w:t>
      </w:r>
      <w:hyperlink r:id="rId46">
        <w:r w:rsidRPr="00BB49B8">
          <w:rPr>
            <w:color w:val="000000"/>
            <w:u w:val="single"/>
          </w:rPr>
          <w:t>https://doi.org/10.22185/24487147.2018.95.07</w:t>
        </w:r>
      </w:hyperlink>
      <w:r w:rsidRPr="00BB49B8">
        <w:rPr>
          <w:color w:val="000000"/>
        </w:rPr>
        <w:t>.</w:t>
      </w:r>
    </w:p>
    <w:p w14:paraId="1B76A347" w14:textId="77777777" w:rsidR="003A3994" w:rsidRPr="00BB49B8" w:rsidRDefault="007E4542" w:rsidP="00331804">
      <w:pPr>
        <w:spacing w:line="360" w:lineRule="auto"/>
        <w:ind w:left="720" w:hanging="720"/>
        <w:jc w:val="both"/>
        <w:rPr>
          <w:color w:val="000000"/>
        </w:rPr>
      </w:pPr>
      <w:r w:rsidRPr="00BB49B8">
        <w:rPr>
          <w:color w:val="000000"/>
        </w:rPr>
        <w:t xml:space="preserve">Rodríguez, R. (2022) </w:t>
      </w:r>
      <w:r w:rsidRPr="00BB49B8">
        <w:rPr>
          <w:i/>
          <w:color w:val="000000"/>
        </w:rPr>
        <w:t>La regularización migratoria y la integración socioeconómica de los refugiados y migrantes venezolanos en el Perú: Análisis del efecto de la tenencia de documentación migratoria sobre los ingresos laborales y no laborales de los ciudadanos venezolanos</w:t>
      </w:r>
      <w:r w:rsidRPr="00BB49B8">
        <w:rPr>
          <w:color w:val="000000"/>
        </w:rPr>
        <w:t xml:space="preserve"> (Tesis de licenciatura, Pontificia Universidad Católica del Perú). Repositorio de Tesis PUCP. </w:t>
      </w:r>
      <w:hyperlink r:id="rId47">
        <w:r w:rsidRPr="00BB49B8">
          <w:rPr>
            <w:color w:val="000000"/>
          </w:rPr>
          <w:t>http://hdl.handle.net/20.500.12404/22789</w:t>
        </w:r>
      </w:hyperlink>
    </w:p>
    <w:p w14:paraId="3162AA4B" w14:textId="77777777" w:rsidR="003A3994" w:rsidRPr="00BB49B8" w:rsidRDefault="007E4542" w:rsidP="00331804">
      <w:pPr>
        <w:spacing w:line="360" w:lineRule="auto"/>
        <w:ind w:left="720" w:hanging="720"/>
        <w:jc w:val="both"/>
        <w:rPr>
          <w:lang w:val="en-US"/>
        </w:rPr>
      </w:pPr>
      <w:r w:rsidRPr="007F2EF5">
        <w:rPr>
          <w:lang w:val="en-US"/>
        </w:rPr>
        <w:t xml:space="preserve">Ryff, C. D. (1989). </w:t>
      </w:r>
      <w:r w:rsidRPr="00BB49B8">
        <w:rPr>
          <w:lang w:val="en-US"/>
        </w:rPr>
        <w:t>Happiness Is everything, or is it? Explorations on the meaning of psychological well-being.</w:t>
      </w:r>
      <w:r w:rsidRPr="00BB49B8">
        <w:rPr>
          <w:i/>
          <w:lang w:val="en-US"/>
        </w:rPr>
        <w:t xml:space="preserve"> Journal of Personality &amp; Social Psychology, 57</w:t>
      </w:r>
      <w:r w:rsidRPr="00BB49B8">
        <w:rPr>
          <w:lang w:val="en-US"/>
        </w:rPr>
        <w:t>(6), 1069-1081. doi:10.1037//0022-3514.57.6.1069</w:t>
      </w:r>
    </w:p>
    <w:p w14:paraId="312BCE5F" w14:textId="77777777" w:rsidR="003A3994" w:rsidRPr="00BB49B8" w:rsidRDefault="007E4542" w:rsidP="00331804">
      <w:pPr>
        <w:spacing w:line="360" w:lineRule="auto"/>
        <w:ind w:left="720" w:hanging="720"/>
        <w:jc w:val="both"/>
        <w:rPr>
          <w:color w:val="000000"/>
        </w:rPr>
      </w:pPr>
      <w:r w:rsidRPr="007F2EF5">
        <w:rPr>
          <w:color w:val="000000"/>
          <w:lang w:val="en-US"/>
        </w:rPr>
        <w:t xml:space="preserve">Sabir, F., Ramzan, N. y Malik, F. (2018). </w:t>
      </w:r>
      <w:r w:rsidRPr="00BB49B8">
        <w:rPr>
          <w:color w:val="000000"/>
        </w:rPr>
        <w:t xml:space="preserve">Resiliencia, autocompasión, atención plena y bienestar emocional de los médicos. </w:t>
      </w:r>
      <w:r w:rsidRPr="00BB49B8">
        <w:rPr>
          <w:i/>
          <w:color w:val="000000"/>
        </w:rPr>
        <w:t xml:space="preserve">Revista india de psicología positiva </w:t>
      </w:r>
      <w:r w:rsidRPr="00BB49B8">
        <w:rPr>
          <w:color w:val="000000"/>
        </w:rPr>
        <w:t xml:space="preserve">, 9 (1), 55-59. </w:t>
      </w:r>
      <w:hyperlink r:id="rId48">
        <w:r w:rsidRPr="00BB49B8">
          <w:rPr>
            <w:color w:val="000000"/>
          </w:rPr>
          <w:t>https://doi.org/10.15614/ijpp.v9i01.11743</w:t>
        </w:r>
      </w:hyperlink>
    </w:p>
    <w:p w14:paraId="7898E528" w14:textId="77777777" w:rsidR="003A3994" w:rsidRPr="00BB49B8" w:rsidRDefault="007E4542" w:rsidP="00331804">
      <w:pPr>
        <w:spacing w:line="360" w:lineRule="auto"/>
        <w:ind w:left="720" w:hanging="720"/>
        <w:jc w:val="both"/>
        <w:rPr>
          <w:color w:val="000000"/>
          <w:lang w:val="pt-BR"/>
        </w:rPr>
      </w:pPr>
      <w:r w:rsidRPr="00BB49B8">
        <w:rPr>
          <w:color w:val="000000"/>
        </w:rPr>
        <w:t>Sajquim de Torres, M. &amp; Lusk, M. (2018). Factores que promueven la resiliencia de las mujeres inmigrantes mexicanas en los Estados Unidos: Aplicación de un enfoque de desviación positiva.</w:t>
      </w:r>
      <w:r w:rsidRPr="00BB49B8">
        <w:rPr>
          <w:i/>
          <w:color w:val="000000"/>
        </w:rPr>
        <w:t xml:space="preserve"> </w:t>
      </w:r>
      <w:r w:rsidRPr="00BB49B8">
        <w:rPr>
          <w:i/>
          <w:color w:val="000000"/>
          <w:lang w:val="pt-BR"/>
        </w:rPr>
        <w:t>Estudios fronterizos</w:t>
      </w:r>
      <w:r w:rsidRPr="00BB49B8">
        <w:rPr>
          <w:color w:val="000000"/>
          <w:lang w:val="pt-BR"/>
        </w:rPr>
        <w:t xml:space="preserve">, 19, e005.  http://doi.org/10.21670/ref.1805005 </w:t>
      </w:r>
    </w:p>
    <w:p w14:paraId="1C9C16C9" w14:textId="77777777" w:rsidR="003A3994" w:rsidRPr="00BB49B8" w:rsidRDefault="007E4542" w:rsidP="00331804">
      <w:pPr>
        <w:spacing w:line="360" w:lineRule="auto"/>
        <w:ind w:left="720" w:hanging="720"/>
        <w:jc w:val="both"/>
        <w:rPr>
          <w:color w:val="000000"/>
          <w:lang w:val="en-US"/>
        </w:rPr>
      </w:pPr>
      <w:r w:rsidRPr="00BB49B8">
        <w:rPr>
          <w:color w:val="000000"/>
          <w:lang w:val="pt-BR"/>
        </w:rPr>
        <w:t xml:space="preserve">Salas-Wright, C., Vaughn, M., Schwartz, S., &amp; Córdova, D. (2016). </w:t>
      </w:r>
      <w:r w:rsidRPr="00BB49B8">
        <w:rPr>
          <w:color w:val="000000"/>
          <w:lang w:val="en-US"/>
        </w:rPr>
        <w:t xml:space="preserve">An “immigrant paradox” for adolescent externalizing behavior? Evidence from a national sample. </w:t>
      </w:r>
      <w:r w:rsidRPr="00BB49B8">
        <w:rPr>
          <w:i/>
          <w:color w:val="000000"/>
          <w:lang w:val="en-US"/>
        </w:rPr>
        <w:t>Social Psychiatry and Psychiatric Epidemiology,</w:t>
      </w:r>
      <w:r w:rsidRPr="00BB49B8">
        <w:rPr>
          <w:color w:val="000000"/>
          <w:lang w:val="en-US"/>
        </w:rPr>
        <w:t xml:space="preserve"> </w:t>
      </w:r>
      <w:r w:rsidRPr="00BB49B8">
        <w:rPr>
          <w:i/>
          <w:color w:val="000000"/>
          <w:lang w:val="en-US"/>
        </w:rPr>
        <w:t>51</w:t>
      </w:r>
      <w:r w:rsidRPr="00BB49B8">
        <w:rPr>
          <w:color w:val="000000"/>
          <w:lang w:val="en-US"/>
        </w:rPr>
        <w:t>(1), 27-37.  https://doi.org/10.1007/s00127-015-1115-1</w:t>
      </w:r>
    </w:p>
    <w:p w14:paraId="2B22DC30" w14:textId="77777777" w:rsidR="003A3994" w:rsidRPr="00BB49B8" w:rsidRDefault="007E4542" w:rsidP="00331804">
      <w:pPr>
        <w:spacing w:line="360" w:lineRule="auto"/>
        <w:ind w:left="720" w:hanging="720"/>
        <w:jc w:val="both"/>
        <w:rPr>
          <w:color w:val="000000"/>
        </w:rPr>
      </w:pPr>
      <w:r w:rsidRPr="007F2EF5">
        <w:rPr>
          <w:color w:val="000000"/>
          <w:lang w:val="en-US"/>
        </w:rPr>
        <w:t xml:space="preserve">Salcedo, A. G. S., Olave, M. I., Burgos, A. V., &amp; Pérez, M. A. (2019). </w:t>
      </w:r>
      <w:r w:rsidRPr="00BB49B8">
        <w:rPr>
          <w:color w:val="000000"/>
        </w:rPr>
        <w:t xml:space="preserve">Bienestar psicológico en migrantes latinos en la ciudad de Temuco. </w:t>
      </w:r>
      <w:r w:rsidRPr="00BB49B8">
        <w:rPr>
          <w:i/>
          <w:color w:val="000000"/>
        </w:rPr>
        <w:t>Salud de los Trabajadores</w:t>
      </w:r>
      <w:r w:rsidRPr="00BB49B8">
        <w:rPr>
          <w:color w:val="000000"/>
        </w:rPr>
        <w:t xml:space="preserve">, </w:t>
      </w:r>
      <w:r w:rsidRPr="00BB49B8">
        <w:rPr>
          <w:i/>
          <w:color w:val="000000"/>
        </w:rPr>
        <w:t>27</w:t>
      </w:r>
      <w:r w:rsidRPr="00BB49B8">
        <w:rPr>
          <w:color w:val="000000"/>
        </w:rPr>
        <w:t xml:space="preserve">(1), 43-50. </w:t>
      </w:r>
      <w:hyperlink r:id="rId49">
        <w:r w:rsidRPr="00BB49B8">
          <w:rPr>
            <w:color w:val="000000"/>
            <w:u w:val="single"/>
          </w:rPr>
          <w:t>https://dialnet.unirioja.es/servlet/articulo?codigo=7165134</w:t>
        </w:r>
      </w:hyperlink>
    </w:p>
    <w:p w14:paraId="7365D5A2" w14:textId="77777777" w:rsidR="003A3994" w:rsidRPr="00BB49B8" w:rsidRDefault="007E4542" w:rsidP="00331804">
      <w:pPr>
        <w:spacing w:line="360" w:lineRule="auto"/>
        <w:ind w:left="720" w:hanging="720"/>
        <w:jc w:val="both"/>
        <w:rPr>
          <w:color w:val="000000"/>
        </w:rPr>
      </w:pPr>
      <w:r w:rsidRPr="00BB49B8">
        <w:rPr>
          <w:color w:val="000000"/>
        </w:rPr>
        <w:t xml:space="preserve">Salinas, C. J. (2022). </w:t>
      </w:r>
      <w:r w:rsidRPr="00BB49B8">
        <w:rPr>
          <w:i/>
          <w:color w:val="000000"/>
        </w:rPr>
        <w:t xml:space="preserve">Mindfulness y Competencias Emocionales en Docentes de Educación Básica de Huancayo </w:t>
      </w:r>
      <w:r w:rsidRPr="00BB49B8">
        <w:t xml:space="preserve">[Tesis de maestría, Universidad Nacional del Centro de Perú]. </w:t>
      </w:r>
      <w:r w:rsidRPr="00BB49B8">
        <w:rPr>
          <w:color w:val="000000"/>
        </w:rPr>
        <w:t xml:space="preserve">Repositorio Institucional de la UNCP. </w:t>
      </w:r>
      <w:hyperlink r:id="rId50">
        <w:r w:rsidRPr="00BB49B8">
          <w:rPr>
            <w:color w:val="000000"/>
            <w:u w:val="single"/>
          </w:rPr>
          <w:t>http://hdl.handle.net/20.500.12894/8601</w:t>
        </w:r>
      </w:hyperlink>
    </w:p>
    <w:p w14:paraId="24C18A89" w14:textId="77777777" w:rsidR="003A3994" w:rsidRPr="00BB49B8" w:rsidRDefault="007E4542" w:rsidP="00331804">
      <w:pPr>
        <w:pBdr>
          <w:top w:val="nil"/>
          <w:left w:val="nil"/>
          <w:bottom w:val="nil"/>
          <w:right w:val="nil"/>
          <w:between w:val="nil"/>
        </w:pBdr>
        <w:spacing w:line="360" w:lineRule="auto"/>
        <w:ind w:left="720" w:hanging="720"/>
        <w:jc w:val="both"/>
        <w:rPr>
          <w:color w:val="000000"/>
        </w:rPr>
      </w:pPr>
      <w:r w:rsidRPr="00BB49B8">
        <w:rPr>
          <w:color w:val="000000"/>
        </w:rPr>
        <w:t>Sanchez,</w:t>
      </w:r>
      <w:r w:rsidRPr="00BB49B8">
        <w:t xml:space="preserve"> J</w:t>
      </w:r>
      <w:r w:rsidRPr="00BB49B8">
        <w:rPr>
          <w:color w:val="000000"/>
        </w:rPr>
        <w:t>. (2023). P</w:t>
      </w:r>
      <w:r w:rsidRPr="00BB49B8">
        <w:rPr>
          <w:i/>
          <w:color w:val="000000"/>
        </w:rPr>
        <w:t>ropuesta de abordaje de la salud mental positiva en contextos escolarizados. Experiencia con adolescentes migrantes venezolanos de la institución educativa San José en Cúcuta - Colombia</w:t>
      </w:r>
      <w:r w:rsidRPr="00BB49B8">
        <w:t xml:space="preserve"> [Tesis de doctorado, Universidad de La Salle ]. </w:t>
      </w:r>
      <w:r w:rsidRPr="00BB49B8">
        <w:rPr>
          <w:color w:val="000000"/>
          <w:u w:val="single"/>
        </w:rPr>
        <w:t>http://doi.org/</w:t>
      </w:r>
      <w:hyperlink r:id="rId51">
        <w:r w:rsidRPr="00BB49B8">
          <w:rPr>
            <w:color w:val="000000"/>
            <w:u w:val="single"/>
          </w:rPr>
          <w:t>10.13140/RG.2.2.12238.43841</w:t>
        </w:r>
      </w:hyperlink>
      <w:r w:rsidRPr="00BB49B8">
        <w:rPr>
          <w:color w:val="000000"/>
          <w:u w:val="single"/>
        </w:rPr>
        <w:t xml:space="preserve"> </w:t>
      </w:r>
    </w:p>
    <w:p w14:paraId="2FEC65CA" w14:textId="77777777" w:rsidR="003A3994" w:rsidRPr="00BB49B8" w:rsidRDefault="007E4542" w:rsidP="00331804">
      <w:pPr>
        <w:spacing w:line="360" w:lineRule="auto"/>
        <w:ind w:left="720" w:hanging="720"/>
        <w:jc w:val="both"/>
        <w:rPr>
          <w:color w:val="000000"/>
          <w:lang w:val="en-US"/>
        </w:rPr>
      </w:pPr>
      <w:r w:rsidRPr="00BB49B8">
        <w:rPr>
          <w:color w:val="000000"/>
          <w:lang w:val="en-US"/>
        </w:rPr>
        <w:lastRenderedPageBreak/>
        <w:t>Sangalang, C., Becerra, D., Mitchell, F., Lechuga-Peña, S., Lopez, K., &amp; Kim, I. (2019). Trauma, post-migration stress, and mental health: A comparative analysis of refugees and immigrants in the United States.</w:t>
      </w:r>
      <w:r w:rsidRPr="00BB49B8">
        <w:rPr>
          <w:i/>
          <w:color w:val="000000"/>
          <w:lang w:val="en-US"/>
        </w:rPr>
        <w:t xml:space="preserve"> Journal Immigrant Minority Health,</w:t>
      </w:r>
      <w:r w:rsidRPr="00BB49B8">
        <w:rPr>
          <w:color w:val="000000"/>
          <w:lang w:val="en-US"/>
        </w:rPr>
        <w:t xml:space="preserve"> </w:t>
      </w:r>
      <w:r w:rsidRPr="00BB49B8">
        <w:rPr>
          <w:i/>
          <w:color w:val="000000"/>
          <w:lang w:val="en-US"/>
        </w:rPr>
        <w:t>21</w:t>
      </w:r>
      <w:r w:rsidRPr="00BB49B8">
        <w:rPr>
          <w:color w:val="000000"/>
          <w:lang w:val="en-US"/>
        </w:rPr>
        <w:t xml:space="preserve">(5), 909-919. </w:t>
      </w:r>
      <w:hyperlink r:id="rId52">
        <w:r w:rsidRPr="00BB49B8">
          <w:rPr>
            <w:color w:val="000000"/>
            <w:u w:val="single"/>
            <w:lang w:val="en-US"/>
          </w:rPr>
          <w:t>https://doi.org/10.1007/s10903-018-0826-2</w:t>
        </w:r>
      </w:hyperlink>
    </w:p>
    <w:p w14:paraId="1B09BCD1" w14:textId="77777777" w:rsidR="003A3994" w:rsidRPr="00BB49B8" w:rsidRDefault="007E4542" w:rsidP="00331804">
      <w:pPr>
        <w:spacing w:line="360" w:lineRule="auto"/>
        <w:ind w:left="720" w:hanging="720"/>
        <w:jc w:val="both"/>
        <w:rPr>
          <w:color w:val="000000"/>
          <w:lang w:val="en-US"/>
        </w:rPr>
      </w:pPr>
      <w:r w:rsidRPr="00BB49B8">
        <w:rPr>
          <w:color w:val="000000"/>
          <w:lang w:val="en-US"/>
        </w:rPr>
        <w:t xml:space="preserve">Santana, C. Á., Coveña, C., &amp; Pazmiño, E. B. (2021). </w:t>
      </w:r>
      <w:r w:rsidRPr="00BB49B8">
        <w:rPr>
          <w:color w:val="000000"/>
        </w:rPr>
        <w:t xml:space="preserve">La resiliencia, mujeres víctimas de violencia de género y su influencia entre ellas, en edades de 25 a 50 años en la Ciudad de Manta. </w:t>
      </w:r>
      <w:r w:rsidRPr="00BB49B8">
        <w:rPr>
          <w:i/>
          <w:color w:val="000000"/>
          <w:lang w:val="en-US"/>
        </w:rPr>
        <w:t>Identidad Bolivariana</w:t>
      </w:r>
      <w:r w:rsidRPr="00BB49B8">
        <w:rPr>
          <w:color w:val="000000"/>
          <w:lang w:val="en-US"/>
        </w:rPr>
        <w:t xml:space="preserve">, </w:t>
      </w:r>
      <w:r w:rsidRPr="00BB49B8">
        <w:rPr>
          <w:i/>
          <w:color w:val="000000"/>
          <w:lang w:val="en-US"/>
        </w:rPr>
        <w:t>5</w:t>
      </w:r>
      <w:r w:rsidRPr="00BB49B8">
        <w:rPr>
          <w:color w:val="000000"/>
          <w:lang w:val="en-US"/>
        </w:rPr>
        <w:t>(1), 128-135.</w:t>
      </w:r>
    </w:p>
    <w:p w14:paraId="5F9D6DDF" w14:textId="5C566117" w:rsidR="003A3994" w:rsidRPr="00BB49B8" w:rsidRDefault="007E4542" w:rsidP="00331804">
      <w:pPr>
        <w:spacing w:line="360" w:lineRule="auto"/>
        <w:ind w:left="709" w:hanging="709"/>
        <w:jc w:val="both"/>
        <w:rPr>
          <w:color w:val="000000"/>
          <w:lang w:val="en-US"/>
        </w:rPr>
      </w:pPr>
      <w:r w:rsidRPr="00BB49B8">
        <w:rPr>
          <w:color w:val="000000"/>
          <w:lang w:val="en-US"/>
        </w:rPr>
        <w:t xml:space="preserve">Singh, S., McBride, K., &amp; Kak, V. (2015). Role of social support in examining acculturative stress and psychological distress among Asian American immigrants and three sub-groups: Results from NLAAS. </w:t>
      </w:r>
      <w:r w:rsidRPr="00BB49B8">
        <w:rPr>
          <w:i/>
          <w:color w:val="000000"/>
          <w:lang w:val="en-US"/>
        </w:rPr>
        <w:t>Journal of Immigrant and Minority Health</w:t>
      </w:r>
      <w:r w:rsidRPr="00BB49B8">
        <w:rPr>
          <w:color w:val="000000"/>
          <w:lang w:val="en-US"/>
        </w:rPr>
        <w:t xml:space="preserve">, </w:t>
      </w:r>
      <w:r w:rsidRPr="00BB49B8">
        <w:rPr>
          <w:i/>
          <w:color w:val="000000"/>
          <w:lang w:val="en-US"/>
        </w:rPr>
        <w:t>17</w:t>
      </w:r>
      <w:r w:rsidRPr="00BB49B8">
        <w:rPr>
          <w:color w:val="000000"/>
          <w:lang w:val="en-US"/>
        </w:rPr>
        <w:t xml:space="preserve">, 1597-1606. </w:t>
      </w:r>
      <w:hyperlink r:id="rId53" w:history="1">
        <w:r w:rsidR="00EB63DB" w:rsidRPr="00BB49B8">
          <w:rPr>
            <w:rStyle w:val="Hipervnculo"/>
            <w:lang w:val="en-US"/>
          </w:rPr>
          <w:t>https://link.springer.com/article/10.1007/s10903-015-0213-1</w:t>
        </w:r>
      </w:hyperlink>
    </w:p>
    <w:p w14:paraId="5BBB1A02" w14:textId="3700EF64" w:rsidR="00EB63DB" w:rsidRPr="00BB49B8" w:rsidRDefault="00EB63DB" w:rsidP="00331804">
      <w:pPr>
        <w:spacing w:line="360" w:lineRule="auto"/>
        <w:ind w:left="709" w:hanging="709"/>
        <w:jc w:val="both"/>
        <w:rPr>
          <w:color w:val="000000"/>
        </w:rPr>
      </w:pPr>
      <w:r w:rsidRPr="00BB49B8">
        <w:rPr>
          <w:color w:val="000000"/>
        </w:rPr>
        <w:t xml:space="preserve">Sociedad Interamericana de Psicología (SIP). (2019). Declaración de experticia en salud mental. </w:t>
      </w:r>
      <w:r w:rsidR="00540B7F" w:rsidRPr="00BB49B8">
        <w:rPr>
          <w:color w:val="000000"/>
        </w:rPr>
        <w:t>https://archive.org/details/sip-2019-declaracion-experticia-en-salud-mental</w:t>
      </w:r>
    </w:p>
    <w:p w14:paraId="7F094B50" w14:textId="77777777" w:rsidR="00EE7F3D" w:rsidRPr="00BB49B8" w:rsidRDefault="007E4542" w:rsidP="00331804">
      <w:pPr>
        <w:spacing w:line="360" w:lineRule="auto"/>
        <w:ind w:left="720" w:hanging="720"/>
        <w:jc w:val="both"/>
        <w:rPr>
          <w:color w:val="000000"/>
          <w:u w:val="single"/>
          <w:lang w:val="en-US"/>
        </w:rPr>
      </w:pPr>
      <w:r w:rsidRPr="00BB49B8">
        <w:rPr>
          <w:color w:val="000000"/>
          <w:lang w:val="en-US"/>
        </w:rPr>
        <w:t xml:space="preserve">Steel, J., Dunlavy, A., Harding, C., &amp; Theorell, T. (2017). The psychological consequences of pre-emigration trauma and post-migration stress in refugees and immigrants from Africa. </w:t>
      </w:r>
      <w:r w:rsidRPr="00BB49B8">
        <w:rPr>
          <w:i/>
          <w:color w:val="000000"/>
          <w:lang w:val="en-US"/>
        </w:rPr>
        <w:t>Journal Immigrant Minority Health</w:t>
      </w:r>
      <w:r w:rsidRPr="00BB49B8">
        <w:rPr>
          <w:color w:val="000000"/>
          <w:lang w:val="en-US"/>
        </w:rPr>
        <w:t xml:space="preserve"> </w:t>
      </w:r>
      <w:r w:rsidRPr="00BB49B8">
        <w:rPr>
          <w:i/>
          <w:color w:val="000000"/>
          <w:lang w:val="en-US"/>
        </w:rPr>
        <w:t>19</w:t>
      </w:r>
      <w:r w:rsidRPr="00BB49B8">
        <w:rPr>
          <w:color w:val="000000"/>
          <w:lang w:val="en-US"/>
        </w:rPr>
        <w:t xml:space="preserve">(3), 523-532.  </w:t>
      </w:r>
      <w:hyperlink r:id="rId54">
        <w:r w:rsidRPr="00BB49B8">
          <w:rPr>
            <w:color w:val="000000"/>
            <w:u w:val="single"/>
            <w:lang w:val="en-US"/>
          </w:rPr>
          <w:t>https://doi.org/10.1007/s10903-016-0478-z</w:t>
        </w:r>
      </w:hyperlink>
    </w:p>
    <w:p w14:paraId="059E9822" w14:textId="107684BF" w:rsidR="00EE7F3D" w:rsidRPr="00BB49B8" w:rsidRDefault="00EE7F3D" w:rsidP="00331804">
      <w:pPr>
        <w:spacing w:line="360" w:lineRule="auto"/>
        <w:ind w:left="720" w:hanging="720"/>
        <w:jc w:val="both"/>
        <w:rPr>
          <w:color w:val="000000"/>
          <w:u w:val="single"/>
        </w:rPr>
      </w:pPr>
      <w:r w:rsidRPr="00BB49B8">
        <w:rPr>
          <w:rStyle w:val="Textoennegrita"/>
          <w:b w:val="0"/>
          <w:lang w:val="en-US"/>
        </w:rPr>
        <w:t>Torres, F., Gómez, M., Castillo, C., &amp; Briceño, M. (2024).</w:t>
      </w:r>
      <w:r w:rsidRPr="00BB49B8">
        <w:rPr>
          <w:lang w:val="en-US"/>
        </w:rPr>
        <w:t xml:space="preserve"> </w:t>
      </w:r>
      <w:r w:rsidRPr="00BB49B8">
        <w:rPr>
          <w:rStyle w:val="nfasis"/>
        </w:rPr>
        <w:t>Bienestar psicológico en psicólogos venezolanos migrantes durante el confinamiento por Covid-19</w:t>
      </w:r>
      <w:r w:rsidRPr="00BB49B8">
        <w:t xml:space="preserve">. </w:t>
      </w:r>
      <w:r w:rsidRPr="00BB49B8">
        <w:rPr>
          <w:rStyle w:val="nfasis"/>
        </w:rPr>
        <w:t>Revista de Psicología, 12</w:t>
      </w:r>
      <w:r w:rsidRPr="00BB49B8">
        <w:t>(3), 145-160.</w:t>
      </w:r>
    </w:p>
    <w:p w14:paraId="7CD0B032" w14:textId="77777777" w:rsidR="003A3994" w:rsidRPr="00BB49B8" w:rsidRDefault="007E4542" w:rsidP="00331804">
      <w:pPr>
        <w:spacing w:line="360" w:lineRule="auto"/>
        <w:ind w:left="720" w:hanging="720"/>
        <w:jc w:val="both"/>
        <w:rPr>
          <w:color w:val="000000"/>
        </w:rPr>
      </w:pPr>
      <w:r w:rsidRPr="00BB49B8">
        <w:rPr>
          <w:color w:val="000000"/>
        </w:rPr>
        <w:t xml:space="preserve">Ubach, L. I., &amp; Santacana, F. I. (2016). Discriminación percibida, afrontamiento y salud mental en migrantes peruanos en Santiago de Chile. </w:t>
      </w:r>
      <w:r w:rsidRPr="00BB49B8">
        <w:rPr>
          <w:i/>
          <w:color w:val="000000"/>
        </w:rPr>
        <w:t>Psicoperspectivas,</w:t>
      </w:r>
      <w:r w:rsidRPr="00BB49B8">
        <w:rPr>
          <w:color w:val="000000"/>
        </w:rPr>
        <w:t xml:space="preserve"> </w:t>
      </w:r>
      <w:r w:rsidRPr="00BB49B8">
        <w:rPr>
          <w:i/>
          <w:color w:val="000000"/>
        </w:rPr>
        <w:t>15</w:t>
      </w:r>
      <w:r w:rsidRPr="00BB49B8">
        <w:rPr>
          <w:color w:val="000000"/>
        </w:rPr>
        <w:t xml:space="preserve">(1), 157-168. http://dx.doi.org/10.5027/psicoperspectivas-Vol15-Issue1-fulltext-613 </w:t>
      </w:r>
    </w:p>
    <w:p w14:paraId="6D0457A9" w14:textId="77777777" w:rsidR="003A3994" w:rsidRPr="00BB49B8" w:rsidRDefault="007E4542" w:rsidP="00331804">
      <w:pPr>
        <w:spacing w:line="360" w:lineRule="auto"/>
        <w:ind w:left="720" w:hanging="720"/>
        <w:jc w:val="both"/>
        <w:rPr>
          <w:color w:val="000000"/>
          <w:lang w:val="en-US"/>
        </w:rPr>
      </w:pPr>
      <w:r w:rsidRPr="00BB49B8">
        <w:rPr>
          <w:color w:val="000000"/>
        </w:rPr>
        <w:t xml:space="preserve">Vella, S. L. C., &amp; Pai, N. B. (2019). </w:t>
      </w:r>
      <w:r w:rsidRPr="00BB49B8">
        <w:rPr>
          <w:color w:val="000000"/>
          <w:lang w:val="en-US"/>
        </w:rPr>
        <w:t xml:space="preserve">A theoretical review of psychological resilience: Defining resilience and resilience research over the decades. </w:t>
      </w:r>
      <w:r w:rsidRPr="00BB49B8">
        <w:rPr>
          <w:i/>
          <w:color w:val="000000"/>
          <w:lang w:val="en-US"/>
        </w:rPr>
        <w:t>Archives of Medicine and Health Sciences</w:t>
      </w:r>
      <w:r w:rsidRPr="00BB49B8">
        <w:rPr>
          <w:color w:val="000000"/>
          <w:lang w:val="en-US"/>
        </w:rPr>
        <w:t xml:space="preserve">, </w:t>
      </w:r>
      <w:r w:rsidRPr="00BB49B8">
        <w:rPr>
          <w:i/>
          <w:color w:val="000000"/>
          <w:lang w:val="en-US"/>
        </w:rPr>
        <w:t>7</w:t>
      </w:r>
      <w:r w:rsidRPr="00BB49B8">
        <w:rPr>
          <w:color w:val="000000"/>
          <w:lang w:val="en-US"/>
        </w:rPr>
        <w:t>(2), 233-239.</w:t>
      </w:r>
    </w:p>
    <w:p w14:paraId="5AA3E501" w14:textId="77777777" w:rsidR="003A3994" w:rsidRPr="00BB49B8" w:rsidRDefault="007E4542" w:rsidP="00331804">
      <w:pPr>
        <w:spacing w:line="360" w:lineRule="auto"/>
        <w:ind w:left="720" w:hanging="720"/>
        <w:jc w:val="both"/>
        <w:rPr>
          <w:color w:val="000000"/>
          <w:lang w:val="en-US"/>
        </w:rPr>
      </w:pPr>
      <w:r w:rsidRPr="00BB49B8">
        <w:rPr>
          <w:color w:val="000000"/>
          <w:lang w:val="en-US"/>
        </w:rPr>
        <w:t xml:space="preserve">Vitoroulis, I., Sim, A., Ma, S., Jenkins, J., &amp; Georgiades, K. (2022). Resilience in the face of adversity: family processes and the immigrant paradox in youth externalizing problems. </w:t>
      </w:r>
      <w:r w:rsidRPr="00BB49B8">
        <w:rPr>
          <w:i/>
          <w:color w:val="000000"/>
          <w:lang w:val="en-US"/>
        </w:rPr>
        <w:t>Canadian Journal of Psychiatry,</w:t>
      </w:r>
      <w:r w:rsidRPr="00BB49B8">
        <w:rPr>
          <w:color w:val="000000"/>
          <w:lang w:val="en-US"/>
        </w:rPr>
        <w:t xml:space="preserve"> </w:t>
      </w:r>
      <w:r w:rsidRPr="00BB49B8">
        <w:rPr>
          <w:i/>
          <w:color w:val="000000"/>
          <w:lang w:val="en-US"/>
        </w:rPr>
        <w:t>67</w:t>
      </w:r>
      <w:r w:rsidRPr="00BB49B8">
        <w:rPr>
          <w:color w:val="000000"/>
          <w:lang w:val="en-US"/>
        </w:rPr>
        <w:t xml:space="preserve">(7), 565-574. </w:t>
      </w:r>
      <w:hyperlink r:id="rId55">
        <w:r w:rsidRPr="00BB49B8">
          <w:rPr>
            <w:color w:val="000000"/>
            <w:lang w:val="en-US"/>
          </w:rPr>
          <w:t>https://doi.org/10.1177/07067437211065722</w:t>
        </w:r>
      </w:hyperlink>
    </w:p>
    <w:p w14:paraId="5C9545E2" w14:textId="77777777" w:rsidR="003A3994" w:rsidRPr="00BB49B8" w:rsidRDefault="007E4542" w:rsidP="00331804">
      <w:pPr>
        <w:spacing w:line="360" w:lineRule="auto"/>
        <w:ind w:left="720" w:hanging="720"/>
        <w:jc w:val="both"/>
        <w:rPr>
          <w:color w:val="000000"/>
          <w:lang w:val="en-US"/>
        </w:rPr>
      </w:pPr>
      <w:r w:rsidRPr="00BB49B8">
        <w:rPr>
          <w:color w:val="000000"/>
          <w:lang w:val="en-US"/>
        </w:rPr>
        <w:lastRenderedPageBreak/>
        <w:t xml:space="preserve">Wagnild, G. M., &amp; Young, H. M. (1993). Development and psychometric evaluation of the resilience scale. </w:t>
      </w:r>
      <w:r w:rsidRPr="00BB49B8">
        <w:rPr>
          <w:i/>
          <w:color w:val="000000"/>
          <w:lang w:val="en-US"/>
        </w:rPr>
        <w:t>Journal of Nursing Measurement,</w:t>
      </w:r>
      <w:r w:rsidRPr="00BB49B8">
        <w:rPr>
          <w:color w:val="000000"/>
          <w:lang w:val="en-US"/>
        </w:rPr>
        <w:t xml:space="preserve"> </w:t>
      </w:r>
      <w:r w:rsidRPr="00BB49B8">
        <w:rPr>
          <w:i/>
          <w:color w:val="000000"/>
          <w:lang w:val="en-US"/>
        </w:rPr>
        <w:t>1</w:t>
      </w:r>
      <w:r w:rsidRPr="00BB49B8">
        <w:rPr>
          <w:color w:val="000000"/>
          <w:lang w:val="en-US"/>
        </w:rPr>
        <w:t>(2), 165-178</w:t>
      </w:r>
    </w:p>
    <w:p w14:paraId="65A6C5DE" w14:textId="77777777" w:rsidR="003A3994" w:rsidRPr="00BB49B8" w:rsidRDefault="007E4542" w:rsidP="00331804">
      <w:pPr>
        <w:spacing w:line="360" w:lineRule="auto"/>
        <w:ind w:left="720" w:hanging="720"/>
        <w:jc w:val="both"/>
        <w:rPr>
          <w:b/>
          <w:color w:val="000000"/>
          <w:lang w:val="en-US"/>
        </w:rPr>
      </w:pPr>
      <w:r w:rsidRPr="00BB49B8">
        <w:rPr>
          <w:color w:val="000000"/>
          <w:lang w:val="en-US"/>
        </w:rPr>
        <w:t xml:space="preserve">Waxenegger, A., Mayeri, H., Rásky, É., Stolz, E., &amp; Freidi, W. (2019). The impact of migration background on health: result of the Austrian Health Interview Survey (ATHIS 2014). </w:t>
      </w:r>
      <w:r w:rsidRPr="00BB49B8">
        <w:rPr>
          <w:i/>
          <w:color w:val="000000"/>
          <w:lang w:val="en-US"/>
        </w:rPr>
        <w:t>Gesundheitswesen,</w:t>
      </w:r>
      <w:r w:rsidRPr="00BB49B8">
        <w:rPr>
          <w:color w:val="000000"/>
          <w:lang w:val="en-US"/>
        </w:rPr>
        <w:t xml:space="preserve"> </w:t>
      </w:r>
      <w:r w:rsidRPr="00BB49B8">
        <w:rPr>
          <w:i/>
          <w:color w:val="000000"/>
          <w:lang w:val="en-US"/>
        </w:rPr>
        <w:t>81</w:t>
      </w:r>
      <w:r w:rsidRPr="00BB49B8">
        <w:rPr>
          <w:color w:val="000000"/>
          <w:lang w:val="en-US"/>
        </w:rPr>
        <w:t xml:space="preserve">(2), 128-13. </w:t>
      </w:r>
      <w:hyperlink r:id="rId56">
        <w:r w:rsidRPr="00BB49B8">
          <w:rPr>
            <w:color w:val="000000"/>
            <w:lang w:val="en-US"/>
          </w:rPr>
          <w:t>https://doi.org/10.1055/s-0043-111234</w:t>
        </w:r>
      </w:hyperlink>
    </w:p>
    <w:p w14:paraId="4A01BC86" w14:textId="77777777" w:rsidR="003A3994" w:rsidRPr="00BB49B8" w:rsidRDefault="007E4542" w:rsidP="00331804">
      <w:pPr>
        <w:spacing w:line="360" w:lineRule="auto"/>
        <w:ind w:left="720" w:hanging="720"/>
        <w:jc w:val="both"/>
        <w:rPr>
          <w:color w:val="000000"/>
          <w:lang w:val="en-US"/>
        </w:rPr>
      </w:pPr>
      <w:r w:rsidRPr="00BB49B8">
        <w:rPr>
          <w:color w:val="000000"/>
          <w:lang w:val="en-US"/>
        </w:rPr>
        <w:t xml:space="preserve">Wu, Q., Ge, T., Emond, A., Foster, K., Gatt, J. M., Hadfield, K., ... &amp; Wouldes, T. A. (2018). Acculturation, resilience, and the mental health of migrant youth: a cross-country comparative study. </w:t>
      </w:r>
      <w:r w:rsidRPr="00BB49B8">
        <w:rPr>
          <w:i/>
          <w:color w:val="000000"/>
          <w:lang w:val="en-US"/>
        </w:rPr>
        <w:t>Public health</w:t>
      </w:r>
      <w:r w:rsidRPr="00BB49B8">
        <w:rPr>
          <w:color w:val="000000"/>
          <w:lang w:val="en-US"/>
        </w:rPr>
        <w:t xml:space="preserve">, </w:t>
      </w:r>
      <w:r w:rsidRPr="00BB49B8">
        <w:rPr>
          <w:i/>
          <w:color w:val="000000"/>
          <w:lang w:val="en-US"/>
        </w:rPr>
        <w:t>162</w:t>
      </w:r>
      <w:r w:rsidRPr="00BB49B8">
        <w:rPr>
          <w:color w:val="000000"/>
          <w:lang w:val="en-US"/>
        </w:rPr>
        <w:t>, 63-70. https://doi.org/10.1016/j.puhe.2018.05.006</w:t>
      </w:r>
    </w:p>
    <w:p w14:paraId="3FAA4994" w14:textId="77777777" w:rsidR="003A3994" w:rsidRPr="004A7371" w:rsidRDefault="007E4542" w:rsidP="00331804">
      <w:pPr>
        <w:spacing w:line="360" w:lineRule="auto"/>
        <w:ind w:left="720" w:hanging="720"/>
        <w:jc w:val="both"/>
        <w:rPr>
          <w:color w:val="000000"/>
          <w:lang w:val="en-US"/>
        </w:rPr>
      </w:pPr>
      <w:bookmarkStart w:id="3" w:name="_heading=h.30j0zll" w:colFirst="0" w:colLast="0"/>
      <w:bookmarkEnd w:id="3"/>
      <w:r w:rsidRPr="00BB49B8">
        <w:rPr>
          <w:color w:val="000000"/>
          <w:lang w:val="en-US"/>
        </w:rPr>
        <w:t xml:space="preserve">Zubair, A., Kamal, A., &amp; Artemeva, V. (2018). Mindfulness and resilience as predictors of subjective well-being among university students: A cross cultural perspective. </w:t>
      </w:r>
      <w:r w:rsidRPr="00BB49B8">
        <w:rPr>
          <w:i/>
          <w:color w:val="000000"/>
          <w:lang w:val="en-US"/>
        </w:rPr>
        <w:t>Journal of Behavioural Sciences</w:t>
      </w:r>
      <w:r w:rsidRPr="00BB49B8">
        <w:rPr>
          <w:color w:val="000000"/>
          <w:lang w:val="en-US"/>
        </w:rPr>
        <w:t xml:space="preserve">, </w:t>
      </w:r>
      <w:r w:rsidRPr="00BB49B8">
        <w:rPr>
          <w:i/>
          <w:color w:val="000000"/>
          <w:lang w:val="en-US"/>
        </w:rPr>
        <w:t>28</w:t>
      </w:r>
      <w:r w:rsidRPr="00BB49B8">
        <w:rPr>
          <w:color w:val="000000"/>
          <w:lang w:val="en-US"/>
        </w:rPr>
        <w:t xml:space="preserve">(2), 1. </w:t>
      </w:r>
      <w:hyperlink r:id="rId57">
        <w:r w:rsidRPr="00BB49B8">
          <w:rPr>
            <w:color w:val="000000"/>
            <w:u w:val="single"/>
            <w:lang w:val="en-US"/>
          </w:rPr>
          <w:t>http://pu.edu.pk/images/journal/doap/PDF-FILES/01_v28_2_18.pdf</w:t>
        </w:r>
      </w:hyperlink>
    </w:p>
    <w:sectPr w:rsidR="003A3994" w:rsidRPr="004A7371">
      <w:headerReference w:type="default" r:id="rId58"/>
      <w:footerReference w:type="default" r:id="rId59"/>
      <w:type w:val="continuous"/>
      <w:pgSz w:w="12240" w:h="15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38EBE" w14:textId="77777777" w:rsidR="00462B39" w:rsidRDefault="00462B39">
      <w:r>
        <w:separator/>
      </w:r>
    </w:p>
  </w:endnote>
  <w:endnote w:type="continuationSeparator" w:id="0">
    <w:p w14:paraId="144A627E" w14:textId="77777777" w:rsidR="00462B39" w:rsidRDefault="00462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F71D" w14:textId="77777777" w:rsidR="00386799" w:rsidRDefault="00386799">
    <w:pPr>
      <w:widowControl w:val="0"/>
      <w:pBdr>
        <w:top w:val="nil"/>
        <w:left w:val="nil"/>
        <w:bottom w:val="nil"/>
        <w:right w:val="nil"/>
        <w:between w:val="nil"/>
      </w:pBdr>
      <w:spacing w:line="276" w:lineRule="auto"/>
      <w:rPr>
        <w:color w:val="000000"/>
      </w:rPr>
    </w:pPr>
  </w:p>
  <w:tbl>
    <w:tblPr>
      <w:tblStyle w:val="af2"/>
      <w:tblW w:w="9360" w:type="dxa"/>
      <w:tblInd w:w="0" w:type="dxa"/>
      <w:tblLayout w:type="fixed"/>
      <w:tblLook w:val="0600" w:firstRow="0" w:lastRow="0" w:firstColumn="0" w:lastColumn="0" w:noHBand="1" w:noVBand="1"/>
    </w:tblPr>
    <w:tblGrid>
      <w:gridCol w:w="3120"/>
      <w:gridCol w:w="3120"/>
      <w:gridCol w:w="3120"/>
    </w:tblGrid>
    <w:tr w:rsidR="00386799" w14:paraId="46823F24" w14:textId="77777777">
      <w:trPr>
        <w:trHeight w:val="463"/>
      </w:trPr>
      <w:tc>
        <w:tcPr>
          <w:tcW w:w="3120" w:type="dxa"/>
        </w:tcPr>
        <w:p w14:paraId="7075D013" w14:textId="77777777" w:rsidR="00386799" w:rsidRDefault="00386799">
          <w:pPr>
            <w:pBdr>
              <w:top w:val="nil"/>
              <w:left w:val="nil"/>
              <w:bottom w:val="nil"/>
              <w:right w:val="nil"/>
              <w:between w:val="nil"/>
            </w:pBdr>
            <w:tabs>
              <w:tab w:val="center" w:pos="4680"/>
              <w:tab w:val="right" w:pos="9360"/>
            </w:tabs>
            <w:ind w:left="-115"/>
            <w:rPr>
              <w:color w:val="000000"/>
            </w:rPr>
          </w:pPr>
        </w:p>
      </w:tc>
      <w:tc>
        <w:tcPr>
          <w:tcW w:w="3120" w:type="dxa"/>
        </w:tcPr>
        <w:p w14:paraId="72BC601C" w14:textId="77777777" w:rsidR="00386799" w:rsidRDefault="00386799">
          <w:pPr>
            <w:pBdr>
              <w:top w:val="nil"/>
              <w:left w:val="nil"/>
              <w:bottom w:val="nil"/>
              <w:right w:val="nil"/>
              <w:between w:val="nil"/>
            </w:pBdr>
            <w:tabs>
              <w:tab w:val="center" w:pos="4680"/>
              <w:tab w:val="right" w:pos="9360"/>
            </w:tabs>
            <w:jc w:val="center"/>
            <w:rPr>
              <w:color w:val="000000"/>
            </w:rPr>
          </w:pPr>
        </w:p>
      </w:tc>
      <w:tc>
        <w:tcPr>
          <w:tcW w:w="3120" w:type="dxa"/>
        </w:tcPr>
        <w:p w14:paraId="3FC01213" w14:textId="77777777" w:rsidR="00386799" w:rsidRDefault="00386799">
          <w:pPr>
            <w:pBdr>
              <w:top w:val="nil"/>
              <w:left w:val="nil"/>
              <w:bottom w:val="nil"/>
              <w:right w:val="nil"/>
              <w:between w:val="nil"/>
            </w:pBdr>
            <w:tabs>
              <w:tab w:val="center" w:pos="4680"/>
              <w:tab w:val="right" w:pos="9360"/>
            </w:tabs>
            <w:ind w:right="-115"/>
            <w:jc w:val="right"/>
            <w:rPr>
              <w:color w:val="000000"/>
            </w:rPr>
          </w:pPr>
        </w:p>
      </w:tc>
    </w:tr>
  </w:tbl>
  <w:p w14:paraId="0DBD128F" w14:textId="77777777" w:rsidR="00386799" w:rsidRDefault="0038679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18344" w14:textId="77777777" w:rsidR="00462B39" w:rsidRDefault="00462B39">
      <w:r>
        <w:separator/>
      </w:r>
    </w:p>
  </w:footnote>
  <w:footnote w:type="continuationSeparator" w:id="0">
    <w:p w14:paraId="64C0EB2F" w14:textId="77777777" w:rsidR="00462B39" w:rsidRDefault="00462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18E5" w14:textId="77777777" w:rsidR="00386799" w:rsidRDefault="00386799">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994"/>
    <w:rsid w:val="00026065"/>
    <w:rsid w:val="00042EC8"/>
    <w:rsid w:val="000840A8"/>
    <w:rsid w:val="000A4F4E"/>
    <w:rsid w:val="000C12D8"/>
    <w:rsid w:val="000F53BF"/>
    <w:rsid w:val="001720E0"/>
    <w:rsid w:val="00191665"/>
    <w:rsid w:val="001E11AC"/>
    <w:rsid w:val="00271A5C"/>
    <w:rsid w:val="002F1F70"/>
    <w:rsid w:val="00331804"/>
    <w:rsid w:val="00386799"/>
    <w:rsid w:val="003A3994"/>
    <w:rsid w:val="00462B39"/>
    <w:rsid w:val="004A7371"/>
    <w:rsid w:val="005072CA"/>
    <w:rsid w:val="00520AF3"/>
    <w:rsid w:val="00540B7F"/>
    <w:rsid w:val="005714F0"/>
    <w:rsid w:val="0057617F"/>
    <w:rsid w:val="005B2151"/>
    <w:rsid w:val="00642CEB"/>
    <w:rsid w:val="00647898"/>
    <w:rsid w:val="007715AE"/>
    <w:rsid w:val="007E4542"/>
    <w:rsid w:val="007F2EF5"/>
    <w:rsid w:val="0082577E"/>
    <w:rsid w:val="00852BC8"/>
    <w:rsid w:val="00853899"/>
    <w:rsid w:val="008841F5"/>
    <w:rsid w:val="008B6DE2"/>
    <w:rsid w:val="008E5EFF"/>
    <w:rsid w:val="0094336D"/>
    <w:rsid w:val="0098426D"/>
    <w:rsid w:val="009B06E8"/>
    <w:rsid w:val="00B74948"/>
    <w:rsid w:val="00B87D19"/>
    <w:rsid w:val="00BB49B8"/>
    <w:rsid w:val="00BB79C6"/>
    <w:rsid w:val="00C2251F"/>
    <w:rsid w:val="00C375B8"/>
    <w:rsid w:val="00CC26BC"/>
    <w:rsid w:val="00D22787"/>
    <w:rsid w:val="00D37116"/>
    <w:rsid w:val="00DA4756"/>
    <w:rsid w:val="00DB55E7"/>
    <w:rsid w:val="00DD0605"/>
    <w:rsid w:val="00E5303C"/>
    <w:rsid w:val="00EB63DB"/>
    <w:rsid w:val="00EC3EFF"/>
    <w:rsid w:val="00EE7F3D"/>
    <w:rsid w:val="00EF16D9"/>
    <w:rsid w:val="00F66A1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615E8"/>
  <w15:docId w15:val="{28321559-8E2C-40B3-A47A-08715C64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419"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5B8"/>
    <w:pPr>
      <w:spacing w:after="0" w:line="240" w:lineRule="auto"/>
    </w:pPr>
    <w:rPr>
      <w:rFonts w:ascii="Times New Roman" w:eastAsia="Times New Roman" w:hAnsi="Times New Roman" w:cs="Times New Roman"/>
      <w:sz w:val="24"/>
      <w:szCs w:val="24"/>
      <w:lang w:val="es-PE" w:eastAsia="es-ES_tradnl"/>
    </w:rPr>
  </w:style>
  <w:style w:type="paragraph" w:styleId="Ttulo1">
    <w:name w:val="heading 1"/>
    <w:basedOn w:val="Normal"/>
    <w:next w:val="Normal"/>
    <w:uiPriority w:val="9"/>
    <w:qFormat/>
    <w:pPr>
      <w:keepNext/>
      <w:keepLines/>
      <w:spacing w:before="240"/>
      <w:outlineLvl w:val="0"/>
    </w:pPr>
    <w:rPr>
      <w:color w:val="2F5496"/>
      <w:sz w:val="32"/>
      <w:szCs w:val="32"/>
    </w:rPr>
  </w:style>
  <w:style w:type="paragraph" w:styleId="Ttulo2">
    <w:name w:val="heading 2"/>
    <w:basedOn w:val="Normal"/>
    <w:next w:val="Normal"/>
    <w:uiPriority w:val="9"/>
    <w:semiHidden/>
    <w:unhideWhenUsed/>
    <w:qFormat/>
    <w:pPr>
      <w:keepNext/>
      <w:keepLines/>
      <w:spacing w:before="40"/>
      <w:outlineLvl w:val="1"/>
    </w:pPr>
    <w:rPr>
      <w:color w:val="2F5496"/>
      <w:sz w:val="26"/>
      <w:szCs w:val="26"/>
    </w:rPr>
  </w:style>
  <w:style w:type="paragraph" w:styleId="Ttulo3">
    <w:name w:val="heading 3"/>
    <w:basedOn w:val="Normal"/>
    <w:next w:val="Normal"/>
    <w:uiPriority w:val="9"/>
    <w:semiHidden/>
    <w:unhideWhenUsed/>
    <w:qFormat/>
    <w:pPr>
      <w:keepNext/>
      <w:keepLines/>
      <w:spacing w:before="40"/>
      <w:outlineLvl w:val="2"/>
    </w:pPr>
    <w:rPr>
      <w:color w:val="1F3763"/>
    </w:rPr>
  </w:style>
  <w:style w:type="paragraph" w:styleId="Ttulo4">
    <w:name w:val="heading 4"/>
    <w:basedOn w:val="Normal"/>
    <w:next w:val="Normal"/>
    <w:uiPriority w:val="9"/>
    <w:semiHidden/>
    <w:unhideWhenUsed/>
    <w:qFormat/>
    <w:pPr>
      <w:keepNext/>
      <w:keepLines/>
      <w:spacing w:before="40"/>
      <w:outlineLvl w:val="3"/>
    </w:pPr>
    <w:rPr>
      <w:i/>
      <w:color w:val="2F5496"/>
    </w:rPr>
  </w:style>
  <w:style w:type="paragraph" w:styleId="Ttulo5">
    <w:name w:val="heading 5"/>
    <w:basedOn w:val="Normal"/>
    <w:next w:val="Normal"/>
    <w:uiPriority w:val="9"/>
    <w:semiHidden/>
    <w:unhideWhenUsed/>
    <w:qFormat/>
    <w:pPr>
      <w:keepNext/>
      <w:keepLines/>
      <w:spacing w:before="40"/>
      <w:outlineLvl w:val="4"/>
    </w:pPr>
    <w:rPr>
      <w:color w:val="2F5496"/>
    </w:rPr>
  </w:style>
  <w:style w:type="paragraph" w:styleId="Ttulo6">
    <w:name w:val="heading 6"/>
    <w:basedOn w:val="Normal"/>
    <w:next w:val="Normal"/>
    <w:uiPriority w:val="9"/>
    <w:semiHidden/>
    <w:unhideWhenUsed/>
    <w:qFormat/>
    <w:pPr>
      <w:keepNext/>
      <w:keepLines/>
      <w:spacing w:before="40"/>
      <w:outlineLvl w:val="5"/>
    </w:pPr>
    <w:rPr>
      <w:color w:val="1F376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Pr>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ubttulo">
    <w:name w:val="Subtitle"/>
    <w:basedOn w:val="Normal"/>
    <w:next w:val="Normal"/>
    <w:uiPriority w:val="11"/>
    <w:qFormat/>
    <w:rPr>
      <w:color w:val="5A5A5A"/>
    </w:rPr>
  </w:style>
  <w:style w:type="table" w:customStyle="1" w:styleId="a">
    <w:basedOn w:val="TableNormal3"/>
    <w:pPr>
      <w:spacing w:after="0" w:line="240" w:lineRule="auto"/>
    </w:pPr>
    <w:tblPr>
      <w:tblStyleRowBandSize w:val="1"/>
      <w:tblStyleColBandSize w:val="1"/>
      <w:tblCellMar>
        <w:top w:w="100" w:type="dxa"/>
        <w:left w:w="115" w:type="dxa"/>
        <w:bottom w:w="100" w:type="dxa"/>
        <w:right w:w="115" w:type="dxa"/>
      </w:tblCellMar>
    </w:tblPr>
  </w:style>
  <w:style w:type="table" w:customStyle="1" w:styleId="a0">
    <w:basedOn w:val="TableNormal3"/>
    <w:pPr>
      <w:spacing w:after="0" w:line="240" w:lineRule="auto"/>
    </w:pPr>
    <w:tblPr>
      <w:tblStyleRowBandSize w:val="1"/>
      <w:tblStyleColBandSize w:val="1"/>
      <w:tblCellMar>
        <w:top w:w="100" w:type="dxa"/>
        <w:left w:w="115" w:type="dxa"/>
        <w:bottom w:w="100" w:type="dxa"/>
        <w:right w:w="115" w:type="dxa"/>
      </w:tblCellMar>
    </w:tblPr>
  </w:style>
  <w:style w:type="table" w:customStyle="1" w:styleId="a1">
    <w:basedOn w:val="TableNormal3"/>
    <w:pPr>
      <w:spacing w:after="0" w:line="240" w:lineRule="auto"/>
    </w:pPr>
    <w:tblPr>
      <w:tblStyleRowBandSize w:val="1"/>
      <w:tblStyleColBandSize w:val="1"/>
      <w:tblCellMar>
        <w:top w:w="100" w:type="dxa"/>
        <w:left w:w="115" w:type="dxa"/>
        <w:bottom w:w="100" w:type="dxa"/>
        <w:right w:w="115" w:type="dxa"/>
      </w:tblCellMar>
    </w:tblPr>
  </w:style>
  <w:style w:type="table" w:customStyle="1" w:styleId="a2">
    <w:basedOn w:val="TableNormal3"/>
    <w:pPr>
      <w:spacing w:after="0" w:line="240" w:lineRule="auto"/>
    </w:pPr>
    <w:tblPr>
      <w:tblStyleRowBandSize w:val="1"/>
      <w:tblStyleColBandSize w:val="1"/>
      <w:tblCellMar>
        <w:top w:w="100" w:type="dxa"/>
        <w:left w:w="115" w:type="dxa"/>
        <w:bottom w:w="100" w:type="dxa"/>
        <w:right w:w="115" w:type="dxa"/>
      </w:tblCellMar>
    </w:tblPr>
  </w:style>
  <w:style w:type="character" w:styleId="Refdecomentario">
    <w:name w:val="annotation reference"/>
    <w:basedOn w:val="Fuentedeprrafopredeter"/>
    <w:uiPriority w:val="99"/>
    <w:semiHidden/>
    <w:unhideWhenUsed/>
    <w:rsid w:val="000367F7"/>
    <w:rPr>
      <w:sz w:val="16"/>
      <w:szCs w:val="16"/>
    </w:rPr>
  </w:style>
  <w:style w:type="paragraph" w:styleId="Textocomentario">
    <w:name w:val="annotation text"/>
    <w:basedOn w:val="Normal"/>
    <w:link w:val="TextocomentarioCar"/>
    <w:uiPriority w:val="99"/>
    <w:unhideWhenUsed/>
    <w:rsid w:val="000367F7"/>
    <w:rPr>
      <w:sz w:val="20"/>
      <w:szCs w:val="20"/>
    </w:rPr>
  </w:style>
  <w:style w:type="character" w:customStyle="1" w:styleId="TextocomentarioCar">
    <w:name w:val="Texto comentario Car"/>
    <w:basedOn w:val="Fuentedeprrafopredeter"/>
    <w:link w:val="Textocomentario"/>
    <w:uiPriority w:val="99"/>
    <w:rsid w:val="000367F7"/>
    <w:rPr>
      <w:sz w:val="20"/>
      <w:szCs w:val="20"/>
    </w:rPr>
  </w:style>
  <w:style w:type="paragraph" w:styleId="Asuntodelcomentario">
    <w:name w:val="annotation subject"/>
    <w:basedOn w:val="Textocomentario"/>
    <w:next w:val="Textocomentario"/>
    <w:link w:val="AsuntodelcomentarioCar"/>
    <w:uiPriority w:val="99"/>
    <w:semiHidden/>
    <w:unhideWhenUsed/>
    <w:rsid w:val="000367F7"/>
    <w:rPr>
      <w:b/>
      <w:bCs/>
    </w:rPr>
  </w:style>
  <w:style w:type="character" w:customStyle="1" w:styleId="AsuntodelcomentarioCar">
    <w:name w:val="Asunto del comentario Car"/>
    <w:basedOn w:val="TextocomentarioCar"/>
    <w:link w:val="Asuntodelcomentario"/>
    <w:uiPriority w:val="99"/>
    <w:semiHidden/>
    <w:rsid w:val="000367F7"/>
    <w:rPr>
      <w:b/>
      <w:bCs/>
      <w:sz w:val="20"/>
      <w:szCs w:val="20"/>
    </w:rPr>
  </w:style>
  <w:style w:type="paragraph" w:styleId="Revisin">
    <w:name w:val="Revision"/>
    <w:hidden/>
    <w:uiPriority w:val="99"/>
    <w:semiHidden/>
    <w:rsid w:val="006A2152"/>
    <w:pPr>
      <w:spacing w:after="0" w:line="240" w:lineRule="auto"/>
    </w:pPr>
  </w:style>
  <w:style w:type="table" w:customStyle="1" w:styleId="a3">
    <w:basedOn w:val="TableNormal3"/>
    <w:pPr>
      <w:spacing w:after="0" w:line="240" w:lineRule="auto"/>
    </w:pPr>
    <w:tblPr>
      <w:tblStyleRowBandSize w:val="1"/>
      <w:tblStyleColBandSize w:val="1"/>
      <w:tblCellMar>
        <w:top w:w="100" w:type="dxa"/>
        <w:left w:w="115" w:type="dxa"/>
        <w:bottom w:w="100" w:type="dxa"/>
        <w:right w:w="115" w:type="dxa"/>
      </w:tblCellMar>
    </w:tblPr>
  </w:style>
  <w:style w:type="table" w:customStyle="1" w:styleId="a4">
    <w:basedOn w:val="TableNormal3"/>
    <w:pPr>
      <w:spacing w:after="0" w:line="240" w:lineRule="auto"/>
    </w:pPr>
    <w:tblPr>
      <w:tblStyleRowBandSize w:val="1"/>
      <w:tblStyleColBandSize w:val="1"/>
      <w:tblCellMar>
        <w:top w:w="100" w:type="dxa"/>
        <w:left w:w="115" w:type="dxa"/>
        <w:bottom w:w="100" w:type="dxa"/>
        <w:right w:w="115" w:type="dxa"/>
      </w:tblCellMar>
    </w:tblPr>
  </w:style>
  <w:style w:type="table" w:customStyle="1" w:styleId="a5">
    <w:basedOn w:val="TableNormal3"/>
    <w:pPr>
      <w:spacing w:after="0" w:line="240" w:lineRule="auto"/>
    </w:pPr>
    <w:tblPr>
      <w:tblStyleRowBandSize w:val="1"/>
      <w:tblStyleColBandSize w:val="1"/>
      <w:tblCellMar>
        <w:top w:w="100" w:type="dxa"/>
        <w:left w:w="115" w:type="dxa"/>
        <w:bottom w:w="100" w:type="dxa"/>
        <w:right w:w="115" w:type="dxa"/>
      </w:tblCellMar>
    </w:tblPr>
  </w:style>
  <w:style w:type="table" w:customStyle="1" w:styleId="a6">
    <w:basedOn w:val="TableNormal3"/>
    <w:pPr>
      <w:spacing w:after="0" w:line="240" w:lineRule="auto"/>
    </w:pPr>
    <w:tblPr>
      <w:tblStyleRowBandSize w:val="1"/>
      <w:tblStyleColBandSize w:val="1"/>
      <w:tblCellMar>
        <w:top w:w="100" w:type="dxa"/>
        <w:left w:w="115" w:type="dxa"/>
        <w:bottom w:w="100" w:type="dxa"/>
        <w:right w:w="115" w:type="dxa"/>
      </w:tblCellMar>
    </w:tblPr>
  </w:style>
  <w:style w:type="table" w:customStyle="1" w:styleId="a7">
    <w:basedOn w:val="TableNormal3"/>
    <w:pPr>
      <w:spacing w:after="0" w:line="240" w:lineRule="auto"/>
    </w:pPr>
    <w:tblPr>
      <w:tblStyleRowBandSize w:val="1"/>
      <w:tblStyleColBandSize w:val="1"/>
      <w:tblCellMar>
        <w:top w:w="100" w:type="dxa"/>
        <w:left w:w="115" w:type="dxa"/>
        <w:bottom w:w="100" w:type="dxa"/>
        <w:right w:w="115" w:type="dxa"/>
      </w:tblCellMar>
    </w:tblPr>
  </w:style>
  <w:style w:type="table" w:customStyle="1" w:styleId="a8">
    <w:basedOn w:val="TableNormal3"/>
    <w:pPr>
      <w:spacing w:after="0" w:line="240" w:lineRule="auto"/>
    </w:pPr>
    <w:tblPr>
      <w:tblStyleRowBandSize w:val="1"/>
      <w:tblStyleColBandSize w:val="1"/>
      <w:tblCellMar>
        <w:top w:w="100" w:type="dxa"/>
        <w:left w:w="115" w:type="dxa"/>
        <w:bottom w:w="100" w:type="dxa"/>
        <w:right w:w="115" w:type="dxa"/>
      </w:tblCellMar>
    </w:tblPr>
  </w:style>
  <w:style w:type="table" w:customStyle="1" w:styleId="a9">
    <w:basedOn w:val="TableNormal3"/>
    <w:pPr>
      <w:spacing w:after="0" w:line="240" w:lineRule="auto"/>
    </w:pPr>
    <w:tblPr>
      <w:tblStyleRowBandSize w:val="1"/>
      <w:tblStyleColBandSize w:val="1"/>
      <w:tblCellMar>
        <w:top w:w="100" w:type="dxa"/>
        <w:left w:w="115" w:type="dxa"/>
        <w:bottom w:w="100" w:type="dxa"/>
        <w:right w:w="115" w:type="dxa"/>
      </w:tblCellMar>
    </w:tblPr>
  </w:style>
  <w:style w:type="table" w:customStyle="1" w:styleId="aa">
    <w:basedOn w:val="TableNormal3"/>
    <w:pPr>
      <w:spacing w:after="0" w:line="240" w:lineRule="auto"/>
    </w:pPr>
    <w:tblPr>
      <w:tblStyleRowBandSize w:val="1"/>
      <w:tblStyleColBandSize w:val="1"/>
      <w:tblCellMar>
        <w:top w:w="100" w:type="dxa"/>
        <w:left w:w="115" w:type="dxa"/>
        <w:bottom w:w="100" w:type="dxa"/>
        <w:right w:w="115" w:type="dxa"/>
      </w:tblCellMar>
    </w:tblPr>
  </w:style>
  <w:style w:type="table" w:customStyle="1" w:styleId="ab">
    <w:basedOn w:val="TableNormal1"/>
    <w:pPr>
      <w:spacing w:after="0" w:line="240" w:lineRule="auto"/>
    </w:pPr>
    <w:tblPr>
      <w:tblStyleRowBandSize w:val="1"/>
      <w:tblStyleColBandSize w:val="1"/>
      <w:tblCellMar>
        <w:top w:w="100" w:type="dxa"/>
        <w:left w:w="115" w:type="dxa"/>
        <w:bottom w:w="100" w:type="dxa"/>
        <w:right w:w="115" w:type="dxa"/>
      </w:tblCellMar>
    </w:tblPr>
  </w:style>
  <w:style w:type="table" w:customStyle="1" w:styleId="ac">
    <w:basedOn w:val="TableNormal1"/>
    <w:pPr>
      <w:spacing w:after="0" w:line="240" w:lineRule="auto"/>
    </w:pPr>
    <w:tblPr>
      <w:tblStyleRowBandSize w:val="1"/>
      <w:tblStyleColBandSize w:val="1"/>
      <w:tblCellMar>
        <w:top w:w="100" w:type="dxa"/>
        <w:left w:w="115" w:type="dxa"/>
        <w:bottom w:w="100" w:type="dxa"/>
        <w:right w:w="115" w:type="dxa"/>
      </w:tblCellMar>
    </w:tblPr>
  </w:style>
  <w:style w:type="table" w:customStyle="1" w:styleId="ad">
    <w:basedOn w:val="TableNormal1"/>
    <w:pPr>
      <w:spacing w:after="0" w:line="240" w:lineRule="auto"/>
    </w:pPr>
    <w:tblPr>
      <w:tblStyleRowBandSize w:val="1"/>
      <w:tblStyleColBandSize w:val="1"/>
      <w:tblCellMar>
        <w:top w:w="100" w:type="dxa"/>
        <w:left w:w="115" w:type="dxa"/>
        <w:bottom w:w="100" w:type="dxa"/>
        <w:right w:w="115" w:type="dxa"/>
      </w:tblCellMar>
    </w:tblPr>
  </w:style>
  <w:style w:type="table" w:customStyle="1" w:styleId="ae">
    <w:basedOn w:val="TableNormal1"/>
    <w:pPr>
      <w:spacing w:after="0" w:line="240" w:lineRule="auto"/>
    </w:pPr>
    <w:tblPr>
      <w:tblStyleRowBandSize w:val="1"/>
      <w:tblStyleColBandSize w:val="1"/>
      <w:tblCellMar>
        <w:top w:w="100" w:type="dxa"/>
        <w:left w:w="115" w:type="dxa"/>
        <w:bottom w:w="100" w:type="dxa"/>
        <w:right w:w="115" w:type="dxa"/>
      </w:tblCellMar>
    </w:tblPr>
  </w:style>
  <w:style w:type="table" w:customStyle="1" w:styleId="af">
    <w:basedOn w:val="TableNormal0"/>
    <w:pPr>
      <w:spacing w:after="0" w:line="240" w:lineRule="auto"/>
    </w:pPr>
    <w:tblPr>
      <w:tblStyleRowBandSize w:val="1"/>
      <w:tblStyleColBandSize w:val="1"/>
      <w:tblCellMar>
        <w:top w:w="100" w:type="dxa"/>
        <w:left w:w="115" w:type="dxa"/>
        <w:bottom w:w="100" w:type="dxa"/>
        <w:right w:w="115" w:type="dxa"/>
      </w:tblCellMar>
    </w:tblPr>
  </w:style>
  <w:style w:type="table" w:customStyle="1" w:styleId="af0">
    <w:basedOn w:val="TableNormal0"/>
    <w:pPr>
      <w:spacing w:after="0" w:line="240" w:lineRule="auto"/>
    </w:pPr>
    <w:tblPr>
      <w:tblStyleRowBandSize w:val="1"/>
      <w:tblStyleColBandSize w:val="1"/>
      <w:tblCellMar>
        <w:top w:w="100" w:type="dxa"/>
        <w:left w:w="115" w:type="dxa"/>
        <w:bottom w:w="100" w:type="dxa"/>
        <w:right w:w="115" w:type="dxa"/>
      </w:tblCellMar>
    </w:tblPr>
  </w:style>
  <w:style w:type="table" w:customStyle="1" w:styleId="af1">
    <w:basedOn w:val="TableNormal0"/>
    <w:pPr>
      <w:spacing w:after="0" w:line="240" w:lineRule="auto"/>
    </w:pPr>
    <w:tblPr>
      <w:tblStyleRowBandSize w:val="1"/>
      <w:tblStyleColBandSize w:val="1"/>
      <w:tblCellMar>
        <w:top w:w="100" w:type="dxa"/>
        <w:left w:w="115" w:type="dxa"/>
        <w:bottom w:w="100" w:type="dxa"/>
        <w:right w:w="115" w:type="dxa"/>
      </w:tblCellMar>
    </w:tblPr>
  </w:style>
  <w:style w:type="table" w:customStyle="1" w:styleId="af2">
    <w:basedOn w:val="TableNormal0"/>
    <w:pPr>
      <w:spacing w:after="0" w:line="240" w:lineRule="auto"/>
    </w:pPr>
    <w:tblPr>
      <w:tblStyleRowBandSize w:val="1"/>
      <w:tblStyleColBandSize w:val="1"/>
      <w:tblCellMar>
        <w:top w:w="100" w:type="dxa"/>
        <w:left w:w="115" w:type="dxa"/>
        <w:bottom w:w="100" w:type="dxa"/>
        <w:right w:w="115" w:type="dxa"/>
      </w:tblCellMar>
    </w:tblPr>
  </w:style>
  <w:style w:type="paragraph" w:styleId="Encabezado">
    <w:name w:val="header"/>
    <w:basedOn w:val="Normal"/>
    <w:link w:val="EncabezadoCar"/>
    <w:uiPriority w:val="99"/>
    <w:unhideWhenUsed/>
    <w:rsid w:val="00B87D19"/>
    <w:pPr>
      <w:tabs>
        <w:tab w:val="center" w:pos="4252"/>
        <w:tab w:val="right" w:pos="8504"/>
      </w:tabs>
    </w:pPr>
  </w:style>
  <w:style w:type="character" w:customStyle="1" w:styleId="EncabezadoCar">
    <w:name w:val="Encabezado Car"/>
    <w:basedOn w:val="Fuentedeprrafopredeter"/>
    <w:link w:val="Encabezado"/>
    <w:uiPriority w:val="99"/>
    <w:rsid w:val="00B87D19"/>
  </w:style>
  <w:style w:type="paragraph" w:styleId="Piedepgina">
    <w:name w:val="footer"/>
    <w:basedOn w:val="Normal"/>
    <w:link w:val="PiedepginaCar"/>
    <w:uiPriority w:val="99"/>
    <w:unhideWhenUsed/>
    <w:rsid w:val="00B87D19"/>
    <w:pPr>
      <w:tabs>
        <w:tab w:val="center" w:pos="4252"/>
        <w:tab w:val="right" w:pos="8504"/>
      </w:tabs>
    </w:pPr>
  </w:style>
  <w:style w:type="character" w:customStyle="1" w:styleId="PiedepginaCar">
    <w:name w:val="Pie de página Car"/>
    <w:basedOn w:val="Fuentedeprrafopredeter"/>
    <w:link w:val="Piedepgina"/>
    <w:uiPriority w:val="99"/>
    <w:rsid w:val="00B87D19"/>
  </w:style>
  <w:style w:type="character" w:styleId="Hipervnculo">
    <w:name w:val="Hyperlink"/>
    <w:basedOn w:val="Fuentedeprrafopredeter"/>
    <w:uiPriority w:val="99"/>
    <w:unhideWhenUsed/>
    <w:rsid w:val="00D22787"/>
    <w:rPr>
      <w:color w:val="0000FF" w:themeColor="hyperlink"/>
      <w:u w:val="single"/>
    </w:rPr>
  </w:style>
  <w:style w:type="character" w:styleId="Mencinsinresolver">
    <w:name w:val="Unresolved Mention"/>
    <w:basedOn w:val="Fuentedeprrafopredeter"/>
    <w:uiPriority w:val="99"/>
    <w:semiHidden/>
    <w:unhideWhenUsed/>
    <w:rsid w:val="00D22787"/>
    <w:rPr>
      <w:color w:val="605E5C"/>
      <w:shd w:val="clear" w:color="auto" w:fill="E1DFDD"/>
    </w:rPr>
  </w:style>
  <w:style w:type="character" w:styleId="nfasis">
    <w:name w:val="Emphasis"/>
    <w:basedOn w:val="Fuentedeprrafopredeter"/>
    <w:uiPriority w:val="20"/>
    <w:qFormat/>
    <w:rsid w:val="00642CEB"/>
    <w:rPr>
      <w:i/>
      <w:iCs/>
    </w:rPr>
  </w:style>
  <w:style w:type="character" w:styleId="Textoennegrita">
    <w:name w:val="Strong"/>
    <w:basedOn w:val="Fuentedeprrafopredeter"/>
    <w:uiPriority w:val="22"/>
    <w:qFormat/>
    <w:rsid w:val="001916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215103">
      <w:bodyDiv w:val="1"/>
      <w:marLeft w:val="0"/>
      <w:marRight w:val="0"/>
      <w:marTop w:val="0"/>
      <w:marBottom w:val="0"/>
      <w:divBdr>
        <w:top w:val="none" w:sz="0" w:space="0" w:color="auto"/>
        <w:left w:val="none" w:sz="0" w:space="0" w:color="auto"/>
        <w:bottom w:val="none" w:sz="0" w:space="0" w:color="auto"/>
        <w:right w:val="none" w:sz="0" w:space="0" w:color="auto"/>
      </w:divBdr>
    </w:div>
    <w:div w:id="1019237999">
      <w:bodyDiv w:val="1"/>
      <w:marLeft w:val="0"/>
      <w:marRight w:val="0"/>
      <w:marTop w:val="0"/>
      <w:marBottom w:val="0"/>
      <w:divBdr>
        <w:top w:val="none" w:sz="0" w:space="0" w:color="auto"/>
        <w:left w:val="none" w:sz="0" w:space="0" w:color="auto"/>
        <w:bottom w:val="none" w:sz="0" w:space="0" w:color="auto"/>
        <w:right w:val="none" w:sz="0" w:space="0" w:color="auto"/>
      </w:divBdr>
    </w:div>
    <w:div w:id="1146316941">
      <w:bodyDiv w:val="1"/>
      <w:marLeft w:val="0"/>
      <w:marRight w:val="0"/>
      <w:marTop w:val="0"/>
      <w:marBottom w:val="0"/>
      <w:divBdr>
        <w:top w:val="none" w:sz="0" w:space="0" w:color="auto"/>
        <w:left w:val="none" w:sz="0" w:space="0" w:color="auto"/>
        <w:bottom w:val="none" w:sz="0" w:space="0" w:color="auto"/>
        <w:right w:val="none" w:sz="0" w:space="0" w:color="auto"/>
      </w:divBdr>
    </w:div>
    <w:div w:id="1424036119">
      <w:bodyDiv w:val="1"/>
      <w:marLeft w:val="0"/>
      <w:marRight w:val="0"/>
      <w:marTop w:val="0"/>
      <w:marBottom w:val="0"/>
      <w:divBdr>
        <w:top w:val="none" w:sz="0" w:space="0" w:color="auto"/>
        <w:left w:val="none" w:sz="0" w:space="0" w:color="auto"/>
        <w:bottom w:val="none" w:sz="0" w:space="0" w:color="auto"/>
        <w:right w:val="none" w:sz="0" w:space="0" w:color="auto"/>
      </w:divBdr>
    </w:div>
    <w:div w:id="1458448983">
      <w:bodyDiv w:val="1"/>
      <w:marLeft w:val="0"/>
      <w:marRight w:val="0"/>
      <w:marTop w:val="0"/>
      <w:marBottom w:val="0"/>
      <w:divBdr>
        <w:top w:val="none" w:sz="0" w:space="0" w:color="auto"/>
        <w:left w:val="none" w:sz="0" w:space="0" w:color="auto"/>
        <w:bottom w:val="none" w:sz="0" w:space="0" w:color="auto"/>
        <w:right w:val="none" w:sz="0" w:space="0" w:color="auto"/>
      </w:divBdr>
    </w:div>
    <w:div w:id="1552305151">
      <w:bodyDiv w:val="1"/>
      <w:marLeft w:val="0"/>
      <w:marRight w:val="0"/>
      <w:marTop w:val="0"/>
      <w:marBottom w:val="0"/>
      <w:divBdr>
        <w:top w:val="none" w:sz="0" w:space="0" w:color="auto"/>
        <w:left w:val="none" w:sz="0" w:space="0" w:color="auto"/>
        <w:bottom w:val="none" w:sz="0" w:space="0" w:color="auto"/>
        <w:right w:val="none" w:sz="0" w:space="0" w:color="auto"/>
      </w:divBdr>
    </w:div>
    <w:div w:id="1554585870">
      <w:bodyDiv w:val="1"/>
      <w:marLeft w:val="0"/>
      <w:marRight w:val="0"/>
      <w:marTop w:val="0"/>
      <w:marBottom w:val="0"/>
      <w:divBdr>
        <w:top w:val="none" w:sz="0" w:space="0" w:color="auto"/>
        <w:left w:val="none" w:sz="0" w:space="0" w:color="auto"/>
        <w:bottom w:val="none" w:sz="0" w:space="0" w:color="auto"/>
        <w:right w:val="none" w:sz="0" w:space="0" w:color="auto"/>
      </w:divBdr>
    </w:div>
    <w:div w:id="1570963677">
      <w:bodyDiv w:val="1"/>
      <w:marLeft w:val="0"/>
      <w:marRight w:val="0"/>
      <w:marTop w:val="0"/>
      <w:marBottom w:val="0"/>
      <w:divBdr>
        <w:top w:val="none" w:sz="0" w:space="0" w:color="auto"/>
        <w:left w:val="none" w:sz="0" w:space="0" w:color="auto"/>
        <w:bottom w:val="none" w:sz="0" w:space="0" w:color="auto"/>
        <w:right w:val="none" w:sz="0" w:space="0" w:color="auto"/>
      </w:divBdr>
    </w:div>
    <w:div w:id="1612199560">
      <w:bodyDiv w:val="1"/>
      <w:marLeft w:val="0"/>
      <w:marRight w:val="0"/>
      <w:marTop w:val="0"/>
      <w:marBottom w:val="0"/>
      <w:divBdr>
        <w:top w:val="none" w:sz="0" w:space="0" w:color="auto"/>
        <w:left w:val="none" w:sz="0" w:space="0" w:color="auto"/>
        <w:bottom w:val="none" w:sz="0" w:space="0" w:color="auto"/>
        <w:right w:val="none" w:sz="0" w:space="0" w:color="auto"/>
      </w:divBdr>
    </w:div>
    <w:div w:id="1678455745">
      <w:bodyDiv w:val="1"/>
      <w:marLeft w:val="0"/>
      <w:marRight w:val="0"/>
      <w:marTop w:val="0"/>
      <w:marBottom w:val="0"/>
      <w:divBdr>
        <w:top w:val="none" w:sz="0" w:space="0" w:color="auto"/>
        <w:left w:val="none" w:sz="0" w:space="0" w:color="auto"/>
        <w:bottom w:val="none" w:sz="0" w:space="0" w:color="auto"/>
        <w:right w:val="none" w:sz="0" w:space="0" w:color="auto"/>
      </w:divBdr>
    </w:div>
    <w:div w:id="1891531740">
      <w:bodyDiv w:val="1"/>
      <w:marLeft w:val="0"/>
      <w:marRight w:val="0"/>
      <w:marTop w:val="0"/>
      <w:marBottom w:val="0"/>
      <w:divBdr>
        <w:top w:val="none" w:sz="0" w:space="0" w:color="auto"/>
        <w:left w:val="none" w:sz="0" w:space="0" w:color="auto"/>
        <w:bottom w:val="none" w:sz="0" w:space="0" w:color="auto"/>
        <w:right w:val="none" w:sz="0" w:space="0" w:color="auto"/>
      </w:divBdr>
    </w:div>
    <w:div w:id="2052150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jetac.files.wordpress.com/2011/12/rayuela-5.pdf" TargetMode="External"/><Relationship Id="rId18" Type="http://schemas.openxmlformats.org/officeDocument/2006/relationships/hyperlink" Target="https://manglar.uninorte.edu.co/handle/10584/10782" TargetMode="External"/><Relationship Id="rId26" Type="http://schemas.openxmlformats.org/officeDocument/2006/relationships/hyperlink" Target="https://doi.org/10.1016/j.cpr.2015.01.006" TargetMode="External"/><Relationship Id="rId39" Type="http://schemas.openxmlformats.org/officeDocument/2006/relationships/hyperlink" Target="https://www.srg.com.co/bcsr/index.php/bcsr/article/view/282" TargetMode="External"/><Relationship Id="rId21" Type="http://schemas.openxmlformats.org/officeDocument/2006/relationships/hyperlink" Target="https://doi.org/10.1177/1745691619825848" TargetMode="External"/><Relationship Id="rId34" Type="http://schemas.openxmlformats.org/officeDocument/2006/relationships/hyperlink" Target="http://dx.doi.org/10.18682/pd.v20i1.957" TargetMode="External"/><Relationship Id="rId42" Type="http://schemas.openxmlformats.org/officeDocument/2006/relationships/hyperlink" Target="https://www.revistacienciasociales.cl/index.php/publicacion/article/view/223" TargetMode="External"/><Relationship Id="rId47" Type="http://schemas.openxmlformats.org/officeDocument/2006/relationships/hyperlink" Target="http://hdl.handle.net/20.500.12404/22789" TargetMode="External"/><Relationship Id="rId50" Type="http://schemas.openxmlformats.org/officeDocument/2006/relationships/hyperlink" Target="http://hdl.handle.net/20.500.12894/8601" TargetMode="External"/><Relationship Id="rId55" Type="http://schemas.openxmlformats.org/officeDocument/2006/relationships/hyperlink" Target="https://doi.org/10.1177/07067437211065722" TargetMode="External"/><Relationship Id="rId7" Type="http://schemas.openxmlformats.org/officeDocument/2006/relationships/hyperlink" Target="http://zerbitzuan.net/documentos/zerbitzuan/ZERBITZUAN%2046.pdf" TargetMode="External"/><Relationship Id="rId2" Type="http://schemas.openxmlformats.org/officeDocument/2006/relationships/styles" Target="styles.xml"/><Relationship Id="rId16" Type="http://schemas.openxmlformats.org/officeDocument/2006/relationships/hyperlink" Target="https://doi.org/10.1590/s0124-00642008000500015" TargetMode="External"/><Relationship Id="rId29" Type="http://schemas.openxmlformats.org/officeDocument/2006/relationships/hyperlink" Target="https://peru.iom.int/sites/g/files/tmzbdl951/files/documents/Peru%20Study%20Report_EN_Dic2022.pdf" TargetMode="External"/><Relationship Id="rId11" Type="http://schemas.openxmlformats.org/officeDocument/2006/relationships/hyperlink" Target="https://hrcak.srce.hr/262525" TargetMode="External"/><Relationship Id="rId24" Type="http://schemas.openxmlformats.org/officeDocument/2006/relationships/hyperlink" Target="https://etd.uum.edu.my/id/eprint/9222" TargetMode="External"/><Relationship Id="rId32" Type="http://schemas.openxmlformats.org/officeDocument/2006/relationships/hyperlink" Target="http://www.revistauaricha.umich.mx/index.php/urp/article/view/154" TargetMode="External"/><Relationship Id="rId37" Type="http://schemas.openxmlformats.org/officeDocument/2006/relationships/hyperlink" Target="https://doi.org/10.5093/pi2019a10" TargetMode="External"/><Relationship Id="rId40" Type="http://schemas.openxmlformats.org/officeDocument/2006/relationships/hyperlink" Target="https://repositorio.uta.edu.ec/jspui/handle/123456789/38057" TargetMode="External"/><Relationship Id="rId45" Type="http://schemas.openxmlformats.org/officeDocument/2006/relationships/hyperlink" Target="https://www.r4v.info/es/rmrp2023-2024" TargetMode="External"/><Relationship Id="rId53" Type="http://schemas.openxmlformats.org/officeDocument/2006/relationships/hyperlink" Target="https://link.springer.com/article/10.1007/s10903-015-0213-1"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www.researchgate.net/publication/312092117_Analisis_exploratorio_de_la_Escala_de_Resiliencia_de_Wagnild_y_Young_en_una_muestra_de_adolescentes_jovenes_y_adultos_universitarios_de_Lima_Metropolitana" TargetMode="External"/><Relationship Id="rId14" Type="http://schemas.openxmlformats.org/officeDocument/2006/relationships/hyperlink" Target="https://doi.org/10.1080/09540261.2020.1750801" TargetMode="External"/><Relationship Id="rId22" Type="http://schemas.openxmlformats.org/officeDocument/2006/relationships/hyperlink" Target="https://doi.org/10.1037//0033-2909.112.1.155" TargetMode="External"/><Relationship Id="rId27" Type="http://schemas.openxmlformats.org/officeDocument/2006/relationships/hyperlink" Target="https://doi.org/10.1155/2019/4623109" TargetMode="External"/><Relationship Id="rId30" Type="http://schemas.openxmlformats.org/officeDocument/2006/relationships/hyperlink" Target="https://doi.org/10.1177/0022022106286925" TargetMode="External"/><Relationship Id="rId35" Type="http://schemas.openxmlformats.org/officeDocument/2006/relationships/hyperlink" Target="http://repositorio.uta.edu.ec/jspui/handle/123456789/27411" TargetMode="External"/><Relationship Id="rId43" Type="http://schemas.openxmlformats.org/officeDocument/2006/relationships/hyperlink" Target="http://www.ijlass.org/data/frontImages/gallery/Vol._2_No._5/3.pdf" TargetMode="External"/><Relationship Id="rId48" Type="http://schemas.openxmlformats.org/officeDocument/2006/relationships/hyperlink" Target="https://doi.org/10.15614/ijpp.v9i01.11743" TargetMode="External"/><Relationship Id="rId56" Type="http://schemas.openxmlformats.org/officeDocument/2006/relationships/hyperlink" Target="https://doi.org/10.1055/s-0043-111234" TargetMode="External"/><Relationship Id="rId8" Type="http://schemas.openxmlformats.org/officeDocument/2006/relationships/hyperlink" Target="https://doi.org/10.1016/j.cpr.2017.04.008" TargetMode="External"/><Relationship Id="rId51" Type="http://schemas.openxmlformats.org/officeDocument/2006/relationships/hyperlink" Target="http://dx.doi.org/10.13140/RG.2.2.12238.43841" TargetMode="External"/><Relationship Id="rId3" Type="http://schemas.openxmlformats.org/officeDocument/2006/relationships/settings" Target="settings.xml"/><Relationship Id="rId12" Type="http://schemas.openxmlformats.org/officeDocument/2006/relationships/hyperlink" Target="https://doi.org/10.1093/clipsy.bpg015" TargetMode="External"/><Relationship Id="rId17" Type="http://schemas.openxmlformats.org/officeDocument/2006/relationships/hyperlink" Target="https://doi.org/10.14482/sun.37.3.616.89" TargetMode="External"/><Relationship Id="rId25" Type="http://schemas.openxmlformats.org/officeDocument/2006/relationships/hyperlink" Target="https://www.redalyc.org/pdf/773/77325885001.pdf" TargetMode="External"/><Relationship Id="rId33" Type="http://schemas.openxmlformats.org/officeDocument/2006/relationships/hyperlink" Target="https://doi.org/10.17843/rpmesp.2019.363.4469" TargetMode="External"/><Relationship Id="rId38" Type="http://schemas.openxmlformats.org/officeDocument/2006/relationships/hyperlink" Target="https://doi.org/10.35533/myd.1834.ghm" TargetMode="External"/><Relationship Id="rId46" Type="http://schemas.openxmlformats.org/officeDocument/2006/relationships/hyperlink" Target="https://doi.org/10.22185/24487147.2018.95.07" TargetMode="External"/><Relationship Id="rId59" Type="http://schemas.openxmlformats.org/officeDocument/2006/relationships/footer" Target="footer1.xml"/><Relationship Id="rId20" Type="http://schemas.openxmlformats.org/officeDocument/2006/relationships/hyperlink" Target="https://doi.org/10.32348/1852.4206.v11.n3.24870" TargetMode="External"/><Relationship Id="rId41" Type="http://schemas.openxmlformats.org/officeDocument/2006/relationships/hyperlink" Target="https://www.redalyc.org/pdf/292/29251161008.pdf" TargetMode="External"/><Relationship Id="rId54" Type="http://schemas.openxmlformats.org/officeDocument/2006/relationships/hyperlink" Target="https://doi.org/10.1007/s10903-016-0478-z"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repositorio.upagu.edu.pe/handle/UPAGU/813" TargetMode="External"/><Relationship Id="rId23" Type="http://schemas.openxmlformats.org/officeDocument/2006/relationships/hyperlink" Target="https://doi.org/10.1111/hsc.13006" TargetMode="External"/><Relationship Id="rId28" Type="http://schemas.openxmlformats.org/officeDocument/2006/relationships/hyperlink" Target="https://publications.iom.int/system/files/pdf/wmr_2020.pdf" TargetMode="External"/><Relationship Id="rId36" Type="http://schemas.openxmlformats.org/officeDocument/2006/relationships/hyperlink" Target="http://dx.doi.org/10.5354/0719-0581.2020.55711" TargetMode="External"/><Relationship Id="rId49" Type="http://schemas.openxmlformats.org/officeDocument/2006/relationships/hyperlink" Target="https://dialnet.unirioja.es/servlet/articulo?codigo=7165134" TargetMode="External"/><Relationship Id="rId57" Type="http://schemas.openxmlformats.org/officeDocument/2006/relationships/hyperlink" Target="http://pu.edu.pk/images/journal/doap/PDF-FILES/01_v28_2_18.pdf" TargetMode="External"/><Relationship Id="rId10" Type="http://schemas.openxmlformats.org/officeDocument/2006/relationships/hyperlink" Target="https://doi.org/10.6018/analesps.29.3.178511" TargetMode="External"/><Relationship Id="rId31" Type="http://schemas.openxmlformats.org/officeDocument/2006/relationships/hyperlink" Target="https://doi.org/10.1016/j.paid.2010.05.041" TargetMode="External"/><Relationship Id="rId44" Type="http://schemas.openxmlformats.org/officeDocument/2006/relationships/hyperlink" Target="https://www.researchgate.net/publication/313361273_El_bienestar_subjetivo_en_colectivos_vulnerables_El_caso_de_los_refugiados_en_Espana" TargetMode="External"/><Relationship Id="rId52" Type="http://schemas.openxmlformats.org/officeDocument/2006/relationships/hyperlink" Target="https://doi.org/10.1007/s10903-018-0826-2"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i.org/10.26439/ulima.tesis/106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XLCdFl4emuJ4b1Uk8F46+GVctw==">CgMxLjAyCGguZ2pkZ3hzMgloLjFmb2I5dGUyCWguMmV0OTJwMDIJaC4zMGowemxsOAByITFsOHlEY25jc0wzLTlPSnZYRHJ5Q2pkTWJ5X3BSM243eA==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29</Pages>
  <Words>10595</Words>
  <Characters>58274</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Estefani Marcelo Torres</dc:creator>
  <cp:lastModifiedBy>Mario A. Reyes Bossio</cp:lastModifiedBy>
  <cp:revision>4</cp:revision>
  <dcterms:created xsi:type="dcterms:W3CDTF">2025-03-27T05:25:00Z</dcterms:created>
  <dcterms:modified xsi:type="dcterms:W3CDTF">2025-04-30T00:16:00Z</dcterms:modified>
</cp:coreProperties>
</file>