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5536" w14:textId="00F96632" w:rsidR="004232E5" w:rsidRPr="006B5B58" w:rsidRDefault="00000000">
      <w:pPr>
        <w:pStyle w:val="Ttulo"/>
        <w:jc w:val="center"/>
        <w:rPr>
          <w:shd w:val="clear" w:color="auto" w:fill="auto"/>
          <w:lang w:val="en-US"/>
        </w:rPr>
      </w:pPr>
      <w:bookmarkStart w:id="0" w:name="_nn6qs8snnuwz" w:colFirst="0" w:colLast="0"/>
      <w:bookmarkEnd w:id="0"/>
      <w:r w:rsidRPr="006B5B58">
        <w:rPr>
          <w:shd w:val="clear" w:color="auto" w:fill="auto"/>
          <w:lang w:val="en-US"/>
        </w:rPr>
        <w:t xml:space="preserve">Between conditional inclusion and </w:t>
      </w:r>
      <w:proofErr w:type="spellStart"/>
      <w:r w:rsidRPr="006B5B58">
        <w:rPr>
          <w:shd w:val="clear" w:color="auto" w:fill="auto"/>
          <w:lang w:val="en-US"/>
        </w:rPr>
        <w:t>coercitive</w:t>
      </w:r>
      <w:proofErr w:type="spellEnd"/>
      <w:r w:rsidRPr="006B5B58">
        <w:rPr>
          <w:shd w:val="clear" w:color="auto" w:fill="auto"/>
          <w:lang w:val="en-US"/>
        </w:rPr>
        <w:t xml:space="preserve"> exclusion: homophobic violence and objectification in lesbian and bisexual women in </w:t>
      </w:r>
      <w:r w:rsidR="004342CC">
        <w:rPr>
          <w:shd w:val="clear" w:color="auto" w:fill="auto"/>
          <w:lang w:val="en-US"/>
        </w:rPr>
        <w:t>Lima, Peru</w:t>
      </w:r>
      <w:r w:rsidRPr="006B5B58">
        <w:rPr>
          <w:shd w:val="clear" w:color="auto" w:fill="auto"/>
          <w:lang w:val="en-US"/>
        </w:rPr>
        <w:t>.</w:t>
      </w:r>
    </w:p>
    <w:p w14:paraId="00BBBFA7" w14:textId="77777777" w:rsidR="004232E5" w:rsidRPr="006B5B58" w:rsidRDefault="004232E5">
      <w:pPr>
        <w:spacing w:line="360" w:lineRule="auto"/>
        <w:jc w:val="center"/>
        <w:rPr>
          <w:rFonts w:ascii="Times New Roman" w:eastAsia="Times New Roman" w:hAnsi="Times New Roman" w:cs="Times New Roman"/>
          <w:b/>
          <w:sz w:val="24"/>
          <w:szCs w:val="24"/>
          <w:lang w:val="en-US"/>
        </w:rPr>
      </w:pPr>
    </w:p>
    <w:p w14:paraId="3DB424A3" w14:textId="77777777" w:rsidR="004232E5" w:rsidRPr="006B5B58" w:rsidRDefault="00000000">
      <w:pPr>
        <w:pStyle w:val="Ttulo"/>
        <w:widowControl w:val="0"/>
        <w:ind w:right="-40"/>
        <w:jc w:val="left"/>
        <w:rPr>
          <w:b w:val="0"/>
          <w:shd w:val="clear" w:color="auto" w:fill="auto"/>
          <w:lang w:val="en-US"/>
        </w:rPr>
      </w:pPr>
      <w:bookmarkStart w:id="1" w:name="_5aeqqh6do5c0" w:colFirst="0" w:colLast="0"/>
      <w:bookmarkEnd w:id="1"/>
      <w:r w:rsidRPr="006B5B58">
        <w:rPr>
          <w:i/>
          <w:shd w:val="clear" w:color="auto" w:fill="auto"/>
          <w:lang w:val="en-US"/>
        </w:rPr>
        <w:t>Keywords</w:t>
      </w:r>
      <w:r w:rsidRPr="006B5B58">
        <w:rPr>
          <w:shd w:val="clear" w:color="auto" w:fill="auto"/>
          <w:lang w:val="en-US"/>
        </w:rPr>
        <w:t>:</w:t>
      </w:r>
      <w:r w:rsidRPr="006B5B58">
        <w:rPr>
          <w:b w:val="0"/>
          <w:shd w:val="clear" w:color="auto" w:fill="auto"/>
          <w:lang w:val="en-US"/>
        </w:rPr>
        <w:t xml:space="preserve"> Objectification, homophobic violence, lesbian and bisexual women</w:t>
      </w:r>
    </w:p>
    <w:p w14:paraId="42EE592F" w14:textId="77777777" w:rsidR="004232E5" w:rsidRPr="006B5B58" w:rsidRDefault="004232E5">
      <w:pPr>
        <w:rPr>
          <w:lang w:val="en-US"/>
        </w:rPr>
      </w:pPr>
    </w:p>
    <w:p w14:paraId="4CE02874" w14:textId="77777777" w:rsidR="004232E5" w:rsidRPr="006B5B58" w:rsidRDefault="00000000">
      <w:pPr>
        <w:pStyle w:val="Ttulo"/>
        <w:widowControl w:val="0"/>
        <w:ind w:right="-40"/>
        <w:jc w:val="left"/>
        <w:rPr>
          <w:shd w:val="clear" w:color="auto" w:fill="auto"/>
          <w:lang w:val="en-US"/>
        </w:rPr>
      </w:pPr>
      <w:bookmarkStart w:id="2" w:name="_270q7032tp8x" w:colFirst="0" w:colLast="0"/>
      <w:bookmarkEnd w:id="2"/>
      <w:r w:rsidRPr="006B5B58">
        <w:rPr>
          <w:shd w:val="clear" w:color="auto" w:fill="auto"/>
          <w:lang w:val="en-US"/>
        </w:rPr>
        <w:t>Abstract:</w:t>
      </w:r>
    </w:p>
    <w:p w14:paraId="4E7CD5D0" w14:textId="77777777" w:rsidR="004232E5" w:rsidRPr="006B5B58" w:rsidRDefault="00000000">
      <w:pPr>
        <w:pStyle w:val="Ttulo"/>
        <w:widowControl w:val="0"/>
        <w:ind w:right="-40" w:firstLine="720"/>
        <w:jc w:val="left"/>
        <w:rPr>
          <w:b w:val="0"/>
          <w:shd w:val="clear" w:color="auto" w:fill="auto"/>
          <w:lang w:val="en-US"/>
        </w:rPr>
      </w:pPr>
      <w:bookmarkStart w:id="3" w:name="_94rlotmy8q2k" w:colFirst="0" w:colLast="0"/>
      <w:bookmarkEnd w:id="3"/>
      <w:r w:rsidRPr="006B5B58">
        <w:rPr>
          <w:b w:val="0"/>
          <w:shd w:val="clear" w:color="auto" w:fill="auto"/>
          <w:lang w:val="en-US"/>
        </w:rPr>
        <w:t xml:space="preserve">This research aimed to explore the experiences of objectification and homophobic violence in lesbian and bisexual women between 18 to 24 years of age in Metropolitan Lima. An exploratory qualitative model with a thematic analysis procedure was followed, and semi-structured interview guides were developed to address objectification and homophobic violence. Thirteen cisgender lesbian and bisexual women participated in the study (M= 21.23, SD=1.59). We obtained two main themes linked to six subcategories. For the objectification of women and diversity, experiences of objectification from birth, </w:t>
      </w:r>
      <w:proofErr w:type="spellStart"/>
      <w:r w:rsidRPr="006B5B58">
        <w:rPr>
          <w:b w:val="0"/>
          <w:shd w:val="clear" w:color="auto" w:fill="auto"/>
          <w:lang w:val="en-US"/>
        </w:rPr>
        <w:t>hypersexualization</w:t>
      </w:r>
      <w:proofErr w:type="spellEnd"/>
      <w:r w:rsidRPr="006B5B58">
        <w:rPr>
          <w:b w:val="0"/>
          <w:shd w:val="clear" w:color="auto" w:fill="auto"/>
          <w:lang w:val="en-US"/>
        </w:rPr>
        <w:t xml:space="preserve"> of lesbian and bisexual women, and </w:t>
      </w:r>
      <w:proofErr w:type="spellStart"/>
      <w:r w:rsidRPr="006B5B58">
        <w:rPr>
          <w:b w:val="0"/>
          <w:shd w:val="clear" w:color="auto" w:fill="auto"/>
          <w:lang w:val="en-US"/>
        </w:rPr>
        <w:t>responsibilization</w:t>
      </w:r>
      <w:proofErr w:type="spellEnd"/>
      <w:r w:rsidRPr="006B5B58">
        <w:rPr>
          <w:b w:val="0"/>
          <w:shd w:val="clear" w:color="auto" w:fill="auto"/>
          <w:lang w:val="en-US"/>
        </w:rPr>
        <w:t xml:space="preserve"> of women in their treatment as sexual objects were highlighted. For homophobic violence and violence against women, we highlighted the experience of lesbophobia and biphobia, explicit violence linked to the recognition of sex and sexual orientation, and the family as a coercive agent. In conclusion, lesbian and bisexual women share experiences related to their position of vulnerability and their gender, and differ in specific experiences related to their diversity, such as representativeness, inclusion, and situations of explicit violence. Therefore, these women experience a conditioned inclusion according to the possibility of objectification, and a coercive exclusion that is expressed in rejection, explicit acts of violence and coercion.</w:t>
      </w:r>
    </w:p>
    <w:p w14:paraId="26236714" w14:textId="77777777" w:rsidR="004232E5" w:rsidRPr="006B5B58" w:rsidRDefault="00000000">
      <w:pPr>
        <w:pStyle w:val="Ttulo"/>
        <w:widowControl w:val="0"/>
        <w:ind w:right="-40"/>
        <w:jc w:val="left"/>
        <w:rPr>
          <w:shd w:val="clear" w:color="auto" w:fill="auto"/>
          <w:lang w:val="en-US"/>
        </w:rPr>
      </w:pPr>
      <w:bookmarkStart w:id="4" w:name="_yjmmhcp4w9w3" w:colFirst="0" w:colLast="0"/>
      <w:bookmarkEnd w:id="4"/>
      <w:r w:rsidRPr="006B5B58">
        <w:rPr>
          <w:lang w:val="en-US"/>
        </w:rPr>
        <w:br w:type="page"/>
      </w:r>
    </w:p>
    <w:p w14:paraId="37362DED" w14:textId="353D966E" w:rsidR="004232E5" w:rsidRDefault="00000000">
      <w:pPr>
        <w:pStyle w:val="Ttulo"/>
        <w:widowControl w:val="0"/>
        <w:ind w:right="-40"/>
        <w:jc w:val="center"/>
        <w:rPr>
          <w:shd w:val="clear" w:color="auto" w:fill="auto"/>
        </w:rPr>
      </w:pPr>
      <w:bookmarkStart w:id="5" w:name="_sq2y30l62867" w:colFirst="0" w:colLast="0"/>
      <w:bookmarkEnd w:id="5"/>
      <w:r>
        <w:rPr>
          <w:shd w:val="clear" w:color="auto" w:fill="auto"/>
        </w:rPr>
        <w:lastRenderedPageBreak/>
        <w:t xml:space="preserve">Entre la inclusión condicionada y la exclusión coercitiva: Violencia homofóbica y cosificación en mujeres lesbianas y bisexuales de </w:t>
      </w:r>
      <w:r w:rsidR="004342CC">
        <w:rPr>
          <w:shd w:val="clear" w:color="auto" w:fill="auto"/>
        </w:rPr>
        <w:t>Lima, Perú.</w:t>
      </w:r>
    </w:p>
    <w:p w14:paraId="348CB7C3" w14:textId="77777777" w:rsidR="004232E5" w:rsidRDefault="004232E5">
      <w:pPr>
        <w:pStyle w:val="Ttulo"/>
        <w:widowControl w:val="0"/>
        <w:ind w:right="-40"/>
        <w:jc w:val="left"/>
        <w:rPr>
          <w:shd w:val="clear" w:color="auto" w:fill="auto"/>
        </w:rPr>
      </w:pPr>
      <w:bookmarkStart w:id="6" w:name="_2y6qhub7semv" w:colFirst="0" w:colLast="0"/>
      <w:bookmarkEnd w:id="6"/>
    </w:p>
    <w:p w14:paraId="15728571" w14:textId="77777777" w:rsidR="004232E5" w:rsidRDefault="00000000">
      <w:pPr>
        <w:pStyle w:val="Ttulo"/>
        <w:widowControl w:val="0"/>
        <w:ind w:right="-40"/>
        <w:jc w:val="left"/>
        <w:rPr>
          <w:shd w:val="clear" w:color="auto" w:fill="auto"/>
        </w:rPr>
      </w:pPr>
      <w:bookmarkStart w:id="7" w:name="_8ba6tqzi11aa" w:colFirst="0" w:colLast="0"/>
      <w:bookmarkEnd w:id="7"/>
      <w:r>
        <w:rPr>
          <w:shd w:val="clear" w:color="auto" w:fill="auto"/>
        </w:rPr>
        <w:t>Resumen:</w:t>
      </w:r>
    </w:p>
    <w:p w14:paraId="6575EC1B" w14:textId="77777777" w:rsidR="004232E5" w:rsidRDefault="00000000">
      <w:pPr>
        <w:pStyle w:val="Ttulo"/>
        <w:widowControl w:val="0"/>
        <w:ind w:right="-40"/>
        <w:jc w:val="left"/>
        <w:rPr>
          <w:b w:val="0"/>
          <w:shd w:val="clear" w:color="auto" w:fill="auto"/>
        </w:rPr>
      </w:pPr>
      <w:bookmarkStart w:id="8" w:name="_kxxtta555akc" w:colFirst="0" w:colLast="0"/>
      <w:bookmarkEnd w:id="8"/>
      <w:r>
        <w:rPr>
          <w:shd w:val="clear" w:color="auto" w:fill="auto"/>
        </w:rPr>
        <w:tab/>
      </w:r>
      <w:r>
        <w:rPr>
          <w:b w:val="0"/>
          <w:shd w:val="clear" w:color="auto" w:fill="auto"/>
        </w:rPr>
        <w:t xml:space="preserve">La presente investigación tuvo como objetivo explorar cómo son las experiencias subjetivas de la cosificación y la violencia homofóbica en mujeres lesbianas y bisexuales de 18 a 24 años de Lima Metropolitana. Se siguió un modelo cualitativo de corte exploratorio con un procedimiento de análisis temático, y se elaboraron guías de entrevista semiestructuradas para abordar la cosificación y la violencia homofóbica. Participaron 13 mujeres cisgénero lesbianas y bisexuales (M= 21.23, DE=1.59). Se obtuvieron dos temas principales vinculados a seis subcategorías. Para la cosificación de la mujer y la disidencia, se resaltaron experiencias subjetivas sobre la cosificación desde el nacimiento, la hipersexualización de las mujeres disidentes y la responsabilización de la mujer en su trato como objeto sexual. Para la violencia homofóbica y contra la mujer, se resaltó la lesbofobia y bifobia, la violencia explícita ligada al reconocimiento del sexo y orientación sexual, y la familia como agente coercitivo. En conclusión, las mujeres lesbianas y bisexuales comparten experiencias subjetivas vinculadas a su posición de vulnerabilidad y su género, y difieren en experiencias sobre su disidencia, como la representatividad, la inclusión y las situaciones de violencia explícita. En ese sentido, experimentan una inclusión condicionada </w:t>
      </w:r>
      <w:proofErr w:type="gramStart"/>
      <w:r>
        <w:rPr>
          <w:b w:val="0"/>
          <w:shd w:val="clear" w:color="auto" w:fill="auto"/>
        </w:rPr>
        <w:t>de acuerdo a</w:t>
      </w:r>
      <w:proofErr w:type="gramEnd"/>
      <w:r>
        <w:rPr>
          <w:b w:val="0"/>
          <w:shd w:val="clear" w:color="auto" w:fill="auto"/>
        </w:rPr>
        <w:t xml:space="preserve"> la posibilidad de cosificación, y una exclusión coercitiva que se expresa en rechazo, actos explícitos de violencia y coerción.</w:t>
      </w:r>
    </w:p>
    <w:p w14:paraId="77EFC084" w14:textId="77777777" w:rsidR="004232E5" w:rsidRDefault="004232E5">
      <w:pPr>
        <w:rPr>
          <w:rFonts w:ascii="Times New Roman" w:eastAsia="Times New Roman" w:hAnsi="Times New Roman" w:cs="Times New Roman"/>
        </w:rPr>
      </w:pPr>
    </w:p>
    <w:p w14:paraId="43B979B2" w14:textId="77777777" w:rsidR="004232E5" w:rsidRDefault="00000000">
      <w:pPr>
        <w:spacing w:line="360" w:lineRule="auto"/>
        <w:rPr>
          <w:rFonts w:ascii="Times New Roman" w:eastAsia="Times New Roman" w:hAnsi="Times New Roman" w:cs="Times New Roman"/>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Cosificación, violencia homofóbica, mujeres lesbianas y bisexuales</w:t>
      </w:r>
    </w:p>
    <w:p w14:paraId="3D7E712A" w14:textId="77777777" w:rsidR="004232E5" w:rsidRDefault="004232E5">
      <w:pPr>
        <w:spacing w:line="360" w:lineRule="auto"/>
        <w:rPr>
          <w:rFonts w:ascii="Times New Roman" w:eastAsia="Times New Roman" w:hAnsi="Times New Roman" w:cs="Times New Roman"/>
        </w:rPr>
      </w:pPr>
    </w:p>
    <w:p w14:paraId="36C82762" w14:textId="77777777" w:rsidR="004232E5" w:rsidRDefault="004232E5">
      <w:pPr>
        <w:spacing w:line="360" w:lineRule="auto"/>
        <w:rPr>
          <w:rFonts w:ascii="Times New Roman" w:eastAsia="Times New Roman" w:hAnsi="Times New Roman" w:cs="Times New Roman"/>
        </w:rPr>
      </w:pPr>
    </w:p>
    <w:p w14:paraId="379BAD40" w14:textId="77777777" w:rsidR="004232E5" w:rsidRDefault="004232E5">
      <w:pPr>
        <w:pStyle w:val="Ttulo"/>
        <w:widowControl w:val="0"/>
        <w:ind w:right="-40"/>
        <w:jc w:val="left"/>
        <w:rPr>
          <w:shd w:val="clear" w:color="auto" w:fill="auto"/>
        </w:rPr>
      </w:pPr>
      <w:bookmarkStart w:id="9" w:name="_hx9xuvlwpzu6" w:colFirst="0" w:colLast="0"/>
      <w:bookmarkEnd w:id="9"/>
    </w:p>
    <w:p w14:paraId="6A523123" w14:textId="77777777" w:rsidR="004232E5" w:rsidRDefault="00000000">
      <w:pPr>
        <w:pStyle w:val="Ttulo"/>
        <w:widowControl w:val="0"/>
        <w:ind w:right="-40"/>
        <w:jc w:val="left"/>
        <w:rPr>
          <w:shd w:val="clear" w:color="auto" w:fill="auto"/>
        </w:rPr>
      </w:pPr>
      <w:bookmarkStart w:id="10" w:name="_87k2s2fau05p" w:colFirst="0" w:colLast="0"/>
      <w:bookmarkEnd w:id="10"/>
      <w:r>
        <w:br w:type="page"/>
      </w:r>
    </w:p>
    <w:p w14:paraId="6E33F117" w14:textId="77777777" w:rsidR="004232E5" w:rsidRDefault="00000000">
      <w:pPr>
        <w:pStyle w:val="Ttulo1"/>
        <w:widowControl w:val="0"/>
        <w:ind w:right="30"/>
        <w:jc w:val="center"/>
      </w:pPr>
      <w:bookmarkStart w:id="11" w:name="_cgdrl7z0i7wx" w:colFirst="0" w:colLast="0"/>
      <w:bookmarkEnd w:id="11"/>
      <w:r>
        <w:lastRenderedPageBreak/>
        <w:t xml:space="preserve">Introducción </w:t>
      </w:r>
    </w:p>
    <w:p w14:paraId="59B4F657"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violencia contra las disidencias sexuales presenta altos índices a nivel internacional, en tanto se documentan casos de abuso sexual, violencia física y psicológica, criminalización, crímenes de odio, hasta la pena de muerte (Flores et al., 2022; </w:t>
      </w:r>
      <w:proofErr w:type="spellStart"/>
      <w:r>
        <w:rPr>
          <w:rFonts w:ascii="Times New Roman" w:eastAsia="Times New Roman" w:hAnsi="Times New Roman" w:cs="Times New Roman"/>
          <w:i/>
          <w:sz w:val="24"/>
          <w:szCs w:val="24"/>
        </w:rPr>
        <w:t>Stonewall’s</w:t>
      </w:r>
      <w:proofErr w:type="spellEnd"/>
      <w:r>
        <w:rPr>
          <w:rFonts w:ascii="Times New Roman" w:eastAsia="Times New Roman" w:hAnsi="Times New Roman" w:cs="Times New Roman"/>
          <w:i/>
          <w:sz w:val="24"/>
          <w:szCs w:val="24"/>
        </w:rPr>
        <w:t xml:space="preserve"> International </w:t>
      </w:r>
      <w:proofErr w:type="spellStart"/>
      <w:r>
        <w:rPr>
          <w:rFonts w:ascii="Times New Roman" w:eastAsia="Times New Roman" w:hAnsi="Times New Roman" w:cs="Times New Roman"/>
          <w:i/>
          <w:sz w:val="24"/>
          <w:szCs w:val="24"/>
        </w:rPr>
        <w:t>Work</w:t>
      </w:r>
      <w:proofErr w:type="spellEnd"/>
      <w:r>
        <w:rPr>
          <w:rFonts w:ascii="Times New Roman" w:eastAsia="Times New Roman" w:hAnsi="Times New Roman" w:cs="Times New Roman"/>
          <w:sz w:val="24"/>
          <w:szCs w:val="24"/>
        </w:rPr>
        <w:t>, 2021). Esta incidencia se acentúa en contextos conservadores y heteropatriarcales como el Perú (</w:t>
      </w:r>
      <w:proofErr w:type="spellStart"/>
      <w:r>
        <w:rPr>
          <w:rFonts w:ascii="Times New Roman" w:eastAsia="Times New Roman" w:hAnsi="Times New Roman" w:cs="Times New Roman"/>
          <w:sz w:val="24"/>
          <w:szCs w:val="24"/>
        </w:rPr>
        <w:t>Rottenbacher</w:t>
      </w:r>
      <w:proofErr w:type="spellEnd"/>
      <w:r>
        <w:rPr>
          <w:rFonts w:ascii="Times New Roman" w:eastAsia="Times New Roman" w:hAnsi="Times New Roman" w:cs="Times New Roman"/>
          <w:sz w:val="24"/>
          <w:szCs w:val="24"/>
        </w:rPr>
        <w:t xml:space="preserve">, 2010; </w:t>
      </w:r>
      <w:proofErr w:type="spellStart"/>
      <w:r>
        <w:rPr>
          <w:rFonts w:ascii="Times New Roman" w:eastAsia="Times New Roman" w:hAnsi="Times New Roman" w:cs="Times New Roman"/>
          <w:sz w:val="24"/>
          <w:szCs w:val="24"/>
        </w:rPr>
        <w:t>Rottenbacher</w:t>
      </w:r>
      <w:proofErr w:type="spellEnd"/>
      <w:r>
        <w:rPr>
          <w:rFonts w:ascii="Times New Roman" w:eastAsia="Times New Roman" w:hAnsi="Times New Roman" w:cs="Times New Roman"/>
          <w:sz w:val="24"/>
          <w:szCs w:val="24"/>
        </w:rPr>
        <w:t xml:space="preserve"> et al., 2011), dado que se han normalizado formas explícitas e implícitas de violencia frente a la diversidad (Defensoría del Pueblo, 2018; Fiscalía de la Nación, 2022).  Así, las violaciones correctivas y terapias de conversión destacan como formas de violencia para reivindicar la orientación sexual heteronormativa (Convención sobre la Eliminación de Todas las Formas de Discriminación contra la Mujer [CEDAW], 2021; Defensoría del Pueblo, 2018) </w:t>
      </w:r>
    </w:p>
    <w:p w14:paraId="0E5B5288"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las mujeres no heterosexuales se teoriza que viven una </w:t>
      </w:r>
      <w:r>
        <w:rPr>
          <w:rFonts w:ascii="Times New Roman" w:eastAsia="Times New Roman" w:hAnsi="Times New Roman" w:cs="Times New Roman"/>
          <w:i/>
          <w:sz w:val="24"/>
          <w:szCs w:val="24"/>
        </w:rPr>
        <w:t>doble violencia</w:t>
      </w:r>
      <w:r>
        <w:rPr>
          <w:rFonts w:ascii="Times New Roman" w:eastAsia="Times New Roman" w:hAnsi="Times New Roman" w:cs="Times New Roman"/>
          <w:sz w:val="24"/>
          <w:szCs w:val="24"/>
        </w:rPr>
        <w:t xml:space="preserve">, desde su género y desde su orientación sexual (Mason, 1993; </w:t>
      </w:r>
      <w:proofErr w:type="spellStart"/>
      <w:r>
        <w:rPr>
          <w:rFonts w:ascii="Times New Roman" w:eastAsia="Times New Roman" w:hAnsi="Times New Roman" w:cs="Times New Roman"/>
          <w:sz w:val="24"/>
          <w:szCs w:val="24"/>
        </w:rPr>
        <w:t>Tomsen</w:t>
      </w:r>
      <w:proofErr w:type="spellEnd"/>
      <w:r>
        <w:rPr>
          <w:rFonts w:ascii="Times New Roman" w:eastAsia="Times New Roman" w:hAnsi="Times New Roman" w:cs="Times New Roman"/>
          <w:sz w:val="24"/>
          <w:szCs w:val="24"/>
        </w:rPr>
        <w:t xml:space="preserve"> y Manson, 2001). Considerando la interseccionalidad, esta experiencia se complejiza </w:t>
      </w: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las características identitarias que distinguen cada grupo social, como la raza, el género, la sexualidad, entre otros (Creek y Dunn, 2011).  Además, estas experiencias vienen en conjunto; es decir, la violencia homofóbica y la violencia de género ocurren a partir de concepciones patriarcales sobre el género y lo heteronormativo que no suelen desligarse (</w:t>
      </w:r>
      <w:proofErr w:type="spellStart"/>
      <w:r>
        <w:rPr>
          <w:rFonts w:ascii="Times New Roman" w:eastAsia="Times New Roman" w:hAnsi="Times New Roman" w:cs="Times New Roman"/>
          <w:sz w:val="24"/>
          <w:szCs w:val="24"/>
        </w:rPr>
        <w:t>Tomsen</w:t>
      </w:r>
      <w:proofErr w:type="spellEnd"/>
      <w:r>
        <w:rPr>
          <w:rFonts w:ascii="Times New Roman" w:eastAsia="Times New Roman" w:hAnsi="Times New Roman" w:cs="Times New Roman"/>
          <w:sz w:val="24"/>
          <w:szCs w:val="24"/>
        </w:rPr>
        <w:t xml:space="preserve"> y Manson, 2001). No son formas de violencia con parámetros establecidos, sino más bien son experiencias que parten de la </w:t>
      </w:r>
      <w:r>
        <w:rPr>
          <w:rFonts w:ascii="Times New Roman" w:eastAsia="Times New Roman" w:hAnsi="Times New Roman" w:cs="Times New Roman"/>
          <w:i/>
          <w:sz w:val="24"/>
          <w:szCs w:val="24"/>
        </w:rPr>
        <w:t>intersección</w:t>
      </w:r>
      <w:r>
        <w:rPr>
          <w:rFonts w:ascii="Times New Roman" w:eastAsia="Times New Roman" w:hAnsi="Times New Roman" w:cs="Times New Roman"/>
          <w:sz w:val="24"/>
          <w:szCs w:val="24"/>
        </w:rPr>
        <w:t xml:space="preserve"> que representa lo que es ser una mujer disidente (</w:t>
      </w:r>
      <w:proofErr w:type="spellStart"/>
      <w:r>
        <w:rPr>
          <w:rFonts w:ascii="Times New Roman" w:eastAsia="Times New Roman" w:hAnsi="Times New Roman" w:cs="Times New Roman"/>
          <w:sz w:val="24"/>
          <w:szCs w:val="24"/>
        </w:rPr>
        <w:t>Tomsen</w:t>
      </w:r>
      <w:proofErr w:type="spellEnd"/>
      <w:r>
        <w:rPr>
          <w:rFonts w:ascii="Times New Roman" w:eastAsia="Times New Roman" w:hAnsi="Times New Roman" w:cs="Times New Roman"/>
          <w:sz w:val="24"/>
          <w:szCs w:val="24"/>
        </w:rPr>
        <w:t xml:space="preserve">, 2006). Por ende, cuando se trata sobre la violencia a las mujeres disidentes, se transforma en la concepción de </w:t>
      </w:r>
      <w:r>
        <w:rPr>
          <w:rFonts w:ascii="Times New Roman" w:eastAsia="Times New Roman" w:hAnsi="Times New Roman" w:cs="Times New Roman"/>
          <w:i/>
          <w:sz w:val="24"/>
          <w:szCs w:val="24"/>
        </w:rPr>
        <w:t xml:space="preserve">violencia homofóbica o </w:t>
      </w:r>
      <w:proofErr w:type="spellStart"/>
      <w:r>
        <w:rPr>
          <w:rFonts w:ascii="Times New Roman" w:eastAsia="Times New Roman" w:hAnsi="Times New Roman" w:cs="Times New Roman"/>
          <w:i/>
          <w:sz w:val="24"/>
          <w:szCs w:val="24"/>
        </w:rPr>
        <w:t>antilesbiana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Tomsen</w:t>
      </w:r>
      <w:proofErr w:type="spellEnd"/>
      <w:r>
        <w:rPr>
          <w:rFonts w:ascii="Times New Roman" w:eastAsia="Times New Roman" w:hAnsi="Times New Roman" w:cs="Times New Roman"/>
          <w:sz w:val="24"/>
          <w:szCs w:val="24"/>
        </w:rPr>
        <w:t xml:space="preserve"> y Manson, 2001).</w:t>
      </w:r>
    </w:p>
    <w:p w14:paraId="6079E699"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esto mismo, la violencia contra las mujeres disidentes puede expresarse de diferentes maneras e incluye desde la violencia más explícita, como la violencia física, el abuso sexual, el </w:t>
      </w:r>
      <w:proofErr w:type="spellStart"/>
      <w:r>
        <w:rPr>
          <w:rFonts w:ascii="Times New Roman" w:eastAsia="Times New Roman" w:hAnsi="Times New Roman" w:cs="Times New Roman"/>
          <w:sz w:val="24"/>
          <w:szCs w:val="24"/>
        </w:rPr>
        <w:t>crímen</w:t>
      </w:r>
      <w:proofErr w:type="spellEnd"/>
      <w:r>
        <w:rPr>
          <w:rFonts w:ascii="Times New Roman" w:eastAsia="Times New Roman" w:hAnsi="Times New Roman" w:cs="Times New Roman"/>
          <w:sz w:val="24"/>
          <w:szCs w:val="24"/>
        </w:rPr>
        <w:t xml:space="preserve"> de odio, hasta las formas de violencia implícita como la coerción, la agresión verbal y la marginalización (Defensoría del Pueblo, 2018; Centro de Promoción y Defensa de los Derechos Sexuales y Reproductivos [</w:t>
      </w:r>
      <w:proofErr w:type="spellStart"/>
      <w:r>
        <w:rPr>
          <w:rFonts w:ascii="Times New Roman" w:eastAsia="Times New Roman" w:hAnsi="Times New Roman" w:cs="Times New Roman"/>
          <w:sz w:val="24"/>
          <w:szCs w:val="24"/>
        </w:rPr>
        <w:t>Promsex</w:t>
      </w:r>
      <w:proofErr w:type="spellEnd"/>
      <w:r>
        <w:rPr>
          <w:rFonts w:ascii="Times New Roman" w:eastAsia="Times New Roman" w:hAnsi="Times New Roman" w:cs="Times New Roman"/>
          <w:sz w:val="24"/>
          <w:szCs w:val="24"/>
        </w:rPr>
        <w:t xml:space="preserve">], 2021; Rufino et al., 2022). Asimismo, la evidencia resalta a los hombres como principales agresores tanto en espacios públicos como privados, enfatizando en la impunidad patriarcal que poseen frente a las disidencias de género y sexualidad (Flores et al., 2022; Mason, 1993). </w:t>
      </w:r>
    </w:p>
    <w:p w14:paraId="3F906874"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Existen diversas investigaciones a nivel internacional que ahondan en las formas de violencia experimentadas por las minorías sexuales. Una de ellas es la cosificación; esto es, la reducción de la mujer a un objeto sexual, eliminando la relevancia de su identidad y priorizando su construcción desde el cuerpo y sus ‘funciones’ sexuales (</w:t>
      </w:r>
      <w:proofErr w:type="spellStart"/>
      <w:r>
        <w:rPr>
          <w:rFonts w:ascii="Times New Roman" w:eastAsia="Times New Roman" w:hAnsi="Times New Roman" w:cs="Times New Roman"/>
          <w:sz w:val="24"/>
          <w:szCs w:val="24"/>
        </w:rPr>
        <w:t>Moradi</w:t>
      </w:r>
      <w:proofErr w:type="spellEnd"/>
      <w:r>
        <w:rPr>
          <w:rFonts w:ascii="Times New Roman" w:eastAsia="Times New Roman" w:hAnsi="Times New Roman" w:cs="Times New Roman"/>
          <w:sz w:val="24"/>
          <w:szCs w:val="24"/>
        </w:rPr>
        <w:t xml:space="preserve"> y Huang, </w:t>
      </w:r>
      <w:r>
        <w:rPr>
          <w:rFonts w:ascii="Times New Roman" w:eastAsia="Times New Roman" w:hAnsi="Times New Roman" w:cs="Times New Roman"/>
          <w:sz w:val="24"/>
          <w:szCs w:val="24"/>
        </w:rPr>
        <w:lastRenderedPageBreak/>
        <w:t xml:space="preserve">2008; Verdú, 2018). De ello, la mujer termina siendo instrumentalizada con una finalidad: la satisfacción, que normalmente se concibe desde dar placer a figuras masculinas (Verdú, 2018). La cosificación posee además un poder coercitivo y refuerza discursos de deshumanización frente a las mujeres (Beaman y </w:t>
      </w:r>
      <w:proofErr w:type="spellStart"/>
      <w:r>
        <w:rPr>
          <w:rFonts w:ascii="Times New Roman" w:eastAsia="Times New Roman" w:hAnsi="Times New Roman" w:cs="Times New Roman"/>
          <w:sz w:val="24"/>
          <w:szCs w:val="24"/>
        </w:rPr>
        <w:t>Gurung</w:t>
      </w:r>
      <w:proofErr w:type="spellEnd"/>
      <w:r>
        <w:rPr>
          <w:rFonts w:ascii="Times New Roman" w:eastAsia="Times New Roman" w:hAnsi="Times New Roman" w:cs="Times New Roman"/>
          <w:sz w:val="24"/>
          <w:szCs w:val="24"/>
        </w:rPr>
        <w:t xml:space="preserve">, 2024; </w:t>
      </w:r>
      <w:proofErr w:type="spellStart"/>
      <w:r>
        <w:rPr>
          <w:rFonts w:ascii="Times New Roman" w:eastAsia="Times New Roman" w:hAnsi="Times New Roman" w:cs="Times New Roman"/>
          <w:sz w:val="24"/>
          <w:szCs w:val="24"/>
        </w:rPr>
        <w:t>Moradi</w:t>
      </w:r>
      <w:proofErr w:type="spellEnd"/>
      <w:r>
        <w:rPr>
          <w:rFonts w:ascii="Times New Roman" w:eastAsia="Times New Roman" w:hAnsi="Times New Roman" w:cs="Times New Roman"/>
          <w:sz w:val="24"/>
          <w:szCs w:val="24"/>
        </w:rPr>
        <w:t xml:space="preserve"> y Huang, 2008). Esto tiene un impacto en la expresión y la percepción a largo plazo de la sexualidad, de la identidad y del género (</w:t>
      </w:r>
      <w:proofErr w:type="spellStart"/>
      <w:r>
        <w:rPr>
          <w:rFonts w:ascii="Times New Roman" w:eastAsia="Times New Roman" w:hAnsi="Times New Roman" w:cs="Times New Roman"/>
          <w:sz w:val="24"/>
          <w:szCs w:val="24"/>
        </w:rPr>
        <w:t>Calogero</w:t>
      </w:r>
      <w:proofErr w:type="spellEnd"/>
      <w:r>
        <w:rPr>
          <w:rFonts w:ascii="Times New Roman" w:eastAsia="Times New Roman" w:hAnsi="Times New Roman" w:cs="Times New Roman"/>
          <w:sz w:val="24"/>
          <w:szCs w:val="24"/>
        </w:rPr>
        <w:t xml:space="preserve"> y Thompson, 2009; </w:t>
      </w:r>
      <w:proofErr w:type="spellStart"/>
      <w:r>
        <w:rPr>
          <w:rFonts w:ascii="Times New Roman" w:eastAsia="Times New Roman" w:hAnsi="Times New Roman" w:cs="Times New Roman"/>
          <w:sz w:val="24"/>
          <w:szCs w:val="24"/>
        </w:rPr>
        <w:t>Fasoli</w:t>
      </w:r>
      <w:proofErr w:type="spellEnd"/>
      <w:r>
        <w:rPr>
          <w:rFonts w:ascii="Times New Roman" w:eastAsia="Times New Roman" w:hAnsi="Times New Roman" w:cs="Times New Roman"/>
          <w:sz w:val="24"/>
          <w:szCs w:val="24"/>
        </w:rPr>
        <w:t xml:space="preserve"> et al., 2018; </w:t>
      </w:r>
      <w:proofErr w:type="spellStart"/>
      <w:r>
        <w:rPr>
          <w:rFonts w:ascii="Times New Roman" w:eastAsia="Times New Roman" w:hAnsi="Times New Roman" w:cs="Times New Roman"/>
          <w:sz w:val="24"/>
          <w:szCs w:val="24"/>
        </w:rPr>
        <w:t>Giesecke</w:t>
      </w:r>
      <w:proofErr w:type="spellEnd"/>
      <w:r>
        <w:rPr>
          <w:rFonts w:ascii="Times New Roman" w:eastAsia="Times New Roman" w:hAnsi="Times New Roman" w:cs="Times New Roman"/>
          <w:sz w:val="24"/>
          <w:szCs w:val="24"/>
        </w:rPr>
        <w:t xml:space="preserve">, 2019). </w:t>
      </w:r>
    </w:p>
    <w:p w14:paraId="2204010F"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estudios como los de </w:t>
      </w:r>
      <w:proofErr w:type="spellStart"/>
      <w:r>
        <w:rPr>
          <w:rFonts w:ascii="Times New Roman" w:eastAsia="Times New Roman" w:hAnsi="Times New Roman" w:cs="Times New Roman"/>
          <w:sz w:val="24"/>
          <w:szCs w:val="24"/>
        </w:rPr>
        <w:t>Chmielewski</w:t>
      </w:r>
      <w:proofErr w:type="spellEnd"/>
      <w:r>
        <w:rPr>
          <w:rFonts w:ascii="Times New Roman" w:eastAsia="Times New Roman" w:hAnsi="Times New Roman" w:cs="Times New Roman"/>
          <w:sz w:val="24"/>
          <w:szCs w:val="24"/>
        </w:rPr>
        <w:t xml:space="preserve"> (2017) y Tebe et al. (2018) en mujeres pertenecientes a minorías sexuales en USA resaltan que la cosificación genera un impacto en la expresión pública de la sexualidad y en la aceptación de </w:t>
      </w:r>
      <w:proofErr w:type="gramStart"/>
      <w:r>
        <w:rPr>
          <w:rFonts w:ascii="Times New Roman" w:eastAsia="Times New Roman" w:hAnsi="Times New Roman" w:cs="Times New Roman"/>
          <w:sz w:val="24"/>
          <w:szCs w:val="24"/>
        </w:rPr>
        <w:t>la misma</w:t>
      </w:r>
      <w:proofErr w:type="gramEnd"/>
      <w:r>
        <w:rPr>
          <w:rFonts w:ascii="Times New Roman" w:eastAsia="Times New Roman" w:hAnsi="Times New Roman" w:cs="Times New Roman"/>
          <w:sz w:val="24"/>
          <w:szCs w:val="24"/>
        </w:rPr>
        <w:t>. Asimismo, concuerdan en que las formas de cosificación se manifiestan desde una intersección entre el género, la sexualidad, la raza, la cultura e incluso la inequidad, precisamente por la descripción de eventos de cosificación como deshumanizantes o discriminatorios. Se configura a la cosificación como un aspecto de la violencia contra las mujeres disidentes.</w:t>
      </w:r>
    </w:p>
    <w:p w14:paraId="0EA96AE7"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Siguiendo la línea, la violencia homofóbica también resalta como experiencia común entre las minorías sexuales. Esta se define como actos de acoso y violencia dirigidos que sostienen actitudes hostiles frente a la diversidad, y que pueden llegar a situaciones de agresión verbal y física (</w:t>
      </w:r>
      <w:proofErr w:type="spellStart"/>
      <w:r>
        <w:rPr>
          <w:rFonts w:ascii="Times New Roman" w:eastAsia="Times New Roman" w:hAnsi="Times New Roman" w:cs="Times New Roman"/>
          <w:sz w:val="24"/>
          <w:szCs w:val="24"/>
        </w:rPr>
        <w:t>Fraissé</w:t>
      </w:r>
      <w:proofErr w:type="spellEnd"/>
      <w:r>
        <w:rPr>
          <w:rFonts w:ascii="Times New Roman" w:eastAsia="Times New Roman" w:hAnsi="Times New Roman" w:cs="Times New Roman"/>
          <w:sz w:val="24"/>
          <w:szCs w:val="24"/>
        </w:rPr>
        <w:t xml:space="preserve"> y Barrientos, 2016; </w:t>
      </w:r>
      <w:proofErr w:type="spellStart"/>
      <w:r>
        <w:rPr>
          <w:rFonts w:ascii="Times New Roman" w:eastAsia="Times New Roman" w:hAnsi="Times New Roman" w:cs="Times New Roman"/>
          <w:sz w:val="24"/>
          <w:szCs w:val="24"/>
        </w:rPr>
        <w:t>Tomsen</w:t>
      </w:r>
      <w:proofErr w:type="spellEnd"/>
      <w:r>
        <w:rPr>
          <w:rFonts w:ascii="Times New Roman" w:eastAsia="Times New Roman" w:hAnsi="Times New Roman" w:cs="Times New Roman"/>
          <w:sz w:val="24"/>
          <w:szCs w:val="24"/>
        </w:rPr>
        <w:t xml:space="preserve">, 2017). Así, se configura como un fenómeno estructural que busca limitar las expresiones de género y disidencia para reproducir las desigualdades socioculturales, la discriminación y la impunidad (Pharr, 2000). </w:t>
      </w:r>
    </w:p>
    <w:p w14:paraId="1476DA37"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Sobre ello, se establecen diferencias en la manera en que se concibe la violencia homofóbica, como la lesbofobia y la bifobia (</w:t>
      </w:r>
      <w:proofErr w:type="spellStart"/>
      <w:r>
        <w:rPr>
          <w:rFonts w:ascii="Times New Roman" w:eastAsia="Times New Roman" w:hAnsi="Times New Roman" w:cs="Times New Roman"/>
          <w:sz w:val="24"/>
          <w:szCs w:val="24"/>
        </w:rPr>
        <w:t>Fraissé</w:t>
      </w:r>
      <w:proofErr w:type="spellEnd"/>
      <w:r>
        <w:rPr>
          <w:rFonts w:ascii="Times New Roman" w:eastAsia="Times New Roman" w:hAnsi="Times New Roman" w:cs="Times New Roman"/>
          <w:sz w:val="24"/>
          <w:szCs w:val="24"/>
        </w:rPr>
        <w:t xml:space="preserve"> y Barrientos, 2016). La bifobia hace referencia a los prejuicios y actitudes frente a las personas bisexuales, vinculados a discursos que conciben a la monosexualidad como legítima y congruente en el contexto conservador (Comisión Interamericana de Derechos Humanos [CNDH], 2019; </w:t>
      </w:r>
      <w:proofErr w:type="spellStart"/>
      <w:r>
        <w:rPr>
          <w:rFonts w:ascii="Times New Roman" w:eastAsia="Times New Roman" w:hAnsi="Times New Roman" w:cs="Times New Roman"/>
          <w:sz w:val="24"/>
          <w:szCs w:val="24"/>
        </w:rPr>
        <w:t>Vonlanthen</w:t>
      </w:r>
      <w:proofErr w:type="spellEnd"/>
      <w:r>
        <w:rPr>
          <w:rFonts w:ascii="Times New Roman" w:eastAsia="Times New Roman" w:hAnsi="Times New Roman" w:cs="Times New Roman"/>
          <w:sz w:val="24"/>
          <w:szCs w:val="24"/>
        </w:rPr>
        <w:t xml:space="preserve"> y Roy-</w:t>
      </w:r>
      <w:proofErr w:type="spellStart"/>
      <w:r>
        <w:rPr>
          <w:rFonts w:ascii="Times New Roman" w:eastAsia="Times New Roman" w:hAnsi="Times New Roman" w:cs="Times New Roman"/>
          <w:sz w:val="24"/>
          <w:szCs w:val="24"/>
        </w:rPr>
        <w:t>Charland</w:t>
      </w:r>
      <w:proofErr w:type="spellEnd"/>
      <w:r>
        <w:rPr>
          <w:rFonts w:ascii="Times New Roman" w:eastAsia="Times New Roman" w:hAnsi="Times New Roman" w:cs="Times New Roman"/>
          <w:sz w:val="24"/>
          <w:szCs w:val="24"/>
        </w:rPr>
        <w:t xml:space="preserve">, 2024). Así, discursos basados en la bisexualidad como ‘es una fase’, ‘es una confusión’ o ‘es transitorio para ser homosexual/heterosexual) promueven su marginación de espacios sociales, su </w:t>
      </w:r>
      <w:proofErr w:type="spellStart"/>
      <w:r>
        <w:rPr>
          <w:rFonts w:ascii="Times New Roman" w:eastAsia="Times New Roman" w:hAnsi="Times New Roman" w:cs="Times New Roman"/>
          <w:sz w:val="24"/>
          <w:szCs w:val="24"/>
        </w:rPr>
        <w:t>invisibilización</w:t>
      </w:r>
      <w:proofErr w:type="spellEnd"/>
      <w:r>
        <w:rPr>
          <w:rFonts w:ascii="Times New Roman" w:eastAsia="Times New Roman" w:hAnsi="Times New Roman" w:cs="Times New Roman"/>
          <w:sz w:val="24"/>
          <w:szCs w:val="24"/>
        </w:rPr>
        <w:t xml:space="preserve"> y la violencia homofóbica (</w:t>
      </w:r>
      <w:proofErr w:type="spellStart"/>
      <w:r>
        <w:rPr>
          <w:rFonts w:ascii="Times New Roman" w:eastAsia="Times New Roman" w:hAnsi="Times New Roman" w:cs="Times New Roman"/>
          <w:sz w:val="24"/>
          <w:szCs w:val="24"/>
        </w:rPr>
        <w:t>Formby</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Fraissé</w:t>
      </w:r>
      <w:proofErr w:type="spellEnd"/>
      <w:r>
        <w:rPr>
          <w:rFonts w:ascii="Times New Roman" w:eastAsia="Times New Roman" w:hAnsi="Times New Roman" w:cs="Times New Roman"/>
          <w:sz w:val="24"/>
          <w:szCs w:val="24"/>
        </w:rPr>
        <w:t xml:space="preserve"> y Barrientos, 2016; Israel y Mohr, 2004; </w:t>
      </w:r>
      <w:proofErr w:type="spellStart"/>
      <w:r>
        <w:rPr>
          <w:rFonts w:ascii="Times New Roman" w:eastAsia="Times New Roman" w:hAnsi="Times New Roman" w:cs="Times New Roman"/>
          <w:sz w:val="24"/>
          <w:szCs w:val="24"/>
        </w:rPr>
        <w:t>Rust</w:t>
      </w:r>
      <w:proofErr w:type="spellEnd"/>
      <w:r>
        <w:rPr>
          <w:rFonts w:ascii="Times New Roman" w:eastAsia="Times New Roman" w:hAnsi="Times New Roman" w:cs="Times New Roman"/>
          <w:sz w:val="24"/>
          <w:szCs w:val="24"/>
        </w:rPr>
        <w:t xml:space="preserve">, 1995). </w:t>
      </w:r>
    </w:p>
    <w:p w14:paraId="2E9E2F99"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lesbofobia, por otro lado, implica actitudes y prejuicios hacia mujeres lesbianas que puede llevar a actos de violencia, desde la segregación hasta la coerción y el </w:t>
      </w:r>
      <w:proofErr w:type="spellStart"/>
      <w:r>
        <w:rPr>
          <w:rFonts w:ascii="Times New Roman" w:eastAsia="Times New Roman" w:hAnsi="Times New Roman" w:cs="Times New Roman"/>
          <w:sz w:val="24"/>
          <w:szCs w:val="24"/>
        </w:rPr>
        <w:t>lesbofeminicidio</w:t>
      </w:r>
      <w:proofErr w:type="spellEnd"/>
      <w:r>
        <w:rPr>
          <w:rFonts w:ascii="Times New Roman" w:eastAsia="Times New Roman" w:hAnsi="Times New Roman" w:cs="Times New Roman"/>
          <w:sz w:val="24"/>
          <w:szCs w:val="24"/>
        </w:rPr>
        <w:t xml:space="preserve"> (García, 2023; Keats, 2016; </w:t>
      </w:r>
      <w:proofErr w:type="spellStart"/>
      <w:r>
        <w:rPr>
          <w:rFonts w:ascii="Times New Roman" w:eastAsia="Times New Roman" w:hAnsi="Times New Roman" w:cs="Times New Roman"/>
          <w:sz w:val="24"/>
          <w:szCs w:val="24"/>
        </w:rPr>
        <w:t>Moagi</w:t>
      </w:r>
      <w:proofErr w:type="spellEnd"/>
      <w:r>
        <w:rPr>
          <w:rFonts w:ascii="Times New Roman" w:eastAsia="Times New Roman" w:hAnsi="Times New Roman" w:cs="Times New Roman"/>
          <w:sz w:val="24"/>
          <w:szCs w:val="24"/>
        </w:rPr>
        <w:t xml:space="preserve"> et al., 2021; </w:t>
      </w:r>
      <w:proofErr w:type="spellStart"/>
      <w:r>
        <w:rPr>
          <w:rFonts w:ascii="Times New Roman" w:eastAsia="Times New Roman" w:hAnsi="Times New Roman" w:cs="Times New Roman"/>
          <w:sz w:val="24"/>
          <w:szCs w:val="24"/>
        </w:rPr>
        <w:t>Promsex</w:t>
      </w:r>
      <w:proofErr w:type="spellEnd"/>
      <w:r>
        <w:rPr>
          <w:rFonts w:ascii="Times New Roman" w:eastAsia="Times New Roman" w:hAnsi="Times New Roman" w:cs="Times New Roman"/>
          <w:sz w:val="24"/>
          <w:szCs w:val="24"/>
        </w:rPr>
        <w:t>, 2018). Se vincula, además, a los discursos del sexismo, en tanto la identidad lesbiana desafía los roles de género tradicionales (</w:t>
      </w:r>
      <w:proofErr w:type="spellStart"/>
      <w:r>
        <w:rPr>
          <w:rFonts w:ascii="Times New Roman" w:eastAsia="Times New Roman" w:hAnsi="Times New Roman" w:cs="Times New Roman"/>
          <w:sz w:val="24"/>
          <w:szCs w:val="24"/>
        </w:rPr>
        <w:t>Rich</w:t>
      </w:r>
      <w:proofErr w:type="spellEnd"/>
      <w:r>
        <w:rPr>
          <w:rFonts w:ascii="Times New Roman" w:eastAsia="Times New Roman" w:hAnsi="Times New Roman" w:cs="Times New Roman"/>
          <w:sz w:val="24"/>
          <w:szCs w:val="24"/>
        </w:rPr>
        <w:t xml:space="preserve">, 1980). Junto a ello, se configura en la comunidad lésbica a su sexualidad como un riesgo que puede suponer peligro en entornos sociales (García, 2023). </w:t>
      </w:r>
    </w:p>
    <w:p w14:paraId="0594BC3B" w14:textId="77777777" w:rsidR="004232E5" w:rsidRDefault="00000000">
      <w:pPr>
        <w:widowControl w:val="0"/>
        <w:spacing w:line="360" w:lineRule="auto"/>
        <w:ind w:right="100" w:firstLine="720"/>
        <w:rPr>
          <w:rFonts w:ascii="Times New Roman" w:eastAsia="Times New Roman" w:hAnsi="Times New Roman" w:cs="Times New Roman"/>
          <w:sz w:val="24"/>
          <w:szCs w:val="24"/>
        </w:rPr>
        <w:sectPr w:rsidR="004232E5">
          <w:pgSz w:w="11909" w:h="16834"/>
          <w:pgMar w:top="1417" w:right="1417" w:bottom="1417" w:left="1417" w:header="720" w:footer="720" w:gutter="0"/>
          <w:pgNumType w:start="1"/>
          <w:cols w:space="720"/>
        </w:sectPr>
      </w:pPr>
      <w:r>
        <w:rPr>
          <w:rFonts w:ascii="Times New Roman" w:eastAsia="Times New Roman" w:hAnsi="Times New Roman" w:cs="Times New Roman"/>
          <w:sz w:val="24"/>
          <w:szCs w:val="24"/>
        </w:rPr>
        <w:lastRenderedPageBreak/>
        <w:t xml:space="preserve">No existen estudios que aborden la cosificación ni violencia homofóbica en mujeres lesbianas y bisexuales en Latinoamérica, menos en Perú; esto, dado que los estudios sobre población disidente suelen representar a la comunidad en general, no a sus vivencias específicas por grupo (CEDAW, 2021). Esta ausencia de protagonismo frente a sus experiencias particulares promueve además la impunidad, la </w:t>
      </w:r>
      <w:proofErr w:type="spellStart"/>
      <w:r>
        <w:rPr>
          <w:rFonts w:ascii="Times New Roman" w:eastAsia="Times New Roman" w:hAnsi="Times New Roman" w:cs="Times New Roman"/>
          <w:sz w:val="24"/>
          <w:szCs w:val="24"/>
        </w:rPr>
        <w:t>invisibilización</w:t>
      </w:r>
      <w:proofErr w:type="spellEnd"/>
      <w:r>
        <w:rPr>
          <w:rFonts w:ascii="Times New Roman" w:eastAsia="Times New Roman" w:hAnsi="Times New Roman" w:cs="Times New Roman"/>
          <w:sz w:val="24"/>
          <w:szCs w:val="24"/>
        </w:rPr>
        <w:t xml:space="preserve"> de la disidencia y victimización (Más igualdad, 2024; Ministerio de la Mujer y Poblaciones Vulnerables [MIMP], 2016; </w:t>
      </w:r>
      <w:proofErr w:type="spellStart"/>
      <w:r>
        <w:rPr>
          <w:rFonts w:ascii="Times New Roman" w:eastAsia="Times New Roman" w:hAnsi="Times New Roman" w:cs="Times New Roman"/>
          <w:sz w:val="24"/>
          <w:szCs w:val="24"/>
        </w:rPr>
        <w:t>Promsex</w:t>
      </w:r>
      <w:proofErr w:type="spellEnd"/>
      <w:r>
        <w:rPr>
          <w:rFonts w:ascii="Times New Roman" w:eastAsia="Times New Roman" w:hAnsi="Times New Roman" w:cs="Times New Roman"/>
          <w:sz w:val="24"/>
          <w:szCs w:val="24"/>
        </w:rPr>
        <w:t>, 2021). Se muestra la necesidad de consolidar estudios sobre la complejidad de la violencia experimentada por mujeres disidentes, así como la forma en que esto se vivencia en el imaginario social.</w:t>
      </w:r>
    </w:p>
    <w:p w14:paraId="3605C707" w14:textId="77777777" w:rsidR="004232E5" w:rsidRDefault="004232E5">
      <w:pPr>
        <w:pStyle w:val="Ttulo1"/>
        <w:widowControl w:val="0"/>
        <w:jc w:val="left"/>
      </w:pPr>
      <w:bookmarkStart w:id="12" w:name="_trmefiqlgt5w" w:colFirst="0" w:colLast="0"/>
      <w:bookmarkEnd w:id="12"/>
    </w:p>
    <w:p w14:paraId="16B115BC" w14:textId="77777777" w:rsidR="004232E5" w:rsidRDefault="00000000">
      <w:pPr>
        <w:pStyle w:val="Ttulo1"/>
        <w:ind w:right="19"/>
        <w:jc w:val="center"/>
      </w:pPr>
      <w:bookmarkStart w:id="13" w:name="_vn6zx2hd6jpm" w:colFirst="0" w:colLast="0"/>
      <w:bookmarkEnd w:id="13"/>
      <w:r>
        <w:t>Método</w:t>
      </w:r>
    </w:p>
    <w:p w14:paraId="229B9DFF" w14:textId="77777777" w:rsidR="004232E5" w:rsidRDefault="00000000">
      <w:pPr>
        <w:widowControl w:val="0"/>
        <w:spacing w:line="360" w:lineRule="auto"/>
        <w:ind w:right="4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Diseño de investigación</w:t>
      </w:r>
    </w:p>
    <w:p w14:paraId="47090B2A" w14:textId="77777777" w:rsidR="004232E5" w:rsidRDefault="00000000">
      <w:pPr>
        <w:widowControl w:val="0"/>
        <w:spacing w:line="360" w:lineRule="auto"/>
        <w:ind w:right="97"/>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El presente estudio buscó explorar cómo son las experiencias subjetivas de la cosificación y la violencia homofóbica en mujeres lesbianas y bisexuales de 18 a 25 años de Lima Metropolitana. Sigue un diseño cualitativo de corte exploratorio (Hernández et al., 2014), con un enfoque fenomenológico (</w:t>
      </w:r>
      <w:proofErr w:type="spellStart"/>
      <w:r>
        <w:rPr>
          <w:rFonts w:ascii="Times New Roman" w:eastAsia="Times New Roman" w:hAnsi="Times New Roman" w:cs="Times New Roman"/>
          <w:sz w:val="24"/>
          <w:szCs w:val="24"/>
        </w:rPr>
        <w:t>Noblega</w:t>
      </w:r>
      <w:proofErr w:type="spellEnd"/>
      <w:r>
        <w:rPr>
          <w:rFonts w:ascii="Times New Roman" w:eastAsia="Times New Roman" w:hAnsi="Times New Roman" w:cs="Times New Roman"/>
          <w:sz w:val="24"/>
          <w:szCs w:val="24"/>
        </w:rPr>
        <w:t xml:space="preserve"> et al., 2020) centrado en las vivencias de las mujeres disidentes. Se estableció un análisis deductivo, en tanto se tuvo un modelo inicial con categorías que permitieron clasificar la información a partir del proceso de análisis temático (Hernández et al., 2014; </w:t>
      </w:r>
      <w:proofErr w:type="spellStart"/>
      <w:r>
        <w:rPr>
          <w:rFonts w:ascii="Times New Roman" w:eastAsia="Times New Roman" w:hAnsi="Times New Roman" w:cs="Times New Roman"/>
          <w:sz w:val="24"/>
          <w:szCs w:val="24"/>
        </w:rPr>
        <w:t>Noblega</w:t>
      </w:r>
      <w:proofErr w:type="spellEnd"/>
      <w:r>
        <w:rPr>
          <w:rFonts w:ascii="Times New Roman" w:eastAsia="Times New Roman" w:hAnsi="Times New Roman" w:cs="Times New Roman"/>
          <w:sz w:val="24"/>
          <w:szCs w:val="24"/>
        </w:rPr>
        <w:t xml:space="preserve"> et al., 2020).</w:t>
      </w:r>
    </w:p>
    <w:p w14:paraId="40FE27B2" w14:textId="77777777" w:rsidR="004232E5" w:rsidRDefault="004232E5">
      <w:pPr>
        <w:widowControl w:val="0"/>
        <w:spacing w:line="360" w:lineRule="auto"/>
        <w:ind w:right="97"/>
        <w:rPr>
          <w:rFonts w:ascii="Times New Roman" w:eastAsia="Times New Roman" w:hAnsi="Times New Roman" w:cs="Times New Roman"/>
          <w:sz w:val="24"/>
          <w:szCs w:val="24"/>
        </w:rPr>
      </w:pPr>
    </w:p>
    <w:p w14:paraId="71459E8B" w14:textId="77777777" w:rsidR="004232E5" w:rsidRDefault="00000000">
      <w:pPr>
        <w:widowControl w:val="0"/>
        <w:spacing w:line="360" w:lineRule="auto"/>
        <w:ind w:right="4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Participantes </w:t>
      </w:r>
    </w:p>
    <w:p w14:paraId="16E03442" w14:textId="77777777" w:rsidR="004232E5" w:rsidRDefault="00000000">
      <w:pPr>
        <w:widowControl w:val="0"/>
        <w:spacing w:line="360" w:lineRule="auto"/>
        <w:ind w:right="8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Participaron 13 mujeres peruanas cuyas edades oscilan entre 18 a 24 años de Lima Metropolitana (M= 21.23, DE=1.59), de las cuales 6 (46.15%) se identificaron como mujeres lesbianas y 7 (53.85%) como mujeres bisexuales. 7 (53.85%) se encontraban solteras, y 6 (46.15%) configurando una relación de pareja. Asimismo, mientras que solo una participante no era pública con su orientación sexual, las demás reafirmaban su identidad sexual y se consideraban activistas o pertenecientes a una asociación activista. </w:t>
      </w:r>
    </w:p>
    <w:p w14:paraId="324181E6" w14:textId="77777777" w:rsidR="004232E5" w:rsidRDefault="004232E5">
      <w:pPr>
        <w:widowControl w:val="0"/>
        <w:spacing w:line="360" w:lineRule="auto"/>
        <w:rPr>
          <w:rFonts w:ascii="Times New Roman" w:eastAsia="Times New Roman" w:hAnsi="Times New Roman" w:cs="Times New Roman"/>
          <w:i/>
          <w:sz w:val="24"/>
          <w:szCs w:val="24"/>
        </w:rPr>
      </w:pPr>
    </w:p>
    <w:p w14:paraId="162117B1" w14:textId="77777777" w:rsidR="004232E5" w:rsidRDefault="00000000">
      <w:pPr>
        <w:widowControl w:val="0"/>
        <w:spacing w:line="360" w:lineRule="auto"/>
        <w:ind w:right="14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Técnicas de recolección </w:t>
      </w:r>
    </w:p>
    <w:p w14:paraId="0E96B18D" w14:textId="77777777" w:rsidR="004232E5" w:rsidRDefault="00000000">
      <w:pPr>
        <w:widowControl w:val="0"/>
        <w:spacing w:line="360" w:lineRule="auto"/>
        <w:ind w:right="14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elaboró una ficha de datos sociodemográficos que incluyó preguntas sobre el objetivo del presente estudio, tales como “¿Eres activista sobre la diversidad sexual o perteneces a alguna organización activista sobre el tema?”. La técnica de recolección principal fue la guía de entrevista semiestructurada. Se desarrollaron dos guías de entrevista (según sexualidad) en el marco del Modelo Multidimensional de la Heterosexualidad </w:t>
      </w:r>
      <w:r>
        <w:rPr>
          <w:rFonts w:ascii="Times New Roman" w:eastAsia="Times New Roman" w:hAnsi="Times New Roman" w:cs="Times New Roman"/>
          <w:sz w:val="24"/>
          <w:szCs w:val="24"/>
        </w:rPr>
        <w:lastRenderedPageBreak/>
        <w:t xml:space="preserve">Obligatoria de </w:t>
      </w:r>
      <w:proofErr w:type="spellStart"/>
      <w:r>
        <w:rPr>
          <w:rFonts w:ascii="Times New Roman" w:eastAsia="Times New Roman" w:hAnsi="Times New Roman" w:cs="Times New Roman"/>
          <w:sz w:val="24"/>
          <w:szCs w:val="24"/>
        </w:rPr>
        <w:t>Rich</w:t>
      </w:r>
      <w:proofErr w:type="spellEnd"/>
      <w:r>
        <w:rPr>
          <w:rFonts w:ascii="Times New Roman" w:eastAsia="Times New Roman" w:hAnsi="Times New Roman" w:cs="Times New Roman"/>
          <w:sz w:val="24"/>
          <w:szCs w:val="24"/>
        </w:rPr>
        <w:t xml:space="preserve"> (1980), que aborda la cosificación, la violencia y la homofobia como aspectos vinculados a la experiencia de las minorías sexuales. Este modelo aborda la cosificación de la mujer y la hipersexualización de la disidencia, así como la violencia homofóbica y de género en entornos públicos y privados. Como validación, se siguió un proceso de evaluación de jueces expertos en poblaciones en situación de vulnerabilidad, disidencias y violencia. Asimismo, en la prueba piloto se aplicaron los instrumentos a una mujer lesbiana y una mujer bisexual respectivamente.</w:t>
      </w:r>
    </w:p>
    <w:p w14:paraId="4626364E" w14:textId="77777777" w:rsidR="004232E5" w:rsidRDefault="004232E5">
      <w:pPr>
        <w:widowControl w:val="0"/>
        <w:spacing w:line="360" w:lineRule="auto"/>
        <w:ind w:right="89"/>
        <w:rPr>
          <w:rFonts w:ascii="Times New Roman" w:eastAsia="Times New Roman" w:hAnsi="Times New Roman" w:cs="Times New Roman"/>
          <w:sz w:val="24"/>
          <w:szCs w:val="24"/>
        </w:rPr>
      </w:pPr>
    </w:p>
    <w:p w14:paraId="42FE1E22" w14:textId="77777777" w:rsidR="004232E5" w:rsidRDefault="000000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Procedimiento y análisis de datos </w:t>
      </w:r>
    </w:p>
    <w:p w14:paraId="29D6E95A" w14:textId="77777777" w:rsidR="004232E5" w:rsidRDefault="00000000">
      <w:pPr>
        <w:widowControl w:val="0"/>
        <w:spacing w:line="360" w:lineRule="auto"/>
        <w:ind w:right="92"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Para establecer el contacto con las participantes se utilizó la técnica accidental bola de nieve (</w:t>
      </w:r>
      <w:proofErr w:type="gramStart"/>
      <w:r>
        <w:rPr>
          <w:rFonts w:ascii="Times New Roman" w:eastAsia="Times New Roman" w:hAnsi="Times New Roman" w:cs="Times New Roman"/>
          <w:sz w:val="24"/>
          <w:szCs w:val="24"/>
        </w:rPr>
        <w:t>Hernández  et al.</w:t>
      </w:r>
      <w:proofErr w:type="gramEnd"/>
      <w:r>
        <w:rPr>
          <w:rFonts w:ascii="Times New Roman" w:eastAsia="Times New Roman" w:hAnsi="Times New Roman" w:cs="Times New Roman"/>
          <w:sz w:val="24"/>
          <w:szCs w:val="24"/>
        </w:rPr>
        <w:t xml:space="preserve">, 2014) en redes sociales (Facebook, Instagram y </w:t>
      </w: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 xml:space="preserve">). Se establecieron los criterios de pertinencia y saturación como bases para el desarrollo de las entrevistas (Hernández et al., 2014; </w:t>
      </w:r>
      <w:proofErr w:type="spellStart"/>
      <w:r>
        <w:rPr>
          <w:rFonts w:ascii="Times New Roman" w:eastAsia="Times New Roman" w:hAnsi="Times New Roman" w:cs="Times New Roman"/>
          <w:sz w:val="24"/>
          <w:szCs w:val="24"/>
        </w:rPr>
        <w:t>Noblega</w:t>
      </w:r>
      <w:proofErr w:type="spellEnd"/>
      <w:r>
        <w:rPr>
          <w:rFonts w:ascii="Times New Roman" w:eastAsia="Times New Roman" w:hAnsi="Times New Roman" w:cs="Times New Roman"/>
          <w:sz w:val="24"/>
          <w:szCs w:val="24"/>
        </w:rPr>
        <w:t xml:space="preserve"> et al., 2020). Luego del contacto inicial, se establecieron espacios de disponibilidad para las entrevistas, las cuales fueron enteramente realizadas de manera virtual, previo consentimiento informado. </w:t>
      </w:r>
    </w:p>
    <w:p w14:paraId="34C2E3DC" w14:textId="77777777" w:rsidR="004232E5" w:rsidRDefault="00000000">
      <w:pPr>
        <w:widowControl w:val="0"/>
        <w:spacing w:line="360" w:lineRule="auto"/>
        <w:ind w:right="92"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Luego de las entrevistas, se procedió con la transcripción y análisis temático. Desde lo propuesto por Braun y Clarke (2012) se realizó el análisis siguiendo seis pasos: la familiarización con la información obtenida, la codificación preliminar, el planteamiento de áreas temáticas —asociadas al modelo multidimensional de </w:t>
      </w:r>
      <w:proofErr w:type="spellStart"/>
      <w:r>
        <w:rPr>
          <w:rFonts w:ascii="Times New Roman" w:eastAsia="Times New Roman" w:hAnsi="Times New Roman" w:cs="Times New Roman"/>
          <w:sz w:val="24"/>
          <w:szCs w:val="24"/>
        </w:rPr>
        <w:t>Rich</w:t>
      </w:r>
      <w:proofErr w:type="spellEnd"/>
      <w:r>
        <w:rPr>
          <w:rFonts w:ascii="Times New Roman" w:eastAsia="Times New Roman" w:hAnsi="Times New Roman" w:cs="Times New Roman"/>
          <w:sz w:val="24"/>
          <w:szCs w:val="24"/>
        </w:rPr>
        <w:t xml:space="preserve"> (1980)—, la revisión final de los códigos y de las áreas, y el reporte analítico para su supervisión. De esta manera, las experiencias fueron cotejadas frente a las diferentes dimensiones del modelo de la Heterosexualidad Obligatoria, haciendo énfasis en la violencia y la cosificación. Junto a ello, la revisión implicó un continuo análisis sobre los códigos y sobre literatura existente, tanto para encontrar similitudes como para distinguir las experiencias entre disidencias. Al ser el procedimiento evaluado tanto por </w:t>
      </w:r>
      <w:proofErr w:type="gramStart"/>
      <w:r>
        <w:rPr>
          <w:rFonts w:ascii="Times New Roman" w:eastAsia="Times New Roman" w:hAnsi="Times New Roman" w:cs="Times New Roman"/>
          <w:sz w:val="24"/>
          <w:szCs w:val="24"/>
        </w:rPr>
        <w:t>jueces y juezas</w:t>
      </w:r>
      <w:proofErr w:type="gramEnd"/>
      <w:r>
        <w:rPr>
          <w:rFonts w:ascii="Times New Roman" w:eastAsia="Times New Roman" w:hAnsi="Times New Roman" w:cs="Times New Roman"/>
          <w:sz w:val="24"/>
          <w:szCs w:val="24"/>
        </w:rPr>
        <w:t xml:space="preserve"> como por un asesor especializado, se buscó cumplir con el criterio de integridad (</w:t>
      </w:r>
      <w:proofErr w:type="spellStart"/>
      <w:r>
        <w:rPr>
          <w:rFonts w:ascii="Times New Roman" w:eastAsia="Times New Roman" w:hAnsi="Times New Roman" w:cs="Times New Roman"/>
          <w:sz w:val="24"/>
          <w:szCs w:val="24"/>
        </w:rPr>
        <w:t>Pristang</w:t>
      </w:r>
      <w:proofErr w:type="spellEnd"/>
      <w:r>
        <w:rPr>
          <w:rFonts w:ascii="Times New Roman" w:eastAsia="Times New Roman" w:hAnsi="Times New Roman" w:cs="Times New Roman"/>
          <w:sz w:val="24"/>
          <w:szCs w:val="24"/>
        </w:rPr>
        <w:t xml:space="preserve"> y Barker, 2012).</w:t>
      </w:r>
    </w:p>
    <w:p w14:paraId="33AC314F" w14:textId="77777777" w:rsidR="004232E5" w:rsidRDefault="004232E5">
      <w:pPr>
        <w:widowControl w:val="0"/>
        <w:spacing w:line="360" w:lineRule="auto"/>
        <w:ind w:right="92" w:firstLine="720"/>
        <w:rPr>
          <w:rFonts w:ascii="Times New Roman" w:eastAsia="Times New Roman" w:hAnsi="Times New Roman" w:cs="Times New Roman"/>
          <w:sz w:val="24"/>
          <w:szCs w:val="24"/>
        </w:rPr>
      </w:pPr>
    </w:p>
    <w:p w14:paraId="6FEC7AFD" w14:textId="77777777" w:rsidR="004232E5" w:rsidRDefault="00000000">
      <w:pPr>
        <w:widowControl w:val="0"/>
        <w:spacing w:line="360" w:lineRule="auto"/>
        <w:ind w:right="92"/>
        <w:rPr>
          <w:rFonts w:ascii="Times New Roman" w:eastAsia="Times New Roman" w:hAnsi="Times New Roman" w:cs="Times New Roman"/>
          <w:b/>
          <w:sz w:val="24"/>
          <w:szCs w:val="24"/>
        </w:rPr>
      </w:pPr>
      <w:r>
        <w:rPr>
          <w:rFonts w:ascii="Times New Roman" w:eastAsia="Times New Roman" w:hAnsi="Times New Roman" w:cs="Times New Roman"/>
          <w:b/>
          <w:sz w:val="24"/>
          <w:szCs w:val="24"/>
        </w:rPr>
        <w:t>Aspectos éticos</w:t>
      </w:r>
    </w:p>
    <w:p w14:paraId="5E372D33" w14:textId="77777777" w:rsidR="004232E5" w:rsidRDefault="00000000">
      <w:pPr>
        <w:widowControl w:val="0"/>
        <w:spacing w:line="360" w:lineRule="auto"/>
        <w:ind w:right="92" w:firstLine="720"/>
        <w:rPr>
          <w:rFonts w:ascii="Times New Roman" w:eastAsia="Times New Roman" w:hAnsi="Times New Roman" w:cs="Times New Roman"/>
        </w:rPr>
      </w:pPr>
      <w:r>
        <w:rPr>
          <w:rFonts w:ascii="Times New Roman" w:eastAsia="Times New Roman" w:hAnsi="Times New Roman" w:cs="Times New Roman"/>
          <w:sz w:val="24"/>
          <w:szCs w:val="24"/>
        </w:rPr>
        <w:t>Sobre las consideraciones éticas, y siguiendo la Declaración Universal de Principios Éticos para Psicólogos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Association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Applied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&amp;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Union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sz w:val="24"/>
          <w:szCs w:val="24"/>
        </w:rPr>
        <w:t xml:space="preserve">, 2008) se elaboró un consentimiento informado que fue conversado antes de la entrevista. En este, se recalcó la confidencialidad y voluntariedad de su participación, así como la existencia de un protocolo de contención emocional en caso el diálogo establecido genere alguna reacción emocional. Esto incluyó la mención del plan de </w:t>
      </w:r>
      <w:r>
        <w:rPr>
          <w:rFonts w:ascii="Times New Roman" w:eastAsia="Times New Roman" w:hAnsi="Times New Roman" w:cs="Times New Roman"/>
          <w:sz w:val="24"/>
          <w:szCs w:val="24"/>
        </w:rPr>
        <w:lastRenderedPageBreak/>
        <w:t>devolución en caso lo soliciten. Finalmente, se solicitó permiso para la grabación de la entrevista. De esta manera, se buscó resguardar la beneficencia y no maleficencia del estudio frente a sus participantes. Finalmente, los autores declaran no tener ningún conflicto de interés que pudiera influir en la objetividad de este estudio.</w:t>
      </w:r>
    </w:p>
    <w:p w14:paraId="05CDEFF2" w14:textId="77777777" w:rsidR="004232E5" w:rsidRDefault="004232E5">
      <w:pPr>
        <w:rPr>
          <w:rFonts w:ascii="Times New Roman" w:eastAsia="Times New Roman" w:hAnsi="Times New Roman" w:cs="Times New Roman"/>
        </w:rPr>
      </w:pPr>
    </w:p>
    <w:p w14:paraId="487AD867" w14:textId="77777777" w:rsidR="004232E5" w:rsidRDefault="00000000">
      <w:pPr>
        <w:pStyle w:val="Ttulo1"/>
        <w:widowControl w:val="0"/>
        <w:ind w:right="-122"/>
        <w:jc w:val="center"/>
      </w:pPr>
      <w:bookmarkStart w:id="14" w:name="_m4t4zr9m38aj" w:colFirst="0" w:colLast="0"/>
      <w:bookmarkEnd w:id="14"/>
      <w:r>
        <w:t>Resultados</w:t>
      </w:r>
    </w:p>
    <w:p w14:paraId="2BCCB7D1" w14:textId="77777777" w:rsidR="004232E5" w:rsidRDefault="00000000">
      <w:pPr>
        <w:widowControl w:val="0"/>
        <w:spacing w:line="360" w:lineRule="auto"/>
        <w:ind w:right="91"/>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Las experiencias subjetivas de las participantes permitieron obtener seis categorías en total para tanto la cosificación como la violencia homofóbica (véase tabla 2). Por un lado, primaron aquellas vinculadas a la experiencia universal de las mujeres frente a la cosificación y la hipersexualización de la disidencia. Por otro lado, la violencia fue representada de diferentes formas, siendo mencionada la violencia psicológica, el rechazo social, la coerción y la familia como agente que ejerce violencia. De ello, se sostienen vivencias comunes para las mujeres lesbianas y bisexuales frente al fetichismo y las relaciones vinculares complejas en la familia, mientras que difieren en la experiencia de la lesbofobia y bifobia y las diferentes formas en que su sexualidad puede ser cosificada.</w:t>
      </w:r>
    </w:p>
    <w:p w14:paraId="67B4A2F1" w14:textId="77777777" w:rsidR="004232E5" w:rsidRDefault="004232E5">
      <w:pPr>
        <w:widowControl w:val="0"/>
        <w:spacing w:line="360" w:lineRule="auto"/>
        <w:ind w:right="91"/>
        <w:rPr>
          <w:rFonts w:ascii="Times New Roman" w:eastAsia="Times New Roman" w:hAnsi="Times New Roman" w:cs="Times New Roman"/>
          <w:sz w:val="24"/>
          <w:szCs w:val="24"/>
        </w:rPr>
      </w:pPr>
    </w:p>
    <w:p w14:paraId="17DBE579" w14:textId="77777777" w:rsidR="004232E5" w:rsidRDefault="00000000">
      <w:pPr>
        <w:widowControl w:val="0"/>
        <w:spacing w:line="360" w:lineRule="auto"/>
        <w:ind w:right="91"/>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Tabla 2</w:t>
      </w:r>
    </w:p>
    <w:p w14:paraId="69FF1857" w14:textId="77777777" w:rsidR="004232E5" w:rsidRDefault="00000000">
      <w:pPr>
        <w:widowControl w:val="0"/>
        <w:spacing w:line="360" w:lineRule="auto"/>
        <w:ind w:right="91"/>
        <w:rPr>
          <w:rFonts w:ascii="Times New Roman" w:eastAsia="Times New Roman" w:hAnsi="Times New Roman" w:cs="Times New Roman"/>
          <w:i/>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i/>
          <w:sz w:val="24"/>
          <w:szCs w:val="24"/>
        </w:rPr>
        <w:t>ategorías encontradas sobre los constructos del estudio</w:t>
      </w:r>
    </w:p>
    <w:tbl>
      <w:tblPr>
        <w:tblStyle w:val="a"/>
        <w:tblpPr w:leftFromText="180" w:rightFromText="180" w:topFromText="180" w:bottomFromText="180" w:vertAnchor="text" w:tblpX="-15"/>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9"/>
        <w:gridCol w:w="6246"/>
      </w:tblGrid>
      <w:tr w:rsidR="004232E5" w14:paraId="3AEAF43B" w14:textId="77777777">
        <w:trPr>
          <w:trHeight w:val="407"/>
        </w:trPr>
        <w:tc>
          <w:tcPr>
            <w:tcW w:w="2769" w:type="dxa"/>
            <w:tcBorders>
              <w:left w:val="single" w:sz="8" w:space="0" w:color="FFFFFF"/>
              <w:right w:val="single" w:sz="8" w:space="0" w:color="FFFFFF"/>
            </w:tcBorders>
          </w:tcPr>
          <w:p w14:paraId="7A55A315" w14:textId="77777777" w:rsidR="004232E5" w:rsidRDefault="00000000">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Experiencias subjetivas</w:t>
            </w:r>
          </w:p>
        </w:tc>
        <w:tc>
          <w:tcPr>
            <w:tcW w:w="6246" w:type="dxa"/>
            <w:tcBorders>
              <w:left w:val="single" w:sz="8" w:space="0" w:color="FFFFFF"/>
              <w:right w:val="single" w:sz="8" w:space="0" w:color="FFFFFF"/>
            </w:tcBorders>
          </w:tcPr>
          <w:p w14:paraId="425E68E5" w14:textId="77777777" w:rsidR="004232E5" w:rsidRDefault="00000000">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Categorías</w:t>
            </w:r>
          </w:p>
        </w:tc>
      </w:tr>
      <w:tr w:rsidR="004232E5" w14:paraId="312D01FD" w14:textId="77777777">
        <w:trPr>
          <w:trHeight w:val="1080"/>
        </w:trPr>
        <w:tc>
          <w:tcPr>
            <w:tcW w:w="2769" w:type="dxa"/>
            <w:tcBorders>
              <w:left w:val="single" w:sz="8" w:space="0" w:color="FFFFFF"/>
              <w:right w:val="single" w:sz="8" w:space="0" w:color="FFFFFF"/>
            </w:tcBorders>
            <w:shd w:val="clear" w:color="auto" w:fill="auto"/>
            <w:tcMar>
              <w:top w:w="100" w:type="dxa"/>
              <w:left w:w="100" w:type="dxa"/>
              <w:bottom w:w="100" w:type="dxa"/>
              <w:right w:w="100" w:type="dxa"/>
            </w:tcMar>
          </w:tcPr>
          <w:p w14:paraId="62A84982" w14:textId="77777777" w:rsidR="004232E5" w:rsidRDefault="000000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Cosificación de la mujer y la disidencia</w:t>
            </w:r>
          </w:p>
        </w:tc>
        <w:tc>
          <w:tcPr>
            <w:tcW w:w="6246" w:type="dxa"/>
            <w:tcBorders>
              <w:left w:val="single" w:sz="8" w:space="0" w:color="FFFFFF"/>
              <w:right w:val="single" w:sz="8" w:space="0" w:color="FFFFFF"/>
            </w:tcBorders>
            <w:shd w:val="clear" w:color="auto" w:fill="auto"/>
            <w:tcMar>
              <w:top w:w="100" w:type="dxa"/>
              <w:left w:w="100" w:type="dxa"/>
              <w:bottom w:w="100" w:type="dxa"/>
              <w:right w:w="100" w:type="dxa"/>
            </w:tcMar>
          </w:tcPr>
          <w:p w14:paraId="6D18E467" w14:textId="77777777" w:rsidR="004232E5" w:rsidRDefault="00000000">
            <w:pPr>
              <w:widowControl w:v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cosificación desde el nacimiento </w:t>
            </w:r>
          </w:p>
          <w:p w14:paraId="6EFF3E00" w14:textId="77777777" w:rsidR="004232E5" w:rsidRDefault="00000000">
            <w:pPr>
              <w:widowControl w:v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hipersexualización de las mujeres disidentes</w:t>
            </w:r>
          </w:p>
          <w:p w14:paraId="50FA6622" w14:textId="77777777" w:rsidR="004232E5" w:rsidRDefault="00000000">
            <w:pPr>
              <w:widowControl w:v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responsabilización de la mujer en su trato como </w:t>
            </w:r>
            <w:r>
              <w:rPr>
                <w:rFonts w:ascii="Times New Roman" w:eastAsia="Times New Roman" w:hAnsi="Times New Roman" w:cs="Times New Roman"/>
                <w:i/>
                <w:sz w:val="24"/>
                <w:szCs w:val="24"/>
              </w:rPr>
              <w:t>objeto sexual</w:t>
            </w:r>
          </w:p>
        </w:tc>
      </w:tr>
      <w:tr w:rsidR="004232E5" w14:paraId="38C6E0BD" w14:textId="77777777">
        <w:trPr>
          <w:trHeight w:val="496"/>
        </w:trPr>
        <w:tc>
          <w:tcPr>
            <w:tcW w:w="2769" w:type="dxa"/>
            <w:tcBorders>
              <w:left w:val="single" w:sz="8" w:space="0" w:color="FFFFFF"/>
              <w:right w:val="single" w:sz="8" w:space="0" w:color="FFFFFF"/>
            </w:tcBorders>
          </w:tcPr>
          <w:p w14:paraId="26B2265F" w14:textId="77777777" w:rsidR="004232E5" w:rsidRDefault="000000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Violencia homofóbica y contra la mujer</w:t>
            </w:r>
          </w:p>
          <w:p w14:paraId="1B76CDBA" w14:textId="77777777" w:rsidR="004232E5" w:rsidRDefault="004232E5">
            <w:pPr>
              <w:widowControl w:val="0"/>
              <w:spacing w:line="360" w:lineRule="auto"/>
              <w:ind w:right="41"/>
              <w:rPr>
                <w:rFonts w:ascii="Times New Roman" w:eastAsia="Times New Roman" w:hAnsi="Times New Roman" w:cs="Times New Roman"/>
                <w:sz w:val="24"/>
                <w:szCs w:val="24"/>
              </w:rPr>
            </w:pPr>
          </w:p>
        </w:tc>
        <w:tc>
          <w:tcPr>
            <w:tcW w:w="6246" w:type="dxa"/>
            <w:tcBorders>
              <w:left w:val="single" w:sz="8" w:space="0" w:color="FFFFFF"/>
              <w:right w:val="single" w:sz="8" w:space="0" w:color="FFFFFF"/>
            </w:tcBorders>
          </w:tcPr>
          <w:p w14:paraId="37BF096D" w14:textId="77777777" w:rsidR="004232E5" w:rsidRDefault="00000000">
            <w:pPr>
              <w:widowControl w:val="0"/>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lesbofobia y bifobia</w:t>
            </w:r>
          </w:p>
          <w:p w14:paraId="36D95E8F" w14:textId="77777777" w:rsidR="004232E5" w:rsidRDefault="00000000">
            <w:pPr>
              <w:widowControl w:val="0"/>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violencia explícita ligada al reconocimiento del sexo y orientación sexual</w:t>
            </w:r>
          </w:p>
          <w:p w14:paraId="4C0D641F" w14:textId="77777777" w:rsidR="004232E5" w:rsidRDefault="00000000">
            <w:pPr>
              <w:widowControl w:val="0"/>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familia como agente coercitivo</w:t>
            </w:r>
          </w:p>
        </w:tc>
      </w:tr>
    </w:tbl>
    <w:p w14:paraId="40A88695" w14:textId="77777777" w:rsidR="004232E5" w:rsidRDefault="00000000">
      <w:pPr>
        <w:widowControl w:val="0"/>
        <w:spacing w:line="360" w:lineRule="auto"/>
        <w:ind w:right="149"/>
        <w:rPr>
          <w:rFonts w:ascii="Times New Roman" w:eastAsia="Times New Roman" w:hAnsi="Times New Roman" w:cs="Times New Roman"/>
          <w:sz w:val="24"/>
          <w:szCs w:val="24"/>
        </w:rPr>
      </w:pPr>
      <w:r>
        <w:rPr>
          <w:rFonts w:ascii="Times New Roman" w:eastAsia="Times New Roman" w:hAnsi="Times New Roman" w:cs="Times New Roman"/>
        </w:rPr>
        <w:t xml:space="preserve"> </w:t>
      </w:r>
    </w:p>
    <w:p w14:paraId="1C3FC664" w14:textId="77777777" w:rsidR="004232E5" w:rsidRDefault="00000000">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Cosificación de la mujer</w:t>
      </w:r>
    </w:p>
    <w:p w14:paraId="55AAB003" w14:textId="77777777" w:rsidR="004232E5" w:rsidRDefault="000000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Todas las participantes concordaron en que la cosificación es una experiencia transversal para las mujeres y que ocurre de manera inevitable desde el reconocimiento de su </w:t>
      </w:r>
      <w:r>
        <w:rPr>
          <w:rFonts w:ascii="Times New Roman" w:eastAsia="Times New Roman" w:hAnsi="Times New Roman" w:cs="Times New Roman"/>
          <w:sz w:val="24"/>
          <w:szCs w:val="24"/>
        </w:rPr>
        <w:lastRenderedPageBreak/>
        <w:t>sexo. De esta manera, las mujeres lesbianas se refirieron a la categoría mujer como socialmente descrita desde aspectos corporales con connotación sexual, mientras que las mujeres bisexuales recalcaron a la mujer como reducida a un objeto de placer. De esta manera, la mujer sería descrita socialmente como ‘algo’ cuyo fin es la satisfacción. Se hace mención, con ello, a la deshumanización:</w:t>
      </w:r>
    </w:p>
    <w:p w14:paraId="102F3A16" w14:textId="19722EF8" w:rsidR="004232E5" w:rsidRDefault="00000000">
      <w:pPr>
        <w:widowControl w:val="0"/>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sé si como discriminación directamente, pero siento que es muy caleta el tema de que, por ejemplo, a las mujeres se les ve como objetivos, como la flor que es un objeto ¿no? O sea, no se les toma como personas sino como algo… es más, están esos típicos hombres que nos ven como una flor en su vida… (Liliana, 21 años, </w:t>
      </w:r>
      <w:r w:rsidR="004342CC">
        <w:rPr>
          <w:rFonts w:ascii="Times New Roman" w:eastAsia="Times New Roman" w:hAnsi="Times New Roman" w:cs="Times New Roman"/>
          <w:sz w:val="24"/>
          <w:szCs w:val="24"/>
        </w:rPr>
        <w:t>bisexual, en</w:t>
      </w:r>
      <w:r>
        <w:rPr>
          <w:rFonts w:ascii="Times New Roman" w:eastAsia="Times New Roman" w:hAnsi="Times New Roman" w:cs="Times New Roman"/>
          <w:sz w:val="24"/>
          <w:szCs w:val="24"/>
        </w:rPr>
        <w:t xml:space="preserve"> pareja).</w:t>
      </w:r>
    </w:p>
    <w:p w14:paraId="7ED40D0B" w14:textId="77777777" w:rsidR="004232E5" w:rsidRDefault="00000000">
      <w:pPr>
        <w:widowControl w:val="0"/>
        <w:spacing w:line="360" w:lineRule="auto"/>
        <w:ind w:right="8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reducción de la mujer a un objeto sexual se consolidaría de diferentes formas según sus propias características identitarias. Así, en cuanto a </w:t>
      </w:r>
      <w:r>
        <w:rPr>
          <w:rFonts w:ascii="Times New Roman" w:eastAsia="Times New Roman" w:hAnsi="Times New Roman" w:cs="Times New Roman"/>
          <w:i/>
          <w:sz w:val="24"/>
          <w:szCs w:val="24"/>
        </w:rPr>
        <w:t>la hipersexualización de las mujeres disidentes</w:t>
      </w:r>
      <w:r>
        <w:rPr>
          <w:rFonts w:ascii="Times New Roman" w:eastAsia="Times New Roman" w:hAnsi="Times New Roman" w:cs="Times New Roman"/>
          <w:sz w:val="24"/>
          <w:szCs w:val="24"/>
        </w:rPr>
        <w:t xml:space="preserve">, las participantes concordaron en la existencia de una fantasía sexual masculina que reduce la orientación sexual a una connotación erótica, y que conlleva el uso de su sexualidad como fuente de entretenimiento. Asimismo, señalaron que las relaciones entre mujeres son vistas desde el fetichismo, en eventos sociales o desde la pornografía, lo que condiciona su inclusión según la manera en que pueden ser cosificadas. Mientras que las mujeres bisexuales documentaron mayores experiencias de la hipersexualización como propuestas sexuales de hombres, las mujeres lesbianas recalcaron el uso del material pornográfico para la </w:t>
      </w:r>
      <w:proofErr w:type="spellStart"/>
      <w:r>
        <w:rPr>
          <w:rFonts w:ascii="Times New Roman" w:eastAsia="Times New Roman" w:hAnsi="Times New Roman" w:cs="Times New Roman"/>
          <w:sz w:val="24"/>
          <w:szCs w:val="24"/>
        </w:rPr>
        <w:t>fetichización</w:t>
      </w:r>
      <w:proofErr w:type="spellEnd"/>
      <w:r>
        <w:rPr>
          <w:rFonts w:ascii="Times New Roman" w:eastAsia="Times New Roman" w:hAnsi="Times New Roman" w:cs="Times New Roman"/>
          <w:sz w:val="24"/>
          <w:szCs w:val="24"/>
        </w:rPr>
        <w:t xml:space="preserve"> de interacciones públicas entre mujeres:</w:t>
      </w:r>
    </w:p>
    <w:p w14:paraId="280561E6" w14:textId="729DA7D4" w:rsidR="004232E5" w:rsidRDefault="00000000">
      <w:pPr>
        <w:widowControl w:val="0"/>
        <w:spacing w:line="360" w:lineRule="auto"/>
        <w:ind w:left="720"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creo que la pornografía hace que </w:t>
      </w:r>
      <w:proofErr w:type="spellStart"/>
      <w:r>
        <w:rPr>
          <w:rFonts w:ascii="Times New Roman" w:eastAsia="Times New Roman" w:hAnsi="Times New Roman" w:cs="Times New Roman"/>
          <w:sz w:val="24"/>
          <w:szCs w:val="24"/>
        </w:rPr>
        <w:t>que</w:t>
      </w:r>
      <w:proofErr w:type="spellEnd"/>
      <w:r>
        <w:rPr>
          <w:rFonts w:ascii="Times New Roman" w:eastAsia="Times New Roman" w:hAnsi="Times New Roman" w:cs="Times New Roman"/>
          <w:sz w:val="24"/>
          <w:szCs w:val="24"/>
        </w:rPr>
        <w:t xml:space="preserve"> casi todo el tiempo estén a la expectativa de cómo tú te ves con una chica, de que, como te dije antes, aceptes tríos o de que todo el tiempo quieran saber cómo vives tu vida sexual. Incluso en el trabajo en el que estuve la última vez… llegaron a preguntarme “Ah, pero cómo lo hacen </w:t>
      </w:r>
      <w:r w:rsidR="004342CC">
        <w:rPr>
          <w:rFonts w:ascii="Times New Roman" w:eastAsia="Times New Roman" w:hAnsi="Times New Roman" w:cs="Times New Roman"/>
          <w:sz w:val="24"/>
          <w:szCs w:val="24"/>
        </w:rPr>
        <w:t>las lesbianas</w:t>
      </w:r>
      <w:r>
        <w:rPr>
          <w:rFonts w:ascii="Times New Roman" w:eastAsia="Times New Roman" w:hAnsi="Times New Roman" w:cs="Times New Roman"/>
          <w:sz w:val="24"/>
          <w:szCs w:val="24"/>
        </w:rPr>
        <w:t xml:space="preserve"> y eso” y yo lastimosamente les respondí que ya tenían bastantes páginas, pues como para saber cómo podrían hacerlo [</w:t>
      </w:r>
      <w:r w:rsidR="004342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están todo el tiempo fijándose, en qué te parece a ti atractivo en lo sexual y luego a espaldas tuyas se empiezan a dar de fetichistas. Bueno, como que empiezan a tener fetiches contigo… (Carla, 21 años, lesbiana, en pareja).</w:t>
      </w:r>
    </w:p>
    <w:p w14:paraId="7189749E" w14:textId="77777777" w:rsidR="004232E5" w:rsidRDefault="00000000">
      <w:pPr>
        <w:widowControl w:val="0"/>
        <w:spacing w:line="360" w:lineRule="auto"/>
        <w:ind w:left="720"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Te miran y dicen “Ah ¿en serio? a ver darle un beso a esta chica” entonces como que te agarraban de diversión, de entretenimiento ¿no?” (Verónica, 23 años, bisexual, en pareja).</w:t>
      </w:r>
    </w:p>
    <w:p w14:paraId="414BB6DA" w14:textId="77777777" w:rsidR="004232E5" w:rsidRDefault="00000000">
      <w:pPr>
        <w:widowControl w:val="0"/>
        <w:spacing w:line="360" w:lineRule="auto"/>
        <w:ind w:right="91"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estas experiencias devienen con la responsabilidad atribuida a las mujeres sobre su cosificación. Así, las participantes mencionaron haber vivenciado la </w:t>
      </w:r>
      <w:r>
        <w:rPr>
          <w:rFonts w:ascii="Times New Roman" w:eastAsia="Times New Roman" w:hAnsi="Times New Roman" w:cs="Times New Roman"/>
          <w:i/>
          <w:sz w:val="24"/>
          <w:szCs w:val="24"/>
        </w:rPr>
        <w:lastRenderedPageBreak/>
        <w:t>responsabilización de la mujer en su trato como objeto sexual</w:t>
      </w:r>
      <w:r>
        <w:rPr>
          <w:rFonts w:ascii="Times New Roman" w:eastAsia="Times New Roman" w:hAnsi="Times New Roman" w:cs="Times New Roman"/>
          <w:sz w:val="24"/>
          <w:szCs w:val="24"/>
        </w:rPr>
        <w:t xml:space="preserve">. Pese al rechazo explícito que enuncian las participantes frente a la cosificación, han concordado en que se les configura como agentes que lo promueven. Con ello, las mujeres lesbianas resaltaron que los intentos de evitar ser vistas como objetos sexuales son irrelevantes frente al sistema ya establecido de la imposición masculina. </w:t>
      </w:r>
    </w:p>
    <w:p w14:paraId="10B2A0CA" w14:textId="77777777" w:rsidR="004232E5" w:rsidRDefault="00000000">
      <w:pPr>
        <w:widowControl w:val="0"/>
        <w:spacing w:line="360" w:lineRule="auto"/>
        <w:ind w:left="720"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Igual te delimitan un montón, como a los espacios de juego también, como las niñas… íbamos en falda, era como “no puedes jugar mucho, no puedes saltar mucho porque sí, sino te van a ver y vas a distraer a tus compañeros”. Era como que teníamos 11 años y eso también afecta un montón, porque empiezas a reprimirte” (Sofía, 21 años, lesbiana, soltera). </w:t>
      </w:r>
    </w:p>
    <w:p w14:paraId="2FCF25D3" w14:textId="77777777" w:rsidR="004232E5" w:rsidRDefault="00000000">
      <w:pPr>
        <w:widowControl w:val="0"/>
        <w:spacing w:line="360" w:lineRule="auto"/>
        <w:ind w:left="720"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Cada vez que hay gente que lo niega y que dice como que no, sabes, es la ropa o es el maquillaje, o es cómo se desenvuelven en la sociedad cuando la realidad es totalmente diferente [...] Y lo peor era que, que, aun así, intentando que no se viera nada y haciendo todo lo posible para evitar ese tipo de comportamientos,  había veces en las que pasaba que yo, de camino al colegio, veía como un taxista se paraba y me gritaba cosas que una niña de mi edad no debería escuchar, como que ‘qué rica’ así...  (Flor, 19 años, lesbiana, soltera).</w:t>
      </w:r>
    </w:p>
    <w:p w14:paraId="38EACB39" w14:textId="77777777" w:rsidR="004232E5" w:rsidRDefault="004232E5">
      <w:pPr>
        <w:widowControl w:val="0"/>
        <w:spacing w:line="360" w:lineRule="auto"/>
        <w:ind w:left="720" w:right="91"/>
        <w:rPr>
          <w:rFonts w:ascii="Times New Roman" w:eastAsia="Times New Roman" w:hAnsi="Times New Roman" w:cs="Times New Roman"/>
          <w:sz w:val="24"/>
          <w:szCs w:val="24"/>
        </w:rPr>
      </w:pPr>
    </w:p>
    <w:p w14:paraId="22830CB2" w14:textId="77777777" w:rsidR="004232E5" w:rsidRDefault="00000000">
      <w:pPr>
        <w:widowControl w:val="0"/>
        <w:spacing w:line="360" w:lineRule="auto"/>
        <w:ind w:right="92"/>
        <w:rPr>
          <w:rFonts w:ascii="Times New Roman" w:eastAsia="Times New Roman" w:hAnsi="Times New Roman" w:cs="Times New Roman"/>
          <w:b/>
          <w:sz w:val="24"/>
          <w:szCs w:val="24"/>
        </w:rPr>
      </w:pPr>
      <w:r>
        <w:rPr>
          <w:rFonts w:ascii="Times New Roman" w:eastAsia="Times New Roman" w:hAnsi="Times New Roman" w:cs="Times New Roman"/>
          <w:b/>
          <w:sz w:val="24"/>
          <w:szCs w:val="24"/>
        </w:rPr>
        <w:t>Violencia contra la mujer</w:t>
      </w:r>
    </w:p>
    <w:p w14:paraId="188ACAFA" w14:textId="77777777" w:rsidR="004232E5" w:rsidRDefault="00000000">
      <w:pPr>
        <w:widowControl w:val="0"/>
        <w:spacing w:line="360" w:lineRule="auto"/>
        <w:ind w:right="91"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Sobre la lesbofobia y bifobia, esta se representa desde la invalidación de la sexualidad y el castigo discursivo frente a la disidencia. Por un lado, las mujeres bisexuales destacaron la invalidación de su orientación sexual tanto fuera como dentro de la comunidad LGBTIAQ+, la cual estaría vinculada a prejuicios sobre la legitimidad de la bisexualidad. Por otro lado, las mujeres lesbianas destacaron la demonización de la sexualidad diversa y la pérdida de oportunidades por la disidencia. Con ello, las participantes concordaron en que el contexto peruano conservador construye a las mujeres disidentes como un tabú, con poca representatividad social y atribuciones peyorativas:</w:t>
      </w:r>
    </w:p>
    <w:p w14:paraId="1F99A925" w14:textId="77777777" w:rsidR="004232E5" w:rsidRDefault="00000000">
      <w:pPr>
        <w:widowControl w:val="0"/>
        <w:spacing w:line="360" w:lineRule="auto"/>
        <w:ind w:left="720"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Perú es un país altamente homofóbico y eso de que la bisexualidad, como lo habíamos ido conversando, que hay personas que lo tratan como si fuera una fase o estar entre el Limbo… como que hay, como que se está “experimentando”, puntualmente esa palabra, experimentando con mujeres y de ahí ya se regresa a la ‘normalidad’ qué es estar con hombres… (Mary, 21 años, bisexual, soltera).</w:t>
      </w:r>
    </w:p>
    <w:p w14:paraId="64FABF7D" w14:textId="77777777" w:rsidR="004232E5" w:rsidRDefault="00000000">
      <w:pPr>
        <w:widowControl w:val="0"/>
        <w:spacing w:line="360" w:lineRule="auto"/>
        <w:ind w:left="720"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 familia era híper católica y conservadora, pero me invitaban mucho a cenar y ese tema justamente era como, era como un tabú. Ni siquiera mencionaron a las personas </w:t>
      </w:r>
      <w:r>
        <w:rPr>
          <w:rFonts w:ascii="Times New Roman" w:eastAsia="Times New Roman" w:hAnsi="Times New Roman" w:cs="Times New Roman"/>
          <w:sz w:val="24"/>
          <w:szCs w:val="24"/>
        </w:rPr>
        <w:lastRenderedPageBreak/>
        <w:t>homosexuales o bisexuales o lo que sea. Solamente existen los heterosexuales. En mi mente, en mi familia [...] (Sofía, 21 años, lesbiana, soltera).</w:t>
      </w:r>
    </w:p>
    <w:p w14:paraId="02911075" w14:textId="77777777" w:rsidR="004232E5" w:rsidRDefault="00000000">
      <w:pPr>
        <w:widowControl w:val="0"/>
        <w:spacing w:line="360" w:lineRule="auto"/>
        <w:ind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 la mano con el rechazo social, la </w:t>
      </w:r>
      <w:r>
        <w:rPr>
          <w:rFonts w:ascii="Times New Roman" w:eastAsia="Times New Roman" w:hAnsi="Times New Roman" w:cs="Times New Roman"/>
          <w:i/>
          <w:sz w:val="24"/>
          <w:szCs w:val="24"/>
        </w:rPr>
        <w:t xml:space="preserve">violencia explícita ligada al reconocimiento de la disidencia </w:t>
      </w:r>
      <w:r>
        <w:rPr>
          <w:rFonts w:ascii="Times New Roman" w:eastAsia="Times New Roman" w:hAnsi="Times New Roman" w:cs="Times New Roman"/>
          <w:sz w:val="24"/>
          <w:szCs w:val="24"/>
        </w:rPr>
        <w:t>fue construida por las participantes a partir de experiencias personales. Así, mencionaron que la violencia se experimenta desde la amenaza verbal y psicológica y la discriminación de mujeres disidentes del espacio público y privado. Estas narrativas serían comunes a mujeres lesbianas y bisexuales que han sido públicas en sus vínculos con otras mujeres, y fueron mencionadas de manera más frecuente por mujeres lesbianas. Así, el descubrimiento de la orientación sexual diversa conllevaría a consecuencias sociales punitivas de exclusión:</w:t>
      </w:r>
    </w:p>
    <w:p w14:paraId="1230F727" w14:textId="77777777" w:rsidR="004232E5" w:rsidRDefault="00000000">
      <w:pPr>
        <w:widowControl w:val="0"/>
        <w:spacing w:line="360" w:lineRule="auto"/>
        <w:ind w:left="720"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Te dicen “te voy a sacar la puta madre, qué asco” y cosas así… y más es molesto porque son estos mismos hombres los que consumen un montón de contenido donde sexualizan a las lesbianas y siempre y cuando sea con, o sea, para que ellos lo consuman, todo bien. Pero cuando vean la realidad y es algo que se da sin necesidad de que haya esta vista sexual se ofenden muchísimo y es inválido y un montón de cosas. No es justo. [...] dos hombres se acercaron queriendo invitarnos a su casa y llevarnos y fueron muy insistentes y obviamente ella se negó. Y bueno, ahí fue donde nos empezaron a insultar, dije “</w:t>
      </w:r>
      <w:proofErr w:type="spellStart"/>
      <w:r>
        <w:rPr>
          <w:rFonts w:ascii="Times New Roman" w:eastAsia="Times New Roman" w:hAnsi="Times New Roman" w:cs="Times New Roman"/>
          <w:sz w:val="24"/>
          <w:szCs w:val="24"/>
        </w:rPr>
        <w:t>wow</w:t>
      </w:r>
      <w:proofErr w:type="spellEnd"/>
      <w:r>
        <w:rPr>
          <w:rFonts w:ascii="Times New Roman" w:eastAsia="Times New Roman" w:hAnsi="Times New Roman" w:cs="Times New Roman"/>
          <w:sz w:val="24"/>
          <w:szCs w:val="24"/>
        </w:rPr>
        <w:t>, o sea, incluso por estar en la calle con mi amiga no puedo estar segura”. (Carla, 21 años, lesbiana, en pareja).</w:t>
      </w:r>
    </w:p>
    <w:p w14:paraId="7B8651CF" w14:textId="77777777" w:rsidR="004232E5" w:rsidRDefault="00000000">
      <w:pPr>
        <w:widowControl w:val="0"/>
        <w:spacing w:line="360" w:lineRule="auto"/>
        <w:ind w:right="14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la representación de violencia más recurrente fue dentro de la familia. Así, específicamente para mujeres lesbianas, se consolidó a </w:t>
      </w:r>
      <w:r>
        <w:rPr>
          <w:rFonts w:ascii="Times New Roman" w:eastAsia="Times New Roman" w:hAnsi="Times New Roman" w:cs="Times New Roman"/>
          <w:i/>
          <w:sz w:val="24"/>
          <w:szCs w:val="24"/>
        </w:rPr>
        <w:t xml:space="preserve">la familia como agente coercitivo, </w:t>
      </w:r>
      <w:r>
        <w:rPr>
          <w:rFonts w:ascii="Times New Roman" w:eastAsia="Times New Roman" w:hAnsi="Times New Roman" w:cs="Times New Roman"/>
          <w:sz w:val="24"/>
          <w:szCs w:val="24"/>
        </w:rPr>
        <w:t>a partir de la pérdida de privilegios vinculados al apoyo económico y la vivienda, llegando incluso a las amenazas de muerte. Asimismo, se expresa la necesidad de salvaguardar estos privilegios, evitando la divulgación de su sexualidad:</w:t>
      </w:r>
    </w:p>
    <w:p w14:paraId="6AFD5D58" w14:textId="77777777" w:rsidR="004232E5" w:rsidRDefault="00000000">
      <w:pPr>
        <w:widowControl w:val="0"/>
        <w:spacing w:line="360" w:lineRule="auto"/>
        <w:ind w:left="720" w:right="149"/>
        <w:rPr>
          <w:rFonts w:ascii="Times New Roman" w:eastAsia="Times New Roman" w:hAnsi="Times New Roman" w:cs="Times New Roman"/>
          <w:sz w:val="24"/>
          <w:szCs w:val="24"/>
        </w:rPr>
      </w:pPr>
      <w:r>
        <w:rPr>
          <w:rFonts w:ascii="Times New Roman" w:eastAsia="Times New Roman" w:hAnsi="Times New Roman" w:cs="Times New Roman"/>
          <w:sz w:val="24"/>
          <w:szCs w:val="24"/>
        </w:rPr>
        <w:t>Mi papá me vio y me acusó de haber visto algo que nunca había visto, besándome con una amiga mía en mi propia casa. Me insultó una vez, me amenazó con quitarme el pasaporte, dejar de darme dinero. Él sólo me miró y me dijo algo así como que “si tú vas a pasar por ese estilo de vida, de mí no vuelves a saber porque si yo lo veo, lo que me desgracia la vida”. (Sofía, 21 años, lesbiana, soltera).</w:t>
      </w:r>
    </w:p>
    <w:p w14:paraId="14F2EF6F" w14:textId="77777777" w:rsidR="004232E5" w:rsidRDefault="00000000">
      <w:pPr>
        <w:widowControl w:val="0"/>
        <w:spacing w:line="360" w:lineRule="auto"/>
        <w:ind w:left="720" w:right="1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 mi familia, o sea, me he sentido muy insegura, diría que también en peligro respecto a mis tíos. Tengo tíos muy homofóbicos, pero en el sentido de que los quieren ver muertos (Flor, </w:t>
      </w:r>
      <w:proofErr w:type="gramStart"/>
      <w:r>
        <w:rPr>
          <w:rFonts w:ascii="Times New Roman" w:eastAsia="Times New Roman" w:hAnsi="Times New Roman" w:cs="Times New Roman"/>
          <w:sz w:val="24"/>
          <w:szCs w:val="24"/>
        </w:rPr>
        <w:t>19  años</w:t>
      </w:r>
      <w:proofErr w:type="gramEnd"/>
      <w:r>
        <w:rPr>
          <w:rFonts w:ascii="Times New Roman" w:eastAsia="Times New Roman" w:hAnsi="Times New Roman" w:cs="Times New Roman"/>
          <w:sz w:val="24"/>
          <w:szCs w:val="24"/>
        </w:rPr>
        <w:t>, lesbiana).</w:t>
      </w:r>
    </w:p>
    <w:p w14:paraId="46D82F8B" w14:textId="77777777" w:rsidR="004232E5" w:rsidRDefault="004232E5">
      <w:pPr>
        <w:widowControl w:val="0"/>
        <w:spacing w:line="360" w:lineRule="auto"/>
        <w:ind w:right="96"/>
        <w:rPr>
          <w:rFonts w:ascii="Times New Roman" w:eastAsia="Times New Roman" w:hAnsi="Times New Roman" w:cs="Times New Roman"/>
          <w:sz w:val="24"/>
          <w:szCs w:val="24"/>
        </w:rPr>
      </w:pPr>
    </w:p>
    <w:p w14:paraId="6EA4C681" w14:textId="77777777" w:rsidR="004232E5" w:rsidRDefault="00000000">
      <w:pPr>
        <w:pStyle w:val="Ttulo1"/>
        <w:widowControl w:val="0"/>
        <w:ind w:right="92"/>
        <w:jc w:val="center"/>
      </w:pPr>
      <w:bookmarkStart w:id="15" w:name="_tj5mulwb7mjg" w:colFirst="0" w:colLast="0"/>
      <w:bookmarkEnd w:id="15"/>
      <w:r>
        <w:lastRenderedPageBreak/>
        <w:t>Discusión</w:t>
      </w:r>
    </w:p>
    <w:p w14:paraId="426028FE" w14:textId="77777777" w:rsidR="004232E5" w:rsidRDefault="00000000">
      <w:pPr>
        <w:widowControl w:val="0"/>
        <w:spacing w:line="360" w:lineRule="auto"/>
        <w:ind w:right="92"/>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Los resultados señalaron respuestas vinculadas a la cosificación de la mujer, la </w:t>
      </w:r>
      <w:proofErr w:type="spellStart"/>
      <w:r>
        <w:rPr>
          <w:rFonts w:ascii="Times New Roman" w:eastAsia="Times New Roman" w:hAnsi="Times New Roman" w:cs="Times New Roman"/>
          <w:sz w:val="24"/>
          <w:szCs w:val="24"/>
        </w:rPr>
        <w:t>fetichización</w:t>
      </w:r>
      <w:proofErr w:type="spellEnd"/>
      <w:r>
        <w:rPr>
          <w:rFonts w:ascii="Times New Roman" w:eastAsia="Times New Roman" w:hAnsi="Times New Roman" w:cs="Times New Roman"/>
          <w:sz w:val="24"/>
          <w:szCs w:val="24"/>
        </w:rPr>
        <w:t xml:space="preserve"> y las formas de violencia homofóbica ejercidas frente a la disidencia, ya sea en el entorno público como en el entorno privado. Estos resultados resaltan formas de inclusión y exclusión que son punitivas y se encuentran condicionadas al entorno.</w:t>
      </w:r>
    </w:p>
    <w:p w14:paraId="7E1161ED"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las experiencias de las participantes, la cosificación ocurre ligada al reconocimiento del sexo, el género y las características corporales que se asocian a lo ‘femenino’ o la ‘mujer’, llegando hasta su reducción como objeto sexual. Esto sería congruente con la construcción social de ‘la mujer’, que implicaría la sexualización irremediable del cuerpo y la identidad (Verdú, 2018). Tanto Alonso (2018) como López et al. (2018) concluyen en que la mujer es vista como un objeto de satisfacción para los hombres, cuyo fin es la procreación y el placer. Así, se consolida a la cosificación como un evento que ocurre de manera inevitable e independiente de la apariencia, grupo etario o características identitarias (Cobo, 2015). Las mujeres disidentes también reconocen la presencia de este discurso y las maneras en que se consolida en el imaginario social. </w:t>
      </w:r>
    </w:p>
    <w:p w14:paraId="7BE6B023"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las participantes resaltaron que esta cosificación se acentúa según características identitarias, como la orientación sexual. Así, enunciaron la fantasía masculina como un móvil para el uso de su sexualidad para fines recreativos, tanto de entretenimiento social como pornográfico. La </w:t>
      </w:r>
      <w:r>
        <w:rPr>
          <w:rFonts w:ascii="Times New Roman" w:eastAsia="Times New Roman" w:hAnsi="Times New Roman" w:cs="Times New Roman"/>
          <w:i/>
          <w:sz w:val="24"/>
          <w:szCs w:val="24"/>
        </w:rPr>
        <w:t>fantasía masculina</w:t>
      </w:r>
      <w:r>
        <w:rPr>
          <w:rFonts w:ascii="Times New Roman" w:eastAsia="Times New Roman" w:hAnsi="Times New Roman" w:cs="Times New Roman"/>
          <w:sz w:val="24"/>
          <w:szCs w:val="24"/>
        </w:rPr>
        <w:t xml:space="preserve"> se refiere a la construcción de ‘satisfacer a los hombres’ como una necesidad por parte de las mujeres (Martínez, 2002); es decir, se asume que las mujeres poseen como necesidad la satisfacción masculina. Asimismo, </w:t>
      </w:r>
      <w:proofErr w:type="spellStart"/>
      <w:r>
        <w:rPr>
          <w:rFonts w:ascii="Times New Roman" w:eastAsia="Times New Roman" w:hAnsi="Times New Roman" w:cs="Times New Roman"/>
          <w:sz w:val="24"/>
          <w:szCs w:val="24"/>
        </w:rPr>
        <w:t>Becognée</w:t>
      </w:r>
      <w:proofErr w:type="spellEnd"/>
      <w:r>
        <w:rPr>
          <w:rFonts w:ascii="Times New Roman" w:eastAsia="Times New Roman" w:hAnsi="Times New Roman" w:cs="Times New Roman"/>
          <w:sz w:val="24"/>
          <w:szCs w:val="24"/>
        </w:rPr>
        <w:t xml:space="preserve"> (2021) enuncia que la pornografía sostiene imaginarios artificiales sobre el cuerpo y las dinámicas de poder en los encuentros sexuales. Esto implica construcciones no representativas sobre el homoerotismo lésbico (Gutiérrez, 2021), que alimenta la fantasía masculina de que estos encuentros están hechos para su entretenimiento. </w:t>
      </w:r>
    </w:p>
    <w:p w14:paraId="5C003642"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mención de “deshumanización” y “fetichismo” como parte de la cosificación de minorías sexuales es congruente con los resultados de </w:t>
      </w:r>
      <w:proofErr w:type="spellStart"/>
      <w:r>
        <w:rPr>
          <w:rFonts w:ascii="Times New Roman" w:eastAsia="Times New Roman" w:hAnsi="Times New Roman" w:cs="Times New Roman"/>
          <w:sz w:val="24"/>
          <w:szCs w:val="24"/>
        </w:rPr>
        <w:t>Serpe</w:t>
      </w:r>
      <w:proofErr w:type="spellEnd"/>
      <w:r>
        <w:rPr>
          <w:rFonts w:ascii="Times New Roman" w:eastAsia="Times New Roman" w:hAnsi="Times New Roman" w:cs="Times New Roman"/>
          <w:sz w:val="24"/>
          <w:szCs w:val="24"/>
        </w:rPr>
        <w:t xml:space="preserve"> et al. (2020) sobre la cosificación y discriminación en mujeres bisexuales. Sus hallazgos resaltan a la comunidad de mujeres bisexuales como objetos de deseo sin autonomía. Así, el modelo de </w:t>
      </w:r>
      <w:proofErr w:type="spellStart"/>
      <w:r>
        <w:rPr>
          <w:rFonts w:ascii="Times New Roman" w:eastAsia="Times New Roman" w:hAnsi="Times New Roman" w:cs="Times New Roman"/>
          <w:sz w:val="24"/>
          <w:szCs w:val="24"/>
        </w:rPr>
        <w:t>Moradi</w:t>
      </w:r>
      <w:proofErr w:type="spellEnd"/>
      <w:r>
        <w:rPr>
          <w:rFonts w:ascii="Times New Roman" w:eastAsia="Times New Roman" w:hAnsi="Times New Roman" w:cs="Times New Roman"/>
          <w:sz w:val="24"/>
          <w:szCs w:val="24"/>
        </w:rPr>
        <w:t xml:space="preserve"> y Huang (2008) sobre la deshumanización hace referencia a cómo personas estructuralmente marginalizadas son descritas a partir de discursos discriminatorios que reducen la identidad. </w:t>
      </w:r>
    </w:p>
    <w:p w14:paraId="0F2E7272"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 resalta, con ello, que la cosificación se acompaña de prejuicios y relaciones de poder que pueden perpetuar situaciones de violencia (</w:t>
      </w:r>
      <w:proofErr w:type="spellStart"/>
      <w:r>
        <w:rPr>
          <w:rFonts w:ascii="Times New Roman" w:eastAsia="Times New Roman" w:hAnsi="Times New Roman" w:cs="Times New Roman"/>
          <w:sz w:val="24"/>
          <w:szCs w:val="24"/>
        </w:rPr>
        <w:t>Tebbe</w:t>
      </w:r>
      <w:proofErr w:type="spellEnd"/>
      <w:r>
        <w:rPr>
          <w:rFonts w:ascii="Times New Roman" w:eastAsia="Times New Roman" w:hAnsi="Times New Roman" w:cs="Times New Roman"/>
          <w:sz w:val="24"/>
          <w:szCs w:val="24"/>
        </w:rPr>
        <w:t xml:space="preserve"> et al., 2018); es decir, que la experiencia de cosificación no es descrita de manera aislada, sino que deviene con menciones </w:t>
      </w:r>
      <w:r>
        <w:rPr>
          <w:rFonts w:ascii="Times New Roman" w:eastAsia="Times New Roman" w:hAnsi="Times New Roman" w:cs="Times New Roman"/>
          <w:sz w:val="24"/>
          <w:szCs w:val="24"/>
        </w:rPr>
        <w:lastRenderedPageBreak/>
        <w:t>sobre la ‘deshumanización’, la ‘reducción a un objeto’ y la ‘inequidad’. Esto es congruente con las experiencias de las participantes del estudio, que describen a la cosificación como una forma de restricción e imposición</w:t>
      </w:r>
    </w:p>
    <w:p w14:paraId="03E94B8C" w14:textId="77777777" w:rsidR="004232E5" w:rsidRDefault="00000000">
      <w:pPr>
        <w:widowControl w:val="0"/>
        <w:spacing w:line="360" w:lineRule="auto"/>
        <w:ind w:right="8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encontrado además sostiene la reducción de espacios públicos seguros para las mujeres (Alonso, 2018; </w:t>
      </w:r>
      <w:proofErr w:type="spellStart"/>
      <w:r>
        <w:rPr>
          <w:rFonts w:ascii="Times New Roman" w:eastAsia="Times New Roman" w:hAnsi="Times New Roman" w:cs="Times New Roman"/>
          <w:sz w:val="24"/>
          <w:szCs w:val="24"/>
        </w:rPr>
        <w:t>Carosio</w:t>
      </w:r>
      <w:proofErr w:type="spellEnd"/>
      <w:r>
        <w:rPr>
          <w:rFonts w:ascii="Times New Roman" w:eastAsia="Times New Roman" w:hAnsi="Times New Roman" w:cs="Times New Roman"/>
          <w:sz w:val="24"/>
          <w:szCs w:val="24"/>
        </w:rPr>
        <w:t xml:space="preserve">, 2014), en tanto los eventos indeseados de cosificación ocurrirían en zonas recreativas y públicas. Las mujeres disidentes representan a la cosificación como una experiencia común desde su género y punitiva frente a la expresión de su sexualidad. Asimismo, estos hallazgos son congruentes con los encontrados en el estudio </w:t>
      </w:r>
      <w:proofErr w:type="spellStart"/>
      <w:r>
        <w:rPr>
          <w:rFonts w:ascii="Times New Roman" w:eastAsia="Times New Roman" w:hAnsi="Times New Roman" w:cs="Times New Roman"/>
          <w:sz w:val="24"/>
          <w:szCs w:val="24"/>
        </w:rPr>
        <w:t>Chmielewski</w:t>
      </w:r>
      <w:proofErr w:type="spellEnd"/>
      <w:r>
        <w:rPr>
          <w:rFonts w:ascii="Times New Roman" w:eastAsia="Times New Roman" w:hAnsi="Times New Roman" w:cs="Times New Roman"/>
          <w:sz w:val="24"/>
          <w:szCs w:val="24"/>
        </w:rPr>
        <w:t xml:space="preserve"> (2017) sobre la cosificación de mujeres lesbianas y bisexuales en USA. En estos se resalta la </w:t>
      </w:r>
      <w:proofErr w:type="spellStart"/>
      <w:r>
        <w:rPr>
          <w:rFonts w:ascii="Times New Roman" w:eastAsia="Times New Roman" w:hAnsi="Times New Roman" w:cs="Times New Roman"/>
          <w:sz w:val="24"/>
          <w:szCs w:val="24"/>
        </w:rPr>
        <w:t>fetichización</w:t>
      </w:r>
      <w:proofErr w:type="spellEnd"/>
      <w:r>
        <w:rPr>
          <w:rFonts w:ascii="Times New Roman" w:eastAsia="Times New Roman" w:hAnsi="Times New Roman" w:cs="Times New Roman"/>
          <w:sz w:val="24"/>
          <w:szCs w:val="24"/>
        </w:rPr>
        <w:t xml:space="preserve"> de la sexualidad por parte de hombres cisgénero y cómo las moviliza a limitar sus expresiones en público y ocultar sus vínculos sexoafectivos. </w:t>
      </w:r>
    </w:p>
    <w:p w14:paraId="2803DBF4" w14:textId="77777777" w:rsidR="004232E5" w:rsidRDefault="00000000">
      <w:pPr>
        <w:widowControl w:val="0"/>
        <w:spacing w:line="360" w:lineRule="auto"/>
        <w:ind w:right="89"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Así, las participantes también enfatizaron la responsabilidad atribuida a las mujeres frente a eventos de cosificación, resaltando el carácter intencional con que se les representa. Este hallazgo coincide con lo planteado por Sánchez (2020), pues, si bien la sexualización ocurre por agentes de poder, se reafirma la culpa de las mujeres frente a su cosificación, estableciéndose como un acto androcentrista. Con ello, también se promueve esta idea de intencionalidad, en tanto las mujeres son representadas como objetos cuya autorrealización ocurre con la satisfacción masculina (Fuller, 1996). </w:t>
      </w:r>
    </w:p>
    <w:p w14:paraId="3719EBEB"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Sobre la violencia homofóbica, las experiencias de las participantes resaltaron al rechazo socio afectivo frente a la disidencia como una experiencia común en el contexto peruano, distinguiendo las formas en que se presenta según su orientación sexual. Se consolidó la descripción de la bisexualidad como invalidada e invisibilizada, desde lo cual se configurarían prejuicios vinculados a la promiscuidad y la indecisión.</w:t>
      </w:r>
    </w:p>
    <w:p w14:paraId="787C6CC3"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Estos hallazgos concuerdan con el estudio de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(2019), en el cual se encontró que las mujeres bisexuales, al poder involucrarse en vínculos </w:t>
      </w:r>
      <w:proofErr w:type="spellStart"/>
      <w:r>
        <w:rPr>
          <w:rFonts w:ascii="Times New Roman" w:eastAsia="Times New Roman" w:hAnsi="Times New Roman" w:cs="Times New Roman"/>
          <w:sz w:val="24"/>
          <w:szCs w:val="24"/>
        </w:rPr>
        <w:t>cisheteronormativos</w:t>
      </w:r>
      <w:proofErr w:type="spellEnd"/>
      <w:r>
        <w:rPr>
          <w:rFonts w:ascii="Times New Roman" w:eastAsia="Times New Roman" w:hAnsi="Times New Roman" w:cs="Times New Roman"/>
          <w:sz w:val="24"/>
          <w:szCs w:val="24"/>
        </w:rPr>
        <w:t xml:space="preserve">, son descritas desde prejuicios vinculados a la promiscuidad y la confusión, tanto dentro como fuera de la comunidad LGBT. Estos estereotipos también se promueven en el contexto peruano (CIDH, 2015). Varios autores (Borja, 2021; </w:t>
      </w:r>
      <w:proofErr w:type="spellStart"/>
      <w:r>
        <w:rPr>
          <w:rFonts w:ascii="Times New Roman" w:eastAsia="Times New Roman" w:hAnsi="Times New Roman" w:cs="Times New Roman"/>
          <w:sz w:val="24"/>
          <w:szCs w:val="24"/>
        </w:rPr>
        <w:t>Serpe</w:t>
      </w:r>
      <w:proofErr w:type="spellEnd"/>
      <w:r>
        <w:rPr>
          <w:rFonts w:ascii="Times New Roman" w:eastAsia="Times New Roman" w:hAnsi="Times New Roman" w:cs="Times New Roman"/>
          <w:sz w:val="24"/>
          <w:szCs w:val="24"/>
        </w:rPr>
        <w:t xml:space="preserve"> et al., 2020) ahondan en las dificultades que presentan las personas bisexuales frente al sentido de identidad, en tanto su sexualidad no se concibe como suficiente para las minorías sexuales ni para la heteronormatividad.</w:t>
      </w:r>
    </w:p>
    <w:p w14:paraId="58655F3D"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para las mujeres lesbianas, se resaltó la demonización, haciendo énfasis en la presencia de la culpa religiosa y el miedo a hacer pública la sexualidad en caso esto influya en la obtención de beneficios sociales. La demonización de la disidencia es un hallazgo congruente con lo planteado por Cornejo et al., (2014), en tanto se consolida como </w:t>
      </w:r>
      <w:r>
        <w:rPr>
          <w:rFonts w:ascii="Times New Roman" w:eastAsia="Times New Roman" w:hAnsi="Times New Roman" w:cs="Times New Roman"/>
          <w:sz w:val="24"/>
          <w:szCs w:val="24"/>
        </w:rPr>
        <w:lastRenderedPageBreak/>
        <w:t xml:space="preserve">un discurso utilizado para excluir a grupos sociales no normativos. </w:t>
      </w:r>
      <w:proofErr w:type="spellStart"/>
      <w:r>
        <w:rPr>
          <w:rFonts w:ascii="Times New Roman" w:eastAsia="Times New Roman" w:hAnsi="Times New Roman" w:cs="Times New Roman"/>
          <w:sz w:val="24"/>
          <w:szCs w:val="24"/>
        </w:rPr>
        <w:t>Lefevor</w:t>
      </w:r>
      <w:proofErr w:type="spellEnd"/>
      <w:r>
        <w:rPr>
          <w:rFonts w:ascii="Times New Roman" w:eastAsia="Times New Roman" w:hAnsi="Times New Roman" w:cs="Times New Roman"/>
          <w:sz w:val="24"/>
          <w:szCs w:val="24"/>
        </w:rPr>
        <w:t xml:space="preserve"> et al. (2021) encontró que la religión ha sido históricamente una promotora del prejuicio contra las minorías sexuales, reforzando conductas discriminatorias y afectando en la salud mental y la aceptación propia de la identidad. </w:t>
      </w:r>
    </w:p>
    <w:p w14:paraId="44037E4D"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la religión sostiene discursos estigmatizantes que impactan en la inclusión de las personas disidentes y en la internalización de la homofobia (</w:t>
      </w: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xml:space="preserve"> et al., 2020). Foucault (2016, 2018) indaga en la construcción de los grupos marginalizados, y explica cómo es que la presencia de individuos con características diferentes al imaginario común termina siendo representada de manera punitiva para facilitar su exclusión del </w:t>
      </w:r>
      <w:proofErr w:type="gramStart"/>
      <w:r>
        <w:rPr>
          <w:rFonts w:ascii="Times New Roman" w:eastAsia="Times New Roman" w:hAnsi="Times New Roman" w:cs="Times New Roman"/>
          <w:i/>
          <w:sz w:val="24"/>
          <w:szCs w:val="24"/>
        </w:rPr>
        <w:t>status</w:t>
      </w:r>
      <w:proofErr w:type="gramEnd"/>
      <w:r>
        <w:rPr>
          <w:rFonts w:ascii="Times New Roman" w:eastAsia="Times New Roman" w:hAnsi="Times New Roman" w:cs="Times New Roman"/>
          <w:i/>
          <w:sz w:val="24"/>
          <w:szCs w:val="24"/>
        </w:rPr>
        <w:t xml:space="preserve"> quo</w:t>
      </w:r>
      <w:r>
        <w:rPr>
          <w:rFonts w:ascii="Times New Roman" w:eastAsia="Times New Roman" w:hAnsi="Times New Roman" w:cs="Times New Roman"/>
          <w:sz w:val="24"/>
          <w:szCs w:val="24"/>
        </w:rPr>
        <w:t xml:space="preserve">; es decir, de la sociedad ‘normal’. Esto implica que discursos como la satanización de la disidencia sexual son una forma de aval frente a la exclusión y la violencia (CIDH, 2015). </w:t>
      </w:r>
    </w:p>
    <w:p w14:paraId="55113354" w14:textId="77777777" w:rsidR="004232E5" w:rsidRDefault="00000000">
      <w:pPr>
        <w:widowControl w:val="0"/>
        <w:spacing w:line="360" w:lineRule="auto"/>
        <w:ind w:right="8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Tal como mencionaron las participantes, este discurso religioso terminaba generando respuestas afectivas frente a la expresión de la sexualidad, como la culpa. Fernández (2021) define a la culpa religiosa como el sentimiento de dolor e incongruencia generado a partir de ir en contra de los pactos sociales y coercitivos que la religión impone en las personas y que la sociedad civil promueve para restringir a la disidencia. Esto concuerda con los hallazgos de Iñigo et al., (2022) sobre la religión en mujeres lesbianas, en tanto la culpa se presenta cuando estas mujeres perciben que han transgredido supuestos religiosos con los que la familia ha establecido el orden en la crianza.</w:t>
      </w:r>
    </w:p>
    <w:p w14:paraId="0FEAF1D0" w14:textId="77777777" w:rsidR="004232E5" w:rsidRDefault="00000000">
      <w:pPr>
        <w:widowControl w:val="0"/>
        <w:spacing w:line="360" w:lineRule="auto"/>
        <w:ind w:right="8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Junto con los discursos punitivos se resaltan acciones explícitas de violencia, como la amenaza verbal en el ámbito público. La violencia pública, reconocida en las narrativas de las participantes, deviene con el reconocimiento de su impunidad. Esto, dado el aval político y cultural (Jácome, 2023; </w:t>
      </w:r>
      <w:proofErr w:type="spellStart"/>
      <w:r>
        <w:rPr>
          <w:rFonts w:ascii="Times New Roman" w:eastAsia="Times New Roman" w:hAnsi="Times New Roman" w:cs="Times New Roman"/>
          <w:sz w:val="24"/>
          <w:szCs w:val="24"/>
        </w:rPr>
        <w:t>Rottenbacher</w:t>
      </w:r>
      <w:proofErr w:type="spellEnd"/>
      <w:r>
        <w:rPr>
          <w:rFonts w:ascii="Times New Roman" w:eastAsia="Times New Roman" w:hAnsi="Times New Roman" w:cs="Times New Roman"/>
          <w:sz w:val="24"/>
          <w:szCs w:val="24"/>
        </w:rPr>
        <w:t xml:space="preserve">, 2010; </w:t>
      </w:r>
      <w:proofErr w:type="spellStart"/>
      <w:r>
        <w:rPr>
          <w:rFonts w:ascii="Times New Roman" w:eastAsia="Times New Roman" w:hAnsi="Times New Roman" w:cs="Times New Roman"/>
          <w:sz w:val="24"/>
          <w:szCs w:val="24"/>
        </w:rPr>
        <w:t>Rottenbacher</w:t>
      </w:r>
      <w:proofErr w:type="spellEnd"/>
      <w:r>
        <w:rPr>
          <w:rFonts w:ascii="Times New Roman" w:eastAsia="Times New Roman" w:hAnsi="Times New Roman" w:cs="Times New Roman"/>
          <w:sz w:val="24"/>
          <w:szCs w:val="24"/>
        </w:rPr>
        <w:t xml:space="preserve"> et al., 2011) frente a acciones que permitirían restablecer la ‘normalidad’ del grupo social peruano. Las personas involucradas en los testimonios de violencia expuestos por las participantes pueden ejercer su coerción sin consecuencias, dada la impunidad frente a la violencia a minorías sexuales.</w:t>
      </w:r>
    </w:p>
    <w:p w14:paraId="434B794D"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hallazgos concuerdan con los postulados de </w:t>
      </w:r>
      <w:proofErr w:type="spellStart"/>
      <w:r>
        <w:rPr>
          <w:rFonts w:ascii="Times New Roman" w:eastAsia="Times New Roman" w:hAnsi="Times New Roman" w:cs="Times New Roman"/>
          <w:sz w:val="24"/>
          <w:szCs w:val="24"/>
        </w:rPr>
        <w:t>Segato</w:t>
      </w:r>
      <w:proofErr w:type="spellEnd"/>
      <w:r>
        <w:rPr>
          <w:rFonts w:ascii="Times New Roman" w:eastAsia="Times New Roman" w:hAnsi="Times New Roman" w:cs="Times New Roman"/>
          <w:sz w:val="24"/>
          <w:szCs w:val="24"/>
        </w:rPr>
        <w:t xml:space="preserve"> (2010) sobre el papel comunicativo de la violencia. Las experiencias de amenaza verbal o pérdida de sustento económico expresan un mensaje frente a las mujeres disidentes, quienes optan por limitar sus expresiones sociales para evitar experimentar estas formas de coerción (</w:t>
      </w:r>
      <w:proofErr w:type="spellStart"/>
      <w:r>
        <w:rPr>
          <w:rFonts w:ascii="Times New Roman" w:eastAsia="Times New Roman" w:hAnsi="Times New Roman" w:cs="Times New Roman"/>
          <w:sz w:val="24"/>
          <w:szCs w:val="24"/>
        </w:rPr>
        <w:t>Frary</w:t>
      </w:r>
      <w:proofErr w:type="spellEnd"/>
      <w:r>
        <w:rPr>
          <w:rFonts w:ascii="Times New Roman" w:eastAsia="Times New Roman" w:hAnsi="Times New Roman" w:cs="Times New Roman"/>
          <w:sz w:val="24"/>
          <w:szCs w:val="24"/>
        </w:rPr>
        <w:t>, 2019; Pineda, 2018); es decir, comunican que es necesario no expresar su sexualidad. Esto concuerda con el estudio de Orellana y Delpiano (2022), cuyos hallazgos en mujeres lesbianas chilenas y brasileras resaltan la necesidad de mantener su orientación sexual en privado para evitar la segregación.</w:t>
      </w:r>
    </w:p>
    <w:p w14:paraId="4179566A" w14:textId="77777777" w:rsidR="004232E5" w:rsidRDefault="00000000">
      <w:pPr>
        <w:widowControl w:val="0"/>
        <w:spacing w:line="360" w:lineRule="auto"/>
        <w:ind w:right="90"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Con ello, la presencia de la familia como agente coercitivo deviene de la coerción como forma de control y de la familia como agente de poder. La coerción hace referencia al uso de la fuerza o la amenaza para forzar o disuadir una respuesta, lo cual, junto con el control, crea la sensación de ‘atrapamiento’ o falta de libertad (Stark y </w:t>
      </w:r>
      <w:proofErr w:type="spellStart"/>
      <w:r>
        <w:rPr>
          <w:rFonts w:ascii="Times New Roman" w:eastAsia="Times New Roman" w:hAnsi="Times New Roman" w:cs="Times New Roman"/>
          <w:sz w:val="24"/>
          <w:szCs w:val="24"/>
        </w:rPr>
        <w:t>Hester</w:t>
      </w:r>
      <w:proofErr w:type="spellEnd"/>
      <w:r>
        <w:rPr>
          <w:rFonts w:ascii="Times New Roman" w:eastAsia="Times New Roman" w:hAnsi="Times New Roman" w:cs="Times New Roman"/>
          <w:sz w:val="24"/>
          <w:szCs w:val="24"/>
        </w:rPr>
        <w:t xml:space="preserve">, 2019). Tal como encontró Braga et al. (2018) en personas gay y lesbianas, la familia simboliza una jerarquía de poder frente a su expresión sexual, en tanto puede brindar apoyo como limitarlo y ejercer violencia para el control o represión de la sexualidad. </w:t>
      </w:r>
    </w:p>
    <w:p w14:paraId="66F4F95F" w14:textId="77777777" w:rsidR="004232E5" w:rsidRDefault="00000000">
      <w:pPr>
        <w:widowControl w:val="0"/>
        <w:spacing w:line="360" w:lineRule="auto"/>
        <w:ind w:right="90"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En síntesis, la violencia homofóbica y la cosificación son experiencias comunes en las mujeres lesbianas y bisexuales que parten de la intersección entre el género y la pertenencia a una minoría sexual. Estas experiencias se consolidan desde el rechazo, la deshumanización y los actos de violencia implícita y explícita ejercidos por agentes de poder, como la familia o los discursos del imaginario social (la religión, los roles de género, la estigmatización, entre otros). De ello, las mujeres disidentes se ven limitadas a una inclusión condicionada a que su sexualidad sea vista desde el disfrute y placer, mientras que su exclusión se ejecutaría de manera coercitiva y violenta. Estas experiencias limitarían la exploración de su identidad y su expresión pública.</w:t>
      </w:r>
    </w:p>
    <w:p w14:paraId="5F0F9BAF" w14:textId="77777777" w:rsidR="004232E5" w:rsidRDefault="00000000">
      <w:pPr>
        <w:widowControl w:val="0"/>
        <w:spacing w:line="360" w:lineRule="auto"/>
        <w:ind w:right="96"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limitaciones, se reconoce que la muestra representa a mujeres de clase media y alta limeña, por lo cual no se obtuvo información sobre las experiencias subjetivas y experiencias de violencia que pueden ocurrir en contextos de precariedad. Como alcances, se reconoce la </w:t>
      </w:r>
      <w:proofErr w:type="spellStart"/>
      <w:r>
        <w:rPr>
          <w:rFonts w:ascii="Times New Roman" w:eastAsia="Times New Roman" w:hAnsi="Times New Roman" w:cs="Times New Roman"/>
          <w:sz w:val="24"/>
          <w:szCs w:val="24"/>
        </w:rPr>
        <w:t>visibilización</w:t>
      </w:r>
      <w:proofErr w:type="spellEnd"/>
      <w:r>
        <w:rPr>
          <w:rFonts w:ascii="Times New Roman" w:eastAsia="Times New Roman" w:hAnsi="Times New Roman" w:cs="Times New Roman"/>
          <w:sz w:val="24"/>
          <w:szCs w:val="24"/>
        </w:rPr>
        <w:t xml:space="preserve"> de las mujeres disidentes en el estudio, dado que se ha brindado protagonismo a sus experiencias y la manera en que conciben la violencia y la cosificación en su comunidad. Asimismo, contribuye a la escasa información presente sobre el estado y vivencias de las mujeres lesbianas y bisexuales latinoamericanas. Se recomienda, por ende, ahondar en las experiencias subjetivas de las mujeres disidentes en diferentes contextos, considerando sus experiencias de violencia y su configuración desde la interseccionalidad.</w:t>
      </w:r>
    </w:p>
    <w:p w14:paraId="74D4712C" w14:textId="77777777" w:rsidR="004232E5" w:rsidRDefault="004232E5">
      <w:pPr>
        <w:pStyle w:val="Ttulo"/>
        <w:widowControl w:val="0"/>
        <w:ind w:right="96"/>
        <w:jc w:val="left"/>
        <w:rPr>
          <w:shd w:val="clear" w:color="auto" w:fill="auto"/>
        </w:rPr>
      </w:pPr>
      <w:bookmarkStart w:id="16" w:name="_oapnuz5xzdla" w:colFirst="0" w:colLast="0"/>
      <w:bookmarkEnd w:id="16"/>
    </w:p>
    <w:p w14:paraId="150694B5" w14:textId="77777777" w:rsidR="004232E5" w:rsidRDefault="00000000">
      <w:pPr>
        <w:pStyle w:val="Ttulo"/>
        <w:widowControl w:val="0"/>
        <w:ind w:right="96"/>
        <w:jc w:val="center"/>
        <w:rPr>
          <w:shd w:val="clear" w:color="auto" w:fill="auto"/>
        </w:rPr>
      </w:pPr>
      <w:bookmarkStart w:id="17" w:name="_ob3g8fofa191" w:colFirst="0" w:colLast="0"/>
      <w:bookmarkEnd w:id="17"/>
      <w:r>
        <w:rPr>
          <w:shd w:val="clear" w:color="auto" w:fill="auto"/>
        </w:rPr>
        <w:t>Referencias</w:t>
      </w:r>
    </w:p>
    <w:p w14:paraId="388390A3" w14:textId="77777777" w:rsidR="004232E5" w:rsidRDefault="004232E5">
      <w:pPr>
        <w:widowControl w:val="0"/>
        <w:spacing w:line="360" w:lineRule="auto"/>
        <w:ind w:right="96"/>
        <w:rPr>
          <w:rFonts w:ascii="Times New Roman" w:eastAsia="Times New Roman" w:hAnsi="Times New Roman" w:cs="Times New Roman"/>
          <w:sz w:val="24"/>
          <w:szCs w:val="24"/>
        </w:rPr>
      </w:pPr>
    </w:p>
    <w:p w14:paraId="2A508F7D"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Alonso, M. (2018). </w:t>
      </w:r>
      <w:r>
        <w:rPr>
          <w:rFonts w:ascii="Times New Roman" w:eastAsia="Times New Roman" w:hAnsi="Times New Roman" w:cs="Times New Roman"/>
          <w:i/>
          <w:sz w:val="24"/>
          <w:szCs w:val="24"/>
        </w:rPr>
        <w:t>¿No irá a hacer una tesis sobre sus amigas?: relaciones de género en las parejas de lesbianas.</w:t>
      </w:r>
      <w:r>
        <w:rPr>
          <w:rFonts w:ascii="Times New Roman" w:eastAsia="Times New Roman" w:hAnsi="Times New Roman" w:cs="Times New Roman"/>
          <w:sz w:val="24"/>
          <w:szCs w:val="24"/>
        </w:rPr>
        <w:t xml:space="preserve"> [Tesis de doctorado en género]. Universidad de Granada. </w:t>
      </w:r>
      <w:hyperlink r:id="rId5">
        <w:r w:rsidR="004232E5">
          <w:rPr>
            <w:rFonts w:ascii="Times New Roman" w:eastAsia="Times New Roman" w:hAnsi="Times New Roman" w:cs="Times New Roman"/>
            <w:color w:val="1155CC"/>
            <w:sz w:val="24"/>
            <w:szCs w:val="24"/>
            <w:u w:val="single"/>
          </w:rPr>
          <w:t>http://hdl.handle.net/10481/52517</w:t>
        </w:r>
      </w:hyperlink>
    </w:p>
    <w:p w14:paraId="6F9D72D1"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Ara, A. (2019). </w:t>
      </w:r>
      <w:r>
        <w:rPr>
          <w:rFonts w:ascii="Times New Roman" w:eastAsia="Times New Roman" w:hAnsi="Times New Roman" w:cs="Times New Roman"/>
          <w:i/>
          <w:sz w:val="24"/>
          <w:szCs w:val="24"/>
        </w:rPr>
        <w:t xml:space="preserve">Leer, decir y narrar la bisexualidad. Un acercamiento etnográfico y discursivo a la ilegible realidad de las mujeres bisexuales. </w:t>
      </w:r>
      <w:r>
        <w:rPr>
          <w:rFonts w:ascii="Times New Roman" w:eastAsia="Times New Roman" w:hAnsi="Times New Roman" w:cs="Times New Roman"/>
          <w:sz w:val="24"/>
          <w:szCs w:val="24"/>
        </w:rPr>
        <w:t xml:space="preserve">[Tesis de maestría en género]. Universidad de Granada. </w:t>
      </w:r>
      <w:hyperlink r:id="rId6">
        <w:r w:rsidR="004232E5">
          <w:rPr>
            <w:rFonts w:ascii="Times New Roman" w:eastAsia="Times New Roman" w:hAnsi="Times New Roman" w:cs="Times New Roman"/>
            <w:color w:val="1155CC"/>
            <w:sz w:val="24"/>
            <w:szCs w:val="24"/>
            <w:u w:val="single"/>
          </w:rPr>
          <w:t>http://hdl.handle.net/10481/56881</w:t>
        </w:r>
      </w:hyperlink>
    </w:p>
    <w:p w14:paraId="064AB5EA"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Beaman, L. R., &amp; Gurung, R. A. (2024). Examining Objectification and Dehumanization: The Effects of Race and Sexualization. </w:t>
      </w:r>
      <w:r w:rsidRPr="006B5B58">
        <w:rPr>
          <w:rFonts w:ascii="Times New Roman" w:eastAsia="Times New Roman" w:hAnsi="Times New Roman" w:cs="Times New Roman"/>
          <w:i/>
          <w:sz w:val="24"/>
          <w:szCs w:val="24"/>
          <w:lang w:val="en-US"/>
        </w:rPr>
        <w:t>Psi Chi Journal of Psychological Research</w:t>
      </w:r>
      <w:r w:rsidRPr="006B5B58">
        <w:rPr>
          <w:rFonts w:ascii="Times New Roman" w:eastAsia="Times New Roman" w:hAnsi="Times New Roman" w:cs="Times New Roman"/>
          <w:sz w:val="24"/>
          <w:szCs w:val="24"/>
          <w:lang w:val="en-US"/>
        </w:rPr>
        <w:t xml:space="preserve">, 29(1). </w:t>
      </w:r>
      <w:hyperlink r:id="rId7">
        <w:r w:rsidR="004232E5" w:rsidRPr="006B5B58">
          <w:rPr>
            <w:rFonts w:ascii="Times New Roman" w:eastAsia="Times New Roman" w:hAnsi="Times New Roman" w:cs="Times New Roman"/>
            <w:color w:val="1155CC"/>
            <w:sz w:val="24"/>
            <w:szCs w:val="24"/>
            <w:u w:val="single"/>
            <w:lang w:val="en-US"/>
          </w:rPr>
          <w:t>https://doi.org/10.24839/2325-7342.JN29.1.8</w:t>
        </w:r>
      </w:hyperlink>
    </w:p>
    <w:p w14:paraId="7B317A64" w14:textId="3297DFC5" w:rsidR="004232E5" w:rsidRDefault="00000000" w:rsidP="006B5B58">
      <w:pPr>
        <w:widowControl w:val="0"/>
        <w:spacing w:line="240" w:lineRule="auto"/>
        <w:ind w:right="96"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Becognée</w:t>
      </w:r>
      <w:proofErr w:type="spellEnd"/>
      <w:r>
        <w:rPr>
          <w:rFonts w:ascii="Times New Roman" w:eastAsia="Times New Roman" w:hAnsi="Times New Roman" w:cs="Times New Roman"/>
          <w:sz w:val="24"/>
          <w:szCs w:val="24"/>
        </w:rPr>
        <w:t xml:space="preserve">, P. (2021). </w:t>
      </w:r>
      <w:r>
        <w:rPr>
          <w:rFonts w:ascii="Times New Roman" w:eastAsia="Times New Roman" w:hAnsi="Times New Roman" w:cs="Times New Roman"/>
          <w:i/>
          <w:sz w:val="24"/>
          <w:szCs w:val="24"/>
        </w:rPr>
        <w:t xml:space="preserve">Análisis de la relación entre la pornografía y la violencia de género: una revisión sistemática. </w:t>
      </w:r>
      <w:r>
        <w:rPr>
          <w:rFonts w:ascii="Times New Roman" w:eastAsia="Times New Roman" w:hAnsi="Times New Roman" w:cs="Times New Roman"/>
          <w:sz w:val="24"/>
          <w:szCs w:val="24"/>
        </w:rPr>
        <w:t xml:space="preserve">[Tesis de bachiller en Psicología]. </w:t>
      </w:r>
      <w:proofErr w:type="spellStart"/>
      <w:r>
        <w:rPr>
          <w:rFonts w:ascii="Times New Roman" w:eastAsia="Times New Roman" w:hAnsi="Times New Roman" w:cs="Times New Roman"/>
          <w:sz w:val="24"/>
          <w:szCs w:val="24"/>
        </w:rPr>
        <w:t>Universi</w:t>
      </w:r>
      <w:r w:rsidR="006B5B58">
        <w:rPr>
          <w:rFonts w:ascii="Times New Roman" w:eastAsia="Times New Roman" w:hAnsi="Times New Roman" w:cs="Times New Roman"/>
          <w:sz w:val="24"/>
          <w:szCs w:val="24"/>
        </w:rPr>
        <w:t>tat</w:t>
      </w:r>
      <w:proofErr w:type="spellEnd"/>
      <w:r>
        <w:rPr>
          <w:rFonts w:ascii="Times New Roman" w:eastAsia="Times New Roman" w:hAnsi="Times New Roman" w:cs="Times New Roman"/>
          <w:sz w:val="24"/>
          <w:szCs w:val="24"/>
        </w:rPr>
        <w:t xml:space="preserve"> de les Illes Balears. </w:t>
      </w:r>
      <w:hyperlink r:id="rId8">
        <w:r w:rsidR="004232E5">
          <w:rPr>
            <w:rFonts w:ascii="Times New Roman" w:eastAsia="Times New Roman" w:hAnsi="Times New Roman" w:cs="Times New Roman"/>
            <w:color w:val="1155CC"/>
            <w:sz w:val="24"/>
            <w:szCs w:val="24"/>
            <w:u w:val="single"/>
          </w:rPr>
          <w:t>http://hdl.handle.net/11201/157063</w:t>
        </w:r>
      </w:hyperlink>
    </w:p>
    <w:p w14:paraId="34314ADC"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Borja, J. (2021). </w:t>
      </w:r>
      <w:r>
        <w:rPr>
          <w:rFonts w:ascii="Times New Roman" w:eastAsia="Times New Roman" w:hAnsi="Times New Roman" w:cs="Times New Roman"/>
          <w:i/>
          <w:sz w:val="24"/>
          <w:szCs w:val="24"/>
        </w:rPr>
        <w:t xml:space="preserve">Representaciones sociales sobre la cultura del honor y su relación con la inteligencia emocional y la identidad sexual en personas </w:t>
      </w:r>
      <w:proofErr w:type="spellStart"/>
      <w:r>
        <w:rPr>
          <w:rFonts w:ascii="Times New Roman" w:eastAsia="Times New Roman" w:hAnsi="Times New Roman" w:cs="Times New Roman"/>
          <w:i/>
          <w:sz w:val="24"/>
          <w:szCs w:val="24"/>
        </w:rPr>
        <w:t>gays</w:t>
      </w:r>
      <w:proofErr w:type="spellEnd"/>
      <w:r>
        <w:rPr>
          <w:rFonts w:ascii="Times New Roman" w:eastAsia="Times New Roman" w:hAnsi="Times New Roman" w:cs="Times New Roman"/>
          <w:i/>
          <w:sz w:val="24"/>
          <w:szCs w:val="24"/>
        </w:rPr>
        <w:t>, lesbianas y bisexuales de Lima Metropolitana y Callao.</w:t>
      </w:r>
      <w:r>
        <w:rPr>
          <w:rFonts w:ascii="Times New Roman" w:eastAsia="Times New Roman" w:hAnsi="Times New Roman" w:cs="Times New Roman"/>
          <w:sz w:val="24"/>
          <w:szCs w:val="24"/>
        </w:rPr>
        <w:t xml:space="preserve"> [Tesis de maestría en Psicología]. Pontificia Universidad Católica del Perú. </w:t>
      </w:r>
      <w:hyperlink r:id="rId9">
        <w:r w:rsidR="004232E5">
          <w:rPr>
            <w:rFonts w:ascii="Times New Roman" w:eastAsia="Times New Roman" w:hAnsi="Times New Roman" w:cs="Times New Roman"/>
            <w:color w:val="1155CC"/>
            <w:sz w:val="24"/>
            <w:szCs w:val="24"/>
            <w:u w:val="single"/>
          </w:rPr>
          <w:t>http://hdl.handle.net/20.500.12404/19260</w:t>
        </w:r>
      </w:hyperlink>
    </w:p>
    <w:p w14:paraId="6211AF6A"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Braga, I., Oliveira, W., Silva, J., Mello, </w:t>
      </w:r>
      <w:proofErr w:type="gramStart"/>
      <w:r>
        <w:rPr>
          <w:rFonts w:ascii="Times New Roman" w:eastAsia="Times New Roman" w:hAnsi="Times New Roman" w:cs="Times New Roman"/>
          <w:sz w:val="24"/>
          <w:szCs w:val="24"/>
        </w:rPr>
        <w:t>F. ,</w:t>
      </w:r>
      <w:proofErr w:type="gramEnd"/>
      <w:r>
        <w:rPr>
          <w:rFonts w:ascii="Times New Roman" w:eastAsia="Times New Roman" w:hAnsi="Times New Roman" w:cs="Times New Roman"/>
          <w:sz w:val="24"/>
          <w:szCs w:val="24"/>
        </w:rPr>
        <w:t xml:space="preserve"> y Silva, M. (2018). </w:t>
      </w:r>
      <w:r w:rsidRPr="006B5B58">
        <w:rPr>
          <w:rFonts w:ascii="Times New Roman" w:eastAsia="Times New Roman" w:hAnsi="Times New Roman" w:cs="Times New Roman"/>
          <w:sz w:val="24"/>
          <w:szCs w:val="24"/>
          <w:lang w:val="en-US"/>
        </w:rPr>
        <w:t xml:space="preserve">Family violence against gay and lesbian adolescents and young people: a qualitative study. </w:t>
      </w:r>
      <w:r>
        <w:rPr>
          <w:rFonts w:ascii="Times New Roman" w:eastAsia="Times New Roman" w:hAnsi="Times New Roman" w:cs="Times New Roman"/>
          <w:sz w:val="24"/>
          <w:szCs w:val="24"/>
        </w:rPr>
        <w:t>R</w:t>
      </w:r>
      <w:r>
        <w:rPr>
          <w:rFonts w:ascii="Times New Roman" w:eastAsia="Times New Roman" w:hAnsi="Times New Roman" w:cs="Times New Roman"/>
          <w:i/>
          <w:sz w:val="24"/>
          <w:szCs w:val="24"/>
        </w:rPr>
        <w:t xml:space="preserve">evista Brasileira de </w:t>
      </w:r>
      <w:proofErr w:type="spellStart"/>
      <w:r>
        <w:rPr>
          <w:rFonts w:ascii="Times New Roman" w:eastAsia="Times New Roman" w:hAnsi="Times New Roman" w:cs="Times New Roman"/>
          <w:i/>
          <w:sz w:val="24"/>
          <w:szCs w:val="24"/>
        </w:rPr>
        <w:t>Enfermagem</w:t>
      </w:r>
      <w:proofErr w:type="spellEnd"/>
      <w:r>
        <w:rPr>
          <w:rFonts w:ascii="Times New Roman" w:eastAsia="Times New Roman" w:hAnsi="Times New Roman" w:cs="Times New Roman"/>
          <w:sz w:val="24"/>
          <w:szCs w:val="24"/>
        </w:rPr>
        <w:t xml:space="preserve">, 71(3), 1220-1227. </w:t>
      </w:r>
      <w:hyperlink r:id="rId10">
        <w:r w:rsidR="004232E5">
          <w:rPr>
            <w:rFonts w:ascii="Times New Roman" w:eastAsia="Times New Roman" w:hAnsi="Times New Roman" w:cs="Times New Roman"/>
            <w:color w:val="1155CC"/>
            <w:sz w:val="24"/>
            <w:szCs w:val="24"/>
            <w:u w:val="single"/>
          </w:rPr>
          <w:t>https://doi.org/10.1590/0034-7167-2017-0307</w:t>
        </w:r>
      </w:hyperlink>
      <w:r>
        <w:rPr>
          <w:rFonts w:ascii="Times New Roman" w:eastAsia="Times New Roman" w:hAnsi="Times New Roman" w:cs="Times New Roman"/>
          <w:sz w:val="24"/>
          <w:szCs w:val="24"/>
        </w:rPr>
        <w:t xml:space="preserve"> </w:t>
      </w:r>
    </w:p>
    <w:p w14:paraId="5B835903"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Braun, V., &amp; Clarke, V. (2012). </w:t>
      </w:r>
      <w:r w:rsidRPr="006B5B58">
        <w:rPr>
          <w:rFonts w:ascii="Times New Roman" w:eastAsia="Times New Roman" w:hAnsi="Times New Roman" w:cs="Times New Roman"/>
          <w:sz w:val="24"/>
          <w:szCs w:val="24"/>
          <w:lang w:val="en-US"/>
        </w:rPr>
        <w:t xml:space="preserve">Thematic analysis. In H. Cooper, P. M. </w:t>
      </w:r>
      <w:proofErr w:type="spellStart"/>
      <w:r w:rsidRPr="006B5B58">
        <w:rPr>
          <w:rFonts w:ascii="Times New Roman" w:eastAsia="Times New Roman" w:hAnsi="Times New Roman" w:cs="Times New Roman"/>
          <w:sz w:val="24"/>
          <w:szCs w:val="24"/>
          <w:lang w:val="en-US"/>
        </w:rPr>
        <w:t>Camic</w:t>
      </w:r>
      <w:proofErr w:type="spellEnd"/>
      <w:r w:rsidRPr="006B5B58">
        <w:rPr>
          <w:rFonts w:ascii="Times New Roman" w:eastAsia="Times New Roman" w:hAnsi="Times New Roman" w:cs="Times New Roman"/>
          <w:sz w:val="24"/>
          <w:szCs w:val="24"/>
          <w:lang w:val="en-US"/>
        </w:rPr>
        <w:t xml:space="preserve">, D. L. Long, A. T. Panter, D. </w:t>
      </w:r>
      <w:proofErr w:type="spellStart"/>
      <w:r w:rsidRPr="006B5B58">
        <w:rPr>
          <w:rFonts w:ascii="Times New Roman" w:eastAsia="Times New Roman" w:hAnsi="Times New Roman" w:cs="Times New Roman"/>
          <w:sz w:val="24"/>
          <w:szCs w:val="24"/>
          <w:lang w:val="en-US"/>
        </w:rPr>
        <w:t>Rindskopf</w:t>
      </w:r>
      <w:proofErr w:type="spellEnd"/>
      <w:r w:rsidRPr="006B5B58">
        <w:rPr>
          <w:rFonts w:ascii="Times New Roman" w:eastAsia="Times New Roman" w:hAnsi="Times New Roman" w:cs="Times New Roman"/>
          <w:sz w:val="24"/>
          <w:szCs w:val="24"/>
          <w:lang w:val="en-US"/>
        </w:rPr>
        <w:t xml:space="preserve">, &amp; K. J. Sher (Eds.), </w:t>
      </w:r>
      <w:r w:rsidRPr="006B5B58">
        <w:rPr>
          <w:rFonts w:ascii="Times New Roman" w:eastAsia="Times New Roman" w:hAnsi="Times New Roman" w:cs="Times New Roman"/>
          <w:i/>
          <w:sz w:val="24"/>
          <w:szCs w:val="24"/>
          <w:lang w:val="en-US"/>
        </w:rPr>
        <w:t>APA handbook of research methods in psychology, Vol. 2. Research designs: Quantitative, qualitative, neuropsychological, and biological</w:t>
      </w:r>
      <w:r w:rsidRPr="006B5B58">
        <w:rPr>
          <w:rFonts w:ascii="Times New Roman" w:eastAsia="Times New Roman" w:hAnsi="Times New Roman" w:cs="Times New Roman"/>
          <w:sz w:val="24"/>
          <w:szCs w:val="24"/>
          <w:lang w:val="en-US"/>
        </w:rPr>
        <w:t xml:space="preserve"> (pp. 57–71). American Psychological Association. </w:t>
      </w:r>
      <w:hyperlink r:id="rId11">
        <w:r w:rsidR="004232E5" w:rsidRPr="006B5B58">
          <w:rPr>
            <w:rFonts w:ascii="Times New Roman" w:eastAsia="Times New Roman" w:hAnsi="Times New Roman" w:cs="Times New Roman"/>
            <w:color w:val="1155CC"/>
            <w:sz w:val="24"/>
            <w:szCs w:val="24"/>
            <w:u w:val="single"/>
            <w:lang w:val="en-US"/>
          </w:rPr>
          <w:t>https://doi.org/10.1037/13620-004</w:t>
        </w:r>
      </w:hyperlink>
      <w:r w:rsidRPr="006B5B58">
        <w:rPr>
          <w:rFonts w:ascii="Times New Roman" w:eastAsia="Times New Roman" w:hAnsi="Times New Roman" w:cs="Times New Roman"/>
          <w:sz w:val="24"/>
          <w:szCs w:val="24"/>
          <w:lang w:val="en-US"/>
        </w:rPr>
        <w:t>​</w:t>
      </w:r>
    </w:p>
    <w:p w14:paraId="58FAAA52"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6B5B58">
        <w:rPr>
          <w:rFonts w:ascii="Times New Roman" w:eastAsia="Times New Roman" w:hAnsi="Times New Roman" w:cs="Times New Roman"/>
          <w:sz w:val="24"/>
          <w:szCs w:val="24"/>
          <w:lang w:val="en-US"/>
        </w:rPr>
        <w:t xml:space="preserve">Calogero, R. M., &amp; Thompson, J. K. (2009). Potential implications of the objectification of women's bodies for women's sexual satisfaction. </w:t>
      </w:r>
      <w:proofErr w:type="spellStart"/>
      <w:r>
        <w:rPr>
          <w:rFonts w:ascii="Times New Roman" w:eastAsia="Times New Roman" w:hAnsi="Times New Roman" w:cs="Times New Roman"/>
          <w:sz w:val="24"/>
          <w:szCs w:val="24"/>
        </w:rPr>
        <w:t>Body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image</w:t>
      </w:r>
      <w:proofErr w:type="spellEnd"/>
      <w:r>
        <w:rPr>
          <w:rFonts w:ascii="Times New Roman" w:eastAsia="Times New Roman" w:hAnsi="Times New Roman" w:cs="Times New Roman"/>
          <w:sz w:val="24"/>
          <w:szCs w:val="24"/>
        </w:rPr>
        <w:t xml:space="preserve">, 6(2), 145–148. </w:t>
      </w:r>
      <w:hyperlink r:id="rId12">
        <w:r w:rsidR="004232E5">
          <w:rPr>
            <w:rFonts w:ascii="Times New Roman" w:eastAsia="Times New Roman" w:hAnsi="Times New Roman" w:cs="Times New Roman"/>
            <w:color w:val="1155CC"/>
            <w:sz w:val="24"/>
            <w:szCs w:val="24"/>
            <w:u w:val="single"/>
          </w:rPr>
          <w:t>https://doi.org/10.1016/j.bodyim.2009.01.001</w:t>
        </w:r>
      </w:hyperlink>
    </w:p>
    <w:p w14:paraId="2364EAA6"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Carosio</w:t>
      </w:r>
      <w:proofErr w:type="spellEnd"/>
      <w:r>
        <w:rPr>
          <w:rFonts w:ascii="Times New Roman" w:eastAsia="Times New Roman" w:hAnsi="Times New Roman" w:cs="Times New Roman"/>
          <w:sz w:val="24"/>
          <w:szCs w:val="24"/>
        </w:rPr>
        <w:t xml:space="preserve">, A. (2014). </w:t>
      </w:r>
      <w:r>
        <w:rPr>
          <w:rFonts w:ascii="Times New Roman" w:eastAsia="Times New Roman" w:hAnsi="Times New Roman" w:cs="Times New Roman"/>
          <w:i/>
          <w:sz w:val="24"/>
          <w:szCs w:val="24"/>
        </w:rPr>
        <w:t xml:space="preserve">Feminismos para un cambio civilizatorio. </w:t>
      </w:r>
      <w:r>
        <w:rPr>
          <w:rFonts w:ascii="Times New Roman" w:eastAsia="Times New Roman" w:hAnsi="Times New Roman" w:cs="Times New Roman"/>
          <w:sz w:val="24"/>
          <w:szCs w:val="24"/>
        </w:rPr>
        <w:t>Centro de Estudios de la Mujer de Caracas (CEM). ISBN 978-980-399-053-4.</w:t>
      </w:r>
    </w:p>
    <w:p w14:paraId="718ABA7E"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Centro de Promoción y Defensa de los Derechos Sexuales y Reproductivos. (</w:t>
      </w:r>
      <w:proofErr w:type="spellStart"/>
      <w:r>
        <w:rPr>
          <w:rFonts w:ascii="Times New Roman" w:eastAsia="Times New Roman" w:hAnsi="Times New Roman" w:cs="Times New Roman"/>
          <w:sz w:val="24"/>
          <w:szCs w:val="24"/>
        </w:rPr>
        <w:t>Promsex</w:t>
      </w:r>
      <w:proofErr w:type="spellEnd"/>
      <w:r>
        <w:rPr>
          <w:rFonts w:ascii="Times New Roman" w:eastAsia="Times New Roman" w:hAnsi="Times New Roman" w:cs="Times New Roman"/>
          <w:sz w:val="24"/>
          <w:szCs w:val="24"/>
        </w:rPr>
        <w:t xml:space="preserve">, 2018). </w:t>
      </w:r>
      <w:r>
        <w:rPr>
          <w:rFonts w:ascii="Times New Roman" w:eastAsia="Times New Roman" w:hAnsi="Times New Roman" w:cs="Times New Roman"/>
          <w:i/>
          <w:sz w:val="24"/>
          <w:szCs w:val="24"/>
        </w:rPr>
        <w:t xml:space="preserve">Crecer siendo Diferente. Compilación de tres investigaciones sobre violencia homofóbica, transfóbica y lesbofóbica en la familia y la escuela en el Perú. </w:t>
      </w:r>
      <w:r>
        <w:rPr>
          <w:rFonts w:ascii="Times New Roman" w:eastAsia="Times New Roman" w:hAnsi="Times New Roman" w:cs="Times New Roman"/>
          <w:sz w:val="24"/>
          <w:szCs w:val="24"/>
        </w:rPr>
        <w:t xml:space="preserve">PROMSEX. </w:t>
      </w:r>
      <w:hyperlink r:id="rId13">
        <w:r w:rsidR="004232E5">
          <w:rPr>
            <w:rFonts w:ascii="Times New Roman" w:eastAsia="Times New Roman" w:hAnsi="Times New Roman" w:cs="Times New Roman"/>
            <w:color w:val="1155CC"/>
            <w:sz w:val="24"/>
            <w:szCs w:val="24"/>
            <w:u w:val="single"/>
          </w:rPr>
          <w:t>https://promsex.org/wp-content/uploads/2018/05/CrecerSiendoDiferentes.pdf</w:t>
        </w:r>
      </w:hyperlink>
    </w:p>
    <w:p w14:paraId="72216BF5"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Centro de Promoción y Defensa de los Derechos Sexuales y Reproductivos. (</w:t>
      </w:r>
      <w:proofErr w:type="spellStart"/>
      <w:r>
        <w:rPr>
          <w:rFonts w:ascii="Times New Roman" w:eastAsia="Times New Roman" w:hAnsi="Times New Roman" w:cs="Times New Roman"/>
          <w:sz w:val="24"/>
          <w:szCs w:val="24"/>
        </w:rPr>
        <w:t>Promsex</w:t>
      </w:r>
      <w:proofErr w:type="spellEnd"/>
      <w:r>
        <w:rPr>
          <w:rFonts w:ascii="Times New Roman" w:eastAsia="Times New Roman" w:hAnsi="Times New Roman" w:cs="Times New Roman"/>
          <w:sz w:val="24"/>
          <w:szCs w:val="24"/>
        </w:rPr>
        <w:t>, 2021).</w:t>
      </w:r>
      <w:r>
        <w:rPr>
          <w:rFonts w:ascii="Times New Roman" w:eastAsia="Times New Roman" w:hAnsi="Times New Roman" w:cs="Times New Roman"/>
          <w:i/>
          <w:sz w:val="24"/>
          <w:szCs w:val="24"/>
        </w:rPr>
        <w:t xml:space="preserve"> Informe anual: sobre la situación de los derechos humanos de las personas LGBTI en el Perú 2020.</w:t>
      </w:r>
      <w:r>
        <w:rPr>
          <w:rFonts w:ascii="Times New Roman" w:eastAsia="Times New Roman" w:hAnsi="Times New Roman" w:cs="Times New Roman"/>
          <w:sz w:val="24"/>
          <w:szCs w:val="24"/>
        </w:rPr>
        <w:t xml:space="preserve"> </w:t>
      </w:r>
      <w:hyperlink r:id="rId14">
        <w:r w:rsidR="004232E5">
          <w:rPr>
            <w:rFonts w:ascii="Times New Roman" w:eastAsia="Times New Roman" w:hAnsi="Times New Roman" w:cs="Times New Roman"/>
            <w:color w:val="1155CC"/>
            <w:sz w:val="24"/>
            <w:szCs w:val="24"/>
            <w:u w:val="single"/>
          </w:rPr>
          <w:t>https://promsex.org/publicaciones/informe-anual-sobre-la-situacion-de-los-derechos-humanos-de-las-personas-lgbti-en-el-peru-2020/</w:t>
        </w:r>
      </w:hyperlink>
    </w:p>
    <w:p w14:paraId="07377D55"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Chmielewski, J. (2017). A listening guide analysis of lesbian and bisexual young women of color’s experiences of sexual objectification. </w:t>
      </w:r>
      <w:r w:rsidRPr="006B5B58">
        <w:rPr>
          <w:rFonts w:ascii="Times New Roman" w:eastAsia="Times New Roman" w:hAnsi="Times New Roman" w:cs="Times New Roman"/>
          <w:i/>
          <w:sz w:val="24"/>
          <w:szCs w:val="24"/>
          <w:lang w:val="en-US"/>
        </w:rPr>
        <w:t>Sex Roles: A Journal of Research</w:t>
      </w:r>
      <w:r w:rsidRPr="006B5B58">
        <w:rPr>
          <w:rFonts w:ascii="Times New Roman" w:eastAsia="Times New Roman" w:hAnsi="Times New Roman" w:cs="Times New Roman"/>
          <w:sz w:val="24"/>
          <w:szCs w:val="24"/>
          <w:lang w:val="en-US"/>
        </w:rPr>
        <w:t xml:space="preserve">, 77(7-8), 533–549. </w:t>
      </w:r>
      <w:hyperlink r:id="rId15">
        <w:r w:rsidR="004232E5" w:rsidRPr="006B5B58">
          <w:rPr>
            <w:rFonts w:ascii="Times New Roman" w:eastAsia="Times New Roman" w:hAnsi="Times New Roman" w:cs="Times New Roman"/>
            <w:color w:val="1155CC"/>
            <w:sz w:val="24"/>
            <w:szCs w:val="24"/>
            <w:u w:val="single"/>
            <w:lang w:val="en-US"/>
          </w:rPr>
          <w:t>https://doi.org/10.1007/s11199-017-0740-4</w:t>
        </w:r>
      </w:hyperlink>
    </w:p>
    <w:p w14:paraId="76CFEBEF"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Cobo, R. (2015). El cuerpo de las mujeres y la sobrecarga de sexualidad. Investigaciones Feministas, 6, 7-19. </w:t>
      </w:r>
      <w:hyperlink r:id="rId16">
        <w:r w:rsidR="004232E5">
          <w:rPr>
            <w:rFonts w:ascii="Times New Roman" w:eastAsia="Times New Roman" w:hAnsi="Times New Roman" w:cs="Times New Roman"/>
            <w:color w:val="1155CC"/>
            <w:sz w:val="24"/>
            <w:szCs w:val="24"/>
            <w:u w:val="single"/>
          </w:rPr>
          <w:t>https://doi.org/10.5209/rev_INFE.2015.v6.51376</w:t>
        </w:r>
      </w:hyperlink>
    </w:p>
    <w:p w14:paraId="219B29A9"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Comisión Interamericana de Derechos Humanos (CIDH, 2015) </w:t>
      </w:r>
      <w:r>
        <w:rPr>
          <w:rFonts w:ascii="Times New Roman" w:eastAsia="Times New Roman" w:hAnsi="Times New Roman" w:cs="Times New Roman"/>
          <w:i/>
          <w:sz w:val="24"/>
          <w:szCs w:val="24"/>
        </w:rPr>
        <w:t xml:space="preserve">Violencia contra personas lesbianas, </w:t>
      </w:r>
      <w:proofErr w:type="spellStart"/>
      <w:r>
        <w:rPr>
          <w:rFonts w:ascii="Times New Roman" w:eastAsia="Times New Roman" w:hAnsi="Times New Roman" w:cs="Times New Roman"/>
          <w:i/>
          <w:sz w:val="24"/>
          <w:szCs w:val="24"/>
        </w:rPr>
        <w:t>gays</w:t>
      </w:r>
      <w:proofErr w:type="spellEnd"/>
      <w:r>
        <w:rPr>
          <w:rFonts w:ascii="Times New Roman" w:eastAsia="Times New Roman" w:hAnsi="Times New Roman" w:cs="Times New Roman"/>
          <w:i/>
          <w:sz w:val="24"/>
          <w:szCs w:val="24"/>
        </w:rPr>
        <w:t xml:space="preserve">, bisexuales, trans e intersex en América. </w:t>
      </w:r>
      <w:r w:rsidRPr="006B5B58">
        <w:rPr>
          <w:rFonts w:ascii="Times New Roman" w:eastAsia="Times New Roman" w:hAnsi="Times New Roman" w:cs="Times New Roman"/>
          <w:sz w:val="24"/>
          <w:szCs w:val="24"/>
          <w:lang w:val="en-US"/>
        </w:rPr>
        <w:t xml:space="preserve">Organization of American States. </w:t>
      </w:r>
      <w:hyperlink r:id="rId17">
        <w:r w:rsidR="004232E5" w:rsidRPr="006B5B58">
          <w:rPr>
            <w:rFonts w:ascii="Times New Roman" w:eastAsia="Times New Roman" w:hAnsi="Times New Roman" w:cs="Times New Roman"/>
            <w:color w:val="1155CC"/>
            <w:sz w:val="24"/>
            <w:szCs w:val="24"/>
            <w:u w:val="single"/>
            <w:lang w:val="en-US"/>
          </w:rPr>
          <w:t>http://www.oas.org/es/cidh/informes/pdfs/violenciapersonaslgbti.pdf</w:t>
        </w:r>
      </w:hyperlink>
    </w:p>
    <w:p w14:paraId="5899F935"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Convención sobre la Eliminación de Todas las Formas de Discriminación contra la Mujer (CEDAW, 2021).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ituación de las mujeres lesbianas en el Perú. Informe alternativo al comité para la eliminación de la discriminación contra la mujer.</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Demus</w:t>
      </w:r>
      <w:proofErr w:type="spellEnd"/>
      <w:r>
        <w:rPr>
          <w:rFonts w:ascii="Times New Roman" w:eastAsia="Times New Roman" w:hAnsi="Times New Roman" w:cs="Times New Roman"/>
          <w:i/>
          <w:sz w:val="24"/>
          <w:szCs w:val="24"/>
        </w:rPr>
        <w:t xml:space="preserve">. </w:t>
      </w:r>
      <w:hyperlink r:id="rId18">
        <w:r w:rsidR="004232E5">
          <w:rPr>
            <w:rFonts w:ascii="Times New Roman" w:eastAsia="Times New Roman" w:hAnsi="Times New Roman" w:cs="Times New Roman"/>
            <w:i/>
            <w:color w:val="1155CC"/>
            <w:sz w:val="24"/>
            <w:szCs w:val="24"/>
            <w:u w:val="single"/>
          </w:rPr>
          <w:t>https://www.demus.org.pe/wp-content/uploads/2023/02/CEDAW-situacion-de-mujeres-lesbianas-en-Peru-Informe-alternativo-al-comite-para-la-eliminacion-de-la-discriminacion-contra-la-mujer.pdf</w:t>
        </w:r>
      </w:hyperlink>
    </w:p>
    <w:p w14:paraId="25FA44AA" w14:textId="58605D99" w:rsidR="004232E5" w:rsidRPr="004342CC"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Cornejo, M., Henríquez, A., y Pichardo, J. (2014). Homosexualidad y religión ¿derechos </w:t>
      </w:r>
      <w:proofErr w:type="gramStart"/>
      <w:r>
        <w:rPr>
          <w:rFonts w:ascii="Times New Roman" w:eastAsia="Times New Roman" w:hAnsi="Times New Roman" w:cs="Times New Roman"/>
          <w:sz w:val="24"/>
          <w:szCs w:val="24"/>
        </w:rPr>
        <w:t>irreconciliables?.</w:t>
      </w:r>
      <w:proofErr w:type="gramEnd"/>
      <w:r>
        <w:rPr>
          <w:rFonts w:ascii="Times New Roman" w:eastAsia="Times New Roman" w:hAnsi="Times New Roman" w:cs="Times New Roman"/>
          <w:sz w:val="24"/>
          <w:szCs w:val="24"/>
        </w:rPr>
        <w:t xml:space="preserve"> En </w:t>
      </w:r>
      <w:r>
        <w:rPr>
          <w:rFonts w:ascii="Times New Roman" w:eastAsia="Times New Roman" w:hAnsi="Times New Roman" w:cs="Times New Roman"/>
          <w:i/>
          <w:sz w:val="24"/>
          <w:szCs w:val="24"/>
        </w:rPr>
        <w:t>XI Congreso Español de Sociología “Crisis y cambio: propuestas desde la Sociología”</w:t>
      </w:r>
      <w:r>
        <w:rPr>
          <w:rFonts w:ascii="Times New Roman" w:eastAsia="Times New Roman" w:hAnsi="Times New Roman" w:cs="Times New Roman"/>
          <w:sz w:val="24"/>
          <w:szCs w:val="24"/>
        </w:rPr>
        <w:t xml:space="preserve">.  </w:t>
      </w:r>
      <w:hyperlink r:id="rId19">
        <w:r w:rsidRPr="004342CC">
          <w:rPr>
            <w:rFonts w:ascii="Times New Roman" w:eastAsia="Times New Roman" w:hAnsi="Times New Roman" w:cs="Times New Roman"/>
            <w:color w:val="1155CC"/>
            <w:sz w:val="24"/>
            <w:szCs w:val="24"/>
            <w:u w:val="single"/>
            <w:lang w:val="en-US"/>
          </w:rPr>
          <w:t>https://hdl.handle.net/20.500.14352/36136</w:t>
        </w:r>
      </w:hyperlink>
    </w:p>
    <w:p w14:paraId="0D290281"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4342CC">
        <w:rPr>
          <w:rFonts w:ascii="Times New Roman" w:eastAsia="Times New Roman" w:hAnsi="Times New Roman" w:cs="Times New Roman"/>
          <w:sz w:val="24"/>
          <w:szCs w:val="24"/>
          <w:lang w:val="en-US"/>
        </w:rPr>
        <w:t xml:space="preserve">Creek, S., y Dunn, J. (2011). </w:t>
      </w:r>
      <w:r w:rsidRPr="006B5B58">
        <w:rPr>
          <w:rFonts w:ascii="Times New Roman" w:eastAsia="Times New Roman" w:hAnsi="Times New Roman" w:cs="Times New Roman"/>
          <w:sz w:val="24"/>
          <w:szCs w:val="24"/>
          <w:lang w:val="en-US"/>
        </w:rPr>
        <w:t xml:space="preserve">Rethinking gender and violence: Agency, heterogeneity, and intersectionality. </w:t>
      </w:r>
      <w:proofErr w:type="spellStart"/>
      <w:r>
        <w:rPr>
          <w:rFonts w:ascii="Times New Roman" w:eastAsia="Times New Roman" w:hAnsi="Times New Roman" w:cs="Times New Roman"/>
          <w:i/>
          <w:sz w:val="24"/>
          <w:szCs w:val="24"/>
        </w:rPr>
        <w:t>Sociology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Compass</w:t>
      </w:r>
      <w:proofErr w:type="spellEnd"/>
      <w:r>
        <w:rPr>
          <w:rFonts w:ascii="Times New Roman" w:eastAsia="Times New Roman" w:hAnsi="Times New Roman" w:cs="Times New Roman"/>
          <w:sz w:val="24"/>
          <w:szCs w:val="24"/>
        </w:rPr>
        <w:t xml:space="preserve">, 5(5), 311-322. </w:t>
      </w:r>
      <w:hyperlink r:id="rId20">
        <w:r w:rsidR="004232E5">
          <w:rPr>
            <w:rFonts w:ascii="Times New Roman" w:eastAsia="Times New Roman" w:hAnsi="Times New Roman" w:cs="Times New Roman"/>
            <w:color w:val="1155CC"/>
            <w:sz w:val="24"/>
            <w:szCs w:val="24"/>
            <w:u w:val="single"/>
          </w:rPr>
          <w:t>https://doi.org/10.1111/j.1751-9020.2011.00360.x</w:t>
        </w:r>
      </w:hyperlink>
    </w:p>
    <w:p w14:paraId="7951D30B"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Defensoría del Pueblo (2018). </w:t>
      </w:r>
      <w:r>
        <w:rPr>
          <w:rFonts w:ascii="Times New Roman" w:eastAsia="Times New Roman" w:hAnsi="Times New Roman" w:cs="Times New Roman"/>
          <w:i/>
          <w:sz w:val="24"/>
          <w:szCs w:val="24"/>
        </w:rPr>
        <w:t>Derechos humanos de las personas LGBTI: Necesidad de una política pública para la igualdad en el Perú.</w:t>
      </w:r>
      <w:r>
        <w:rPr>
          <w:rFonts w:ascii="Times New Roman" w:eastAsia="Times New Roman" w:hAnsi="Times New Roman" w:cs="Times New Roman"/>
          <w:sz w:val="24"/>
          <w:szCs w:val="24"/>
        </w:rPr>
        <w:t xml:space="preserve"> </w:t>
      </w:r>
      <w:hyperlink r:id="rId21">
        <w:r w:rsidR="004232E5">
          <w:rPr>
            <w:rFonts w:ascii="Times New Roman" w:eastAsia="Times New Roman" w:hAnsi="Times New Roman" w:cs="Times New Roman"/>
            <w:color w:val="1155CC"/>
            <w:sz w:val="24"/>
            <w:szCs w:val="24"/>
            <w:u w:val="single"/>
          </w:rPr>
          <w:t>https://www.defensoria.gob.pe/wp-</w:t>
        </w:r>
        <w:r w:rsidR="004232E5">
          <w:rPr>
            <w:rFonts w:ascii="Times New Roman" w:eastAsia="Times New Roman" w:hAnsi="Times New Roman" w:cs="Times New Roman"/>
            <w:color w:val="1155CC"/>
            <w:sz w:val="24"/>
            <w:szCs w:val="24"/>
            <w:u w:val="single"/>
          </w:rPr>
          <w:lastRenderedPageBreak/>
          <w:t>content/uploads/2018/05/Informe-175--Derechos-humanos-de-personas-LGBTI.pdf</w:t>
        </w:r>
      </w:hyperlink>
    </w:p>
    <w:p w14:paraId="531A5870"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Fasoli</w:t>
      </w:r>
      <w:proofErr w:type="spellEnd"/>
      <w:r>
        <w:rPr>
          <w:rFonts w:ascii="Times New Roman" w:eastAsia="Times New Roman" w:hAnsi="Times New Roman" w:cs="Times New Roman"/>
          <w:sz w:val="24"/>
          <w:szCs w:val="24"/>
        </w:rPr>
        <w:t xml:space="preserve">, F., Durante, F., Mari, S., </w:t>
      </w:r>
      <w:proofErr w:type="spellStart"/>
      <w:r>
        <w:rPr>
          <w:rFonts w:ascii="Times New Roman" w:eastAsia="Times New Roman" w:hAnsi="Times New Roman" w:cs="Times New Roman"/>
          <w:sz w:val="24"/>
          <w:szCs w:val="24"/>
        </w:rPr>
        <w:t>Zogmaister</w:t>
      </w:r>
      <w:proofErr w:type="spellEnd"/>
      <w:r>
        <w:rPr>
          <w:rFonts w:ascii="Times New Roman" w:eastAsia="Times New Roman" w:hAnsi="Times New Roman" w:cs="Times New Roman"/>
          <w:sz w:val="24"/>
          <w:szCs w:val="24"/>
        </w:rPr>
        <w:t xml:space="preserve">, C., y </w:t>
      </w:r>
      <w:proofErr w:type="spellStart"/>
      <w:r>
        <w:rPr>
          <w:rFonts w:ascii="Times New Roman" w:eastAsia="Times New Roman" w:hAnsi="Times New Roman" w:cs="Times New Roman"/>
          <w:sz w:val="24"/>
          <w:szCs w:val="24"/>
        </w:rPr>
        <w:t>Volpato</w:t>
      </w:r>
      <w:proofErr w:type="spellEnd"/>
      <w:r>
        <w:rPr>
          <w:rFonts w:ascii="Times New Roman" w:eastAsia="Times New Roman" w:hAnsi="Times New Roman" w:cs="Times New Roman"/>
          <w:sz w:val="24"/>
          <w:szCs w:val="24"/>
        </w:rPr>
        <w:t xml:space="preserve">, C. (2018). </w:t>
      </w:r>
      <w:r w:rsidRPr="006B5B58">
        <w:rPr>
          <w:rFonts w:ascii="Times New Roman" w:eastAsia="Times New Roman" w:hAnsi="Times New Roman" w:cs="Times New Roman"/>
          <w:sz w:val="24"/>
          <w:szCs w:val="24"/>
          <w:lang w:val="en-US"/>
        </w:rPr>
        <w:t xml:space="preserve">Shades of sexualization: When sexualization becomes sexual objectification. </w:t>
      </w:r>
      <w:r w:rsidRPr="006B5B58">
        <w:rPr>
          <w:rFonts w:ascii="Times New Roman" w:eastAsia="Times New Roman" w:hAnsi="Times New Roman" w:cs="Times New Roman"/>
          <w:i/>
          <w:sz w:val="24"/>
          <w:szCs w:val="24"/>
          <w:lang w:val="en-US"/>
        </w:rPr>
        <w:t>Sex Roles</w:t>
      </w:r>
      <w:r w:rsidRPr="006B5B58">
        <w:rPr>
          <w:rFonts w:ascii="Times New Roman" w:eastAsia="Times New Roman" w:hAnsi="Times New Roman" w:cs="Times New Roman"/>
          <w:sz w:val="24"/>
          <w:szCs w:val="24"/>
          <w:lang w:val="en-US"/>
        </w:rPr>
        <w:t xml:space="preserve">, 78(1), 338-351. </w:t>
      </w:r>
      <w:hyperlink r:id="rId22">
        <w:r w:rsidR="004232E5" w:rsidRPr="006B5B58">
          <w:rPr>
            <w:rFonts w:ascii="Times New Roman" w:eastAsia="Times New Roman" w:hAnsi="Times New Roman" w:cs="Times New Roman"/>
            <w:color w:val="1155CC"/>
            <w:sz w:val="24"/>
            <w:szCs w:val="24"/>
            <w:u w:val="single"/>
            <w:lang w:val="en-US"/>
          </w:rPr>
          <w:t>https://doi.org/10.1007/s11199-017-0808-1</w:t>
        </w:r>
      </w:hyperlink>
    </w:p>
    <w:p w14:paraId="34BF9BE0"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6B5B58">
        <w:rPr>
          <w:rFonts w:ascii="Times New Roman" w:eastAsia="Times New Roman" w:hAnsi="Times New Roman" w:cs="Times New Roman"/>
          <w:sz w:val="24"/>
          <w:szCs w:val="24"/>
          <w:lang w:val="en-US"/>
        </w:rPr>
        <w:t xml:space="preserve">Fernández, S. (2021). Towards a Definition of Abuse of Conscience in the Catholic </w:t>
      </w:r>
      <w:proofErr w:type="gramStart"/>
      <w:r w:rsidRPr="006B5B58">
        <w:rPr>
          <w:rFonts w:ascii="Times New Roman" w:eastAsia="Times New Roman" w:hAnsi="Times New Roman" w:cs="Times New Roman"/>
          <w:sz w:val="24"/>
          <w:szCs w:val="24"/>
          <w:lang w:val="en-US"/>
        </w:rPr>
        <w:t xml:space="preserve">Setting,  </w:t>
      </w:r>
      <w:r w:rsidRPr="006B5B58">
        <w:rPr>
          <w:rFonts w:ascii="Times New Roman" w:eastAsia="Times New Roman" w:hAnsi="Times New Roman" w:cs="Times New Roman"/>
          <w:i/>
          <w:sz w:val="24"/>
          <w:szCs w:val="24"/>
          <w:lang w:val="en-US"/>
        </w:rPr>
        <w:t>Gregorianum</w:t>
      </w:r>
      <w:proofErr w:type="gramEnd"/>
      <w:r w:rsidRPr="006B5B58">
        <w:rPr>
          <w:rFonts w:ascii="Times New Roman" w:eastAsia="Times New Roman" w:hAnsi="Times New Roman" w:cs="Times New Roman"/>
          <w:sz w:val="24"/>
          <w:szCs w:val="24"/>
          <w:lang w:val="en-US"/>
        </w:rPr>
        <w:t xml:space="preserve">, (102)3, 557-574. </w:t>
      </w:r>
      <w:hyperlink r:id="rId23">
        <w:r w:rsidR="004232E5">
          <w:rPr>
            <w:rFonts w:ascii="Times New Roman" w:eastAsia="Times New Roman" w:hAnsi="Times New Roman" w:cs="Times New Roman"/>
            <w:color w:val="1155CC"/>
            <w:sz w:val="24"/>
            <w:szCs w:val="24"/>
            <w:u w:val="single"/>
          </w:rPr>
          <w:t>https://doi.org/10.32060/Gregorianum.102/3.2021.557-574</w:t>
        </w:r>
      </w:hyperlink>
    </w:p>
    <w:p w14:paraId="35CBBC63"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Fiscalía de la Nación (2022). Características criminológicas de las muertes dolosas de personas LGTB en el Perú 2012 – 2021. </w:t>
      </w:r>
      <w:r>
        <w:rPr>
          <w:rFonts w:ascii="Times New Roman" w:eastAsia="Times New Roman" w:hAnsi="Times New Roman" w:cs="Times New Roman"/>
          <w:i/>
          <w:sz w:val="24"/>
          <w:szCs w:val="24"/>
        </w:rPr>
        <w:t>Plataforma digital del gobierno peruano.</w:t>
      </w:r>
      <w:r>
        <w:rPr>
          <w:rFonts w:ascii="Times New Roman" w:eastAsia="Times New Roman" w:hAnsi="Times New Roman" w:cs="Times New Roman"/>
          <w:sz w:val="24"/>
          <w:szCs w:val="24"/>
        </w:rPr>
        <w:t xml:space="preserve"> </w:t>
      </w:r>
      <w:hyperlink r:id="rId24">
        <w:r w:rsidR="004232E5">
          <w:rPr>
            <w:rFonts w:ascii="Times New Roman" w:eastAsia="Times New Roman" w:hAnsi="Times New Roman" w:cs="Times New Roman"/>
            <w:color w:val="1155CC"/>
            <w:sz w:val="24"/>
            <w:szCs w:val="24"/>
            <w:u w:val="single"/>
          </w:rPr>
          <w:t>https://www.gob.pe/institucion/mpfn/informes-publicaciones/2829986-caracteristicascriminologicas-de-las-muertes-dolosas-de-personas-lgtb-en-el-peru-2012-2021</w:t>
        </w:r>
      </w:hyperlink>
    </w:p>
    <w:p w14:paraId="6406FDE6"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Flores, A., </w:t>
      </w:r>
      <w:proofErr w:type="spellStart"/>
      <w:r w:rsidRPr="006B5B58">
        <w:rPr>
          <w:rFonts w:ascii="Times New Roman" w:eastAsia="Times New Roman" w:hAnsi="Times New Roman" w:cs="Times New Roman"/>
          <w:sz w:val="24"/>
          <w:szCs w:val="24"/>
          <w:lang w:val="en-US"/>
        </w:rPr>
        <w:t>Stotzer</w:t>
      </w:r>
      <w:proofErr w:type="spellEnd"/>
      <w:r w:rsidRPr="006B5B58">
        <w:rPr>
          <w:rFonts w:ascii="Times New Roman" w:eastAsia="Times New Roman" w:hAnsi="Times New Roman" w:cs="Times New Roman"/>
          <w:sz w:val="24"/>
          <w:szCs w:val="24"/>
          <w:lang w:val="en-US"/>
        </w:rPr>
        <w:t xml:space="preserve">, R., Meyer, I., y Langton, L. (2022). Hate crimes against LGBT people: National crime victimization survey, 2017-2019. </w:t>
      </w:r>
      <w:proofErr w:type="spellStart"/>
      <w:r w:rsidRPr="006B5B58">
        <w:rPr>
          <w:rFonts w:ascii="Times New Roman" w:eastAsia="Times New Roman" w:hAnsi="Times New Roman" w:cs="Times New Roman"/>
          <w:i/>
          <w:sz w:val="24"/>
          <w:szCs w:val="24"/>
          <w:lang w:val="en-US"/>
        </w:rPr>
        <w:t>PloS</w:t>
      </w:r>
      <w:proofErr w:type="spellEnd"/>
      <w:r w:rsidRPr="006B5B58">
        <w:rPr>
          <w:rFonts w:ascii="Times New Roman" w:eastAsia="Times New Roman" w:hAnsi="Times New Roman" w:cs="Times New Roman"/>
          <w:i/>
          <w:sz w:val="24"/>
          <w:szCs w:val="24"/>
          <w:lang w:val="en-US"/>
        </w:rPr>
        <w:t xml:space="preserve"> one</w:t>
      </w:r>
      <w:r w:rsidRPr="006B5B58">
        <w:rPr>
          <w:rFonts w:ascii="Times New Roman" w:eastAsia="Times New Roman" w:hAnsi="Times New Roman" w:cs="Times New Roman"/>
          <w:sz w:val="24"/>
          <w:szCs w:val="24"/>
          <w:lang w:val="en-US"/>
        </w:rPr>
        <w:t>, 17(12), e0279363.</w:t>
      </w:r>
    </w:p>
    <w:p w14:paraId="7B475BE2"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6B5B58">
        <w:rPr>
          <w:rFonts w:ascii="Times New Roman" w:eastAsia="Times New Roman" w:hAnsi="Times New Roman" w:cs="Times New Roman"/>
          <w:sz w:val="24"/>
          <w:szCs w:val="24"/>
          <w:lang w:val="en-US"/>
        </w:rPr>
        <w:t xml:space="preserve">Formby, E. (2017). </w:t>
      </w:r>
      <w:r w:rsidRPr="006B5B58">
        <w:rPr>
          <w:rFonts w:ascii="Times New Roman" w:eastAsia="Times New Roman" w:hAnsi="Times New Roman" w:cs="Times New Roman"/>
          <w:i/>
          <w:sz w:val="24"/>
          <w:szCs w:val="24"/>
          <w:lang w:val="en-US"/>
        </w:rPr>
        <w:t xml:space="preserve">Exploring LGBT spaces and communities: Contrasting identities, belongings and wellbeing. </w:t>
      </w:r>
      <w:r>
        <w:rPr>
          <w:rFonts w:ascii="Times New Roman" w:eastAsia="Times New Roman" w:hAnsi="Times New Roman" w:cs="Times New Roman"/>
          <w:sz w:val="24"/>
          <w:szCs w:val="24"/>
        </w:rPr>
        <w:t xml:space="preserve">Routledge​. </w:t>
      </w:r>
      <w:hyperlink r:id="rId25">
        <w:r w:rsidR="004232E5">
          <w:rPr>
            <w:rFonts w:ascii="Times New Roman" w:eastAsia="Times New Roman" w:hAnsi="Times New Roman" w:cs="Times New Roman"/>
            <w:color w:val="1155CC"/>
            <w:sz w:val="24"/>
            <w:szCs w:val="24"/>
            <w:u w:val="single"/>
          </w:rPr>
          <w:t>https://doi.org/10.4324/9781315747798</w:t>
        </w:r>
      </w:hyperlink>
      <w:r>
        <w:rPr>
          <w:rFonts w:ascii="Times New Roman" w:eastAsia="Times New Roman" w:hAnsi="Times New Roman" w:cs="Times New Roman"/>
          <w:sz w:val="24"/>
          <w:szCs w:val="24"/>
        </w:rPr>
        <w:t>.</w:t>
      </w:r>
    </w:p>
    <w:p w14:paraId="7B9CEC8D"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(2016). </w:t>
      </w:r>
      <w:r>
        <w:rPr>
          <w:rFonts w:ascii="Times New Roman" w:eastAsia="Times New Roman" w:hAnsi="Times New Roman" w:cs="Times New Roman"/>
          <w:i/>
          <w:sz w:val="24"/>
          <w:szCs w:val="24"/>
        </w:rPr>
        <w:t xml:space="preserve">Enfermedad mental y personalidad. </w:t>
      </w:r>
      <w:r>
        <w:rPr>
          <w:rFonts w:ascii="Times New Roman" w:eastAsia="Times New Roman" w:hAnsi="Times New Roman" w:cs="Times New Roman"/>
          <w:sz w:val="24"/>
          <w:szCs w:val="24"/>
        </w:rPr>
        <w:t>Paidós. ISBN 8449332397.</w:t>
      </w:r>
    </w:p>
    <w:p w14:paraId="4E2BDC60"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(2018). </w:t>
      </w:r>
      <w:r>
        <w:rPr>
          <w:rFonts w:ascii="Times New Roman" w:eastAsia="Times New Roman" w:hAnsi="Times New Roman" w:cs="Times New Roman"/>
          <w:i/>
          <w:sz w:val="24"/>
          <w:szCs w:val="24"/>
        </w:rPr>
        <w:t>Historia de la locura.</w:t>
      </w:r>
      <w:r>
        <w:rPr>
          <w:rFonts w:ascii="Times New Roman" w:eastAsia="Times New Roman" w:hAnsi="Times New Roman" w:cs="Times New Roman"/>
          <w:sz w:val="24"/>
          <w:szCs w:val="24"/>
        </w:rPr>
        <w:t xml:space="preserve"> INNISFREE. ISBN 0463770544.</w:t>
      </w:r>
    </w:p>
    <w:p w14:paraId="03B23229"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Fraïssé</w:t>
      </w:r>
      <w:proofErr w:type="spellEnd"/>
      <w:r>
        <w:rPr>
          <w:rFonts w:ascii="Times New Roman" w:eastAsia="Times New Roman" w:hAnsi="Times New Roman" w:cs="Times New Roman"/>
          <w:sz w:val="24"/>
          <w:szCs w:val="24"/>
        </w:rPr>
        <w:t xml:space="preserve">, C., y Barrientos, J. (2016). </w:t>
      </w:r>
      <w:r w:rsidRPr="006B5B58">
        <w:rPr>
          <w:rFonts w:ascii="Times New Roman" w:eastAsia="Times New Roman" w:hAnsi="Times New Roman" w:cs="Times New Roman"/>
          <w:sz w:val="24"/>
          <w:szCs w:val="24"/>
          <w:lang w:val="en-US"/>
        </w:rPr>
        <w:t xml:space="preserve">The concept of homophobia: A psychosocial perspective. </w:t>
      </w:r>
      <w:proofErr w:type="spellStart"/>
      <w:r>
        <w:rPr>
          <w:rFonts w:ascii="Times New Roman" w:eastAsia="Times New Roman" w:hAnsi="Times New Roman" w:cs="Times New Roman"/>
          <w:i/>
          <w:sz w:val="24"/>
          <w:szCs w:val="24"/>
        </w:rPr>
        <w:t>Sexologies</w:t>
      </w:r>
      <w:proofErr w:type="spellEnd"/>
      <w:r>
        <w:rPr>
          <w:rFonts w:ascii="Times New Roman" w:eastAsia="Times New Roman" w:hAnsi="Times New Roman" w:cs="Times New Roman"/>
          <w:sz w:val="24"/>
          <w:szCs w:val="24"/>
        </w:rPr>
        <w:t xml:space="preserve">, 25(4), e65-e69. </w:t>
      </w:r>
      <w:hyperlink r:id="rId26">
        <w:r w:rsidR="004232E5">
          <w:rPr>
            <w:rFonts w:ascii="Times New Roman" w:eastAsia="Times New Roman" w:hAnsi="Times New Roman" w:cs="Times New Roman"/>
            <w:color w:val="1155CC"/>
            <w:sz w:val="24"/>
            <w:szCs w:val="24"/>
            <w:u w:val="single"/>
          </w:rPr>
          <w:t>https://doi.org/10.1016/j.sexol.2016.02.002</w:t>
        </w:r>
      </w:hyperlink>
    </w:p>
    <w:p w14:paraId="663AF5DB"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4342CC">
        <w:rPr>
          <w:rFonts w:ascii="Times New Roman" w:eastAsia="Times New Roman" w:hAnsi="Times New Roman" w:cs="Times New Roman"/>
          <w:sz w:val="24"/>
          <w:szCs w:val="24"/>
          <w:lang w:val="en-US"/>
        </w:rPr>
        <w:t xml:space="preserve">Frary, M. (2019). </w:t>
      </w:r>
      <w:r w:rsidRPr="006B5B58">
        <w:rPr>
          <w:rFonts w:ascii="Times New Roman" w:eastAsia="Times New Roman" w:hAnsi="Times New Roman" w:cs="Times New Roman"/>
          <w:sz w:val="24"/>
          <w:szCs w:val="24"/>
          <w:lang w:val="en-US"/>
        </w:rPr>
        <w:t xml:space="preserve">Hiding your true self: LGBT people face </w:t>
      </w:r>
      <w:proofErr w:type="gramStart"/>
      <w:r w:rsidRPr="006B5B58">
        <w:rPr>
          <w:rFonts w:ascii="Times New Roman" w:eastAsia="Times New Roman" w:hAnsi="Times New Roman" w:cs="Times New Roman"/>
          <w:sz w:val="24"/>
          <w:szCs w:val="24"/>
          <w:lang w:val="en-US"/>
        </w:rPr>
        <w:t>particular discrimination</w:t>
      </w:r>
      <w:proofErr w:type="gramEnd"/>
      <w:r w:rsidRPr="006B5B58">
        <w:rPr>
          <w:rFonts w:ascii="Times New Roman" w:eastAsia="Times New Roman" w:hAnsi="Times New Roman" w:cs="Times New Roman"/>
          <w:sz w:val="24"/>
          <w:szCs w:val="24"/>
          <w:lang w:val="en-US"/>
        </w:rPr>
        <w:t xml:space="preserve"> at some international borders. </w:t>
      </w:r>
      <w:proofErr w:type="spellStart"/>
      <w:r>
        <w:rPr>
          <w:rFonts w:ascii="Times New Roman" w:eastAsia="Times New Roman" w:hAnsi="Times New Roman" w:cs="Times New Roman"/>
          <w:i/>
          <w:sz w:val="24"/>
          <w:szCs w:val="24"/>
        </w:rPr>
        <w:t>Index</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Censorship</w:t>
      </w:r>
      <w:proofErr w:type="spellEnd"/>
      <w:r>
        <w:rPr>
          <w:rFonts w:ascii="Times New Roman" w:eastAsia="Times New Roman" w:hAnsi="Times New Roman" w:cs="Times New Roman"/>
          <w:sz w:val="24"/>
          <w:szCs w:val="24"/>
        </w:rPr>
        <w:t xml:space="preserve">, 48(3), 23-25. </w:t>
      </w:r>
      <w:hyperlink r:id="rId27">
        <w:r w:rsidR="004232E5">
          <w:rPr>
            <w:rFonts w:ascii="Times New Roman" w:eastAsia="Times New Roman" w:hAnsi="Times New Roman" w:cs="Times New Roman"/>
            <w:color w:val="1155CC"/>
            <w:sz w:val="24"/>
            <w:szCs w:val="24"/>
            <w:u w:val="single"/>
          </w:rPr>
          <w:t>https://doi.org/10.1177/0306422019876455</w:t>
        </w:r>
      </w:hyperlink>
    </w:p>
    <w:p w14:paraId="7EF6BDC7"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Fuller, N. (1996). En torno a la polaridad machismo-marianismo. </w:t>
      </w:r>
      <w:r>
        <w:rPr>
          <w:rFonts w:ascii="Times New Roman" w:eastAsia="Times New Roman" w:hAnsi="Times New Roman" w:cs="Times New Roman"/>
          <w:i/>
          <w:sz w:val="24"/>
          <w:szCs w:val="24"/>
        </w:rPr>
        <w:t xml:space="preserve">Anuario de Hojas de </w:t>
      </w:r>
      <w:proofErr w:type="spellStart"/>
      <w:r>
        <w:rPr>
          <w:rFonts w:ascii="Times New Roman" w:eastAsia="Times New Roman" w:hAnsi="Times New Roman" w:cs="Times New Roman"/>
          <w:i/>
          <w:sz w:val="24"/>
          <w:szCs w:val="24"/>
        </w:rPr>
        <w:t>Warmi</w:t>
      </w:r>
      <w:proofErr w:type="spellEnd"/>
      <w:r>
        <w:rPr>
          <w:rFonts w:ascii="Times New Roman" w:eastAsia="Times New Roman" w:hAnsi="Times New Roman" w:cs="Times New Roman"/>
          <w:sz w:val="24"/>
          <w:szCs w:val="24"/>
        </w:rPr>
        <w:t xml:space="preserve">, (7), 11-18. </w:t>
      </w:r>
      <w:hyperlink r:id="rId28">
        <w:r w:rsidR="004232E5">
          <w:rPr>
            <w:rFonts w:ascii="Times New Roman" w:eastAsia="Times New Roman" w:hAnsi="Times New Roman" w:cs="Times New Roman"/>
            <w:color w:val="1155CC"/>
            <w:sz w:val="24"/>
            <w:szCs w:val="24"/>
            <w:u w:val="single"/>
          </w:rPr>
          <w:t>https://raco.cat/index.php/HojasWarmi/article/view/180661</w:t>
        </w:r>
      </w:hyperlink>
      <w:r>
        <w:rPr>
          <w:rFonts w:ascii="Times New Roman" w:eastAsia="Times New Roman" w:hAnsi="Times New Roman" w:cs="Times New Roman"/>
          <w:sz w:val="24"/>
          <w:szCs w:val="24"/>
        </w:rPr>
        <w:t xml:space="preserve">. </w:t>
      </w:r>
    </w:p>
    <w:p w14:paraId="5ADB78B9"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García, L. (2023). </w:t>
      </w:r>
      <w:proofErr w:type="spellStart"/>
      <w:r>
        <w:rPr>
          <w:rFonts w:ascii="Times New Roman" w:eastAsia="Times New Roman" w:hAnsi="Times New Roman" w:cs="Times New Roman"/>
          <w:sz w:val="24"/>
          <w:szCs w:val="24"/>
        </w:rPr>
        <w:t>Lesbofeminicidios</w:t>
      </w:r>
      <w:proofErr w:type="spellEnd"/>
      <w:r>
        <w:rPr>
          <w:rFonts w:ascii="Times New Roman" w:eastAsia="Times New Roman" w:hAnsi="Times New Roman" w:cs="Times New Roman"/>
          <w:sz w:val="24"/>
          <w:szCs w:val="24"/>
        </w:rPr>
        <w:t xml:space="preserve"> en Latinoamérica: entre la vitalidad y el riesgo de la existencia lesbiana. Tramas Y Redes, (4), 231–249. </w:t>
      </w:r>
      <w:hyperlink r:id="rId29">
        <w:r w:rsidR="004232E5">
          <w:rPr>
            <w:rFonts w:ascii="Times New Roman" w:eastAsia="Times New Roman" w:hAnsi="Times New Roman" w:cs="Times New Roman"/>
            <w:color w:val="1155CC"/>
            <w:sz w:val="24"/>
            <w:szCs w:val="24"/>
            <w:u w:val="single"/>
          </w:rPr>
          <w:t>https://doi.org/10.54871/cl4c400l</w:t>
        </w:r>
      </w:hyperlink>
    </w:p>
    <w:p w14:paraId="30B32D98"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Giesecke</w:t>
      </w:r>
      <w:proofErr w:type="spellEnd"/>
      <w:r>
        <w:rPr>
          <w:rFonts w:ascii="Times New Roman" w:eastAsia="Times New Roman" w:hAnsi="Times New Roman" w:cs="Times New Roman"/>
          <w:sz w:val="24"/>
          <w:szCs w:val="24"/>
        </w:rPr>
        <w:t xml:space="preserve">, M. (2019). Entre el amor romántico y el confluente: representaciones sociales del amor en jóvenes lesbianas de la clase alta limeña. </w:t>
      </w:r>
      <w:r>
        <w:rPr>
          <w:rFonts w:ascii="Times New Roman" w:eastAsia="Times New Roman" w:hAnsi="Times New Roman" w:cs="Times New Roman"/>
          <w:i/>
          <w:sz w:val="24"/>
          <w:szCs w:val="24"/>
        </w:rPr>
        <w:t>Debates En Sociología</w:t>
      </w:r>
      <w:r>
        <w:rPr>
          <w:rFonts w:ascii="Times New Roman" w:eastAsia="Times New Roman" w:hAnsi="Times New Roman" w:cs="Times New Roman"/>
          <w:sz w:val="24"/>
          <w:szCs w:val="24"/>
        </w:rPr>
        <w:t xml:space="preserve">, (46), 5-32. </w:t>
      </w:r>
      <w:hyperlink r:id="rId30">
        <w:r w:rsidR="004232E5">
          <w:rPr>
            <w:rFonts w:ascii="Times New Roman" w:eastAsia="Times New Roman" w:hAnsi="Times New Roman" w:cs="Times New Roman"/>
            <w:color w:val="1155CC"/>
            <w:sz w:val="24"/>
            <w:szCs w:val="24"/>
            <w:u w:val="single"/>
          </w:rPr>
          <w:t>https://doi.org/10.18800/debatesensociologia.201801.001</w:t>
        </w:r>
      </w:hyperlink>
    </w:p>
    <w:p w14:paraId="64E8F8A2"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Gutiérrez, M. (2021). La comunidad LGBT+ en el Perú: los retos para incluirla y reconocer sus derechos en el siglo XXI. </w:t>
      </w:r>
      <w:proofErr w:type="spellStart"/>
      <w:r>
        <w:rPr>
          <w:rFonts w:ascii="Times New Roman" w:eastAsia="Times New Roman" w:hAnsi="Times New Roman" w:cs="Times New Roman"/>
          <w:i/>
          <w:sz w:val="24"/>
          <w:szCs w:val="24"/>
        </w:rPr>
        <w:t>Advocatus</w:t>
      </w:r>
      <w:proofErr w:type="spellEnd"/>
      <w:r>
        <w:rPr>
          <w:rFonts w:ascii="Times New Roman" w:eastAsia="Times New Roman" w:hAnsi="Times New Roman" w:cs="Times New Roman"/>
          <w:sz w:val="24"/>
          <w:szCs w:val="24"/>
        </w:rPr>
        <w:t xml:space="preserve">, 1(39), 91-101. </w:t>
      </w:r>
      <w:hyperlink r:id="rId31">
        <w:r w:rsidR="004232E5">
          <w:rPr>
            <w:rFonts w:ascii="Times New Roman" w:eastAsia="Times New Roman" w:hAnsi="Times New Roman" w:cs="Times New Roman"/>
            <w:color w:val="1155CC"/>
            <w:sz w:val="24"/>
            <w:szCs w:val="24"/>
            <w:u w:val="single"/>
          </w:rPr>
          <w:t>https://doi.org/10.26439/advocatus2021.n39.5119</w:t>
        </w:r>
      </w:hyperlink>
    </w:p>
    <w:p w14:paraId="58974594"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R., Fernández, C., y Baptista, M. (2014). </w:t>
      </w:r>
      <w:r>
        <w:rPr>
          <w:rFonts w:ascii="Times New Roman" w:eastAsia="Times New Roman" w:hAnsi="Times New Roman" w:cs="Times New Roman"/>
          <w:i/>
          <w:sz w:val="24"/>
          <w:szCs w:val="24"/>
        </w:rPr>
        <w:t xml:space="preserve">Metodología de la Investigación. </w:t>
      </w:r>
      <w:r>
        <w:rPr>
          <w:rFonts w:ascii="Times New Roman" w:eastAsia="Times New Roman" w:hAnsi="Times New Roman" w:cs="Times New Roman"/>
          <w:sz w:val="24"/>
          <w:szCs w:val="24"/>
        </w:rPr>
        <w:t>McGraw Hill.​</w:t>
      </w:r>
    </w:p>
    <w:p w14:paraId="3E5519BB"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6B5B58">
        <w:rPr>
          <w:rFonts w:ascii="Times New Roman" w:eastAsia="Times New Roman" w:hAnsi="Times New Roman" w:cs="Times New Roman"/>
          <w:i/>
          <w:sz w:val="24"/>
          <w:szCs w:val="24"/>
          <w:lang w:val="en-US"/>
        </w:rPr>
        <w:t xml:space="preserve">International Association of Applied Psychology </w:t>
      </w:r>
      <w:r w:rsidRPr="006B5B58">
        <w:rPr>
          <w:rFonts w:ascii="Times New Roman" w:eastAsia="Times New Roman" w:hAnsi="Times New Roman" w:cs="Times New Roman"/>
          <w:sz w:val="24"/>
          <w:szCs w:val="24"/>
          <w:lang w:val="en-US"/>
        </w:rPr>
        <w:t>&amp;</w:t>
      </w:r>
      <w:r w:rsidRPr="006B5B58">
        <w:rPr>
          <w:rFonts w:ascii="Times New Roman" w:eastAsia="Times New Roman" w:hAnsi="Times New Roman" w:cs="Times New Roman"/>
          <w:i/>
          <w:sz w:val="24"/>
          <w:szCs w:val="24"/>
          <w:lang w:val="en-US"/>
        </w:rPr>
        <w:t xml:space="preserve"> International Union of Psychological Science</w:t>
      </w:r>
      <w:r w:rsidRPr="006B5B58">
        <w:rPr>
          <w:rFonts w:ascii="Times New Roman" w:eastAsia="Times New Roman" w:hAnsi="Times New Roman" w:cs="Times New Roman"/>
          <w:sz w:val="24"/>
          <w:szCs w:val="24"/>
          <w:lang w:val="en-US"/>
        </w:rPr>
        <w:t xml:space="preserve">. (2008). Universal Declaration of Ethical Principles for Psychologists. </w:t>
      </w:r>
      <w:r w:rsidRPr="006B5B58">
        <w:rPr>
          <w:rFonts w:ascii="Times New Roman" w:eastAsia="Times New Roman" w:hAnsi="Times New Roman" w:cs="Times New Roman"/>
          <w:i/>
          <w:sz w:val="24"/>
          <w:szCs w:val="24"/>
          <w:lang w:val="en-US"/>
        </w:rPr>
        <w:t>International Union of Psychological Science</w:t>
      </w:r>
      <w:r w:rsidRPr="006B5B58">
        <w:rPr>
          <w:rFonts w:ascii="Times New Roman" w:eastAsia="Times New Roman" w:hAnsi="Times New Roman" w:cs="Times New Roman"/>
          <w:sz w:val="24"/>
          <w:szCs w:val="24"/>
          <w:lang w:val="en-US"/>
        </w:rPr>
        <w:t xml:space="preserve">. </w:t>
      </w:r>
      <w:hyperlink r:id="rId32">
        <w:r w:rsidR="004232E5">
          <w:rPr>
            <w:rFonts w:ascii="Times New Roman" w:eastAsia="Times New Roman" w:hAnsi="Times New Roman" w:cs="Times New Roman"/>
            <w:color w:val="1155CC"/>
            <w:sz w:val="24"/>
            <w:szCs w:val="24"/>
            <w:u w:val="single"/>
          </w:rPr>
          <w:t>https://www.iupsys.net/about/declarations/universal-declaration-of-ethical-principles-for-psychologists/</w:t>
        </w:r>
      </w:hyperlink>
    </w:p>
    <w:p w14:paraId="61C8E20A"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Iñigo, A., Goicoechea, M., Sebastián, M., y Goicoechea, M. (2022). La religión en mujeres lesbianas y migrantes. El lugar sin límites. </w:t>
      </w:r>
      <w:r>
        <w:rPr>
          <w:rFonts w:ascii="Times New Roman" w:eastAsia="Times New Roman" w:hAnsi="Times New Roman" w:cs="Times New Roman"/>
          <w:i/>
          <w:sz w:val="24"/>
          <w:szCs w:val="24"/>
        </w:rPr>
        <w:t>Revista de Estudios y Políticas de Género</w:t>
      </w:r>
      <w:r>
        <w:rPr>
          <w:rFonts w:ascii="Times New Roman" w:eastAsia="Times New Roman" w:hAnsi="Times New Roman" w:cs="Times New Roman"/>
          <w:sz w:val="24"/>
          <w:szCs w:val="24"/>
        </w:rPr>
        <w:t xml:space="preserve">, 4(7), 74-99. </w:t>
      </w:r>
      <w:hyperlink r:id="rId33">
        <w:r w:rsidR="004232E5">
          <w:rPr>
            <w:rFonts w:ascii="Times New Roman" w:eastAsia="Times New Roman" w:hAnsi="Times New Roman" w:cs="Times New Roman"/>
            <w:color w:val="1155CC"/>
            <w:sz w:val="24"/>
            <w:szCs w:val="24"/>
            <w:u w:val="single"/>
          </w:rPr>
          <w:t>https://revistas.untref.edu.ar/index.php/ellugar/article/view/1332</w:t>
        </w:r>
      </w:hyperlink>
      <w:r>
        <w:rPr>
          <w:rFonts w:ascii="Times New Roman" w:eastAsia="Times New Roman" w:hAnsi="Times New Roman" w:cs="Times New Roman"/>
          <w:sz w:val="24"/>
          <w:szCs w:val="24"/>
        </w:rPr>
        <w:t xml:space="preserve"> </w:t>
      </w:r>
    </w:p>
    <w:p w14:paraId="729481EE"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Israel, T., y Mohr, J. (2004). </w:t>
      </w:r>
      <w:r w:rsidRPr="006B5B58">
        <w:rPr>
          <w:rFonts w:ascii="Times New Roman" w:eastAsia="Times New Roman" w:hAnsi="Times New Roman" w:cs="Times New Roman"/>
          <w:sz w:val="24"/>
          <w:szCs w:val="24"/>
          <w:lang w:val="en-US"/>
        </w:rPr>
        <w:t xml:space="preserve">Attitudes toward bisexual women and men: Current research, future directions.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bisexuality</w:t>
      </w:r>
      <w:proofErr w:type="spellEnd"/>
      <w:r>
        <w:rPr>
          <w:rFonts w:ascii="Times New Roman" w:eastAsia="Times New Roman" w:hAnsi="Times New Roman" w:cs="Times New Roman"/>
          <w:sz w:val="24"/>
          <w:szCs w:val="24"/>
        </w:rPr>
        <w:t xml:space="preserve">, 4(1-2), 117-134. </w:t>
      </w:r>
      <w:hyperlink r:id="rId34">
        <w:r w:rsidR="004232E5">
          <w:rPr>
            <w:rFonts w:ascii="Times New Roman" w:eastAsia="Times New Roman" w:hAnsi="Times New Roman" w:cs="Times New Roman"/>
            <w:color w:val="1155CC"/>
            <w:sz w:val="24"/>
            <w:szCs w:val="24"/>
            <w:u w:val="single"/>
          </w:rPr>
          <w:t>https://doi.org/10.1300/J159v04n01_09</w:t>
        </w:r>
      </w:hyperlink>
    </w:p>
    <w:p w14:paraId="464981AB"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Jácome, L. (2023). </w:t>
      </w:r>
      <w:r>
        <w:rPr>
          <w:rFonts w:ascii="Times New Roman" w:eastAsia="Times New Roman" w:hAnsi="Times New Roman" w:cs="Times New Roman"/>
          <w:i/>
          <w:sz w:val="24"/>
          <w:szCs w:val="24"/>
        </w:rPr>
        <w:t xml:space="preserve">El crimen de odio por razones de orientación sexual como agravante de la responsabilidad penal en el delito de homicidio calificado en el Perú </w:t>
      </w:r>
      <w:r>
        <w:rPr>
          <w:rFonts w:ascii="Times New Roman" w:eastAsia="Times New Roman" w:hAnsi="Times New Roman" w:cs="Times New Roman"/>
          <w:sz w:val="24"/>
          <w:szCs w:val="24"/>
        </w:rPr>
        <w:t xml:space="preserve">[Tesis de maestría en Derecho]. Universidad Nacional Santiago Antúnez de Mayolo. </w:t>
      </w:r>
      <w:hyperlink r:id="rId35">
        <w:r w:rsidR="004232E5">
          <w:rPr>
            <w:rFonts w:ascii="Times New Roman" w:eastAsia="Times New Roman" w:hAnsi="Times New Roman" w:cs="Times New Roman"/>
            <w:color w:val="1155CC"/>
            <w:sz w:val="24"/>
            <w:szCs w:val="24"/>
            <w:u w:val="single"/>
          </w:rPr>
          <w:t>repositorio.unasam.edu.pe/bitstream/handle/UNASAM/5759/T033_31668512_M.pdf?sequence=1&amp;isAllowed=y</w:t>
        </w:r>
      </w:hyperlink>
    </w:p>
    <w:p w14:paraId="0D0060DB"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Keats, T. (2016). </w:t>
      </w:r>
      <w:r w:rsidRPr="006B5B58">
        <w:rPr>
          <w:rFonts w:ascii="Times New Roman" w:eastAsia="Times New Roman" w:hAnsi="Times New Roman" w:cs="Times New Roman"/>
          <w:sz w:val="24"/>
          <w:szCs w:val="24"/>
          <w:lang w:val="en-US"/>
        </w:rPr>
        <w:t xml:space="preserve">Lesbophobia as a barrier to women in coaching. </w:t>
      </w:r>
      <w:r w:rsidRPr="006B5B58">
        <w:rPr>
          <w:rFonts w:ascii="Times New Roman" w:eastAsia="Times New Roman" w:hAnsi="Times New Roman" w:cs="Times New Roman"/>
          <w:i/>
          <w:sz w:val="24"/>
          <w:szCs w:val="24"/>
          <w:lang w:val="en-US"/>
        </w:rPr>
        <w:t>Taboo: The Journal of Culture and Education</w:t>
      </w:r>
      <w:r w:rsidRPr="006B5B58">
        <w:rPr>
          <w:rFonts w:ascii="Times New Roman" w:eastAsia="Times New Roman" w:hAnsi="Times New Roman" w:cs="Times New Roman"/>
          <w:sz w:val="24"/>
          <w:szCs w:val="24"/>
          <w:lang w:val="en-US"/>
        </w:rPr>
        <w:t xml:space="preserve">, 15(1). </w:t>
      </w:r>
      <w:hyperlink r:id="rId36">
        <w:r w:rsidR="004232E5" w:rsidRPr="006B5B58">
          <w:rPr>
            <w:rFonts w:ascii="Times New Roman" w:eastAsia="Times New Roman" w:hAnsi="Times New Roman" w:cs="Times New Roman"/>
            <w:color w:val="1155CC"/>
            <w:sz w:val="24"/>
            <w:szCs w:val="24"/>
            <w:u w:val="single"/>
            <w:lang w:val="en-US"/>
          </w:rPr>
          <w:t>https://doi.org/10.31390/taboo.15.1.08</w:t>
        </w:r>
      </w:hyperlink>
    </w:p>
    <w:p w14:paraId="62905BF7"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proofErr w:type="spellStart"/>
      <w:r w:rsidRPr="006B5B58">
        <w:rPr>
          <w:rFonts w:ascii="Times New Roman" w:eastAsia="Times New Roman" w:hAnsi="Times New Roman" w:cs="Times New Roman"/>
          <w:sz w:val="24"/>
          <w:szCs w:val="24"/>
          <w:lang w:val="en-US"/>
        </w:rPr>
        <w:t>Lefevor</w:t>
      </w:r>
      <w:proofErr w:type="spellEnd"/>
      <w:r w:rsidRPr="006B5B58">
        <w:rPr>
          <w:rFonts w:ascii="Times New Roman" w:eastAsia="Times New Roman" w:hAnsi="Times New Roman" w:cs="Times New Roman"/>
          <w:sz w:val="24"/>
          <w:szCs w:val="24"/>
          <w:lang w:val="en-US"/>
        </w:rPr>
        <w:t xml:space="preserve">, G. T., Davis, E. B., Paiz, J. Y., &amp; Smack, A. C. P. (2021). The relationship between </w:t>
      </w:r>
      <w:r w:rsidRPr="006B5B58">
        <w:rPr>
          <w:rFonts w:ascii="Times New Roman" w:eastAsia="Times New Roman" w:hAnsi="Times New Roman" w:cs="Times New Roman"/>
          <w:sz w:val="24"/>
          <w:szCs w:val="24"/>
          <w:lang w:val="en-US"/>
        </w:rPr>
        <w:lastRenderedPageBreak/>
        <w:t xml:space="preserve">religiousness and health among sexual minorities: A meta-analysis.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bulletin</w:t>
      </w:r>
      <w:proofErr w:type="spellEnd"/>
      <w:r>
        <w:rPr>
          <w:rFonts w:ascii="Times New Roman" w:eastAsia="Times New Roman" w:hAnsi="Times New Roman" w:cs="Times New Roman"/>
          <w:sz w:val="24"/>
          <w:szCs w:val="24"/>
        </w:rPr>
        <w:t xml:space="preserve">, 147(7), 647–666. </w:t>
      </w:r>
      <w:hyperlink r:id="rId37">
        <w:r w:rsidR="004232E5">
          <w:rPr>
            <w:rFonts w:ascii="Times New Roman" w:eastAsia="Times New Roman" w:hAnsi="Times New Roman" w:cs="Times New Roman"/>
            <w:color w:val="1155CC"/>
            <w:sz w:val="24"/>
            <w:szCs w:val="24"/>
            <w:u w:val="single"/>
          </w:rPr>
          <w:t>https://doi.org/10.1037/bul0000321</w:t>
        </w:r>
      </w:hyperlink>
    </w:p>
    <w:p w14:paraId="57250B97"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López, C., Gómez, E. y Justiniano, S. (2018). Análisis de la cosificación de la mujer desde una perspectiva de género. Innovare: </w:t>
      </w:r>
      <w:r>
        <w:rPr>
          <w:rFonts w:ascii="Times New Roman" w:eastAsia="Times New Roman" w:hAnsi="Times New Roman" w:cs="Times New Roman"/>
          <w:i/>
          <w:sz w:val="24"/>
          <w:szCs w:val="24"/>
        </w:rPr>
        <w:t>Revista de ciencia y tecnología</w:t>
      </w:r>
      <w:r>
        <w:rPr>
          <w:rFonts w:ascii="Times New Roman" w:eastAsia="Times New Roman" w:hAnsi="Times New Roman" w:cs="Times New Roman"/>
          <w:sz w:val="24"/>
          <w:szCs w:val="24"/>
        </w:rPr>
        <w:t xml:space="preserve">, 7(1), 1-19. </w:t>
      </w:r>
      <w:hyperlink r:id="rId38">
        <w:r w:rsidR="004232E5">
          <w:rPr>
            <w:rFonts w:ascii="Times New Roman" w:eastAsia="Times New Roman" w:hAnsi="Times New Roman" w:cs="Times New Roman"/>
            <w:color w:val="1155CC"/>
            <w:sz w:val="24"/>
            <w:szCs w:val="24"/>
            <w:u w:val="single"/>
          </w:rPr>
          <w:t>https://doi.org/10.5377/innovare.v7i1.7539</w:t>
        </w:r>
      </w:hyperlink>
    </w:p>
    <w:p w14:paraId="433A792C"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Martínez, G. (2002). Violencia masculina. De las fantasías sexuales de los géneros al acoso sexual. </w:t>
      </w:r>
      <w:r>
        <w:rPr>
          <w:rFonts w:ascii="Times New Roman" w:eastAsia="Times New Roman" w:hAnsi="Times New Roman" w:cs="Times New Roman"/>
          <w:i/>
          <w:sz w:val="24"/>
          <w:szCs w:val="24"/>
        </w:rPr>
        <w:t>El cotidiano</w:t>
      </w:r>
      <w:r>
        <w:rPr>
          <w:rFonts w:ascii="Times New Roman" w:eastAsia="Times New Roman" w:hAnsi="Times New Roman" w:cs="Times New Roman"/>
          <w:sz w:val="24"/>
          <w:szCs w:val="24"/>
        </w:rPr>
        <w:t xml:space="preserve">, 18(113), 15-27. </w:t>
      </w:r>
      <w:hyperlink r:id="rId39">
        <w:r w:rsidR="004232E5">
          <w:rPr>
            <w:rFonts w:ascii="Times New Roman" w:eastAsia="Times New Roman" w:hAnsi="Times New Roman" w:cs="Times New Roman"/>
            <w:color w:val="1155CC"/>
            <w:sz w:val="24"/>
            <w:szCs w:val="24"/>
            <w:u w:val="single"/>
          </w:rPr>
          <w:t>http://biblioteca-repositorio.clacso.edu.ar/handle/CLACSO/95472</w:t>
        </w:r>
      </w:hyperlink>
      <w:r>
        <w:rPr>
          <w:rFonts w:ascii="Times New Roman" w:eastAsia="Times New Roman" w:hAnsi="Times New Roman" w:cs="Times New Roman"/>
          <w:sz w:val="24"/>
          <w:szCs w:val="24"/>
        </w:rPr>
        <w:t xml:space="preserve"> </w:t>
      </w:r>
    </w:p>
    <w:p w14:paraId="3547543E"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Mason, G. (1993). </w:t>
      </w:r>
      <w:r w:rsidRPr="006B5B58">
        <w:rPr>
          <w:rFonts w:ascii="Times New Roman" w:eastAsia="Times New Roman" w:hAnsi="Times New Roman" w:cs="Times New Roman"/>
          <w:i/>
          <w:sz w:val="24"/>
          <w:szCs w:val="24"/>
          <w:lang w:val="en-US"/>
        </w:rPr>
        <w:t xml:space="preserve">Violence against lesbians and gay men (Vol. 2). </w:t>
      </w:r>
      <w:r w:rsidRPr="006B5B58">
        <w:rPr>
          <w:rFonts w:ascii="Times New Roman" w:eastAsia="Times New Roman" w:hAnsi="Times New Roman" w:cs="Times New Roman"/>
          <w:sz w:val="24"/>
          <w:szCs w:val="24"/>
          <w:lang w:val="en-US"/>
        </w:rPr>
        <w:t xml:space="preserve">Canberra: Australian Institute of Criminology. </w:t>
      </w:r>
      <w:hyperlink r:id="rId40">
        <w:r w:rsidR="004232E5" w:rsidRPr="006B5B58">
          <w:rPr>
            <w:rFonts w:ascii="Times New Roman" w:eastAsia="Times New Roman" w:hAnsi="Times New Roman" w:cs="Times New Roman"/>
            <w:color w:val="1155CC"/>
            <w:sz w:val="24"/>
            <w:szCs w:val="24"/>
            <w:u w:val="single"/>
            <w:lang w:val="en-US"/>
          </w:rPr>
          <w:t>https://www.aic.gov.au/publications/vpt/vpt2</w:t>
        </w:r>
      </w:hyperlink>
    </w:p>
    <w:p w14:paraId="0C779E67"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Más Igualdad (2024). Salud mental de personas LGBTQ+ en el Perú. </w:t>
      </w:r>
      <w:hyperlink r:id="rId41">
        <w:r w:rsidR="004232E5">
          <w:rPr>
            <w:rFonts w:ascii="Times New Roman" w:eastAsia="Times New Roman" w:hAnsi="Times New Roman" w:cs="Times New Roman"/>
            <w:color w:val="1155CC"/>
            <w:sz w:val="24"/>
            <w:szCs w:val="24"/>
            <w:u w:val="single"/>
          </w:rPr>
          <w:t>https://www.masigualdad.pe/_files/ugd/4aec54_c8d6e0ecec9c43fab85c79aaa04bbbd1.pdf?index=true</w:t>
        </w:r>
      </w:hyperlink>
    </w:p>
    <w:p w14:paraId="64047AA8"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Ministerio de la Mujer y Poblaciones Vulnerables (MIMP, 2016). </w:t>
      </w:r>
      <w:r>
        <w:rPr>
          <w:rFonts w:ascii="Times New Roman" w:eastAsia="Times New Roman" w:hAnsi="Times New Roman" w:cs="Times New Roman"/>
          <w:i/>
          <w:sz w:val="24"/>
          <w:szCs w:val="24"/>
        </w:rPr>
        <w:t>Violencia basada en género. Marco conceptual para las políticas públicas y la acción del Estado.</w:t>
      </w:r>
      <w:r>
        <w:rPr>
          <w:rFonts w:ascii="Times New Roman" w:eastAsia="Times New Roman" w:hAnsi="Times New Roman" w:cs="Times New Roman"/>
          <w:sz w:val="24"/>
          <w:szCs w:val="24"/>
        </w:rPr>
        <w:t xml:space="preserve"> </w:t>
      </w:r>
      <w:hyperlink r:id="rId42">
        <w:r w:rsidR="004232E5">
          <w:rPr>
            <w:rFonts w:ascii="Times New Roman" w:eastAsia="Times New Roman" w:hAnsi="Times New Roman" w:cs="Times New Roman"/>
            <w:color w:val="1155CC"/>
            <w:sz w:val="24"/>
            <w:szCs w:val="24"/>
            <w:u w:val="single"/>
          </w:rPr>
          <w:t>https://www.mimp.gob.pe/files/direcciones/dgcvg/MIMP-violencia-basada_en_genero.pdf</w:t>
        </w:r>
      </w:hyperlink>
    </w:p>
    <w:p w14:paraId="1AE26370"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proofErr w:type="spellStart"/>
      <w:r w:rsidRPr="006B5B58">
        <w:rPr>
          <w:rFonts w:ascii="Times New Roman" w:eastAsia="Times New Roman" w:hAnsi="Times New Roman" w:cs="Times New Roman"/>
          <w:sz w:val="24"/>
          <w:szCs w:val="24"/>
          <w:lang w:val="en-US"/>
        </w:rPr>
        <w:t>Moagi</w:t>
      </w:r>
      <w:proofErr w:type="spellEnd"/>
      <w:r w:rsidRPr="006B5B58">
        <w:rPr>
          <w:rFonts w:ascii="Times New Roman" w:eastAsia="Times New Roman" w:hAnsi="Times New Roman" w:cs="Times New Roman"/>
          <w:sz w:val="24"/>
          <w:szCs w:val="24"/>
          <w:lang w:val="en-US"/>
        </w:rPr>
        <w:t xml:space="preserve">, M. M., van Der </w:t>
      </w:r>
      <w:proofErr w:type="spellStart"/>
      <w:r w:rsidRPr="006B5B58">
        <w:rPr>
          <w:rFonts w:ascii="Times New Roman" w:eastAsia="Times New Roman" w:hAnsi="Times New Roman" w:cs="Times New Roman"/>
          <w:sz w:val="24"/>
          <w:szCs w:val="24"/>
          <w:lang w:val="en-US"/>
        </w:rPr>
        <w:t>Wath</w:t>
      </w:r>
      <w:proofErr w:type="spellEnd"/>
      <w:r w:rsidRPr="006B5B58">
        <w:rPr>
          <w:rFonts w:ascii="Times New Roman" w:eastAsia="Times New Roman" w:hAnsi="Times New Roman" w:cs="Times New Roman"/>
          <w:sz w:val="24"/>
          <w:szCs w:val="24"/>
          <w:lang w:val="en-US"/>
        </w:rPr>
        <w:t xml:space="preserve">, A. E., </w:t>
      </w:r>
      <w:proofErr w:type="spellStart"/>
      <w:r w:rsidRPr="006B5B58">
        <w:rPr>
          <w:rFonts w:ascii="Times New Roman" w:eastAsia="Times New Roman" w:hAnsi="Times New Roman" w:cs="Times New Roman"/>
          <w:sz w:val="24"/>
          <w:szCs w:val="24"/>
          <w:lang w:val="en-US"/>
        </w:rPr>
        <w:t>Jiyane</w:t>
      </w:r>
      <w:proofErr w:type="spellEnd"/>
      <w:r w:rsidRPr="006B5B58">
        <w:rPr>
          <w:rFonts w:ascii="Times New Roman" w:eastAsia="Times New Roman" w:hAnsi="Times New Roman" w:cs="Times New Roman"/>
          <w:sz w:val="24"/>
          <w:szCs w:val="24"/>
          <w:lang w:val="en-US"/>
        </w:rPr>
        <w:t xml:space="preserve">, P. M., &amp; Rikhotso, R. S. (2021). Mental health challenges of lesbian, gay, bisexual and transgender people: </w:t>
      </w:r>
      <w:r w:rsidRPr="006B5B58">
        <w:rPr>
          <w:rFonts w:ascii="Times New Roman" w:eastAsia="Times New Roman" w:hAnsi="Times New Roman" w:cs="Times New Roman"/>
          <w:i/>
          <w:sz w:val="24"/>
          <w:szCs w:val="24"/>
          <w:lang w:val="en-US"/>
        </w:rPr>
        <w:t xml:space="preserve">An integrated literature review. Health SA = SA </w:t>
      </w:r>
      <w:proofErr w:type="spellStart"/>
      <w:r w:rsidRPr="006B5B58">
        <w:rPr>
          <w:rFonts w:ascii="Times New Roman" w:eastAsia="Times New Roman" w:hAnsi="Times New Roman" w:cs="Times New Roman"/>
          <w:i/>
          <w:sz w:val="24"/>
          <w:szCs w:val="24"/>
          <w:lang w:val="en-US"/>
        </w:rPr>
        <w:t>Gesondheid</w:t>
      </w:r>
      <w:proofErr w:type="spellEnd"/>
      <w:r w:rsidRPr="006B5B58">
        <w:rPr>
          <w:rFonts w:ascii="Times New Roman" w:eastAsia="Times New Roman" w:hAnsi="Times New Roman" w:cs="Times New Roman"/>
          <w:sz w:val="24"/>
          <w:szCs w:val="24"/>
          <w:lang w:val="en-US"/>
        </w:rPr>
        <w:t xml:space="preserve">, 26, 1487. </w:t>
      </w:r>
      <w:hyperlink r:id="rId43">
        <w:r w:rsidR="004232E5" w:rsidRPr="006B5B58">
          <w:rPr>
            <w:rFonts w:ascii="Times New Roman" w:eastAsia="Times New Roman" w:hAnsi="Times New Roman" w:cs="Times New Roman"/>
            <w:color w:val="1155CC"/>
            <w:sz w:val="24"/>
            <w:szCs w:val="24"/>
            <w:u w:val="single"/>
            <w:lang w:val="en-US"/>
          </w:rPr>
          <w:t>https://doi.org/10.4102/hsag.v26i0.1487</w:t>
        </w:r>
      </w:hyperlink>
    </w:p>
    <w:p w14:paraId="7A0D8272"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Moradi, B., y Huang, Y. (2008). Objectification theory and psychology of women: A decade of advances and future directions. </w:t>
      </w:r>
      <w:r w:rsidRPr="006B5B58">
        <w:rPr>
          <w:rFonts w:ascii="Times New Roman" w:eastAsia="Times New Roman" w:hAnsi="Times New Roman" w:cs="Times New Roman"/>
          <w:i/>
          <w:sz w:val="24"/>
          <w:szCs w:val="24"/>
          <w:lang w:val="en-US"/>
        </w:rPr>
        <w:t>Psychology of women quarterly</w:t>
      </w:r>
      <w:r w:rsidRPr="006B5B58">
        <w:rPr>
          <w:rFonts w:ascii="Times New Roman" w:eastAsia="Times New Roman" w:hAnsi="Times New Roman" w:cs="Times New Roman"/>
          <w:sz w:val="24"/>
          <w:szCs w:val="24"/>
          <w:lang w:val="en-US"/>
        </w:rPr>
        <w:t xml:space="preserve">, 32(4), 377-398. </w:t>
      </w:r>
      <w:hyperlink r:id="rId44">
        <w:r w:rsidR="004232E5" w:rsidRPr="006B5B58">
          <w:rPr>
            <w:rFonts w:ascii="Times New Roman" w:eastAsia="Times New Roman" w:hAnsi="Times New Roman" w:cs="Times New Roman"/>
            <w:color w:val="1155CC"/>
            <w:sz w:val="24"/>
            <w:szCs w:val="24"/>
            <w:u w:val="single"/>
            <w:lang w:val="en-US"/>
          </w:rPr>
          <w:t>https://doi.org/10.1111/j.1471-6402.2008.00452.x</w:t>
        </w:r>
      </w:hyperlink>
    </w:p>
    <w:p w14:paraId="7352498B"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proofErr w:type="spellStart"/>
      <w:r w:rsidRPr="006B5B58">
        <w:rPr>
          <w:rFonts w:ascii="Times New Roman" w:eastAsia="Times New Roman" w:hAnsi="Times New Roman" w:cs="Times New Roman"/>
          <w:sz w:val="24"/>
          <w:szCs w:val="24"/>
          <w:lang w:val="en-US"/>
        </w:rPr>
        <w:t>Noblega</w:t>
      </w:r>
      <w:proofErr w:type="spellEnd"/>
      <w:r w:rsidRPr="006B5B58">
        <w:rPr>
          <w:rFonts w:ascii="Times New Roman" w:eastAsia="Times New Roman" w:hAnsi="Times New Roman" w:cs="Times New Roman"/>
          <w:sz w:val="24"/>
          <w:szCs w:val="24"/>
          <w:lang w:val="en-US"/>
        </w:rPr>
        <w:t xml:space="preserve">, M., Vera, A., Gutiérrez, G., y </w:t>
      </w:r>
      <w:proofErr w:type="spellStart"/>
      <w:r w:rsidRPr="006B5B58">
        <w:rPr>
          <w:rFonts w:ascii="Times New Roman" w:eastAsia="Times New Roman" w:hAnsi="Times New Roman" w:cs="Times New Roman"/>
          <w:sz w:val="24"/>
          <w:szCs w:val="24"/>
          <w:lang w:val="en-US"/>
        </w:rPr>
        <w:t>Otiniano</w:t>
      </w:r>
      <w:proofErr w:type="spellEnd"/>
      <w:r w:rsidRPr="006B5B58">
        <w:rPr>
          <w:rFonts w:ascii="Times New Roman" w:eastAsia="Times New Roman" w:hAnsi="Times New Roman" w:cs="Times New Roman"/>
          <w:sz w:val="24"/>
          <w:szCs w:val="24"/>
          <w:lang w:val="en-US"/>
        </w:rPr>
        <w:t>, F. (2020).</w:t>
      </w:r>
      <w:r w:rsidRPr="006B5B58">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 xml:space="preserve">Criterios Homologados de Investigación en Psicología (CHIP) Investigaciones Cualitativas Versión 3.0. </w:t>
      </w:r>
      <w:r>
        <w:rPr>
          <w:rFonts w:ascii="Times New Roman" w:eastAsia="Times New Roman" w:hAnsi="Times New Roman" w:cs="Times New Roman"/>
          <w:sz w:val="24"/>
          <w:szCs w:val="24"/>
        </w:rPr>
        <w:t>Comisión de Investigación del Departamento de Psicología de la PUCP. Pontificia Universidad Católica del Perú.</w:t>
      </w:r>
    </w:p>
    <w:p w14:paraId="36DC5C8C"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Orellana, Z., y Delpiano, P. R. (2022). Lesbofobia, daño y recuperación: Experiencias de lesbianas activistas y artistas de Chile y Brasil. </w:t>
      </w:r>
      <w:proofErr w:type="spellStart"/>
      <w:r w:rsidRPr="006B5B58">
        <w:rPr>
          <w:rFonts w:ascii="Times New Roman" w:eastAsia="Times New Roman" w:hAnsi="Times New Roman" w:cs="Times New Roman"/>
          <w:i/>
          <w:sz w:val="24"/>
          <w:szCs w:val="24"/>
          <w:lang w:val="en-US"/>
        </w:rPr>
        <w:t>Revista</w:t>
      </w:r>
      <w:proofErr w:type="spellEnd"/>
      <w:r w:rsidRPr="006B5B58">
        <w:rPr>
          <w:rFonts w:ascii="Times New Roman" w:eastAsia="Times New Roman" w:hAnsi="Times New Roman" w:cs="Times New Roman"/>
          <w:i/>
          <w:sz w:val="24"/>
          <w:szCs w:val="24"/>
          <w:lang w:val="en-US"/>
        </w:rPr>
        <w:t xml:space="preserve"> Punto </w:t>
      </w:r>
      <w:proofErr w:type="spellStart"/>
      <w:r w:rsidRPr="006B5B58">
        <w:rPr>
          <w:rFonts w:ascii="Times New Roman" w:eastAsia="Times New Roman" w:hAnsi="Times New Roman" w:cs="Times New Roman"/>
          <w:i/>
          <w:sz w:val="24"/>
          <w:szCs w:val="24"/>
          <w:lang w:val="en-US"/>
        </w:rPr>
        <w:t>Género</w:t>
      </w:r>
      <w:proofErr w:type="spellEnd"/>
      <w:r w:rsidRPr="006B5B58">
        <w:rPr>
          <w:rFonts w:ascii="Times New Roman" w:eastAsia="Times New Roman" w:hAnsi="Times New Roman" w:cs="Times New Roman"/>
          <w:sz w:val="24"/>
          <w:szCs w:val="24"/>
          <w:lang w:val="en-US"/>
        </w:rPr>
        <w:t xml:space="preserve">, 1(17), 271-306. </w:t>
      </w:r>
      <w:hyperlink r:id="rId45">
        <w:r w:rsidR="004232E5" w:rsidRPr="006B5B58">
          <w:rPr>
            <w:rFonts w:ascii="Times New Roman" w:eastAsia="Times New Roman" w:hAnsi="Times New Roman" w:cs="Times New Roman"/>
            <w:color w:val="1155CC"/>
            <w:sz w:val="24"/>
            <w:szCs w:val="24"/>
            <w:u w:val="single"/>
            <w:lang w:val="en-US"/>
          </w:rPr>
          <w:t>https://doi.org/10.5354/2735-7473.2022.67662</w:t>
        </w:r>
      </w:hyperlink>
    </w:p>
    <w:p w14:paraId="3ED734DC"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6B5B58">
        <w:rPr>
          <w:rFonts w:ascii="Times New Roman" w:eastAsia="Times New Roman" w:hAnsi="Times New Roman" w:cs="Times New Roman"/>
          <w:sz w:val="24"/>
          <w:szCs w:val="24"/>
          <w:lang w:val="en-US"/>
        </w:rPr>
        <w:t>Pharr, S. (1997).</w:t>
      </w:r>
      <w:r w:rsidRPr="006B5B58">
        <w:rPr>
          <w:rFonts w:ascii="Times New Roman" w:eastAsia="Times New Roman" w:hAnsi="Times New Roman" w:cs="Times New Roman"/>
          <w:i/>
          <w:sz w:val="24"/>
          <w:szCs w:val="24"/>
          <w:lang w:val="en-US"/>
        </w:rPr>
        <w:t xml:space="preserve"> Homophobia: A weapon of sexism</w:t>
      </w:r>
      <w:r w:rsidRPr="006B5B58">
        <w:rPr>
          <w:rFonts w:ascii="Times New Roman" w:eastAsia="Times New Roman" w:hAnsi="Times New Roman" w:cs="Times New Roman"/>
          <w:sz w:val="24"/>
          <w:szCs w:val="24"/>
          <w:lang w:val="en-US"/>
        </w:rPr>
        <w:t xml:space="preserve">. Berkeley: Chardon Press. </w:t>
      </w:r>
      <w:r>
        <w:rPr>
          <w:rFonts w:ascii="Times New Roman" w:eastAsia="Times New Roman" w:hAnsi="Times New Roman" w:cs="Times New Roman"/>
          <w:sz w:val="24"/>
          <w:szCs w:val="24"/>
        </w:rPr>
        <w:t>ISBN</w:t>
      </w:r>
      <w:r>
        <w:rPr>
          <w:rFonts w:ascii="Times New Roman" w:eastAsia="Times New Roman" w:hAnsi="Times New Roman" w:cs="Times New Roman"/>
          <w:sz w:val="24"/>
          <w:szCs w:val="24"/>
        </w:rPr>
        <w:tab/>
        <w:t>1890759015.</w:t>
      </w:r>
    </w:p>
    <w:p w14:paraId="6113B922"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Pineda, E. (2018). Identidades estigmatizadas: Violencias y derechos </w:t>
      </w:r>
      <w:proofErr w:type="spellStart"/>
      <w:r>
        <w:rPr>
          <w:rFonts w:ascii="Times New Roman" w:eastAsia="Times New Roman" w:hAnsi="Times New Roman" w:cs="Times New Roman"/>
          <w:sz w:val="24"/>
          <w:szCs w:val="24"/>
        </w:rPr>
        <w:t>Lgbti</w:t>
      </w:r>
      <w:proofErr w:type="spellEnd"/>
      <w:r>
        <w:rPr>
          <w:rFonts w:ascii="Times New Roman" w:eastAsia="Times New Roman" w:hAnsi="Times New Roman" w:cs="Times New Roman"/>
          <w:sz w:val="24"/>
          <w:szCs w:val="24"/>
        </w:rPr>
        <w:t xml:space="preserve"> en América Latina. </w:t>
      </w:r>
      <w:r>
        <w:rPr>
          <w:rFonts w:ascii="Times New Roman" w:eastAsia="Times New Roman" w:hAnsi="Times New Roman" w:cs="Times New Roman"/>
          <w:i/>
          <w:sz w:val="24"/>
          <w:szCs w:val="24"/>
        </w:rPr>
        <w:t>Revista multidisciplinaria Al Sur de Todo</w:t>
      </w:r>
      <w:r>
        <w:rPr>
          <w:rFonts w:ascii="Times New Roman" w:eastAsia="Times New Roman" w:hAnsi="Times New Roman" w:cs="Times New Roman"/>
          <w:sz w:val="24"/>
          <w:szCs w:val="24"/>
        </w:rPr>
        <w:t>, 1(12), 23-34.</w:t>
      </w:r>
    </w:p>
    <w:p w14:paraId="4CB225B1"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Pistrang</w:t>
      </w:r>
      <w:proofErr w:type="spellEnd"/>
      <w:r>
        <w:rPr>
          <w:rFonts w:ascii="Times New Roman" w:eastAsia="Times New Roman" w:hAnsi="Times New Roman" w:cs="Times New Roman"/>
          <w:sz w:val="24"/>
          <w:szCs w:val="24"/>
        </w:rPr>
        <w:t xml:space="preserve">, N., Y Barker, C. (2012). </w:t>
      </w:r>
      <w:r w:rsidRPr="006B5B58">
        <w:rPr>
          <w:rFonts w:ascii="Times New Roman" w:eastAsia="Times New Roman" w:hAnsi="Times New Roman" w:cs="Times New Roman"/>
          <w:sz w:val="24"/>
          <w:szCs w:val="24"/>
          <w:lang w:val="en-US"/>
        </w:rPr>
        <w:t xml:space="preserve">Varieties of qualitative research: A pragmatic approach to selecting methods. En H. Cooper, P. M. </w:t>
      </w:r>
      <w:proofErr w:type="spellStart"/>
      <w:r w:rsidRPr="006B5B58">
        <w:rPr>
          <w:rFonts w:ascii="Times New Roman" w:eastAsia="Times New Roman" w:hAnsi="Times New Roman" w:cs="Times New Roman"/>
          <w:sz w:val="24"/>
          <w:szCs w:val="24"/>
          <w:lang w:val="en-US"/>
        </w:rPr>
        <w:t>Camic</w:t>
      </w:r>
      <w:proofErr w:type="spellEnd"/>
      <w:r w:rsidRPr="006B5B58">
        <w:rPr>
          <w:rFonts w:ascii="Times New Roman" w:eastAsia="Times New Roman" w:hAnsi="Times New Roman" w:cs="Times New Roman"/>
          <w:sz w:val="24"/>
          <w:szCs w:val="24"/>
          <w:lang w:val="en-US"/>
        </w:rPr>
        <w:t xml:space="preserve">, D. L. Long, A. T. Panter, D. </w:t>
      </w:r>
      <w:proofErr w:type="spellStart"/>
      <w:r w:rsidRPr="006B5B58">
        <w:rPr>
          <w:rFonts w:ascii="Times New Roman" w:eastAsia="Times New Roman" w:hAnsi="Times New Roman" w:cs="Times New Roman"/>
          <w:sz w:val="24"/>
          <w:szCs w:val="24"/>
          <w:lang w:val="en-US"/>
        </w:rPr>
        <w:t>Rindskopf</w:t>
      </w:r>
      <w:proofErr w:type="spellEnd"/>
      <w:r w:rsidRPr="006B5B58">
        <w:rPr>
          <w:rFonts w:ascii="Times New Roman" w:eastAsia="Times New Roman" w:hAnsi="Times New Roman" w:cs="Times New Roman"/>
          <w:sz w:val="24"/>
          <w:szCs w:val="24"/>
          <w:lang w:val="en-US"/>
        </w:rPr>
        <w:t xml:space="preserve">, &amp; K. J. Sher (Eds.), APA handbook of research methods in psychology, Vol. 2. Research designs: Quantitative, qualitative, neuropsychological, and biological (pp. 5–18). American Psychological Association. </w:t>
      </w:r>
      <w:hyperlink r:id="rId46">
        <w:r w:rsidR="004232E5" w:rsidRPr="006B5B58">
          <w:rPr>
            <w:rFonts w:ascii="Times New Roman" w:eastAsia="Times New Roman" w:hAnsi="Times New Roman" w:cs="Times New Roman"/>
            <w:color w:val="1155CC"/>
            <w:sz w:val="24"/>
            <w:szCs w:val="24"/>
            <w:u w:val="single"/>
            <w:lang w:val="en-US"/>
          </w:rPr>
          <w:t>https://doi.org/10.1037/13620-001</w:t>
        </w:r>
      </w:hyperlink>
      <w:r w:rsidRPr="006B5B58">
        <w:rPr>
          <w:rFonts w:ascii="Times New Roman" w:eastAsia="Times New Roman" w:hAnsi="Times New Roman" w:cs="Times New Roman"/>
          <w:sz w:val="24"/>
          <w:szCs w:val="24"/>
          <w:lang w:val="en-US"/>
        </w:rPr>
        <w:t>.</w:t>
      </w:r>
    </w:p>
    <w:p w14:paraId="695CD70F"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Rich, A. (1980). Compulsory Heterosexuality and Lesbian Existence. </w:t>
      </w:r>
      <w:r w:rsidRPr="006B5B58">
        <w:rPr>
          <w:rFonts w:ascii="Times New Roman" w:eastAsia="Times New Roman" w:hAnsi="Times New Roman" w:cs="Times New Roman"/>
          <w:i/>
          <w:sz w:val="24"/>
          <w:szCs w:val="24"/>
          <w:lang w:val="en-US"/>
        </w:rPr>
        <w:t>Signs: Journal of Women in Culture and Society</w:t>
      </w:r>
      <w:r w:rsidRPr="006B5B58">
        <w:rPr>
          <w:rFonts w:ascii="Times New Roman" w:eastAsia="Times New Roman" w:hAnsi="Times New Roman" w:cs="Times New Roman"/>
          <w:sz w:val="24"/>
          <w:szCs w:val="24"/>
          <w:lang w:val="en-US"/>
        </w:rPr>
        <w:t xml:space="preserve">, 5(4), 631–660. </w:t>
      </w:r>
      <w:hyperlink r:id="rId47">
        <w:r w:rsidR="004232E5" w:rsidRPr="006B5B58">
          <w:rPr>
            <w:rFonts w:ascii="Times New Roman" w:eastAsia="Times New Roman" w:hAnsi="Times New Roman" w:cs="Times New Roman"/>
            <w:color w:val="1155CC"/>
            <w:sz w:val="24"/>
            <w:szCs w:val="24"/>
            <w:u w:val="single"/>
            <w:lang w:val="en-US"/>
          </w:rPr>
          <w:t>https://doi.org/10.1086/493756</w:t>
        </w:r>
      </w:hyperlink>
    </w:p>
    <w:p w14:paraId="29B33989"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Rottenbacher</w:t>
      </w:r>
      <w:proofErr w:type="spellEnd"/>
      <w:r>
        <w:rPr>
          <w:rFonts w:ascii="Times New Roman" w:eastAsia="Times New Roman" w:hAnsi="Times New Roman" w:cs="Times New Roman"/>
          <w:sz w:val="24"/>
          <w:szCs w:val="24"/>
        </w:rPr>
        <w:t xml:space="preserve">, J. (2010). Sexismo ambivalente, paternalismo masculino e ideología política en adultos jóvenes de la ciudad de Lima. </w:t>
      </w:r>
      <w:r>
        <w:rPr>
          <w:rFonts w:ascii="Times New Roman" w:eastAsia="Times New Roman" w:hAnsi="Times New Roman" w:cs="Times New Roman"/>
          <w:i/>
          <w:sz w:val="24"/>
          <w:szCs w:val="24"/>
        </w:rPr>
        <w:t>Pensamiento Psicológico</w:t>
      </w:r>
      <w:r>
        <w:rPr>
          <w:rFonts w:ascii="Times New Roman" w:eastAsia="Times New Roman" w:hAnsi="Times New Roman" w:cs="Times New Roman"/>
          <w:sz w:val="24"/>
          <w:szCs w:val="24"/>
        </w:rPr>
        <w:t xml:space="preserve">, 7(14), 9-18​. </w:t>
      </w:r>
      <w:hyperlink r:id="rId48">
        <w:r w:rsidR="004232E5">
          <w:rPr>
            <w:rFonts w:ascii="Times New Roman" w:eastAsia="Times New Roman" w:hAnsi="Times New Roman" w:cs="Times New Roman"/>
            <w:color w:val="1155CC"/>
            <w:sz w:val="24"/>
            <w:szCs w:val="24"/>
            <w:u w:val="single"/>
          </w:rPr>
          <w:t>http://revistas.javerianacali.edu.co/index.php/pensamientopsicologico/article/view/156</w:t>
        </w:r>
      </w:hyperlink>
    </w:p>
    <w:p w14:paraId="5BB30380"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Rottenbacher</w:t>
      </w:r>
      <w:proofErr w:type="spellEnd"/>
      <w:r>
        <w:rPr>
          <w:rFonts w:ascii="Times New Roman" w:eastAsia="Times New Roman" w:hAnsi="Times New Roman" w:cs="Times New Roman"/>
          <w:sz w:val="24"/>
          <w:szCs w:val="24"/>
        </w:rPr>
        <w:t xml:space="preserve">, J., Espinosa, A., y Magallanes, J. (2011). Analizando el prejuicio: Bases ideológicas del racismo, el sexismo y la homofobia en una muestra de habitantes de la ciudad de Lima – Perú. </w:t>
      </w:r>
      <w:r>
        <w:rPr>
          <w:rFonts w:ascii="Times New Roman" w:eastAsia="Times New Roman" w:hAnsi="Times New Roman" w:cs="Times New Roman"/>
          <w:i/>
          <w:sz w:val="24"/>
          <w:szCs w:val="24"/>
        </w:rPr>
        <w:t>Psicología Política</w:t>
      </w:r>
      <w:r>
        <w:rPr>
          <w:rFonts w:ascii="Times New Roman" w:eastAsia="Times New Roman" w:hAnsi="Times New Roman" w:cs="Times New Roman"/>
          <w:sz w:val="24"/>
          <w:szCs w:val="24"/>
        </w:rPr>
        <w:t xml:space="preserve">, 11(22), 225-246​. </w:t>
      </w:r>
      <w:hyperlink r:id="rId49">
        <w:r w:rsidR="004232E5">
          <w:rPr>
            <w:rFonts w:ascii="Times New Roman" w:eastAsia="Times New Roman" w:hAnsi="Times New Roman" w:cs="Times New Roman"/>
            <w:color w:val="1155CC"/>
            <w:sz w:val="24"/>
            <w:szCs w:val="24"/>
            <w:u w:val="single"/>
          </w:rPr>
          <w:t>https://dialnet.unirioja.es/servlet/articulo?codigo=3898832</w:t>
        </w:r>
      </w:hyperlink>
      <w:r>
        <w:rPr>
          <w:rFonts w:ascii="Times New Roman" w:eastAsia="Times New Roman" w:hAnsi="Times New Roman" w:cs="Times New Roman"/>
          <w:sz w:val="24"/>
          <w:szCs w:val="24"/>
        </w:rPr>
        <w:t xml:space="preserve"> </w:t>
      </w:r>
    </w:p>
    <w:p w14:paraId="7D9A3152"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Rufino, A., </w:t>
      </w:r>
      <w:proofErr w:type="spellStart"/>
      <w:r>
        <w:rPr>
          <w:rFonts w:ascii="Times New Roman" w:eastAsia="Times New Roman" w:hAnsi="Times New Roman" w:cs="Times New Roman"/>
          <w:sz w:val="24"/>
          <w:szCs w:val="24"/>
        </w:rPr>
        <w:t>Filho</w:t>
      </w:r>
      <w:proofErr w:type="spellEnd"/>
      <w:r>
        <w:rPr>
          <w:rFonts w:ascii="Times New Roman" w:eastAsia="Times New Roman" w:hAnsi="Times New Roman" w:cs="Times New Roman"/>
          <w:sz w:val="24"/>
          <w:szCs w:val="24"/>
        </w:rPr>
        <w:t xml:space="preserve">, C., y </w:t>
      </w:r>
      <w:proofErr w:type="spellStart"/>
      <w:r>
        <w:rPr>
          <w:rFonts w:ascii="Times New Roman" w:eastAsia="Times New Roman" w:hAnsi="Times New Roman" w:cs="Times New Roman"/>
          <w:sz w:val="24"/>
          <w:szCs w:val="24"/>
        </w:rPr>
        <w:t>Madeiro</w:t>
      </w:r>
      <w:proofErr w:type="spellEnd"/>
      <w:r>
        <w:rPr>
          <w:rFonts w:ascii="Times New Roman" w:eastAsia="Times New Roman" w:hAnsi="Times New Roman" w:cs="Times New Roman"/>
          <w:sz w:val="24"/>
          <w:szCs w:val="24"/>
        </w:rPr>
        <w:t xml:space="preserve">, A. (2022). </w:t>
      </w:r>
      <w:r w:rsidRPr="006B5B58">
        <w:rPr>
          <w:rFonts w:ascii="Times New Roman" w:eastAsia="Times New Roman" w:hAnsi="Times New Roman" w:cs="Times New Roman"/>
          <w:sz w:val="24"/>
          <w:szCs w:val="24"/>
          <w:lang w:val="en-US"/>
        </w:rPr>
        <w:t xml:space="preserve">Experiences of violence against lesbian and bisexual women in Brazil. </w:t>
      </w:r>
      <w:r w:rsidRPr="006B5B58">
        <w:rPr>
          <w:rFonts w:ascii="Times New Roman" w:eastAsia="Times New Roman" w:hAnsi="Times New Roman" w:cs="Times New Roman"/>
          <w:i/>
          <w:sz w:val="24"/>
          <w:szCs w:val="24"/>
          <w:lang w:val="en-US"/>
        </w:rPr>
        <w:t>Sexual medicine</w:t>
      </w:r>
      <w:r w:rsidRPr="006B5B58">
        <w:rPr>
          <w:rFonts w:ascii="Times New Roman" w:eastAsia="Times New Roman" w:hAnsi="Times New Roman" w:cs="Times New Roman"/>
          <w:sz w:val="24"/>
          <w:szCs w:val="24"/>
          <w:lang w:val="en-US"/>
        </w:rPr>
        <w:t xml:space="preserve">, 10(2), 100479-100479. </w:t>
      </w:r>
      <w:hyperlink r:id="rId50">
        <w:r w:rsidR="004232E5" w:rsidRPr="006B5B58">
          <w:rPr>
            <w:rFonts w:ascii="Times New Roman" w:eastAsia="Times New Roman" w:hAnsi="Times New Roman" w:cs="Times New Roman"/>
            <w:color w:val="1155CC"/>
            <w:sz w:val="24"/>
            <w:szCs w:val="24"/>
            <w:u w:val="single"/>
            <w:lang w:val="en-US"/>
          </w:rPr>
          <w:t>https://doi.org/10.1016/j.esxm.2021.100479</w:t>
        </w:r>
      </w:hyperlink>
    </w:p>
    <w:p w14:paraId="1F62FF3E" w14:textId="77777777" w:rsidR="004232E5" w:rsidRDefault="00000000" w:rsidP="006B5B58">
      <w:pPr>
        <w:widowControl w:val="0"/>
        <w:spacing w:line="240" w:lineRule="auto"/>
        <w:ind w:right="100" w:hanging="720"/>
        <w:rPr>
          <w:rFonts w:ascii="Times New Roman" w:eastAsia="Times New Roman" w:hAnsi="Times New Roman" w:cs="Times New Roman"/>
          <w:sz w:val="24"/>
          <w:szCs w:val="24"/>
        </w:rPr>
      </w:pPr>
      <w:r w:rsidRPr="006B5B58">
        <w:rPr>
          <w:rFonts w:ascii="Times New Roman" w:eastAsia="Times New Roman" w:hAnsi="Times New Roman" w:cs="Times New Roman"/>
          <w:sz w:val="24"/>
          <w:szCs w:val="24"/>
          <w:lang w:val="en-US"/>
        </w:rPr>
        <w:lastRenderedPageBreak/>
        <w:t xml:space="preserve">Rust, P. (1995). </w:t>
      </w:r>
      <w:r w:rsidRPr="006B5B58">
        <w:rPr>
          <w:rFonts w:ascii="Times New Roman" w:eastAsia="Times New Roman" w:hAnsi="Times New Roman" w:cs="Times New Roman"/>
          <w:i/>
          <w:sz w:val="24"/>
          <w:szCs w:val="24"/>
          <w:lang w:val="en-US"/>
        </w:rPr>
        <w:t xml:space="preserve">Bisexuality and the challenge to lesbian politics: Sex, loyalty and revolution. </w:t>
      </w:r>
      <w:r>
        <w:rPr>
          <w:rFonts w:ascii="Times New Roman" w:eastAsia="Times New Roman" w:hAnsi="Times New Roman" w:cs="Times New Roman"/>
          <w:sz w:val="24"/>
          <w:szCs w:val="24"/>
        </w:rPr>
        <w:t xml:space="preserve">NYU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w:t>
      </w:r>
    </w:p>
    <w:p w14:paraId="33E6A8F1" w14:textId="77777777" w:rsidR="004232E5" w:rsidRDefault="00000000" w:rsidP="006B5B58">
      <w:pPr>
        <w:widowControl w:val="0"/>
        <w:spacing w:line="240" w:lineRule="auto"/>
        <w:ind w:right="10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Sanchez</w:t>
      </w:r>
      <w:proofErr w:type="spellEnd"/>
      <w:r>
        <w:rPr>
          <w:rFonts w:ascii="Times New Roman" w:eastAsia="Times New Roman" w:hAnsi="Times New Roman" w:cs="Times New Roman"/>
          <w:sz w:val="24"/>
          <w:szCs w:val="24"/>
        </w:rPr>
        <w:t xml:space="preserve">, C. (2020). Ese oscuro sujeto deseante: Reflexiones en torno al concepto de erotismo. Falocentrismo, </w:t>
      </w:r>
      <w:proofErr w:type="spellStart"/>
      <w:r>
        <w:rPr>
          <w:rFonts w:ascii="Times New Roman" w:eastAsia="Times New Roman" w:hAnsi="Times New Roman" w:cs="Times New Roman"/>
          <w:sz w:val="24"/>
          <w:szCs w:val="24"/>
        </w:rPr>
        <w:t>colonialidad</w:t>
      </w:r>
      <w:proofErr w:type="spellEnd"/>
      <w:r>
        <w:rPr>
          <w:rFonts w:ascii="Times New Roman" w:eastAsia="Times New Roman" w:hAnsi="Times New Roman" w:cs="Times New Roman"/>
          <w:sz w:val="24"/>
          <w:szCs w:val="24"/>
        </w:rPr>
        <w:t xml:space="preserve"> y feminismos.</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Millcayac</w:t>
      </w:r>
      <w:proofErr w:type="spellEnd"/>
      <w:r>
        <w:rPr>
          <w:rFonts w:ascii="Times New Roman" w:eastAsia="Times New Roman" w:hAnsi="Times New Roman" w:cs="Times New Roman"/>
          <w:i/>
          <w:sz w:val="24"/>
          <w:szCs w:val="24"/>
        </w:rPr>
        <w:t xml:space="preserve"> - Revista Digital De Ciencias Sociales,</w:t>
      </w:r>
      <w:r>
        <w:rPr>
          <w:rFonts w:ascii="Times New Roman" w:eastAsia="Times New Roman" w:hAnsi="Times New Roman" w:cs="Times New Roman"/>
          <w:sz w:val="24"/>
          <w:szCs w:val="24"/>
        </w:rPr>
        <w:t xml:space="preserve"> 7(12), 237–254. </w:t>
      </w:r>
      <w:hyperlink r:id="rId51">
        <w:r w:rsidR="004232E5">
          <w:rPr>
            <w:rFonts w:ascii="Times New Roman" w:eastAsia="Times New Roman" w:hAnsi="Times New Roman" w:cs="Times New Roman"/>
            <w:color w:val="1155CC"/>
            <w:sz w:val="24"/>
            <w:szCs w:val="24"/>
            <w:u w:val="single"/>
          </w:rPr>
          <w:t>https://revistas.uncu.edu.ar/ojs3/index.php/millca-digital/article/view/2042</w:t>
        </w:r>
      </w:hyperlink>
    </w:p>
    <w:p w14:paraId="32EC00F7" w14:textId="77777777" w:rsidR="004232E5" w:rsidRDefault="00000000" w:rsidP="006B5B58">
      <w:pPr>
        <w:widowControl w:val="0"/>
        <w:spacing w:line="240" w:lineRule="auto"/>
        <w:ind w:right="10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Segato</w:t>
      </w:r>
      <w:proofErr w:type="spellEnd"/>
      <w:r>
        <w:rPr>
          <w:rFonts w:ascii="Times New Roman" w:eastAsia="Times New Roman" w:hAnsi="Times New Roman" w:cs="Times New Roman"/>
          <w:sz w:val="24"/>
          <w:szCs w:val="24"/>
        </w:rPr>
        <w:t>, R. (2010).</w:t>
      </w:r>
      <w:r>
        <w:rPr>
          <w:rFonts w:ascii="Times New Roman" w:eastAsia="Times New Roman" w:hAnsi="Times New Roman" w:cs="Times New Roman"/>
          <w:i/>
          <w:sz w:val="24"/>
          <w:szCs w:val="24"/>
        </w:rPr>
        <w:t xml:space="preserve"> Las estructuras elementales de la violencia ensayos sobre género entre la antropología, el psicoanálisis y los derechos humanos.</w:t>
      </w:r>
      <w:r>
        <w:rPr>
          <w:rFonts w:ascii="Times New Roman" w:eastAsia="Times New Roman" w:hAnsi="Times New Roman" w:cs="Times New Roman"/>
          <w:sz w:val="24"/>
          <w:szCs w:val="24"/>
        </w:rPr>
        <w:t xml:space="preserve"> Buenos Aires, Argentina Editorial Prometeo Libros. </w:t>
      </w:r>
      <w:hyperlink r:id="rId52">
        <w:r w:rsidR="004232E5">
          <w:rPr>
            <w:rFonts w:ascii="Times New Roman" w:eastAsia="Times New Roman" w:hAnsi="Times New Roman" w:cs="Times New Roman"/>
            <w:color w:val="1155CC"/>
            <w:sz w:val="24"/>
            <w:szCs w:val="24"/>
            <w:u w:val="single"/>
          </w:rPr>
          <w:t>https://www.sidalc.net/search/Record/KOHA-OAI-ECOSUR:61194/Description</w:t>
        </w:r>
      </w:hyperlink>
    </w:p>
    <w:p w14:paraId="22EDCE49" w14:textId="77777777" w:rsidR="004232E5" w:rsidRPr="006B5B58" w:rsidRDefault="00000000" w:rsidP="006B5B58">
      <w:pPr>
        <w:widowControl w:val="0"/>
        <w:spacing w:line="240" w:lineRule="auto"/>
        <w:ind w:right="100" w:hanging="720"/>
        <w:rPr>
          <w:rFonts w:ascii="Times New Roman" w:eastAsia="Times New Roman" w:hAnsi="Times New Roman" w:cs="Times New Roman"/>
          <w:sz w:val="24"/>
          <w:szCs w:val="24"/>
          <w:lang w:val="en-US"/>
        </w:rPr>
      </w:pPr>
      <w:proofErr w:type="spellStart"/>
      <w:r w:rsidRPr="006B5B58">
        <w:rPr>
          <w:rFonts w:ascii="Times New Roman" w:eastAsia="Times New Roman" w:hAnsi="Times New Roman" w:cs="Times New Roman"/>
          <w:sz w:val="24"/>
          <w:szCs w:val="24"/>
          <w:lang w:val="en-US"/>
        </w:rPr>
        <w:t>Serpe</w:t>
      </w:r>
      <w:proofErr w:type="spellEnd"/>
      <w:r w:rsidRPr="006B5B58">
        <w:rPr>
          <w:rFonts w:ascii="Times New Roman" w:eastAsia="Times New Roman" w:hAnsi="Times New Roman" w:cs="Times New Roman"/>
          <w:sz w:val="24"/>
          <w:szCs w:val="24"/>
          <w:lang w:val="en-US"/>
        </w:rPr>
        <w:t xml:space="preserve">, C., Brown, C., Criss, S., </w:t>
      </w:r>
      <w:proofErr w:type="spellStart"/>
      <w:r w:rsidRPr="006B5B58">
        <w:rPr>
          <w:rFonts w:ascii="Times New Roman" w:eastAsia="Times New Roman" w:hAnsi="Times New Roman" w:cs="Times New Roman"/>
          <w:sz w:val="24"/>
          <w:szCs w:val="24"/>
          <w:lang w:val="en-US"/>
        </w:rPr>
        <w:t>Lamkins</w:t>
      </w:r>
      <w:proofErr w:type="spellEnd"/>
      <w:r w:rsidRPr="006B5B58">
        <w:rPr>
          <w:rFonts w:ascii="Times New Roman" w:eastAsia="Times New Roman" w:hAnsi="Times New Roman" w:cs="Times New Roman"/>
          <w:sz w:val="24"/>
          <w:szCs w:val="24"/>
          <w:lang w:val="en-US"/>
        </w:rPr>
        <w:t xml:space="preserve">, K., y Watson, L. (2020). Bisexual women: Experiencing and coping with objectification, prejudice, and erasure. </w:t>
      </w:r>
      <w:r w:rsidRPr="006B5B58">
        <w:rPr>
          <w:rFonts w:ascii="Times New Roman" w:eastAsia="Times New Roman" w:hAnsi="Times New Roman" w:cs="Times New Roman"/>
          <w:i/>
          <w:sz w:val="24"/>
          <w:szCs w:val="24"/>
          <w:lang w:val="en-US"/>
        </w:rPr>
        <w:t>Journal of Bisexuality</w:t>
      </w:r>
      <w:r w:rsidRPr="006B5B58">
        <w:rPr>
          <w:rFonts w:ascii="Times New Roman" w:eastAsia="Times New Roman" w:hAnsi="Times New Roman" w:cs="Times New Roman"/>
          <w:sz w:val="24"/>
          <w:szCs w:val="24"/>
          <w:lang w:val="en-US"/>
        </w:rPr>
        <w:t xml:space="preserve">, 20(4), 456-492. </w:t>
      </w:r>
      <w:hyperlink r:id="rId53">
        <w:r w:rsidR="004232E5" w:rsidRPr="006B5B58">
          <w:rPr>
            <w:rFonts w:ascii="Times New Roman" w:eastAsia="Times New Roman" w:hAnsi="Times New Roman" w:cs="Times New Roman"/>
            <w:color w:val="1155CC"/>
            <w:sz w:val="24"/>
            <w:szCs w:val="24"/>
            <w:u w:val="single"/>
            <w:lang w:val="en-US"/>
          </w:rPr>
          <w:t>https://doi.org/10.1080/15299716.2020.1820421</w:t>
        </w:r>
      </w:hyperlink>
    </w:p>
    <w:p w14:paraId="180F9619" w14:textId="77777777" w:rsidR="004232E5" w:rsidRPr="006B5B58" w:rsidRDefault="00000000" w:rsidP="006B5B58">
      <w:pPr>
        <w:widowControl w:val="0"/>
        <w:spacing w:line="240" w:lineRule="auto"/>
        <w:ind w:right="100"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Stark, E., y Hester, M. (2019). Coercive control: Update and review. </w:t>
      </w:r>
      <w:r w:rsidRPr="006B5B58">
        <w:rPr>
          <w:rFonts w:ascii="Times New Roman" w:eastAsia="Times New Roman" w:hAnsi="Times New Roman" w:cs="Times New Roman"/>
          <w:i/>
          <w:sz w:val="24"/>
          <w:szCs w:val="24"/>
          <w:lang w:val="en-US"/>
        </w:rPr>
        <w:t>Violence against women</w:t>
      </w:r>
      <w:r w:rsidRPr="006B5B58">
        <w:rPr>
          <w:rFonts w:ascii="Times New Roman" w:eastAsia="Times New Roman" w:hAnsi="Times New Roman" w:cs="Times New Roman"/>
          <w:sz w:val="24"/>
          <w:szCs w:val="24"/>
          <w:lang w:val="en-US"/>
        </w:rPr>
        <w:t xml:space="preserve">, 25(1), 81-104. </w:t>
      </w:r>
      <w:hyperlink r:id="rId54">
        <w:r w:rsidR="004232E5" w:rsidRPr="006B5B58">
          <w:rPr>
            <w:rFonts w:ascii="Times New Roman" w:eastAsia="Times New Roman" w:hAnsi="Times New Roman" w:cs="Times New Roman"/>
            <w:color w:val="1155CC"/>
            <w:sz w:val="24"/>
            <w:szCs w:val="24"/>
            <w:u w:val="single"/>
            <w:lang w:val="en-US"/>
          </w:rPr>
          <w:t>https://doi.org/10.1177/1077801218816191</w:t>
        </w:r>
      </w:hyperlink>
    </w:p>
    <w:p w14:paraId="28FDECD0" w14:textId="77777777" w:rsidR="004232E5" w:rsidRDefault="00000000" w:rsidP="006B5B58">
      <w:pPr>
        <w:widowControl w:val="0"/>
        <w:spacing w:line="240" w:lineRule="auto"/>
        <w:ind w:right="100" w:hanging="720"/>
        <w:rPr>
          <w:rFonts w:ascii="Times New Roman" w:eastAsia="Times New Roman" w:hAnsi="Times New Roman" w:cs="Times New Roman"/>
          <w:sz w:val="24"/>
          <w:szCs w:val="24"/>
        </w:rPr>
      </w:pPr>
      <w:proofErr w:type="spellStart"/>
      <w:r w:rsidRPr="006B5B58">
        <w:rPr>
          <w:rFonts w:ascii="Times New Roman" w:eastAsia="Times New Roman" w:hAnsi="Times New Roman" w:cs="Times New Roman"/>
          <w:i/>
          <w:sz w:val="24"/>
          <w:szCs w:val="24"/>
          <w:lang w:val="en-US"/>
        </w:rPr>
        <w:t>Stonewall's</w:t>
      </w:r>
      <w:proofErr w:type="spellEnd"/>
      <w:r w:rsidRPr="006B5B58">
        <w:rPr>
          <w:rFonts w:ascii="Times New Roman" w:eastAsia="Times New Roman" w:hAnsi="Times New Roman" w:cs="Times New Roman"/>
          <w:i/>
          <w:sz w:val="24"/>
          <w:szCs w:val="24"/>
          <w:lang w:val="en-US"/>
        </w:rPr>
        <w:t xml:space="preserve"> International Work</w:t>
      </w:r>
      <w:r w:rsidRPr="006B5B58">
        <w:rPr>
          <w:rFonts w:ascii="Times New Roman" w:eastAsia="Times New Roman" w:hAnsi="Times New Roman" w:cs="Times New Roman"/>
          <w:sz w:val="24"/>
          <w:szCs w:val="24"/>
          <w:lang w:val="en-US"/>
        </w:rPr>
        <w:t xml:space="preserve"> (2021). </w:t>
      </w:r>
      <w:r w:rsidRPr="006B5B58">
        <w:rPr>
          <w:rFonts w:ascii="Times New Roman" w:eastAsia="Times New Roman" w:hAnsi="Times New Roman" w:cs="Times New Roman"/>
          <w:i/>
          <w:sz w:val="24"/>
          <w:szCs w:val="24"/>
          <w:lang w:val="en-US"/>
        </w:rPr>
        <w:t>LGBT facts and figures.</w:t>
      </w:r>
      <w:r w:rsidRPr="006B5B58">
        <w:rPr>
          <w:rFonts w:ascii="Times New Roman" w:eastAsia="Times New Roman" w:hAnsi="Times New Roman" w:cs="Times New Roman"/>
          <w:sz w:val="24"/>
          <w:szCs w:val="24"/>
          <w:lang w:val="en-US"/>
        </w:rPr>
        <w:t xml:space="preserve"> </w:t>
      </w:r>
      <w:hyperlink r:id="rId55" w:anchor=":~:text=Two%2Dthirds%20(64%25)%20of,%25">
        <w:r w:rsidR="004232E5">
          <w:rPr>
            <w:rFonts w:ascii="Times New Roman" w:eastAsia="Times New Roman" w:hAnsi="Times New Roman" w:cs="Times New Roman"/>
            <w:color w:val="1155CC"/>
            <w:sz w:val="24"/>
            <w:szCs w:val="24"/>
            <w:u w:val="single"/>
          </w:rPr>
          <w:t>https://www.stonewall.org.uk/resources/lgbtq-facts-and-figures#:~:text=Two%2Dthirds%20(64%25)%20of,%25</w:t>
        </w:r>
      </w:hyperlink>
      <w:r>
        <w:rPr>
          <w:rFonts w:ascii="Times New Roman" w:eastAsia="Times New Roman" w:hAnsi="Times New Roman" w:cs="Times New Roman"/>
          <w:color w:val="1155CC"/>
          <w:sz w:val="24"/>
          <w:szCs w:val="24"/>
          <w:u w:val="single"/>
        </w:rPr>
        <w:t>)%20had%20experienced%20sexual%20violence.</w:t>
      </w:r>
    </w:p>
    <w:p w14:paraId="3072B617" w14:textId="77777777" w:rsidR="004232E5" w:rsidRPr="006B5B58" w:rsidRDefault="00000000" w:rsidP="006B5B58">
      <w:pPr>
        <w:widowControl w:val="0"/>
        <w:spacing w:line="240" w:lineRule="auto"/>
        <w:ind w:right="100" w:hanging="72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xml:space="preserve">, D., y </w:t>
      </w:r>
      <w:proofErr w:type="spellStart"/>
      <w:r>
        <w:rPr>
          <w:rFonts w:ascii="Times New Roman" w:eastAsia="Times New Roman" w:hAnsi="Times New Roman" w:cs="Times New Roman"/>
          <w:sz w:val="24"/>
          <w:szCs w:val="24"/>
        </w:rPr>
        <w:t>Carretta</w:t>
      </w:r>
      <w:proofErr w:type="spellEnd"/>
      <w:r>
        <w:rPr>
          <w:rFonts w:ascii="Times New Roman" w:eastAsia="Times New Roman" w:hAnsi="Times New Roman" w:cs="Times New Roman"/>
          <w:sz w:val="24"/>
          <w:szCs w:val="24"/>
        </w:rPr>
        <w:t xml:space="preserve">, R. (2020). </w:t>
      </w:r>
      <w:r w:rsidRPr="006B5B58">
        <w:rPr>
          <w:rFonts w:ascii="Times New Roman" w:eastAsia="Times New Roman" w:hAnsi="Times New Roman" w:cs="Times New Roman"/>
          <w:sz w:val="24"/>
          <w:szCs w:val="24"/>
          <w:lang w:val="en-US"/>
        </w:rPr>
        <w:t xml:space="preserve">Religious-based sexual stigma and psychological health: Roles of internalization, religious struggle, and religiosity. </w:t>
      </w:r>
      <w:r w:rsidRPr="006B5B58">
        <w:rPr>
          <w:rFonts w:ascii="Times New Roman" w:eastAsia="Times New Roman" w:hAnsi="Times New Roman" w:cs="Times New Roman"/>
          <w:i/>
          <w:sz w:val="24"/>
          <w:szCs w:val="24"/>
          <w:lang w:val="en-US"/>
        </w:rPr>
        <w:t>Journal of homosexuality</w:t>
      </w:r>
      <w:r w:rsidRPr="006B5B58">
        <w:rPr>
          <w:rFonts w:ascii="Times New Roman" w:eastAsia="Times New Roman" w:hAnsi="Times New Roman" w:cs="Times New Roman"/>
          <w:sz w:val="24"/>
          <w:szCs w:val="24"/>
          <w:lang w:val="en-US"/>
        </w:rPr>
        <w:t xml:space="preserve">, 67(8), 1062-1080. </w:t>
      </w:r>
      <w:hyperlink r:id="rId56">
        <w:r w:rsidR="004232E5" w:rsidRPr="006B5B58">
          <w:rPr>
            <w:rFonts w:ascii="Times New Roman" w:eastAsia="Times New Roman" w:hAnsi="Times New Roman" w:cs="Times New Roman"/>
            <w:color w:val="1155CC"/>
            <w:sz w:val="24"/>
            <w:szCs w:val="24"/>
            <w:u w:val="single"/>
            <w:lang w:val="en-US"/>
          </w:rPr>
          <w:t>https://doi.org/10.1080/00918369.2019.1601439</w:t>
        </w:r>
      </w:hyperlink>
    </w:p>
    <w:p w14:paraId="3BC0519E" w14:textId="77777777" w:rsidR="004232E5" w:rsidRPr="006B5B58" w:rsidRDefault="00000000" w:rsidP="006B5B58">
      <w:pPr>
        <w:widowControl w:val="0"/>
        <w:spacing w:line="240" w:lineRule="auto"/>
        <w:ind w:right="100"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Tebbe, E., Moradi, B., Connelly, K., </w:t>
      </w:r>
      <w:proofErr w:type="spellStart"/>
      <w:r w:rsidRPr="006B5B58">
        <w:rPr>
          <w:rFonts w:ascii="Times New Roman" w:eastAsia="Times New Roman" w:hAnsi="Times New Roman" w:cs="Times New Roman"/>
          <w:sz w:val="24"/>
          <w:szCs w:val="24"/>
          <w:lang w:val="en-US"/>
        </w:rPr>
        <w:t>Lenzen</w:t>
      </w:r>
      <w:proofErr w:type="spellEnd"/>
      <w:r w:rsidRPr="006B5B58">
        <w:rPr>
          <w:rFonts w:ascii="Times New Roman" w:eastAsia="Times New Roman" w:hAnsi="Times New Roman" w:cs="Times New Roman"/>
          <w:sz w:val="24"/>
          <w:szCs w:val="24"/>
          <w:lang w:val="en-US"/>
        </w:rPr>
        <w:t xml:space="preserve">, A., y Flores, M. (2018). “I don’t care about you as a person”: Sexual minority women objectified. </w:t>
      </w:r>
      <w:r w:rsidRPr="006B5B58">
        <w:rPr>
          <w:rFonts w:ascii="Times New Roman" w:eastAsia="Times New Roman" w:hAnsi="Times New Roman" w:cs="Times New Roman"/>
          <w:i/>
          <w:sz w:val="24"/>
          <w:szCs w:val="24"/>
          <w:lang w:val="en-US"/>
        </w:rPr>
        <w:t>Journal of Counseling Psychology</w:t>
      </w:r>
      <w:r w:rsidRPr="006B5B58">
        <w:rPr>
          <w:rFonts w:ascii="Times New Roman" w:eastAsia="Times New Roman" w:hAnsi="Times New Roman" w:cs="Times New Roman"/>
          <w:sz w:val="24"/>
          <w:szCs w:val="24"/>
          <w:lang w:val="en-US"/>
        </w:rPr>
        <w:t xml:space="preserve">, 65(1), 1-16. </w:t>
      </w:r>
      <w:hyperlink r:id="rId57">
        <w:r w:rsidR="004232E5" w:rsidRPr="006B5B58">
          <w:rPr>
            <w:rFonts w:ascii="Times New Roman" w:eastAsia="Times New Roman" w:hAnsi="Times New Roman" w:cs="Times New Roman"/>
            <w:color w:val="1155CC"/>
            <w:sz w:val="24"/>
            <w:szCs w:val="24"/>
            <w:u w:val="single"/>
            <w:lang w:val="en-US"/>
          </w:rPr>
          <w:t>https://doi.org/10.1037/cou0000255</w:t>
        </w:r>
      </w:hyperlink>
    </w:p>
    <w:p w14:paraId="5C07FC41" w14:textId="77777777" w:rsidR="004232E5" w:rsidRPr="006B5B58" w:rsidRDefault="00000000" w:rsidP="006B5B58">
      <w:pPr>
        <w:widowControl w:val="0"/>
        <w:spacing w:line="240" w:lineRule="auto"/>
        <w:ind w:right="100" w:hanging="720"/>
        <w:rPr>
          <w:rFonts w:ascii="Times New Roman" w:eastAsia="Times New Roman" w:hAnsi="Times New Roman" w:cs="Times New Roman"/>
          <w:sz w:val="24"/>
          <w:szCs w:val="24"/>
          <w:lang w:val="en-US"/>
        </w:rPr>
      </w:pPr>
      <w:proofErr w:type="spellStart"/>
      <w:r w:rsidRPr="006B5B58">
        <w:rPr>
          <w:rFonts w:ascii="Times New Roman" w:eastAsia="Times New Roman" w:hAnsi="Times New Roman" w:cs="Times New Roman"/>
          <w:sz w:val="24"/>
          <w:szCs w:val="24"/>
          <w:lang w:val="en-US"/>
        </w:rPr>
        <w:t>Tomsen</w:t>
      </w:r>
      <w:proofErr w:type="spellEnd"/>
      <w:r w:rsidRPr="006B5B58">
        <w:rPr>
          <w:rFonts w:ascii="Times New Roman" w:eastAsia="Times New Roman" w:hAnsi="Times New Roman" w:cs="Times New Roman"/>
          <w:sz w:val="24"/>
          <w:szCs w:val="24"/>
          <w:lang w:val="en-US"/>
        </w:rPr>
        <w:t xml:space="preserve">, S., y Mason, G. (2001). Engendering homophobia: Violence, sexuality and gender conformity. </w:t>
      </w:r>
      <w:r w:rsidRPr="006B5B58">
        <w:rPr>
          <w:rFonts w:ascii="Times New Roman" w:eastAsia="Times New Roman" w:hAnsi="Times New Roman" w:cs="Times New Roman"/>
          <w:i/>
          <w:sz w:val="24"/>
          <w:szCs w:val="24"/>
          <w:lang w:val="en-US"/>
        </w:rPr>
        <w:t>Journal of Sociology</w:t>
      </w:r>
      <w:r w:rsidRPr="006B5B58">
        <w:rPr>
          <w:rFonts w:ascii="Times New Roman" w:eastAsia="Times New Roman" w:hAnsi="Times New Roman" w:cs="Times New Roman"/>
          <w:sz w:val="24"/>
          <w:szCs w:val="24"/>
          <w:lang w:val="en-US"/>
        </w:rPr>
        <w:t xml:space="preserve">, </w:t>
      </w:r>
      <w:r w:rsidRPr="006B5B58">
        <w:rPr>
          <w:rFonts w:ascii="Times New Roman" w:eastAsia="Times New Roman" w:hAnsi="Times New Roman" w:cs="Times New Roman"/>
          <w:i/>
          <w:sz w:val="24"/>
          <w:szCs w:val="24"/>
          <w:lang w:val="en-US"/>
        </w:rPr>
        <w:t>37</w:t>
      </w:r>
      <w:r w:rsidRPr="006B5B58">
        <w:rPr>
          <w:rFonts w:ascii="Times New Roman" w:eastAsia="Times New Roman" w:hAnsi="Times New Roman" w:cs="Times New Roman"/>
          <w:sz w:val="24"/>
          <w:szCs w:val="24"/>
          <w:lang w:val="en-US"/>
        </w:rPr>
        <w:t xml:space="preserve">(3), 257-273. </w:t>
      </w:r>
      <w:hyperlink r:id="rId58">
        <w:r w:rsidR="004232E5" w:rsidRPr="006B5B58">
          <w:rPr>
            <w:rFonts w:ascii="Times New Roman" w:eastAsia="Times New Roman" w:hAnsi="Times New Roman" w:cs="Times New Roman"/>
            <w:color w:val="1155CC"/>
            <w:sz w:val="24"/>
            <w:szCs w:val="24"/>
            <w:u w:val="single"/>
            <w:lang w:val="en-US"/>
          </w:rPr>
          <w:t>https://doi.org/10.1177/14407830112875633</w:t>
        </w:r>
      </w:hyperlink>
    </w:p>
    <w:p w14:paraId="39652BFF"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proofErr w:type="spellStart"/>
      <w:r w:rsidRPr="006B5B58">
        <w:rPr>
          <w:rFonts w:ascii="Times New Roman" w:eastAsia="Times New Roman" w:hAnsi="Times New Roman" w:cs="Times New Roman"/>
          <w:sz w:val="24"/>
          <w:szCs w:val="24"/>
          <w:lang w:val="en-US"/>
        </w:rPr>
        <w:t>Tomsen</w:t>
      </w:r>
      <w:proofErr w:type="spellEnd"/>
      <w:r w:rsidRPr="006B5B58">
        <w:rPr>
          <w:rFonts w:ascii="Times New Roman" w:eastAsia="Times New Roman" w:hAnsi="Times New Roman" w:cs="Times New Roman"/>
          <w:sz w:val="24"/>
          <w:szCs w:val="24"/>
          <w:lang w:val="en-US"/>
        </w:rPr>
        <w:t xml:space="preserve">, S. (2006). Homophobic violence, cultural essentialism and shifting sexual identities. </w:t>
      </w:r>
      <w:r w:rsidRPr="006B5B58">
        <w:rPr>
          <w:rFonts w:ascii="Times New Roman" w:eastAsia="Times New Roman" w:hAnsi="Times New Roman" w:cs="Times New Roman"/>
          <w:i/>
          <w:sz w:val="24"/>
          <w:szCs w:val="24"/>
          <w:lang w:val="en-US"/>
        </w:rPr>
        <w:t>Social &amp; Legal Studies</w:t>
      </w:r>
      <w:r w:rsidRPr="006B5B58">
        <w:rPr>
          <w:rFonts w:ascii="Times New Roman" w:eastAsia="Times New Roman" w:hAnsi="Times New Roman" w:cs="Times New Roman"/>
          <w:sz w:val="24"/>
          <w:szCs w:val="24"/>
          <w:lang w:val="en-US"/>
        </w:rPr>
        <w:t xml:space="preserve">, </w:t>
      </w:r>
      <w:r w:rsidRPr="006B5B58">
        <w:rPr>
          <w:rFonts w:ascii="Times New Roman" w:eastAsia="Times New Roman" w:hAnsi="Times New Roman" w:cs="Times New Roman"/>
          <w:i/>
          <w:sz w:val="24"/>
          <w:szCs w:val="24"/>
          <w:lang w:val="en-US"/>
        </w:rPr>
        <w:t>15</w:t>
      </w:r>
      <w:r w:rsidRPr="006B5B58">
        <w:rPr>
          <w:rFonts w:ascii="Times New Roman" w:eastAsia="Times New Roman" w:hAnsi="Times New Roman" w:cs="Times New Roman"/>
          <w:sz w:val="24"/>
          <w:szCs w:val="24"/>
          <w:lang w:val="en-US"/>
        </w:rPr>
        <w:t xml:space="preserve">(3), 389-407. </w:t>
      </w:r>
      <w:hyperlink r:id="rId59">
        <w:r w:rsidR="004232E5" w:rsidRPr="006B5B58">
          <w:rPr>
            <w:rFonts w:ascii="Times New Roman" w:eastAsia="Times New Roman" w:hAnsi="Times New Roman" w:cs="Times New Roman"/>
            <w:color w:val="1155CC"/>
            <w:sz w:val="24"/>
            <w:szCs w:val="24"/>
            <w:u w:val="single"/>
            <w:lang w:val="en-US"/>
          </w:rPr>
          <w:t>https://doi.org/10.1177/0964663906066616</w:t>
        </w:r>
      </w:hyperlink>
    </w:p>
    <w:p w14:paraId="79559C11" w14:textId="77777777" w:rsidR="004232E5" w:rsidRDefault="00000000" w:rsidP="006B5B58">
      <w:pPr>
        <w:widowControl w:val="0"/>
        <w:spacing w:line="240" w:lineRule="auto"/>
        <w:ind w:right="96" w:hanging="720"/>
        <w:rPr>
          <w:rFonts w:ascii="Times New Roman" w:eastAsia="Times New Roman" w:hAnsi="Times New Roman" w:cs="Times New Roman"/>
          <w:color w:val="222222"/>
          <w:sz w:val="20"/>
          <w:szCs w:val="20"/>
        </w:rPr>
      </w:pPr>
      <w:proofErr w:type="spellStart"/>
      <w:r w:rsidRPr="006B5B58">
        <w:rPr>
          <w:rFonts w:ascii="Times New Roman" w:eastAsia="Times New Roman" w:hAnsi="Times New Roman" w:cs="Times New Roman"/>
          <w:sz w:val="24"/>
          <w:szCs w:val="24"/>
          <w:lang w:val="en-US"/>
        </w:rPr>
        <w:t>Tomsen</w:t>
      </w:r>
      <w:proofErr w:type="spellEnd"/>
      <w:r w:rsidRPr="006B5B58">
        <w:rPr>
          <w:rFonts w:ascii="Times New Roman" w:eastAsia="Times New Roman" w:hAnsi="Times New Roman" w:cs="Times New Roman"/>
          <w:sz w:val="24"/>
          <w:szCs w:val="24"/>
          <w:lang w:val="en-US"/>
        </w:rPr>
        <w:t xml:space="preserve">, S. (2017). Masculinity and homophobic violence in Australia’s recent past. </w:t>
      </w:r>
      <w:proofErr w:type="spellStart"/>
      <w:r>
        <w:rPr>
          <w:rFonts w:ascii="Times New Roman" w:eastAsia="Times New Roman" w:hAnsi="Times New Roman" w:cs="Times New Roman"/>
          <w:i/>
          <w:sz w:val="24"/>
          <w:szCs w:val="24"/>
        </w:rPr>
        <w:t>Sexuality</w:t>
      </w:r>
      <w:proofErr w:type="spellEnd"/>
      <w:r>
        <w:rPr>
          <w:rFonts w:ascii="Times New Roman" w:eastAsia="Times New Roman" w:hAnsi="Times New Roman" w:cs="Times New Roman"/>
          <w:i/>
          <w:sz w:val="24"/>
          <w:szCs w:val="24"/>
        </w:rPr>
        <w:t xml:space="preserve"> &amp; Culture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 xml:space="preserve">, 813-829. </w:t>
      </w:r>
      <w:hyperlink r:id="rId60">
        <w:r w:rsidR="004232E5">
          <w:rPr>
            <w:rFonts w:ascii="Times New Roman" w:eastAsia="Times New Roman" w:hAnsi="Times New Roman" w:cs="Times New Roman"/>
            <w:color w:val="1155CC"/>
            <w:sz w:val="24"/>
            <w:szCs w:val="24"/>
            <w:u w:val="single"/>
          </w:rPr>
          <w:t>https://doi.org/10.1007/s12119-017-9423-0</w:t>
        </w:r>
      </w:hyperlink>
    </w:p>
    <w:p w14:paraId="64512E7C"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Verdú, A. (2018). El sufrimiento de la mujer objeto. Consecuencias de la cosificación sexual de las mujeres en los medios de comunicación. </w:t>
      </w:r>
      <w:proofErr w:type="spellStart"/>
      <w:r w:rsidRPr="006B5B58">
        <w:rPr>
          <w:rFonts w:ascii="Times New Roman" w:eastAsia="Times New Roman" w:hAnsi="Times New Roman" w:cs="Times New Roman"/>
          <w:i/>
          <w:sz w:val="24"/>
          <w:szCs w:val="24"/>
          <w:lang w:val="en-US"/>
        </w:rPr>
        <w:t>Feminismo</w:t>
      </w:r>
      <w:proofErr w:type="spellEnd"/>
      <w:r w:rsidRPr="006B5B58">
        <w:rPr>
          <w:rFonts w:ascii="Times New Roman" w:eastAsia="Times New Roman" w:hAnsi="Times New Roman" w:cs="Times New Roman"/>
          <w:i/>
          <w:sz w:val="24"/>
          <w:szCs w:val="24"/>
          <w:lang w:val="en-US"/>
        </w:rPr>
        <w:t>/s,</w:t>
      </w:r>
      <w:r w:rsidRPr="006B5B58">
        <w:rPr>
          <w:rFonts w:ascii="Times New Roman" w:eastAsia="Times New Roman" w:hAnsi="Times New Roman" w:cs="Times New Roman"/>
          <w:sz w:val="24"/>
          <w:szCs w:val="24"/>
          <w:lang w:val="en-US"/>
        </w:rPr>
        <w:t xml:space="preserve"> (31), 167–186. </w:t>
      </w:r>
      <w:hyperlink r:id="rId61">
        <w:r w:rsidR="004232E5" w:rsidRPr="006B5B58">
          <w:rPr>
            <w:rFonts w:ascii="Times New Roman" w:eastAsia="Times New Roman" w:hAnsi="Times New Roman" w:cs="Times New Roman"/>
            <w:color w:val="1155CC"/>
            <w:sz w:val="24"/>
            <w:szCs w:val="24"/>
            <w:u w:val="single"/>
            <w:lang w:val="en-US"/>
          </w:rPr>
          <w:t>https://doi.org/10.14198/fem.2018.31.08</w:t>
        </w:r>
      </w:hyperlink>
    </w:p>
    <w:p w14:paraId="1971440F"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proofErr w:type="spellStart"/>
      <w:r w:rsidRPr="006B5B58">
        <w:rPr>
          <w:rFonts w:ascii="Times New Roman" w:eastAsia="Times New Roman" w:hAnsi="Times New Roman" w:cs="Times New Roman"/>
          <w:sz w:val="24"/>
          <w:szCs w:val="24"/>
          <w:lang w:val="en-US"/>
        </w:rPr>
        <w:t>Vonlanthen</w:t>
      </w:r>
      <w:proofErr w:type="spellEnd"/>
      <w:r w:rsidRPr="006B5B58">
        <w:rPr>
          <w:rFonts w:ascii="Times New Roman" w:eastAsia="Times New Roman" w:hAnsi="Times New Roman" w:cs="Times New Roman"/>
          <w:sz w:val="24"/>
          <w:szCs w:val="24"/>
          <w:lang w:val="en-US"/>
        </w:rPr>
        <w:t xml:space="preserve">, C., y Roy-Charland, A. (2024). Biphobia: A systematic literature review. </w:t>
      </w:r>
      <w:r w:rsidRPr="006B5B58">
        <w:rPr>
          <w:rFonts w:ascii="Times New Roman" w:eastAsia="Times New Roman" w:hAnsi="Times New Roman" w:cs="Times New Roman"/>
          <w:i/>
          <w:sz w:val="24"/>
          <w:szCs w:val="24"/>
          <w:lang w:val="en-US"/>
        </w:rPr>
        <w:t xml:space="preserve">Canadian Psychology / </w:t>
      </w:r>
      <w:proofErr w:type="spellStart"/>
      <w:r w:rsidRPr="006B5B58">
        <w:rPr>
          <w:rFonts w:ascii="Times New Roman" w:eastAsia="Times New Roman" w:hAnsi="Times New Roman" w:cs="Times New Roman"/>
          <w:i/>
          <w:sz w:val="24"/>
          <w:szCs w:val="24"/>
          <w:lang w:val="en-US"/>
        </w:rPr>
        <w:t>Psychologie</w:t>
      </w:r>
      <w:proofErr w:type="spellEnd"/>
      <w:r w:rsidRPr="006B5B58">
        <w:rPr>
          <w:rFonts w:ascii="Times New Roman" w:eastAsia="Times New Roman" w:hAnsi="Times New Roman" w:cs="Times New Roman"/>
          <w:i/>
          <w:sz w:val="24"/>
          <w:szCs w:val="24"/>
          <w:lang w:val="en-US"/>
        </w:rPr>
        <w:t xml:space="preserve"> canadienne. </w:t>
      </w:r>
      <w:r w:rsidRPr="006B5B58">
        <w:rPr>
          <w:rFonts w:ascii="Times New Roman" w:eastAsia="Times New Roman" w:hAnsi="Times New Roman" w:cs="Times New Roman"/>
          <w:sz w:val="24"/>
          <w:szCs w:val="24"/>
          <w:lang w:val="en-US"/>
        </w:rPr>
        <w:t xml:space="preserve">Advance online publication. </w:t>
      </w:r>
      <w:hyperlink r:id="rId62">
        <w:r w:rsidR="004232E5" w:rsidRPr="006B5B58">
          <w:rPr>
            <w:rFonts w:ascii="Times New Roman" w:eastAsia="Times New Roman" w:hAnsi="Times New Roman" w:cs="Times New Roman"/>
            <w:color w:val="1155CC"/>
            <w:sz w:val="24"/>
            <w:szCs w:val="24"/>
            <w:u w:val="single"/>
            <w:lang w:val="en-US"/>
          </w:rPr>
          <w:t>https://doi.org/10.1037/cap0000400</w:t>
        </w:r>
      </w:hyperlink>
    </w:p>
    <w:p w14:paraId="294CB457" w14:textId="77777777" w:rsidR="004232E5" w:rsidRPr="006B5B58" w:rsidRDefault="004232E5" w:rsidP="006B5B58">
      <w:pPr>
        <w:widowControl w:val="0"/>
        <w:spacing w:line="240" w:lineRule="auto"/>
        <w:ind w:right="96" w:hanging="720"/>
        <w:rPr>
          <w:rFonts w:ascii="Times New Roman" w:eastAsia="Times New Roman" w:hAnsi="Times New Roman" w:cs="Times New Roman"/>
          <w:sz w:val="24"/>
          <w:szCs w:val="24"/>
          <w:lang w:val="en-US"/>
        </w:rPr>
      </w:pPr>
    </w:p>
    <w:sectPr w:rsidR="004232E5" w:rsidRPr="006B5B58">
      <w:type w:val="continuous"/>
      <w:pgSz w:w="11909" w:h="16834"/>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E7BCD"/>
    <w:multiLevelType w:val="multilevel"/>
    <w:tmpl w:val="5CEAD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B4E146E"/>
    <w:multiLevelType w:val="multilevel"/>
    <w:tmpl w:val="E2CC32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3289396">
    <w:abstractNumId w:val="1"/>
  </w:num>
  <w:num w:numId="2" w16cid:durableId="98789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E5"/>
    <w:rsid w:val="004232E5"/>
    <w:rsid w:val="004342CC"/>
    <w:rsid w:val="006B5B58"/>
    <w:rsid w:val="007548B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06C8BA87"/>
  <w15:docId w15:val="{C3FEDB3C-A8D1-7949-983E-CD31A2F0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line="360" w:lineRule="auto"/>
      <w:ind w:right="4284"/>
      <w:jc w:val="both"/>
      <w:outlineLvl w:val="0"/>
    </w:pPr>
    <w:rPr>
      <w:rFonts w:ascii="Times New Roman" w:eastAsia="Times New Roman" w:hAnsi="Times New Roman" w:cs="Times New Roman"/>
      <w:b/>
      <w:sz w:val="24"/>
      <w:szCs w:val="24"/>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line="360" w:lineRule="auto"/>
      <w:ind w:right="91"/>
      <w:jc w:val="both"/>
    </w:pPr>
    <w:rPr>
      <w:rFonts w:ascii="Times New Roman" w:eastAsia="Times New Roman" w:hAnsi="Times New Roman" w:cs="Times New Roman"/>
      <w:b/>
      <w:sz w:val="24"/>
      <w:szCs w:val="24"/>
      <w:shd w:val="clear" w:color="auto" w:fill="D9EAD3"/>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romsex.org/wp-content/uploads/2018/05/CrecerSiendoDiferentes.pdf" TargetMode="External"/><Relationship Id="rId18" Type="http://schemas.openxmlformats.org/officeDocument/2006/relationships/hyperlink" Target="https://www.demus.org.pe/wp-content/uploads/2023/02/CEDAW-situacion-de-mujeres-lesbianas-en-Peru-Informe-alternativo-al-comite-para-la-eliminacion-de-la-discriminacion-contra-la-mujer.pdf" TargetMode="External"/><Relationship Id="rId26" Type="http://schemas.openxmlformats.org/officeDocument/2006/relationships/hyperlink" Target="https://doi.org/10.1016/j.sexol.2016.02.002" TargetMode="External"/><Relationship Id="rId39" Type="http://schemas.openxmlformats.org/officeDocument/2006/relationships/hyperlink" Target="http://biblioteca-repositorio.clacso.edu.ar/handle/CLACSO/95472" TargetMode="External"/><Relationship Id="rId21" Type="http://schemas.openxmlformats.org/officeDocument/2006/relationships/hyperlink" Target="https://www.defensoria.gob.pe/wp-content/uploads/2018/05/Informe-175--Derechos-humanos-de-personas-LGBTI.pdf" TargetMode="External"/><Relationship Id="rId34" Type="http://schemas.openxmlformats.org/officeDocument/2006/relationships/hyperlink" Target="https://doi.org/10.1300/J159v04n01_09" TargetMode="External"/><Relationship Id="rId42" Type="http://schemas.openxmlformats.org/officeDocument/2006/relationships/hyperlink" Target="https://www.mimp.gob.pe/files/direcciones/dgcvg/MIMP-violencia-basada_en_genero.pdf" TargetMode="External"/><Relationship Id="rId47" Type="http://schemas.openxmlformats.org/officeDocument/2006/relationships/hyperlink" Target="https://doi.org/10.1086/493756" TargetMode="External"/><Relationship Id="rId50" Type="http://schemas.openxmlformats.org/officeDocument/2006/relationships/hyperlink" Target="https://doi.org/10.1016/j.esxm.2021.100479" TargetMode="External"/><Relationship Id="rId55" Type="http://schemas.openxmlformats.org/officeDocument/2006/relationships/hyperlink" Target="https://www.stonewall.org.uk/resources/lgbtq-facts-and-figures" TargetMode="External"/><Relationship Id="rId63" Type="http://schemas.openxmlformats.org/officeDocument/2006/relationships/fontTable" Target="fontTable.xml"/><Relationship Id="rId7" Type="http://schemas.openxmlformats.org/officeDocument/2006/relationships/hyperlink" Target="https://doi.org/10.24839/2325-7342.JN29.1.8" TargetMode="External"/><Relationship Id="rId2" Type="http://schemas.openxmlformats.org/officeDocument/2006/relationships/styles" Target="styles.xml"/><Relationship Id="rId16" Type="http://schemas.openxmlformats.org/officeDocument/2006/relationships/hyperlink" Target="https://doi.org/10.5209/rev_INFE.2015.v6.51376" TargetMode="External"/><Relationship Id="rId29" Type="http://schemas.openxmlformats.org/officeDocument/2006/relationships/hyperlink" Target="https://doi.org/10.54871/cl4c400l" TargetMode="External"/><Relationship Id="rId11" Type="http://schemas.openxmlformats.org/officeDocument/2006/relationships/hyperlink" Target="https://doi.org/10.1037/13620-004" TargetMode="External"/><Relationship Id="rId24" Type="http://schemas.openxmlformats.org/officeDocument/2006/relationships/hyperlink" Target="https://www.gob.pe/institucion/mpfn/informes-publicaciones/2829986-caracteristicascriminologicas-de-las-muertes-dolosas-de-personas-lgtb-en-el-peru-2012-2021" TargetMode="External"/><Relationship Id="rId32" Type="http://schemas.openxmlformats.org/officeDocument/2006/relationships/hyperlink" Target="https://www.iupsys.net/about/declarations/universal-declaration-of-ethical-principles-for-psychologists/" TargetMode="External"/><Relationship Id="rId37" Type="http://schemas.openxmlformats.org/officeDocument/2006/relationships/hyperlink" Target="https://doi.org/10.1037/bul0000321" TargetMode="External"/><Relationship Id="rId40" Type="http://schemas.openxmlformats.org/officeDocument/2006/relationships/hyperlink" Target="https://www.aic.gov.au/publications/vpt/vpt2" TargetMode="External"/><Relationship Id="rId45" Type="http://schemas.openxmlformats.org/officeDocument/2006/relationships/hyperlink" Target="https://doi.org/10.5354/2735-7473.2022.67662" TargetMode="External"/><Relationship Id="rId53" Type="http://schemas.openxmlformats.org/officeDocument/2006/relationships/hyperlink" Target="https://doi.org/10.1080/15299716.2020.1820421" TargetMode="External"/><Relationship Id="rId58" Type="http://schemas.openxmlformats.org/officeDocument/2006/relationships/hyperlink" Target="https://doi.org/10.1177/14407830112875633" TargetMode="External"/><Relationship Id="rId5" Type="http://schemas.openxmlformats.org/officeDocument/2006/relationships/hyperlink" Target="http://hdl.handle.net/10481/52517" TargetMode="External"/><Relationship Id="rId61" Type="http://schemas.openxmlformats.org/officeDocument/2006/relationships/hyperlink" Target="https://doi.org/10.14198/fem.2018.31.08" TargetMode="External"/><Relationship Id="rId19" Type="http://schemas.openxmlformats.org/officeDocument/2006/relationships/hyperlink" Target="https://hdl.handle.net/20.500.14352/36136" TargetMode="External"/><Relationship Id="rId14" Type="http://schemas.openxmlformats.org/officeDocument/2006/relationships/hyperlink" Target="https://promsex.org/publicaciones/informe-anual-sobre-la-situacion-de-los-derechos-humanos-de-las-personas-lgbti-en-el-peru-2020/" TargetMode="External"/><Relationship Id="rId22" Type="http://schemas.openxmlformats.org/officeDocument/2006/relationships/hyperlink" Target="https://doi.org/10.1007/s11199-017-0808-1" TargetMode="External"/><Relationship Id="rId27" Type="http://schemas.openxmlformats.org/officeDocument/2006/relationships/hyperlink" Target="https://doi.org/10.1177/0306422019876455" TargetMode="External"/><Relationship Id="rId30" Type="http://schemas.openxmlformats.org/officeDocument/2006/relationships/hyperlink" Target="https://doi.org/10.18800/debatesensociologia.201801.001" TargetMode="External"/><Relationship Id="rId35" Type="http://schemas.openxmlformats.org/officeDocument/2006/relationships/hyperlink" Target="http://repositorio.unasam.edu.pe/bitstream/handle/UNASAM/5759/T033_31668512_M.pdf?sequence=1&amp;isAllowed=y" TargetMode="External"/><Relationship Id="rId43" Type="http://schemas.openxmlformats.org/officeDocument/2006/relationships/hyperlink" Target="https://doi.org/10.4102/hsag.v26i0.1487" TargetMode="External"/><Relationship Id="rId48" Type="http://schemas.openxmlformats.org/officeDocument/2006/relationships/hyperlink" Target="http://revistas.javerianacali.edu.co/index.php/pensamientopsicologico/article/view/156" TargetMode="External"/><Relationship Id="rId56" Type="http://schemas.openxmlformats.org/officeDocument/2006/relationships/hyperlink" Target="https://doi.org/10.1080/00918369.2019.1601439" TargetMode="External"/><Relationship Id="rId64" Type="http://schemas.openxmlformats.org/officeDocument/2006/relationships/theme" Target="theme/theme1.xml"/><Relationship Id="rId8" Type="http://schemas.openxmlformats.org/officeDocument/2006/relationships/hyperlink" Target="http://hdl.handle.net/11201/157063" TargetMode="External"/><Relationship Id="rId51" Type="http://schemas.openxmlformats.org/officeDocument/2006/relationships/hyperlink" Target="https://revistas.uncu.edu.ar/ojs3/index.php/millca-digital/article/view/2042" TargetMode="External"/><Relationship Id="rId3" Type="http://schemas.openxmlformats.org/officeDocument/2006/relationships/settings" Target="settings.xml"/><Relationship Id="rId12" Type="http://schemas.openxmlformats.org/officeDocument/2006/relationships/hyperlink" Target="https://doi.org/10.1016/j.bodyim.2009.01.001" TargetMode="External"/><Relationship Id="rId17" Type="http://schemas.openxmlformats.org/officeDocument/2006/relationships/hyperlink" Target="http://www.oas.org/es/cidh/informes/pdfs/violenciapersonaslgbti.pdf" TargetMode="External"/><Relationship Id="rId25" Type="http://schemas.openxmlformats.org/officeDocument/2006/relationships/hyperlink" Target="https://doi.org/10.4324/9781315747798" TargetMode="External"/><Relationship Id="rId33" Type="http://schemas.openxmlformats.org/officeDocument/2006/relationships/hyperlink" Target="https://revistas.untref.edu.ar/index.php/ellugar/article/view/1332" TargetMode="External"/><Relationship Id="rId38" Type="http://schemas.openxmlformats.org/officeDocument/2006/relationships/hyperlink" Target="https://doi.org/10.5377/innovare.v7i1.7539" TargetMode="External"/><Relationship Id="rId46" Type="http://schemas.openxmlformats.org/officeDocument/2006/relationships/hyperlink" Target="https://doi.org/10.1037/13620-001" TargetMode="External"/><Relationship Id="rId59" Type="http://schemas.openxmlformats.org/officeDocument/2006/relationships/hyperlink" Target="https://doi.org/10.1177/0964663906066616" TargetMode="External"/><Relationship Id="rId20" Type="http://schemas.openxmlformats.org/officeDocument/2006/relationships/hyperlink" Target="https://doi.org/10.1111/j.1751-9020.2011.00360.x" TargetMode="External"/><Relationship Id="rId41" Type="http://schemas.openxmlformats.org/officeDocument/2006/relationships/hyperlink" Target="https://www.masigualdad.pe/_files/ugd/4aec54_c8d6e0ecec9c43fab85c79aaa04bbbd1.pdf?index=true" TargetMode="External"/><Relationship Id="rId54" Type="http://schemas.openxmlformats.org/officeDocument/2006/relationships/hyperlink" Target="https://doi.org/10.1177/1077801218816191" TargetMode="External"/><Relationship Id="rId62" Type="http://schemas.openxmlformats.org/officeDocument/2006/relationships/hyperlink" Target="https://doi.org/10.1037/cap0000400" TargetMode="External"/><Relationship Id="rId1" Type="http://schemas.openxmlformats.org/officeDocument/2006/relationships/numbering" Target="numbering.xml"/><Relationship Id="rId6" Type="http://schemas.openxmlformats.org/officeDocument/2006/relationships/hyperlink" Target="http://hdl.handle.net/10481/56881" TargetMode="External"/><Relationship Id="rId15" Type="http://schemas.openxmlformats.org/officeDocument/2006/relationships/hyperlink" Target="https://doi.org/10.1007/s11199-017-0740-4" TargetMode="External"/><Relationship Id="rId23" Type="http://schemas.openxmlformats.org/officeDocument/2006/relationships/hyperlink" Target="https://doi.org/10.32060/Gregorianum.102/3.2021.557-574" TargetMode="External"/><Relationship Id="rId28" Type="http://schemas.openxmlformats.org/officeDocument/2006/relationships/hyperlink" Target="https://raco.cat/index.php/HojasWarmi/article/view/180661" TargetMode="External"/><Relationship Id="rId36" Type="http://schemas.openxmlformats.org/officeDocument/2006/relationships/hyperlink" Target="https://doi.org/10.31390/taboo.15.1.08" TargetMode="External"/><Relationship Id="rId49" Type="http://schemas.openxmlformats.org/officeDocument/2006/relationships/hyperlink" Target="https://dialnet.unirioja.es/servlet/articulo?codigo=3898832" TargetMode="External"/><Relationship Id="rId57" Type="http://schemas.openxmlformats.org/officeDocument/2006/relationships/hyperlink" Target="https://doi.org/10.1037/cou0000255" TargetMode="External"/><Relationship Id="rId10" Type="http://schemas.openxmlformats.org/officeDocument/2006/relationships/hyperlink" Target="https://doi.org/10.1590/0034-7167-2017-0307" TargetMode="External"/><Relationship Id="rId31" Type="http://schemas.openxmlformats.org/officeDocument/2006/relationships/hyperlink" Target="https://doi.org/10.26439/advocatus2021.n39.5119" TargetMode="External"/><Relationship Id="rId44" Type="http://schemas.openxmlformats.org/officeDocument/2006/relationships/hyperlink" Target="https://doi.org/10.1111/j.1471-6402.2008.00452.x" TargetMode="External"/><Relationship Id="rId52" Type="http://schemas.openxmlformats.org/officeDocument/2006/relationships/hyperlink" Target="https://www.sidalc.net/search/Record/KOHA-OAI-ECOSUR:61194/Description" TargetMode="External"/><Relationship Id="rId60" Type="http://schemas.openxmlformats.org/officeDocument/2006/relationships/hyperlink" Target="https://doi.org/10.1007/s12119-017-9423-0" TargetMode="External"/><Relationship Id="rId4" Type="http://schemas.openxmlformats.org/officeDocument/2006/relationships/webSettings" Target="webSettings.xml"/><Relationship Id="rId9" Type="http://schemas.openxmlformats.org/officeDocument/2006/relationships/hyperlink" Target="http://hdl.handle.net/20.500.12404/19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8257</Words>
  <Characters>45414</Characters>
  <Application>Microsoft Office Word</Application>
  <DocSecurity>0</DocSecurity>
  <Lines>378</Lines>
  <Paragraphs>107</Paragraphs>
  <ScaleCrop>false</ScaleCrop>
  <Company/>
  <LinksUpToDate>false</LinksUpToDate>
  <CharactersWithSpaces>53564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Jorge D. Borja Chavez</cp:lastModifiedBy>
  <cp:revision>3</cp:revision>
  <dcterms:created xsi:type="dcterms:W3CDTF">2025-04-27T02:19:00Z</dcterms:created>
  <dcterms:modified xsi:type="dcterms:W3CDTF">2025-04-27T02:29:00Z</dcterms:modified>
</cp:coreProperties>
</file>