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827" w:rsidRDefault="009B3827" w:rsidP="009B3827">
      <w:pPr>
        <w:pStyle w:val="NormalWeb"/>
        <w:spacing w:line="360" w:lineRule="auto"/>
        <w:jc w:val="center"/>
        <w:rPr>
          <w:b/>
        </w:rPr>
      </w:pPr>
      <w:r w:rsidRPr="009B3827">
        <w:rPr>
          <w:b/>
        </w:rPr>
        <w:t>Gender theories and therapeutic practices in the face of the phenomenon of false accusations within the family.</w:t>
      </w:r>
    </w:p>
    <w:p w:rsidR="009B3827" w:rsidRPr="003F0C63" w:rsidRDefault="009B3827" w:rsidP="009B3827">
      <w:pPr>
        <w:jc w:val="both"/>
        <w:rPr>
          <w:rFonts w:ascii="Times New Roman" w:hAnsi="Times New Roman" w:cs="Times New Roman"/>
          <w:b/>
          <w:sz w:val="24"/>
          <w:szCs w:val="24"/>
        </w:rPr>
      </w:pPr>
      <w:r w:rsidRPr="003F0C63">
        <w:rPr>
          <w:rFonts w:ascii="Times New Roman" w:hAnsi="Times New Roman" w:cs="Times New Roman"/>
          <w:b/>
          <w:sz w:val="24"/>
          <w:szCs w:val="24"/>
        </w:rPr>
        <w:t>Abstract</w:t>
      </w:r>
    </w:p>
    <w:p w:rsidR="009B3827" w:rsidRPr="003F0C63" w:rsidRDefault="009B3827" w:rsidP="00334B45">
      <w:pPr>
        <w:spacing w:line="360" w:lineRule="auto"/>
        <w:jc w:val="both"/>
        <w:rPr>
          <w:rFonts w:ascii="Times New Roman" w:hAnsi="Times New Roman" w:cs="Times New Roman"/>
          <w:sz w:val="24"/>
          <w:szCs w:val="24"/>
        </w:rPr>
      </w:pPr>
      <w:r w:rsidRPr="003F0C63">
        <w:rPr>
          <w:rFonts w:ascii="Times New Roman" w:hAnsi="Times New Roman" w:cs="Times New Roman"/>
          <w:sz w:val="24"/>
          <w:szCs w:val="24"/>
        </w:rPr>
        <w:t>This paper is a mixed-method explanatory research project aimed at analyzing the impact of improperly filing reports of gender-based violence.</w:t>
      </w:r>
    </w:p>
    <w:p w:rsidR="009B3827" w:rsidRPr="003F0C63" w:rsidRDefault="009B3827" w:rsidP="00334B45">
      <w:pPr>
        <w:spacing w:line="360" w:lineRule="auto"/>
        <w:jc w:val="both"/>
        <w:rPr>
          <w:rFonts w:ascii="Times New Roman" w:hAnsi="Times New Roman" w:cs="Times New Roman"/>
          <w:sz w:val="24"/>
          <w:szCs w:val="24"/>
        </w:rPr>
      </w:pPr>
      <w:r w:rsidRPr="003F0C63">
        <w:rPr>
          <w:rFonts w:ascii="Times New Roman" w:hAnsi="Times New Roman" w:cs="Times New Roman"/>
          <w:sz w:val="24"/>
          <w:szCs w:val="24"/>
        </w:rPr>
        <w:t>Empirical methods such as scientific observation, document analysis, and critical and bibliographic reviews will be used.</w:t>
      </w:r>
    </w:p>
    <w:p w:rsidR="009B3827" w:rsidRPr="003F0C63" w:rsidRDefault="009B3827" w:rsidP="00334B45">
      <w:pPr>
        <w:spacing w:line="360" w:lineRule="auto"/>
        <w:jc w:val="both"/>
        <w:rPr>
          <w:rFonts w:ascii="Times New Roman" w:hAnsi="Times New Roman" w:cs="Times New Roman"/>
          <w:sz w:val="24"/>
          <w:szCs w:val="24"/>
        </w:rPr>
      </w:pPr>
      <w:r w:rsidRPr="003F0C63">
        <w:rPr>
          <w:rFonts w:ascii="Times New Roman" w:hAnsi="Times New Roman" w:cs="Times New Roman"/>
          <w:sz w:val="24"/>
          <w:szCs w:val="24"/>
        </w:rPr>
        <w:t>Among the main findings are that false reports of gender-based violence exist, but are infrequent, and their consequences can be devastating, both for the accused and for the alleged victim if discovered. However, it is noteworthy that over the last ten years, there has been an increase in the number of known false legal filings, which merits critical analysis.</w:t>
      </w:r>
    </w:p>
    <w:p w:rsidR="005974EC" w:rsidRPr="003F0C63" w:rsidRDefault="005974EC" w:rsidP="00334B45">
      <w:pPr>
        <w:spacing w:line="360" w:lineRule="auto"/>
        <w:jc w:val="both"/>
        <w:rPr>
          <w:rFonts w:ascii="Times New Roman" w:hAnsi="Times New Roman" w:cs="Times New Roman"/>
          <w:sz w:val="24"/>
          <w:szCs w:val="24"/>
        </w:rPr>
      </w:pPr>
      <w:r w:rsidRPr="005974EC">
        <w:rPr>
          <w:rFonts w:ascii="Times New Roman" w:hAnsi="Times New Roman" w:cs="Times New Roman"/>
          <w:sz w:val="24"/>
          <w:szCs w:val="24"/>
        </w:rPr>
        <w:t>As a result of this investigation, a worsening of fraudulent judicial claims is observed, that is, those knowingly false, which in the intra-family sphere have as their basic objective the prevention of contact of one of the spouses with their children under the cover of complaints of gender violence or child and adolescent abuse. Although this does not significantly alter the statistical metric in the matter, it places therapeutic practice before a new scenario that cannot be ignored.</w:t>
      </w:r>
    </w:p>
    <w:p w:rsidR="009B3827" w:rsidRDefault="009B3827" w:rsidP="009B3827">
      <w:pPr>
        <w:pStyle w:val="NormalWeb"/>
        <w:spacing w:line="360" w:lineRule="auto"/>
        <w:rPr>
          <w:b/>
        </w:rPr>
      </w:pPr>
      <w:r>
        <w:rPr>
          <w:b/>
        </w:rPr>
        <w:t>Keywords</w:t>
      </w:r>
    </w:p>
    <w:p w:rsidR="009B3827" w:rsidRDefault="009B3827" w:rsidP="009B3827">
      <w:pPr>
        <w:pStyle w:val="NormalWeb"/>
        <w:spacing w:line="360" w:lineRule="auto"/>
      </w:pPr>
      <w:r w:rsidRPr="009B3827">
        <w:t>Violence – gender – interventions – legislation – fraudulence</w:t>
      </w:r>
    </w:p>
    <w:p w:rsidR="009B3827" w:rsidRPr="005974EC" w:rsidRDefault="009B3827" w:rsidP="009B3827">
      <w:pPr>
        <w:pStyle w:val="NormalWeb"/>
        <w:spacing w:line="360" w:lineRule="auto"/>
        <w:jc w:val="center"/>
        <w:rPr>
          <w:b/>
        </w:rPr>
      </w:pPr>
      <w:r w:rsidRPr="005974EC">
        <w:rPr>
          <w:b/>
        </w:rPr>
        <w:t>RESUMEN</w:t>
      </w:r>
    </w:p>
    <w:p w:rsidR="009B3827" w:rsidRPr="00425CCA" w:rsidRDefault="009B3827" w:rsidP="009B3827">
      <w:pPr>
        <w:pStyle w:val="NormalWeb"/>
        <w:spacing w:line="360" w:lineRule="auto"/>
        <w:jc w:val="both"/>
        <w:rPr>
          <w:lang w:val="es-AR"/>
        </w:rPr>
      </w:pPr>
      <w:r w:rsidRPr="00425CCA">
        <w:rPr>
          <w:lang w:val="es-AR"/>
        </w:rPr>
        <w:t>El presente trabajo responde a una investigación explicativa con enfoque mixto, con el objetivo de analizar el impacto que provoca la presentación indebida de denuncias de violencia de género.</w:t>
      </w:r>
    </w:p>
    <w:p w:rsidR="009B3827" w:rsidRPr="00425CCA" w:rsidRDefault="009B3827" w:rsidP="009B3827">
      <w:pPr>
        <w:pStyle w:val="NormalWeb"/>
        <w:spacing w:line="360" w:lineRule="auto"/>
        <w:jc w:val="both"/>
        <w:rPr>
          <w:lang w:val="es-AR"/>
        </w:rPr>
      </w:pPr>
      <w:r w:rsidRPr="00425CCA">
        <w:rPr>
          <w:lang w:val="es-AR"/>
        </w:rPr>
        <w:t>Se utilizarán métodos empíricos como la observación científica, el análisis de documentos y la revisión tanto crítica como bibliográfica.</w:t>
      </w:r>
    </w:p>
    <w:p w:rsidR="009B3827" w:rsidRPr="00425CCA" w:rsidRDefault="009B3827" w:rsidP="009B3827">
      <w:pPr>
        <w:pStyle w:val="NormalWeb"/>
        <w:spacing w:line="360" w:lineRule="auto"/>
        <w:jc w:val="both"/>
        <w:rPr>
          <w:lang w:val="es-AR"/>
        </w:rPr>
      </w:pPr>
      <w:r w:rsidRPr="00425CCA">
        <w:rPr>
          <w:lang w:val="es-AR"/>
        </w:rPr>
        <w:lastRenderedPageBreak/>
        <w:t>Entre los principales hallazgos se encuentran que las denuncias falsas sobre violencia de género existen, pero no son frecuentes y sus consecuencias pueden ser devastadoras, tanto para el incriminado como para la supuesta víctima en caso de ser descubierta. No obstante, es de destacar que se observa en los últimos diez años un incremento en la cantidad de presentaciones judiciales a sabiendas de su falsedad, lo cual merece un análisis crítico.</w:t>
      </w:r>
    </w:p>
    <w:p w:rsidR="005974EC" w:rsidRDefault="005974EC" w:rsidP="009B3827">
      <w:pPr>
        <w:pStyle w:val="NormalWeb"/>
        <w:spacing w:line="360" w:lineRule="auto"/>
        <w:jc w:val="both"/>
        <w:rPr>
          <w:lang w:val="es-AR"/>
        </w:rPr>
      </w:pPr>
      <w:r>
        <w:rPr>
          <w:lang w:val="es-AR"/>
        </w:rPr>
        <w:t xml:space="preserve">Como resultado de esta investigación, se aprecia un recrudecimiento de los planteos judiciales fraudulentos, es decir, a sabiendas de su falsedad, que en el ámbito </w:t>
      </w:r>
      <w:proofErr w:type="spellStart"/>
      <w:r>
        <w:rPr>
          <w:lang w:val="es-AR"/>
        </w:rPr>
        <w:t>intra</w:t>
      </w:r>
      <w:proofErr w:type="spellEnd"/>
      <w:r>
        <w:rPr>
          <w:lang w:val="es-AR"/>
        </w:rPr>
        <w:t>-familiar tiene como objetivo básico el impedimento de contacto de uno de los cónyuges con sus hijos al amparo de denuncias por violencia de género o maltrato infanto-juvenil que, si bien no altera significativamente la métrica estadística en la materia, coloca a la práctica terapéutica frente a un nuevo escenario que no puede soslayarse.</w:t>
      </w:r>
    </w:p>
    <w:p w:rsidR="005974EC" w:rsidRDefault="005974EC" w:rsidP="009B3827">
      <w:pPr>
        <w:pStyle w:val="NormalWeb"/>
        <w:spacing w:line="360" w:lineRule="auto"/>
        <w:jc w:val="both"/>
        <w:rPr>
          <w:b/>
          <w:lang w:val="es-AR"/>
        </w:rPr>
      </w:pPr>
      <w:r>
        <w:rPr>
          <w:b/>
          <w:lang w:val="es-AR"/>
        </w:rPr>
        <w:t>Palabras clave</w:t>
      </w:r>
    </w:p>
    <w:p w:rsidR="005974EC" w:rsidRDefault="005974EC" w:rsidP="005974EC">
      <w:pPr>
        <w:pStyle w:val="NormalWeb"/>
        <w:spacing w:line="360" w:lineRule="auto"/>
        <w:rPr>
          <w:lang w:val="es-AR"/>
        </w:rPr>
      </w:pPr>
      <w:r w:rsidRPr="005974EC">
        <w:rPr>
          <w:lang w:val="es-AR"/>
        </w:rPr>
        <w:t>Violenc</w:t>
      </w:r>
      <w:r w:rsidRPr="005974EC">
        <w:rPr>
          <w:lang w:val="es-AR"/>
        </w:rPr>
        <w:t>ia – gé</w:t>
      </w:r>
      <w:r w:rsidRPr="005974EC">
        <w:rPr>
          <w:lang w:val="es-AR"/>
        </w:rPr>
        <w:t>n</w:t>
      </w:r>
      <w:r w:rsidRPr="005974EC">
        <w:rPr>
          <w:lang w:val="es-AR"/>
        </w:rPr>
        <w:t>ero</w:t>
      </w:r>
      <w:r w:rsidRPr="005974EC">
        <w:rPr>
          <w:lang w:val="es-AR"/>
        </w:rPr>
        <w:t xml:space="preserve"> – interven</w:t>
      </w:r>
      <w:r w:rsidRPr="005974EC">
        <w:rPr>
          <w:lang w:val="es-AR"/>
        </w:rPr>
        <w:t>c</w:t>
      </w:r>
      <w:r w:rsidRPr="005974EC">
        <w:rPr>
          <w:lang w:val="es-AR"/>
        </w:rPr>
        <w:t>ion</w:t>
      </w:r>
      <w:r w:rsidRPr="005974EC">
        <w:rPr>
          <w:lang w:val="es-AR"/>
        </w:rPr>
        <w:t>e</w:t>
      </w:r>
      <w:r w:rsidRPr="005974EC">
        <w:rPr>
          <w:lang w:val="es-AR"/>
        </w:rPr>
        <w:t>s – legisla</w:t>
      </w:r>
      <w:r w:rsidRPr="005974EC">
        <w:rPr>
          <w:lang w:val="es-AR"/>
        </w:rPr>
        <w:t>c</w:t>
      </w:r>
      <w:r w:rsidRPr="005974EC">
        <w:rPr>
          <w:lang w:val="es-AR"/>
        </w:rPr>
        <w:t>i</w:t>
      </w:r>
      <w:r w:rsidRPr="005974EC">
        <w:rPr>
          <w:lang w:val="es-AR"/>
        </w:rPr>
        <w:t>ó</w:t>
      </w:r>
      <w:r w:rsidRPr="005974EC">
        <w:rPr>
          <w:lang w:val="es-AR"/>
        </w:rPr>
        <w:t>n – fraud</w:t>
      </w:r>
      <w:r w:rsidRPr="005974EC">
        <w:rPr>
          <w:lang w:val="es-AR"/>
        </w:rPr>
        <w:t>e</w:t>
      </w:r>
    </w:p>
    <w:p w:rsidR="005974EC" w:rsidRDefault="005974EC" w:rsidP="005974EC">
      <w:pPr>
        <w:spacing w:line="360" w:lineRule="auto"/>
        <w:jc w:val="center"/>
        <w:rPr>
          <w:rFonts w:ascii="Times New Roman" w:hAnsi="Times New Roman" w:cs="Times New Roman"/>
          <w:b/>
          <w:sz w:val="24"/>
          <w:szCs w:val="24"/>
          <w:lang w:val="es-AR"/>
        </w:rPr>
      </w:pPr>
    </w:p>
    <w:p w:rsidR="005974EC" w:rsidRDefault="005974EC" w:rsidP="005974EC">
      <w:pPr>
        <w:spacing w:line="360" w:lineRule="auto"/>
        <w:jc w:val="center"/>
        <w:rPr>
          <w:rFonts w:ascii="Times New Roman" w:hAnsi="Times New Roman" w:cs="Times New Roman"/>
          <w:b/>
          <w:sz w:val="24"/>
          <w:szCs w:val="24"/>
          <w:lang w:val="es-AR"/>
        </w:rPr>
      </w:pPr>
      <w:r w:rsidRPr="005974EC">
        <w:rPr>
          <w:rFonts w:ascii="Times New Roman" w:hAnsi="Times New Roman" w:cs="Times New Roman"/>
          <w:b/>
          <w:sz w:val="24"/>
          <w:szCs w:val="24"/>
          <w:lang w:val="es-AR"/>
        </w:rPr>
        <w:t xml:space="preserve">Las teorías de género y las prácticas terapéuticas ante el fenómeno de las falsas denuncias en el ámbito </w:t>
      </w:r>
      <w:proofErr w:type="spellStart"/>
      <w:r w:rsidRPr="005974EC">
        <w:rPr>
          <w:rFonts w:ascii="Times New Roman" w:hAnsi="Times New Roman" w:cs="Times New Roman"/>
          <w:b/>
          <w:sz w:val="24"/>
          <w:szCs w:val="24"/>
          <w:lang w:val="es-AR"/>
        </w:rPr>
        <w:t>intra</w:t>
      </w:r>
      <w:proofErr w:type="spellEnd"/>
      <w:r w:rsidRPr="005974EC">
        <w:rPr>
          <w:rFonts w:ascii="Times New Roman" w:hAnsi="Times New Roman" w:cs="Times New Roman"/>
          <w:b/>
          <w:sz w:val="24"/>
          <w:szCs w:val="24"/>
          <w:lang w:val="es-AR"/>
        </w:rPr>
        <w:t>-familiar.</w:t>
      </w:r>
    </w:p>
    <w:p w:rsidR="005974EC" w:rsidRDefault="005974EC" w:rsidP="005974EC">
      <w:pPr>
        <w:spacing w:line="360" w:lineRule="auto"/>
        <w:rPr>
          <w:rFonts w:ascii="Times New Roman" w:hAnsi="Times New Roman" w:cs="Times New Roman"/>
          <w:b/>
          <w:sz w:val="24"/>
          <w:szCs w:val="24"/>
          <w:lang w:val="es-AR"/>
        </w:rPr>
      </w:pPr>
      <w:r>
        <w:rPr>
          <w:rFonts w:ascii="Times New Roman" w:hAnsi="Times New Roman" w:cs="Times New Roman"/>
          <w:b/>
          <w:sz w:val="24"/>
          <w:szCs w:val="24"/>
          <w:lang w:val="es-AR"/>
        </w:rPr>
        <w:t>Introducción</w:t>
      </w:r>
    </w:p>
    <w:p w:rsidR="005974EC" w:rsidRPr="00334B45" w:rsidRDefault="005974EC" w:rsidP="005974EC">
      <w:pPr>
        <w:spacing w:line="360" w:lineRule="auto"/>
        <w:jc w:val="both"/>
        <w:rPr>
          <w:rFonts w:ascii="Times New Roman" w:hAnsi="Times New Roman" w:cs="Times New Roman"/>
          <w:sz w:val="24"/>
          <w:szCs w:val="24"/>
          <w:lang w:val="es-AR"/>
        </w:rPr>
      </w:pPr>
      <w:r w:rsidRPr="00334B45">
        <w:rPr>
          <w:rFonts w:ascii="Times New Roman" w:hAnsi="Times New Roman" w:cs="Times New Roman"/>
          <w:sz w:val="24"/>
          <w:szCs w:val="24"/>
          <w:lang w:val="es-AR"/>
        </w:rPr>
        <w:t xml:space="preserve">El propósito de este trabajo es aportar elementos suficientemente aptos para poner en línea las distintas teorías de género con las prácticas terapéuticas más utilizadas para hacer frente a un fenómeno con crecimiento ralentizado pero firme, cual es la comisión de delitos de falsas denuncias que afectan en forma elocuente, y a veces decisiva, el plexo </w:t>
      </w:r>
      <w:proofErr w:type="spellStart"/>
      <w:r w:rsidRPr="00334B45">
        <w:rPr>
          <w:rFonts w:ascii="Times New Roman" w:hAnsi="Times New Roman" w:cs="Times New Roman"/>
          <w:sz w:val="24"/>
          <w:szCs w:val="24"/>
          <w:lang w:val="es-AR"/>
        </w:rPr>
        <w:t>intra</w:t>
      </w:r>
      <w:proofErr w:type="spellEnd"/>
      <w:r w:rsidRPr="00334B45">
        <w:rPr>
          <w:rFonts w:ascii="Times New Roman" w:hAnsi="Times New Roman" w:cs="Times New Roman"/>
          <w:sz w:val="24"/>
          <w:szCs w:val="24"/>
          <w:lang w:val="es-AR"/>
        </w:rPr>
        <w:t>-familiar.</w:t>
      </w:r>
    </w:p>
    <w:p w:rsidR="00425CCA" w:rsidRPr="005974EC" w:rsidRDefault="005974EC" w:rsidP="005974EC">
      <w:pPr>
        <w:spacing w:line="360" w:lineRule="auto"/>
        <w:jc w:val="both"/>
        <w:rPr>
          <w:rFonts w:ascii="Times New Roman" w:hAnsi="Times New Roman" w:cs="Times New Roman"/>
          <w:b/>
          <w:sz w:val="24"/>
          <w:szCs w:val="24"/>
          <w:lang w:val="es-AR"/>
        </w:rPr>
      </w:pPr>
      <w:r w:rsidRPr="00334B45">
        <w:rPr>
          <w:rFonts w:ascii="Times New Roman" w:hAnsi="Times New Roman" w:cs="Times New Roman"/>
          <w:sz w:val="24"/>
          <w:szCs w:val="24"/>
          <w:lang w:val="es-AR"/>
        </w:rPr>
        <w:t>Partimos de la base, ante todo, que l</w:t>
      </w:r>
      <w:r w:rsidR="00425CCA" w:rsidRPr="00334B45">
        <w:rPr>
          <w:rFonts w:ascii="Times New Roman" w:hAnsi="Times New Roman" w:cs="Times New Roman"/>
          <w:sz w:val="24"/>
          <w:szCs w:val="24"/>
          <w:lang w:val="es-AR"/>
        </w:rPr>
        <w:t>a</w:t>
      </w:r>
      <w:r w:rsidR="00425CCA" w:rsidRPr="005974EC">
        <w:rPr>
          <w:rFonts w:ascii="Times New Roman" w:hAnsi="Times New Roman" w:cs="Times New Roman"/>
          <w:sz w:val="24"/>
          <w:szCs w:val="24"/>
          <w:lang w:val="es-AR"/>
        </w:rPr>
        <w:t xml:space="preserve"> violencia de género es definida por la ONU como todo acto a través del cual se busque dañar a una persona por su género</w:t>
      </w:r>
      <w:r>
        <w:rPr>
          <w:rFonts w:ascii="Times New Roman" w:hAnsi="Times New Roman" w:cs="Times New Roman"/>
          <w:sz w:val="24"/>
          <w:szCs w:val="24"/>
          <w:lang w:val="es-AR"/>
        </w:rPr>
        <w:t>;</w:t>
      </w:r>
      <w:r w:rsidR="00425CCA" w:rsidRPr="005974EC">
        <w:rPr>
          <w:rFonts w:ascii="Times New Roman" w:hAnsi="Times New Roman" w:cs="Times New Roman"/>
          <w:sz w:val="24"/>
          <w:szCs w:val="24"/>
          <w:lang w:val="es-AR"/>
        </w:rPr>
        <w:t xml:space="preserve"> las principales víctimas suelen ser mujeres y personas del grupo LGBTI. Se trata de un tipo de violencia que surge como consecuencia de normas perjudiciales, relaciones de abuso de poder y sobre todo la desigualdad aún existente entre los géneros. (ONU, 2017)</w:t>
      </w:r>
    </w:p>
    <w:p w:rsidR="00425CCA" w:rsidRPr="00425CCA" w:rsidRDefault="00425CCA" w:rsidP="004E2BD5">
      <w:pPr>
        <w:pStyle w:val="NormalWeb"/>
        <w:spacing w:line="360" w:lineRule="auto"/>
        <w:jc w:val="both"/>
        <w:rPr>
          <w:lang w:val="es-AR"/>
        </w:rPr>
      </w:pPr>
      <w:r w:rsidRPr="00425CCA">
        <w:rPr>
          <w:lang w:val="es-AR"/>
        </w:rPr>
        <w:lastRenderedPageBreak/>
        <w:t>Al hablar de violencia de género se habla de violación a los derechos humanos y derechos constitucionales establecidos (Betancourt &amp; Romero, 202</w:t>
      </w:r>
      <w:r w:rsidR="004C6835">
        <w:rPr>
          <w:lang w:val="es-AR"/>
        </w:rPr>
        <w:t>4</w:t>
      </w:r>
      <w:r w:rsidRPr="00425CCA">
        <w:rPr>
          <w:lang w:val="es-AR"/>
        </w:rPr>
        <w:t>). También representa un problema de salud y principalmente de protección que puede poner en riesgo la vida de las víctimas de violencia.</w:t>
      </w:r>
    </w:p>
    <w:p w:rsidR="00425CCA" w:rsidRPr="00425CCA" w:rsidRDefault="00425CCA" w:rsidP="004E2BD5">
      <w:pPr>
        <w:pStyle w:val="NormalWeb"/>
        <w:spacing w:line="360" w:lineRule="auto"/>
        <w:jc w:val="both"/>
        <w:rPr>
          <w:lang w:val="es-AR"/>
        </w:rPr>
      </w:pPr>
      <w:r w:rsidRPr="00425CCA">
        <w:rPr>
          <w:lang w:val="es-AR"/>
        </w:rPr>
        <w:t>La ONU (2013), considera que la violencia hacia la mujer es hoy un problema de salud pública de dimensiones epidémicas. Lo que ha sido reconocido por la Organización Mundial de la Salud (OMS, 2014), quien considera que además de ser un problema de salud pública es una flagrante violación de los derechos humanos.</w:t>
      </w:r>
    </w:p>
    <w:p w:rsidR="00425CCA" w:rsidRPr="00425CCA" w:rsidRDefault="00425CCA" w:rsidP="004E2BD5">
      <w:pPr>
        <w:pStyle w:val="NormalWeb"/>
        <w:spacing w:line="360" w:lineRule="auto"/>
        <w:jc w:val="both"/>
        <w:rPr>
          <w:lang w:val="es-AR"/>
        </w:rPr>
      </w:pPr>
      <w:r w:rsidRPr="00425CCA">
        <w:rPr>
          <w:lang w:val="es-AR"/>
        </w:rPr>
        <w:t>El problema que nos ocupa es prácticamente invisible en relación a la mujer adulta y las supuestas acusaciones falsas de malos tratos.</w:t>
      </w:r>
    </w:p>
    <w:p w:rsidR="00425CCA" w:rsidRPr="00425CCA" w:rsidRDefault="005974EC" w:rsidP="004E2BD5">
      <w:pPr>
        <w:pStyle w:val="NormalWeb"/>
        <w:spacing w:line="360" w:lineRule="auto"/>
        <w:jc w:val="both"/>
        <w:rPr>
          <w:lang w:val="es-AR"/>
        </w:rPr>
      </w:pPr>
      <w:r w:rsidRPr="00334B45">
        <w:rPr>
          <w:lang w:val="es-AR"/>
        </w:rPr>
        <w:t>Por un lado, tenemos que</w:t>
      </w:r>
      <w:r>
        <w:rPr>
          <w:b/>
          <w:lang w:val="es-AR"/>
        </w:rPr>
        <w:t xml:space="preserve"> </w:t>
      </w:r>
      <w:r w:rsidRPr="00334B45">
        <w:rPr>
          <w:lang w:val="es-AR"/>
        </w:rPr>
        <w:t>a</w:t>
      </w:r>
      <w:r w:rsidR="00425CCA" w:rsidRPr="00425CCA">
        <w:rPr>
          <w:lang w:val="es-AR"/>
        </w:rPr>
        <w:t>lrededor de la cuarta parte de los hombres denunciados por violencia de géne</w:t>
      </w:r>
      <w:r w:rsidR="004C6835">
        <w:rPr>
          <w:lang w:val="es-AR"/>
        </w:rPr>
        <w:t>ro nunca son condenados (D</w:t>
      </w:r>
      <w:r w:rsidR="00425CCA" w:rsidRPr="00425CCA">
        <w:rPr>
          <w:lang w:val="es-AR"/>
        </w:rPr>
        <w:t>el Valle</w:t>
      </w:r>
      <w:r w:rsidR="004C6835">
        <w:rPr>
          <w:lang w:val="es-AR"/>
        </w:rPr>
        <w:t xml:space="preserve"> Pérez et.</w:t>
      </w:r>
      <w:r w:rsidR="00306EC3">
        <w:rPr>
          <w:lang w:val="es-AR"/>
        </w:rPr>
        <w:t xml:space="preserve"> </w:t>
      </w:r>
      <w:r w:rsidR="004C6835">
        <w:rPr>
          <w:lang w:val="es-AR"/>
        </w:rPr>
        <w:t>al</w:t>
      </w:r>
      <w:r w:rsidR="00425CCA" w:rsidRPr="00425CCA">
        <w:rPr>
          <w:lang w:val="es-AR"/>
        </w:rPr>
        <w:t>, 2009). Así también, existe un alto porcentaje de hombres que nunca fueron condenados, se sobreseyeron provisionalmente y nunca llegaron a juicio o fueron absueltos.</w:t>
      </w:r>
    </w:p>
    <w:p w:rsidR="00425CCA" w:rsidRPr="00425CCA" w:rsidRDefault="00425CCA" w:rsidP="004E2BD5">
      <w:pPr>
        <w:pStyle w:val="NormalWeb"/>
        <w:spacing w:line="360" w:lineRule="auto"/>
        <w:jc w:val="both"/>
        <w:rPr>
          <w:lang w:val="es-AR"/>
        </w:rPr>
      </w:pPr>
      <w:r w:rsidRPr="00425CCA">
        <w:rPr>
          <w:lang w:val="es-AR"/>
        </w:rPr>
        <w:t>Esto puede relacionarse al hecho de que las mujeres retiren sus denuncias, o bien los hechos en que se funda no puedan ser demostrados en sede judicial, aunque es menester aclarar que la legislación establece que los procedimientos de violencia de género deben agotarse en un veredicto con independencia de que la denunciante se retracte de sus intenciones.</w:t>
      </w:r>
    </w:p>
    <w:p w:rsidR="00425CCA" w:rsidRPr="00425CCA" w:rsidRDefault="00425CCA" w:rsidP="004E2BD5">
      <w:pPr>
        <w:pStyle w:val="NormalWeb"/>
        <w:spacing w:line="360" w:lineRule="auto"/>
        <w:jc w:val="both"/>
        <w:rPr>
          <w:lang w:val="es-AR"/>
        </w:rPr>
      </w:pPr>
      <w:r w:rsidRPr="00425CCA">
        <w:rPr>
          <w:lang w:val="es-AR"/>
        </w:rPr>
        <w:t>El poco estudio de las problemáticas mencionadas anteriormente</w:t>
      </w:r>
      <w:r w:rsidR="004E2BD5">
        <w:rPr>
          <w:lang w:val="es-AR"/>
        </w:rPr>
        <w:t>,</w:t>
      </w:r>
      <w:r w:rsidRPr="00425CCA">
        <w:rPr>
          <w:lang w:val="es-AR"/>
        </w:rPr>
        <w:t xml:space="preserve"> llevaron a la conclusión en muchos sectores feministas de que las falsas denuncias son un simple mito, y que</w:t>
      </w:r>
      <w:r w:rsidR="00334B45">
        <w:rPr>
          <w:lang w:val="es-AR"/>
        </w:rPr>
        <w:t>,</w:t>
      </w:r>
      <w:r w:rsidRPr="00425CCA">
        <w:rPr>
          <w:lang w:val="es-AR"/>
        </w:rPr>
        <w:t xml:space="preserve"> por lo tanto, no debería ni ser considerado, o debe ser tomado como una reacción de la cultura machista para mantener su poder de opresión.</w:t>
      </w:r>
    </w:p>
    <w:p w:rsidR="00425CCA" w:rsidRDefault="005974EC" w:rsidP="004E2BD5">
      <w:pPr>
        <w:pStyle w:val="NormalWeb"/>
        <w:spacing w:line="360" w:lineRule="auto"/>
        <w:jc w:val="both"/>
        <w:rPr>
          <w:lang w:val="es-AR"/>
        </w:rPr>
      </w:pPr>
      <w:r w:rsidRPr="00334B45">
        <w:rPr>
          <w:lang w:val="es-AR"/>
        </w:rPr>
        <w:t>Pero desde otro ángulo</w:t>
      </w:r>
      <w:r>
        <w:rPr>
          <w:b/>
          <w:lang w:val="es-AR"/>
        </w:rPr>
        <w:t>, e</w:t>
      </w:r>
      <w:r w:rsidR="00425CCA" w:rsidRPr="00425CCA">
        <w:rPr>
          <w:lang w:val="es-AR"/>
        </w:rPr>
        <w:t>l problema objetivo</w:t>
      </w:r>
      <w:r>
        <w:rPr>
          <w:lang w:val="es-AR"/>
        </w:rPr>
        <w:t xml:space="preserve"> </w:t>
      </w:r>
      <w:r w:rsidR="00425CCA" w:rsidRPr="00425CCA">
        <w:rPr>
          <w:lang w:val="es-AR"/>
        </w:rPr>
        <w:t>es otro: la denuncia falsa. En esta misma, termina siendo perjudicado tanto el hombre, por ser culpado de un hecho falso no cometido, y la mujer realmente maltratada. Esto es debido a que, en caso de confirmarse la falsa denuncia, la supuesta víctima pasa a ser objeto de desconfianza pública y jurídica, perdiendo credibilidad en el momento que ella quiera denunciar y movilizarse por el asunto.</w:t>
      </w:r>
    </w:p>
    <w:p w:rsidR="00334B45" w:rsidRPr="00425CCA" w:rsidRDefault="00334B45" w:rsidP="004E2BD5">
      <w:pPr>
        <w:pStyle w:val="NormalWeb"/>
        <w:spacing w:line="360" w:lineRule="auto"/>
        <w:jc w:val="both"/>
        <w:rPr>
          <w:lang w:val="es-AR"/>
        </w:rPr>
      </w:pPr>
    </w:p>
    <w:p w:rsidR="00425CCA" w:rsidRPr="00425CCA" w:rsidRDefault="005974EC" w:rsidP="004E2BD5">
      <w:pPr>
        <w:pStyle w:val="NormalWeb"/>
        <w:spacing w:line="360" w:lineRule="auto"/>
        <w:jc w:val="both"/>
        <w:rPr>
          <w:lang w:val="es-AR"/>
        </w:rPr>
      </w:pPr>
      <w:r>
        <w:rPr>
          <w:lang w:val="es-AR"/>
        </w:rPr>
        <w:t>Lo concreto es que</w:t>
      </w:r>
      <w:r w:rsidR="00A748BC">
        <w:rPr>
          <w:lang w:val="es-AR"/>
        </w:rPr>
        <w:t>,</w:t>
      </w:r>
      <w:r w:rsidR="00425CCA" w:rsidRPr="00425CCA">
        <w:rPr>
          <w:lang w:val="es-AR"/>
        </w:rPr>
        <w:t xml:space="preserve"> en el último decenio, al menos en muchos países de Latinoamérica, se encendieron las luces de alarma por un sostenido incremento de imputaciones que, de ser ciert</w:t>
      </w:r>
      <w:r w:rsidR="00A748BC">
        <w:rPr>
          <w:lang w:val="es-AR"/>
        </w:rPr>
        <w:t>a</w:t>
      </w:r>
      <w:r w:rsidR="00425CCA" w:rsidRPr="00425CCA">
        <w:rPr>
          <w:lang w:val="es-AR"/>
        </w:rPr>
        <w:t>s, serían constitutiv</w:t>
      </w:r>
      <w:r w:rsidR="00A748BC">
        <w:rPr>
          <w:lang w:val="es-AR"/>
        </w:rPr>
        <w:t>a</w:t>
      </w:r>
      <w:r w:rsidR="00425CCA" w:rsidRPr="00425CCA">
        <w:rPr>
          <w:lang w:val="es-AR"/>
        </w:rPr>
        <w:t>s de una infracción penal, pero a sabiendas de la preterintencionalidad de producir un daño independientemente de su resultado en sede judicial.</w:t>
      </w:r>
    </w:p>
    <w:p w:rsidR="00425CCA" w:rsidRPr="00425CCA" w:rsidRDefault="00425CCA" w:rsidP="004E2BD5">
      <w:pPr>
        <w:pStyle w:val="NormalWeb"/>
        <w:spacing w:line="360" w:lineRule="auto"/>
        <w:jc w:val="both"/>
        <w:rPr>
          <w:lang w:val="es-AR"/>
        </w:rPr>
      </w:pPr>
      <w:r w:rsidRPr="00425CCA">
        <w:rPr>
          <w:lang w:val="es-AR"/>
        </w:rPr>
        <w:t>Es por ello que</w:t>
      </w:r>
      <w:r w:rsidR="00A748BC">
        <w:rPr>
          <w:lang w:val="es-AR"/>
        </w:rPr>
        <w:t>,</w:t>
      </w:r>
      <w:r w:rsidRPr="00425CCA">
        <w:rPr>
          <w:lang w:val="es-AR"/>
        </w:rPr>
        <w:t xml:space="preserve"> en este artículo, nos interesa hacer hincapié en el tipo subjetivo de la figura típica (falsa denuncia), ya que el dolo exige, como bien se sabe, el conocimiento de todos los elementos del tipo objetivo y, en este delito en particular, el de la falsedad de la imputación. De esta manera, el que acusa tiene que tener conciencia de que la infracción criminal imputada es falaz y, a pesar de ello, haber formalizado la denuncia.</w:t>
      </w:r>
    </w:p>
    <w:p w:rsidR="00425CCA" w:rsidRPr="00425CCA" w:rsidRDefault="00425CCA" w:rsidP="004E2BD5">
      <w:pPr>
        <w:pStyle w:val="NormalWeb"/>
        <w:spacing w:line="360" w:lineRule="auto"/>
        <w:jc w:val="both"/>
        <w:rPr>
          <w:lang w:val="es-AR"/>
        </w:rPr>
      </w:pPr>
      <w:r w:rsidRPr="00425CCA">
        <w:rPr>
          <w:lang w:val="es-AR"/>
        </w:rPr>
        <w:t>Lo cual implica, en definitiva, indagar en los aspectos subjetivos del/la falso/a denunciante, que</w:t>
      </w:r>
      <w:r w:rsidR="00A748BC">
        <w:rPr>
          <w:lang w:val="es-AR"/>
        </w:rPr>
        <w:t>,</w:t>
      </w:r>
      <w:r w:rsidRPr="00425CCA">
        <w:rPr>
          <w:lang w:val="es-AR"/>
        </w:rPr>
        <w:t xml:space="preserve"> sobre todo, tiene un gravísimo impacto en aspectos del Derecho de Familia, con falsas imputaciones que, o bien tienen como intención directa, por ejemplo, probar un delito contra la integridad sexual con un menor y, ante su “imposibilidad material”, conseguir un objetivo muchas veces subyacente cual es la obstrucción lisa y llana de la comunicación con los hijos.</w:t>
      </w:r>
    </w:p>
    <w:p w:rsidR="00425CCA" w:rsidRDefault="00425CCA" w:rsidP="004E2BD5">
      <w:pPr>
        <w:pStyle w:val="NormalWeb"/>
        <w:spacing w:line="360" w:lineRule="auto"/>
        <w:jc w:val="both"/>
        <w:rPr>
          <w:lang w:val="es-AR"/>
        </w:rPr>
      </w:pPr>
      <w:r w:rsidRPr="00425CCA">
        <w:rPr>
          <w:lang w:val="es-AR"/>
        </w:rPr>
        <w:t>Así las cosas, medidas precautorias previstas en los distintos marcos legales, apuntan a la restricción perimetral, cese de hostigamiento, o simplemente reducir a la mínima expresión la comunicación filio-paterno/materno, fundadas en la urgencia de la misma o el peligro en la demora, pero donde sistemáticamente las y los justiciables utilizan maliciosamente para construir una posición de poder, instrumentalizando para ello a las/os niñas/os.</w:t>
      </w:r>
    </w:p>
    <w:p w:rsidR="00334B45" w:rsidRPr="00334B45" w:rsidRDefault="00334B45" w:rsidP="00334B45">
      <w:pPr>
        <w:pStyle w:val="NormalWeb"/>
        <w:spacing w:line="360" w:lineRule="auto"/>
        <w:jc w:val="both"/>
        <w:rPr>
          <w:b/>
          <w:lang w:val="es-AR"/>
        </w:rPr>
      </w:pPr>
      <w:r w:rsidRPr="00334B45">
        <w:rPr>
          <w:b/>
          <w:lang w:val="es-AR"/>
        </w:rPr>
        <w:t>Mé</w:t>
      </w:r>
      <w:r w:rsidRPr="00334B45">
        <w:rPr>
          <w:b/>
          <w:lang w:val="es-AR"/>
        </w:rPr>
        <w:t>todo</w:t>
      </w:r>
      <w:r w:rsidRPr="00334B45">
        <w:rPr>
          <w:b/>
          <w:lang w:val="es-AR"/>
        </w:rPr>
        <w:t>s</w:t>
      </w:r>
    </w:p>
    <w:p w:rsidR="00334B45" w:rsidRPr="00425CCA" w:rsidRDefault="00334B45" w:rsidP="00334B45">
      <w:pPr>
        <w:pStyle w:val="NormalWeb"/>
        <w:spacing w:line="360" w:lineRule="auto"/>
        <w:jc w:val="both"/>
        <w:rPr>
          <w:lang w:val="es-AR"/>
        </w:rPr>
      </w:pPr>
      <w:r w:rsidRPr="00425CCA">
        <w:rPr>
          <w:lang w:val="es-AR"/>
        </w:rPr>
        <w:t>El texto en cuestión es resultante del análisis de documentos y la revisión bibliográfica a través de los cuales se analizaron las perspectivas que sobre el asunto tienen diversos autores, lo que permitió la fundamentación teórica del estudio.</w:t>
      </w:r>
    </w:p>
    <w:p w:rsidR="00334B45" w:rsidRPr="00425CCA" w:rsidRDefault="00334B45" w:rsidP="00334B45">
      <w:pPr>
        <w:pStyle w:val="NormalWeb"/>
        <w:spacing w:line="360" w:lineRule="auto"/>
        <w:jc w:val="both"/>
        <w:rPr>
          <w:lang w:val="es-AR"/>
        </w:rPr>
      </w:pPr>
      <w:r w:rsidRPr="00425CCA">
        <w:rPr>
          <w:lang w:val="es-AR"/>
        </w:rPr>
        <w:t>La investigación fue sistematizada a través de métodos teóricos que permitieron el estudio del fenómeno, análisis y la interpretación de la temática, así como el arribo a conclusiones.</w:t>
      </w:r>
    </w:p>
    <w:p w:rsidR="00425CCA" w:rsidRPr="00A748BC" w:rsidRDefault="00334B45" w:rsidP="004E2BD5">
      <w:pPr>
        <w:pStyle w:val="NormalWeb"/>
        <w:spacing w:line="360" w:lineRule="auto"/>
        <w:jc w:val="both"/>
        <w:rPr>
          <w:b/>
          <w:lang w:val="es-AR"/>
        </w:rPr>
      </w:pPr>
      <w:r>
        <w:rPr>
          <w:b/>
          <w:lang w:val="es-AR"/>
        </w:rPr>
        <w:lastRenderedPageBreak/>
        <w:t>Acerca de la influencia de las</w:t>
      </w:r>
      <w:r w:rsidR="00425CCA" w:rsidRPr="00A748BC">
        <w:rPr>
          <w:b/>
          <w:lang w:val="es-AR"/>
        </w:rPr>
        <w:t xml:space="preserve"> teorías de </w:t>
      </w:r>
      <w:r>
        <w:rPr>
          <w:b/>
          <w:lang w:val="es-AR"/>
        </w:rPr>
        <w:t>g</w:t>
      </w:r>
      <w:r w:rsidR="00425CCA" w:rsidRPr="00A748BC">
        <w:rPr>
          <w:b/>
          <w:lang w:val="es-AR"/>
        </w:rPr>
        <w:t>énero en la Psicología</w:t>
      </w:r>
    </w:p>
    <w:p w:rsidR="00425CCA" w:rsidRPr="00425CCA" w:rsidRDefault="00425CCA" w:rsidP="004E2BD5">
      <w:pPr>
        <w:pStyle w:val="NormalWeb"/>
        <w:spacing w:line="360" w:lineRule="auto"/>
        <w:jc w:val="both"/>
        <w:rPr>
          <w:lang w:val="es-AR"/>
        </w:rPr>
      </w:pPr>
      <w:r w:rsidRPr="00425CCA">
        <w:rPr>
          <w:lang w:val="es-AR"/>
        </w:rPr>
        <w:t>Los trabajos con metodología científica referidos a las diferencias de sexo-género son los que mayor atención han recibido en este ámbito. Las diferencias de sexo-género se manifiestan en cualquier dimensión psicológica. No podemos reducirlas, en consecuencia, a ninguna conducta o variable específica, y mucho menos explicarlas basándonos en un único modelo o sistema teórico determinado. En mayor o menor medida, las variables sexo y género ejercen un determinado efecto en todo el sistema psicológico del individuo, lo que produce un consiguiente sesgo donde prima la diferencia clásica de oposición dualista masculino-femenino, hombre versus mujer. No se trata únicamente de confrontar, en consecuencia, dos colectivos definidos por el género, hombres y mujeres, y definir así sus semejanzas/diferencias; más bien de entender cómo los propios individuos, esos hombres y mujeres, construyen sus identidades personales desde que son asignados a uno de ambos grupos al nacer, considerando en dicho análisis tanto los determinantes biológicos como los socioculturales, encargados de transmitir los valores y contenidos de la masculinidad/feminidad y conformar una sociedad estructurada en función de unas expectativas y roles asociados al género que limitan las oportunidades de los seres humanos para desarrollarse plenamente. La Psicología del Género está influida por la perspectiva de análisis de la variabilidad del comportamiento entre hombres y mujeres, hecho innegable y cuyas causas aún no están definidas satisfactoriamente; así ha heredado parte del conocimiento aportado por la Psicología Diferencial, que ha considerado el sexo/género como una variable de diferenciación asignada y definitoria de dos grupos.</w:t>
      </w:r>
    </w:p>
    <w:p w:rsidR="00425CCA" w:rsidRPr="00A748BC" w:rsidRDefault="00425CCA" w:rsidP="004E2BD5">
      <w:pPr>
        <w:pStyle w:val="NormalWeb"/>
        <w:spacing w:line="360" w:lineRule="auto"/>
        <w:jc w:val="both"/>
        <w:rPr>
          <w:b/>
          <w:lang w:val="es-AR"/>
        </w:rPr>
      </w:pPr>
      <w:r w:rsidRPr="00A748BC">
        <w:rPr>
          <w:b/>
          <w:lang w:val="es-AR"/>
        </w:rPr>
        <w:t>Legislación de género en las prácticas de psicoterapia e intervención psicológica.</w:t>
      </w:r>
    </w:p>
    <w:p w:rsidR="00A748BC" w:rsidRDefault="00425CCA" w:rsidP="004E2BD5">
      <w:pPr>
        <w:pStyle w:val="NormalWeb"/>
        <w:spacing w:line="360" w:lineRule="auto"/>
        <w:jc w:val="both"/>
        <w:rPr>
          <w:lang w:val="es-AR"/>
        </w:rPr>
      </w:pPr>
      <w:r w:rsidRPr="00425CCA">
        <w:rPr>
          <w:lang w:val="es-AR"/>
        </w:rPr>
        <w:t xml:space="preserve">El género ha cobrado mayor importancia y ha sido incorporado en disciplinas que anteriormente lo pasaban por alto. Esto ha llevado a cuestionar su papel dentro de la psicología, ya que, como ciencia centrada en el estudio del comportamiento humano, debería considerar la influencia de la construcción social de la identidad de género. </w:t>
      </w:r>
    </w:p>
    <w:p w:rsidR="00A748BC" w:rsidRDefault="00425CCA" w:rsidP="004E2BD5">
      <w:pPr>
        <w:pStyle w:val="NormalWeb"/>
        <w:spacing w:line="360" w:lineRule="auto"/>
        <w:jc w:val="both"/>
        <w:rPr>
          <w:lang w:val="es-AR"/>
        </w:rPr>
      </w:pPr>
      <w:r w:rsidRPr="00425CCA">
        <w:rPr>
          <w:lang w:val="es-AR"/>
        </w:rPr>
        <w:t xml:space="preserve">En los últimos años, el marco legal argentino ha evolucionado en torno a la perspectiva de género y diversidad sexual. Esto ha dado mayor relevancia a la ampliación de los derechos de las mujeres y de la comunidad LGBTTTQI+, visibilizando, entre otros aspectos, las </w:t>
      </w:r>
      <w:r w:rsidRPr="00425CCA">
        <w:rPr>
          <w:lang w:val="es-AR"/>
        </w:rPr>
        <w:lastRenderedPageBreak/>
        <w:t xml:space="preserve">configuraciones familiares no tradicionales y la aparición de nuevos modelos familiares, posibilitados por los avances en las tecnologías de reproducción asistida y respaldados por la legislación vigente. La actualización del marco legal, ya sea mediante la modificación de normativas existentes o la creación de nuevas leyes, representa un claro reflejo de la evolución continua de las representaciones sociales. </w:t>
      </w:r>
      <w:proofErr w:type="spellStart"/>
      <w:r w:rsidRPr="00425CCA">
        <w:rPr>
          <w:lang w:val="es-AR"/>
        </w:rPr>
        <w:t>Meske</w:t>
      </w:r>
      <w:proofErr w:type="spellEnd"/>
      <w:r w:rsidRPr="00425CCA">
        <w:rPr>
          <w:lang w:val="es-AR"/>
        </w:rPr>
        <w:t xml:space="preserve"> y </w:t>
      </w:r>
      <w:proofErr w:type="spellStart"/>
      <w:r w:rsidRPr="00425CCA">
        <w:rPr>
          <w:lang w:val="es-AR"/>
        </w:rPr>
        <w:t>Antoniucci</w:t>
      </w:r>
      <w:proofErr w:type="spellEnd"/>
      <w:r w:rsidRPr="00425CCA">
        <w:rPr>
          <w:lang w:val="es-AR"/>
        </w:rPr>
        <w:t xml:space="preserve"> (2021) indican que son a partir de estas leyes, y otras reglamentaciones, que se intenta acercar al enfoque </w:t>
      </w:r>
      <w:proofErr w:type="spellStart"/>
      <w:r w:rsidRPr="00425CCA">
        <w:rPr>
          <w:lang w:val="es-AR"/>
        </w:rPr>
        <w:t>salugénico</w:t>
      </w:r>
      <w:proofErr w:type="spellEnd"/>
      <w:r w:rsidRPr="00425CCA">
        <w:rPr>
          <w:lang w:val="es-AR"/>
        </w:rPr>
        <w:t xml:space="preserve"> propuesto por la Organización Mundial de la Salud (OMS). Podemos así afirmar que esto se debe a que, a través de estas leyes, se promueve el derecho a una salud integral, asegurando que la transición de género no sea </w:t>
      </w:r>
      <w:proofErr w:type="spellStart"/>
      <w:r w:rsidRPr="00425CCA">
        <w:rPr>
          <w:lang w:val="es-AR"/>
        </w:rPr>
        <w:t>patologizada</w:t>
      </w:r>
      <w:proofErr w:type="spellEnd"/>
      <w:r w:rsidRPr="00425CCA">
        <w:rPr>
          <w:lang w:val="es-AR"/>
        </w:rPr>
        <w:t xml:space="preserve"> ni considerada un trastorno, sino reconocida como parte del ejercicio de la identidad. </w:t>
      </w:r>
    </w:p>
    <w:p w:rsidR="00EA2A91" w:rsidRDefault="00425CCA" w:rsidP="004E2BD5">
      <w:pPr>
        <w:pStyle w:val="NormalWeb"/>
        <w:spacing w:line="360" w:lineRule="auto"/>
        <w:jc w:val="both"/>
        <w:rPr>
          <w:lang w:val="es-AR"/>
        </w:rPr>
      </w:pPr>
      <w:r w:rsidRPr="00425CCA">
        <w:rPr>
          <w:lang w:val="es-AR"/>
        </w:rPr>
        <w:t>Toda revisión crítica debe tener como objetivo identificar indicadores que puedan ser útiles para la discriminación de denuncias falsas. Varios autores subrayan la importancia de este análisis en la evaluación de casos de abuso sexual en el ámbito forense (</w:t>
      </w:r>
      <w:proofErr w:type="spellStart"/>
      <w:r w:rsidRPr="00425CCA">
        <w:rPr>
          <w:lang w:val="es-AR"/>
        </w:rPr>
        <w:t>Ackerman</w:t>
      </w:r>
      <w:proofErr w:type="spellEnd"/>
      <w:r w:rsidRPr="00425CCA">
        <w:rPr>
          <w:lang w:val="es-AR"/>
        </w:rPr>
        <w:t xml:space="preserve">, 2010; </w:t>
      </w:r>
      <w:proofErr w:type="spellStart"/>
      <w:r w:rsidRPr="00425CCA">
        <w:rPr>
          <w:lang w:val="es-AR"/>
        </w:rPr>
        <w:t>Drogin</w:t>
      </w:r>
      <w:proofErr w:type="spellEnd"/>
      <w:r w:rsidRPr="00425CCA">
        <w:rPr>
          <w:lang w:val="es-AR"/>
        </w:rPr>
        <w:t xml:space="preserve"> et al., 2011; </w:t>
      </w:r>
      <w:proofErr w:type="spellStart"/>
      <w:r w:rsidRPr="00425CCA">
        <w:rPr>
          <w:lang w:val="es-AR"/>
        </w:rPr>
        <w:t>Kuehnle</w:t>
      </w:r>
      <w:proofErr w:type="spellEnd"/>
      <w:r w:rsidRPr="00425CCA">
        <w:rPr>
          <w:lang w:val="es-AR"/>
        </w:rPr>
        <w:t xml:space="preserve"> y </w:t>
      </w:r>
      <w:proofErr w:type="spellStart"/>
      <w:r w:rsidRPr="00425CCA">
        <w:rPr>
          <w:lang w:val="es-AR"/>
        </w:rPr>
        <w:t>Connell</w:t>
      </w:r>
      <w:proofErr w:type="spellEnd"/>
      <w:r w:rsidRPr="00425CCA">
        <w:rPr>
          <w:lang w:val="es-AR"/>
        </w:rPr>
        <w:t xml:space="preserve">, 2009; Pereda y </w:t>
      </w:r>
      <w:proofErr w:type="spellStart"/>
      <w:r w:rsidRPr="00425CCA">
        <w:rPr>
          <w:lang w:val="es-AR"/>
        </w:rPr>
        <w:t>Arch</w:t>
      </w:r>
      <w:proofErr w:type="spellEnd"/>
      <w:r w:rsidRPr="00425CCA">
        <w:rPr>
          <w:lang w:val="es-AR"/>
        </w:rPr>
        <w:t xml:space="preserve">, 2009). Así, se busca contribuir a la mejora de la práctica de los profesionales de la salud mental que participan en la valoración pericial de estos casos. Aunque como mantienen Muñoz et al. (2016), no resulta infrecuente que se incurra en sesgos de atribución de causalidad a experiencias de violencia de género ante signos de sufrimiento emocional, sin plantearse otras alternativas etiológicas, sobre todo si el profesional no tiene formación o experiencia forense, o cuando se simultanean los roles de perito y terapeuta. </w:t>
      </w:r>
    </w:p>
    <w:p w:rsidR="00EA2A91" w:rsidRDefault="00425CCA" w:rsidP="004E2BD5">
      <w:pPr>
        <w:pStyle w:val="NormalWeb"/>
        <w:spacing w:line="360" w:lineRule="auto"/>
        <w:jc w:val="both"/>
        <w:rPr>
          <w:lang w:val="es-AR"/>
        </w:rPr>
      </w:pPr>
      <w:r w:rsidRPr="00425CCA">
        <w:rPr>
          <w:lang w:val="es-AR"/>
        </w:rPr>
        <w:t>Muchas veces ocurre que a la violencia denunciada le siguen medidas judiciales de tipo cautelar, como por ejemplo las restricciones perimetrales, que, al ser “inaudita parte” y sin sustanciación inicial de prueba constitutiva, se van renovando hasta su definitivo agotamiento por decisión judicial, tras lo cual se traspone un umbral que conduce a una denuncia de difícil o errática producción probatoria. Como se puede inferir, sin duda un factor especialmente relevante en la valoración de falsas alegaciones, es el contexto de disputa legal entre los progenitores, en el que se insertan o incardinan (Ruiz-Tejedor, 20</w:t>
      </w:r>
      <w:r w:rsidR="00306EC3">
        <w:rPr>
          <w:lang w:val="es-AR"/>
        </w:rPr>
        <w:t>18</w:t>
      </w:r>
      <w:r w:rsidRPr="00425CCA">
        <w:rPr>
          <w:lang w:val="es-AR"/>
        </w:rPr>
        <w:t xml:space="preserve">). </w:t>
      </w:r>
    </w:p>
    <w:p w:rsidR="00425CCA" w:rsidRPr="00425CCA" w:rsidRDefault="00425CCA" w:rsidP="004E2BD5">
      <w:pPr>
        <w:pStyle w:val="NormalWeb"/>
        <w:spacing w:line="360" w:lineRule="auto"/>
        <w:jc w:val="both"/>
        <w:rPr>
          <w:lang w:val="es-AR"/>
        </w:rPr>
      </w:pPr>
      <w:r w:rsidRPr="00425CCA">
        <w:rPr>
          <w:lang w:val="es-AR"/>
        </w:rPr>
        <w:t xml:space="preserve">Esta situación constituye a priori un factor de alto riesgo para la formulación, no sólo de falsas denuncias, sino también para que éstas se asienten en una posible inducción de falsos </w:t>
      </w:r>
      <w:r w:rsidRPr="00425CCA">
        <w:rPr>
          <w:lang w:val="es-AR"/>
        </w:rPr>
        <w:lastRenderedPageBreak/>
        <w:t>alegatos en el menor (</w:t>
      </w:r>
      <w:proofErr w:type="spellStart"/>
      <w:r w:rsidRPr="00425CCA">
        <w:rPr>
          <w:lang w:val="es-AR"/>
        </w:rPr>
        <w:t>Maffioletti</w:t>
      </w:r>
      <w:proofErr w:type="spellEnd"/>
      <w:r w:rsidRPr="00425CCA">
        <w:rPr>
          <w:lang w:val="es-AR"/>
        </w:rPr>
        <w:t xml:space="preserve"> et al., 2008). Una característica al respecto ya recogida por </w:t>
      </w:r>
      <w:proofErr w:type="spellStart"/>
      <w:r w:rsidRPr="00425CCA">
        <w:rPr>
          <w:lang w:val="es-AR"/>
        </w:rPr>
        <w:t>Steffer</w:t>
      </w:r>
      <w:proofErr w:type="spellEnd"/>
      <w:r w:rsidRPr="00425CCA">
        <w:rPr>
          <w:lang w:val="es-AR"/>
        </w:rPr>
        <w:t xml:space="preserve"> (2003) en las denuncias producidas dentro de un clima de conflictividad parental, es que podrían obedecer a conflictos no resueltos del denunciante que se proyectan en el denunciado.</w:t>
      </w:r>
      <w:r w:rsidRPr="00425CCA">
        <w:rPr>
          <w:lang w:val="es-AR"/>
        </w:rPr>
        <w:br/>
        <w:t>Por último, se evidencia un alto porcentaje de interferencias o manipulaciones parentales, y como se ha dicho</w:t>
      </w:r>
      <w:r w:rsidR="00EA2A91">
        <w:rPr>
          <w:lang w:val="es-AR"/>
        </w:rPr>
        <w:t>,</w:t>
      </w:r>
      <w:r w:rsidRPr="00425CCA">
        <w:rPr>
          <w:lang w:val="es-AR"/>
        </w:rPr>
        <w:t xml:space="preserve"> muchas denuncias falsas se insertan en el controvertido Síndrome de Alienación Parental (Aguilar, 20</w:t>
      </w:r>
      <w:r w:rsidR="00967210">
        <w:rPr>
          <w:lang w:val="es-AR"/>
        </w:rPr>
        <w:t>15</w:t>
      </w:r>
      <w:r w:rsidRPr="00425CCA">
        <w:rPr>
          <w:lang w:val="es-AR"/>
        </w:rPr>
        <w:t xml:space="preserve">), el cual no reúne carácter científico para la aplicación del término “síndrome”, pero que, de todas maneras, si hay algo sobre lo que no existe controversia, es sobre el hecho de que hay niños que sufren alejamiento de un progenitor tras la separación parental. Alejamiento que no tiene su base en la historia previa de las relaciones </w:t>
      </w:r>
      <w:proofErr w:type="spellStart"/>
      <w:r w:rsidRPr="00425CCA">
        <w:rPr>
          <w:lang w:val="es-AR"/>
        </w:rPr>
        <w:t>parento</w:t>
      </w:r>
      <w:proofErr w:type="spellEnd"/>
      <w:r w:rsidRPr="00425CCA">
        <w:rPr>
          <w:lang w:val="es-AR"/>
        </w:rPr>
        <w:t>-filiales (Ramírez, 2004), sino que responde a interferencias o manipulaciones de uno de los progenitores en cuyo proceso se interponen falsas denuncias que van desde distintas modalidades de violencia hasta contextos de abuso en su integridad sexual, pasando por motivaciones secundarias, como lo es interferir en el debido cumplimiento del régimen de comunicación con los hijos u obtener una sentencia judicial de otorgamiento del cuidado unilateral de estos.</w:t>
      </w:r>
    </w:p>
    <w:p w:rsidR="00425CCA" w:rsidRPr="00425CCA" w:rsidRDefault="00425CCA" w:rsidP="004E2BD5">
      <w:pPr>
        <w:pStyle w:val="NormalWeb"/>
        <w:spacing w:line="360" w:lineRule="auto"/>
        <w:jc w:val="both"/>
        <w:rPr>
          <w:lang w:val="es-AR"/>
        </w:rPr>
      </w:pPr>
      <w:r w:rsidRPr="00425CCA">
        <w:rPr>
          <w:lang w:val="es-AR"/>
        </w:rPr>
        <w:t>Los estudios indican que este problema no se encuentra íntegramente vinculado con el sexo del denunciante. Es verdad que afecta mucho más a las mujeres, debido a ser el principal sujeto de opresión del sistema y son las principales beneficiarias jurídicas de la custodia legal de los hijos en medio de los procesos de separación.</w:t>
      </w:r>
    </w:p>
    <w:p w:rsidR="00425CCA" w:rsidRPr="00EA2A91" w:rsidRDefault="00425CCA" w:rsidP="004E2BD5">
      <w:pPr>
        <w:pStyle w:val="NormalWeb"/>
        <w:spacing w:line="360" w:lineRule="auto"/>
        <w:jc w:val="both"/>
        <w:rPr>
          <w:b/>
          <w:lang w:val="es-AR"/>
        </w:rPr>
      </w:pPr>
      <w:r w:rsidRPr="00EA2A91">
        <w:rPr>
          <w:b/>
          <w:lang w:val="es-AR"/>
        </w:rPr>
        <w:t>Daño psicológico en situaciones de Violencia de Género</w:t>
      </w:r>
    </w:p>
    <w:p w:rsidR="00425CCA" w:rsidRPr="00425CCA" w:rsidRDefault="00425CCA" w:rsidP="004E2BD5">
      <w:pPr>
        <w:pStyle w:val="NormalWeb"/>
        <w:spacing w:line="360" w:lineRule="auto"/>
        <w:jc w:val="both"/>
        <w:rPr>
          <w:lang w:val="es-AR"/>
        </w:rPr>
      </w:pPr>
      <w:r w:rsidRPr="00425CCA">
        <w:rPr>
          <w:lang w:val="es-AR"/>
        </w:rPr>
        <w:t>Es lacerante leer estadísticas que nos muestran el notable incremento de femi</w:t>
      </w:r>
      <w:r w:rsidR="00EA2A91">
        <w:rPr>
          <w:lang w:val="es-AR"/>
        </w:rPr>
        <w:t>ni</w:t>
      </w:r>
      <w:r w:rsidRPr="00425CCA">
        <w:rPr>
          <w:lang w:val="es-AR"/>
        </w:rPr>
        <w:t xml:space="preserve">cidios, de mujeres asesinadas por sus parejas o exparejas como consecuencia de la posición dominante que adoptan los </w:t>
      </w:r>
      <w:proofErr w:type="spellStart"/>
      <w:r w:rsidRPr="00425CCA">
        <w:rPr>
          <w:lang w:val="es-AR"/>
        </w:rPr>
        <w:t>femi</w:t>
      </w:r>
      <w:r w:rsidR="00EA2A91">
        <w:rPr>
          <w:lang w:val="es-AR"/>
        </w:rPr>
        <w:t>ni</w:t>
      </w:r>
      <w:r w:rsidRPr="00425CCA">
        <w:rPr>
          <w:lang w:val="es-AR"/>
        </w:rPr>
        <w:t>cidas</w:t>
      </w:r>
      <w:proofErr w:type="spellEnd"/>
      <w:r w:rsidRPr="00425CCA">
        <w:rPr>
          <w:lang w:val="es-AR"/>
        </w:rPr>
        <w:t xml:space="preserve"> en el sistema patriarcal.</w:t>
      </w:r>
    </w:p>
    <w:p w:rsidR="00425CCA" w:rsidRPr="00425CCA" w:rsidRDefault="00425CCA" w:rsidP="004E2BD5">
      <w:pPr>
        <w:pStyle w:val="NormalWeb"/>
        <w:spacing w:line="360" w:lineRule="auto"/>
        <w:jc w:val="both"/>
        <w:rPr>
          <w:lang w:val="es-AR"/>
        </w:rPr>
      </w:pPr>
      <w:r w:rsidRPr="00425CCA">
        <w:rPr>
          <w:lang w:val="es-AR"/>
        </w:rPr>
        <w:t>Es desde aquí que, con la intención de erradicar esta violencia, se han creado gran variedad de instrumentos legislativos que protegen los derechos fundamentales de la víctima. Sin embargo, en un menor</w:t>
      </w:r>
      <w:r w:rsidR="00EA2A91">
        <w:rPr>
          <w:lang w:val="es-AR"/>
        </w:rPr>
        <w:t xml:space="preserve">, </w:t>
      </w:r>
      <w:r w:rsidR="00EA2A91" w:rsidRPr="00334B45">
        <w:rPr>
          <w:lang w:val="es-AR"/>
        </w:rPr>
        <w:t>pero a la vez creciente</w:t>
      </w:r>
      <w:r w:rsidRPr="00425CCA">
        <w:rPr>
          <w:lang w:val="es-AR"/>
        </w:rPr>
        <w:t xml:space="preserve"> porcentaje, esta legislación produce un uso arbitrario de la justicia.</w:t>
      </w:r>
    </w:p>
    <w:p w:rsidR="00425CCA" w:rsidRPr="00425CCA" w:rsidRDefault="00425CCA" w:rsidP="004E2BD5">
      <w:pPr>
        <w:pStyle w:val="NormalWeb"/>
        <w:spacing w:line="360" w:lineRule="auto"/>
        <w:jc w:val="both"/>
        <w:rPr>
          <w:lang w:val="es-AR"/>
        </w:rPr>
      </w:pPr>
      <w:r w:rsidRPr="00425CCA">
        <w:rPr>
          <w:lang w:val="es-AR"/>
        </w:rPr>
        <w:lastRenderedPageBreak/>
        <w:t xml:space="preserve">Según el artículo “Daño psicológico en casos de víctimas de violencia de género: estudio comparativo de las evaluaciones forenses”, la etiqueta legal de víctima de un delito supone que una persona haya sido objeto de una acción constitutiva de tal y que haya sufrido algún daño (victimización). Así también, es necesario que se demuestre el delito y a partir de esta demostración, establecer un vínculo entre el daño y la acción delictiva a enjuiciar (Fariña, Arce, </w:t>
      </w:r>
      <w:proofErr w:type="spellStart"/>
      <w:r w:rsidRPr="00425CCA">
        <w:rPr>
          <w:lang w:val="es-AR"/>
        </w:rPr>
        <w:t>Vilariño</w:t>
      </w:r>
      <w:proofErr w:type="spellEnd"/>
      <w:r w:rsidRPr="00425CCA">
        <w:rPr>
          <w:lang w:val="es-AR"/>
        </w:rPr>
        <w:t>, 2015)</w:t>
      </w:r>
    </w:p>
    <w:p w:rsidR="00425CCA" w:rsidRPr="00425CCA" w:rsidRDefault="00425CCA" w:rsidP="004E2BD5">
      <w:pPr>
        <w:pStyle w:val="NormalWeb"/>
        <w:spacing w:line="360" w:lineRule="auto"/>
        <w:jc w:val="both"/>
        <w:rPr>
          <w:lang w:val="es-AR"/>
        </w:rPr>
      </w:pPr>
      <w:r w:rsidRPr="00425CCA">
        <w:rPr>
          <w:lang w:val="es-AR"/>
        </w:rPr>
        <w:t xml:space="preserve">El movimiento feminista ha revolucionado las dinámicas familiares. La mujer que históricamente se limitaba a las tareas de cuidado, con el tiempo pasó a ser parte del sostén económico pasando a ser parte del mercado laboral que tradicionalmente era ocupado sólo por hombres. Es por ello que, en términos de las diversas teorías de género, se produjo una sensibilización que llevó al sistema legal a favorecer a la mujer en instancias de separación y divorcio, especialmente en lo relativo a la custodia de los hijos que la pareja pudiera tener en común. Sin embargo, en menores proporciones a las denuncias reales, pero con un </w:t>
      </w:r>
      <w:r w:rsidR="00EA2A91" w:rsidRPr="00334B45">
        <w:rPr>
          <w:lang w:val="es-AR"/>
        </w:rPr>
        <w:t>exponencial</w:t>
      </w:r>
      <w:r w:rsidRPr="00334B45">
        <w:rPr>
          <w:lang w:val="es-AR"/>
        </w:rPr>
        <w:t xml:space="preserve"> </w:t>
      </w:r>
      <w:r w:rsidRPr="00425CCA">
        <w:rPr>
          <w:lang w:val="es-AR"/>
        </w:rPr>
        <w:t xml:space="preserve">grado de </w:t>
      </w:r>
      <w:proofErr w:type="spellStart"/>
      <w:r w:rsidRPr="00425CCA">
        <w:rPr>
          <w:lang w:val="es-AR"/>
        </w:rPr>
        <w:t>visibilización</w:t>
      </w:r>
      <w:proofErr w:type="spellEnd"/>
      <w:r w:rsidRPr="00425CCA">
        <w:rPr>
          <w:lang w:val="es-AR"/>
        </w:rPr>
        <w:t>, se ratifican diariamente situaciones en las que se activan denuncias infundadas de violencia para sacar provecho en situaciones como divorcios, separaciones u obtener una sentencia favorable con respecto a la tenencia de los hijos en común con el varón. Sin negar el sufrimiento y la situación de opresión que sufren las mujeres en este mundo particular, no parece tenerse en cuenta la desventaja del hombre ante la mujer en este particular contexto sociopolítico y jurídico, dando cuenta de una falta de políticas preventivas.</w:t>
      </w:r>
    </w:p>
    <w:p w:rsidR="00425CCA" w:rsidRPr="00425CCA" w:rsidRDefault="00425CCA" w:rsidP="004E2BD5">
      <w:pPr>
        <w:pStyle w:val="NormalWeb"/>
        <w:spacing w:line="360" w:lineRule="auto"/>
        <w:jc w:val="both"/>
        <w:rPr>
          <w:lang w:val="es-AR"/>
        </w:rPr>
      </w:pPr>
      <w:r w:rsidRPr="00425CCA">
        <w:rPr>
          <w:lang w:val="es-AR"/>
        </w:rPr>
        <w:t>En las teorías de género, entonces, la construcción social del binomio conformado por el agresor y la víctima da cuenta de la adjudicación de la categoría de violentos a los hombres y de pasiv</w:t>
      </w:r>
      <w:r w:rsidR="00334B45">
        <w:rPr>
          <w:lang w:val="es-AR"/>
        </w:rPr>
        <w:t xml:space="preserve">as a las mujeres. Mientras se </w:t>
      </w:r>
      <w:r w:rsidRPr="00425CCA">
        <w:rPr>
          <w:lang w:val="es-AR"/>
        </w:rPr>
        <w:t>asigna a las mujeres esta posición de pasividad, el Estado to</w:t>
      </w:r>
      <w:r w:rsidR="00EA2A91">
        <w:rPr>
          <w:lang w:val="es-AR"/>
        </w:rPr>
        <w:t>ma medidas de protección hacia é</w:t>
      </w:r>
      <w:r w:rsidRPr="00425CCA">
        <w:rPr>
          <w:lang w:val="es-AR"/>
        </w:rPr>
        <w:t>stas como desvalidas y no violentas frente a los hombres violentos. Por lo tanto</w:t>
      </w:r>
      <w:r w:rsidR="00EA2A91">
        <w:rPr>
          <w:lang w:val="es-AR"/>
        </w:rPr>
        <w:t>,</w:t>
      </w:r>
      <w:r w:rsidRPr="00425CCA">
        <w:rPr>
          <w:lang w:val="es-AR"/>
        </w:rPr>
        <w:t xml:space="preserve"> se establece una relación de las mujeres con la violencia que las limita a sufrirla, que las coloca en una posición infantil y dependiente del Estado. (</w:t>
      </w:r>
      <w:proofErr w:type="spellStart"/>
      <w:r w:rsidRPr="00425CCA">
        <w:rPr>
          <w:lang w:val="es-AR"/>
        </w:rPr>
        <w:t>Coll</w:t>
      </w:r>
      <w:proofErr w:type="spellEnd"/>
      <w:r w:rsidRPr="00425CCA">
        <w:rPr>
          <w:lang w:val="es-AR"/>
        </w:rPr>
        <w:t xml:space="preserve">-Planas, García-romeral, Mañas-rodríguez y </w:t>
      </w:r>
      <w:proofErr w:type="spellStart"/>
      <w:r w:rsidRPr="00425CCA">
        <w:rPr>
          <w:lang w:val="es-AR"/>
        </w:rPr>
        <w:t>NavarroVaras</w:t>
      </w:r>
      <w:proofErr w:type="spellEnd"/>
      <w:r w:rsidRPr="00425CCA">
        <w:rPr>
          <w:lang w:val="es-AR"/>
        </w:rPr>
        <w:t xml:space="preserve">, 2008, p. 201). Esta situación genera que la prueba del daño psicológico sea permanente (y única en violencia psicológica) en los casos de denuncia de violencia de género. En relación a la medida de dicho daño, se hace referencia a las narrativas no-normativas cuando se habla de aquellas que poseen </w:t>
      </w:r>
      <w:r w:rsidR="00334B45">
        <w:rPr>
          <w:lang w:val="es-AR"/>
        </w:rPr>
        <w:lastRenderedPageBreak/>
        <w:t xml:space="preserve">inexactitudes, </w:t>
      </w:r>
      <w:r w:rsidRPr="00425CCA">
        <w:rPr>
          <w:lang w:val="es-AR"/>
        </w:rPr>
        <w:t>por ejemplo</w:t>
      </w:r>
      <w:r w:rsidR="00EA2A91">
        <w:rPr>
          <w:lang w:val="es-AR"/>
        </w:rPr>
        <w:t>,</w:t>
      </w:r>
      <w:r w:rsidRPr="00425CCA">
        <w:rPr>
          <w:lang w:val="es-AR"/>
        </w:rPr>
        <w:t xml:space="preserve"> las que poseen la impresión social de credibilidad a pesar de que no existe realidad de las mismas. Se habla de narrativas falsas, carentes de anclaje y narrativas erróneas. Por lo tanto, en la prueba </w:t>
      </w:r>
      <w:r w:rsidR="00EA2A91">
        <w:rPr>
          <w:lang w:val="es-AR"/>
        </w:rPr>
        <w:t>de daño, el error tipo II</w:t>
      </w:r>
      <w:r w:rsidRPr="00425CCA">
        <w:rPr>
          <w:lang w:val="es-AR"/>
        </w:rPr>
        <w:t xml:space="preserve"> (falsos positivos, tomar como daño real un daño desacertado o simulado, debido a que la prueba de daño se vincula directamente con la culpabilidad de un inocente), conduce inevitablemente a un error estadístico vinculado directamente a la aceptación de una hipótesis nula, que es falsa.</w:t>
      </w:r>
    </w:p>
    <w:p w:rsidR="00425CCA" w:rsidRPr="00425CCA" w:rsidRDefault="00425CCA" w:rsidP="004E2BD5">
      <w:pPr>
        <w:pStyle w:val="NormalWeb"/>
        <w:spacing w:line="360" w:lineRule="auto"/>
        <w:jc w:val="both"/>
        <w:rPr>
          <w:lang w:val="es-AR"/>
        </w:rPr>
      </w:pPr>
      <w:r w:rsidRPr="00425CCA">
        <w:rPr>
          <w:lang w:val="es-AR"/>
        </w:rPr>
        <w:t>En términos de medición y evaluación del daño psicológico, esto supone que la técnica forense no solo debe medir al mismo y relacionarlo con los hechos, sino también controlar la simulación.</w:t>
      </w:r>
    </w:p>
    <w:p w:rsidR="00EA2A91" w:rsidRDefault="00425CCA" w:rsidP="004E2BD5">
      <w:pPr>
        <w:pStyle w:val="NormalWeb"/>
        <w:spacing w:line="360" w:lineRule="auto"/>
        <w:jc w:val="both"/>
        <w:rPr>
          <w:lang w:val="es-AR"/>
        </w:rPr>
      </w:pPr>
      <w:r w:rsidRPr="00425CCA">
        <w:rPr>
          <w:lang w:val="es-AR"/>
        </w:rPr>
        <w:t>A esta obligación judicial se suma la sospecha clínica de simulación en las evaluaciones forenses. Para ello, la valoración de la intencionalidad debe realizarse mediante un estudio pormenorizado de la presencia e impacto de incentivos externos o internos sustanciales. En el primer caso, se tendrá que evaluar en profundidad la situación socioeconómica, los factores sociales, financieros y del contexto familiar, la historia laboral, los conflictos actuales y los asuntos legales. En el segundo, se tendrá que estudiar variables relacionadas con la asunción del rol de enfermo, y realizar un diagnóstico diferencial de trastorno facticio. (</w:t>
      </w:r>
      <w:proofErr w:type="spellStart"/>
      <w:r w:rsidRPr="00425CCA">
        <w:rPr>
          <w:lang w:val="es-AR"/>
        </w:rPr>
        <w:t>Merten</w:t>
      </w:r>
      <w:proofErr w:type="spellEnd"/>
      <w:r w:rsidRPr="00425CCA">
        <w:rPr>
          <w:lang w:val="es-AR"/>
        </w:rPr>
        <w:t xml:space="preserve"> y </w:t>
      </w:r>
      <w:proofErr w:type="spellStart"/>
      <w:r w:rsidRPr="00425CCA">
        <w:rPr>
          <w:lang w:val="es-AR"/>
        </w:rPr>
        <w:t>Merckelbach</w:t>
      </w:r>
      <w:proofErr w:type="spellEnd"/>
      <w:r w:rsidRPr="00425CCA">
        <w:rPr>
          <w:lang w:val="es-AR"/>
        </w:rPr>
        <w:t>, 20</w:t>
      </w:r>
      <w:r w:rsidR="00967210">
        <w:rPr>
          <w:lang w:val="es-AR"/>
        </w:rPr>
        <w:t>14</w:t>
      </w:r>
      <w:r w:rsidRPr="00425CCA">
        <w:rPr>
          <w:lang w:val="es-AR"/>
        </w:rPr>
        <w:t xml:space="preserve">). Y dado que hoy en día no se dispone de un criterio de decisión específico para combinar los hallazgos, lo que conlleva el riesgo de llegar a una conclusión de validez/invalidez de síntomas arbitraria, poco fundamentada o errónea, autores como Puente López, Pina y </w:t>
      </w:r>
      <w:proofErr w:type="spellStart"/>
      <w:r w:rsidRPr="00425CCA">
        <w:rPr>
          <w:lang w:val="es-AR"/>
        </w:rPr>
        <w:t>Merten</w:t>
      </w:r>
      <w:proofErr w:type="spellEnd"/>
      <w:r w:rsidRPr="00425CCA">
        <w:rPr>
          <w:lang w:val="es-AR"/>
        </w:rPr>
        <w:t xml:space="preserve">, recomiendan que la presencia/ausencia de riesgo de simulación se establezca con los criterios multidimensionales para la simulación neuropsicológica de Sherman et al. (2020), dado que ofrecen un método estructurado, sistemático y replicable para la toma de decisiones forense (Puente-López, Pina, </w:t>
      </w:r>
      <w:proofErr w:type="spellStart"/>
      <w:r w:rsidRPr="00425CCA">
        <w:rPr>
          <w:lang w:val="es-AR"/>
        </w:rPr>
        <w:t>Daugherty</w:t>
      </w:r>
      <w:proofErr w:type="spellEnd"/>
      <w:r w:rsidRPr="00425CCA">
        <w:rPr>
          <w:lang w:val="es-AR"/>
        </w:rPr>
        <w:t xml:space="preserve">, Pérez-García, </w:t>
      </w:r>
      <w:proofErr w:type="spellStart"/>
      <w:r w:rsidRPr="00425CCA">
        <w:rPr>
          <w:lang w:val="es-AR"/>
        </w:rPr>
        <w:t>Merten</w:t>
      </w:r>
      <w:proofErr w:type="spellEnd"/>
      <w:r w:rsidRPr="00425CCA">
        <w:rPr>
          <w:lang w:val="es-AR"/>
        </w:rPr>
        <w:t xml:space="preserve">, 2024). Los autores formulan una especial valoración de los avances de Sherman et al. (2020), quienes publicaron una actualización de los criterios MND, los cuales pasaron a llamarse criterios multidimensionales para la simulación </w:t>
      </w:r>
      <w:proofErr w:type="spellStart"/>
      <w:r w:rsidRPr="00425CCA">
        <w:rPr>
          <w:lang w:val="es-AR"/>
        </w:rPr>
        <w:t>neurocognitiva</w:t>
      </w:r>
      <w:proofErr w:type="spellEnd"/>
      <w:r w:rsidRPr="00425CCA">
        <w:rPr>
          <w:lang w:val="es-AR"/>
        </w:rPr>
        <w:t>, somática y psiquiátrica (criterios CMS).</w:t>
      </w:r>
    </w:p>
    <w:p w:rsidR="00334B45" w:rsidRDefault="00425CCA" w:rsidP="004E2BD5">
      <w:pPr>
        <w:pStyle w:val="NormalWeb"/>
        <w:spacing w:line="360" w:lineRule="auto"/>
        <w:jc w:val="both"/>
        <w:rPr>
          <w:lang w:val="es-AR"/>
        </w:rPr>
      </w:pPr>
      <w:r w:rsidRPr="00425CCA">
        <w:rPr>
          <w:lang w:val="es-AR"/>
        </w:rPr>
        <w:t xml:space="preserve"> Como exponen los autores, esta actualización del modelo incorpora el conocimiento científico acumulado en los últimos 20 años, teniendo como principal finalidad simplificar </w:t>
      </w:r>
      <w:r w:rsidRPr="00425CCA">
        <w:rPr>
          <w:lang w:val="es-AR"/>
        </w:rPr>
        <w:lastRenderedPageBreak/>
        <w:t xml:space="preserve">las categorías diagnósticas; clarificar conceptos ambiguos como incentivo externo e incoherencia convincente; además de la actualización de los criterios, la principal novedad del nuevo modelo es que ya no crea tres categorías de simulación (definitiva, probable o posible), sino que establece la presencia o ausencia de simulación de forma dicotómica, y, además, permite diferenciar entre cuatro especificadores de simulación: de disfunción </w:t>
      </w:r>
      <w:proofErr w:type="spellStart"/>
      <w:r w:rsidRPr="00425CCA">
        <w:rPr>
          <w:lang w:val="es-AR"/>
        </w:rPr>
        <w:t>neurocognitiva</w:t>
      </w:r>
      <w:proofErr w:type="spellEnd"/>
      <w:r w:rsidRPr="00425CCA">
        <w:rPr>
          <w:lang w:val="es-AR"/>
        </w:rPr>
        <w:t xml:space="preserve">, de síntomas somáticos, de síntomas psiquiátricos/ psicológicos, y de presentación mixta. (Puente-López, Pina, </w:t>
      </w:r>
      <w:proofErr w:type="spellStart"/>
      <w:r w:rsidRPr="00425CCA">
        <w:rPr>
          <w:lang w:val="es-AR"/>
        </w:rPr>
        <w:t>Daugherty</w:t>
      </w:r>
      <w:proofErr w:type="spellEnd"/>
      <w:r w:rsidRPr="00425CCA">
        <w:rPr>
          <w:lang w:val="es-AR"/>
        </w:rPr>
        <w:t xml:space="preserve">, Pérez-García, </w:t>
      </w:r>
      <w:proofErr w:type="spellStart"/>
      <w:r w:rsidRPr="00425CCA">
        <w:rPr>
          <w:lang w:val="es-AR"/>
        </w:rPr>
        <w:t>Merten</w:t>
      </w:r>
      <w:proofErr w:type="spellEnd"/>
      <w:r w:rsidRPr="00425CCA">
        <w:rPr>
          <w:lang w:val="es-AR"/>
        </w:rPr>
        <w:t xml:space="preserve">, 2024). </w:t>
      </w:r>
    </w:p>
    <w:p w:rsidR="00425CCA" w:rsidRPr="00425CCA" w:rsidRDefault="00425CCA" w:rsidP="004E2BD5">
      <w:pPr>
        <w:pStyle w:val="NormalWeb"/>
        <w:spacing w:line="360" w:lineRule="auto"/>
        <w:jc w:val="both"/>
        <w:rPr>
          <w:lang w:val="es-AR"/>
        </w:rPr>
      </w:pPr>
      <w:r w:rsidRPr="00425CCA">
        <w:rPr>
          <w:lang w:val="es-AR"/>
        </w:rPr>
        <w:t>A ellos concluimos entonces que, tanto judicial como clínicamente se requiere una evaluación de la simulación (diagnóstico diferencial) previa a la evaluación del daño psicológico.</w:t>
      </w:r>
    </w:p>
    <w:p w:rsidR="00334B45" w:rsidRPr="00334B45" w:rsidRDefault="00334B45" w:rsidP="004E2BD5">
      <w:pPr>
        <w:pStyle w:val="NormalWeb"/>
        <w:spacing w:line="360" w:lineRule="auto"/>
        <w:jc w:val="both"/>
        <w:rPr>
          <w:b/>
          <w:lang w:val="es-AR"/>
        </w:rPr>
      </w:pPr>
      <w:r w:rsidRPr="00334B45">
        <w:rPr>
          <w:b/>
          <w:lang w:val="es-AR"/>
        </w:rPr>
        <w:t>Discusión</w:t>
      </w:r>
    </w:p>
    <w:p w:rsidR="00425CCA" w:rsidRPr="00334B45" w:rsidRDefault="00425CCA" w:rsidP="004E2BD5">
      <w:pPr>
        <w:pStyle w:val="NormalWeb"/>
        <w:spacing w:line="360" w:lineRule="auto"/>
        <w:jc w:val="both"/>
        <w:rPr>
          <w:lang w:val="es-AR"/>
        </w:rPr>
      </w:pPr>
      <w:r w:rsidRPr="00425CCA">
        <w:rPr>
          <w:lang w:val="es-AR"/>
        </w:rPr>
        <w:t xml:space="preserve">En la actualidad existe una polémica relacionada a la existencia de las denuncias falsas de delitos relacionados con la Violencia de Género. En general se alude a que estas son escasas y que son muy bajos los porcentajes. </w:t>
      </w:r>
      <w:r w:rsidRPr="00334B45">
        <w:rPr>
          <w:lang w:val="es-AR"/>
        </w:rPr>
        <w:t>Sin embargo</w:t>
      </w:r>
      <w:r w:rsidR="00334B45" w:rsidRPr="00334B45">
        <w:rPr>
          <w:lang w:val="es-AR"/>
        </w:rPr>
        <w:t>,</w:t>
      </w:r>
      <w:r w:rsidRPr="00334B45">
        <w:rPr>
          <w:lang w:val="es-AR"/>
        </w:rPr>
        <w:t xml:space="preserve"> existen, y los denunciados resultan muy afectados.</w:t>
      </w:r>
    </w:p>
    <w:p w:rsidR="00425CCA" w:rsidRPr="00425CCA" w:rsidRDefault="00425CCA" w:rsidP="004E2BD5">
      <w:pPr>
        <w:pStyle w:val="NormalWeb"/>
        <w:spacing w:line="360" w:lineRule="auto"/>
        <w:jc w:val="both"/>
        <w:rPr>
          <w:lang w:val="es-AR"/>
        </w:rPr>
      </w:pPr>
      <w:r w:rsidRPr="00425CCA">
        <w:rPr>
          <w:lang w:val="es-AR"/>
        </w:rPr>
        <w:t>Es por esto que, además de examinar el hecho delictivo, es necesario revisar las leyes que proveen a la supuesta víctima de medidas de protección directa con carácter cautelar, evaluando su efectividad, ya que, como se analizó en es</w:t>
      </w:r>
      <w:r w:rsidR="00334B45">
        <w:rPr>
          <w:lang w:val="es-AR"/>
        </w:rPr>
        <w:t>t</w:t>
      </w:r>
      <w:r w:rsidRPr="00425CCA">
        <w:rPr>
          <w:lang w:val="es-AR"/>
        </w:rPr>
        <w:t>e artículo, se produce una situación de desigualdad y discriminación generalmente frente al varón.</w:t>
      </w:r>
    </w:p>
    <w:p w:rsidR="00425CCA" w:rsidRPr="00425CCA" w:rsidRDefault="00425CCA" w:rsidP="004E2BD5">
      <w:pPr>
        <w:pStyle w:val="NormalWeb"/>
        <w:spacing w:line="360" w:lineRule="auto"/>
        <w:jc w:val="both"/>
        <w:rPr>
          <w:lang w:val="es-AR"/>
        </w:rPr>
      </w:pPr>
      <w:r w:rsidRPr="00425CCA">
        <w:rPr>
          <w:lang w:val="es-AR"/>
        </w:rPr>
        <w:t>La denuncia falsa infiere en mayor medida en el dolor psicológico que en el maltrato físico.</w:t>
      </w:r>
    </w:p>
    <w:p w:rsidR="00425CCA" w:rsidRPr="00425CCA" w:rsidRDefault="00425CCA" w:rsidP="004E2BD5">
      <w:pPr>
        <w:pStyle w:val="NormalWeb"/>
        <w:spacing w:line="360" w:lineRule="auto"/>
        <w:jc w:val="both"/>
        <w:rPr>
          <w:lang w:val="es-AR"/>
        </w:rPr>
      </w:pPr>
      <w:r w:rsidRPr="00425CCA">
        <w:rPr>
          <w:lang w:val="es-AR"/>
        </w:rPr>
        <w:t>En las denuncias de violencia de género, hay un mayor apoyo en los indicios sospechosos que en la aportación concreta de datos. Más aún, se tiende a una omisión de detalles que podrían resultar beneficiosos o exculpatorios para la persona denunciada.</w:t>
      </w:r>
    </w:p>
    <w:p w:rsidR="00425CCA" w:rsidRPr="00425CCA" w:rsidRDefault="00425CCA" w:rsidP="004E2BD5">
      <w:pPr>
        <w:pStyle w:val="NormalWeb"/>
        <w:spacing w:line="360" w:lineRule="auto"/>
        <w:jc w:val="both"/>
        <w:rPr>
          <w:lang w:val="es-AR"/>
        </w:rPr>
      </w:pPr>
      <w:r w:rsidRPr="00425CCA">
        <w:rPr>
          <w:lang w:val="es-AR"/>
        </w:rPr>
        <w:t>Lamentablemente, hay variadas limitaciones y poco material sobre la temática. Esto se debe a diversas cuestiones, entre ellas, el hecho de que sólo se avalan determinados discursos que impiden evolucionar hacia otras vías de conocimiento.</w:t>
      </w:r>
    </w:p>
    <w:p w:rsidR="00425CCA" w:rsidRPr="00425CCA" w:rsidRDefault="00425CCA" w:rsidP="004E2BD5">
      <w:pPr>
        <w:pStyle w:val="NormalWeb"/>
        <w:spacing w:line="360" w:lineRule="auto"/>
        <w:jc w:val="both"/>
        <w:rPr>
          <w:lang w:val="es-AR"/>
        </w:rPr>
      </w:pPr>
      <w:r w:rsidRPr="00425CCA">
        <w:rPr>
          <w:lang w:val="es-AR"/>
        </w:rPr>
        <w:lastRenderedPageBreak/>
        <w:t>Es claro que hay una discriminación en la legislación actual que somete al varón (que es una razón suficiente para realizar una revisión y fomentar la investigación en el tema). El tema merece más estudio con respecto a la mujer maltratada y la persona denunciada, debido a que el uso arbitrario de las denuncias y la legislación que se diseñó para proteger a la mujer puede resultar perjudicial para las denuncias reales de violencia.</w:t>
      </w:r>
    </w:p>
    <w:p w:rsidR="00425CCA" w:rsidRPr="00425CCA" w:rsidRDefault="00425CCA" w:rsidP="004E2BD5">
      <w:pPr>
        <w:pStyle w:val="NormalWeb"/>
        <w:spacing w:line="360" w:lineRule="auto"/>
        <w:jc w:val="both"/>
        <w:rPr>
          <w:lang w:val="es-AR"/>
        </w:rPr>
      </w:pPr>
      <w:r w:rsidRPr="00425CCA">
        <w:rPr>
          <w:lang w:val="es-AR"/>
        </w:rPr>
        <w:t xml:space="preserve">Se requiere aún mucho esfuerzo pedagógico y material para que la sociedad y la cultura se direccionen hacia una igualdad efectiva, a todos los niveles, entre hombres y mujeres. Es evidente que, determinadas actitudes sociales y políticas que no poseen fundamento científico real terminan por interferir en las problemáticas que se procuran combatir y eliminar. Desde el saber epistemológico más básico, no hay límites, métodos o fundamentos que puedan conmover a los principios constitucionales de inocencia y defensa en juicio: frente al dato esencial de lo sensible que resulta cualquier forma de violencia, y especialmente la doméstica que arrasa con niños y familias, siempre conviene recordar que, al decir de Arce-Fariña, (Arce, R., Fariña, F., &amp; </w:t>
      </w:r>
      <w:proofErr w:type="spellStart"/>
      <w:r w:rsidRPr="00425CCA">
        <w:rPr>
          <w:lang w:val="es-AR"/>
        </w:rPr>
        <w:t>Vilariño</w:t>
      </w:r>
      <w:proofErr w:type="spellEnd"/>
      <w:r w:rsidRPr="00425CCA">
        <w:rPr>
          <w:lang w:val="es-AR"/>
        </w:rPr>
        <w:t>, M. (2015), la condena comporta la plena seguridad, no la alta probabilidad, ya que la condena de un inocente representa una quiebra absoluta de los principios básicos de libertad, seguridad y justicia.</w:t>
      </w:r>
    </w:p>
    <w:p w:rsidR="00425CCA" w:rsidRPr="00425CCA" w:rsidRDefault="00425CCA" w:rsidP="004E2BD5">
      <w:pPr>
        <w:pStyle w:val="NormalWeb"/>
        <w:spacing w:line="360" w:lineRule="auto"/>
        <w:jc w:val="both"/>
        <w:rPr>
          <w:lang w:val="es-AR"/>
        </w:rPr>
      </w:pPr>
      <w:r w:rsidRPr="00425CCA">
        <w:rPr>
          <w:lang w:val="es-AR"/>
        </w:rPr>
        <w:t xml:space="preserve">Como dice el artículo “Las Denuncias Falsas en Casos de Violencia de Género: ¿Mito o Realidad?” de Francisco Pérez Fernández y Beatriz Bernabé </w:t>
      </w:r>
      <w:proofErr w:type="spellStart"/>
      <w:r w:rsidRPr="00425CCA">
        <w:rPr>
          <w:lang w:val="es-AR"/>
        </w:rPr>
        <w:t>Cárdaba</w:t>
      </w:r>
      <w:proofErr w:type="spellEnd"/>
      <w:r w:rsidRPr="00425CCA">
        <w:rPr>
          <w:lang w:val="es-AR"/>
        </w:rPr>
        <w:t>: “El conocimiento, y conviene recordarlo de vez en cuando, sólo es perjudicial para quien teme a la verdad” (p.44)</w:t>
      </w:r>
    </w:p>
    <w:p w:rsidR="004C6835" w:rsidRDefault="004C6835" w:rsidP="004E2BD5">
      <w:pPr>
        <w:pStyle w:val="NormalWeb"/>
        <w:spacing w:line="360" w:lineRule="auto"/>
        <w:jc w:val="both"/>
      </w:pPr>
    </w:p>
    <w:p w:rsidR="004C6835" w:rsidRDefault="004C6835" w:rsidP="004E2BD5">
      <w:pPr>
        <w:pStyle w:val="NormalWeb"/>
        <w:spacing w:line="360" w:lineRule="auto"/>
        <w:jc w:val="both"/>
      </w:pPr>
    </w:p>
    <w:p w:rsidR="004C6835" w:rsidRDefault="004C6835" w:rsidP="004E2BD5">
      <w:pPr>
        <w:pStyle w:val="NormalWeb"/>
        <w:spacing w:line="360" w:lineRule="auto"/>
        <w:jc w:val="both"/>
      </w:pPr>
    </w:p>
    <w:p w:rsidR="004C6835" w:rsidRDefault="004C6835" w:rsidP="004E2BD5">
      <w:pPr>
        <w:pStyle w:val="NormalWeb"/>
        <w:spacing w:line="360" w:lineRule="auto"/>
        <w:jc w:val="both"/>
      </w:pPr>
    </w:p>
    <w:p w:rsidR="004C6835" w:rsidRDefault="004C6835" w:rsidP="004E2BD5">
      <w:pPr>
        <w:pStyle w:val="NormalWeb"/>
        <w:spacing w:line="360" w:lineRule="auto"/>
        <w:jc w:val="both"/>
      </w:pPr>
    </w:p>
    <w:p w:rsidR="004C6835" w:rsidRDefault="004C6835" w:rsidP="004E2BD5">
      <w:pPr>
        <w:pStyle w:val="NormalWeb"/>
        <w:spacing w:line="360" w:lineRule="auto"/>
        <w:jc w:val="both"/>
      </w:pPr>
    </w:p>
    <w:p w:rsidR="00425CCA" w:rsidRPr="004C6835" w:rsidRDefault="00425CCA" w:rsidP="004E2BD5">
      <w:pPr>
        <w:pStyle w:val="NormalWeb"/>
        <w:spacing w:line="360" w:lineRule="auto"/>
        <w:jc w:val="both"/>
        <w:rPr>
          <w:b/>
          <w:lang w:val="es-AR"/>
        </w:rPr>
      </w:pPr>
      <w:r w:rsidRPr="004C6835">
        <w:rPr>
          <w:b/>
          <w:lang w:val="es-AR"/>
        </w:rPr>
        <w:lastRenderedPageBreak/>
        <w:t>Bibliografía y fuentes de información</w:t>
      </w:r>
    </w:p>
    <w:p w:rsidR="00967210" w:rsidRDefault="00967210" w:rsidP="00967210">
      <w:pPr>
        <w:pStyle w:val="NormalWeb"/>
        <w:spacing w:line="360" w:lineRule="auto"/>
        <w:jc w:val="both"/>
        <w:rPr>
          <w:color w:val="222222"/>
          <w:shd w:val="clear" w:color="auto" w:fill="FFFFFF"/>
          <w:lang w:val="es-AR"/>
        </w:rPr>
      </w:pPr>
      <w:proofErr w:type="spellStart"/>
      <w:r w:rsidRPr="00306EC3">
        <w:rPr>
          <w:color w:val="222222"/>
          <w:shd w:val="clear" w:color="auto" w:fill="FFFFFF"/>
          <w:lang w:val="es-AR"/>
        </w:rPr>
        <w:t>Antoniucci</w:t>
      </w:r>
      <w:proofErr w:type="spellEnd"/>
      <w:r w:rsidRPr="00306EC3">
        <w:rPr>
          <w:color w:val="222222"/>
          <w:shd w:val="clear" w:color="auto" w:fill="FFFFFF"/>
          <w:lang w:val="es-AR"/>
        </w:rPr>
        <w:t xml:space="preserve">, M. B., &amp; </w:t>
      </w:r>
      <w:proofErr w:type="spellStart"/>
      <w:r w:rsidRPr="00306EC3">
        <w:rPr>
          <w:color w:val="222222"/>
          <w:shd w:val="clear" w:color="auto" w:fill="FFFFFF"/>
          <w:lang w:val="es-AR"/>
        </w:rPr>
        <w:t>Meske</w:t>
      </w:r>
      <w:proofErr w:type="spellEnd"/>
      <w:r w:rsidRPr="00306EC3">
        <w:rPr>
          <w:color w:val="222222"/>
          <w:shd w:val="clear" w:color="auto" w:fill="FFFFFF"/>
          <w:lang w:val="es-AR"/>
        </w:rPr>
        <w:t xml:space="preserve">, V. (2021). El sexo en disputa: regulación y materialización corporal del género en un contexto de </w:t>
      </w:r>
      <w:proofErr w:type="spellStart"/>
      <w:r w:rsidRPr="00306EC3">
        <w:rPr>
          <w:color w:val="222222"/>
          <w:shd w:val="clear" w:color="auto" w:fill="FFFFFF"/>
          <w:lang w:val="es-AR"/>
        </w:rPr>
        <w:t>despatologización</w:t>
      </w:r>
      <w:proofErr w:type="spellEnd"/>
      <w:r w:rsidRPr="00306EC3">
        <w:rPr>
          <w:color w:val="222222"/>
          <w:shd w:val="clear" w:color="auto" w:fill="FFFFFF"/>
          <w:lang w:val="es-AR"/>
        </w:rPr>
        <w:t xml:space="preserve"> de la identidad.</w:t>
      </w:r>
    </w:p>
    <w:p w:rsidR="00967210" w:rsidRDefault="00967210" w:rsidP="00967210">
      <w:pPr>
        <w:pStyle w:val="NormalWeb"/>
        <w:spacing w:line="360" w:lineRule="auto"/>
        <w:jc w:val="both"/>
        <w:rPr>
          <w:lang w:val="es-AR"/>
        </w:rPr>
      </w:pPr>
      <w:r w:rsidRPr="00425CCA">
        <w:rPr>
          <w:lang w:val="es-AR"/>
        </w:rPr>
        <w:t xml:space="preserve">Arce, R., </w:t>
      </w:r>
      <w:proofErr w:type="spellStart"/>
      <w:r w:rsidRPr="00425CCA">
        <w:rPr>
          <w:lang w:val="es-AR"/>
        </w:rPr>
        <w:t>Farina</w:t>
      </w:r>
      <w:proofErr w:type="spellEnd"/>
      <w:r w:rsidRPr="00425CCA">
        <w:rPr>
          <w:lang w:val="es-AR"/>
        </w:rPr>
        <w:t xml:space="preserve">, F., &amp; </w:t>
      </w:r>
      <w:proofErr w:type="spellStart"/>
      <w:r w:rsidRPr="00425CCA">
        <w:rPr>
          <w:lang w:val="es-AR"/>
        </w:rPr>
        <w:t>Vilarino</w:t>
      </w:r>
      <w:proofErr w:type="spellEnd"/>
      <w:r w:rsidRPr="00425CCA">
        <w:rPr>
          <w:lang w:val="es-AR"/>
        </w:rPr>
        <w:t>, M. (2015). Daño psicológico en casos de víctimas de violencia de género: estudio comparativo de las evaluaciones forenses. Revista Iberoamericana de Psicología y Salud, 6(2), 72-80.</w:t>
      </w:r>
    </w:p>
    <w:p w:rsidR="00967210" w:rsidRDefault="00967210" w:rsidP="00967210">
      <w:pPr>
        <w:pStyle w:val="NormalWeb"/>
        <w:spacing w:line="360" w:lineRule="auto"/>
        <w:jc w:val="both"/>
        <w:rPr>
          <w:lang w:val="es-AR"/>
        </w:rPr>
      </w:pPr>
      <w:proofErr w:type="spellStart"/>
      <w:r w:rsidRPr="00425CCA">
        <w:rPr>
          <w:lang w:val="es-AR"/>
        </w:rPr>
        <w:t>Coll</w:t>
      </w:r>
      <w:proofErr w:type="spellEnd"/>
      <w:r w:rsidRPr="00425CCA">
        <w:rPr>
          <w:lang w:val="es-AR"/>
        </w:rPr>
        <w:t xml:space="preserve">-Planas, G., García-romeral, G., Mañas-rodríguez, C. y Navarro-Varas, L. (2008). Cuestiones sin resolver en la Ley Integral de Medidas Contra la Violencia de Género: Las distinciones entre sexo y género, y entre violencia y agresión. </w:t>
      </w:r>
      <w:proofErr w:type="spellStart"/>
      <w:r w:rsidRPr="00425CCA">
        <w:rPr>
          <w:lang w:val="es-AR"/>
        </w:rPr>
        <w:t>Papers</w:t>
      </w:r>
      <w:proofErr w:type="spellEnd"/>
      <w:r w:rsidRPr="00425CCA">
        <w:rPr>
          <w:lang w:val="es-AR"/>
        </w:rPr>
        <w:t>. Revista de Sociología, 87, 187-204.</w:t>
      </w:r>
    </w:p>
    <w:p w:rsidR="00967210" w:rsidRDefault="00967210" w:rsidP="00967210">
      <w:pPr>
        <w:pStyle w:val="NormalWeb"/>
        <w:spacing w:line="360" w:lineRule="auto"/>
        <w:jc w:val="both"/>
        <w:rPr>
          <w:i/>
          <w:iCs/>
          <w:color w:val="222222"/>
          <w:shd w:val="clear" w:color="auto" w:fill="FFFFFF"/>
          <w:lang w:val="es-AR"/>
        </w:rPr>
      </w:pPr>
      <w:r w:rsidRPr="004C6835">
        <w:rPr>
          <w:color w:val="222222"/>
          <w:shd w:val="clear" w:color="auto" w:fill="FFFFFF"/>
          <w:lang w:val="es-AR"/>
        </w:rPr>
        <w:t>del Valle Pérez, G., &amp; Vázquez, D. A. H. Emergencia: mujeres haciendo política. La violencia política en razón de género en México. </w:t>
      </w:r>
      <w:r w:rsidRPr="004C6835">
        <w:rPr>
          <w:i/>
          <w:iCs/>
          <w:color w:val="222222"/>
          <w:shd w:val="clear" w:color="auto" w:fill="FFFFFF"/>
          <w:lang w:val="es-AR"/>
        </w:rPr>
        <w:t>Diálogos democráticos.</w:t>
      </w:r>
    </w:p>
    <w:p w:rsidR="00967210" w:rsidRPr="00425CCA" w:rsidRDefault="00967210" w:rsidP="00967210">
      <w:pPr>
        <w:pStyle w:val="NormalWeb"/>
        <w:spacing w:line="360" w:lineRule="auto"/>
        <w:jc w:val="both"/>
        <w:rPr>
          <w:lang w:val="es-AR"/>
        </w:rPr>
      </w:pPr>
      <w:proofErr w:type="spellStart"/>
      <w:r w:rsidRPr="00425CCA">
        <w:rPr>
          <w:lang w:val="es-AR"/>
        </w:rPr>
        <w:t>Kubissa</w:t>
      </w:r>
      <w:proofErr w:type="spellEnd"/>
      <w:r w:rsidRPr="00425CCA">
        <w:rPr>
          <w:lang w:val="es-AR"/>
        </w:rPr>
        <w:t xml:space="preserve">, L. P. (2008). Otro género de violencia: Reflexiones desde la teoría feminista como teoría crítica. </w:t>
      </w:r>
      <w:proofErr w:type="spellStart"/>
      <w:r w:rsidRPr="00425CCA">
        <w:rPr>
          <w:lang w:val="es-AR"/>
        </w:rPr>
        <w:t>Asparkia</w:t>
      </w:r>
      <w:proofErr w:type="spellEnd"/>
      <w:r w:rsidRPr="00425CCA">
        <w:rPr>
          <w:lang w:val="es-AR"/>
        </w:rPr>
        <w:t xml:space="preserve">: </w:t>
      </w:r>
      <w:proofErr w:type="spellStart"/>
      <w:r w:rsidRPr="00425CCA">
        <w:rPr>
          <w:lang w:val="es-AR"/>
        </w:rPr>
        <w:t>Investigació</w:t>
      </w:r>
      <w:proofErr w:type="spellEnd"/>
      <w:r w:rsidRPr="00425CCA">
        <w:rPr>
          <w:lang w:val="es-AR"/>
        </w:rPr>
        <w:t xml:space="preserve"> feminista, (19), 57-72.</w:t>
      </w:r>
    </w:p>
    <w:p w:rsidR="00967210" w:rsidRDefault="00967210" w:rsidP="00967210">
      <w:pPr>
        <w:pStyle w:val="NormalWeb"/>
        <w:spacing w:line="360" w:lineRule="auto"/>
        <w:jc w:val="both"/>
        <w:rPr>
          <w:color w:val="222222"/>
          <w:shd w:val="clear" w:color="auto" w:fill="FFFFFF"/>
          <w:lang w:val="es-AR"/>
        </w:rPr>
      </w:pPr>
      <w:proofErr w:type="spellStart"/>
      <w:r w:rsidRPr="00306EC3">
        <w:rPr>
          <w:color w:val="222222"/>
          <w:shd w:val="clear" w:color="auto" w:fill="FFFFFF"/>
          <w:lang w:val="es-AR"/>
        </w:rPr>
        <w:t>Maffioletti</w:t>
      </w:r>
      <w:proofErr w:type="spellEnd"/>
      <w:r w:rsidRPr="00306EC3">
        <w:rPr>
          <w:color w:val="222222"/>
          <w:shd w:val="clear" w:color="auto" w:fill="FFFFFF"/>
          <w:lang w:val="es-AR"/>
        </w:rPr>
        <w:t xml:space="preserve">, F., Santibáñez, M. E., Soto, F., Espinoza, M. E., </w:t>
      </w:r>
      <w:proofErr w:type="spellStart"/>
      <w:r w:rsidRPr="00306EC3">
        <w:rPr>
          <w:color w:val="222222"/>
          <w:shd w:val="clear" w:color="auto" w:fill="FFFFFF"/>
          <w:lang w:val="es-AR"/>
        </w:rPr>
        <w:t>Navaro</w:t>
      </w:r>
      <w:proofErr w:type="spellEnd"/>
      <w:r w:rsidRPr="00306EC3">
        <w:rPr>
          <w:color w:val="222222"/>
          <w:shd w:val="clear" w:color="auto" w:fill="FFFFFF"/>
          <w:lang w:val="es-AR"/>
        </w:rPr>
        <w:t>, X., Leiva, A., ... &amp; Miranda, M. (2008). Evaluación pericial psicológica de credibilidad de testimonio. </w:t>
      </w:r>
      <w:r w:rsidRPr="00306EC3">
        <w:rPr>
          <w:i/>
          <w:iCs/>
          <w:color w:val="222222"/>
          <w:shd w:val="clear" w:color="auto" w:fill="FFFFFF"/>
          <w:lang w:val="es-AR"/>
        </w:rPr>
        <w:t>Documento de Trabajo Institucional</w:t>
      </w:r>
      <w:r w:rsidRPr="00306EC3">
        <w:rPr>
          <w:color w:val="222222"/>
          <w:shd w:val="clear" w:color="auto" w:fill="FFFFFF"/>
          <w:lang w:val="es-AR"/>
        </w:rPr>
        <w:t>.</w:t>
      </w:r>
    </w:p>
    <w:p w:rsidR="00967210" w:rsidRDefault="00967210" w:rsidP="00967210">
      <w:pPr>
        <w:pStyle w:val="NormalWeb"/>
        <w:spacing w:line="360" w:lineRule="auto"/>
        <w:jc w:val="both"/>
      </w:pPr>
      <w:r w:rsidRPr="00425CCA">
        <w:rPr>
          <w:lang w:val="es-AR"/>
        </w:rPr>
        <w:t xml:space="preserve">Pérez Fernández, F., &amp; Bernabé </w:t>
      </w:r>
      <w:proofErr w:type="spellStart"/>
      <w:r w:rsidRPr="00425CCA">
        <w:rPr>
          <w:lang w:val="es-AR"/>
        </w:rPr>
        <w:t>Cárdaba</w:t>
      </w:r>
      <w:proofErr w:type="spellEnd"/>
      <w:r w:rsidRPr="00425CCA">
        <w:rPr>
          <w:lang w:val="es-AR"/>
        </w:rPr>
        <w:t xml:space="preserve">, B. (2012). Las Denuncias Falsas en Casos de Violencia de Género: ¿Mito o Realidad? </w:t>
      </w:r>
      <w:proofErr w:type="spellStart"/>
      <w:r>
        <w:t>Anuario</w:t>
      </w:r>
      <w:proofErr w:type="spellEnd"/>
      <w:r>
        <w:t xml:space="preserve"> de </w:t>
      </w:r>
      <w:proofErr w:type="spellStart"/>
      <w:r>
        <w:t>psicología</w:t>
      </w:r>
      <w:proofErr w:type="spellEnd"/>
      <w:r>
        <w:t xml:space="preserve"> </w:t>
      </w:r>
      <w:proofErr w:type="spellStart"/>
      <w:r>
        <w:t>jurídica</w:t>
      </w:r>
      <w:proofErr w:type="spellEnd"/>
      <w:r>
        <w:t xml:space="preserve">, 22, 37–46. </w:t>
      </w:r>
      <w:hyperlink r:id="rId7" w:history="1">
        <w:r>
          <w:rPr>
            <w:rStyle w:val="Hipervnculo"/>
          </w:rPr>
          <w:t>https://doi.org/10.5093/aj2012a4</w:t>
        </w:r>
      </w:hyperlink>
    </w:p>
    <w:p w:rsidR="00967210" w:rsidRDefault="00967210" w:rsidP="00967210">
      <w:pPr>
        <w:pStyle w:val="NormalWeb"/>
        <w:spacing w:line="360" w:lineRule="auto"/>
        <w:jc w:val="both"/>
        <w:rPr>
          <w:lang w:val="es-AR"/>
        </w:rPr>
      </w:pPr>
      <w:r w:rsidRPr="00425CCA">
        <w:rPr>
          <w:lang w:val="es-AR"/>
        </w:rPr>
        <w:t xml:space="preserve">Polanco-Carrasco, R., </w:t>
      </w:r>
      <w:proofErr w:type="spellStart"/>
      <w:r w:rsidRPr="00425CCA">
        <w:rPr>
          <w:lang w:val="es-AR"/>
        </w:rPr>
        <w:t>Silvan</w:t>
      </w:r>
      <w:proofErr w:type="spellEnd"/>
      <w:r w:rsidRPr="00425CCA">
        <w:rPr>
          <w:lang w:val="es-AR"/>
        </w:rPr>
        <w:t xml:space="preserve">, S. C., &amp; </w:t>
      </w:r>
      <w:proofErr w:type="spellStart"/>
      <w:r w:rsidRPr="00425CCA">
        <w:rPr>
          <w:lang w:val="es-AR"/>
        </w:rPr>
        <w:t>Roubaud</w:t>
      </w:r>
      <w:proofErr w:type="spellEnd"/>
      <w:r w:rsidRPr="00425CCA">
        <w:rPr>
          <w:lang w:val="es-AR"/>
        </w:rPr>
        <w:t xml:space="preserve">, A. O. Deteniendo la bala de plata: La detección del síndrome de alienación parental (SAP) y </w:t>
      </w:r>
      <w:proofErr w:type="spellStart"/>
      <w:r w:rsidRPr="00425CCA">
        <w:rPr>
          <w:lang w:val="es-AR"/>
        </w:rPr>
        <w:t>credibili</w:t>
      </w:r>
      <w:proofErr w:type="spellEnd"/>
      <w:r w:rsidRPr="00425CCA">
        <w:rPr>
          <w:lang w:val="es-AR"/>
        </w:rPr>
        <w:t>-dad del relato en el peritaje forense de abuso sexual infantil.</w:t>
      </w:r>
    </w:p>
    <w:p w:rsidR="00967210" w:rsidRDefault="00967210" w:rsidP="00967210">
      <w:pPr>
        <w:pStyle w:val="NormalWeb"/>
        <w:spacing w:line="360" w:lineRule="auto"/>
        <w:jc w:val="both"/>
        <w:rPr>
          <w:rFonts w:ascii="Arial" w:hAnsi="Arial" w:cs="Arial"/>
          <w:color w:val="222222"/>
          <w:sz w:val="20"/>
          <w:szCs w:val="20"/>
          <w:shd w:val="clear" w:color="auto" w:fill="FFFFFF"/>
          <w:lang w:val="es-AR"/>
        </w:rPr>
      </w:pPr>
      <w:r w:rsidRPr="00967210">
        <w:rPr>
          <w:color w:val="222222"/>
          <w:shd w:val="clear" w:color="auto" w:fill="FFFFFF"/>
          <w:lang w:val="es-AR"/>
        </w:rPr>
        <w:lastRenderedPageBreak/>
        <w:t xml:space="preserve">Puente-López, E., Pina, D., </w:t>
      </w:r>
      <w:proofErr w:type="spellStart"/>
      <w:r w:rsidRPr="00967210">
        <w:rPr>
          <w:color w:val="222222"/>
          <w:shd w:val="clear" w:color="auto" w:fill="FFFFFF"/>
          <w:lang w:val="es-AR"/>
        </w:rPr>
        <w:t>Daugherty</w:t>
      </w:r>
      <w:proofErr w:type="spellEnd"/>
      <w:r w:rsidRPr="00967210">
        <w:rPr>
          <w:color w:val="222222"/>
          <w:shd w:val="clear" w:color="auto" w:fill="FFFFFF"/>
          <w:lang w:val="es-AR"/>
        </w:rPr>
        <w:t xml:space="preserve">, J. C., Pérez García, M., &amp; </w:t>
      </w:r>
      <w:proofErr w:type="spellStart"/>
      <w:r w:rsidRPr="00967210">
        <w:rPr>
          <w:color w:val="222222"/>
          <w:shd w:val="clear" w:color="auto" w:fill="FFFFFF"/>
          <w:lang w:val="es-AR"/>
        </w:rPr>
        <w:t>Merten</w:t>
      </w:r>
      <w:proofErr w:type="spellEnd"/>
      <w:r w:rsidRPr="00967210">
        <w:rPr>
          <w:color w:val="222222"/>
          <w:shd w:val="clear" w:color="auto" w:fill="FFFFFF"/>
          <w:lang w:val="es-AR"/>
        </w:rPr>
        <w:t>, T. (2024). Simulación y Validez de la Información de Síntomas Psicopatológicos en España: Conceptos, Métodos y Desafíos</w:t>
      </w:r>
      <w:r w:rsidRPr="00967210">
        <w:rPr>
          <w:rFonts w:ascii="Arial" w:hAnsi="Arial" w:cs="Arial"/>
          <w:color w:val="222222"/>
          <w:sz w:val="20"/>
          <w:szCs w:val="20"/>
          <w:shd w:val="clear" w:color="auto" w:fill="FFFFFF"/>
          <w:lang w:val="es-AR"/>
        </w:rPr>
        <w:t>.</w:t>
      </w:r>
    </w:p>
    <w:p w:rsidR="00967210" w:rsidRDefault="00967210" w:rsidP="00967210">
      <w:pPr>
        <w:pStyle w:val="NormalWeb"/>
        <w:spacing w:line="360" w:lineRule="auto"/>
        <w:jc w:val="both"/>
        <w:rPr>
          <w:lang w:val="es-AR"/>
        </w:rPr>
      </w:pPr>
      <w:r w:rsidRPr="00425CCA">
        <w:rPr>
          <w:lang w:val="es-AR"/>
        </w:rPr>
        <w:t xml:space="preserve">Puente-López, E., Pina, D., </w:t>
      </w:r>
      <w:proofErr w:type="spellStart"/>
      <w:r w:rsidRPr="00425CCA">
        <w:rPr>
          <w:lang w:val="es-AR"/>
        </w:rPr>
        <w:t>Daugherty</w:t>
      </w:r>
      <w:proofErr w:type="spellEnd"/>
      <w:r w:rsidRPr="00425CCA">
        <w:rPr>
          <w:lang w:val="es-AR"/>
        </w:rPr>
        <w:t xml:space="preserve">, J., Pérez-García, M., </w:t>
      </w:r>
      <w:proofErr w:type="spellStart"/>
      <w:r w:rsidRPr="00425CCA">
        <w:rPr>
          <w:lang w:val="es-AR"/>
        </w:rPr>
        <w:t>Merten</w:t>
      </w:r>
      <w:proofErr w:type="spellEnd"/>
      <w:r w:rsidRPr="00425CCA">
        <w:rPr>
          <w:lang w:val="es-AR"/>
        </w:rPr>
        <w:t xml:space="preserve">, T. Simulación y Validez de la Información de Síntomas Psicopatológicos en España: Conceptos, Métodos y Desafíos. </w:t>
      </w:r>
      <w:r w:rsidRPr="00967210">
        <w:rPr>
          <w:lang w:val="es-AR"/>
        </w:rPr>
        <w:t>Revista Iberoamericana de Psicología y Salud (2024) 15(2) 66-79.</w:t>
      </w:r>
    </w:p>
    <w:p w:rsidR="00967210" w:rsidRDefault="00967210" w:rsidP="00967210">
      <w:pPr>
        <w:pStyle w:val="NormalWeb"/>
        <w:spacing w:line="360" w:lineRule="auto"/>
        <w:jc w:val="both"/>
        <w:rPr>
          <w:color w:val="222222"/>
          <w:shd w:val="clear" w:color="auto" w:fill="FFFFFF"/>
          <w:lang w:val="es-AR"/>
        </w:rPr>
      </w:pPr>
      <w:r w:rsidRPr="00306EC3">
        <w:rPr>
          <w:color w:val="222222"/>
          <w:shd w:val="clear" w:color="auto" w:fill="FFFFFF"/>
          <w:lang w:val="es-AR"/>
        </w:rPr>
        <w:t>Ruiz Tejedor, M. P. (2018). Falsas alegaciones de abuso sexual infantil en contextos forenses: análisis de su asociación con distintos indicadores periciales.</w:t>
      </w:r>
    </w:p>
    <w:p w:rsidR="00967210" w:rsidRDefault="00967210" w:rsidP="00967210">
      <w:pPr>
        <w:pStyle w:val="NormalWeb"/>
        <w:spacing w:line="360" w:lineRule="auto"/>
        <w:jc w:val="both"/>
        <w:rPr>
          <w:shd w:val="clear" w:color="auto" w:fill="FFFFFF"/>
          <w:lang w:val="es-AR"/>
        </w:rPr>
      </w:pPr>
      <w:r w:rsidRPr="004C6835">
        <w:rPr>
          <w:shd w:val="clear" w:color="auto" w:fill="FFFFFF"/>
          <w:lang w:val="es-AR"/>
        </w:rPr>
        <w:t xml:space="preserve">Tobar Tovar, C. A., Vargas Rojas, S. M., </w:t>
      </w:r>
      <w:proofErr w:type="spellStart"/>
      <w:r w:rsidRPr="004C6835">
        <w:rPr>
          <w:shd w:val="clear" w:color="auto" w:fill="FFFFFF"/>
          <w:lang w:val="es-AR"/>
        </w:rPr>
        <w:t>Otálvaro</w:t>
      </w:r>
      <w:proofErr w:type="spellEnd"/>
      <w:r w:rsidRPr="004C6835">
        <w:rPr>
          <w:shd w:val="clear" w:color="auto" w:fill="FFFFFF"/>
          <w:lang w:val="es-AR"/>
        </w:rPr>
        <w:t xml:space="preserve"> Marín, B., Guevara Peña, N. L. U., Arboleda Romero, B. A. U., Betancourt Torres, V. U., &amp; Cuero Bravo, E. A. (2024). Informe Final de Investigación: La construcción de la paz desde abajo y la justicia transicional.</w:t>
      </w:r>
    </w:p>
    <w:p w:rsidR="00967210" w:rsidRDefault="00967210" w:rsidP="00967210">
      <w:pPr>
        <w:pStyle w:val="NormalWeb"/>
        <w:spacing w:line="360" w:lineRule="auto"/>
        <w:jc w:val="both"/>
        <w:rPr>
          <w:color w:val="222222"/>
          <w:shd w:val="clear" w:color="auto" w:fill="FFFFFF"/>
        </w:rPr>
      </w:pPr>
      <w:r w:rsidRPr="00967210">
        <w:rPr>
          <w:color w:val="222222"/>
          <w:shd w:val="clear" w:color="auto" w:fill="FFFFFF"/>
          <w:lang w:val="es-AR"/>
        </w:rPr>
        <w:t xml:space="preserve">van Impelen, A., </w:t>
      </w:r>
      <w:proofErr w:type="spellStart"/>
      <w:r w:rsidRPr="00967210">
        <w:rPr>
          <w:color w:val="222222"/>
          <w:shd w:val="clear" w:color="auto" w:fill="FFFFFF"/>
          <w:lang w:val="es-AR"/>
        </w:rPr>
        <w:t>Merckelbach</w:t>
      </w:r>
      <w:proofErr w:type="spellEnd"/>
      <w:r w:rsidRPr="00967210">
        <w:rPr>
          <w:color w:val="222222"/>
          <w:shd w:val="clear" w:color="auto" w:fill="FFFFFF"/>
          <w:lang w:val="es-AR"/>
        </w:rPr>
        <w:t xml:space="preserve">, H., </w:t>
      </w:r>
      <w:proofErr w:type="spellStart"/>
      <w:r w:rsidRPr="00967210">
        <w:rPr>
          <w:color w:val="222222"/>
          <w:shd w:val="clear" w:color="auto" w:fill="FFFFFF"/>
          <w:lang w:val="es-AR"/>
        </w:rPr>
        <w:t>Jelicic</w:t>
      </w:r>
      <w:proofErr w:type="spellEnd"/>
      <w:r w:rsidRPr="00967210">
        <w:rPr>
          <w:color w:val="222222"/>
          <w:shd w:val="clear" w:color="auto" w:fill="FFFFFF"/>
          <w:lang w:val="es-AR"/>
        </w:rPr>
        <w:t xml:space="preserve">, M., &amp; </w:t>
      </w:r>
      <w:proofErr w:type="spellStart"/>
      <w:r w:rsidRPr="00967210">
        <w:rPr>
          <w:color w:val="222222"/>
          <w:shd w:val="clear" w:color="auto" w:fill="FFFFFF"/>
          <w:lang w:val="es-AR"/>
        </w:rPr>
        <w:t>Merten</w:t>
      </w:r>
      <w:proofErr w:type="spellEnd"/>
      <w:r w:rsidRPr="00967210">
        <w:rPr>
          <w:color w:val="222222"/>
          <w:shd w:val="clear" w:color="auto" w:fill="FFFFFF"/>
          <w:lang w:val="es-AR"/>
        </w:rPr>
        <w:t xml:space="preserve">, T. (2014). </w:t>
      </w:r>
      <w:r w:rsidRPr="00967210">
        <w:rPr>
          <w:color w:val="222222"/>
          <w:shd w:val="clear" w:color="auto" w:fill="FFFFFF"/>
        </w:rPr>
        <w:t>The Structured Inventory of Malingered Symptomatology (SIMS): A systematic review and meta-analysis. </w:t>
      </w:r>
      <w:r w:rsidRPr="00967210">
        <w:rPr>
          <w:i/>
          <w:iCs/>
          <w:color w:val="222222"/>
          <w:shd w:val="clear" w:color="auto" w:fill="FFFFFF"/>
        </w:rPr>
        <w:t>The Clinical Neuropsychologist</w:t>
      </w:r>
      <w:r w:rsidRPr="00967210">
        <w:rPr>
          <w:color w:val="222222"/>
          <w:shd w:val="clear" w:color="auto" w:fill="FFFFFF"/>
        </w:rPr>
        <w:t>, </w:t>
      </w:r>
      <w:r w:rsidRPr="00967210">
        <w:rPr>
          <w:i/>
          <w:iCs/>
          <w:color w:val="222222"/>
          <w:shd w:val="clear" w:color="auto" w:fill="FFFFFF"/>
        </w:rPr>
        <w:t>28</w:t>
      </w:r>
      <w:r w:rsidRPr="00967210">
        <w:rPr>
          <w:color w:val="222222"/>
          <w:shd w:val="clear" w:color="auto" w:fill="FFFFFF"/>
        </w:rPr>
        <w:t>(8), 1336-1365.</w:t>
      </w:r>
    </w:p>
    <w:p w:rsidR="00967210" w:rsidRDefault="00967210" w:rsidP="00967210">
      <w:pPr>
        <w:pStyle w:val="NormalWeb"/>
        <w:spacing w:line="360" w:lineRule="auto"/>
        <w:jc w:val="both"/>
      </w:pPr>
      <w:r w:rsidRPr="00425CCA">
        <w:rPr>
          <w:lang w:val="es-AR"/>
        </w:rPr>
        <w:t xml:space="preserve">Vista de Impacto de las denuncias indebidas de violencia de género. (s. f.). </w:t>
      </w:r>
      <w:hyperlink r:id="rId8" w:history="1">
        <w:r w:rsidRPr="00425CCA">
          <w:rPr>
            <w:rStyle w:val="Hipervnculo"/>
            <w:lang w:val="es-AR"/>
          </w:rPr>
          <w:t>https://institutojubones.edu.ec/ojs/index.php/societec/article/view/354/651</w:t>
        </w:r>
      </w:hyperlink>
    </w:p>
    <w:p w:rsidR="00967210" w:rsidRPr="00C01410" w:rsidRDefault="00967210" w:rsidP="00967210">
      <w:pPr>
        <w:pStyle w:val="NormalWeb"/>
        <w:spacing w:line="360" w:lineRule="auto"/>
        <w:jc w:val="both"/>
        <w:rPr>
          <w:color w:val="000000"/>
          <w:lang w:val="es-AR"/>
        </w:rPr>
      </w:pPr>
      <w:r w:rsidRPr="00C01410">
        <w:rPr>
          <w:b/>
          <w:lang w:val="es-AR"/>
        </w:rPr>
        <w:t>Notas:</w:t>
      </w:r>
      <w:r w:rsidRPr="00C01410">
        <w:rPr>
          <w:lang w:val="es-AR"/>
        </w:rPr>
        <w:t xml:space="preserve"> </w:t>
      </w:r>
      <w:r w:rsidRPr="00C01410">
        <w:rPr>
          <w:color w:val="000000"/>
          <w:lang w:val="es-AR"/>
        </w:rPr>
        <w:t> </w:t>
      </w:r>
    </w:p>
    <w:p w:rsidR="00967210" w:rsidRPr="00C01410" w:rsidRDefault="00967210" w:rsidP="00967210">
      <w:pPr>
        <w:pStyle w:val="NormalWeb"/>
        <w:numPr>
          <w:ilvl w:val="0"/>
          <w:numId w:val="1"/>
        </w:numPr>
        <w:spacing w:line="360" w:lineRule="auto"/>
        <w:jc w:val="both"/>
        <w:rPr>
          <w:color w:val="000000"/>
          <w:lang w:val="es-AR"/>
        </w:rPr>
      </w:pPr>
      <w:r w:rsidRPr="00C01410">
        <w:rPr>
          <w:color w:val="000000"/>
          <w:lang w:val="es-AR"/>
        </w:rPr>
        <w:t xml:space="preserve">Se deja constancia que se han seguido las normas éticas generales y específicas consensuadas en la República Argentina. Además, se ha seguido la Declaración Universal de Principios Éticos para Psicólogos (IAAP &amp; </w:t>
      </w:r>
      <w:proofErr w:type="spellStart"/>
      <w:r w:rsidRPr="00C01410">
        <w:rPr>
          <w:color w:val="000000"/>
          <w:lang w:val="es-AR"/>
        </w:rPr>
        <w:t>IUPsyS</w:t>
      </w:r>
      <w:proofErr w:type="spellEnd"/>
      <w:r w:rsidRPr="00C01410">
        <w:rPr>
          <w:color w:val="000000"/>
          <w:lang w:val="es-AR"/>
        </w:rPr>
        <w:t xml:space="preserve">, 2008), las Guías Éticas Internacionales para la Investigación Biomédica en Seres Humanos (CIOMS, OMS &amp; OPS, 2016) y las declaraciones de la ISP sobre el comportamiento ético al momento de esta presentación (ISP, 1978, 2008a, 2008b, 2014, 2016, 2018, 2019). </w:t>
      </w:r>
    </w:p>
    <w:p w:rsidR="00967210" w:rsidRPr="00C01410" w:rsidRDefault="00967210" w:rsidP="00967210">
      <w:pPr>
        <w:pStyle w:val="NormalWeb"/>
        <w:numPr>
          <w:ilvl w:val="0"/>
          <w:numId w:val="1"/>
        </w:numPr>
        <w:spacing w:line="360" w:lineRule="auto"/>
        <w:jc w:val="both"/>
        <w:rPr>
          <w:color w:val="000000"/>
          <w:lang w:val="es-AR"/>
        </w:rPr>
      </w:pPr>
      <w:r w:rsidRPr="00C01410">
        <w:rPr>
          <w:color w:val="000000"/>
          <w:lang w:val="es-AR"/>
        </w:rPr>
        <w:t>No existen conflictos de intereses en la elaboración de este manuscrito.</w:t>
      </w:r>
    </w:p>
    <w:p w:rsidR="00967210" w:rsidRDefault="00967210" w:rsidP="00967210">
      <w:pPr>
        <w:pStyle w:val="NormalWeb"/>
        <w:spacing w:line="360" w:lineRule="auto"/>
        <w:jc w:val="both"/>
        <w:rPr>
          <w:rFonts w:ascii="Calibri" w:hAnsi="Calibri" w:cs="Calibri"/>
          <w:color w:val="000000"/>
          <w:lang w:val="es-AR"/>
        </w:rPr>
      </w:pPr>
    </w:p>
    <w:p w:rsidR="00967210" w:rsidRPr="00425CCA" w:rsidRDefault="00967210" w:rsidP="00967210">
      <w:pPr>
        <w:pStyle w:val="NormalWeb"/>
        <w:spacing w:line="360" w:lineRule="auto"/>
        <w:jc w:val="both"/>
        <w:rPr>
          <w:lang w:val="es-AR"/>
        </w:rPr>
      </w:pPr>
      <w:bookmarkStart w:id="0" w:name="_GoBack"/>
      <w:bookmarkEnd w:id="0"/>
    </w:p>
    <w:p w:rsidR="00967210" w:rsidRPr="00967210" w:rsidRDefault="00967210" w:rsidP="00967210">
      <w:pPr>
        <w:pStyle w:val="NormalWeb"/>
        <w:spacing w:line="360" w:lineRule="auto"/>
        <w:jc w:val="both"/>
        <w:rPr>
          <w:color w:val="222222"/>
          <w:shd w:val="clear" w:color="auto" w:fill="FFFFFF"/>
          <w:lang w:val="es-AR"/>
        </w:rPr>
      </w:pPr>
    </w:p>
    <w:p w:rsidR="00967210" w:rsidRDefault="00967210" w:rsidP="00967210">
      <w:pPr>
        <w:pStyle w:val="NormalWeb"/>
        <w:spacing w:line="360" w:lineRule="auto"/>
        <w:jc w:val="both"/>
        <w:rPr>
          <w:shd w:val="clear" w:color="auto" w:fill="FFFFFF"/>
          <w:lang w:val="es-AR"/>
        </w:rPr>
      </w:pPr>
    </w:p>
    <w:p w:rsidR="00967210" w:rsidRDefault="00967210" w:rsidP="00967210">
      <w:pPr>
        <w:pStyle w:val="NormalWeb"/>
        <w:spacing w:line="360" w:lineRule="auto"/>
        <w:jc w:val="both"/>
        <w:rPr>
          <w:color w:val="222222"/>
          <w:shd w:val="clear" w:color="auto" w:fill="FFFFFF"/>
          <w:lang w:val="es-AR"/>
        </w:rPr>
      </w:pPr>
    </w:p>
    <w:p w:rsidR="00967210" w:rsidRDefault="00967210" w:rsidP="00967210">
      <w:pPr>
        <w:pStyle w:val="NormalWeb"/>
        <w:spacing w:line="360" w:lineRule="auto"/>
        <w:jc w:val="both"/>
        <w:rPr>
          <w:color w:val="222222"/>
          <w:shd w:val="clear" w:color="auto" w:fill="FFFFFF"/>
          <w:lang w:val="es-AR"/>
        </w:rPr>
      </w:pPr>
    </w:p>
    <w:p w:rsidR="00967210" w:rsidRPr="00967210" w:rsidRDefault="00967210" w:rsidP="00967210">
      <w:pPr>
        <w:pStyle w:val="NormalWeb"/>
        <w:spacing w:line="360" w:lineRule="auto"/>
        <w:jc w:val="both"/>
        <w:rPr>
          <w:lang w:val="es-AR"/>
        </w:rPr>
      </w:pPr>
    </w:p>
    <w:p w:rsidR="00967210" w:rsidRPr="00967210" w:rsidRDefault="00967210" w:rsidP="00967210">
      <w:pPr>
        <w:pStyle w:val="NormalWeb"/>
        <w:spacing w:line="360" w:lineRule="auto"/>
        <w:jc w:val="both"/>
        <w:rPr>
          <w:color w:val="222222"/>
          <w:shd w:val="clear" w:color="auto" w:fill="FFFFFF"/>
          <w:lang w:val="es-AR"/>
        </w:rPr>
      </w:pPr>
    </w:p>
    <w:p w:rsidR="00967210" w:rsidRPr="00425CCA" w:rsidRDefault="00967210" w:rsidP="00967210">
      <w:pPr>
        <w:pStyle w:val="NormalWeb"/>
        <w:spacing w:line="360" w:lineRule="auto"/>
        <w:jc w:val="both"/>
        <w:rPr>
          <w:lang w:val="es-AR"/>
        </w:rPr>
      </w:pPr>
    </w:p>
    <w:p w:rsidR="00967210" w:rsidRPr="00967210" w:rsidRDefault="00967210" w:rsidP="00967210">
      <w:pPr>
        <w:pStyle w:val="NormalWeb"/>
        <w:spacing w:line="360" w:lineRule="auto"/>
        <w:jc w:val="both"/>
        <w:rPr>
          <w:lang w:val="es-AR"/>
        </w:rPr>
      </w:pPr>
    </w:p>
    <w:p w:rsidR="00967210" w:rsidRDefault="00967210" w:rsidP="00967210">
      <w:pPr>
        <w:pStyle w:val="NormalWeb"/>
        <w:spacing w:line="360" w:lineRule="auto"/>
        <w:jc w:val="both"/>
        <w:rPr>
          <w:color w:val="222222"/>
          <w:shd w:val="clear" w:color="auto" w:fill="FFFFFF"/>
          <w:lang w:val="es-AR"/>
        </w:rPr>
      </w:pPr>
    </w:p>
    <w:p w:rsidR="00967210" w:rsidRPr="00967210" w:rsidRDefault="00967210" w:rsidP="00967210">
      <w:pPr>
        <w:pStyle w:val="NormalWeb"/>
        <w:spacing w:line="360" w:lineRule="auto"/>
        <w:jc w:val="both"/>
        <w:rPr>
          <w:iCs/>
          <w:color w:val="222222"/>
          <w:shd w:val="clear" w:color="auto" w:fill="FFFFFF"/>
          <w:lang w:val="es-AR"/>
        </w:rPr>
      </w:pPr>
    </w:p>
    <w:p w:rsidR="00967210" w:rsidRPr="00425CCA" w:rsidRDefault="00967210" w:rsidP="00967210">
      <w:pPr>
        <w:pStyle w:val="NormalWeb"/>
        <w:spacing w:line="360" w:lineRule="auto"/>
        <w:jc w:val="both"/>
        <w:rPr>
          <w:lang w:val="es-AR"/>
        </w:rPr>
      </w:pPr>
    </w:p>
    <w:p w:rsidR="00967210" w:rsidRPr="00425CCA" w:rsidRDefault="00967210" w:rsidP="00967210">
      <w:pPr>
        <w:pStyle w:val="NormalWeb"/>
        <w:spacing w:line="360" w:lineRule="auto"/>
        <w:jc w:val="both"/>
        <w:rPr>
          <w:lang w:val="es-AR"/>
        </w:rPr>
      </w:pPr>
    </w:p>
    <w:p w:rsidR="00967210" w:rsidRDefault="00967210" w:rsidP="00967210">
      <w:pPr>
        <w:pStyle w:val="NormalWeb"/>
        <w:spacing w:line="360" w:lineRule="auto"/>
        <w:jc w:val="both"/>
        <w:rPr>
          <w:color w:val="222222"/>
          <w:shd w:val="clear" w:color="auto" w:fill="FFFFFF"/>
          <w:lang w:val="es-AR"/>
        </w:rPr>
      </w:pPr>
    </w:p>
    <w:p w:rsidR="00967210" w:rsidRDefault="00967210" w:rsidP="004E2BD5">
      <w:pPr>
        <w:pStyle w:val="NormalWeb"/>
        <w:spacing w:line="360" w:lineRule="auto"/>
        <w:jc w:val="both"/>
        <w:rPr>
          <w:shd w:val="clear" w:color="auto" w:fill="FFFFFF"/>
          <w:lang w:val="es-AR"/>
        </w:rPr>
      </w:pPr>
    </w:p>
    <w:p w:rsidR="005974EC" w:rsidRPr="009272AA" w:rsidRDefault="005974EC" w:rsidP="005974EC">
      <w:pPr>
        <w:pStyle w:val="NormalWeb"/>
        <w:spacing w:line="360" w:lineRule="auto"/>
        <w:jc w:val="both"/>
        <w:rPr>
          <w:rFonts w:ascii="Calibri" w:hAnsi="Calibri" w:cs="Calibri"/>
          <w:color w:val="000000"/>
          <w:lang w:val="es-AR"/>
        </w:rPr>
      </w:pPr>
    </w:p>
    <w:p w:rsidR="00487225" w:rsidRPr="009272AA" w:rsidRDefault="00487225" w:rsidP="004E2BD5">
      <w:pPr>
        <w:spacing w:line="360" w:lineRule="auto"/>
        <w:jc w:val="both"/>
        <w:rPr>
          <w:lang w:val="es-AR"/>
        </w:rPr>
      </w:pPr>
    </w:p>
    <w:sectPr w:rsidR="00487225" w:rsidRPr="009272AA">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CAE" w:rsidRDefault="00826CAE" w:rsidP="00C01410">
      <w:pPr>
        <w:spacing w:after="0" w:line="240" w:lineRule="auto"/>
      </w:pPr>
      <w:r>
        <w:separator/>
      </w:r>
    </w:p>
  </w:endnote>
  <w:endnote w:type="continuationSeparator" w:id="0">
    <w:p w:rsidR="00826CAE" w:rsidRDefault="00826CAE" w:rsidP="00C0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750661"/>
      <w:docPartObj>
        <w:docPartGallery w:val="Page Numbers (Bottom of Page)"/>
        <w:docPartUnique/>
      </w:docPartObj>
    </w:sdtPr>
    <w:sdtContent>
      <w:p w:rsidR="00C01410" w:rsidRDefault="00C01410">
        <w:pPr>
          <w:pStyle w:val="Piedepgina"/>
          <w:jc w:val="right"/>
        </w:pPr>
        <w:r>
          <w:fldChar w:fldCharType="begin"/>
        </w:r>
        <w:r>
          <w:instrText>PAGE   \* MERGEFORMAT</w:instrText>
        </w:r>
        <w:r>
          <w:fldChar w:fldCharType="separate"/>
        </w:r>
        <w:r w:rsidR="00967210" w:rsidRPr="00967210">
          <w:rPr>
            <w:noProof/>
            <w:lang w:val="es-ES"/>
          </w:rPr>
          <w:t>14</w:t>
        </w:r>
        <w:r>
          <w:fldChar w:fldCharType="end"/>
        </w:r>
      </w:p>
    </w:sdtContent>
  </w:sdt>
  <w:p w:rsidR="00C01410" w:rsidRDefault="00C014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CAE" w:rsidRDefault="00826CAE" w:rsidP="00C01410">
      <w:pPr>
        <w:spacing w:after="0" w:line="240" w:lineRule="auto"/>
      </w:pPr>
      <w:r>
        <w:separator/>
      </w:r>
    </w:p>
  </w:footnote>
  <w:footnote w:type="continuationSeparator" w:id="0">
    <w:p w:rsidR="00826CAE" w:rsidRDefault="00826CAE" w:rsidP="00C01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42890"/>
    <w:multiLevelType w:val="hybridMultilevel"/>
    <w:tmpl w:val="4D0ADA12"/>
    <w:lvl w:ilvl="0" w:tplc="B16AE6F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CA"/>
    <w:rsid w:val="00054AC0"/>
    <w:rsid w:val="002B5726"/>
    <w:rsid w:val="00306EC3"/>
    <w:rsid w:val="00334B45"/>
    <w:rsid w:val="00425CCA"/>
    <w:rsid w:val="00487225"/>
    <w:rsid w:val="004C6835"/>
    <w:rsid w:val="004E2BD5"/>
    <w:rsid w:val="005974EC"/>
    <w:rsid w:val="00826CAE"/>
    <w:rsid w:val="009272AA"/>
    <w:rsid w:val="00967210"/>
    <w:rsid w:val="009B3827"/>
    <w:rsid w:val="00A55890"/>
    <w:rsid w:val="00A748BC"/>
    <w:rsid w:val="00C01410"/>
    <w:rsid w:val="00EA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36FD"/>
  <w15:chartTrackingRefBased/>
  <w15:docId w15:val="{B9383243-2797-473B-A0E6-AAB2F384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25CC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425CCA"/>
    <w:rPr>
      <w:color w:val="0000FF"/>
      <w:u w:val="single"/>
    </w:rPr>
  </w:style>
  <w:style w:type="paragraph" w:styleId="Encabezado">
    <w:name w:val="header"/>
    <w:basedOn w:val="Normal"/>
    <w:link w:val="EncabezadoCar"/>
    <w:uiPriority w:val="99"/>
    <w:unhideWhenUsed/>
    <w:rsid w:val="00C014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1410"/>
  </w:style>
  <w:style w:type="paragraph" w:styleId="Piedepgina">
    <w:name w:val="footer"/>
    <w:basedOn w:val="Normal"/>
    <w:link w:val="PiedepginaCar"/>
    <w:uiPriority w:val="99"/>
    <w:unhideWhenUsed/>
    <w:rsid w:val="00C014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77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itutojubones.edu.ec/ojs/index.php/societec/article/view/354/651" TargetMode="External"/><Relationship Id="rId3" Type="http://schemas.openxmlformats.org/officeDocument/2006/relationships/settings" Target="settings.xml"/><Relationship Id="rId7" Type="http://schemas.openxmlformats.org/officeDocument/2006/relationships/hyperlink" Target="https://doi.org/10.5093/aj2012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14</Pages>
  <Words>4099</Words>
  <Characters>23365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2025-04-27T18:04:00Z</dcterms:created>
  <dcterms:modified xsi:type="dcterms:W3CDTF">2025-04-28T00:29:00Z</dcterms:modified>
</cp:coreProperties>
</file>