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CBD0E" w14:textId="0CDE0FDD" w:rsidR="00E65307" w:rsidRPr="001B58E1" w:rsidRDefault="00EB278B">
      <w:pPr>
        <w:pBdr>
          <w:top w:val="nil"/>
          <w:left w:val="nil"/>
          <w:bottom w:val="nil"/>
          <w:right w:val="nil"/>
          <w:between w:val="nil"/>
        </w:pBdr>
        <w:jc w:val="center"/>
        <w:rPr>
          <w:b/>
          <w:color w:val="000000"/>
          <w:sz w:val="36"/>
          <w:szCs w:val="36"/>
          <w:lang w:val="en-US"/>
        </w:rPr>
      </w:pPr>
      <w:r w:rsidRPr="001B58E1">
        <w:rPr>
          <w:b/>
          <w:color w:val="000000"/>
          <w:sz w:val="36"/>
          <w:szCs w:val="36"/>
          <w:lang w:val="en-US"/>
        </w:rPr>
        <w:t xml:space="preserve"> </w:t>
      </w:r>
      <w:r w:rsidR="00526B03" w:rsidRPr="00526B03">
        <w:rPr>
          <w:b/>
          <w:color w:val="000000"/>
          <w:sz w:val="36"/>
          <w:szCs w:val="36"/>
          <w:lang w:val="en-US"/>
        </w:rPr>
        <w:t>Brief group intervention protocol based on the recovery model for adults with suicide attempts (IMR-ACS): a human rights proposal.</w:t>
      </w:r>
    </w:p>
    <w:p w14:paraId="5EF046C3" w14:textId="77777777" w:rsidR="00E65307" w:rsidRPr="001B58E1" w:rsidRDefault="00EB278B">
      <w:pPr>
        <w:rPr>
          <w:rFonts w:ascii="Times" w:eastAsia="Times" w:hAnsi="Times" w:cs="Times"/>
          <w:i/>
          <w:sz w:val="28"/>
          <w:szCs w:val="28"/>
          <w:lang w:val="en-US"/>
        </w:rPr>
      </w:pPr>
      <w:r w:rsidRPr="009F6ACB">
        <w:rPr>
          <w:noProof/>
          <w:lang w:val="es-CL"/>
        </w:rPr>
        <mc:AlternateContent>
          <mc:Choice Requires="wps">
            <w:drawing>
              <wp:anchor distT="4294967295" distB="4294967295" distL="114300" distR="114300" simplePos="0" relativeHeight="251658240" behindDoc="0" locked="0" layoutInCell="1" hidden="0" allowOverlap="1" wp14:anchorId="5D29396B" wp14:editId="118CB7DC">
                <wp:simplePos x="0" y="0"/>
                <wp:positionH relativeFrom="column">
                  <wp:posOffset>1</wp:posOffset>
                </wp:positionH>
                <wp:positionV relativeFrom="paragraph">
                  <wp:posOffset>55896</wp:posOffset>
                </wp:positionV>
                <wp:extent cx="6172200" cy="25400"/>
                <wp:effectExtent l="0" t="0" r="0" b="0"/>
                <wp:wrapNone/>
                <wp:docPr id="23" name="Conector recto de flech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w:pict w14:anchorId="225016AA">
              <v:shapetype id="_x0000_t32" coordsize="21600,21600" o:oned="t" filled="f" o:spt="32" path="m,l21600,21600e" w14:anchorId="0F8C5BEB">
                <v:path fillok="f" arrowok="t" o:connecttype="none"/>
                <o:lock v:ext="edit" shapetype="t"/>
              </v:shapetype>
              <v:shape id="Conector recto de flecha 23" style="position:absolute;margin-left:0;margin-top:4.4pt;width:486pt;height:2pt;z-index:251658240;visibility:visible;mso-wrap-style:square;mso-wrap-distance-left:9pt;mso-wrap-distance-top:-3e-5mm;mso-wrap-distance-right:9pt;mso-wrap-distance-bottom:-3e-5mm;mso-position-horizontal:absolute;mso-position-horizontal-relative:text;mso-position-vertical:absolute;mso-position-vertical-relative:text"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">
                <v:stroke startarrowwidth="narrow" startarrowlength="short" endarrowwidth="narrow" endarrowlength="short"/>
              </v:shape>
            </w:pict>
          </mc:Fallback>
        </mc:AlternateContent>
      </w:r>
    </w:p>
    <w:p w14:paraId="42D79955" w14:textId="77777777" w:rsidR="00E65307" w:rsidRPr="001B58E1" w:rsidRDefault="00E65307">
      <w:pPr>
        <w:rPr>
          <w:b/>
          <w:sz w:val="20"/>
          <w:szCs w:val="20"/>
          <w:lang w:val="en-US"/>
        </w:rPr>
      </w:pPr>
    </w:p>
    <w:p w14:paraId="64221A55" w14:textId="77777777" w:rsidR="00E65307" w:rsidRPr="009E7858" w:rsidRDefault="00EB278B">
      <w:pPr>
        <w:pBdr>
          <w:top w:val="nil"/>
          <w:left w:val="nil"/>
          <w:bottom w:val="nil"/>
          <w:right w:val="nil"/>
          <w:between w:val="nil"/>
        </w:pBdr>
        <w:spacing w:after="120"/>
        <w:jc w:val="center"/>
        <w:rPr>
          <w:b/>
          <w:smallCaps/>
          <w:color w:val="000000"/>
          <w:sz w:val="20"/>
          <w:szCs w:val="20"/>
          <w:lang w:val="en-US"/>
        </w:rPr>
      </w:pPr>
      <w:r w:rsidRPr="09C2A411">
        <w:rPr>
          <w:b/>
          <w:bCs/>
          <w:smallCaps/>
          <w:color w:val="000000" w:themeColor="text1"/>
          <w:sz w:val="20"/>
          <w:szCs w:val="20"/>
          <w:lang w:val="en-US"/>
        </w:rPr>
        <w:t>Abstract</w:t>
      </w:r>
    </w:p>
    <w:p w14:paraId="32E3E38D" w14:textId="31B20FB3" w:rsidR="2DE5C8E9" w:rsidRDefault="2DE5C8E9" w:rsidP="09C2A411">
      <w:pPr>
        <w:rPr>
          <w:lang w:val="en-US"/>
        </w:rPr>
      </w:pPr>
      <w:r w:rsidRPr="09C2A411">
        <w:rPr>
          <w:lang w:val="en-US"/>
        </w:rPr>
        <w:t xml:space="preserve">Currently, the health care system is inadequate, and its traditional risk-based approaches have not been effective in preventing suicide. The recovery model can be a complementary strategy for intervention with adults who have attempted suicide. A commitment to recovery involves strengthening </w:t>
      </w:r>
      <w:r w:rsidR="00A162C8" w:rsidRPr="09C2A411">
        <w:rPr>
          <w:lang w:val="en-US"/>
        </w:rPr>
        <w:t>commitment</w:t>
      </w:r>
      <w:r w:rsidRPr="09C2A411">
        <w:rPr>
          <w:lang w:val="en-US"/>
        </w:rPr>
        <w:t xml:space="preserve"> to human rights, equal opportunities and a new understanding of the person. This study aims to develop a brief group intervention protocol to support the recovery of adults with a history of suicide attempts. Evidence-based group strategies and theoretical models of recovery from suicide attempts were reviewed. From this, an intervention protocol was designed and reviewed by five reviewers with expertise in suicidology and recovery, who assessed its appropriateness, relevance, clarity, and fidelity, and made recommendations for improvement. The corrected protocol was then presented to a multidisciplinary team from a Chilean public hospital, which allowed it to be refined and finalized. The final protocol could be a promising strategy to complement existing individual interventions in Chilean public health systems, improving the efficiency and quality of services provided.</w:t>
      </w:r>
    </w:p>
    <w:p w14:paraId="29FEF29D" w14:textId="77777777" w:rsidR="00EF1F91" w:rsidRPr="00BA76D6" w:rsidRDefault="00EF1F91" w:rsidP="00EF1F91">
      <w:pPr>
        <w:rPr>
          <w:sz w:val="20"/>
          <w:szCs w:val="20"/>
          <w:lang w:val="en-US"/>
        </w:rPr>
      </w:pPr>
    </w:p>
    <w:p w14:paraId="287F2727" w14:textId="77777777" w:rsidR="00E65307" w:rsidRPr="009E7858" w:rsidRDefault="00EB278B">
      <w:pPr>
        <w:rPr>
          <w:b/>
          <w:sz w:val="20"/>
          <w:szCs w:val="20"/>
          <w:lang w:val="en-US"/>
        </w:rPr>
      </w:pPr>
      <w:r w:rsidRPr="009E7858">
        <w:rPr>
          <w:b/>
          <w:sz w:val="20"/>
          <w:szCs w:val="20"/>
          <w:lang w:val="en-US"/>
        </w:rPr>
        <w:t>Keywords</w:t>
      </w:r>
    </w:p>
    <w:p w14:paraId="7B7CEC0D" w14:textId="1D126836" w:rsidR="00E65307" w:rsidRDefault="00076E97">
      <w:pPr>
        <w:jc w:val="both"/>
        <w:rPr>
          <w:sz w:val="20"/>
          <w:szCs w:val="20"/>
          <w:lang w:val="en-US"/>
        </w:rPr>
      </w:pPr>
      <w:r>
        <w:rPr>
          <w:sz w:val="20"/>
          <w:szCs w:val="20"/>
          <w:lang w:val="en-US"/>
        </w:rPr>
        <w:t xml:space="preserve">Human rights, </w:t>
      </w:r>
      <w:r w:rsidR="00E05644" w:rsidRPr="00E05644">
        <w:rPr>
          <w:sz w:val="20"/>
          <w:szCs w:val="20"/>
          <w:lang w:val="en-US"/>
        </w:rPr>
        <w:t xml:space="preserve">recovery, suicide </w:t>
      </w:r>
      <w:r w:rsidR="00116FB4" w:rsidRPr="00E05644">
        <w:rPr>
          <w:sz w:val="20"/>
          <w:szCs w:val="20"/>
          <w:lang w:val="en-US"/>
        </w:rPr>
        <w:t>attempts</w:t>
      </w:r>
      <w:r w:rsidR="00E05644" w:rsidRPr="00E05644">
        <w:rPr>
          <w:sz w:val="20"/>
          <w:szCs w:val="20"/>
          <w:lang w:val="en-US"/>
        </w:rPr>
        <w:t>, protocol, intervention, adults</w:t>
      </w:r>
      <w:r w:rsidR="00E05644">
        <w:rPr>
          <w:sz w:val="20"/>
          <w:szCs w:val="20"/>
          <w:lang w:val="en-US"/>
        </w:rPr>
        <w:t>.</w:t>
      </w:r>
    </w:p>
    <w:p w14:paraId="5872A24A" w14:textId="77777777" w:rsidR="00E05644" w:rsidRPr="009E7858" w:rsidRDefault="00E05644">
      <w:pPr>
        <w:jc w:val="both"/>
        <w:rPr>
          <w:sz w:val="20"/>
          <w:szCs w:val="20"/>
          <w:lang w:val="en-US"/>
        </w:rPr>
      </w:pPr>
    </w:p>
    <w:p w14:paraId="0278A962" w14:textId="33FE5B04" w:rsidR="00E65307" w:rsidRPr="009F6ACB" w:rsidRDefault="00EB278B">
      <w:pPr>
        <w:pBdr>
          <w:top w:val="nil"/>
          <w:left w:val="nil"/>
          <w:bottom w:val="nil"/>
          <w:right w:val="nil"/>
          <w:between w:val="nil"/>
        </w:pBdr>
        <w:spacing w:after="120"/>
        <w:jc w:val="center"/>
        <w:rPr>
          <w:b/>
          <w:smallCaps/>
          <w:color w:val="000000"/>
          <w:sz w:val="20"/>
          <w:szCs w:val="20"/>
          <w:lang w:val="es-CL"/>
        </w:rPr>
      </w:pPr>
      <w:r w:rsidRPr="009F6ACB">
        <w:rPr>
          <w:b/>
          <w:smallCaps/>
          <w:color w:val="000000"/>
          <w:sz w:val="20"/>
          <w:szCs w:val="20"/>
          <w:lang w:val="es-CL"/>
        </w:rPr>
        <w:t>Resumen</w:t>
      </w:r>
    </w:p>
    <w:p w14:paraId="5D715059" w14:textId="0E614AEF" w:rsidR="00191FE2" w:rsidRDefault="00401304">
      <w:pPr>
        <w:rPr>
          <w:sz w:val="20"/>
          <w:szCs w:val="20"/>
          <w:lang w:val="es-CL"/>
        </w:rPr>
      </w:pPr>
      <w:r w:rsidRPr="00401304">
        <w:rPr>
          <w:sz w:val="20"/>
          <w:szCs w:val="20"/>
          <w:lang w:val="es-CL"/>
        </w:rPr>
        <w:t xml:space="preserve">Actualmente, el sistema sanitario es insuficiente y sus enfoques tradicionales basados exclusivamente en el riesgo no han sido eficaces para prevenir el suicidio. El modelo de recuperación puede ser una estrategia complementaria de intervención con adultos que han tenido experiencias de </w:t>
      </w:r>
      <w:r>
        <w:rPr>
          <w:sz w:val="20"/>
          <w:szCs w:val="20"/>
          <w:lang w:val="es-CL"/>
        </w:rPr>
        <w:t>intento</w:t>
      </w:r>
      <w:r w:rsidRPr="00401304">
        <w:rPr>
          <w:sz w:val="20"/>
          <w:szCs w:val="20"/>
          <w:lang w:val="es-CL"/>
        </w:rPr>
        <w:t xml:space="preserve"> de suicidio. Apostar por la recuperación implica reforzar el compromiso con los derechos humanos, la igualdad de oportunidades y una nueva forma de entender a la persona. Este estudio busca desarrollar un protocolo de intervención grupal breve, dirigido a apoyar la recuperación de adultos con antecedentes de intentos de suicidio. Se revisaron </w:t>
      </w:r>
      <w:r w:rsidR="00A16ED0">
        <w:rPr>
          <w:sz w:val="20"/>
          <w:szCs w:val="20"/>
          <w:lang w:val="es-CL"/>
        </w:rPr>
        <w:t xml:space="preserve">estrategias </w:t>
      </w:r>
      <w:r w:rsidR="00366B61">
        <w:rPr>
          <w:sz w:val="20"/>
          <w:szCs w:val="20"/>
          <w:lang w:val="es-CL"/>
        </w:rPr>
        <w:t xml:space="preserve">basadas en la evidencia </w:t>
      </w:r>
      <w:r w:rsidRPr="00401304">
        <w:rPr>
          <w:sz w:val="20"/>
          <w:szCs w:val="20"/>
          <w:lang w:val="es-CL"/>
        </w:rPr>
        <w:t>en formato grupal y modelos teóricos sobre recuperación de</w:t>
      </w:r>
      <w:r w:rsidR="00366B61">
        <w:rPr>
          <w:sz w:val="20"/>
          <w:szCs w:val="20"/>
          <w:lang w:val="es-CL"/>
        </w:rPr>
        <w:t xml:space="preserve">l </w:t>
      </w:r>
      <w:r w:rsidRPr="00401304">
        <w:rPr>
          <w:sz w:val="20"/>
          <w:szCs w:val="20"/>
          <w:lang w:val="es-CL"/>
        </w:rPr>
        <w:t xml:space="preserve">intento de suicidio. A partir </w:t>
      </w:r>
      <w:r w:rsidR="00366B61">
        <w:rPr>
          <w:sz w:val="20"/>
          <w:szCs w:val="20"/>
          <w:lang w:val="es-CL"/>
        </w:rPr>
        <w:t>ello</w:t>
      </w:r>
      <w:r w:rsidRPr="00401304">
        <w:rPr>
          <w:sz w:val="20"/>
          <w:szCs w:val="20"/>
          <w:lang w:val="es-CL"/>
        </w:rPr>
        <w:t>, se diseñó un protocolo de intervención revisado por cinco jueces expertos en suicidología y recuperación, quienes evaluaron su adecuación, pertinencia, claridad y relevancia, y aportaron recomendaciones de mejora. A continuación, el protocolo corregido fue presentado a un equipo multidisciplinario de un hospital público chileno, lo que permitió perfeccionarlo y diseñarlo definitivamente. El</w:t>
      </w:r>
      <w:r w:rsidR="003A2AF1">
        <w:rPr>
          <w:sz w:val="20"/>
          <w:szCs w:val="20"/>
          <w:lang w:val="es-CL"/>
        </w:rPr>
        <w:t xml:space="preserve"> protocolo final puede ser </w:t>
      </w:r>
      <w:r w:rsidRPr="00401304">
        <w:rPr>
          <w:sz w:val="20"/>
          <w:szCs w:val="20"/>
          <w:lang w:val="es-CL"/>
        </w:rPr>
        <w:t xml:space="preserve">una estrategia prometedora que, como complemento </w:t>
      </w:r>
      <w:r w:rsidR="00996C3C">
        <w:rPr>
          <w:sz w:val="20"/>
          <w:szCs w:val="20"/>
          <w:lang w:val="es-CL"/>
        </w:rPr>
        <w:t xml:space="preserve">a </w:t>
      </w:r>
      <w:r w:rsidRPr="00401304">
        <w:rPr>
          <w:sz w:val="20"/>
          <w:szCs w:val="20"/>
          <w:lang w:val="es-CL"/>
        </w:rPr>
        <w:t>las intervenciones individuales existentes</w:t>
      </w:r>
      <w:r w:rsidR="004F53BD">
        <w:rPr>
          <w:sz w:val="20"/>
          <w:szCs w:val="20"/>
          <w:lang w:val="es-CL"/>
        </w:rPr>
        <w:t xml:space="preserve"> en los sistemas de salud pública chilena</w:t>
      </w:r>
      <w:r w:rsidRPr="00401304">
        <w:rPr>
          <w:sz w:val="20"/>
          <w:szCs w:val="20"/>
          <w:lang w:val="es-CL"/>
        </w:rPr>
        <w:t xml:space="preserve">, </w:t>
      </w:r>
      <w:r w:rsidR="00665540">
        <w:rPr>
          <w:sz w:val="20"/>
          <w:szCs w:val="20"/>
          <w:lang w:val="es-CL"/>
        </w:rPr>
        <w:t xml:space="preserve">mejore </w:t>
      </w:r>
      <w:r w:rsidR="004F53BD">
        <w:rPr>
          <w:sz w:val="20"/>
          <w:szCs w:val="20"/>
          <w:lang w:val="es-CL"/>
        </w:rPr>
        <w:t>la eficiencia</w:t>
      </w:r>
      <w:r w:rsidR="00B719D1">
        <w:rPr>
          <w:sz w:val="20"/>
          <w:szCs w:val="20"/>
          <w:lang w:val="es-CL"/>
        </w:rPr>
        <w:t xml:space="preserve"> y calidad</w:t>
      </w:r>
      <w:r w:rsidR="004F53BD">
        <w:rPr>
          <w:sz w:val="20"/>
          <w:szCs w:val="20"/>
          <w:lang w:val="es-CL"/>
        </w:rPr>
        <w:t xml:space="preserve"> de los </w:t>
      </w:r>
      <w:r w:rsidR="002617C4">
        <w:rPr>
          <w:sz w:val="20"/>
          <w:szCs w:val="20"/>
          <w:lang w:val="es-CL"/>
        </w:rPr>
        <w:t xml:space="preserve">servicios </w:t>
      </w:r>
      <w:r w:rsidR="004F53BD">
        <w:rPr>
          <w:sz w:val="20"/>
          <w:szCs w:val="20"/>
          <w:lang w:val="es-CL"/>
        </w:rPr>
        <w:t>entregados.</w:t>
      </w:r>
    </w:p>
    <w:p w14:paraId="0F39ED14" w14:textId="77777777" w:rsidR="00191FE2" w:rsidRDefault="00191FE2">
      <w:pPr>
        <w:rPr>
          <w:sz w:val="20"/>
          <w:szCs w:val="20"/>
          <w:lang w:val="es-CL"/>
        </w:rPr>
      </w:pPr>
    </w:p>
    <w:p w14:paraId="512A1945" w14:textId="77777777" w:rsidR="00191FE2" w:rsidRPr="009F6ACB" w:rsidRDefault="00191FE2">
      <w:pPr>
        <w:rPr>
          <w:sz w:val="20"/>
          <w:szCs w:val="20"/>
          <w:lang w:val="es-CL"/>
        </w:rPr>
      </w:pPr>
    </w:p>
    <w:p w14:paraId="6EC0201E" w14:textId="51219769" w:rsidR="00E65307" w:rsidRPr="009F6ACB" w:rsidRDefault="00EB278B">
      <w:pPr>
        <w:jc w:val="both"/>
        <w:rPr>
          <w:b/>
          <w:sz w:val="20"/>
          <w:szCs w:val="20"/>
          <w:lang w:val="es-CL"/>
        </w:rPr>
      </w:pPr>
      <w:r w:rsidRPr="009F6ACB">
        <w:rPr>
          <w:b/>
          <w:sz w:val="20"/>
          <w:szCs w:val="20"/>
          <w:lang w:val="es-CL"/>
        </w:rPr>
        <w:t>Palabras clave</w:t>
      </w:r>
    </w:p>
    <w:p w14:paraId="5B9D0061" w14:textId="33861988" w:rsidR="00E65307" w:rsidRPr="00076E97" w:rsidRDefault="00FB6FB1">
      <w:pPr>
        <w:jc w:val="both"/>
        <w:rPr>
          <w:sz w:val="20"/>
          <w:szCs w:val="20"/>
          <w:lang w:val="es-ES"/>
        </w:rPr>
      </w:pPr>
      <w:r w:rsidRPr="00076E97">
        <w:rPr>
          <w:sz w:val="20"/>
          <w:szCs w:val="20"/>
          <w:lang w:val="es-ES"/>
        </w:rPr>
        <w:t>Derechos</w:t>
      </w:r>
      <w:r w:rsidR="00076E97" w:rsidRPr="00076E97">
        <w:rPr>
          <w:sz w:val="20"/>
          <w:szCs w:val="20"/>
          <w:lang w:val="es-ES"/>
        </w:rPr>
        <w:t xml:space="preserve"> humanos, recuperación, intento de suicidio, protocolo, intervención</w:t>
      </w:r>
      <w:r w:rsidR="00F57828">
        <w:rPr>
          <w:sz w:val="20"/>
          <w:szCs w:val="20"/>
          <w:lang w:val="es-ES"/>
        </w:rPr>
        <w:t>.</w:t>
      </w:r>
      <w:r w:rsidR="00076E97" w:rsidRPr="00076E97">
        <w:rPr>
          <w:sz w:val="20"/>
          <w:szCs w:val="20"/>
          <w:lang w:val="es-ES"/>
        </w:rPr>
        <w:t xml:space="preserve"> </w:t>
      </w:r>
      <w:r w:rsidR="00EB278B" w:rsidRPr="00076E97">
        <w:rPr>
          <w:sz w:val="20"/>
          <w:szCs w:val="20"/>
          <w:lang w:val="es-ES"/>
        </w:rPr>
        <w:t xml:space="preserve"> </w:t>
      </w:r>
      <w:r w:rsidR="00EB278B" w:rsidRPr="009F6ACB">
        <w:rPr>
          <w:noProof/>
          <w:lang w:val="es-CL"/>
        </w:rPr>
        <w:drawing>
          <wp:anchor distT="0" distB="0" distL="114300" distR="114300" simplePos="0" relativeHeight="251658241" behindDoc="0" locked="0" layoutInCell="1" hidden="0" allowOverlap="1" wp14:anchorId="5E761B4F" wp14:editId="74027BDD">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p>
    <w:p w14:paraId="5DCB72FC" w14:textId="161FF8ED" w:rsidR="00E65307" w:rsidRPr="00FC3401" w:rsidRDefault="00EB278B">
      <w:pPr>
        <w:pBdr>
          <w:top w:val="nil"/>
          <w:left w:val="nil"/>
          <w:bottom w:val="nil"/>
          <w:right w:val="nil"/>
          <w:between w:val="nil"/>
        </w:pBdr>
        <w:jc w:val="center"/>
        <w:rPr>
          <w:color w:val="000000"/>
          <w:lang w:val="es-CL"/>
        </w:rPr>
      </w:pPr>
      <w:r w:rsidRPr="00526B03">
        <w:rPr>
          <w:lang w:val="es-ES"/>
        </w:rPr>
        <w:br w:type="page"/>
      </w:r>
      <w:r w:rsidR="00291F1A" w:rsidRPr="009F6ACB">
        <w:rPr>
          <w:color w:val="000000"/>
          <w:lang w:val="es-CL"/>
        </w:rPr>
        <w:lastRenderedPageBreak/>
        <w:t>P</w:t>
      </w:r>
      <w:r w:rsidR="00291F1A" w:rsidRPr="00FC3401">
        <w:rPr>
          <w:color w:val="000000"/>
          <w:lang w:val="es-CL"/>
        </w:rPr>
        <w:t>rotocolo de intervención grupal breve basado en el modelo de recuperación para adultos con intentos de suicidio: una propuesta desde el enfoque de derechos humanos.</w:t>
      </w:r>
    </w:p>
    <w:p w14:paraId="234A8F9E" w14:textId="77777777" w:rsidR="00291F1A" w:rsidRPr="00FC3401" w:rsidRDefault="00291F1A">
      <w:pPr>
        <w:pBdr>
          <w:top w:val="nil"/>
          <w:left w:val="nil"/>
          <w:bottom w:val="nil"/>
          <w:right w:val="nil"/>
          <w:between w:val="nil"/>
        </w:pBdr>
        <w:jc w:val="center"/>
        <w:rPr>
          <w:color w:val="000000"/>
          <w:lang w:val="es-CL"/>
        </w:rPr>
      </w:pPr>
    </w:p>
    <w:p w14:paraId="61071DDD" w14:textId="7A6C07AF" w:rsidR="00E65307" w:rsidRPr="00FC3401" w:rsidRDefault="1F77F484" w:rsidP="09C2A411">
      <w:pPr>
        <w:pBdr>
          <w:top w:val="nil"/>
          <w:left w:val="nil"/>
          <w:bottom w:val="nil"/>
          <w:right w:val="nil"/>
          <w:between w:val="nil"/>
        </w:pBdr>
        <w:jc w:val="center"/>
        <w:rPr>
          <w:b/>
          <w:bCs/>
          <w:color w:val="000000"/>
          <w:lang w:val="es-CL"/>
        </w:rPr>
      </w:pPr>
      <w:r w:rsidRPr="00FC3401">
        <w:rPr>
          <w:b/>
          <w:bCs/>
          <w:color w:val="000000" w:themeColor="text1"/>
          <w:lang w:val="es-CL"/>
        </w:rPr>
        <w:t>Introducción</w:t>
      </w:r>
    </w:p>
    <w:p w14:paraId="115FFA6C" w14:textId="77777777" w:rsidR="005D111E" w:rsidRPr="00FC3401" w:rsidRDefault="005D111E">
      <w:pPr>
        <w:pBdr>
          <w:top w:val="nil"/>
          <w:left w:val="nil"/>
          <w:bottom w:val="nil"/>
          <w:right w:val="nil"/>
          <w:between w:val="nil"/>
        </w:pBdr>
        <w:jc w:val="center"/>
        <w:rPr>
          <w:b/>
          <w:color w:val="000000"/>
          <w:lang w:val="es-CL"/>
        </w:rPr>
      </w:pPr>
    </w:p>
    <w:p w14:paraId="73FF3A72" w14:textId="3AE54C97" w:rsidR="00CE1673" w:rsidRDefault="00A76521" w:rsidP="00A76521">
      <w:pPr>
        <w:pBdr>
          <w:top w:val="nil"/>
          <w:left w:val="nil"/>
          <w:bottom w:val="nil"/>
          <w:right w:val="nil"/>
          <w:between w:val="nil"/>
        </w:pBdr>
        <w:spacing w:line="360" w:lineRule="auto"/>
        <w:ind w:firstLine="720"/>
        <w:jc w:val="both"/>
        <w:rPr>
          <w:color w:val="000000"/>
        </w:rPr>
      </w:pPr>
      <w:r w:rsidRPr="00FC3401">
        <w:rPr>
          <w:color w:val="000000"/>
          <w:lang w:val="es-CL"/>
        </w:rPr>
        <w:t xml:space="preserve">El suicidio es un problema de salud pública y social de alta prevalencia (OMS, 2021a; OMS, 2021b; Banco Mundial, 2022; MINSAL, 2022, SEREMI de Salud, 2022), que constituye un importante desafío para los sistemas de salud a nivel mundial. </w:t>
      </w:r>
      <w:r w:rsidR="00672E25" w:rsidRPr="00FC3401">
        <w:rPr>
          <w:color w:val="000000"/>
          <w:lang w:val="es-CL"/>
        </w:rPr>
        <w:t xml:space="preserve">Como menciona </w:t>
      </w:r>
      <w:r w:rsidR="00672E25" w:rsidRPr="00FC3401">
        <w:rPr>
          <w:color w:val="000000"/>
        </w:rPr>
        <w:t xml:space="preserve">Mahdanian et al. (2022), la </w:t>
      </w:r>
      <w:r w:rsidR="00672E25" w:rsidRPr="00FC3401">
        <w:rPr>
          <w:color w:val="000000"/>
          <w:lang w:val="es-CL"/>
        </w:rPr>
        <w:t xml:space="preserve">atención </w:t>
      </w:r>
      <w:r w:rsidR="00ED4E7A" w:rsidRPr="00FC3401">
        <w:rPr>
          <w:color w:val="000000"/>
          <w:lang w:val="es-CL"/>
        </w:rPr>
        <w:t>en</w:t>
      </w:r>
      <w:r w:rsidR="00672E25" w:rsidRPr="00FC3401">
        <w:rPr>
          <w:color w:val="000000"/>
          <w:lang w:val="es-CL"/>
        </w:rPr>
        <w:t xml:space="preserve"> la salud mental ha experimentado al menos tres transformaciones significativas en las últimas décadas: la desinstitucionalización, la entrada en vigor de la Convención Internacional sobre los Derechos de las Personas con Discapacidad</w:t>
      </w:r>
      <w:r w:rsidR="00591AA1" w:rsidRPr="00FC3401">
        <w:rPr>
          <w:color w:val="000000"/>
          <w:lang w:val="es-CL"/>
        </w:rPr>
        <w:t xml:space="preserve"> y la introducción del modelo de recuperación</w:t>
      </w:r>
      <w:r w:rsidR="00672E25" w:rsidRPr="00FC3401">
        <w:rPr>
          <w:color w:val="000000"/>
          <w:lang w:val="es-CL"/>
        </w:rPr>
        <w:t>.</w:t>
      </w:r>
      <w:r w:rsidR="00002184" w:rsidRPr="00FC3401">
        <w:rPr>
          <w:color w:val="000000"/>
          <w:lang w:val="es-CL"/>
        </w:rPr>
        <w:t xml:space="preserve"> </w:t>
      </w:r>
      <w:r w:rsidR="00FE62AD" w:rsidRPr="00FC3401">
        <w:rPr>
          <w:color w:val="000000"/>
          <w:lang w:val="es-CL"/>
        </w:rPr>
        <w:t xml:space="preserve">Por ejemplo, </w:t>
      </w:r>
      <w:r w:rsidR="00002184" w:rsidRPr="00FC3401">
        <w:rPr>
          <w:color w:val="000000"/>
          <w:lang w:val="es-CL"/>
        </w:rPr>
        <w:t xml:space="preserve">la </w:t>
      </w:r>
      <w:r w:rsidR="00672E25" w:rsidRPr="00FC3401">
        <w:rPr>
          <w:color w:val="000000"/>
          <w:lang w:val="es-CL"/>
        </w:rPr>
        <w:t xml:space="preserve">iniciativa QualityRights de la </w:t>
      </w:r>
      <w:r w:rsidR="00672E25" w:rsidRPr="00FC3401">
        <w:rPr>
          <w:lang w:val="es-CL"/>
        </w:rPr>
        <w:t xml:space="preserve">OMS (2012) </w:t>
      </w:r>
      <w:r w:rsidR="00672E25" w:rsidRPr="00FC3401">
        <w:rPr>
          <w:color w:val="000000"/>
          <w:lang w:val="es-CL"/>
        </w:rPr>
        <w:t xml:space="preserve">propone </w:t>
      </w:r>
      <w:r w:rsidR="00672E25" w:rsidRPr="00FC3401">
        <w:rPr>
          <w:color w:val="000000"/>
          <w:lang w:val="es-ES"/>
        </w:rPr>
        <w:t>crear servicios basados en la comunidad</w:t>
      </w:r>
      <w:r w:rsidR="005B5654" w:rsidRPr="00FC3401">
        <w:rPr>
          <w:color w:val="000000"/>
          <w:lang w:val="es-ES"/>
        </w:rPr>
        <w:t xml:space="preserve">, orientados a la recuperación que promuevan los derechos humanos </w:t>
      </w:r>
      <w:r w:rsidR="00771006" w:rsidRPr="00FC3401">
        <w:rPr>
          <w:color w:val="000000"/>
          <w:lang w:val="es-ES"/>
        </w:rPr>
        <w:t>(</w:t>
      </w:r>
      <w:r w:rsidR="00FC3401" w:rsidRPr="00FC3401">
        <w:rPr>
          <w:lang w:val="es-ES"/>
        </w:rPr>
        <w:t>OMS</w:t>
      </w:r>
      <w:r w:rsidR="00672E25" w:rsidRPr="00FC3401">
        <w:rPr>
          <w:lang w:val="es-CL"/>
        </w:rPr>
        <w:t xml:space="preserve">, 2019a). </w:t>
      </w:r>
      <w:r w:rsidR="00672E25" w:rsidRPr="00FC3401">
        <w:rPr>
          <w:color w:val="000000"/>
          <w:lang w:val="es-CL"/>
        </w:rPr>
        <w:t>Esta iniciativa representa un importante cambi</w:t>
      </w:r>
      <w:r w:rsidR="00C81D8B" w:rsidRPr="00FC3401">
        <w:rPr>
          <w:color w:val="000000"/>
          <w:lang w:val="es-CL"/>
        </w:rPr>
        <w:t xml:space="preserve">o en </w:t>
      </w:r>
      <w:r w:rsidR="00283975" w:rsidRPr="00FC3401">
        <w:rPr>
          <w:color w:val="000000"/>
          <w:lang w:val="es-CL"/>
        </w:rPr>
        <w:t>la forma de entender la atención en salud mental</w:t>
      </w:r>
      <w:r w:rsidR="00672E25" w:rsidRPr="00FC3401">
        <w:rPr>
          <w:color w:val="000000"/>
          <w:lang w:val="es-CL"/>
        </w:rPr>
        <w:t xml:space="preserve"> (McGovern, 2022)</w:t>
      </w:r>
      <w:r w:rsidR="00CE1673" w:rsidRPr="00FC3401">
        <w:rPr>
          <w:color w:val="000000"/>
          <w:lang w:val="es-CL"/>
        </w:rPr>
        <w:t>, ya que u</w:t>
      </w:r>
      <w:r w:rsidR="00885591" w:rsidRPr="00FC3401">
        <w:rPr>
          <w:color w:val="000000"/>
          <w:lang w:val="es-CL"/>
        </w:rPr>
        <w:t>n</w:t>
      </w:r>
      <w:r w:rsidR="009F4F75" w:rsidRPr="00FC3401">
        <w:rPr>
          <w:color w:val="000000"/>
          <w:lang w:val="es-CL"/>
        </w:rPr>
        <w:t xml:space="preserve"> aspecto </w:t>
      </w:r>
      <w:r w:rsidR="00885591" w:rsidRPr="00FC3401">
        <w:rPr>
          <w:color w:val="000000"/>
          <w:lang w:val="es-CL"/>
        </w:rPr>
        <w:t xml:space="preserve">fundamental para </w:t>
      </w:r>
      <w:r w:rsidR="00283975" w:rsidRPr="00FC3401">
        <w:rPr>
          <w:color w:val="000000"/>
          <w:lang w:val="es-CL"/>
        </w:rPr>
        <w:t xml:space="preserve">lograr </w:t>
      </w:r>
      <w:r w:rsidR="00AC2EE9" w:rsidRPr="00FC3401">
        <w:rPr>
          <w:color w:val="000000"/>
          <w:lang w:val="es-CL"/>
        </w:rPr>
        <w:t xml:space="preserve">servicios </w:t>
      </w:r>
      <w:r w:rsidR="00885591" w:rsidRPr="00FC3401">
        <w:rPr>
          <w:color w:val="000000"/>
          <w:lang w:val="es-CL"/>
        </w:rPr>
        <w:t xml:space="preserve">orientados a la </w:t>
      </w:r>
      <w:r w:rsidR="00B27B53" w:rsidRPr="00FC3401">
        <w:rPr>
          <w:color w:val="000000"/>
          <w:lang w:val="es-CL"/>
        </w:rPr>
        <w:t>recuperación</w:t>
      </w:r>
      <w:r w:rsidR="00885591" w:rsidRPr="00FC3401">
        <w:rPr>
          <w:color w:val="000000"/>
          <w:lang w:val="es-CL"/>
        </w:rPr>
        <w:t xml:space="preserve"> es la consideración de los </w:t>
      </w:r>
      <w:r w:rsidR="00885591" w:rsidRPr="00FC3401">
        <w:rPr>
          <w:color w:val="000000"/>
        </w:rPr>
        <w:t xml:space="preserve">derechos humanos (Puras &amp; Gooding, 2019). </w:t>
      </w:r>
    </w:p>
    <w:p w14:paraId="38072F6B" w14:textId="77777777" w:rsidR="005542E8" w:rsidRDefault="005542E8" w:rsidP="005542E8">
      <w:pPr>
        <w:pBdr>
          <w:top w:val="nil"/>
          <w:left w:val="nil"/>
          <w:bottom w:val="nil"/>
          <w:right w:val="nil"/>
          <w:between w:val="nil"/>
        </w:pBdr>
        <w:spacing w:line="360" w:lineRule="auto"/>
        <w:ind w:firstLine="720"/>
        <w:jc w:val="both"/>
        <w:rPr>
          <w:color w:val="000000"/>
          <w:lang w:val="es-CL"/>
        </w:rPr>
      </w:pPr>
      <w:r w:rsidRPr="009F6ACB">
        <w:rPr>
          <w:color w:val="000000"/>
          <w:lang w:val="es-CL"/>
        </w:rPr>
        <w:t>La atención orientada a la recuperación se refiere a las acciones que los profesionales que participan del tratamiento y rehabilitación en salud mental ofrecen para apoyar los esfuerzos de recuperación de la persona a largo plazo (Davidson &amp; González-Ibáñez, 2017). Se centra en las aspiraciones y necesidades de las personas y se adapta a ellas, y busca brindar tratamiento, terapia, rehabilitación y apoyo psicosocial basados en evidencia que ayuden a lograr los mejores resultados para la salud mental, la salud física y el bienestar de las personas (</w:t>
      </w:r>
      <w:r w:rsidRPr="00FC3401">
        <w:rPr>
          <w:color w:val="000000"/>
          <w:lang w:val="es-CL"/>
        </w:rPr>
        <w:t>Frost et al., 2017). De acuerdo con Winsper et al. (2020)</w:t>
      </w:r>
      <w:r w:rsidRPr="00FC3401">
        <w:t xml:space="preserve"> dentro de los mecanismos que contribuyen a la recuperación de los usuarios de los servicios de salud se encuentran el </w:t>
      </w:r>
      <w:r w:rsidRPr="00FC3401">
        <w:rPr>
          <w:color w:val="000000"/>
          <w:lang w:val="es-CL"/>
        </w:rPr>
        <w:t>promover una alianza de trabajo, proporcionar información y habilidades, modelar la recuperación individual y aumentar la elección y las oportunidades.</w:t>
      </w:r>
      <w:r>
        <w:rPr>
          <w:color w:val="000000"/>
          <w:lang w:val="es-CL"/>
        </w:rPr>
        <w:t xml:space="preserve"> </w:t>
      </w:r>
    </w:p>
    <w:p w14:paraId="31B875EC" w14:textId="1D323E1B" w:rsidR="00A76521" w:rsidRPr="000F3018" w:rsidRDefault="00885591" w:rsidP="00A76521">
      <w:pPr>
        <w:pBdr>
          <w:top w:val="nil"/>
          <w:left w:val="nil"/>
          <w:bottom w:val="nil"/>
          <w:right w:val="nil"/>
          <w:between w:val="nil"/>
        </w:pBdr>
        <w:spacing w:line="360" w:lineRule="auto"/>
        <w:ind w:firstLine="720"/>
        <w:jc w:val="both"/>
        <w:rPr>
          <w:color w:val="000000"/>
          <w:lang w:val="es-CL"/>
        </w:rPr>
      </w:pPr>
      <w:r>
        <w:rPr>
          <w:color w:val="000000"/>
        </w:rPr>
        <w:t>En esta línea, la</w:t>
      </w:r>
      <w:r w:rsidR="00A76521" w:rsidRPr="009F6ACB">
        <w:rPr>
          <w:color w:val="000000"/>
          <w:lang w:val="es-CL"/>
        </w:rPr>
        <w:t xml:space="preserve"> recuperación en adultos con historia de intentos de suicidio a lo largo de la vida juega un rol primordial para la prevención del suicidio, </w:t>
      </w:r>
      <w:r w:rsidR="00785711">
        <w:rPr>
          <w:color w:val="000000"/>
          <w:lang w:val="es-CL"/>
        </w:rPr>
        <w:t>aunque</w:t>
      </w:r>
      <w:r w:rsidR="00943033">
        <w:rPr>
          <w:color w:val="000000"/>
          <w:lang w:val="es-CL"/>
        </w:rPr>
        <w:t xml:space="preserve">, </w:t>
      </w:r>
      <w:r w:rsidR="00A76521" w:rsidRPr="009F6ACB">
        <w:rPr>
          <w:color w:val="000000"/>
          <w:lang w:val="es-CL"/>
        </w:rPr>
        <w:t xml:space="preserve">constituye una brecha de conocimiento en la que es necesario profundizar (Bautista et al., 2023; Dubruel et al, 2023; Espeland et al., 2023, Ropaj et al., 2023; Sellin et al., 2017; Sokol et al., 2022). Siguiendo a Davidson y González-Ibáñez (2017) adoptar un modelo de recuperación consiste en complementar los modelos tradicionales basados en el riesgo con una visión que considere a la persona en su contexto familiar, social y cultural. Ya que a pesar del papel fundamental que tienen las personas en su proceso de recuperación, este no se produce en el vacío sino en un </w:t>
      </w:r>
      <w:r w:rsidR="00A76521" w:rsidRPr="000F3018">
        <w:rPr>
          <w:color w:val="000000"/>
          <w:lang w:val="es-CL"/>
        </w:rPr>
        <w:t>contexto social determinado (Davidson, 2021).</w:t>
      </w:r>
    </w:p>
    <w:p w14:paraId="1C349C9E" w14:textId="229F9A3D" w:rsidR="00A76521" w:rsidRPr="009F6ACB" w:rsidRDefault="0014268B" w:rsidP="00B27B53">
      <w:pPr>
        <w:pBdr>
          <w:top w:val="nil"/>
          <w:left w:val="nil"/>
          <w:bottom w:val="nil"/>
          <w:right w:val="nil"/>
          <w:between w:val="nil"/>
        </w:pBdr>
        <w:spacing w:line="360" w:lineRule="auto"/>
        <w:ind w:firstLine="720"/>
        <w:jc w:val="both"/>
        <w:rPr>
          <w:color w:val="000000"/>
          <w:lang w:val="es-CL"/>
        </w:rPr>
      </w:pPr>
      <w:r w:rsidRPr="000F3018">
        <w:rPr>
          <w:color w:val="000000"/>
          <w:lang w:val="es-CL"/>
        </w:rPr>
        <w:t xml:space="preserve">La recuperación basada en los derechos humanos es una forma de garantizar que todos se beneficien y que </w:t>
      </w:r>
      <w:r w:rsidR="00785711" w:rsidRPr="000F3018">
        <w:rPr>
          <w:color w:val="000000"/>
          <w:lang w:val="es-CL"/>
        </w:rPr>
        <w:t>el proceso de</w:t>
      </w:r>
      <w:r w:rsidRPr="000F3018">
        <w:rPr>
          <w:color w:val="000000"/>
          <w:lang w:val="es-CL"/>
        </w:rPr>
        <w:t xml:space="preserve"> recuperación sea just</w:t>
      </w:r>
      <w:r w:rsidR="00785711" w:rsidRPr="000F3018">
        <w:rPr>
          <w:color w:val="000000"/>
          <w:lang w:val="es-CL"/>
        </w:rPr>
        <w:t>o</w:t>
      </w:r>
      <w:r w:rsidRPr="000F3018">
        <w:rPr>
          <w:color w:val="000000"/>
          <w:lang w:val="es-CL"/>
        </w:rPr>
        <w:t xml:space="preserve"> y equitativ</w:t>
      </w:r>
      <w:r w:rsidR="00785711" w:rsidRPr="000F3018">
        <w:rPr>
          <w:color w:val="000000"/>
          <w:lang w:val="es-CL"/>
        </w:rPr>
        <w:t>o</w:t>
      </w:r>
      <w:r w:rsidRPr="000F3018">
        <w:rPr>
          <w:color w:val="000000"/>
          <w:lang w:val="es-CL"/>
        </w:rPr>
        <w:t xml:space="preserve"> (ONU, 2020).</w:t>
      </w:r>
      <w:r w:rsidR="00785711" w:rsidRPr="000F3018">
        <w:rPr>
          <w:color w:val="000000"/>
          <w:lang w:val="es-CL"/>
        </w:rPr>
        <w:t xml:space="preserve"> </w:t>
      </w:r>
      <w:r w:rsidR="00A76521" w:rsidRPr="000F3018">
        <w:rPr>
          <w:color w:val="000000"/>
          <w:lang w:val="es-CL"/>
        </w:rPr>
        <w:t>El modelo de recuperación promueve una visión que reconoce las fortalezas y capacidades de las personas (Carr &amp; Ponce, 2022), transformando su rol de paciente al de ciudadano con plenos derechos (Parra López, 2019)</w:t>
      </w:r>
      <w:r w:rsidR="0042292A" w:rsidRPr="000F3018">
        <w:rPr>
          <w:color w:val="000000"/>
          <w:lang w:val="es-CL"/>
        </w:rPr>
        <w:t xml:space="preserve">. </w:t>
      </w:r>
      <w:r w:rsidR="00A76521" w:rsidRPr="000F3018">
        <w:rPr>
          <w:color w:val="000000"/>
          <w:lang w:val="es-CL"/>
        </w:rPr>
        <w:t xml:space="preserve"> </w:t>
      </w:r>
      <w:r w:rsidR="0042292A" w:rsidRPr="000F3018">
        <w:rPr>
          <w:color w:val="000000"/>
          <w:lang w:val="es-CL"/>
        </w:rPr>
        <w:t xml:space="preserve">Fomentar la recuperación implica promover el derecho a </w:t>
      </w:r>
      <w:r w:rsidR="0098755F" w:rsidRPr="000F3018">
        <w:rPr>
          <w:color w:val="000000"/>
          <w:lang w:val="es-CL"/>
        </w:rPr>
        <w:t>participar en tod</w:t>
      </w:r>
      <w:r w:rsidR="0042292A" w:rsidRPr="000F3018">
        <w:rPr>
          <w:color w:val="000000"/>
          <w:lang w:val="es-CL"/>
        </w:rPr>
        <w:t>o</w:t>
      </w:r>
      <w:r w:rsidR="0098755F" w:rsidRPr="000F3018">
        <w:rPr>
          <w:color w:val="000000"/>
          <w:lang w:val="es-CL"/>
        </w:rPr>
        <w:t>s los ámbitos de l</w:t>
      </w:r>
      <w:r w:rsidR="00032DB0" w:rsidRPr="000F3018">
        <w:rPr>
          <w:color w:val="000000"/>
          <w:lang w:val="es-CL"/>
        </w:rPr>
        <w:t xml:space="preserve">a propia vida, </w:t>
      </w:r>
      <w:r w:rsidR="0098755F" w:rsidRPr="000F3018">
        <w:rPr>
          <w:color w:val="000000"/>
          <w:lang w:val="es-CL"/>
        </w:rPr>
        <w:t xml:space="preserve">en igualdad de condiciones que el resto de </w:t>
      </w:r>
      <w:r w:rsidR="00E51829" w:rsidRPr="000F3018">
        <w:rPr>
          <w:color w:val="000000"/>
          <w:lang w:val="es-CL"/>
        </w:rPr>
        <w:t xml:space="preserve">las </w:t>
      </w:r>
      <w:r w:rsidR="0098755F" w:rsidRPr="000F3018">
        <w:rPr>
          <w:color w:val="000000"/>
          <w:lang w:val="es-CL"/>
        </w:rPr>
        <w:t>personas (WHO, 201</w:t>
      </w:r>
      <w:r w:rsidR="0098755F" w:rsidRPr="000F3018">
        <w:rPr>
          <w:color w:val="000000"/>
          <w:lang w:val="es-ES"/>
        </w:rPr>
        <w:t>9</w:t>
      </w:r>
      <w:r w:rsidR="00044BB9" w:rsidRPr="000F3018">
        <w:rPr>
          <w:color w:val="000000"/>
          <w:lang w:val="es-ES"/>
        </w:rPr>
        <w:t>b</w:t>
      </w:r>
      <w:r w:rsidR="0098755F" w:rsidRPr="000F3018">
        <w:rPr>
          <w:color w:val="000000"/>
          <w:lang w:val="es-ES"/>
        </w:rPr>
        <w:t>)</w:t>
      </w:r>
      <w:r w:rsidR="00E51829" w:rsidRPr="000F3018">
        <w:rPr>
          <w:color w:val="000000"/>
          <w:lang w:val="es-ES"/>
        </w:rPr>
        <w:t xml:space="preserve">. </w:t>
      </w:r>
      <w:r w:rsidR="00A76521" w:rsidRPr="000F3018">
        <w:rPr>
          <w:color w:val="000000"/>
          <w:lang w:val="es-CL"/>
        </w:rPr>
        <w:t>El modelo sitúa a la persona en el centro (Ropaj et al., 2023) y su origen está vinculado a los movimientos</w:t>
      </w:r>
      <w:r w:rsidR="00A76521" w:rsidRPr="009F6ACB">
        <w:rPr>
          <w:color w:val="000000"/>
          <w:lang w:val="es-CL"/>
        </w:rPr>
        <w:t xml:space="preserve"> de justicia social que en los años sesenta y setenta protagonizaron grupos de </w:t>
      </w:r>
      <w:r w:rsidR="008444C5">
        <w:rPr>
          <w:color w:val="000000"/>
          <w:lang w:val="es-CL"/>
        </w:rPr>
        <w:t>ex-</w:t>
      </w:r>
      <w:r w:rsidR="00A76521" w:rsidRPr="009F6ACB">
        <w:rPr>
          <w:color w:val="000000"/>
          <w:lang w:val="es-CL"/>
        </w:rPr>
        <w:t xml:space="preserve">usuarios críticos con el modelo imperante, caracterizado por el énfasis en la sintomatología y el mantenimiento de relaciones asimétricas entre profesionales y pacientes (Hunt &amp; Resnick, 2015). </w:t>
      </w:r>
    </w:p>
    <w:p w14:paraId="29D597A6" w14:textId="48D805A0" w:rsidR="00B27B53" w:rsidRPr="009F6ACB" w:rsidRDefault="00B27B53" w:rsidP="00B27B53">
      <w:pPr>
        <w:pBdr>
          <w:top w:val="nil"/>
          <w:left w:val="nil"/>
          <w:bottom w:val="nil"/>
          <w:right w:val="nil"/>
          <w:between w:val="nil"/>
        </w:pBdr>
        <w:spacing w:line="360" w:lineRule="auto"/>
        <w:ind w:firstLine="720"/>
        <w:jc w:val="both"/>
        <w:rPr>
          <w:color w:val="000000"/>
          <w:lang w:val="es-CL"/>
        </w:rPr>
      </w:pPr>
      <w:r w:rsidRPr="009F6ACB">
        <w:rPr>
          <w:color w:val="000000"/>
          <w:lang w:val="es-CL"/>
        </w:rPr>
        <w:t xml:space="preserve">El concepto de recuperación se refiere no sólo a la remisión sintomatológica, sino también a la reconstrucción de una vida significativa y satisfactoria a pesar de las dificultades emocionales </w:t>
      </w:r>
      <w:r w:rsidR="001D612A">
        <w:rPr>
          <w:color w:val="000000"/>
          <w:lang w:val="es-CL"/>
        </w:rPr>
        <w:t xml:space="preserve">que conlleva </w:t>
      </w:r>
      <w:r w:rsidR="00F53A32">
        <w:rPr>
          <w:color w:val="000000"/>
          <w:lang w:val="es-CL"/>
        </w:rPr>
        <w:t xml:space="preserve">los problemas de salud mental </w:t>
      </w:r>
      <w:r w:rsidRPr="009F6ACB">
        <w:rPr>
          <w:color w:val="000000"/>
          <w:lang w:val="es-CL"/>
        </w:rPr>
        <w:t xml:space="preserve">(Carr y Ponce, 2022). Así, el modelo de recuperación incorpora </w:t>
      </w:r>
      <w:r w:rsidR="00F53A32">
        <w:rPr>
          <w:color w:val="000000"/>
          <w:lang w:val="es-CL"/>
        </w:rPr>
        <w:t>una</w:t>
      </w:r>
      <w:r w:rsidRPr="009F6ACB">
        <w:rPr>
          <w:color w:val="000000"/>
          <w:lang w:val="es-CL"/>
        </w:rPr>
        <w:t xml:space="preserve"> dimensión clínica</w:t>
      </w:r>
      <w:r w:rsidR="00F6798E">
        <w:rPr>
          <w:color w:val="000000"/>
          <w:lang w:val="es-CL"/>
        </w:rPr>
        <w:t xml:space="preserve"> y </w:t>
      </w:r>
      <w:r w:rsidRPr="009F6ACB">
        <w:rPr>
          <w:color w:val="000000"/>
          <w:lang w:val="es-CL"/>
        </w:rPr>
        <w:t>personal. La recuperación clínica de los intentos de suicidio se entiende como un cambio en las puntuaciones de un rango clínico a uno no clínico en una serie de medidas que captan la ideación suicida y la probabilidad de intento de suicidio (Melia et al., 2020). La recuperación personal, por su parte, constituye un proceso subjetivo caracterizado por la activación de redes de apoyo social (Carr y Ponce, 2022)</w:t>
      </w:r>
      <w:r w:rsidR="00675D76">
        <w:rPr>
          <w:color w:val="000000"/>
          <w:lang w:val="es-CL"/>
        </w:rPr>
        <w:t xml:space="preserve"> y </w:t>
      </w:r>
      <w:r w:rsidRPr="009F6ACB">
        <w:rPr>
          <w:color w:val="000000"/>
          <w:lang w:val="es-CL"/>
        </w:rPr>
        <w:t xml:space="preserve">el desarrollo de roles sociales y sentido de agencia (Espeland et al., 2023; Sellin et al., 2018). Recuperarse de un intento de suicidio implica definir metas personales que den un nuevo sentido y oportunidades a la vida (Espeland et al., 2023). </w:t>
      </w:r>
    </w:p>
    <w:p w14:paraId="2154BF48" w14:textId="7E413784" w:rsidR="00B27B53" w:rsidRDefault="00B27B53" w:rsidP="00B27B53">
      <w:pPr>
        <w:pBdr>
          <w:top w:val="nil"/>
          <w:left w:val="nil"/>
          <w:bottom w:val="nil"/>
          <w:right w:val="nil"/>
          <w:between w:val="nil"/>
        </w:pBdr>
        <w:spacing w:line="360" w:lineRule="auto"/>
        <w:ind w:firstLine="720"/>
        <w:jc w:val="both"/>
        <w:rPr>
          <w:color w:val="000000"/>
          <w:lang w:val="es-CL"/>
        </w:rPr>
      </w:pPr>
      <w:r w:rsidRPr="009F6ACB">
        <w:rPr>
          <w:color w:val="000000"/>
          <w:lang w:val="es-CL"/>
        </w:rPr>
        <w:t>Desde un enfoque crítico, la recuperación tanto clínica como personal no puede concebirse como un fenómeno individual, sino como un fenómeno relacional y contextualmente integrado (Price-Robertson et al., 2016). De ahí la necesidad de enmarcarla en el contexto propio de cada persona. El contexto socioestructural describe condiciones del entorno material, social, político y económico que pueden favorecer o dificultar la recuperación (Davidson y González-Ibáñez, 2017), como, por ejemplo, el estatus socioeconómico, el empleo, el origen étnico</w:t>
      </w:r>
      <w:r w:rsidR="00F677DA">
        <w:rPr>
          <w:color w:val="000000"/>
          <w:lang w:val="es-CL"/>
        </w:rPr>
        <w:t xml:space="preserve">, </w:t>
      </w:r>
      <w:r w:rsidRPr="009F6ACB">
        <w:rPr>
          <w:color w:val="000000"/>
          <w:lang w:val="es-CL"/>
        </w:rPr>
        <w:t xml:space="preserve">los ingresos, el género y la situación de la vivienda (Karadzhov, 2023). </w:t>
      </w:r>
    </w:p>
    <w:p w14:paraId="022793CD" w14:textId="1DB0CE82" w:rsidR="00B27B53" w:rsidRPr="009F6ACB" w:rsidRDefault="00B27B53" w:rsidP="00B27B53">
      <w:pPr>
        <w:pBdr>
          <w:top w:val="nil"/>
          <w:left w:val="nil"/>
          <w:bottom w:val="nil"/>
          <w:right w:val="nil"/>
          <w:between w:val="nil"/>
        </w:pBdr>
        <w:spacing w:line="360" w:lineRule="auto"/>
        <w:ind w:firstLine="720"/>
        <w:jc w:val="both"/>
        <w:rPr>
          <w:color w:val="000000"/>
          <w:lang w:val="es-CL"/>
        </w:rPr>
      </w:pPr>
      <w:r w:rsidRPr="00774732">
        <w:rPr>
          <w:color w:val="000000" w:themeColor="text1"/>
          <w:lang w:val="es-CL"/>
        </w:rPr>
        <w:t>La comprensión de la naturaleza relacional de</w:t>
      </w:r>
      <w:r w:rsidR="00D80F3B" w:rsidRPr="00774732">
        <w:rPr>
          <w:color w:val="000000" w:themeColor="text1"/>
          <w:lang w:val="es-CL"/>
        </w:rPr>
        <w:t xml:space="preserve"> la </w:t>
      </w:r>
      <w:r w:rsidR="00774732" w:rsidRPr="00774732">
        <w:rPr>
          <w:color w:val="000000" w:themeColor="text1"/>
          <w:lang w:val="es-CL"/>
        </w:rPr>
        <w:t>recuperación</w:t>
      </w:r>
      <w:r w:rsidR="00D80F3B" w:rsidRPr="00774732">
        <w:rPr>
          <w:color w:val="000000" w:themeColor="text1"/>
          <w:lang w:val="es-CL"/>
        </w:rPr>
        <w:t xml:space="preserve"> </w:t>
      </w:r>
      <w:r w:rsidR="00774732" w:rsidRPr="00774732">
        <w:rPr>
          <w:color w:val="000000" w:themeColor="text1"/>
          <w:lang w:val="es-CL"/>
        </w:rPr>
        <w:t xml:space="preserve">puede transformar </w:t>
      </w:r>
      <w:r w:rsidRPr="00774732">
        <w:rPr>
          <w:color w:val="000000" w:themeColor="text1"/>
          <w:lang w:val="es-CL"/>
        </w:rPr>
        <w:t xml:space="preserve">la intervención grupal </w:t>
      </w:r>
      <w:r w:rsidR="00774732" w:rsidRPr="00774732">
        <w:rPr>
          <w:color w:val="000000" w:themeColor="text1"/>
          <w:lang w:val="es-CL"/>
        </w:rPr>
        <w:t>en un</w:t>
      </w:r>
      <w:r w:rsidRPr="00774732">
        <w:rPr>
          <w:color w:val="000000" w:themeColor="text1"/>
          <w:lang w:val="es-CL"/>
        </w:rPr>
        <w:t xml:space="preserve"> componente fundamental. </w:t>
      </w:r>
      <w:r w:rsidRPr="009F6ACB">
        <w:rPr>
          <w:color w:val="000000"/>
          <w:lang w:val="es-CL"/>
        </w:rPr>
        <w:t xml:space="preserve">Se ha demostrado que las intervenciones grupales promueven la adherencia al tratamiento y la percepción de capacidad para manejar los trastornos psicológicos (Antón-Menárguez et al., 2019; Geraci et al., 2020), la percepción de ser comprendido y aceptado por los demás (Lakeman &amp; FitzGerald, 2008), </w:t>
      </w:r>
      <w:r w:rsidR="00DD0B97">
        <w:rPr>
          <w:color w:val="000000"/>
          <w:lang w:val="es-CL"/>
        </w:rPr>
        <w:t xml:space="preserve">así como </w:t>
      </w:r>
      <w:r w:rsidRPr="009F6ACB">
        <w:rPr>
          <w:color w:val="000000"/>
          <w:lang w:val="es-CL"/>
        </w:rPr>
        <w:t xml:space="preserve">la mejora del funcionamiento social y </w:t>
      </w:r>
      <w:r w:rsidR="00DD0B97">
        <w:rPr>
          <w:color w:val="000000"/>
          <w:lang w:val="es-CL"/>
        </w:rPr>
        <w:t xml:space="preserve">capacidad de </w:t>
      </w:r>
      <w:r w:rsidRPr="009F6ACB">
        <w:rPr>
          <w:color w:val="000000"/>
          <w:lang w:val="es-CL"/>
        </w:rPr>
        <w:t xml:space="preserve">afrontamiento (Ezhumalai et al., 2018). Estudios recientes han encontrado un impacto positivo de estas intervenciones en la prevención de síntomas suicidas (Chalker et al., 2022; Geraci et al., 2020; Sullivan et al., 2021), sin embargo, su aplicación específica en la recuperación de intentos de suicidio requiere más evidencia. </w:t>
      </w:r>
    </w:p>
    <w:p w14:paraId="435DC071" w14:textId="0B7217BE" w:rsidR="00B27B53" w:rsidRPr="009F6ACB" w:rsidRDefault="00B27B53" w:rsidP="00B27B53">
      <w:pPr>
        <w:pBdr>
          <w:top w:val="nil"/>
          <w:left w:val="nil"/>
          <w:bottom w:val="nil"/>
          <w:right w:val="nil"/>
          <w:between w:val="nil"/>
        </w:pBdr>
        <w:spacing w:line="360" w:lineRule="auto"/>
        <w:ind w:firstLine="720"/>
        <w:jc w:val="both"/>
        <w:rPr>
          <w:color w:val="000000"/>
          <w:lang w:val="es-CL"/>
        </w:rPr>
      </w:pPr>
      <w:r w:rsidRPr="009F6ACB">
        <w:rPr>
          <w:color w:val="000000"/>
          <w:lang w:val="es-CL"/>
        </w:rPr>
        <w:t>La literatura científica actual carece de estudios que evalúen sistemáticamente la aplicación y la eficacia de protocolos basados en la recuperación adaptados específicamente a poblaciones con alto riesgo de suicidio. Est</w:t>
      </w:r>
      <w:r>
        <w:rPr>
          <w:color w:val="000000"/>
          <w:lang w:val="es-CL"/>
        </w:rPr>
        <w:t xml:space="preserve">e nicho </w:t>
      </w:r>
      <w:r w:rsidRPr="009F6ACB">
        <w:rPr>
          <w:color w:val="000000"/>
          <w:lang w:val="es-CL"/>
        </w:rPr>
        <w:t xml:space="preserve">de conocimiento subraya la necesidad inminente de desarrollar y evaluar estrategias de prevención indicadas que sean culturalmente relevantes y contextualmente apropiadas. El objetivo de este estudio fue construir y validar un protocolo de intervención grupal breve basado en el modelo de recuperación, específicamente diseñado para promover la recuperación en adultos con historia de intentos suicidas, que pueda ser aplicado como complemento al tratamiento habitual recibido en los centros de salud públicos chilenos. </w:t>
      </w:r>
    </w:p>
    <w:p w14:paraId="1452136F" w14:textId="77777777" w:rsidR="00B70D7A" w:rsidRDefault="00B70D7A" w:rsidP="00A76521">
      <w:pPr>
        <w:pBdr>
          <w:top w:val="nil"/>
          <w:left w:val="nil"/>
          <w:bottom w:val="nil"/>
          <w:right w:val="nil"/>
          <w:between w:val="nil"/>
        </w:pBdr>
        <w:spacing w:line="360" w:lineRule="auto"/>
        <w:ind w:firstLine="720"/>
        <w:jc w:val="both"/>
        <w:rPr>
          <w:color w:val="000000"/>
          <w:lang w:val="es-CL"/>
        </w:rPr>
      </w:pPr>
    </w:p>
    <w:p w14:paraId="270456B7" w14:textId="649A7C28" w:rsidR="00E65307" w:rsidRPr="00CC33F4" w:rsidRDefault="00EB278B">
      <w:pPr>
        <w:pBdr>
          <w:top w:val="nil"/>
          <w:left w:val="nil"/>
          <w:bottom w:val="nil"/>
          <w:right w:val="nil"/>
          <w:between w:val="nil"/>
        </w:pBdr>
        <w:jc w:val="center"/>
        <w:rPr>
          <w:b/>
          <w:color w:val="000000"/>
          <w:lang w:val="es-ES"/>
        </w:rPr>
      </w:pPr>
      <w:r w:rsidRPr="00CC33F4">
        <w:rPr>
          <w:b/>
          <w:color w:val="000000"/>
          <w:lang w:val="es-ES"/>
        </w:rPr>
        <w:t>M</w:t>
      </w:r>
      <w:r w:rsidR="0026639D" w:rsidRPr="00CC33F4">
        <w:rPr>
          <w:b/>
          <w:color w:val="000000"/>
          <w:lang w:val="es-ES"/>
        </w:rPr>
        <w:t xml:space="preserve">étodo </w:t>
      </w:r>
    </w:p>
    <w:p w14:paraId="3261E9EE" w14:textId="36DEB046" w:rsidR="009E7858" w:rsidRDefault="00256F75" w:rsidP="009E7858">
      <w:pPr>
        <w:pBdr>
          <w:top w:val="nil"/>
          <w:left w:val="nil"/>
          <w:bottom w:val="nil"/>
          <w:right w:val="nil"/>
          <w:between w:val="nil"/>
        </w:pBdr>
        <w:spacing w:line="360" w:lineRule="auto"/>
        <w:jc w:val="both"/>
        <w:rPr>
          <w:b/>
          <w:i/>
          <w:color w:val="000000"/>
          <w:lang w:val="es-ES"/>
        </w:rPr>
      </w:pPr>
      <w:r>
        <w:rPr>
          <w:b/>
          <w:i/>
          <w:color w:val="000000"/>
          <w:lang w:val="es-ES"/>
        </w:rPr>
        <w:t>Procedimiento</w:t>
      </w:r>
    </w:p>
    <w:p w14:paraId="73AA72CD" w14:textId="6615AFE8" w:rsidR="0026639D" w:rsidRPr="008520D7" w:rsidRDefault="009E7858" w:rsidP="0026639D">
      <w:pPr>
        <w:pStyle w:val="Prrafodelista"/>
        <w:spacing w:before="100" w:beforeAutospacing="1" w:after="100" w:afterAutospacing="1" w:line="360" w:lineRule="auto"/>
        <w:ind w:left="0" w:firstLine="720"/>
        <w:jc w:val="both"/>
        <w:rPr>
          <w:rFonts w:ascii="Times New Roman" w:hAnsi="Times New Roman" w:cs="Times New Roman"/>
          <w:sz w:val="24"/>
          <w:szCs w:val="24"/>
          <w:lang w:val="es-ES"/>
        </w:rPr>
      </w:pPr>
      <w:r w:rsidRPr="008520D7">
        <w:rPr>
          <w:rFonts w:ascii="Times New Roman" w:hAnsi="Times New Roman" w:cs="Times New Roman"/>
          <w:sz w:val="24"/>
          <w:szCs w:val="24"/>
          <w:lang w:val="es-ES"/>
        </w:rPr>
        <w:t>La construcción del protocolo se realizó a través de tres fases interrelacionadas, cada una diseñada para asegurar la validez y pertinencia del protocolo final.</w:t>
      </w:r>
      <w:r>
        <w:rPr>
          <w:rFonts w:ascii="Times New Roman" w:hAnsi="Times New Roman" w:cs="Times New Roman"/>
          <w:sz w:val="24"/>
          <w:szCs w:val="24"/>
          <w:lang w:val="es-ES"/>
        </w:rPr>
        <w:t xml:space="preserve"> </w:t>
      </w:r>
      <w:r w:rsidR="0026639D" w:rsidRPr="008520D7">
        <w:rPr>
          <w:rFonts w:ascii="Times New Roman" w:hAnsi="Times New Roman" w:cs="Times New Roman"/>
          <w:sz w:val="24"/>
          <w:szCs w:val="24"/>
          <w:lang w:val="es-ES"/>
        </w:rPr>
        <w:t xml:space="preserve">En la primera fase, se realizó una revisión narrativa de la literatura que aborda intervenciones basadas en la evidencia desde el enfoque de recuperación, aplicadas en formato grupal para trastornos mentales graves y específicamente para intentos de suicidio. Esta revisión incluyó la búsqueda de artículos en bases de datos académicas como Web of Science y Scopus, utilizando palabras clave como "recuperación", "intervención grupal" o "modelo" o "marco teórico", "intentos de suicidio" y "trastornos mentales graves" y "adulto" </w:t>
      </w:r>
      <w:r w:rsidR="00C12796">
        <w:rPr>
          <w:rFonts w:ascii="Times New Roman" w:hAnsi="Times New Roman" w:cs="Times New Roman"/>
          <w:sz w:val="24"/>
          <w:szCs w:val="24"/>
          <w:lang w:val="es-ES"/>
        </w:rPr>
        <w:t xml:space="preserve">publicadas </w:t>
      </w:r>
      <w:r w:rsidR="0026639D" w:rsidRPr="008520D7">
        <w:rPr>
          <w:rFonts w:ascii="Times New Roman" w:hAnsi="Times New Roman" w:cs="Times New Roman"/>
          <w:sz w:val="24"/>
          <w:szCs w:val="24"/>
          <w:lang w:val="es-ES"/>
        </w:rPr>
        <w:t>hasta marzo de 2024. Se seleccionaron los estudios que cumplían criterios de inclusión predefinidos, como la implementación de intervenciones grupales que informaban resultados en la recuperación clínica y/o personal. No se encontraron intervenciones basadas en la evidencia específicas para la recuperación del intento de suicidio en formato grupal dirigidas a adultos que habían intentado suicidarse a lo largo de su vida que hubieran sido evaluadas hasta la fecha de la búsqueda. Se seleccionó Illness Management and Recovery (IMR) por su potencial de adaptación y su capacidad para implementarse en formato grupal. La IMR es una intervención psicosocial estandarizada orientada a objetivos cuyo propósito es ayudar a las personas con Enfermedades Mentales Graves y Persistentes (EM</w:t>
      </w:r>
      <w:r w:rsidR="00931B57">
        <w:rPr>
          <w:rFonts w:ascii="Times New Roman" w:hAnsi="Times New Roman" w:cs="Times New Roman"/>
          <w:sz w:val="24"/>
          <w:szCs w:val="24"/>
          <w:lang w:val="es-ES"/>
        </w:rPr>
        <w:t>G</w:t>
      </w:r>
      <w:r w:rsidR="0026639D" w:rsidRPr="008520D7">
        <w:rPr>
          <w:rFonts w:ascii="Times New Roman" w:hAnsi="Times New Roman" w:cs="Times New Roman"/>
          <w:sz w:val="24"/>
          <w:szCs w:val="24"/>
          <w:lang w:val="es-ES"/>
        </w:rPr>
        <w:t xml:space="preserve">P) a manejar mejor su enfermedad y alcanzar metas personalmente significativas (Mueser et al., 2006; Mueser, 2013). IMR </w:t>
      </w:r>
      <w:r w:rsidR="00862916" w:rsidRPr="008520D7">
        <w:rPr>
          <w:rFonts w:ascii="Times New Roman" w:hAnsi="Times New Roman" w:cs="Times New Roman"/>
          <w:sz w:val="24"/>
          <w:szCs w:val="24"/>
          <w:lang w:val="es-ES"/>
        </w:rPr>
        <w:t>ha</w:t>
      </w:r>
      <w:r w:rsidR="0026639D" w:rsidRPr="008520D7">
        <w:rPr>
          <w:rFonts w:ascii="Times New Roman" w:hAnsi="Times New Roman" w:cs="Times New Roman"/>
          <w:sz w:val="24"/>
          <w:szCs w:val="24"/>
          <w:lang w:val="es-ES"/>
        </w:rPr>
        <w:t xml:space="preserve"> mostrado resultados favorables (Daass-Iraqi et al., 2021; Dalum et al., 2011; Färdig et al., 2011; McGuire et al., 2014; Roosenschoon et al., 2021) </w:t>
      </w:r>
      <w:r w:rsidR="00746C2D">
        <w:rPr>
          <w:rFonts w:ascii="Times New Roman" w:hAnsi="Times New Roman" w:cs="Times New Roman"/>
          <w:sz w:val="24"/>
          <w:szCs w:val="24"/>
          <w:lang w:val="es-ES"/>
        </w:rPr>
        <w:t xml:space="preserve">y </w:t>
      </w:r>
      <w:r w:rsidR="0026639D" w:rsidRPr="008520D7">
        <w:rPr>
          <w:rFonts w:ascii="Times New Roman" w:hAnsi="Times New Roman" w:cs="Times New Roman"/>
          <w:sz w:val="24"/>
          <w:szCs w:val="24"/>
          <w:lang w:val="es-ES"/>
        </w:rPr>
        <w:t xml:space="preserve">tiene potencial como intervención complementaria para personas con </w:t>
      </w:r>
      <w:r w:rsidR="00746C2D" w:rsidRPr="008520D7">
        <w:rPr>
          <w:rFonts w:ascii="Times New Roman" w:hAnsi="Times New Roman" w:cs="Times New Roman"/>
          <w:sz w:val="24"/>
          <w:szCs w:val="24"/>
          <w:lang w:val="es-ES"/>
        </w:rPr>
        <w:t>EM</w:t>
      </w:r>
      <w:r w:rsidR="00746C2D">
        <w:rPr>
          <w:rFonts w:ascii="Times New Roman" w:hAnsi="Times New Roman" w:cs="Times New Roman"/>
          <w:sz w:val="24"/>
          <w:szCs w:val="24"/>
          <w:lang w:val="es-ES"/>
        </w:rPr>
        <w:t>G</w:t>
      </w:r>
      <w:r w:rsidR="00746C2D" w:rsidRPr="008520D7">
        <w:rPr>
          <w:rFonts w:ascii="Times New Roman" w:hAnsi="Times New Roman" w:cs="Times New Roman"/>
          <w:sz w:val="24"/>
          <w:szCs w:val="24"/>
          <w:lang w:val="es-ES"/>
        </w:rPr>
        <w:t>P</w:t>
      </w:r>
      <w:r w:rsidR="0026639D" w:rsidRPr="008520D7">
        <w:rPr>
          <w:rFonts w:ascii="Times New Roman" w:hAnsi="Times New Roman" w:cs="Times New Roman"/>
          <w:sz w:val="24"/>
          <w:szCs w:val="24"/>
          <w:lang w:val="es-ES"/>
        </w:rPr>
        <w:t xml:space="preserve"> (Goh et al., 2023).</w:t>
      </w:r>
    </w:p>
    <w:p w14:paraId="6D0327B1" w14:textId="77777777" w:rsidR="0026639D" w:rsidRPr="008520D7" w:rsidRDefault="0026639D" w:rsidP="0026639D">
      <w:pPr>
        <w:spacing w:before="100" w:beforeAutospacing="1" w:after="100" w:afterAutospacing="1" w:line="360" w:lineRule="auto"/>
        <w:ind w:firstLine="720"/>
        <w:jc w:val="both"/>
        <w:rPr>
          <w:lang w:val="es-ES"/>
        </w:rPr>
      </w:pPr>
      <w:r w:rsidRPr="008520D7">
        <w:rPr>
          <w:lang w:val="es-ES"/>
        </w:rPr>
        <w:t xml:space="preserve">Paralelamente, se realizó una revisión de modelos teóricos referidos específicamente a la recuperación de intentos de suicidio en población adulta. En esta revisión se identificaron marcos teóricos que proporcionaron una base sólida para el diseño del protocolo. Se consideró el modelo propuesto por Sokol et al. (2022) denominado COURAGE, que es el único desarrollado empíricamente en el campo de la conducta suicida en adultos. Este modelo representa una contribución a la atención clínica, y da cuenta de siete procesos: elegir la vida, optimizar la identidad, comprenderse a sí mismo, redescubrir el significado, aceptarse a sí mismo, generar una creciente conectividad y empoderamiento, que pueden ocurrir simultánea o aleatoriamente en el proceso de recuperación después de un intento de suicidio. Recientemente, COURAGE se ha incorporado al desarrollo de una intervención dirigida a la recuperación de intentos agudos de suicidio en veteranos de guerra (Sokol et al., 2021, Sokol et al., 2023). </w:t>
      </w:r>
    </w:p>
    <w:p w14:paraId="15767007" w14:textId="2D2C8567" w:rsidR="00AF2977" w:rsidRDefault="0026639D" w:rsidP="0026639D">
      <w:pPr>
        <w:spacing w:before="100" w:beforeAutospacing="1" w:after="100" w:afterAutospacing="1" w:line="360" w:lineRule="auto"/>
        <w:ind w:firstLine="720"/>
        <w:jc w:val="both"/>
        <w:rPr>
          <w:lang w:val="es-ES"/>
        </w:rPr>
      </w:pPr>
      <w:r w:rsidRPr="008520D7">
        <w:rPr>
          <w:lang w:val="es-ES"/>
        </w:rPr>
        <w:t xml:space="preserve">En una segunda fase, basándose en la versión española de </w:t>
      </w:r>
      <w:r w:rsidR="00C15B8E">
        <w:rPr>
          <w:lang w:val="es-ES"/>
        </w:rPr>
        <w:t>IMR</w:t>
      </w:r>
      <w:r w:rsidRPr="008520D7">
        <w:rPr>
          <w:lang w:val="es-ES"/>
        </w:rPr>
        <w:t xml:space="preserve">, desarrollada por la Asociación Española de Enfermería (2020) y tomando como referencia </w:t>
      </w:r>
      <w:r w:rsidR="004D2BF4">
        <w:rPr>
          <w:lang w:val="es-ES"/>
        </w:rPr>
        <w:t xml:space="preserve">las dimensiones propuestas en </w:t>
      </w:r>
      <w:r w:rsidRPr="008520D7">
        <w:rPr>
          <w:lang w:val="es-ES"/>
        </w:rPr>
        <w:t xml:space="preserve">el modelo de recuperación personal del intento de suicidio propuesto por Sokol et al. (2022) se diseñó un protocolo de intervención grupal de 10 sesiones </w:t>
      </w:r>
      <w:r w:rsidR="00494881">
        <w:rPr>
          <w:lang w:val="es-ES"/>
        </w:rPr>
        <w:t>para ser</w:t>
      </w:r>
      <w:r w:rsidRPr="008520D7">
        <w:rPr>
          <w:lang w:val="es-ES"/>
        </w:rPr>
        <w:t xml:space="preserve"> implementado por dos facilitadores previamente entrenados. Para validar este protocolo se realizó una revisión por parte de cinco jueces expertos en suicidología y recuperación, con experiencia clínica y/o</w:t>
      </w:r>
      <w:r w:rsidR="005A755B">
        <w:rPr>
          <w:lang w:val="es-ES"/>
        </w:rPr>
        <w:t xml:space="preserve"> de investigación </w:t>
      </w:r>
      <w:r w:rsidRPr="008520D7">
        <w:rPr>
          <w:lang w:val="es-ES"/>
        </w:rPr>
        <w:t xml:space="preserve">superior a 10 años. </w:t>
      </w:r>
    </w:p>
    <w:p w14:paraId="322AC2F1" w14:textId="36D6DBF5" w:rsidR="00256F75" w:rsidRPr="00256F75" w:rsidRDefault="00256F75" w:rsidP="00256F75">
      <w:pPr>
        <w:pBdr>
          <w:top w:val="nil"/>
          <w:left w:val="nil"/>
          <w:bottom w:val="nil"/>
          <w:right w:val="nil"/>
          <w:between w:val="nil"/>
        </w:pBdr>
        <w:spacing w:line="360" w:lineRule="auto"/>
        <w:jc w:val="both"/>
        <w:rPr>
          <w:b/>
          <w:i/>
          <w:color w:val="000000"/>
          <w:lang w:val="es-ES"/>
        </w:rPr>
      </w:pPr>
      <w:r w:rsidRPr="00256F75">
        <w:rPr>
          <w:b/>
          <w:i/>
          <w:color w:val="000000"/>
          <w:lang w:val="es-ES"/>
        </w:rPr>
        <w:t xml:space="preserve">Análisis de datos </w:t>
      </w:r>
    </w:p>
    <w:p w14:paraId="5473C237" w14:textId="43C64361" w:rsidR="0026639D" w:rsidRPr="008520D7" w:rsidRDefault="0026639D" w:rsidP="0026639D">
      <w:pPr>
        <w:spacing w:before="100" w:beforeAutospacing="1" w:after="100" w:afterAutospacing="1" w:line="360" w:lineRule="auto"/>
        <w:ind w:firstLine="720"/>
        <w:jc w:val="both"/>
        <w:rPr>
          <w:lang w:val="es-ES"/>
        </w:rPr>
      </w:pPr>
      <w:r w:rsidRPr="008520D7">
        <w:rPr>
          <w:lang w:val="es-ES"/>
        </w:rPr>
        <w:t>La revisión incluyó un análisis cualitativo del protocolo, en el que los jueces expertos completaron una lista de comprobación, evaluaron los diferentes componentes y aportaron sugerencias de mejora. De manera complementaria, se incluyó un análisis cuantitativo en el que los jueces expertos evaluaron la calidad del protocolo centrándose en la suficiencia, entendida como la capacidad de contribuir al proceso de recuperación del intento suicida; la pertinencia o facilidad de comprensión teniendo en cuenta la sintaxis y semántica adecuadas; la claridad o relación lógica con el problema a tratar; y la relevancia o importancia (Forero et al., 2020) de las guías para facilitadores, instrucciones para usuarios, cronologías de módulos/sesiones, ejercicios y prácticas intersesiones propuestas en el protocolo. Cada aspecto del protocolo fue calificado entre 1 y 4, donde 1 corresponde al incumplimiento del criterio y 4 a</w:t>
      </w:r>
      <w:r w:rsidR="00E65597">
        <w:rPr>
          <w:lang w:val="es-ES"/>
        </w:rPr>
        <w:t xml:space="preserve"> un </w:t>
      </w:r>
      <w:r w:rsidRPr="008520D7">
        <w:rPr>
          <w:lang w:val="es-ES"/>
        </w:rPr>
        <w:t xml:space="preserve">nivel </w:t>
      </w:r>
      <w:r w:rsidR="00E65597">
        <w:rPr>
          <w:lang w:val="es-ES"/>
        </w:rPr>
        <w:t xml:space="preserve">de cumplimiento </w:t>
      </w:r>
      <w:r w:rsidRPr="008520D7">
        <w:rPr>
          <w:lang w:val="es-ES"/>
        </w:rPr>
        <w:t xml:space="preserve">alto. Se analizaron las puntuaciones asignadas a cada aspecto evaluado y el nivel de variación entre jueces expertos. Posteriormente, el protocolo corregido fue socializado con un equipo multidisciplinario perteneciente a </w:t>
      </w:r>
      <w:r w:rsidR="0017401F">
        <w:rPr>
          <w:lang w:val="es-ES"/>
        </w:rPr>
        <w:t xml:space="preserve">una unidad de salud mental de </w:t>
      </w:r>
      <w:r w:rsidRPr="008520D7">
        <w:rPr>
          <w:lang w:val="es-ES"/>
        </w:rPr>
        <w:t>hospital público</w:t>
      </w:r>
      <w:r w:rsidR="0017401F">
        <w:rPr>
          <w:lang w:val="es-ES"/>
        </w:rPr>
        <w:t xml:space="preserve">. </w:t>
      </w:r>
      <w:r w:rsidRPr="008520D7">
        <w:rPr>
          <w:lang w:val="es-ES"/>
        </w:rPr>
        <w:t>Este equipo incluyó un total de 7 profesionales entre psiquiatras, psicólogos, trabajadores sociales y enfermeras, quienes proporcionaron retroalimentación adicional sobre los módulos propuestos, asegurando que el protocolo fuera práctico y aplicable en un escenario clínico real.</w:t>
      </w:r>
    </w:p>
    <w:p w14:paraId="77EEA0F4" w14:textId="00A72181" w:rsidR="0026639D" w:rsidRPr="008520D7" w:rsidRDefault="0026639D" w:rsidP="0026639D">
      <w:pPr>
        <w:spacing w:before="100" w:beforeAutospacing="1" w:after="100" w:afterAutospacing="1" w:line="360" w:lineRule="auto"/>
        <w:ind w:firstLine="720"/>
        <w:jc w:val="both"/>
        <w:rPr>
          <w:lang w:val="es-ES"/>
        </w:rPr>
      </w:pPr>
      <w:r w:rsidRPr="008520D7">
        <w:rPr>
          <w:lang w:val="es-ES"/>
        </w:rPr>
        <w:t xml:space="preserve">Finalmente, una vez </w:t>
      </w:r>
      <w:r w:rsidR="008A5BAF">
        <w:rPr>
          <w:lang w:val="es-ES"/>
        </w:rPr>
        <w:t>concluida</w:t>
      </w:r>
      <w:r w:rsidRPr="008520D7">
        <w:rPr>
          <w:lang w:val="es-ES"/>
        </w:rPr>
        <w:t xml:space="preserve"> la evaluación </w:t>
      </w:r>
      <w:r w:rsidR="008A5BAF" w:rsidRPr="008520D7">
        <w:rPr>
          <w:lang w:val="es-ES"/>
        </w:rPr>
        <w:t xml:space="preserve">de los jueces expertos </w:t>
      </w:r>
      <w:r w:rsidRPr="008520D7">
        <w:rPr>
          <w:lang w:val="es-ES"/>
        </w:rPr>
        <w:t>y socialización</w:t>
      </w:r>
      <w:r w:rsidR="00B15988">
        <w:rPr>
          <w:lang w:val="es-ES"/>
        </w:rPr>
        <w:t xml:space="preserve">, </w:t>
      </w:r>
      <w:r w:rsidRPr="008520D7">
        <w:rPr>
          <w:lang w:val="es-ES"/>
        </w:rPr>
        <w:t xml:space="preserve">se diseñó el protocolo definitivo incorporando todas las sugerencias y mejoras propuestas. Este protocolo se preparó para su aplicación en un entorno clínico, con la expectativa de evaluar su </w:t>
      </w:r>
      <w:r w:rsidR="001C764F">
        <w:rPr>
          <w:lang w:val="es-ES"/>
        </w:rPr>
        <w:t xml:space="preserve">impacto en </w:t>
      </w:r>
      <w:r w:rsidRPr="008520D7">
        <w:rPr>
          <w:lang w:val="es-ES"/>
        </w:rPr>
        <w:t>futuros estudios (</w:t>
      </w:r>
      <w:r w:rsidR="00215431">
        <w:rPr>
          <w:lang w:val="es-ES"/>
        </w:rPr>
        <w:t>Arellano-Faúndez</w:t>
      </w:r>
      <w:r w:rsidR="00BA7202">
        <w:rPr>
          <w:lang w:val="es-ES"/>
        </w:rPr>
        <w:t xml:space="preserve"> </w:t>
      </w:r>
      <w:r w:rsidR="00215431">
        <w:rPr>
          <w:lang w:val="es-ES"/>
        </w:rPr>
        <w:t>&amp; Méndez-</w:t>
      </w:r>
      <w:r w:rsidR="004567F6">
        <w:rPr>
          <w:lang w:val="es-ES"/>
        </w:rPr>
        <w:t>Bustos, 2025)</w:t>
      </w:r>
      <w:r w:rsidRPr="008520D7">
        <w:rPr>
          <w:lang w:val="es-ES"/>
        </w:rPr>
        <w:t>.</w:t>
      </w:r>
      <w:r w:rsidR="001C764F">
        <w:rPr>
          <w:lang w:val="es-ES"/>
        </w:rPr>
        <w:t xml:space="preserve"> </w:t>
      </w:r>
      <w:r w:rsidRPr="008520D7">
        <w:rPr>
          <w:lang w:val="es-ES"/>
        </w:rPr>
        <w:t>El enfoque metodológico propuesto</w:t>
      </w:r>
      <w:r w:rsidR="00323E12">
        <w:rPr>
          <w:lang w:val="es-ES"/>
        </w:rPr>
        <w:t>, busca que el</w:t>
      </w:r>
      <w:r w:rsidRPr="008520D7">
        <w:rPr>
          <w:lang w:val="es-ES"/>
        </w:rPr>
        <w:t xml:space="preserve"> IMR-ACS esté fundamentado y sea relevante para la población </w:t>
      </w:r>
      <w:r w:rsidR="00AF2977">
        <w:rPr>
          <w:lang w:val="es-ES"/>
        </w:rPr>
        <w:t>objetivo</w:t>
      </w:r>
      <w:r w:rsidRPr="008520D7">
        <w:rPr>
          <w:lang w:val="es-ES"/>
        </w:rPr>
        <w:t>, ofreciendo una intervención prometedora para la recuperación de adultos con antecedentes de intentos de suicidio.</w:t>
      </w:r>
    </w:p>
    <w:p w14:paraId="1232E241" w14:textId="77777777" w:rsidR="009E7858" w:rsidRDefault="009E7858" w:rsidP="009E7858">
      <w:pPr>
        <w:pBdr>
          <w:top w:val="nil"/>
          <w:left w:val="nil"/>
          <w:bottom w:val="nil"/>
          <w:right w:val="nil"/>
          <w:between w:val="nil"/>
        </w:pBdr>
        <w:spacing w:line="360" w:lineRule="auto"/>
        <w:jc w:val="both"/>
        <w:rPr>
          <w:b/>
          <w:i/>
          <w:color w:val="000000"/>
          <w:lang w:val="es-ES"/>
        </w:rPr>
      </w:pPr>
      <w:r w:rsidRPr="009E7858">
        <w:rPr>
          <w:b/>
          <w:i/>
          <w:color w:val="000000"/>
          <w:lang w:val="es-ES"/>
        </w:rPr>
        <w:t xml:space="preserve">Consideraciones </w:t>
      </w:r>
      <w:r>
        <w:rPr>
          <w:b/>
          <w:i/>
          <w:color w:val="000000"/>
          <w:lang w:val="es-ES"/>
        </w:rPr>
        <w:t>éticas</w:t>
      </w:r>
    </w:p>
    <w:p w14:paraId="451E7F8D" w14:textId="2B9E7212" w:rsidR="009E7858" w:rsidRPr="008520D7" w:rsidRDefault="009E7858" w:rsidP="009E7858">
      <w:pPr>
        <w:pStyle w:val="Prrafodelista"/>
        <w:spacing w:before="100" w:beforeAutospacing="1" w:after="100" w:afterAutospacing="1" w:line="360" w:lineRule="auto"/>
        <w:ind w:left="0" w:firstLine="720"/>
        <w:jc w:val="both"/>
        <w:rPr>
          <w:rFonts w:ascii="Times New Roman" w:hAnsi="Times New Roman" w:cs="Times New Roman"/>
          <w:sz w:val="24"/>
          <w:szCs w:val="24"/>
          <w:lang w:val="es-ES"/>
        </w:rPr>
      </w:pPr>
      <w:r w:rsidRPr="008520D7">
        <w:rPr>
          <w:rFonts w:ascii="Times New Roman" w:hAnsi="Times New Roman" w:cs="Times New Roman"/>
          <w:sz w:val="24"/>
          <w:szCs w:val="24"/>
          <w:lang w:val="es-ES"/>
        </w:rPr>
        <w:t xml:space="preserve">La construcción del protocolo de intervención </w:t>
      </w:r>
      <w:r w:rsidR="006C0F58" w:rsidRPr="008520D7">
        <w:rPr>
          <w:rFonts w:ascii="Times New Roman" w:hAnsi="Times New Roman" w:cs="Times New Roman"/>
          <w:sz w:val="24"/>
          <w:szCs w:val="24"/>
          <w:lang w:val="es-ES"/>
        </w:rPr>
        <w:t>se enmarcó en el</w:t>
      </w:r>
      <w:r w:rsidRPr="008520D7">
        <w:rPr>
          <w:rFonts w:ascii="Times New Roman" w:hAnsi="Times New Roman" w:cs="Times New Roman"/>
          <w:sz w:val="24"/>
          <w:szCs w:val="24"/>
          <w:lang w:val="es-ES"/>
        </w:rPr>
        <w:t xml:space="preserve"> estudio aprobado por el Comité de Ética Científica de la Universidad Católica del Maule, Chile, el 14 de mayo de 2024, con número de Acta N°78/2024.</w:t>
      </w:r>
    </w:p>
    <w:p w14:paraId="4F360225" w14:textId="77777777" w:rsidR="004D4BBD" w:rsidRPr="009E7858" w:rsidRDefault="004D4BBD">
      <w:pPr>
        <w:pBdr>
          <w:top w:val="nil"/>
          <w:left w:val="nil"/>
          <w:bottom w:val="nil"/>
          <w:right w:val="nil"/>
          <w:between w:val="nil"/>
        </w:pBdr>
        <w:jc w:val="center"/>
        <w:rPr>
          <w:b/>
          <w:color w:val="000000"/>
          <w:lang w:val="es-ES"/>
        </w:rPr>
      </w:pPr>
    </w:p>
    <w:p w14:paraId="4C884A90" w14:textId="6D4F3FDE" w:rsidR="00E65307" w:rsidRPr="009F6ACB" w:rsidRDefault="00EB278B">
      <w:pPr>
        <w:pBdr>
          <w:top w:val="nil"/>
          <w:left w:val="nil"/>
          <w:bottom w:val="nil"/>
          <w:right w:val="nil"/>
          <w:between w:val="nil"/>
        </w:pBdr>
        <w:jc w:val="center"/>
        <w:rPr>
          <w:b/>
          <w:color w:val="000000"/>
          <w:lang w:val="es-CL"/>
        </w:rPr>
      </w:pPr>
      <w:r w:rsidRPr="009F6ACB">
        <w:rPr>
          <w:b/>
          <w:color w:val="000000"/>
          <w:lang w:val="es-CL"/>
        </w:rPr>
        <w:t>Result</w:t>
      </w:r>
      <w:r w:rsidR="009B23B3">
        <w:rPr>
          <w:b/>
          <w:color w:val="000000"/>
          <w:lang w:val="es-CL"/>
        </w:rPr>
        <w:t>ados</w:t>
      </w:r>
    </w:p>
    <w:p w14:paraId="1ED76456" w14:textId="77777777" w:rsidR="00F37D47" w:rsidRPr="009F6ACB" w:rsidRDefault="00F37D47" w:rsidP="009B23B3">
      <w:pPr>
        <w:spacing w:before="100" w:beforeAutospacing="1" w:after="100" w:afterAutospacing="1" w:line="360" w:lineRule="auto"/>
        <w:jc w:val="both"/>
        <w:rPr>
          <w:b/>
          <w:bCs/>
          <w:i/>
          <w:iCs/>
          <w:lang w:val="es-CL"/>
        </w:rPr>
      </w:pPr>
      <w:r w:rsidRPr="009F6ACB">
        <w:rPr>
          <w:b/>
          <w:bCs/>
          <w:i/>
          <w:iCs/>
          <w:lang w:val="es-CL"/>
        </w:rPr>
        <w:t>Evaluación por jueces expertos</w:t>
      </w:r>
    </w:p>
    <w:p w14:paraId="4830FB21" w14:textId="6B3848AC" w:rsidR="00F37D47" w:rsidRPr="009F6ACB" w:rsidRDefault="00F37D47" w:rsidP="009B23B3">
      <w:pPr>
        <w:spacing w:before="100" w:beforeAutospacing="1" w:after="100" w:afterAutospacing="1" w:line="360" w:lineRule="auto"/>
        <w:ind w:firstLine="720"/>
        <w:jc w:val="both"/>
        <w:rPr>
          <w:lang w:val="es-CL"/>
        </w:rPr>
      </w:pPr>
      <w:r w:rsidRPr="009F6ACB">
        <w:rPr>
          <w:lang w:val="es-CL"/>
        </w:rPr>
        <w:t>La evaluación general de los jueces expertos indica que el Protocolo IMR-ACS fue percibido mayoritariamente de forma positiva, con medias que oscilan entre 3,8 y 4,0. Los jueces expertos mostraron una gran coherencia en sus evaluaciones, con desviaciones estándar de 0,00 para muchos de los criterios evaluados. Sin embargo, algunos criterios (por ejemplo, los relativos a la adecuación de las instrucciones para los facilitadores, las guías para los usuarios, el contenido de los módulos y las sesiones, y el orden o la cronología de los módulos) muestran una mayor dispersión (</w:t>
      </w:r>
      <w:r w:rsidRPr="007011CA">
        <w:rPr>
          <w:i/>
          <w:iCs/>
          <w:lang w:val="es-CL"/>
        </w:rPr>
        <w:t>DE</w:t>
      </w:r>
      <w:r w:rsidRPr="009F6ACB">
        <w:rPr>
          <w:lang w:val="es-CL"/>
        </w:rPr>
        <w:t xml:space="preserve">=0,55). </w:t>
      </w:r>
    </w:p>
    <w:p w14:paraId="1A1EEA32" w14:textId="77777777" w:rsidR="00F37D47" w:rsidRPr="009F6ACB" w:rsidRDefault="00F37D47" w:rsidP="009B23B3">
      <w:pPr>
        <w:spacing w:before="100" w:beforeAutospacing="1" w:after="100" w:afterAutospacing="1" w:line="360" w:lineRule="auto"/>
        <w:ind w:firstLine="720"/>
        <w:jc w:val="both"/>
        <w:rPr>
          <w:lang w:val="es-CL"/>
        </w:rPr>
      </w:pPr>
      <w:r w:rsidRPr="009F6ACB">
        <w:rPr>
          <w:lang w:val="es-CL"/>
        </w:rPr>
        <w:t xml:space="preserve">En los criterios con puntuaciones medias de 4,0, la intervención fue percibida como extremadamente clara y relevante, especialmente en lo relativo a las guías de usuario y al contenido de los módulos y sesiones. Mientras que los criterios con puntuaciones ligeramente inferiores (3,4 y 3,6) en aspectos como las instrucciones dirigidas a los facilitadores y los ejercicios propuestos fueron mejorados en el Protocolo final, a partir de la retroalimentación obtenida en la fase de evaluación cualitativa de jueces expertos y del proceso de socialización.    </w:t>
      </w:r>
    </w:p>
    <w:p w14:paraId="5E722D99" w14:textId="77777777" w:rsidR="00F37D47" w:rsidRPr="009F6ACB" w:rsidRDefault="00F37D47" w:rsidP="009B23B3">
      <w:pPr>
        <w:spacing w:before="100" w:beforeAutospacing="1" w:after="100" w:afterAutospacing="1" w:line="360" w:lineRule="auto"/>
        <w:jc w:val="both"/>
        <w:rPr>
          <w:b/>
          <w:bCs/>
          <w:i/>
          <w:iCs/>
          <w:lang w:val="es-CL"/>
        </w:rPr>
      </w:pPr>
      <w:r w:rsidRPr="009F6ACB">
        <w:rPr>
          <w:b/>
          <w:bCs/>
          <w:i/>
          <w:iCs/>
          <w:lang w:val="es-CL"/>
        </w:rPr>
        <w:t xml:space="preserve">Protocolo final  </w:t>
      </w:r>
    </w:p>
    <w:p w14:paraId="4F8F9DDC" w14:textId="7EC6B2C1" w:rsidR="00F37D47" w:rsidRPr="009F6ACB" w:rsidRDefault="00F37D47" w:rsidP="009B23B3">
      <w:pPr>
        <w:spacing w:before="100" w:beforeAutospacing="1" w:after="100" w:afterAutospacing="1" w:line="360" w:lineRule="auto"/>
        <w:ind w:firstLine="720"/>
        <w:jc w:val="both"/>
        <w:rPr>
          <w:lang w:val="es-CL"/>
        </w:rPr>
      </w:pPr>
      <w:r w:rsidRPr="009F6ACB">
        <w:rPr>
          <w:lang w:val="es-CL"/>
        </w:rPr>
        <w:t xml:space="preserve">Se diseñó un protocolo de intervención que incluía un módulo introductorio en formato individual, cuya finalidad es preparar y motivar la participación en la intervención grupal, además de 6 módulos estructurados en 10 sesiones grupales con una duración aproximada de 1,5 horas y destinadas a un máximo de 12 participantes. En el proceso de adaptación, se sustituyeron, eliminaron y fusionaron módulos sin perder la naturaleza </w:t>
      </w:r>
      <w:r w:rsidR="00A14C6B" w:rsidRPr="009F6ACB">
        <w:rPr>
          <w:lang w:val="es-CL"/>
        </w:rPr>
        <w:t>de IMR</w:t>
      </w:r>
      <w:r w:rsidRPr="009F6ACB">
        <w:rPr>
          <w:lang w:val="es-CL"/>
        </w:rPr>
        <w:t xml:space="preserve">. Por ejemplo, se incorporó un módulo asociado a la comprensión de la crisis suicida en el contexto de la vida del usuario, se agregó un módulo sobre planificación de la seguridad, se fusionaron módulos sobre apoyo social y manejo del estrés y se focalizó el contenido específicamente en la recuperación de un intento de suicidio. Se mantuvo el foco central en </w:t>
      </w:r>
      <w:r w:rsidR="0032077B">
        <w:rPr>
          <w:lang w:val="es-CL"/>
        </w:rPr>
        <w:t>el</w:t>
      </w:r>
      <w:r w:rsidRPr="009F6ACB">
        <w:rPr>
          <w:lang w:val="es-CL"/>
        </w:rPr>
        <w:t xml:space="preserve"> desarrollo de estrategias viables para la construcción y seguimiento de los objetivos personales de recuperación de cada usuario, promoviendo una visión de futuro y fomentando la esperanza. También se incorporó un módulo final, cuyo objetivo fue revisar la historia de vida, la experiencia de intervención y la proyección futura.</w:t>
      </w:r>
    </w:p>
    <w:p w14:paraId="53A7D60A" w14:textId="77777777" w:rsidR="00F37D47" w:rsidRPr="009F6ACB" w:rsidRDefault="00F37D47" w:rsidP="009B23B3">
      <w:pPr>
        <w:spacing w:before="100" w:beforeAutospacing="1" w:after="100" w:afterAutospacing="1" w:line="360" w:lineRule="auto"/>
        <w:ind w:firstLine="720"/>
        <w:jc w:val="both"/>
        <w:rPr>
          <w:lang w:val="es-CL"/>
        </w:rPr>
      </w:pPr>
      <w:r w:rsidRPr="009F6ACB">
        <w:rPr>
          <w:lang w:val="es-CL"/>
        </w:rPr>
        <w:t>La adaptación consideró como ejes transversales algunos aspectos de las dimensiones propuestas en el modelo COURAGE (Sokol et al., 2022), especialmente ayudar a recuperar el deseo de vivir y planificar el futuro (elegir la vida), fomentar el desarrollo de la confianza en uno mismo y la autoestima (optimización de la identidad), promover la comprensión de uno mismo y de su historia vital (comprenderse a uno mismo), fomentar el propósito y el sentido de la vida (redescubrir el sentido), fomentar el apoyo social (conexión creciente) y las habilidades para desarrollar la agencia y buscar ayuda profesional (empoderamiento).</w:t>
      </w:r>
    </w:p>
    <w:p w14:paraId="3E4E1CA3" w14:textId="79334E4D" w:rsidR="00F37D47" w:rsidRPr="009F6ACB" w:rsidRDefault="00F37D47" w:rsidP="09C2A411">
      <w:pPr>
        <w:spacing w:beforeAutospacing="1" w:afterAutospacing="1" w:line="360" w:lineRule="auto"/>
        <w:ind w:firstLine="720"/>
        <w:jc w:val="both"/>
        <w:rPr>
          <w:lang w:val="es-CL"/>
        </w:rPr>
      </w:pPr>
      <w:r w:rsidRPr="09C2A411">
        <w:rPr>
          <w:lang w:val="es-CL"/>
        </w:rPr>
        <w:t>El Protocolo IMR-ACS incorpora instrucciones para los</w:t>
      </w:r>
      <w:r w:rsidR="004411E8" w:rsidRPr="09C2A411">
        <w:rPr>
          <w:lang w:val="es-CL"/>
        </w:rPr>
        <w:t xml:space="preserve"> facilitadores </w:t>
      </w:r>
      <w:r w:rsidRPr="09C2A411">
        <w:rPr>
          <w:lang w:val="es-CL"/>
        </w:rPr>
        <w:t xml:space="preserve">de la intervención que describen la implementación de cada módulo y sesión, guías para los participantes con información relevante para la comprensión de los temas abordados, ejercicios a desarrollar durante las sesiones y prácticas a realizar entre sesiones. Como se muestra en la Tabla 1, el primer módulo, </w:t>
      </w:r>
      <w:r w:rsidRPr="09C2A411">
        <w:rPr>
          <w:i/>
          <w:iCs/>
          <w:lang w:val="es-CL"/>
        </w:rPr>
        <w:t>Conocer estrategias para la recuperación</w:t>
      </w:r>
      <w:r w:rsidRPr="09C2A411">
        <w:rPr>
          <w:lang w:val="es-CL"/>
        </w:rPr>
        <w:t xml:space="preserve">, consta de una sesión que pretende animar a los participantes a construir sus propias definiciones de recuperación en el contexto de sus historias vitales y a proponer objetivos personales significativos que serán objeto de seguimiento a lo largo de la intervención. </w:t>
      </w:r>
    </w:p>
    <w:p w14:paraId="55AD5CA6" w14:textId="77777777" w:rsidR="00F37D47" w:rsidRPr="009F6ACB" w:rsidRDefault="00F37D47" w:rsidP="00F37D47">
      <w:pPr>
        <w:spacing w:line="360" w:lineRule="auto"/>
        <w:rPr>
          <w:lang w:val="es-CL"/>
        </w:rPr>
      </w:pPr>
    </w:p>
    <w:p w14:paraId="76C8386C" w14:textId="77777777" w:rsidR="00F37D47" w:rsidRPr="009F6ACB" w:rsidRDefault="00F37D47" w:rsidP="00F37D47">
      <w:pPr>
        <w:spacing w:line="360" w:lineRule="auto"/>
        <w:rPr>
          <w:lang w:val="es-CL"/>
        </w:rPr>
      </w:pPr>
    </w:p>
    <w:p w14:paraId="7A298B8E" w14:textId="77777777" w:rsidR="00F37D47" w:rsidRPr="009F6ACB" w:rsidRDefault="00F37D47" w:rsidP="00F37D47">
      <w:pPr>
        <w:spacing w:line="360" w:lineRule="auto"/>
        <w:rPr>
          <w:lang w:val="es-CL"/>
        </w:rPr>
      </w:pPr>
    </w:p>
    <w:p w14:paraId="26DBBE66" w14:textId="77777777" w:rsidR="00F37D47" w:rsidRPr="009F6ACB" w:rsidRDefault="00F37D47" w:rsidP="00F37D47">
      <w:pPr>
        <w:spacing w:line="360" w:lineRule="auto"/>
        <w:rPr>
          <w:lang w:val="es-CL"/>
        </w:rPr>
      </w:pPr>
    </w:p>
    <w:p w14:paraId="5724139D" w14:textId="77777777" w:rsidR="00F37D47" w:rsidRPr="009F6ACB" w:rsidRDefault="00F37D47" w:rsidP="00F37D47">
      <w:pPr>
        <w:spacing w:line="360" w:lineRule="auto"/>
        <w:rPr>
          <w:lang w:val="es-CL"/>
        </w:rPr>
      </w:pPr>
    </w:p>
    <w:p w14:paraId="1E114F98" w14:textId="77777777" w:rsidR="00F37D47" w:rsidRPr="009F6ACB" w:rsidRDefault="00F37D47" w:rsidP="00F37D47">
      <w:pPr>
        <w:rPr>
          <w:lang w:val="es-CL"/>
        </w:rPr>
      </w:pPr>
      <w:r w:rsidRPr="009F6ACB">
        <w:rPr>
          <w:lang w:val="es-CL"/>
        </w:rPr>
        <w:br w:type="page"/>
      </w:r>
    </w:p>
    <w:p w14:paraId="192740BB" w14:textId="77777777" w:rsidR="00F37D47" w:rsidRPr="009F6ACB" w:rsidRDefault="00F37D47" w:rsidP="00F37D47">
      <w:pPr>
        <w:spacing w:line="360" w:lineRule="auto"/>
        <w:rPr>
          <w:lang w:val="es-CL"/>
        </w:rPr>
        <w:sectPr w:rsidR="00F37D47" w:rsidRPr="009F6ACB" w:rsidSect="00F17C58">
          <w:pgSz w:w="11906" w:h="16838" w:code="9"/>
          <w:pgMar w:top="1418" w:right="1418" w:bottom="1418" w:left="1418" w:header="708" w:footer="708" w:gutter="0"/>
          <w:cols w:space="708"/>
          <w:docGrid w:linePitch="360"/>
        </w:sectPr>
      </w:pPr>
    </w:p>
    <w:p w14:paraId="11EAF67E" w14:textId="77777777" w:rsidR="00F37D47" w:rsidRPr="009F6ACB" w:rsidRDefault="00F37D47" w:rsidP="00F37D47">
      <w:pPr>
        <w:spacing w:line="360" w:lineRule="auto"/>
        <w:rPr>
          <w:lang w:val="es-CL"/>
        </w:rPr>
      </w:pPr>
      <w:r w:rsidRPr="009F6ACB">
        <w:rPr>
          <w:lang w:val="es-CL"/>
        </w:rPr>
        <w:t>Tabla 1</w:t>
      </w:r>
    </w:p>
    <w:p w14:paraId="7DFEE7DB" w14:textId="77777777" w:rsidR="00F37D47" w:rsidRPr="009F6ACB" w:rsidRDefault="00F37D47" w:rsidP="00F37D47">
      <w:pPr>
        <w:spacing w:line="360" w:lineRule="auto"/>
        <w:rPr>
          <w:i/>
          <w:iCs/>
          <w:lang w:val="es-CL"/>
        </w:rPr>
      </w:pPr>
      <w:r w:rsidRPr="009F6ACB">
        <w:rPr>
          <w:i/>
          <w:iCs/>
          <w:lang w:val="es-CL"/>
        </w:rPr>
        <w:t xml:space="preserve">Descripción de los módulos y sesiones del IMR-ACS </w:t>
      </w:r>
    </w:p>
    <w:p w14:paraId="3711C395" w14:textId="77777777" w:rsidR="00F37D47" w:rsidRPr="009F6ACB" w:rsidRDefault="00F37D47" w:rsidP="00F37D47">
      <w:pPr>
        <w:spacing w:line="360" w:lineRule="auto"/>
        <w:rPr>
          <w:i/>
          <w:iCs/>
          <w:lang w:val="es-CL"/>
        </w:rPr>
      </w:pPr>
    </w:p>
    <w:tbl>
      <w:tblPr>
        <w:tblStyle w:val="Tablanormal2"/>
        <w:tblW w:w="5042" w:type="pct"/>
        <w:tblInd w:w="-108" w:type="dxa"/>
        <w:tblBorders>
          <w:top w:val="none" w:sz="0" w:space="0" w:color="auto"/>
          <w:bottom w:val="none" w:sz="0" w:space="0" w:color="auto"/>
        </w:tblBorders>
        <w:tblLook w:val="04A0" w:firstRow="1" w:lastRow="0" w:firstColumn="1" w:lastColumn="0" w:noHBand="0" w:noVBand="1"/>
      </w:tblPr>
      <w:tblGrid>
        <w:gridCol w:w="1196"/>
        <w:gridCol w:w="1644"/>
        <w:gridCol w:w="1193"/>
        <w:gridCol w:w="2686"/>
        <w:gridCol w:w="6394"/>
      </w:tblGrid>
      <w:tr w:rsidR="00F37D47" w:rsidRPr="009F6ACB" w14:paraId="3FDAD771" w14:textId="77777777" w:rsidTr="002321AC">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52" w:type="pct"/>
            <w:tcBorders>
              <w:top w:val="single" w:sz="4" w:space="0" w:color="auto"/>
              <w:bottom w:val="single" w:sz="4" w:space="0" w:color="auto"/>
            </w:tcBorders>
          </w:tcPr>
          <w:p w14:paraId="3F88EAE5" w14:textId="77777777" w:rsidR="00F37D47" w:rsidRPr="009F6ACB" w:rsidRDefault="00F37D47" w:rsidP="002321AC">
            <w:pPr>
              <w:jc w:val="center"/>
              <w:rPr>
                <w:rFonts w:ascii="Times New Roman" w:hAnsi="Times New Roman" w:cs="Times New Roman"/>
                <w:b w:val="0"/>
                <w:bCs w:val="0"/>
                <w:sz w:val="24"/>
                <w:szCs w:val="24"/>
                <w:lang w:val="es-CL"/>
              </w:rPr>
            </w:pPr>
            <w:r w:rsidRPr="009F6ACB">
              <w:rPr>
                <w:rFonts w:ascii="Times New Roman" w:hAnsi="Times New Roman" w:cs="Times New Roman"/>
                <w:sz w:val="24"/>
                <w:szCs w:val="24"/>
                <w:lang w:val="es-CL"/>
              </w:rPr>
              <w:t>Número de módulo</w:t>
            </w:r>
          </w:p>
        </w:tc>
        <w:tc>
          <w:tcPr>
            <w:tcW w:w="622" w:type="pct"/>
            <w:tcBorders>
              <w:top w:val="single" w:sz="4" w:space="0" w:color="auto"/>
              <w:bottom w:val="single" w:sz="4" w:space="0" w:color="auto"/>
            </w:tcBorders>
          </w:tcPr>
          <w:p w14:paraId="02A81CC6" w14:textId="77777777" w:rsidR="00F37D47" w:rsidRPr="009F6ACB" w:rsidRDefault="00F37D47" w:rsidP="002321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s-CL"/>
              </w:rPr>
            </w:pPr>
            <w:r w:rsidRPr="009F6ACB">
              <w:rPr>
                <w:rFonts w:ascii="Times New Roman" w:hAnsi="Times New Roman" w:cs="Times New Roman"/>
                <w:sz w:val="24"/>
                <w:szCs w:val="24"/>
                <w:lang w:val="es-CL"/>
              </w:rPr>
              <w:t>Nombre del módulo</w:t>
            </w:r>
          </w:p>
        </w:tc>
        <w:tc>
          <w:tcPr>
            <w:tcW w:w="451" w:type="pct"/>
            <w:tcBorders>
              <w:top w:val="single" w:sz="4" w:space="0" w:color="auto"/>
              <w:bottom w:val="single" w:sz="4" w:space="0" w:color="auto"/>
            </w:tcBorders>
          </w:tcPr>
          <w:p w14:paraId="066499A5" w14:textId="77777777" w:rsidR="00F37D47" w:rsidRPr="009F6ACB" w:rsidRDefault="00F37D47" w:rsidP="002321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s-CL"/>
              </w:rPr>
            </w:pPr>
            <w:r w:rsidRPr="009F6ACB">
              <w:rPr>
                <w:rFonts w:ascii="Times New Roman" w:hAnsi="Times New Roman" w:cs="Times New Roman"/>
                <w:sz w:val="24"/>
                <w:szCs w:val="24"/>
                <w:lang w:val="es-CL"/>
              </w:rPr>
              <w:t>Número de sesión</w:t>
            </w:r>
          </w:p>
        </w:tc>
        <w:tc>
          <w:tcPr>
            <w:tcW w:w="1015" w:type="pct"/>
            <w:tcBorders>
              <w:top w:val="single" w:sz="4" w:space="0" w:color="auto"/>
              <w:bottom w:val="single" w:sz="4" w:space="0" w:color="auto"/>
            </w:tcBorders>
          </w:tcPr>
          <w:p w14:paraId="5C670DE2" w14:textId="77777777" w:rsidR="00F37D47" w:rsidRPr="009F6ACB" w:rsidRDefault="00F37D47" w:rsidP="002321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s-CL"/>
              </w:rPr>
            </w:pPr>
            <w:r w:rsidRPr="009F6ACB">
              <w:rPr>
                <w:rFonts w:ascii="Times New Roman" w:hAnsi="Times New Roman" w:cs="Times New Roman"/>
                <w:sz w:val="24"/>
                <w:szCs w:val="24"/>
                <w:lang w:val="es-CL"/>
              </w:rPr>
              <w:t>Nombre de la sesión</w:t>
            </w:r>
          </w:p>
        </w:tc>
        <w:tc>
          <w:tcPr>
            <w:tcW w:w="2418" w:type="pct"/>
            <w:tcBorders>
              <w:top w:val="single" w:sz="4" w:space="0" w:color="auto"/>
              <w:bottom w:val="single" w:sz="4" w:space="0" w:color="auto"/>
            </w:tcBorders>
          </w:tcPr>
          <w:p w14:paraId="788C77BF" w14:textId="77777777" w:rsidR="00F37D47" w:rsidRPr="009F6ACB" w:rsidRDefault="00F37D47" w:rsidP="002321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Objetivos</w:t>
            </w:r>
          </w:p>
        </w:tc>
      </w:tr>
      <w:tr w:rsidR="00F37D47" w:rsidRPr="009F6ACB" w14:paraId="5C81EE78" w14:textId="77777777" w:rsidTr="002321AC">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52" w:type="pct"/>
            <w:tcBorders>
              <w:top w:val="single" w:sz="4" w:space="0" w:color="auto"/>
            </w:tcBorders>
          </w:tcPr>
          <w:p w14:paraId="4987EA09" w14:textId="77777777" w:rsidR="00F37D47" w:rsidRPr="009F6ACB" w:rsidRDefault="00F37D47" w:rsidP="002321AC">
            <w:pPr>
              <w:jc w:val="center"/>
              <w:rPr>
                <w:rFonts w:ascii="Times New Roman" w:hAnsi="Times New Roman" w:cs="Times New Roman"/>
                <w:sz w:val="24"/>
                <w:szCs w:val="24"/>
                <w:lang w:val="es-CL"/>
              </w:rPr>
            </w:pPr>
            <w:r w:rsidRPr="009F6ACB">
              <w:rPr>
                <w:rFonts w:ascii="Times New Roman" w:hAnsi="Times New Roman" w:cs="Times New Roman"/>
                <w:sz w:val="24"/>
                <w:szCs w:val="24"/>
                <w:lang w:val="es-CL"/>
              </w:rPr>
              <w:t>0</w:t>
            </w:r>
          </w:p>
        </w:tc>
        <w:tc>
          <w:tcPr>
            <w:tcW w:w="622" w:type="pct"/>
            <w:tcBorders>
              <w:top w:val="single" w:sz="4" w:space="0" w:color="auto"/>
            </w:tcBorders>
          </w:tcPr>
          <w:p w14:paraId="7E2A28E4"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 xml:space="preserve">Introducción al programa </w:t>
            </w:r>
            <w:r w:rsidRPr="009F6ACB">
              <w:rPr>
                <w:rFonts w:ascii="Times New Roman" w:hAnsi="Times New Roman" w:cs="Times New Roman"/>
                <w:i/>
                <w:iCs/>
                <w:sz w:val="24"/>
                <w:szCs w:val="24"/>
                <w:lang w:val="es-CL"/>
              </w:rPr>
              <w:t>IMR-ACS</w:t>
            </w:r>
          </w:p>
        </w:tc>
        <w:tc>
          <w:tcPr>
            <w:tcW w:w="451" w:type="pct"/>
            <w:tcBorders>
              <w:top w:val="single" w:sz="4" w:space="0" w:color="auto"/>
            </w:tcBorders>
          </w:tcPr>
          <w:p w14:paraId="326FB9ED"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0</w:t>
            </w:r>
          </w:p>
        </w:tc>
        <w:tc>
          <w:tcPr>
            <w:tcW w:w="1015" w:type="pct"/>
            <w:tcBorders>
              <w:top w:val="single" w:sz="4" w:space="0" w:color="auto"/>
            </w:tcBorders>
          </w:tcPr>
          <w:p w14:paraId="033C7FC2"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 xml:space="preserve">Conocer el programa </w:t>
            </w:r>
            <w:r w:rsidRPr="009F6ACB">
              <w:rPr>
                <w:rFonts w:ascii="Times New Roman" w:hAnsi="Times New Roman" w:cs="Times New Roman"/>
                <w:i/>
                <w:iCs/>
                <w:sz w:val="24"/>
                <w:szCs w:val="24"/>
                <w:lang w:val="es-CL"/>
              </w:rPr>
              <w:t>IMR-ACS</w:t>
            </w:r>
          </w:p>
        </w:tc>
        <w:tc>
          <w:tcPr>
            <w:tcW w:w="2418" w:type="pct"/>
            <w:tcBorders>
              <w:top w:val="single" w:sz="4" w:space="0" w:color="auto"/>
            </w:tcBorders>
          </w:tcPr>
          <w:p w14:paraId="42FDF3F8" w14:textId="77777777" w:rsidR="00F37D47" w:rsidRPr="009F6ACB" w:rsidRDefault="00F37D47" w:rsidP="002321AC">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 xml:space="preserve">Conocer los objetivos y la metodología del IMR-ACS. </w:t>
            </w:r>
          </w:p>
          <w:p w14:paraId="2385374E" w14:textId="77777777" w:rsidR="00F37D47" w:rsidRPr="009F6ACB" w:rsidRDefault="00F37D47" w:rsidP="002321AC">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Fomentar la participación y el compromiso de los usuarios.</w:t>
            </w:r>
          </w:p>
          <w:p w14:paraId="48A77D62" w14:textId="77777777" w:rsidR="00F37D47" w:rsidRPr="009F6ACB" w:rsidRDefault="00F37D47" w:rsidP="002321AC">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Evaluar las expectativas de los usuarios antes de iniciar el IMR-ACS, para compararlas con los resultados obtenidos al final.</w:t>
            </w:r>
          </w:p>
        </w:tc>
      </w:tr>
      <w:tr w:rsidR="00F37D47" w:rsidRPr="009F6ACB" w14:paraId="4EE8BD18" w14:textId="77777777" w:rsidTr="002321AC">
        <w:trPr>
          <w:trHeight w:val="560"/>
        </w:trPr>
        <w:tc>
          <w:tcPr>
            <w:cnfStyle w:val="001000000000" w:firstRow="0" w:lastRow="0" w:firstColumn="1" w:lastColumn="0" w:oddVBand="0" w:evenVBand="0" w:oddHBand="0" w:evenHBand="0" w:firstRowFirstColumn="0" w:firstRowLastColumn="0" w:lastRowFirstColumn="0" w:lastRowLastColumn="0"/>
            <w:tcW w:w="452" w:type="pct"/>
            <w:vMerge w:val="restart"/>
          </w:tcPr>
          <w:p w14:paraId="7FA65193" w14:textId="77777777" w:rsidR="00F37D47" w:rsidRPr="009F6ACB" w:rsidRDefault="00F37D47" w:rsidP="002321AC">
            <w:pPr>
              <w:jc w:val="center"/>
              <w:rPr>
                <w:rFonts w:ascii="Times New Roman" w:hAnsi="Times New Roman" w:cs="Times New Roman"/>
                <w:sz w:val="24"/>
                <w:szCs w:val="24"/>
                <w:lang w:val="es-CL"/>
              </w:rPr>
            </w:pPr>
            <w:r w:rsidRPr="009F6ACB">
              <w:rPr>
                <w:rFonts w:ascii="Times New Roman" w:hAnsi="Times New Roman" w:cs="Times New Roman"/>
                <w:sz w:val="24"/>
                <w:szCs w:val="24"/>
                <w:lang w:val="es-CL"/>
              </w:rPr>
              <w:t>1</w:t>
            </w:r>
          </w:p>
        </w:tc>
        <w:tc>
          <w:tcPr>
            <w:tcW w:w="622" w:type="pct"/>
            <w:vMerge w:val="restart"/>
          </w:tcPr>
          <w:p w14:paraId="2A946865" w14:textId="77777777" w:rsidR="00F37D47" w:rsidRPr="009F6ACB" w:rsidRDefault="00F37D47" w:rsidP="002321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Conocer las estrategias de recuperación</w:t>
            </w:r>
          </w:p>
        </w:tc>
        <w:tc>
          <w:tcPr>
            <w:tcW w:w="451" w:type="pct"/>
          </w:tcPr>
          <w:p w14:paraId="1A75A510" w14:textId="77777777" w:rsidR="00F37D47" w:rsidRPr="009F6ACB" w:rsidRDefault="00F37D47" w:rsidP="002321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1</w:t>
            </w:r>
          </w:p>
        </w:tc>
        <w:tc>
          <w:tcPr>
            <w:tcW w:w="1015" w:type="pct"/>
          </w:tcPr>
          <w:p w14:paraId="2E4A1D65" w14:textId="77777777" w:rsidR="00F37D47" w:rsidRPr="009F6ACB" w:rsidRDefault="00F37D47" w:rsidP="002321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Comprender el proceso de recuperación</w:t>
            </w:r>
          </w:p>
        </w:tc>
        <w:tc>
          <w:tcPr>
            <w:tcW w:w="2418" w:type="pct"/>
          </w:tcPr>
          <w:p w14:paraId="6C568993" w14:textId="77777777" w:rsidR="00F37D47" w:rsidRPr="009F6ACB" w:rsidRDefault="00F37D47" w:rsidP="002321AC">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Aumentar la concienciación de los usuarios sobre el concepto de recuperación y ampliar las posibilidades de recuperación en sus propias vidas.</w:t>
            </w:r>
          </w:p>
        </w:tc>
      </w:tr>
      <w:tr w:rsidR="00F37D47" w:rsidRPr="009F6ACB" w14:paraId="18FFF80A" w14:textId="77777777" w:rsidTr="002321AC">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452" w:type="pct"/>
            <w:vMerge/>
          </w:tcPr>
          <w:p w14:paraId="51AB22C0" w14:textId="77777777" w:rsidR="00F37D47" w:rsidRPr="009F6ACB" w:rsidRDefault="00F37D47" w:rsidP="002321AC">
            <w:pPr>
              <w:jc w:val="center"/>
              <w:rPr>
                <w:rFonts w:ascii="Times New Roman" w:hAnsi="Times New Roman" w:cs="Times New Roman"/>
                <w:sz w:val="24"/>
                <w:szCs w:val="24"/>
                <w:lang w:val="es-CL"/>
              </w:rPr>
            </w:pPr>
          </w:p>
        </w:tc>
        <w:tc>
          <w:tcPr>
            <w:tcW w:w="622" w:type="pct"/>
            <w:vMerge/>
          </w:tcPr>
          <w:p w14:paraId="2D610235"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p>
        </w:tc>
        <w:tc>
          <w:tcPr>
            <w:tcW w:w="451" w:type="pct"/>
          </w:tcPr>
          <w:p w14:paraId="7D9E78A7"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2</w:t>
            </w:r>
          </w:p>
        </w:tc>
        <w:tc>
          <w:tcPr>
            <w:tcW w:w="1015" w:type="pct"/>
          </w:tcPr>
          <w:p w14:paraId="438790DC"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Desarrollar objetivos personales y recursos y medios para alcanzarlos</w:t>
            </w:r>
          </w:p>
        </w:tc>
        <w:tc>
          <w:tcPr>
            <w:tcW w:w="2418" w:type="pct"/>
          </w:tcPr>
          <w:p w14:paraId="42CD1ADE" w14:textId="77777777" w:rsidR="00F37D47" w:rsidRPr="009F6ACB" w:rsidRDefault="00F37D47" w:rsidP="002321AC">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Identificar los objetivos personales de recuperación.</w:t>
            </w:r>
          </w:p>
          <w:p w14:paraId="518C9369" w14:textId="77777777" w:rsidR="00F37D47" w:rsidRPr="009F6ACB" w:rsidRDefault="00F37D47" w:rsidP="002321AC">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Desarrollar un plan específico para alcanzar un objetivo de recuperación personal.</w:t>
            </w:r>
          </w:p>
        </w:tc>
      </w:tr>
      <w:tr w:rsidR="00F37D47" w:rsidRPr="009F6ACB" w14:paraId="65F71D27" w14:textId="77777777" w:rsidTr="002321AC">
        <w:trPr>
          <w:trHeight w:val="560"/>
        </w:trPr>
        <w:tc>
          <w:tcPr>
            <w:cnfStyle w:val="001000000000" w:firstRow="0" w:lastRow="0" w:firstColumn="1" w:lastColumn="0" w:oddVBand="0" w:evenVBand="0" w:oddHBand="0" w:evenHBand="0" w:firstRowFirstColumn="0" w:firstRowLastColumn="0" w:lastRowFirstColumn="0" w:lastRowLastColumn="0"/>
            <w:tcW w:w="452" w:type="pct"/>
            <w:vMerge w:val="restart"/>
          </w:tcPr>
          <w:p w14:paraId="2EDB69C1" w14:textId="77777777" w:rsidR="00F37D47" w:rsidRPr="009F6ACB" w:rsidRDefault="00F37D47" w:rsidP="002321AC">
            <w:pPr>
              <w:jc w:val="center"/>
              <w:rPr>
                <w:rFonts w:ascii="Times New Roman" w:hAnsi="Times New Roman" w:cs="Times New Roman"/>
                <w:sz w:val="24"/>
                <w:szCs w:val="24"/>
                <w:lang w:val="es-CL"/>
              </w:rPr>
            </w:pPr>
            <w:r w:rsidRPr="009F6ACB">
              <w:rPr>
                <w:rFonts w:ascii="Times New Roman" w:hAnsi="Times New Roman" w:cs="Times New Roman"/>
                <w:sz w:val="24"/>
                <w:szCs w:val="24"/>
                <w:lang w:val="es-CL"/>
              </w:rPr>
              <w:t>2</w:t>
            </w:r>
          </w:p>
        </w:tc>
        <w:tc>
          <w:tcPr>
            <w:tcW w:w="622" w:type="pct"/>
            <w:vMerge w:val="restart"/>
          </w:tcPr>
          <w:p w14:paraId="3274EDF3" w14:textId="77777777" w:rsidR="00F37D47" w:rsidRPr="009F6ACB" w:rsidRDefault="00F37D47" w:rsidP="002321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Obtenga información práctica sobre los problemas de salud mental y las crisis suicidas.</w:t>
            </w:r>
          </w:p>
        </w:tc>
        <w:tc>
          <w:tcPr>
            <w:tcW w:w="451" w:type="pct"/>
          </w:tcPr>
          <w:p w14:paraId="4AD95F24" w14:textId="77777777" w:rsidR="00F37D47" w:rsidRPr="009F6ACB" w:rsidRDefault="00F37D47" w:rsidP="002321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3</w:t>
            </w:r>
          </w:p>
        </w:tc>
        <w:tc>
          <w:tcPr>
            <w:tcW w:w="1015" w:type="pct"/>
          </w:tcPr>
          <w:p w14:paraId="1023B615" w14:textId="77777777" w:rsidR="00F37D47" w:rsidRPr="009F6ACB" w:rsidRDefault="00F37D47" w:rsidP="002321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Información práctica sobre los problemas de salud mental relacionados con el estado de ánimo</w:t>
            </w:r>
          </w:p>
        </w:tc>
        <w:tc>
          <w:tcPr>
            <w:tcW w:w="2418" w:type="pct"/>
          </w:tcPr>
          <w:p w14:paraId="450CFA7A" w14:textId="77777777" w:rsidR="00F37D47" w:rsidRPr="009F6ACB" w:rsidRDefault="00F37D47" w:rsidP="002321AC">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Ayudar a los usuarios a comprender los orígenes de los problemas de salud mental, su curso, sus manifestaciones cotidianas y cómo se diagnostican.</w:t>
            </w:r>
          </w:p>
          <w:p w14:paraId="1DF1F2AA" w14:textId="77777777" w:rsidR="00F37D47" w:rsidRPr="009F6ACB" w:rsidRDefault="00F37D47" w:rsidP="002321AC">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Discutir los trastornos del estado de ánimo, en particular el trastorno bipolar y la depresión.</w:t>
            </w:r>
          </w:p>
        </w:tc>
      </w:tr>
      <w:tr w:rsidR="00F37D47" w:rsidRPr="009F6ACB" w14:paraId="5B39D61F" w14:textId="77777777" w:rsidTr="002321AC">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452" w:type="pct"/>
            <w:vMerge/>
          </w:tcPr>
          <w:p w14:paraId="54264040" w14:textId="77777777" w:rsidR="00F37D47" w:rsidRPr="009F6ACB" w:rsidRDefault="00F37D47" w:rsidP="002321AC">
            <w:pPr>
              <w:jc w:val="center"/>
              <w:rPr>
                <w:rFonts w:ascii="Times New Roman" w:hAnsi="Times New Roman" w:cs="Times New Roman"/>
                <w:sz w:val="24"/>
                <w:szCs w:val="24"/>
                <w:lang w:val="es-CL"/>
              </w:rPr>
            </w:pPr>
          </w:p>
        </w:tc>
        <w:tc>
          <w:tcPr>
            <w:tcW w:w="622" w:type="pct"/>
            <w:vMerge/>
          </w:tcPr>
          <w:p w14:paraId="5A7BC458"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p>
        </w:tc>
        <w:tc>
          <w:tcPr>
            <w:tcW w:w="451" w:type="pct"/>
          </w:tcPr>
          <w:p w14:paraId="59284FCA"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4</w:t>
            </w:r>
          </w:p>
        </w:tc>
        <w:tc>
          <w:tcPr>
            <w:tcW w:w="1015" w:type="pct"/>
          </w:tcPr>
          <w:p w14:paraId="7A89E0D4"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Información práctica sobre las crisis suicidas</w:t>
            </w:r>
          </w:p>
        </w:tc>
        <w:tc>
          <w:tcPr>
            <w:tcW w:w="2418" w:type="pct"/>
          </w:tcPr>
          <w:p w14:paraId="16832D2A" w14:textId="77777777" w:rsidR="00F37D47" w:rsidRPr="009F6ACB" w:rsidRDefault="00F37D47" w:rsidP="002321AC">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Hablar sobre el comportamiento suicida, comprendiendo los factores de riesgo y de protección implicados, así como las señales de alarma de una crisis suicida a partir de sus propias experiencias vitales.</w:t>
            </w:r>
          </w:p>
          <w:p w14:paraId="41685962" w14:textId="77777777" w:rsidR="00F37D47" w:rsidRPr="009F6ACB" w:rsidRDefault="00F37D47" w:rsidP="002321AC">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Hablar de las características de la crisis suicida y reducir los mitos que puedan tener los usuarios.</w:t>
            </w:r>
          </w:p>
        </w:tc>
      </w:tr>
    </w:tbl>
    <w:p w14:paraId="54D85514" w14:textId="77777777" w:rsidR="00F37D47" w:rsidRPr="009F6ACB" w:rsidRDefault="00F37D47" w:rsidP="00F37D47">
      <w:pPr>
        <w:spacing w:line="360" w:lineRule="auto"/>
        <w:ind w:firstLine="720"/>
        <w:rPr>
          <w:lang w:val="es-CL"/>
        </w:rPr>
      </w:pPr>
    </w:p>
    <w:p w14:paraId="0A44B6BD" w14:textId="77777777" w:rsidR="00F37D47" w:rsidRPr="009F6ACB" w:rsidRDefault="00F37D47" w:rsidP="00F37D47">
      <w:pPr>
        <w:spacing w:line="360" w:lineRule="auto"/>
        <w:ind w:firstLine="720"/>
        <w:jc w:val="right"/>
        <w:rPr>
          <w:lang w:val="es-CL"/>
        </w:rPr>
      </w:pPr>
      <w:r w:rsidRPr="009F6ACB">
        <w:rPr>
          <w:lang w:val="es-CL"/>
        </w:rPr>
        <w:t>Continuación</w:t>
      </w:r>
    </w:p>
    <w:p w14:paraId="0923154E" w14:textId="77777777" w:rsidR="00F37D47" w:rsidRPr="009F6ACB" w:rsidRDefault="00F37D47" w:rsidP="00F37D47">
      <w:pPr>
        <w:spacing w:line="360" w:lineRule="auto"/>
        <w:ind w:firstLine="720"/>
        <w:rPr>
          <w:lang w:val="es-CL"/>
        </w:rPr>
      </w:pPr>
    </w:p>
    <w:p w14:paraId="21F4FDFF" w14:textId="77777777" w:rsidR="00F37D47" w:rsidRPr="009F6ACB" w:rsidRDefault="00F37D47" w:rsidP="00F37D47">
      <w:pPr>
        <w:spacing w:line="360" w:lineRule="auto"/>
        <w:ind w:firstLine="720"/>
        <w:rPr>
          <w:lang w:val="es-CL"/>
        </w:rPr>
      </w:pPr>
    </w:p>
    <w:tbl>
      <w:tblPr>
        <w:tblStyle w:val="Tablanormal2"/>
        <w:tblW w:w="5042" w:type="pct"/>
        <w:tblInd w:w="-108" w:type="dxa"/>
        <w:tblBorders>
          <w:top w:val="none" w:sz="0" w:space="0" w:color="auto"/>
          <w:bottom w:val="none" w:sz="0" w:space="0" w:color="auto"/>
        </w:tblBorders>
        <w:tblLook w:val="04A0" w:firstRow="1" w:lastRow="0" w:firstColumn="1" w:lastColumn="0" w:noHBand="0" w:noVBand="1"/>
      </w:tblPr>
      <w:tblGrid>
        <w:gridCol w:w="1186"/>
        <w:gridCol w:w="1632"/>
        <w:gridCol w:w="1184"/>
        <w:gridCol w:w="2662"/>
        <w:gridCol w:w="6449"/>
      </w:tblGrid>
      <w:tr w:rsidR="00F37D47" w:rsidRPr="009F6ACB" w14:paraId="10593281" w14:textId="77777777" w:rsidTr="002321AC">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52" w:type="pct"/>
            <w:tcBorders>
              <w:top w:val="single" w:sz="4" w:space="0" w:color="auto"/>
              <w:bottom w:val="single" w:sz="4" w:space="0" w:color="auto"/>
            </w:tcBorders>
          </w:tcPr>
          <w:p w14:paraId="4EC0DD01" w14:textId="77777777" w:rsidR="00F37D47" w:rsidRPr="009F6ACB" w:rsidRDefault="00F37D47" w:rsidP="002321AC">
            <w:pPr>
              <w:jc w:val="center"/>
              <w:rPr>
                <w:rFonts w:ascii="Times New Roman" w:hAnsi="Times New Roman" w:cs="Times New Roman"/>
                <w:b w:val="0"/>
                <w:bCs w:val="0"/>
                <w:sz w:val="24"/>
                <w:szCs w:val="24"/>
                <w:lang w:val="es-CL"/>
              </w:rPr>
            </w:pPr>
            <w:r w:rsidRPr="009F6ACB">
              <w:rPr>
                <w:rFonts w:ascii="Times New Roman" w:hAnsi="Times New Roman" w:cs="Times New Roman"/>
                <w:sz w:val="24"/>
                <w:szCs w:val="24"/>
                <w:lang w:val="es-CL"/>
              </w:rPr>
              <w:t>Número de módulo</w:t>
            </w:r>
          </w:p>
        </w:tc>
        <w:tc>
          <w:tcPr>
            <w:tcW w:w="622" w:type="pct"/>
            <w:tcBorders>
              <w:top w:val="single" w:sz="4" w:space="0" w:color="auto"/>
              <w:bottom w:val="single" w:sz="4" w:space="0" w:color="auto"/>
            </w:tcBorders>
          </w:tcPr>
          <w:p w14:paraId="57EB4023" w14:textId="77777777" w:rsidR="00F37D47" w:rsidRPr="009F6ACB" w:rsidRDefault="00F37D47" w:rsidP="002321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s-CL"/>
              </w:rPr>
            </w:pPr>
            <w:r w:rsidRPr="009F6ACB">
              <w:rPr>
                <w:rFonts w:ascii="Times New Roman" w:hAnsi="Times New Roman" w:cs="Times New Roman"/>
                <w:sz w:val="24"/>
                <w:szCs w:val="24"/>
                <w:lang w:val="es-CL"/>
              </w:rPr>
              <w:t>Nombre del módulo</w:t>
            </w:r>
          </w:p>
        </w:tc>
        <w:tc>
          <w:tcPr>
            <w:tcW w:w="451" w:type="pct"/>
            <w:tcBorders>
              <w:top w:val="single" w:sz="4" w:space="0" w:color="auto"/>
              <w:bottom w:val="single" w:sz="4" w:space="0" w:color="auto"/>
            </w:tcBorders>
          </w:tcPr>
          <w:p w14:paraId="77085135" w14:textId="77777777" w:rsidR="00F37D47" w:rsidRPr="009F6ACB" w:rsidRDefault="00F37D47" w:rsidP="002321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s-CL"/>
              </w:rPr>
            </w:pPr>
            <w:r w:rsidRPr="009F6ACB">
              <w:rPr>
                <w:rFonts w:ascii="Times New Roman" w:hAnsi="Times New Roman" w:cs="Times New Roman"/>
                <w:sz w:val="24"/>
                <w:szCs w:val="24"/>
                <w:lang w:val="es-CL"/>
              </w:rPr>
              <w:t>Número de sesión</w:t>
            </w:r>
          </w:p>
        </w:tc>
        <w:tc>
          <w:tcPr>
            <w:tcW w:w="1015" w:type="pct"/>
            <w:tcBorders>
              <w:top w:val="single" w:sz="4" w:space="0" w:color="auto"/>
              <w:bottom w:val="single" w:sz="4" w:space="0" w:color="auto"/>
            </w:tcBorders>
          </w:tcPr>
          <w:p w14:paraId="15205DEF" w14:textId="77777777" w:rsidR="00F37D47" w:rsidRPr="009F6ACB" w:rsidRDefault="00F37D47" w:rsidP="002321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s-CL"/>
              </w:rPr>
            </w:pPr>
            <w:r w:rsidRPr="009F6ACB">
              <w:rPr>
                <w:rFonts w:ascii="Times New Roman" w:hAnsi="Times New Roman" w:cs="Times New Roman"/>
                <w:sz w:val="24"/>
                <w:szCs w:val="24"/>
                <w:lang w:val="es-CL"/>
              </w:rPr>
              <w:t>Nombre de la sesión</w:t>
            </w:r>
          </w:p>
        </w:tc>
        <w:tc>
          <w:tcPr>
            <w:tcW w:w="2459" w:type="pct"/>
            <w:tcBorders>
              <w:top w:val="single" w:sz="4" w:space="0" w:color="auto"/>
              <w:bottom w:val="single" w:sz="4" w:space="0" w:color="auto"/>
            </w:tcBorders>
          </w:tcPr>
          <w:p w14:paraId="15C06115" w14:textId="77777777" w:rsidR="00F37D47" w:rsidRPr="009F6ACB" w:rsidRDefault="00F37D47" w:rsidP="002321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Objetivos</w:t>
            </w:r>
          </w:p>
        </w:tc>
      </w:tr>
      <w:tr w:rsidR="00F37D47" w:rsidRPr="009F6ACB" w14:paraId="5E3B9B7F" w14:textId="77777777" w:rsidTr="002321A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52" w:type="pct"/>
            <w:vMerge w:val="restart"/>
          </w:tcPr>
          <w:p w14:paraId="48F34A77" w14:textId="77777777" w:rsidR="00F37D47" w:rsidRPr="009F6ACB" w:rsidRDefault="00F37D47" w:rsidP="002321AC">
            <w:pPr>
              <w:jc w:val="center"/>
              <w:rPr>
                <w:rFonts w:ascii="Times New Roman" w:hAnsi="Times New Roman" w:cs="Times New Roman"/>
                <w:sz w:val="24"/>
                <w:szCs w:val="24"/>
                <w:lang w:val="es-CL"/>
              </w:rPr>
            </w:pPr>
            <w:r w:rsidRPr="009F6ACB">
              <w:rPr>
                <w:rFonts w:ascii="Times New Roman" w:hAnsi="Times New Roman" w:cs="Times New Roman"/>
                <w:sz w:val="24"/>
                <w:szCs w:val="24"/>
                <w:lang w:val="es-CL"/>
              </w:rPr>
              <w:t>3</w:t>
            </w:r>
          </w:p>
        </w:tc>
        <w:tc>
          <w:tcPr>
            <w:tcW w:w="622" w:type="pct"/>
            <w:vMerge w:val="restart"/>
          </w:tcPr>
          <w:p w14:paraId="387C9BA3"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Desarrollar y activar un sistema de apoyo social</w:t>
            </w:r>
          </w:p>
        </w:tc>
        <w:tc>
          <w:tcPr>
            <w:tcW w:w="451" w:type="pct"/>
          </w:tcPr>
          <w:p w14:paraId="1F6B7EFA"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5</w:t>
            </w:r>
          </w:p>
        </w:tc>
        <w:tc>
          <w:tcPr>
            <w:tcW w:w="1015" w:type="pct"/>
          </w:tcPr>
          <w:p w14:paraId="79F31096"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 xml:space="preserve">Comprender la importancia de las redes de apoyo social </w:t>
            </w:r>
          </w:p>
        </w:tc>
        <w:tc>
          <w:tcPr>
            <w:tcW w:w="2418" w:type="pct"/>
          </w:tcPr>
          <w:p w14:paraId="7CD04D8A" w14:textId="77777777" w:rsidR="00F37D47" w:rsidRPr="009F6ACB" w:rsidRDefault="00F37D47" w:rsidP="002321AC">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Conocer cómo el apoyo social puede ayudar a los usuarios en su proceso de recuperación.</w:t>
            </w:r>
          </w:p>
        </w:tc>
      </w:tr>
      <w:tr w:rsidR="00F37D47" w:rsidRPr="009F6ACB" w14:paraId="15E077C4" w14:textId="77777777" w:rsidTr="002321AC">
        <w:trPr>
          <w:trHeight w:val="145"/>
        </w:trPr>
        <w:tc>
          <w:tcPr>
            <w:cnfStyle w:val="001000000000" w:firstRow="0" w:lastRow="0" w:firstColumn="1" w:lastColumn="0" w:oddVBand="0" w:evenVBand="0" w:oddHBand="0" w:evenHBand="0" w:firstRowFirstColumn="0" w:firstRowLastColumn="0" w:lastRowFirstColumn="0" w:lastRowLastColumn="0"/>
            <w:tcW w:w="452" w:type="pct"/>
            <w:vMerge/>
          </w:tcPr>
          <w:p w14:paraId="2FC9346C" w14:textId="77777777" w:rsidR="00F37D47" w:rsidRPr="009F6ACB" w:rsidRDefault="00F37D47" w:rsidP="002321AC">
            <w:pPr>
              <w:jc w:val="center"/>
              <w:rPr>
                <w:rFonts w:ascii="Times New Roman" w:hAnsi="Times New Roman" w:cs="Times New Roman"/>
                <w:sz w:val="24"/>
                <w:szCs w:val="24"/>
                <w:lang w:val="es-CL"/>
              </w:rPr>
            </w:pPr>
          </w:p>
        </w:tc>
        <w:tc>
          <w:tcPr>
            <w:tcW w:w="622" w:type="pct"/>
            <w:vMerge/>
          </w:tcPr>
          <w:p w14:paraId="54ECF28B" w14:textId="77777777" w:rsidR="00F37D47" w:rsidRPr="009F6ACB" w:rsidRDefault="00F37D47" w:rsidP="002321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p>
        </w:tc>
        <w:tc>
          <w:tcPr>
            <w:tcW w:w="451" w:type="pct"/>
          </w:tcPr>
          <w:p w14:paraId="21219A23" w14:textId="77777777" w:rsidR="00F37D47" w:rsidRPr="009F6ACB" w:rsidRDefault="00F37D47" w:rsidP="002321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6</w:t>
            </w:r>
          </w:p>
        </w:tc>
        <w:tc>
          <w:tcPr>
            <w:tcW w:w="1015" w:type="pct"/>
          </w:tcPr>
          <w:p w14:paraId="2122E9D0" w14:textId="77777777" w:rsidR="00F37D47" w:rsidRPr="009F6ACB" w:rsidRDefault="00F37D47" w:rsidP="002321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Desarrollar estrategias para activar y reforzar mis redes de apoyo social</w:t>
            </w:r>
          </w:p>
        </w:tc>
        <w:tc>
          <w:tcPr>
            <w:tcW w:w="2418" w:type="pct"/>
          </w:tcPr>
          <w:p w14:paraId="537093C6" w14:textId="77777777" w:rsidR="00F37D47" w:rsidRPr="009F6ACB" w:rsidRDefault="00F37D47" w:rsidP="002321AC">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Identificar y practicar estrategias para activar y reforzar las redes de apoyo social.</w:t>
            </w:r>
          </w:p>
          <w:p w14:paraId="20E1EA26" w14:textId="77777777" w:rsidR="00F37D47" w:rsidRPr="009F6ACB" w:rsidRDefault="00F37D47" w:rsidP="002321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p>
        </w:tc>
      </w:tr>
      <w:tr w:rsidR="00F37D47" w:rsidRPr="009F6ACB" w14:paraId="70E4C041" w14:textId="77777777" w:rsidTr="002321A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52" w:type="pct"/>
          </w:tcPr>
          <w:p w14:paraId="5F5F6A60" w14:textId="77777777" w:rsidR="00F37D47" w:rsidRPr="009F6ACB" w:rsidRDefault="00F37D47" w:rsidP="002321AC">
            <w:pPr>
              <w:jc w:val="center"/>
              <w:rPr>
                <w:rFonts w:ascii="Times New Roman" w:hAnsi="Times New Roman" w:cs="Times New Roman"/>
                <w:sz w:val="24"/>
                <w:szCs w:val="24"/>
                <w:lang w:val="es-CL"/>
              </w:rPr>
            </w:pPr>
            <w:r w:rsidRPr="009F6ACB">
              <w:rPr>
                <w:rFonts w:ascii="Times New Roman" w:hAnsi="Times New Roman" w:cs="Times New Roman"/>
                <w:sz w:val="24"/>
                <w:szCs w:val="24"/>
                <w:lang w:val="es-CL"/>
              </w:rPr>
              <w:t>4</w:t>
            </w:r>
          </w:p>
        </w:tc>
        <w:tc>
          <w:tcPr>
            <w:tcW w:w="622" w:type="pct"/>
          </w:tcPr>
          <w:p w14:paraId="6A80CC59"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Elaborar un plan de seguridad</w:t>
            </w:r>
          </w:p>
        </w:tc>
        <w:tc>
          <w:tcPr>
            <w:tcW w:w="451" w:type="pct"/>
          </w:tcPr>
          <w:p w14:paraId="6A2C6C9D"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7</w:t>
            </w:r>
          </w:p>
        </w:tc>
        <w:tc>
          <w:tcPr>
            <w:tcW w:w="1015" w:type="pct"/>
          </w:tcPr>
          <w:p w14:paraId="454FADA8"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Desarrollar un plan de seguridad para afrontar una crisis suicida</w:t>
            </w:r>
          </w:p>
        </w:tc>
        <w:tc>
          <w:tcPr>
            <w:tcW w:w="2418" w:type="pct"/>
          </w:tcPr>
          <w:p w14:paraId="1CC5F215" w14:textId="77777777" w:rsidR="00F37D47" w:rsidRPr="009F6ACB" w:rsidRDefault="00F37D47" w:rsidP="002321AC">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Elaborar un plan de seguridad en el que participen los miembros de la familia u otras figuras de apoyo, basándose en las señales de alarma identificadas en el módulo 2.</w:t>
            </w:r>
          </w:p>
        </w:tc>
      </w:tr>
      <w:tr w:rsidR="00F37D47" w:rsidRPr="009F6ACB" w14:paraId="2CA28004" w14:textId="77777777" w:rsidTr="002321AC">
        <w:trPr>
          <w:trHeight w:val="280"/>
        </w:trPr>
        <w:tc>
          <w:tcPr>
            <w:cnfStyle w:val="001000000000" w:firstRow="0" w:lastRow="0" w:firstColumn="1" w:lastColumn="0" w:oddVBand="0" w:evenVBand="0" w:oddHBand="0" w:evenHBand="0" w:firstRowFirstColumn="0" w:firstRowLastColumn="0" w:lastRowFirstColumn="0" w:lastRowLastColumn="0"/>
            <w:tcW w:w="452" w:type="pct"/>
            <w:vMerge w:val="restart"/>
          </w:tcPr>
          <w:p w14:paraId="12B07966" w14:textId="77777777" w:rsidR="00F37D47" w:rsidRPr="009F6ACB" w:rsidRDefault="00F37D47" w:rsidP="002321AC">
            <w:pPr>
              <w:jc w:val="center"/>
              <w:rPr>
                <w:rFonts w:ascii="Times New Roman" w:hAnsi="Times New Roman" w:cs="Times New Roman"/>
                <w:sz w:val="24"/>
                <w:szCs w:val="24"/>
                <w:lang w:val="es-CL"/>
              </w:rPr>
            </w:pPr>
            <w:r w:rsidRPr="009F6ACB">
              <w:rPr>
                <w:rFonts w:ascii="Times New Roman" w:hAnsi="Times New Roman" w:cs="Times New Roman"/>
                <w:sz w:val="24"/>
                <w:szCs w:val="24"/>
                <w:lang w:val="es-CL"/>
              </w:rPr>
              <w:t>5</w:t>
            </w:r>
          </w:p>
        </w:tc>
        <w:tc>
          <w:tcPr>
            <w:tcW w:w="622" w:type="pct"/>
            <w:vMerge w:val="restart"/>
          </w:tcPr>
          <w:p w14:paraId="172DF43B" w14:textId="77777777" w:rsidR="00F37D47" w:rsidRPr="009F6ACB" w:rsidRDefault="00F37D47" w:rsidP="002321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Afrontar el estrés</w:t>
            </w:r>
          </w:p>
        </w:tc>
        <w:tc>
          <w:tcPr>
            <w:tcW w:w="451" w:type="pct"/>
          </w:tcPr>
          <w:p w14:paraId="58FF3B6C" w14:textId="77777777" w:rsidR="00F37D47" w:rsidRPr="009F6ACB" w:rsidRDefault="00F37D47" w:rsidP="002321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8</w:t>
            </w:r>
          </w:p>
        </w:tc>
        <w:tc>
          <w:tcPr>
            <w:tcW w:w="1015" w:type="pct"/>
          </w:tcPr>
          <w:p w14:paraId="52977CB8" w14:textId="77777777" w:rsidR="00F37D47" w:rsidRPr="009F6ACB" w:rsidRDefault="00F37D47" w:rsidP="002321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 xml:space="preserve">Comprender el concepto de estrés </w:t>
            </w:r>
          </w:p>
        </w:tc>
        <w:tc>
          <w:tcPr>
            <w:tcW w:w="2418" w:type="pct"/>
          </w:tcPr>
          <w:p w14:paraId="18987A8F" w14:textId="77777777" w:rsidR="00F37D47" w:rsidRPr="009F6ACB" w:rsidRDefault="00F37D47" w:rsidP="002321AC">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Desarrollar conocimientos sobre qué es el estrés, sus principales fuentes y los signos que le permiten identificar cuándo está estresado.</w:t>
            </w:r>
          </w:p>
        </w:tc>
      </w:tr>
      <w:tr w:rsidR="00F37D47" w:rsidRPr="009F6ACB" w14:paraId="1C98EB01" w14:textId="77777777" w:rsidTr="002321AC">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452" w:type="pct"/>
            <w:vMerge/>
          </w:tcPr>
          <w:p w14:paraId="7115D88A" w14:textId="77777777" w:rsidR="00F37D47" w:rsidRPr="009F6ACB" w:rsidRDefault="00F37D47" w:rsidP="002321AC">
            <w:pPr>
              <w:jc w:val="center"/>
              <w:rPr>
                <w:rFonts w:ascii="Times New Roman" w:hAnsi="Times New Roman" w:cs="Times New Roman"/>
                <w:sz w:val="24"/>
                <w:szCs w:val="24"/>
                <w:lang w:val="es-CL"/>
              </w:rPr>
            </w:pPr>
          </w:p>
        </w:tc>
        <w:tc>
          <w:tcPr>
            <w:tcW w:w="622" w:type="pct"/>
            <w:vMerge/>
          </w:tcPr>
          <w:p w14:paraId="6E212416"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p>
        </w:tc>
        <w:tc>
          <w:tcPr>
            <w:tcW w:w="451" w:type="pct"/>
          </w:tcPr>
          <w:p w14:paraId="087246DF"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9</w:t>
            </w:r>
          </w:p>
        </w:tc>
        <w:tc>
          <w:tcPr>
            <w:tcW w:w="1015" w:type="pct"/>
          </w:tcPr>
          <w:p w14:paraId="23159BA0" w14:textId="77777777" w:rsidR="00F37D47" w:rsidRPr="009F6ACB" w:rsidRDefault="00F37D47" w:rsidP="002321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Desarrollar estrategias para prevenir y afrontar el estrés</w:t>
            </w:r>
          </w:p>
        </w:tc>
        <w:tc>
          <w:tcPr>
            <w:tcW w:w="2418" w:type="pct"/>
          </w:tcPr>
          <w:p w14:paraId="0F000EF6" w14:textId="77777777" w:rsidR="00F37D47" w:rsidRPr="009F6ACB" w:rsidRDefault="00F37D47" w:rsidP="002321AC">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Identificar y practicar estrategias de prevención y afrontamiento para reducir los efectos del estrés.</w:t>
            </w:r>
          </w:p>
          <w:p w14:paraId="104AB1F0" w14:textId="77777777" w:rsidR="00F37D47" w:rsidRPr="009F6ACB" w:rsidRDefault="00F37D47" w:rsidP="002321AC">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Implicar a los miembros de la familia u otras figuras de apoyo en los planes para afrontar el estrés.</w:t>
            </w:r>
          </w:p>
        </w:tc>
      </w:tr>
      <w:tr w:rsidR="00F37D47" w:rsidRPr="009F6ACB" w14:paraId="15FC4282" w14:textId="77777777" w:rsidTr="002321AC">
        <w:trPr>
          <w:trHeight w:val="546"/>
        </w:trPr>
        <w:tc>
          <w:tcPr>
            <w:cnfStyle w:val="001000000000" w:firstRow="0" w:lastRow="0" w:firstColumn="1" w:lastColumn="0" w:oddVBand="0" w:evenVBand="0" w:oddHBand="0" w:evenHBand="0" w:firstRowFirstColumn="0" w:firstRowLastColumn="0" w:lastRowFirstColumn="0" w:lastRowLastColumn="0"/>
            <w:tcW w:w="452" w:type="pct"/>
            <w:tcBorders>
              <w:bottom w:val="single" w:sz="4" w:space="0" w:color="auto"/>
            </w:tcBorders>
          </w:tcPr>
          <w:p w14:paraId="317C3C49" w14:textId="77777777" w:rsidR="00F37D47" w:rsidRPr="009F6ACB" w:rsidRDefault="00F37D47" w:rsidP="002321AC">
            <w:pPr>
              <w:jc w:val="center"/>
              <w:rPr>
                <w:rFonts w:ascii="Times New Roman" w:hAnsi="Times New Roman" w:cs="Times New Roman"/>
                <w:sz w:val="24"/>
                <w:szCs w:val="24"/>
                <w:lang w:val="es-CL"/>
              </w:rPr>
            </w:pPr>
            <w:r w:rsidRPr="009F6ACB">
              <w:rPr>
                <w:rFonts w:ascii="Times New Roman" w:hAnsi="Times New Roman" w:cs="Times New Roman"/>
                <w:sz w:val="24"/>
                <w:szCs w:val="24"/>
                <w:lang w:val="es-CL"/>
              </w:rPr>
              <w:t>6</w:t>
            </w:r>
          </w:p>
        </w:tc>
        <w:tc>
          <w:tcPr>
            <w:tcW w:w="622" w:type="pct"/>
            <w:tcBorders>
              <w:bottom w:val="single" w:sz="4" w:space="0" w:color="auto"/>
            </w:tcBorders>
          </w:tcPr>
          <w:p w14:paraId="06219BD5" w14:textId="77777777" w:rsidR="00F37D47" w:rsidRPr="009F6ACB" w:rsidRDefault="00F37D47" w:rsidP="002321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 xml:space="preserve">Reconocer la vía </w:t>
            </w:r>
            <w:r w:rsidRPr="009F6ACB">
              <w:rPr>
                <w:rFonts w:ascii="Times New Roman" w:hAnsi="Times New Roman" w:cs="Times New Roman"/>
                <w:i/>
                <w:iCs/>
                <w:sz w:val="24"/>
                <w:szCs w:val="24"/>
                <w:lang w:val="es-CL"/>
              </w:rPr>
              <w:t>IMR-ACS</w:t>
            </w:r>
          </w:p>
        </w:tc>
        <w:tc>
          <w:tcPr>
            <w:tcW w:w="451" w:type="pct"/>
            <w:tcBorders>
              <w:bottom w:val="single" w:sz="4" w:space="0" w:color="auto"/>
            </w:tcBorders>
          </w:tcPr>
          <w:p w14:paraId="5263EFA7" w14:textId="77777777" w:rsidR="00F37D47" w:rsidRPr="009F6ACB" w:rsidRDefault="00F37D47" w:rsidP="002321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10</w:t>
            </w:r>
          </w:p>
        </w:tc>
        <w:tc>
          <w:tcPr>
            <w:tcW w:w="1015" w:type="pct"/>
            <w:tcBorders>
              <w:bottom w:val="single" w:sz="4" w:space="0" w:color="auto"/>
            </w:tcBorders>
          </w:tcPr>
          <w:p w14:paraId="5EEDB920" w14:textId="77777777" w:rsidR="00F37D47" w:rsidRPr="009F6ACB" w:rsidRDefault="00F37D47" w:rsidP="002321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 xml:space="preserve">Reconocer nuestros logros y cerrar procesos </w:t>
            </w:r>
          </w:p>
        </w:tc>
        <w:tc>
          <w:tcPr>
            <w:tcW w:w="2418" w:type="pct"/>
            <w:tcBorders>
              <w:bottom w:val="single" w:sz="4" w:space="0" w:color="auto"/>
            </w:tcBorders>
          </w:tcPr>
          <w:p w14:paraId="60E3EA33" w14:textId="77777777" w:rsidR="00F37D47" w:rsidRPr="009F6ACB" w:rsidRDefault="00F37D47" w:rsidP="002321AC">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 xml:space="preserve">Hacer visibles los logros y avances conseguidos en el proceso de implantación del IMR-ACS, tanto en términos de conocimientos adquiridos, relaciones de grupo desarrolladas, como en el avance del proceso de recuperación. </w:t>
            </w:r>
          </w:p>
          <w:p w14:paraId="229C7DBF" w14:textId="77777777" w:rsidR="00F37D47" w:rsidRPr="009F6ACB" w:rsidRDefault="00F37D47" w:rsidP="002321AC">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Evaluar la experiencia adquirida y los retos futuros.</w:t>
            </w:r>
          </w:p>
          <w:p w14:paraId="6890CC58" w14:textId="77777777" w:rsidR="00F37D47" w:rsidRPr="009F6ACB" w:rsidRDefault="00F37D47" w:rsidP="002321AC">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L"/>
              </w:rPr>
            </w:pPr>
            <w:r w:rsidRPr="009F6ACB">
              <w:rPr>
                <w:rFonts w:ascii="Times New Roman" w:hAnsi="Times New Roman" w:cs="Times New Roman"/>
                <w:sz w:val="24"/>
                <w:szCs w:val="24"/>
                <w:lang w:val="es-CL"/>
              </w:rPr>
              <w:t>Aplicar el proceso de cierre del IMR-ACS.</w:t>
            </w:r>
          </w:p>
        </w:tc>
      </w:tr>
    </w:tbl>
    <w:p w14:paraId="09903658" w14:textId="77777777" w:rsidR="00F37D47" w:rsidRPr="009F6ACB" w:rsidRDefault="00F37D47" w:rsidP="00F37D47">
      <w:pPr>
        <w:spacing w:line="360" w:lineRule="auto"/>
        <w:rPr>
          <w:lang w:val="es-CL"/>
        </w:rPr>
        <w:sectPr w:rsidR="00F37D47" w:rsidRPr="009F6ACB" w:rsidSect="00F17C58">
          <w:pgSz w:w="15840" w:h="12240" w:orient="landscape"/>
          <w:pgMar w:top="1418" w:right="1418" w:bottom="1418" w:left="1418" w:header="709" w:footer="709" w:gutter="0"/>
          <w:cols w:space="708"/>
          <w:docGrid w:linePitch="360"/>
        </w:sectPr>
      </w:pPr>
    </w:p>
    <w:p w14:paraId="7C817B86" w14:textId="77777777" w:rsidR="00F37D47" w:rsidRPr="009F6ACB" w:rsidRDefault="00F37D47" w:rsidP="009B23B3">
      <w:pPr>
        <w:spacing w:line="360" w:lineRule="auto"/>
        <w:ind w:firstLine="720"/>
        <w:jc w:val="both"/>
        <w:rPr>
          <w:lang w:val="es-CL"/>
        </w:rPr>
      </w:pPr>
      <w:r w:rsidRPr="009F6ACB">
        <w:rPr>
          <w:lang w:val="es-CL"/>
        </w:rPr>
        <w:t xml:space="preserve">El segundo módulo, </w:t>
      </w:r>
      <w:r w:rsidRPr="009F6ACB">
        <w:rPr>
          <w:i/>
          <w:iCs/>
          <w:lang w:val="es-CL"/>
        </w:rPr>
        <w:t>Aprendizaje de información práctica sobre problemas de salud mental y crisis suicidas</w:t>
      </w:r>
      <w:r w:rsidRPr="009F6ACB">
        <w:rPr>
          <w:lang w:val="es-CL"/>
        </w:rPr>
        <w:t>, consta de dos sesiones que pretenden proporcionar información sobre problemas de salud mental y crisis suicidas, respectivamente. Este módulo pretende empoderar a los usuarios a través del conocimiento de conceptos básicos sobre los problemas de salud mental en general y las crisis suicidas en particular, fomentando habilidades de autoexploración que les permitan asumir un papel activo en la recuperación. Este módulo busca enfatizar que las personas pueden mantener ideación suicida, sin embargo, esto no implica un retroceso en el proceso de recuperación, sino la necesidad de generar estrategias de autocomprensión y búsqueda de ayuda profesional.</w:t>
      </w:r>
    </w:p>
    <w:p w14:paraId="0E6CAE4E" w14:textId="77777777" w:rsidR="00F37D47" w:rsidRPr="009F6ACB" w:rsidRDefault="00F37D47" w:rsidP="009B23B3">
      <w:pPr>
        <w:spacing w:line="360" w:lineRule="auto"/>
        <w:ind w:firstLine="720"/>
        <w:jc w:val="both"/>
        <w:rPr>
          <w:lang w:val="es-CL"/>
        </w:rPr>
      </w:pPr>
      <w:r w:rsidRPr="009F6ACB">
        <w:rPr>
          <w:lang w:val="es-CL"/>
        </w:rPr>
        <w:t xml:space="preserve">El tercer módulo, </w:t>
      </w:r>
      <w:r w:rsidRPr="009F6ACB">
        <w:rPr>
          <w:i/>
          <w:iCs/>
          <w:lang w:val="es-CL"/>
        </w:rPr>
        <w:t>Desarrollo y activación de un sistema de apoyo social</w:t>
      </w:r>
      <w:r w:rsidRPr="009F6ACB">
        <w:rPr>
          <w:lang w:val="es-CL"/>
        </w:rPr>
        <w:t xml:space="preserve">, consta de dos sesiones cuya finalidad es ayudar a los usuarios a evaluar sus redes de apoyo social y a desarrollar estrategias para crear y/o reforzar relaciones sociales que constituyan fuentes potenciales de búsqueda de ayuda.  </w:t>
      </w:r>
    </w:p>
    <w:p w14:paraId="7A67AC17" w14:textId="77777777" w:rsidR="00F37D47" w:rsidRPr="009F6ACB" w:rsidRDefault="00F37D47" w:rsidP="009B23B3">
      <w:pPr>
        <w:spacing w:line="360" w:lineRule="auto"/>
        <w:ind w:firstLine="720"/>
        <w:jc w:val="both"/>
        <w:rPr>
          <w:lang w:val="es-CL"/>
        </w:rPr>
      </w:pPr>
      <w:r w:rsidRPr="009F6ACB">
        <w:rPr>
          <w:lang w:val="es-CL"/>
        </w:rPr>
        <w:t xml:space="preserve">El cuarto módulo, </w:t>
      </w:r>
      <w:r w:rsidRPr="009F6ACB">
        <w:rPr>
          <w:i/>
          <w:iCs/>
          <w:lang w:val="es-CL"/>
        </w:rPr>
        <w:t>Elaboración de un plan de seguridad</w:t>
      </w:r>
      <w:r w:rsidRPr="009F6ACB">
        <w:rPr>
          <w:lang w:val="es-CL"/>
        </w:rPr>
        <w:t>, incluye una sesión dedicada a la elaboración de un plan de seguridad para hacer frente a una crisis suicida, basado en los factores de riesgo, la protección y las señales de alarma de cada participante. Este módulo pretende identificar los momentos en los que se requiere ayuda profesional y la posibilidad de socializar con figuras significativas que actúen como fuentes de apoyo social.</w:t>
      </w:r>
    </w:p>
    <w:p w14:paraId="7641F2AD" w14:textId="77777777" w:rsidR="00F37D47" w:rsidRPr="009F6ACB" w:rsidRDefault="00F37D47" w:rsidP="009B23B3">
      <w:pPr>
        <w:spacing w:line="360" w:lineRule="auto"/>
        <w:ind w:firstLine="720"/>
        <w:jc w:val="both"/>
        <w:rPr>
          <w:lang w:val="es-CL"/>
        </w:rPr>
      </w:pPr>
      <w:r w:rsidRPr="009F6ACB">
        <w:rPr>
          <w:lang w:val="es-CL"/>
        </w:rPr>
        <w:t xml:space="preserve">El quinto módulo, </w:t>
      </w:r>
      <w:r w:rsidRPr="009F6ACB">
        <w:rPr>
          <w:i/>
          <w:iCs/>
          <w:lang w:val="es-CL"/>
        </w:rPr>
        <w:t>Afrontar el estrés</w:t>
      </w:r>
      <w:r w:rsidRPr="009F6ACB">
        <w:rPr>
          <w:lang w:val="es-CL"/>
        </w:rPr>
        <w:t>, incluye dos sesiones cuyo objetivo es ayudar a los usuarios a reconocer las situaciones estresantes y desarrollar habilidades y estrategias para prevenirlas o afrontarlas.</w:t>
      </w:r>
    </w:p>
    <w:p w14:paraId="5B07CEA8" w14:textId="77777777" w:rsidR="00F37D47" w:rsidRPr="009F6ACB" w:rsidRDefault="00F37D47" w:rsidP="009B23B3">
      <w:pPr>
        <w:spacing w:line="360" w:lineRule="auto"/>
        <w:ind w:firstLine="720"/>
        <w:jc w:val="both"/>
        <w:rPr>
          <w:lang w:val="es-CL"/>
        </w:rPr>
      </w:pPr>
      <w:r w:rsidRPr="009F6ACB">
        <w:rPr>
          <w:lang w:val="es-CL"/>
        </w:rPr>
        <w:t xml:space="preserve">Por último, el sexto módulo </w:t>
      </w:r>
      <w:r w:rsidRPr="009F6ACB">
        <w:rPr>
          <w:i/>
          <w:iCs/>
          <w:lang w:val="es-CL"/>
        </w:rPr>
        <w:t xml:space="preserve">Reconocimiento del </w:t>
      </w:r>
      <w:r w:rsidRPr="009F6ACB">
        <w:rPr>
          <w:lang w:val="es-CL"/>
        </w:rPr>
        <w:t xml:space="preserve">itinerario </w:t>
      </w:r>
      <w:r w:rsidRPr="009F6ACB">
        <w:rPr>
          <w:i/>
          <w:iCs/>
          <w:lang w:val="es-CL"/>
        </w:rPr>
        <w:t xml:space="preserve">del IMR-ACS </w:t>
      </w:r>
      <w:r w:rsidRPr="009F6ACB">
        <w:rPr>
          <w:lang w:val="es-CL"/>
        </w:rPr>
        <w:t>culmina con una sesión en la que se pretende identificar los logros y avances conseguidos a lo largo de la intervención. En la que se realiza un seguimiento de los avances en la consecución de los objetivos personales y de los retos para seguir avanzando en el camino de la recuperación.</w:t>
      </w:r>
    </w:p>
    <w:p w14:paraId="0DA88B33" w14:textId="1316D931" w:rsidR="00F37D47" w:rsidRPr="009F6ACB" w:rsidRDefault="00F37D47" w:rsidP="009B23B3">
      <w:pPr>
        <w:spacing w:line="360" w:lineRule="auto"/>
        <w:ind w:firstLine="720"/>
        <w:jc w:val="both"/>
        <w:rPr>
          <w:lang w:val="es-CL"/>
        </w:rPr>
      </w:pPr>
      <w:r w:rsidRPr="009F6ACB">
        <w:rPr>
          <w:lang w:val="es-CL"/>
        </w:rPr>
        <w:t xml:space="preserve">El Protocolo IMR-ACS establece la implementación de un proceso de monitoreo y seguimiento de los participantes antes y después de la intervención, es decir, a los 30, 60 y 90 días, y luego a los 6 meses de finalizada la intervención. </w:t>
      </w:r>
      <w:r w:rsidR="009F6ACB" w:rsidRPr="009F6ACB">
        <w:rPr>
          <w:lang w:val="es-CL"/>
        </w:rPr>
        <w:t xml:space="preserve">Las variables </w:t>
      </w:r>
      <w:r w:rsidR="00BB5CEC">
        <w:rPr>
          <w:lang w:val="es-CL"/>
        </w:rPr>
        <w:t xml:space="preserve">sugeridas para ser </w:t>
      </w:r>
      <w:r w:rsidR="00902505">
        <w:rPr>
          <w:lang w:val="es-CL"/>
        </w:rPr>
        <w:t xml:space="preserve">evaluadas </w:t>
      </w:r>
      <w:r w:rsidR="00902505" w:rsidRPr="009F6ACB">
        <w:rPr>
          <w:lang w:val="es-CL"/>
        </w:rPr>
        <w:t>en</w:t>
      </w:r>
      <w:r w:rsidRPr="009F6ACB">
        <w:rPr>
          <w:lang w:val="es-CL"/>
        </w:rPr>
        <w:t xml:space="preserve"> el proceso de seguimiento s</w:t>
      </w:r>
      <w:r w:rsidR="00902505">
        <w:rPr>
          <w:lang w:val="es-CL"/>
        </w:rPr>
        <w:t>on</w:t>
      </w:r>
      <w:r w:rsidRPr="009F6ACB">
        <w:rPr>
          <w:lang w:val="es-CL"/>
        </w:rPr>
        <w:t xml:space="preserve"> la severidad de la ideación suicida, utilizando la Columbia University </w:t>
      </w:r>
      <w:proofErr w:type="spellStart"/>
      <w:r w:rsidRPr="009F6ACB">
        <w:rPr>
          <w:lang w:val="es-CL"/>
        </w:rPr>
        <w:t>Suicidal</w:t>
      </w:r>
      <w:proofErr w:type="spellEnd"/>
      <w:r w:rsidRPr="009F6ACB">
        <w:rPr>
          <w:lang w:val="es-CL"/>
        </w:rPr>
        <w:t xml:space="preserve"> </w:t>
      </w:r>
      <w:proofErr w:type="spellStart"/>
      <w:r w:rsidRPr="009F6ACB">
        <w:rPr>
          <w:lang w:val="es-CL"/>
        </w:rPr>
        <w:t>Ideation</w:t>
      </w:r>
      <w:proofErr w:type="spellEnd"/>
      <w:r w:rsidRPr="009F6ACB">
        <w:rPr>
          <w:lang w:val="es-CL"/>
        </w:rPr>
        <w:t xml:space="preserve"> Severity Rating </w:t>
      </w:r>
      <w:proofErr w:type="spellStart"/>
      <w:r w:rsidRPr="009F6ACB">
        <w:rPr>
          <w:lang w:val="es-CL"/>
        </w:rPr>
        <w:t>Scale</w:t>
      </w:r>
      <w:proofErr w:type="spellEnd"/>
      <w:r w:rsidRPr="009F6ACB">
        <w:rPr>
          <w:lang w:val="es-CL"/>
        </w:rPr>
        <w:t xml:space="preserve"> (abreviada como C-SSRS Chile/Español 5.1) (Gipson et al., 2014; Posner et al., 2011) y la sintomatología depresiva, evaluada a través del Patient Health Questionnaire- PHQ9, en su versión validada en Chile por Saldivia et al. (2019). </w:t>
      </w:r>
    </w:p>
    <w:p w14:paraId="15F0EA0A" w14:textId="23B7BB61" w:rsidR="00F37D47" w:rsidRPr="009F6ACB" w:rsidRDefault="00F37D47" w:rsidP="009B23B3">
      <w:pPr>
        <w:spacing w:line="360" w:lineRule="auto"/>
        <w:ind w:firstLine="720"/>
        <w:jc w:val="both"/>
        <w:rPr>
          <w:lang w:val="es-CL"/>
        </w:rPr>
      </w:pPr>
      <w:r w:rsidRPr="009F6ACB">
        <w:rPr>
          <w:lang w:val="es-CL"/>
        </w:rPr>
        <w:t xml:space="preserve">Asimismo, el Protocolo IMR-ACS incluye una evaluación de la fidelidad del proceso de implementación, que permite monitorizar las pautas indicadas en el mismo, mediante la aplicación al equipo </w:t>
      </w:r>
      <w:r w:rsidR="00FE642B">
        <w:rPr>
          <w:lang w:val="es-CL"/>
        </w:rPr>
        <w:t>facilitador</w:t>
      </w:r>
      <w:r w:rsidRPr="009F6ACB">
        <w:rPr>
          <w:lang w:val="es-CL"/>
        </w:rPr>
        <w:t xml:space="preserve"> de una versión ad hoc de la Escala de Fidelidad de Manejo de la Enfermedad y Recuperación-IMR, </w:t>
      </w:r>
      <w:r w:rsidR="00FE642B">
        <w:rPr>
          <w:lang w:val="es-CL"/>
        </w:rPr>
        <w:t>traducida al español</w:t>
      </w:r>
      <w:r w:rsidRPr="009F6ACB">
        <w:rPr>
          <w:lang w:val="es-CL"/>
        </w:rPr>
        <w:t xml:space="preserve"> por la Asociación Española de Enfermería de Salud Mental (2019). Asimismo, se sugiere una evaluación de impacto desde una perspectiva de métodos mixtos que considere tanto la evaluación de indicadores sintomatológicos como la percepción de los propios usuarios sobre su experiencia de implementación del IMR-ACS y su impacto en su recuperación clínica y personal</w:t>
      </w:r>
      <w:r w:rsidR="00765C69">
        <w:rPr>
          <w:lang w:val="es-CL"/>
        </w:rPr>
        <w:t xml:space="preserve"> (</w:t>
      </w:r>
      <w:r w:rsidR="00765C69">
        <w:rPr>
          <w:lang w:val="es-ES"/>
        </w:rPr>
        <w:t>Arellano-Faúndez &amp; Méndez-Bustos, 2025)</w:t>
      </w:r>
      <w:r w:rsidR="00765C69" w:rsidRPr="008520D7">
        <w:rPr>
          <w:lang w:val="es-ES"/>
        </w:rPr>
        <w:t>.</w:t>
      </w:r>
      <w:r w:rsidRPr="009F6ACB">
        <w:rPr>
          <w:lang w:val="es-CL"/>
        </w:rPr>
        <w:t xml:space="preserve"> </w:t>
      </w:r>
      <w:r w:rsidR="00765C69">
        <w:rPr>
          <w:lang w:val="es-CL"/>
        </w:rPr>
        <w:t>L</w:t>
      </w:r>
      <w:r w:rsidRPr="009F6ACB">
        <w:rPr>
          <w:lang w:val="es-CL"/>
        </w:rPr>
        <w:t>a incorporación de personas que han experimentado un intento de suicidio puede contribuir a la comprensión y desarrollo de estrategias de prevención (Batterham et al., 2020; Berglund et al., 2016; Holmes et al., 2018; Ropaj et al., 2023; Scarth et al., 2021).</w:t>
      </w:r>
    </w:p>
    <w:p w14:paraId="68A1E5B1" w14:textId="77777777" w:rsidR="009E7858" w:rsidRDefault="009E7858">
      <w:pPr>
        <w:pBdr>
          <w:top w:val="nil"/>
          <w:left w:val="nil"/>
          <w:bottom w:val="nil"/>
          <w:right w:val="nil"/>
          <w:between w:val="nil"/>
        </w:pBdr>
        <w:jc w:val="center"/>
        <w:rPr>
          <w:b/>
          <w:color w:val="000000"/>
          <w:lang w:val="es-CL"/>
        </w:rPr>
      </w:pPr>
    </w:p>
    <w:p w14:paraId="537D49FE" w14:textId="27B86906" w:rsidR="00E65307" w:rsidRPr="009F6ACB" w:rsidRDefault="00EB278B">
      <w:pPr>
        <w:pBdr>
          <w:top w:val="nil"/>
          <w:left w:val="nil"/>
          <w:bottom w:val="nil"/>
          <w:right w:val="nil"/>
          <w:between w:val="nil"/>
        </w:pBdr>
        <w:jc w:val="center"/>
        <w:rPr>
          <w:b/>
          <w:color w:val="000000"/>
          <w:lang w:val="es-CL"/>
        </w:rPr>
      </w:pPr>
      <w:r w:rsidRPr="009F6ACB">
        <w:rPr>
          <w:b/>
          <w:color w:val="000000"/>
          <w:lang w:val="es-CL"/>
        </w:rPr>
        <w:t>Discusi</w:t>
      </w:r>
      <w:r w:rsidR="0055054E" w:rsidRPr="009F6ACB">
        <w:rPr>
          <w:b/>
          <w:color w:val="000000"/>
          <w:lang w:val="es-CL"/>
        </w:rPr>
        <w:t>ó</w:t>
      </w:r>
      <w:r w:rsidRPr="009F6ACB">
        <w:rPr>
          <w:b/>
          <w:color w:val="000000"/>
          <w:lang w:val="es-CL"/>
        </w:rPr>
        <w:t>n</w:t>
      </w:r>
    </w:p>
    <w:p w14:paraId="6DBDF785" w14:textId="21005824" w:rsidR="0055054E" w:rsidRPr="009F6ACB" w:rsidRDefault="0055054E">
      <w:pPr>
        <w:pBdr>
          <w:top w:val="nil"/>
          <w:left w:val="nil"/>
          <w:bottom w:val="nil"/>
          <w:right w:val="nil"/>
          <w:between w:val="nil"/>
        </w:pBdr>
        <w:jc w:val="center"/>
        <w:rPr>
          <w:b/>
          <w:color w:val="000000"/>
          <w:lang w:val="es-CL"/>
        </w:rPr>
      </w:pPr>
    </w:p>
    <w:p w14:paraId="4D0AAF35" w14:textId="1D961EA1" w:rsidR="00991175" w:rsidRDefault="00991175" w:rsidP="09C2A411">
      <w:pPr>
        <w:pBdr>
          <w:top w:val="nil"/>
          <w:left w:val="nil"/>
          <w:bottom w:val="nil"/>
          <w:right w:val="nil"/>
          <w:between w:val="nil"/>
        </w:pBdr>
        <w:spacing w:line="360" w:lineRule="auto"/>
        <w:ind w:firstLine="708"/>
        <w:jc w:val="both"/>
        <w:rPr>
          <w:lang w:val="es-CL"/>
        </w:rPr>
      </w:pPr>
      <w:r w:rsidRPr="00991175">
        <w:rPr>
          <w:lang w:val="es-CL"/>
        </w:rPr>
        <w:t>El desarrollo de intervenciones grupales dirigidas a personas que han realizado intentos de suicidio, que complementen las estrategias individuales existentes en el sistema público de salud, basadas en la evidencia y que requieran una mínima inversión pueden contribuir a reducir las inequidades en el acceso a un tratamiento oportuno y eficaz. (OPS &amp; OMS, 2014). Por lo tanto, es fundamental modificar la visión sobre la intervención en salud mental. El modelo basado en la recuperación reconoce que una persona puede llevar una vida productiva, plena y significativa, a pesar de no tener una resolución completa de los síntomas (Borg &amp; Davidson, 2008; Davidson &amp; González-Ibáñez, 2017; Jacob, 2015; Price-Robertson et al., 2016; Roberts &amp; Boardman, 2013).</w:t>
      </w:r>
    </w:p>
    <w:p w14:paraId="4C92AD31" w14:textId="1FA53C20" w:rsidR="09C2A411" w:rsidRPr="001A6585" w:rsidRDefault="3C34E9D4" w:rsidP="09C2A411">
      <w:pPr>
        <w:pBdr>
          <w:top w:val="nil"/>
          <w:left w:val="nil"/>
          <w:bottom w:val="nil"/>
          <w:right w:val="nil"/>
          <w:between w:val="nil"/>
        </w:pBdr>
        <w:spacing w:line="360" w:lineRule="auto"/>
        <w:ind w:firstLine="708"/>
        <w:jc w:val="both"/>
        <w:rPr>
          <w:lang w:val="es-CL"/>
        </w:rPr>
      </w:pPr>
      <w:r w:rsidRPr="001A6585">
        <w:rPr>
          <w:lang w:val="es-CL"/>
        </w:rPr>
        <w:t xml:space="preserve">Las personas que han intentado suicidarse muchas veces enfrentan situaciones de vulneración de derechos y discriminación que influyen en su proceso de recuperación. De acuerdo con Hom et al. (2020) vivencian experiencias negativas como la falta de acceso a la atención en salud, problemas con la medicación, evaluación inadecuada y estigma. Por lo que siguiendo a </w:t>
      </w:r>
      <w:r w:rsidRPr="001A6585">
        <w:rPr>
          <w:lang w:val="es-ES"/>
        </w:rPr>
        <w:t xml:space="preserve">Davidson et al. (2021) </w:t>
      </w:r>
      <w:r w:rsidRPr="001A6585">
        <w:rPr>
          <w:lang w:val="es-CL"/>
        </w:rPr>
        <w:t xml:space="preserve">una función central de las prácticas orientadas a la recuperación exige abordar y eliminar estas formas de discriminación, que limitan la transformación del sistema sanitario y la inclusión social de las personas. </w:t>
      </w:r>
      <w:r w:rsidRPr="001A6585">
        <w:t>Desde una perspectiva de atención orientada a la recuperación que va más allá del tratamiento sintomático, una integración de los principios de derechos humanos puede promover la autonomía, autodeterminación, la libertad y la seguridad de las personas (Mahdanian et al., 2022).</w:t>
      </w:r>
      <w:r w:rsidR="00706D9E" w:rsidRPr="001A6585">
        <w:t xml:space="preserve"> </w:t>
      </w:r>
    </w:p>
    <w:p w14:paraId="191F3D17" w14:textId="2220B2AA" w:rsidR="00DE31B0" w:rsidRDefault="63B61817" w:rsidP="0055054E">
      <w:pPr>
        <w:pBdr>
          <w:top w:val="nil"/>
          <w:left w:val="nil"/>
          <w:bottom w:val="nil"/>
          <w:right w:val="nil"/>
          <w:between w:val="nil"/>
        </w:pBdr>
        <w:spacing w:line="360" w:lineRule="auto"/>
        <w:ind w:firstLine="708"/>
        <w:jc w:val="both"/>
        <w:rPr>
          <w:lang w:val="es-CL"/>
        </w:rPr>
      </w:pPr>
      <w:r w:rsidRPr="001A6585">
        <w:rPr>
          <w:lang w:val="es-CL"/>
        </w:rPr>
        <w:t xml:space="preserve">El </w:t>
      </w:r>
      <w:r w:rsidR="0055054E" w:rsidRPr="001A6585">
        <w:rPr>
          <w:lang w:val="es-CL"/>
        </w:rPr>
        <w:t xml:space="preserve">desarrollo del Protocolo IMR-ACS, a pesar de requerir estudios más detallados, </w:t>
      </w:r>
      <w:r w:rsidR="003D7D91" w:rsidRPr="001A6585">
        <w:rPr>
          <w:lang w:val="es-CL"/>
        </w:rPr>
        <w:t>una mayor muestra de participa</w:t>
      </w:r>
      <w:r w:rsidR="00BA4249" w:rsidRPr="001A6585">
        <w:rPr>
          <w:lang w:val="es-CL"/>
        </w:rPr>
        <w:t>ntes</w:t>
      </w:r>
      <w:r w:rsidR="0055054E" w:rsidRPr="001A6585">
        <w:rPr>
          <w:lang w:val="es-CL"/>
        </w:rPr>
        <w:t xml:space="preserve"> y un seguimiento a largo plazo, constituye un avance relevante en</w:t>
      </w:r>
      <w:r w:rsidR="0055054E" w:rsidRPr="09C2A411">
        <w:rPr>
          <w:lang w:val="es-CL"/>
        </w:rPr>
        <w:t xml:space="preserve"> el desarrollo de intervenciones complementarias al tratamiento habitual de adultos con historia de intentos de suicidio. </w:t>
      </w:r>
      <w:r w:rsidR="00DE31B0" w:rsidRPr="09C2A411">
        <w:rPr>
          <w:lang w:val="es-CL"/>
        </w:rPr>
        <w:t>La</w:t>
      </w:r>
      <w:r w:rsidR="00DE31B0">
        <w:rPr>
          <w:lang w:val="es-CL"/>
        </w:rPr>
        <w:t xml:space="preserve"> presencia de intentos previos </w:t>
      </w:r>
      <w:r w:rsidR="00DE31B0" w:rsidRPr="09C2A411">
        <w:rPr>
          <w:lang w:val="es-CL"/>
        </w:rPr>
        <w:t xml:space="preserve">es un factor de riesgo crítico para posteriores </w:t>
      </w:r>
      <w:r w:rsidR="00DE31B0">
        <w:rPr>
          <w:lang w:val="es-CL"/>
        </w:rPr>
        <w:t>suicidios</w:t>
      </w:r>
      <w:r w:rsidR="00DE31B0" w:rsidRPr="09C2A411">
        <w:rPr>
          <w:lang w:val="es-CL"/>
        </w:rPr>
        <w:t xml:space="preserve"> (Bostwick et al., 2016; Franklin et al., 2017). También suele estar relacionado con otros trastornos, como los trastornos del estado de ánimo (Abascal-Peiró et al., 2023).</w:t>
      </w:r>
    </w:p>
    <w:p w14:paraId="26CCDE4C" w14:textId="77777777" w:rsidR="00513C34" w:rsidRDefault="00513C34" w:rsidP="00513C34">
      <w:pPr>
        <w:pBdr>
          <w:top w:val="nil"/>
          <w:left w:val="nil"/>
          <w:bottom w:val="nil"/>
          <w:right w:val="nil"/>
          <w:between w:val="nil"/>
        </w:pBdr>
        <w:spacing w:line="360" w:lineRule="auto"/>
        <w:ind w:firstLine="708"/>
        <w:jc w:val="both"/>
        <w:rPr>
          <w:lang w:val="es-CL"/>
        </w:rPr>
      </w:pPr>
      <w:r w:rsidRPr="009F6ACB">
        <w:rPr>
          <w:lang w:val="es-CL"/>
        </w:rPr>
        <w:t xml:space="preserve">El </w:t>
      </w:r>
      <w:r>
        <w:rPr>
          <w:lang w:val="es-CL"/>
        </w:rPr>
        <w:t>IMR-ACS</w:t>
      </w:r>
      <w:r w:rsidRPr="009F6ACB">
        <w:rPr>
          <w:lang w:val="es-CL"/>
        </w:rPr>
        <w:t xml:space="preserve"> se caracteriza por ser una adaptación innovadora de la </w:t>
      </w:r>
      <w:r>
        <w:rPr>
          <w:lang w:val="es-CL"/>
        </w:rPr>
        <w:t>IMR</w:t>
      </w:r>
      <w:r w:rsidRPr="009F6ACB">
        <w:rPr>
          <w:lang w:val="es-CL"/>
        </w:rPr>
        <w:t xml:space="preserve"> a la conducta suicida. Desde una modalidad grupal, incluye tanto un enfoque centrado en la persona como un enfoque graduado para fortalecer el apoyo social de los pares, ambos fundamentales para la recuperación de individuos con antecedentes de intentos de suicidio (Espeland et al., 2023; Sokol et al., 2022).</w:t>
      </w:r>
      <w:r>
        <w:rPr>
          <w:lang w:val="es-CL"/>
        </w:rPr>
        <w:t xml:space="preserve"> </w:t>
      </w:r>
      <w:r w:rsidRPr="009F6ACB">
        <w:rPr>
          <w:lang w:val="es-CL"/>
        </w:rPr>
        <w:t>El IMR-ACS enfatiza la importancia de validar las experiencias de los participantes alineando los contenidos de cada una de las sesiones con sus objetivos personales de recuperación. Por otro lado, su propuesta de seguimiento y evaluación de impacto ofrece una estrategia de intervención estructurada</w:t>
      </w:r>
      <w:r>
        <w:rPr>
          <w:lang w:val="es-CL"/>
        </w:rPr>
        <w:t xml:space="preserve"> </w:t>
      </w:r>
      <w:r w:rsidRPr="009F6ACB">
        <w:rPr>
          <w:lang w:val="es-CL"/>
        </w:rPr>
        <w:t>para el abordaje de las crisis suicidas. Según Hom et al. (2021) el desarrollo de evaluaciones integrales de las intervenciones propuestas es una pieza clave en el modelo de recuperación.</w:t>
      </w:r>
    </w:p>
    <w:p w14:paraId="74ECA1D0" w14:textId="77777777" w:rsidR="00C514D0" w:rsidRPr="009F6ACB" w:rsidRDefault="00C514D0" w:rsidP="00C514D0">
      <w:pPr>
        <w:pBdr>
          <w:top w:val="nil"/>
          <w:left w:val="nil"/>
          <w:bottom w:val="nil"/>
          <w:right w:val="nil"/>
          <w:between w:val="nil"/>
        </w:pBdr>
        <w:spacing w:line="360" w:lineRule="auto"/>
        <w:ind w:firstLine="708"/>
        <w:jc w:val="both"/>
        <w:rPr>
          <w:lang w:val="es-CL"/>
        </w:rPr>
      </w:pPr>
      <w:r w:rsidRPr="009F6ACB">
        <w:rPr>
          <w:lang w:val="es-CL"/>
        </w:rPr>
        <w:t xml:space="preserve">La presencia de dos profesionales formados en cada sesión garantiza un entorno seguro y de apoyo, en el que los participantes pueden compartir sus experiencias y aprender unos de otros. Este entorno facilita la validación y el intercambio de experiencias y sentimientos, así como la conexión entre los objetivos personales de los participantes y las habilidades desarrolladas durante las sesiones. </w:t>
      </w:r>
      <w:r>
        <w:rPr>
          <w:lang w:val="es-CL"/>
        </w:rPr>
        <w:t>Además, e</w:t>
      </w:r>
      <w:r w:rsidRPr="009F6ACB">
        <w:rPr>
          <w:lang w:val="es-CL"/>
        </w:rPr>
        <w:t>l IMR-ACS representa un recurso potencialmente valioso para complementar los tratamientos tradicionales. Cada sesión grupal ofrece a los participantes la posibilidad de desarrollar competencias y ampliar conocimientos que fortalezcan su alfabetización en salud mental, posiblemente con prácticas y estrategias para el manejo de crisis suicidas y la búsqueda de ayuda profesional en situaciones emergentes. Experiencias previas indican que la intervención grupal puede obtener beneficios relevantes complementando la psicoterapia individual (Díaz de Neira et al., 2021) y aumentando la cobertura y eficiencia de los servicios sanitarios (Méndez-Bustos et al., 2019; Sanz-Cruces et al., 2018; Sullivan et al., 2021).</w:t>
      </w:r>
    </w:p>
    <w:p w14:paraId="6BA3D247" w14:textId="77777777" w:rsidR="00C514D0" w:rsidRDefault="00C514D0" w:rsidP="00513C34">
      <w:pPr>
        <w:pBdr>
          <w:top w:val="nil"/>
          <w:left w:val="nil"/>
          <w:bottom w:val="nil"/>
          <w:right w:val="nil"/>
          <w:between w:val="nil"/>
        </w:pBdr>
        <w:spacing w:line="360" w:lineRule="auto"/>
        <w:ind w:firstLine="708"/>
        <w:jc w:val="both"/>
        <w:rPr>
          <w:lang w:val="es-CL"/>
        </w:rPr>
      </w:pPr>
    </w:p>
    <w:p w14:paraId="14B70EA7" w14:textId="77777777" w:rsidR="00C514D0" w:rsidRDefault="00C514D0" w:rsidP="00513C34">
      <w:pPr>
        <w:pBdr>
          <w:top w:val="nil"/>
          <w:left w:val="nil"/>
          <w:bottom w:val="nil"/>
          <w:right w:val="nil"/>
          <w:between w:val="nil"/>
        </w:pBdr>
        <w:spacing w:line="360" w:lineRule="auto"/>
        <w:ind w:firstLine="708"/>
        <w:jc w:val="both"/>
        <w:rPr>
          <w:lang w:val="es-CL"/>
        </w:rPr>
      </w:pPr>
    </w:p>
    <w:p w14:paraId="6B1CDC80" w14:textId="77777777" w:rsidR="00C514D0" w:rsidRPr="009F6ACB" w:rsidRDefault="00C514D0" w:rsidP="00513C34">
      <w:pPr>
        <w:pBdr>
          <w:top w:val="nil"/>
          <w:left w:val="nil"/>
          <w:bottom w:val="nil"/>
          <w:right w:val="nil"/>
          <w:between w:val="nil"/>
        </w:pBdr>
        <w:spacing w:line="360" w:lineRule="auto"/>
        <w:ind w:firstLine="708"/>
        <w:jc w:val="both"/>
        <w:rPr>
          <w:lang w:val="es-CL"/>
        </w:rPr>
      </w:pPr>
    </w:p>
    <w:p w14:paraId="239C3C87" w14:textId="77777777" w:rsidR="008E05CA" w:rsidRPr="009F6ACB" w:rsidRDefault="008E05CA" w:rsidP="008E05CA">
      <w:pPr>
        <w:pBdr>
          <w:top w:val="nil"/>
          <w:left w:val="nil"/>
          <w:bottom w:val="nil"/>
          <w:right w:val="nil"/>
          <w:between w:val="nil"/>
        </w:pBdr>
        <w:spacing w:line="360" w:lineRule="auto"/>
        <w:ind w:firstLine="708"/>
        <w:jc w:val="both"/>
        <w:rPr>
          <w:lang w:val="es-CL"/>
        </w:rPr>
      </w:pPr>
      <w:r>
        <w:rPr>
          <w:lang w:val="es-CL"/>
        </w:rPr>
        <w:t>El IMR-ACS</w:t>
      </w:r>
      <w:r w:rsidRPr="009F6ACB">
        <w:rPr>
          <w:lang w:val="es-CL"/>
        </w:rPr>
        <w:t xml:space="preserve"> </w:t>
      </w:r>
      <w:r>
        <w:rPr>
          <w:lang w:val="es-CL"/>
        </w:rPr>
        <w:t>es</w:t>
      </w:r>
      <w:r w:rsidRPr="009F6ACB">
        <w:rPr>
          <w:lang w:val="es-CL"/>
        </w:rPr>
        <w:t xml:space="preserve"> una propuesta innovadora que no sólo plantea la ampliación de la cobertura a través de la modalidad grupal, </w:t>
      </w:r>
      <w:r>
        <w:rPr>
          <w:lang w:val="es-CL"/>
        </w:rPr>
        <w:t>complementa la perspectiva del riesgo clínico</w:t>
      </w:r>
      <w:r w:rsidRPr="009F6ACB">
        <w:rPr>
          <w:lang w:val="es-CL"/>
        </w:rPr>
        <w:t xml:space="preserve"> </w:t>
      </w:r>
      <w:r>
        <w:rPr>
          <w:lang w:val="es-CL"/>
        </w:rPr>
        <w:t>a partir de</w:t>
      </w:r>
      <w:r w:rsidRPr="009F6ACB">
        <w:rPr>
          <w:lang w:val="es-CL"/>
        </w:rPr>
        <w:t xml:space="preserve"> la valoración subjetiva de la recuperación de las personas, </w:t>
      </w:r>
      <w:r>
        <w:rPr>
          <w:lang w:val="es-CL"/>
        </w:rPr>
        <w:t>incluyendo</w:t>
      </w:r>
      <w:r w:rsidRPr="009F6ACB">
        <w:rPr>
          <w:lang w:val="es-CL"/>
        </w:rPr>
        <w:t xml:space="preserve"> las variables </w:t>
      </w:r>
      <w:r>
        <w:rPr>
          <w:lang w:val="es-CL"/>
        </w:rPr>
        <w:t>del</w:t>
      </w:r>
      <w:r w:rsidRPr="009F6ACB">
        <w:rPr>
          <w:lang w:val="es-CL"/>
        </w:rPr>
        <w:t xml:space="preserve"> contexto social. La modalidad grupal y los recursos de las propias personas, por tanto, constituyen una alternativa que supera los modelos tradicionales, basados en el riesgo y eminentemente individuales, y se configura como una opción viable para ampliar la cobertura y proporcionar un abordaje integral a la intervención con personas que han vivido experiencias de intento de suicidio. Además, </w:t>
      </w:r>
      <w:r>
        <w:rPr>
          <w:lang w:val="es-CL"/>
        </w:rPr>
        <w:t xml:space="preserve">muchos de </w:t>
      </w:r>
      <w:r w:rsidRPr="009F6ACB">
        <w:rPr>
          <w:lang w:val="es-CL"/>
        </w:rPr>
        <w:t xml:space="preserve">los usuarios podrían convertirse en futuros facilitadores de grupo para las próximas versiones de esta intervención, </w:t>
      </w:r>
      <w:r>
        <w:rPr>
          <w:lang w:val="es-CL"/>
        </w:rPr>
        <w:t xml:space="preserve">validando su recuperación y su inserción en su contexto social, </w:t>
      </w:r>
      <w:r w:rsidRPr="009F6ACB">
        <w:rPr>
          <w:lang w:val="es-CL"/>
        </w:rPr>
        <w:t>reforzando la visión participativa del modelo de recuperación.</w:t>
      </w:r>
    </w:p>
    <w:p w14:paraId="3BCACF80" w14:textId="3847367B" w:rsidR="008E05CA" w:rsidRPr="009F6ACB" w:rsidRDefault="008E05CA" w:rsidP="008E05CA">
      <w:pPr>
        <w:pBdr>
          <w:top w:val="nil"/>
          <w:left w:val="nil"/>
          <w:bottom w:val="nil"/>
          <w:right w:val="nil"/>
          <w:between w:val="nil"/>
        </w:pBdr>
        <w:spacing w:line="360" w:lineRule="auto"/>
        <w:ind w:firstLine="708"/>
        <w:jc w:val="both"/>
        <w:rPr>
          <w:lang w:val="es-CL"/>
        </w:rPr>
      </w:pPr>
      <w:r>
        <w:rPr>
          <w:lang w:val="es-CL"/>
        </w:rPr>
        <w:t>En el futuro, se hace necesario seguir obteniendo evidencia que sustente l</w:t>
      </w:r>
      <w:r w:rsidRPr="009F6ACB">
        <w:rPr>
          <w:lang w:val="es-CL"/>
        </w:rPr>
        <w:t xml:space="preserve">a eficacia de la </w:t>
      </w:r>
      <w:r>
        <w:rPr>
          <w:lang w:val="es-CL"/>
        </w:rPr>
        <w:t>IMR</w:t>
      </w:r>
      <w:r w:rsidRPr="009F6ACB">
        <w:rPr>
          <w:lang w:val="es-CL"/>
        </w:rPr>
        <w:t xml:space="preserve">-ACS </w:t>
      </w:r>
      <w:r>
        <w:rPr>
          <w:lang w:val="es-CL"/>
        </w:rPr>
        <w:t>mediante</w:t>
      </w:r>
      <w:r w:rsidRPr="009F6ACB">
        <w:rPr>
          <w:lang w:val="es-CL"/>
        </w:rPr>
        <w:t xml:space="preserve"> estudios longitudinales y ensayos controlados aleatorizados. Otros estudios deberán explorar </w:t>
      </w:r>
      <w:r>
        <w:rPr>
          <w:lang w:val="es-CL"/>
        </w:rPr>
        <w:t xml:space="preserve">las </w:t>
      </w:r>
      <w:r w:rsidRPr="009F6ACB">
        <w:rPr>
          <w:lang w:val="es-CL"/>
        </w:rPr>
        <w:t xml:space="preserve">ventajas </w:t>
      </w:r>
      <w:r>
        <w:rPr>
          <w:lang w:val="es-CL"/>
        </w:rPr>
        <w:t>y</w:t>
      </w:r>
      <w:r w:rsidRPr="009F6ACB">
        <w:rPr>
          <w:lang w:val="es-CL"/>
        </w:rPr>
        <w:t xml:space="preserve"> desventajas </w:t>
      </w:r>
      <w:r w:rsidR="00244422">
        <w:rPr>
          <w:lang w:val="es-CL"/>
        </w:rPr>
        <w:t>del traslado</w:t>
      </w:r>
      <w:r w:rsidRPr="009F6ACB">
        <w:rPr>
          <w:lang w:val="es-CL"/>
        </w:rPr>
        <w:t xml:space="preserve"> del protocolo a </w:t>
      </w:r>
      <w:r>
        <w:rPr>
          <w:lang w:val="es-CL"/>
        </w:rPr>
        <w:t>diferentes</w:t>
      </w:r>
      <w:r w:rsidRPr="009F6ACB">
        <w:rPr>
          <w:lang w:val="es-CL"/>
        </w:rPr>
        <w:t xml:space="preserve"> contextos culturales y demográficos, </w:t>
      </w:r>
      <w:r>
        <w:rPr>
          <w:lang w:val="es-CL"/>
        </w:rPr>
        <w:t xml:space="preserve">evaluando </w:t>
      </w:r>
      <w:r w:rsidRPr="009F6ACB">
        <w:rPr>
          <w:lang w:val="es-CL"/>
        </w:rPr>
        <w:t>su</w:t>
      </w:r>
      <w:r>
        <w:rPr>
          <w:lang w:val="es-CL"/>
        </w:rPr>
        <w:t xml:space="preserve"> </w:t>
      </w:r>
      <w:r w:rsidRPr="009F6ACB">
        <w:rPr>
          <w:lang w:val="es-CL"/>
        </w:rPr>
        <w:t xml:space="preserve">combinación </w:t>
      </w:r>
      <w:r>
        <w:rPr>
          <w:lang w:val="es-CL"/>
        </w:rPr>
        <w:t xml:space="preserve">y complementariedad </w:t>
      </w:r>
      <w:r w:rsidRPr="009F6ACB">
        <w:rPr>
          <w:lang w:val="es-CL"/>
        </w:rPr>
        <w:t xml:space="preserve">con otras intervenciones. El protocolo IMR-ACS representa un avance en el apoyo a la recuperación de adultos con intentos suicidas previos, una intervención complementaria que puede contribuir a procesos terapéuticos más eficaces para este grupo de personas. </w:t>
      </w:r>
    </w:p>
    <w:p w14:paraId="10BF6D2E" w14:textId="45BDF545" w:rsidR="00E65307" w:rsidRPr="009F6ACB" w:rsidRDefault="00EB278B" w:rsidP="0055054E">
      <w:pPr>
        <w:pBdr>
          <w:top w:val="nil"/>
          <w:left w:val="nil"/>
          <w:bottom w:val="nil"/>
          <w:right w:val="nil"/>
          <w:between w:val="nil"/>
        </w:pBdr>
        <w:spacing w:line="360" w:lineRule="auto"/>
        <w:ind w:firstLine="708"/>
        <w:jc w:val="both"/>
        <w:rPr>
          <w:color w:val="000000"/>
          <w:lang w:val="es-CL"/>
        </w:rPr>
      </w:pPr>
      <w:r w:rsidRPr="009F6ACB">
        <w:rPr>
          <w:lang w:val="es-CL"/>
        </w:rPr>
        <w:br w:type="page"/>
      </w:r>
    </w:p>
    <w:p w14:paraId="1ACC32FD" w14:textId="33EACBD2" w:rsidR="00E65307" w:rsidRDefault="00EB278B">
      <w:pPr>
        <w:pBdr>
          <w:top w:val="nil"/>
          <w:left w:val="nil"/>
          <w:bottom w:val="nil"/>
          <w:right w:val="nil"/>
          <w:between w:val="nil"/>
        </w:pBdr>
        <w:jc w:val="center"/>
        <w:rPr>
          <w:b/>
          <w:color w:val="000000"/>
          <w:lang w:val="es-CL"/>
        </w:rPr>
      </w:pPr>
      <w:r w:rsidRPr="009F6ACB">
        <w:rPr>
          <w:b/>
          <w:color w:val="000000"/>
          <w:lang w:val="es-CL"/>
        </w:rPr>
        <w:t>Refere</w:t>
      </w:r>
      <w:r w:rsidR="005D633F">
        <w:rPr>
          <w:b/>
          <w:color w:val="000000"/>
          <w:lang w:val="es-CL"/>
        </w:rPr>
        <w:t xml:space="preserve">ncias </w:t>
      </w:r>
    </w:p>
    <w:p w14:paraId="1EBDEE98" w14:textId="77777777" w:rsidR="005D633F" w:rsidRDefault="005D633F">
      <w:pPr>
        <w:pBdr>
          <w:top w:val="nil"/>
          <w:left w:val="nil"/>
          <w:bottom w:val="nil"/>
          <w:right w:val="nil"/>
          <w:between w:val="nil"/>
        </w:pBdr>
        <w:jc w:val="center"/>
        <w:rPr>
          <w:b/>
          <w:color w:val="000000"/>
          <w:lang w:val="es-CL"/>
        </w:rPr>
      </w:pPr>
    </w:p>
    <w:p w14:paraId="292C29D4" w14:textId="7F55ED8C" w:rsidR="002F37B1" w:rsidRDefault="002F37B1" w:rsidP="009B23B3">
      <w:pPr>
        <w:tabs>
          <w:tab w:val="left" w:pos="142"/>
        </w:tabs>
        <w:ind w:left="720" w:hanging="720"/>
        <w:contextualSpacing/>
        <w:jc w:val="both"/>
        <w:rPr>
          <w:rFonts w:eastAsiaTheme="minorHAnsi"/>
          <w:kern w:val="2"/>
          <w:lang w:val="es-ES" w:eastAsia="en-US"/>
          <w14:ligatures w14:val="standardContextual"/>
        </w:rPr>
      </w:pPr>
      <w:r w:rsidRPr="002F37B1">
        <w:rPr>
          <w:rFonts w:eastAsiaTheme="minorHAnsi"/>
          <w:kern w:val="2"/>
          <w:lang w:val="es-ES" w:eastAsia="en-US"/>
          <w14:ligatures w14:val="standardContextual"/>
        </w:rPr>
        <w:t xml:space="preserve">Abascal-Peiró, S., </w:t>
      </w:r>
      <w:proofErr w:type="spellStart"/>
      <w:r w:rsidRPr="002F37B1">
        <w:rPr>
          <w:rFonts w:eastAsiaTheme="minorHAnsi"/>
          <w:kern w:val="2"/>
          <w:lang w:val="es-ES" w:eastAsia="en-US"/>
          <w14:ligatures w14:val="standardContextual"/>
        </w:rPr>
        <w:t>Alacreu</w:t>
      </w:r>
      <w:proofErr w:type="spellEnd"/>
      <w:r w:rsidRPr="002F37B1">
        <w:rPr>
          <w:rFonts w:eastAsiaTheme="minorHAnsi"/>
          <w:kern w:val="2"/>
          <w:lang w:val="es-ES" w:eastAsia="en-US"/>
          <w14:ligatures w14:val="standardContextual"/>
        </w:rPr>
        <w:t>-Crespo, A., Peñuelas-Calvo, I., López-</w:t>
      </w:r>
      <w:proofErr w:type="spellStart"/>
      <w:r w:rsidRPr="002F37B1">
        <w:rPr>
          <w:rFonts w:eastAsiaTheme="minorHAnsi"/>
          <w:kern w:val="2"/>
          <w:lang w:val="es-ES" w:eastAsia="en-US"/>
          <w14:ligatures w14:val="standardContextual"/>
        </w:rPr>
        <w:t>Castromán</w:t>
      </w:r>
      <w:proofErr w:type="spellEnd"/>
      <w:r w:rsidRPr="002F37B1">
        <w:rPr>
          <w:rFonts w:eastAsiaTheme="minorHAnsi"/>
          <w:kern w:val="2"/>
          <w:lang w:val="es-ES" w:eastAsia="en-US"/>
          <w14:ligatures w14:val="standardContextual"/>
        </w:rPr>
        <w:t xml:space="preserve">, J., &amp; Porras-Segovia, A. (2023). </w:t>
      </w:r>
      <w:r w:rsidRPr="002F37B1">
        <w:rPr>
          <w:rFonts w:eastAsiaTheme="minorHAnsi"/>
          <w:kern w:val="2"/>
          <w:lang w:val="en-US" w:eastAsia="en-US"/>
          <w14:ligatures w14:val="standardContextual"/>
        </w:rPr>
        <w:t xml:space="preserve">Characteristics of Single vs. Multiple Suicide Attempters Among Adult Population: A Systematic Review and Meta-Analysis. </w:t>
      </w:r>
      <w:proofErr w:type="spellStart"/>
      <w:r w:rsidRPr="002F37B1">
        <w:rPr>
          <w:rFonts w:eastAsiaTheme="minorHAnsi"/>
          <w:i/>
          <w:iCs/>
          <w:kern w:val="2"/>
          <w:lang w:val="es-ES" w:eastAsia="en-US"/>
          <w14:ligatures w14:val="standardContextual"/>
        </w:rPr>
        <w:t>Current</w:t>
      </w:r>
      <w:proofErr w:type="spellEnd"/>
      <w:r w:rsidRPr="002F37B1">
        <w:rPr>
          <w:rFonts w:eastAsiaTheme="minorHAnsi"/>
          <w:i/>
          <w:iCs/>
          <w:kern w:val="2"/>
          <w:lang w:val="es-ES" w:eastAsia="en-US"/>
          <w14:ligatures w14:val="standardContextual"/>
        </w:rPr>
        <w:t xml:space="preserve"> Psychiatry </w:t>
      </w:r>
      <w:proofErr w:type="spellStart"/>
      <w:r w:rsidRPr="002F37B1">
        <w:rPr>
          <w:rFonts w:eastAsiaTheme="minorHAnsi"/>
          <w:i/>
          <w:iCs/>
          <w:kern w:val="2"/>
          <w:lang w:val="es-ES" w:eastAsia="en-US"/>
          <w14:ligatures w14:val="standardContextual"/>
        </w:rPr>
        <w:t>Reports</w:t>
      </w:r>
      <w:proofErr w:type="spellEnd"/>
      <w:r w:rsidRPr="002F37B1">
        <w:rPr>
          <w:rFonts w:eastAsiaTheme="minorHAnsi"/>
          <w:i/>
          <w:iCs/>
          <w:kern w:val="2"/>
          <w:lang w:val="es-ES" w:eastAsia="en-US"/>
          <w14:ligatures w14:val="standardContextual"/>
        </w:rPr>
        <w:t>, 25</w:t>
      </w:r>
      <w:r w:rsidRPr="002F37B1">
        <w:rPr>
          <w:rFonts w:eastAsiaTheme="minorHAnsi"/>
          <w:kern w:val="2"/>
          <w:lang w:val="es-ES" w:eastAsia="en-US"/>
          <w14:ligatures w14:val="standardContextual"/>
        </w:rPr>
        <w:t xml:space="preserve">(11), 769-791. </w:t>
      </w:r>
      <w:hyperlink r:id="rId10" w:history="1">
        <w:r w:rsidRPr="006F360F">
          <w:rPr>
            <w:rStyle w:val="Hipervnculo"/>
            <w:rFonts w:eastAsiaTheme="minorHAnsi"/>
            <w:kern w:val="2"/>
            <w:lang w:val="es-ES" w:eastAsia="en-US"/>
            <w14:ligatures w14:val="standardContextual"/>
          </w:rPr>
          <w:t>https://doi.org/10.1007/s11920-023-01461-5</w:t>
        </w:r>
      </w:hyperlink>
    </w:p>
    <w:p w14:paraId="301FC7C8" w14:textId="77777777" w:rsidR="001A6585" w:rsidRPr="00F57828" w:rsidRDefault="001A6585" w:rsidP="001A6585">
      <w:pPr>
        <w:tabs>
          <w:tab w:val="left" w:pos="142"/>
        </w:tabs>
        <w:ind w:left="720" w:hanging="720"/>
        <w:contextualSpacing/>
        <w:jc w:val="both"/>
        <w:rPr>
          <w:lang w:val="es-ES"/>
        </w:rPr>
      </w:pPr>
      <w:r w:rsidRPr="001A6585">
        <w:rPr>
          <w:lang w:val="es-ES"/>
        </w:rPr>
        <w:t xml:space="preserve">Antón-Menárguez, V., Jareño, B., Lara-Espejo, I., Redondo-Jiménez, M. &amp; García-Marín, P. (2019). </w:t>
      </w:r>
      <w:r w:rsidRPr="008644C6">
        <w:rPr>
          <w:lang w:val="es-ES_tradnl"/>
        </w:rPr>
        <w:t xml:space="preserve">Eficacia de la intervención psicológica grupal en atención primaria. Medicina de familia. </w:t>
      </w:r>
      <w:r w:rsidRPr="00F57828">
        <w:rPr>
          <w:i/>
          <w:iCs/>
          <w:lang w:val="es-ES"/>
        </w:rPr>
        <w:t>SEMERGEN, 45</w:t>
      </w:r>
      <w:r w:rsidRPr="00F57828">
        <w:rPr>
          <w:lang w:val="es-ES"/>
        </w:rPr>
        <w:t xml:space="preserve">(2), 86-92. </w:t>
      </w:r>
      <w:hyperlink r:id="rId11" w:history="1">
        <w:r w:rsidRPr="00F57828">
          <w:rPr>
            <w:rStyle w:val="Hipervnculo"/>
            <w:lang w:val="es-ES"/>
          </w:rPr>
          <w:t>https://doi.org/10.1016/j.semerg.2018.05.005</w:t>
        </w:r>
      </w:hyperlink>
    </w:p>
    <w:p w14:paraId="634F0C85" w14:textId="34B181FC" w:rsidR="003A5042" w:rsidRDefault="003A5042" w:rsidP="009B23B3">
      <w:pPr>
        <w:tabs>
          <w:tab w:val="left" w:pos="142"/>
        </w:tabs>
        <w:ind w:left="720" w:hanging="720"/>
        <w:contextualSpacing/>
        <w:jc w:val="both"/>
        <w:rPr>
          <w:lang w:val="es-ES_tradnl"/>
        </w:rPr>
      </w:pPr>
      <w:r w:rsidRPr="003A5042">
        <w:rPr>
          <w:lang w:val="es-ES_tradnl"/>
        </w:rPr>
        <w:t xml:space="preserve">Arellano-Faúndez, O., &amp; Méndez-Bustos, P. (2025). </w:t>
      </w:r>
      <w:r w:rsidRPr="003A5042">
        <w:rPr>
          <w:lang w:val="en-US"/>
        </w:rPr>
        <w:t xml:space="preserve">Transformative mixed methods evaluation of a recovery-based intervention for adult suicide reattempters in Chile: study protocol. </w:t>
      </w:r>
      <w:r w:rsidRPr="003A5042">
        <w:rPr>
          <w:i/>
          <w:iCs/>
          <w:lang w:val="es-ES_tradnl"/>
        </w:rPr>
        <w:t>Cogent Psychology, 12</w:t>
      </w:r>
      <w:r w:rsidRPr="003A5042">
        <w:rPr>
          <w:lang w:val="es-ES_tradnl"/>
        </w:rPr>
        <w:t xml:space="preserve">(1). </w:t>
      </w:r>
      <w:hyperlink r:id="rId12" w:history="1">
        <w:r w:rsidRPr="00355AAA">
          <w:rPr>
            <w:rStyle w:val="Hipervnculo"/>
            <w:lang w:val="es-ES_tradnl"/>
          </w:rPr>
          <w:t>https://doi.org/10.1080/23311908.2025.2480418</w:t>
        </w:r>
      </w:hyperlink>
      <w:r w:rsidRPr="003A5042">
        <w:rPr>
          <w:lang w:val="es-ES_tradnl"/>
        </w:rPr>
        <w:t xml:space="preserve"> </w:t>
      </w:r>
    </w:p>
    <w:p w14:paraId="7383A957" w14:textId="77777777" w:rsidR="001A6585" w:rsidRDefault="001A6585" w:rsidP="009B23B3">
      <w:pPr>
        <w:tabs>
          <w:tab w:val="left" w:pos="142"/>
        </w:tabs>
        <w:ind w:left="720" w:hanging="720"/>
        <w:contextualSpacing/>
        <w:jc w:val="both"/>
        <w:rPr>
          <w:lang w:val="en-US"/>
        </w:rPr>
      </w:pPr>
      <w:r w:rsidRPr="001A6585">
        <w:rPr>
          <w:lang w:val="es-ES_tradnl"/>
        </w:rPr>
        <w:t xml:space="preserve">Asociación Española de Enfermería de Salud Mental (2020). Manejo y Recuperación de un problema de salud mental grave (IMR). </w:t>
      </w:r>
      <w:proofErr w:type="spellStart"/>
      <w:r w:rsidRPr="001A6585">
        <w:rPr>
          <w:i/>
          <w:iCs/>
          <w:lang w:val="en-US"/>
        </w:rPr>
        <w:t>Adaptación</w:t>
      </w:r>
      <w:proofErr w:type="spellEnd"/>
      <w:r w:rsidRPr="001A6585">
        <w:rPr>
          <w:i/>
          <w:iCs/>
          <w:lang w:val="en-US"/>
        </w:rPr>
        <w:t xml:space="preserve"> al </w:t>
      </w:r>
      <w:proofErr w:type="spellStart"/>
      <w:r w:rsidRPr="001A6585">
        <w:rPr>
          <w:i/>
          <w:iCs/>
          <w:lang w:val="en-US"/>
        </w:rPr>
        <w:t>español</w:t>
      </w:r>
      <w:proofErr w:type="spellEnd"/>
      <w:r w:rsidRPr="001A6585">
        <w:rPr>
          <w:i/>
          <w:iCs/>
          <w:lang w:val="en-US"/>
        </w:rPr>
        <w:t xml:space="preserve"> de Substance Abuse and Mental Health Services Administration (2009). Illness Management and Recovery: Practitioner Guides and Handouts.</w:t>
      </w:r>
      <w:r w:rsidRPr="001A6585">
        <w:rPr>
          <w:lang w:val="en-US"/>
        </w:rPr>
        <w:t xml:space="preserve"> HHS Pub. No. SMA-09-4462, Rockville, MD: Center for Mental Health Services, Substance Abuse and Mental Health Services Administration, U.S. Department of Health and Human Services.</w:t>
      </w:r>
    </w:p>
    <w:p w14:paraId="162141A0" w14:textId="77777777" w:rsidR="00FC3401" w:rsidRPr="00A91884" w:rsidRDefault="00FC3401" w:rsidP="00FC3401">
      <w:pPr>
        <w:tabs>
          <w:tab w:val="left" w:pos="142"/>
        </w:tabs>
        <w:ind w:left="720" w:hanging="720"/>
      </w:pPr>
      <w:r w:rsidRPr="00FC3401">
        <w:rPr>
          <w:lang w:val="es-ES"/>
        </w:rPr>
        <w:t xml:space="preserve">Banco Mundial (2022). </w:t>
      </w:r>
      <w:r w:rsidRPr="00A91884">
        <w:rPr>
          <w:i/>
          <w:iCs/>
        </w:rPr>
        <w:t>Tasa de mortalidad por suicidio (por cada 100 000 habitantes) – Chile</w:t>
      </w:r>
      <w:r w:rsidRPr="00A91884">
        <w:t xml:space="preserve">. </w:t>
      </w:r>
      <w:hyperlink r:id="rId13" w:history="1">
        <w:r w:rsidRPr="00A91884">
          <w:rPr>
            <w:rStyle w:val="Hipervnculo"/>
          </w:rPr>
          <w:t>https://datos.bancomundial.org/indicador/SH.STA.SUIC.P5?locations=CL</w:t>
        </w:r>
      </w:hyperlink>
    </w:p>
    <w:p w14:paraId="78CAB2FA" w14:textId="3190394B" w:rsidR="003F4879" w:rsidRPr="00F57828" w:rsidRDefault="003F4879" w:rsidP="009B23B3">
      <w:pPr>
        <w:ind w:left="709" w:hanging="720"/>
        <w:jc w:val="both"/>
        <w:rPr>
          <w:lang w:val="en-US"/>
        </w:rPr>
      </w:pPr>
      <w:r w:rsidRPr="003F4879">
        <w:rPr>
          <w:lang w:val="en-US"/>
        </w:rPr>
        <w:t xml:space="preserve">Batterham, P. J., Poyser, C., Gulliver, A., Banfield, M., &amp; </w:t>
      </w:r>
      <w:proofErr w:type="spellStart"/>
      <w:r w:rsidRPr="003F4879">
        <w:rPr>
          <w:lang w:val="en-US"/>
        </w:rPr>
        <w:t>Calear</w:t>
      </w:r>
      <w:proofErr w:type="spellEnd"/>
      <w:r w:rsidRPr="003F4879">
        <w:rPr>
          <w:lang w:val="en-US"/>
        </w:rPr>
        <w:t xml:space="preserve">, A. L. (2020). Development and psychometric properties of the Functioning and Recovery Scale: a new measure to assess psychosocial functioning after a suicide attempt. </w:t>
      </w:r>
      <w:r w:rsidRPr="003F4879">
        <w:rPr>
          <w:i/>
          <w:iCs/>
          <w:lang w:val="en-US"/>
        </w:rPr>
        <w:t>Suicide And Life-Threatening Behavior, 50</w:t>
      </w:r>
      <w:r w:rsidRPr="003F4879">
        <w:rPr>
          <w:lang w:val="en-US"/>
        </w:rPr>
        <w:t xml:space="preserve">(6), 1105-1114. </w:t>
      </w:r>
      <w:r>
        <w:fldChar w:fldCharType="begin"/>
      </w:r>
      <w:r w:rsidRPr="00244422">
        <w:rPr>
          <w:lang w:val="en-US"/>
        </w:rPr>
        <w:instrText>HYPERLINK "https://doi.org/10.1111/sltb.12656"</w:instrText>
      </w:r>
      <w:r>
        <w:fldChar w:fldCharType="separate"/>
      </w:r>
      <w:r w:rsidRPr="00F57828">
        <w:rPr>
          <w:rStyle w:val="Hipervnculo"/>
          <w:lang w:val="en-US"/>
        </w:rPr>
        <w:t>https://doi.org/10.1111/sltb.12656</w:t>
      </w:r>
      <w:r>
        <w:fldChar w:fldCharType="end"/>
      </w:r>
    </w:p>
    <w:p w14:paraId="215D52A0" w14:textId="4591788E" w:rsidR="005D633F" w:rsidRPr="008644C6" w:rsidRDefault="005D633F" w:rsidP="009B23B3">
      <w:pPr>
        <w:ind w:left="709" w:hanging="720"/>
        <w:jc w:val="both"/>
        <w:rPr>
          <w:lang w:val="en-US"/>
        </w:rPr>
      </w:pPr>
      <w:r w:rsidRPr="00F57828">
        <w:rPr>
          <w:lang w:val="en-US"/>
        </w:rPr>
        <w:t xml:space="preserve">Bautista, A. D., Reyes, M. E. S., &amp; </w:t>
      </w:r>
      <w:proofErr w:type="spellStart"/>
      <w:r w:rsidRPr="00F57828">
        <w:rPr>
          <w:lang w:val="en-US"/>
        </w:rPr>
        <w:t>Delariarte</w:t>
      </w:r>
      <w:proofErr w:type="spellEnd"/>
      <w:r w:rsidRPr="00F57828">
        <w:rPr>
          <w:lang w:val="en-US"/>
        </w:rPr>
        <w:t xml:space="preserve">, C. F. (2023). </w:t>
      </w:r>
      <w:r w:rsidRPr="008644C6">
        <w:rPr>
          <w:lang w:val="en-US"/>
        </w:rPr>
        <w:t xml:space="preserve">A missing piece in the puzzle: exploring the phenomenon of suicide recovery in developing a Recovery-Focused Suicide Management program. </w:t>
      </w:r>
      <w:r w:rsidRPr="008644C6">
        <w:rPr>
          <w:i/>
          <w:iCs/>
          <w:lang w:val="en-US"/>
        </w:rPr>
        <w:t>Clinical Medicine Insights: Psychiatry, 14</w:t>
      </w:r>
      <w:r w:rsidRPr="008644C6">
        <w:rPr>
          <w:lang w:val="en-US"/>
        </w:rPr>
        <w:t>.</w:t>
      </w:r>
      <w:r>
        <w:fldChar w:fldCharType="begin"/>
      </w:r>
      <w:r w:rsidRPr="00244422">
        <w:rPr>
          <w:lang w:val="en-US"/>
        </w:rPr>
        <w:instrText>HYPERLINK "https://doi.org/10.1177/11795573231218126"</w:instrText>
      </w:r>
      <w:r>
        <w:fldChar w:fldCharType="separate"/>
      </w:r>
      <w:r w:rsidRPr="008644C6">
        <w:rPr>
          <w:rStyle w:val="Hipervnculo"/>
          <w:lang w:val="en-US"/>
        </w:rPr>
        <w:t xml:space="preserve"> https://doi.org/10.1177/11795573231218126</w:t>
      </w:r>
      <w:r>
        <w:fldChar w:fldCharType="end"/>
      </w:r>
      <w:r w:rsidRPr="008644C6">
        <w:rPr>
          <w:lang w:val="en-US"/>
        </w:rPr>
        <w:t xml:space="preserve">  </w:t>
      </w:r>
    </w:p>
    <w:p w14:paraId="6227D972" w14:textId="6AC5B070" w:rsidR="00FA0235" w:rsidRPr="00FA0235" w:rsidRDefault="00FA0235" w:rsidP="00FA0235">
      <w:pPr>
        <w:ind w:left="709" w:hanging="720"/>
        <w:jc w:val="both"/>
        <w:rPr>
          <w:lang w:val="en-US"/>
        </w:rPr>
      </w:pPr>
      <w:r w:rsidRPr="00FA0235">
        <w:rPr>
          <w:lang w:val="en-US"/>
        </w:rPr>
        <w:t xml:space="preserve">Berglund, S., Åström, S., &amp; Lindgren, B. (2016). Patients’ experiences after Attempted suicide: A literature review. </w:t>
      </w:r>
      <w:r w:rsidRPr="00FA0235">
        <w:rPr>
          <w:i/>
          <w:iCs/>
          <w:lang w:val="en-US"/>
        </w:rPr>
        <w:t>Issues In Mental Health Nursing</w:t>
      </w:r>
      <w:r w:rsidRPr="00FA0235">
        <w:rPr>
          <w:lang w:val="en-US"/>
        </w:rPr>
        <w:t xml:space="preserve">, </w:t>
      </w:r>
      <w:r w:rsidRPr="00FA0235">
        <w:rPr>
          <w:i/>
          <w:iCs/>
          <w:lang w:val="en-US"/>
        </w:rPr>
        <w:t>37</w:t>
      </w:r>
      <w:r w:rsidRPr="00FA0235">
        <w:rPr>
          <w:lang w:val="en-US"/>
        </w:rPr>
        <w:t xml:space="preserve">(10), 715-726. </w:t>
      </w:r>
      <w:r>
        <w:fldChar w:fldCharType="begin"/>
      </w:r>
      <w:r w:rsidRPr="00244422">
        <w:rPr>
          <w:lang w:val="en-US"/>
        </w:rPr>
        <w:instrText>HYPERLINK "https://doi.org/10.1080/01612840.2016.1192706"</w:instrText>
      </w:r>
      <w:r>
        <w:fldChar w:fldCharType="separate"/>
      </w:r>
      <w:r w:rsidRPr="00FA0235">
        <w:rPr>
          <w:rStyle w:val="Hipervnculo"/>
          <w:lang w:val="en-US"/>
        </w:rPr>
        <w:t>https://doi.org/10.1080/01612840.2016.1192706</w:t>
      </w:r>
      <w:r>
        <w:fldChar w:fldCharType="end"/>
      </w:r>
      <w:r>
        <w:rPr>
          <w:lang w:val="en-US"/>
        </w:rPr>
        <w:t xml:space="preserve"> </w:t>
      </w:r>
    </w:p>
    <w:p w14:paraId="38B0E765" w14:textId="289707FA" w:rsidR="00040C9A" w:rsidRPr="00040C9A" w:rsidRDefault="00040C9A" w:rsidP="00040C9A">
      <w:pPr>
        <w:ind w:left="709" w:hanging="720"/>
        <w:jc w:val="both"/>
        <w:rPr>
          <w:lang w:val="en-US"/>
        </w:rPr>
      </w:pPr>
      <w:r w:rsidRPr="00040C9A">
        <w:rPr>
          <w:lang w:val="en-US"/>
        </w:rPr>
        <w:t xml:space="preserve">Bostwick, J. M., </w:t>
      </w:r>
      <w:proofErr w:type="spellStart"/>
      <w:r w:rsidRPr="00040C9A">
        <w:rPr>
          <w:lang w:val="en-US"/>
        </w:rPr>
        <w:t>Pabbati</w:t>
      </w:r>
      <w:proofErr w:type="spellEnd"/>
      <w:r w:rsidRPr="00040C9A">
        <w:rPr>
          <w:lang w:val="en-US"/>
        </w:rPr>
        <w:t xml:space="preserve">, C., Geske, J. R., &amp; McKean, A. J. (2016). Suicide Attempt as a Risk Factor for Completed Suicide: Even More Lethal Than We Knew. </w:t>
      </w:r>
      <w:r w:rsidRPr="00040C9A">
        <w:rPr>
          <w:i/>
          <w:iCs/>
          <w:lang w:val="en-US"/>
        </w:rPr>
        <w:t>American Journal Of Psychiatry</w:t>
      </w:r>
      <w:r w:rsidRPr="00040C9A">
        <w:rPr>
          <w:lang w:val="en-US"/>
        </w:rPr>
        <w:t xml:space="preserve">, </w:t>
      </w:r>
      <w:r w:rsidRPr="00040C9A">
        <w:rPr>
          <w:i/>
          <w:iCs/>
          <w:lang w:val="en-US"/>
        </w:rPr>
        <w:t>173</w:t>
      </w:r>
      <w:r w:rsidRPr="00040C9A">
        <w:rPr>
          <w:lang w:val="en-US"/>
        </w:rPr>
        <w:t xml:space="preserve">(11), 1094-1100. </w:t>
      </w:r>
      <w:r>
        <w:fldChar w:fldCharType="begin"/>
      </w:r>
      <w:r w:rsidRPr="00244422">
        <w:rPr>
          <w:lang w:val="en-US"/>
        </w:rPr>
        <w:instrText>HYPERLINK "https://doi.org/10.1176/appi.ajp.2016.15070854"</w:instrText>
      </w:r>
      <w:r>
        <w:fldChar w:fldCharType="separate"/>
      </w:r>
      <w:r w:rsidRPr="00040C9A">
        <w:rPr>
          <w:rStyle w:val="Hipervnculo"/>
          <w:lang w:val="en-US"/>
        </w:rPr>
        <w:t>https://doi.org/10.1176/appi.ajp.2016.15070854</w:t>
      </w:r>
      <w:r>
        <w:fldChar w:fldCharType="end"/>
      </w:r>
      <w:r>
        <w:rPr>
          <w:lang w:val="en-US"/>
        </w:rPr>
        <w:t xml:space="preserve"> </w:t>
      </w:r>
    </w:p>
    <w:p w14:paraId="01652D5B" w14:textId="77777777" w:rsidR="00BB27EB" w:rsidRPr="00BB27EB" w:rsidRDefault="00452FED" w:rsidP="009B23B3">
      <w:pPr>
        <w:ind w:left="709" w:hanging="720"/>
        <w:jc w:val="both"/>
        <w:rPr>
          <w:lang w:val="en-US"/>
        </w:rPr>
      </w:pPr>
      <w:r w:rsidRPr="00452FED">
        <w:rPr>
          <w:lang w:val="en-US"/>
        </w:rPr>
        <w:t>Carr, E. R., &amp; Ponce, A. N. (202</w:t>
      </w:r>
      <w:r>
        <w:rPr>
          <w:lang w:val="en-US"/>
        </w:rPr>
        <w:t>2</w:t>
      </w:r>
      <w:r w:rsidRPr="00452FED">
        <w:rPr>
          <w:lang w:val="en-US"/>
        </w:rPr>
        <w:t xml:space="preserve">). Supporting Mental Health Recovery, Citizenship, and Social Justice. </w:t>
      </w:r>
      <w:r w:rsidRPr="00F57828">
        <w:rPr>
          <w:i/>
          <w:iCs/>
          <w:lang w:val="en-US"/>
        </w:rPr>
        <w:t>Community Mental Health Journal</w:t>
      </w:r>
      <w:r w:rsidRPr="00F57828">
        <w:rPr>
          <w:lang w:val="en-US"/>
        </w:rPr>
        <w:t xml:space="preserve">, </w:t>
      </w:r>
      <w:r w:rsidRPr="00F57828">
        <w:rPr>
          <w:i/>
          <w:iCs/>
          <w:lang w:val="en-US"/>
        </w:rPr>
        <w:t>58</w:t>
      </w:r>
      <w:r w:rsidRPr="00F57828">
        <w:rPr>
          <w:lang w:val="en-US"/>
        </w:rPr>
        <w:t xml:space="preserve">(1), 11-19. </w:t>
      </w:r>
      <w:r>
        <w:fldChar w:fldCharType="begin"/>
      </w:r>
      <w:r w:rsidRPr="00244422">
        <w:rPr>
          <w:lang w:val="en-US"/>
        </w:rPr>
        <w:instrText>HYPERLINK "https://doi.org/10.1007/s10597-021-00900-y"</w:instrText>
      </w:r>
      <w:r>
        <w:fldChar w:fldCharType="separate"/>
      </w:r>
      <w:r w:rsidRPr="00452FED">
        <w:rPr>
          <w:rStyle w:val="Hipervnculo"/>
          <w:lang w:val="en-US"/>
        </w:rPr>
        <w:t>https://doi.org/10.1007/s10597-021-00900-y</w:t>
      </w:r>
      <w:r>
        <w:fldChar w:fldCharType="end"/>
      </w:r>
    </w:p>
    <w:p w14:paraId="068A4B03" w14:textId="2189A1C0" w:rsidR="005D633F" w:rsidRPr="008644C6" w:rsidRDefault="005D633F" w:rsidP="009B23B3">
      <w:pPr>
        <w:ind w:left="709" w:hanging="720"/>
        <w:jc w:val="both"/>
        <w:rPr>
          <w:lang w:val="en-US"/>
        </w:rPr>
      </w:pPr>
      <w:r w:rsidRPr="008644C6">
        <w:rPr>
          <w:lang w:val="en-US"/>
        </w:rPr>
        <w:t xml:space="preserve">Chalker, S. A., Ceren, C. S. M., Ehret, B. C., &amp; Depp, C. A. (2022). </w:t>
      </w:r>
      <w:r w:rsidRPr="00BB27EB">
        <w:rPr>
          <w:lang w:val="en-US"/>
        </w:rPr>
        <w:t>Suicide-Focused group therapy</w:t>
      </w:r>
      <w:r w:rsidR="00BB27EB">
        <w:rPr>
          <w:lang w:val="en-US"/>
        </w:rPr>
        <w:t xml:space="preserve">. </w:t>
      </w:r>
      <w:r w:rsidRPr="008644C6">
        <w:rPr>
          <w:i/>
          <w:iCs/>
          <w:lang w:val="en-US"/>
        </w:rPr>
        <w:t>Crisis-the Journal of Crisis Intervention and Suicide Prevention, 44(</w:t>
      </w:r>
      <w:r w:rsidRPr="008644C6">
        <w:rPr>
          <w:lang w:val="en-US"/>
        </w:rPr>
        <w:t>6), 485-496</w:t>
      </w:r>
      <w:r>
        <w:fldChar w:fldCharType="begin"/>
      </w:r>
      <w:r w:rsidRPr="00244422">
        <w:rPr>
          <w:lang w:val="en-US"/>
        </w:rPr>
        <w:instrText>HYPERLINK "https://doi.org/10.1027/0227-5910/a000892"</w:instrText>
      </w:r>
      <w:r>
        <w:fldChar w:fldCharType="separate"/>
      </w:r>
      <w:r w:rsidRPr="008644C6">
        <w:rPr>
          <w:rStyle w:val="Hipervnculo"/>
          <w:lang w:val="en-US"/>
        </w:rPr>
        <w:t xml:space="preserve">. https://doi.org/10.1027/0227-5910/a000892 </w:t>
      </w:r>
      <w:r>
        <w:fldChar w:fldCharType="end"/>
      </w:r>
    </w:p>
    <w:p w14:paraId="7C0EF601" w14:textId="2EC19669" w:rsidR="00610EC4" w:rsidRPr="00610EC4" w:rsidRDefault="00610EC4" w:rsidP="00610EC4">
      <w:pPr>
        <w:ind w:left="709" w:hanging="720"/>
        <w:jc w:val="both"/>
        <w:rPr>
          <w:lang w:val="en-US"/>
        </w:rPr>
      </w:pPr>
      <w:r w:rsidRPr="00610EC4">
        <w:rPr>
          <w:lang w:val="en-US"/>
        </w:rPr>
        <w:t xml:space="preserve">Dalum, H. S., Korsbek, L., Mikkelsen, J. H., Thomsen, K., Kistrup, K., Olander, M., Hansen, J. L., Nordentoft, M., &amp; Eplov, L. F. (2011). Illness management and recovery (IMR) in Danish community mental health </w:t>
      </w:r>
      <w:proofErr w:type="spellStart"/>
      <w:r w:rsidRPr="00610EC4">
        <w:rPr>
          <w:lang w:val="en-US"/>
        </w:rPr>
        <w:t>centres</w:t>
      </w:r>
      <w:proofErr w:type="spellEnd"/>
      <w:r w:rsidRPr="00610EC4">
        <w:rPr>
          <w:lang w:val="en-US"/>
        </w:rPr>
        <w:t xml:space="preserve">. </w:t>
      </w:r>
      <w:r w:rsidRPr="00610EC4">
        <w:rPr>
          <w:i/>
          <w:iCs/>
          <w:lang w:val="en-US"/>
        </w:rPr>
        <w:t>Trials, 12</w:t>
      </w:r>
      <w:r w:rsidRPr="00610EC4">
        <w:rPr>
          <w:lang w:val="en-US"/>
        </w:rPr>
        <w:t xml:space="preserve">, 195. </w:t>
      </w:r>
      <w:r>
        <w:fldChar w:fldCharType="begin"/>
      </w:r>
      <w:r w:rsidRPr="00244422">
        <w:rPr>
          <w:lang w:val="en-US"/>
        </w:rPr>
        <w:instrText>HYPERLINK "https://doi.org/10.1186/1745-6215-12-195"</w:instrText>
      </w:r>
      <w:r>
        <w:fldChar w:fldCharType="separate"/>
      </w:r>
      <w:r w:rsidRPr="00355AAA">
        <w:rPr>
          <w:rStyle w:val="Hipervnculo"/>
          <w:lang w:val="en-US"/>
        </w:rPr>
        <w:t>https://doi.org/10.1186/1745-6215-12-195</w:t>
      </w:r>
      <w:r>
        <w:fldChar w:fldCharType="end"/>
      </w:r>
      <w:r>
        <w:rPr>
          <w:lang w:val="en-US"/>
        </w:rPr>
        <w:t xml:space="preserve"> </w:t>
      </w:r>
      <w:r w:rsidRPr="00610EC4">
        <w:rPr>
          <w:lang w:val="en-US"/>
        </w:rPr>
        <w:t xml:space="preserve">  </w:t>
      </w:r>
    </w:p>
    <w:p w14:paraId="6500719B" w14:textId="109A26AA" w:rsidR="00610EC4" w:rsidRPr="00610EC4" w:rsidRDefault="00610EC4" w:rsidP="00610EC4">
      <w:pPr>
        <w:ind w:left="709" w:hanging="720"/>
        <w:jc w:val="both"/>
        <w:rPr>
          <w:lang w:val="en-US"/>
        </w:rPr>
      </w:pPr>
      <w:r w:rsidRPr="00610EC4">
        <w:rPr>
          <w:lang w:val="en-US"/>
        </w:rPr>
        <w:t xml:space="preserve">Daass-Iraqi, S., Garber-Epstein, P., &amp; Roe, D. (2021). Cultural Adaptation of the Illness Management and Recovery Intervention Among Israeli Arabs. </w:t>
      </w:r>
      <w:r w:rsidRPr="00610EC4">
        <w:rPr>
          <w:i/>
          <w:iCs/>
          <w:lang w:val="en-US"/>
        </w:rPr>
        <w:t>Psychiatric services, 72</w:t>
      </w:r>
      <w:r w:rsidRPr="00610EC4">
        <w:rPr>
          <w:lang w:val="en-US"/>
        </w:rPr>
        <w:t xml:space="preserve">(7), 848–852. </w:t>
      </w:r>
      <w:r>
        <w:fldChar w:fldCharType="begin"/>
      </w:r>
      <w:r w:rsidRPr="00244422">
        <w:rPr>
          <w:lang w:val="en-US"/>
        </w:rPr>
        <w:instrText>HYPERLINK "https://doi.org/10.1176/appi.ps.202000175"</w:instrText>
      </w:r>
      <w:r>
        <w:fldChar w:fldCharType="separate"/>
      </w:r>
      <w:r w:rsidRPr="00355AAA">
        <w:rPr>
          <w:rStyle w:val="Hipervnculo"/>
          <w:lang w:val="en-US"/>
        </w:rPr>
        <w:t>https://doi.org/10.1176/appi.ps.202000175</w:t>
      </w:r>
      <w:r>
        <w:fldChar w:fldCharType="end"/>
      </w:r>
      <w:r>
        <w:rPr>
          <w:lang w:val="en-US"/>
        </w:rPr>
        <w:t xml:space="preserve"> </w:t>
      </w:r>
      <w:r w:rsidRPr="00610EC4">
        <w:rPr>
          <w:lang w:val="en-US"/>
        </w:rPr>
        <w:t xml:space="preserve">  </w:t>
      </w:r>
    </w:p>
    <w:p w14:paraId="2BD52FFB" w14:textId="1B5B541D" w:rsidR="00724A8F" w:rsidRDefault="00724A8F" w:rsidP="00724A8F">
      <w:pPr>
        <w:ind w:left="709" w:hanging="720"/>
        <w:jc w:val="both"/>
        <w:rPr>
          <w:lang w:val="es-ES"/>
        </w:rPr>
      </w:pPr>
      <w:r w:rsidRPr="00724A8F">
        <w:rPr>
          <w:lang w:val="en-US"/>
        </w:rPr>
        <w:t xml:space="preserve">Davidson, L. (2021). Recovery-Oriented Systems of Care: A Perspective on the Past, Present, and Future. </w:t>
      </w:r>
      <w:r w:rsidRPr="00724A8F">
        <w:rPr>
          <w:i/>
          <w:iCs/>
          <w:lang w:val="es-ES"/>
        </w:rPr>
        <w:t>Alcohol Research</w:t>
      </w:r>
      <w:r w:rsidRPr="00724A8F">
        <w:rPr>
          <w:lang w:val="es-ES"/>
        </w:rPr>
        <w:t xml:space="preserve">, </w:t>
      </w:r>
      <w:r w:rsidRPr="00724A8F">
        <w:rPr>
          <w:i/>
          <w:iCs/>
          <w:lang w:val="es-ES"/>
        </w:rPr>
        <w:t>41</w:t>
      </w:r>
      <w:r w:rsidRPr="00724A8F">
        <w:rPr>
          <w:lang w:val="es-ES"/>
        </w:rPr>
        <w:t xml:space="preserve">(1). </w:t>
      </w:r>
      <w:hyperlink r:id="rId14" w:history="1">
        <w:r w:rsidRPr="00724A8F">
          <w:rPr>
            <w:rStyle w:val="Hipervnculo"/>
            <w:lang w:val="es-ES"/>
          </w:rPr>
          <w:t>https://doi.org/10.35946/arcr.v41.1.09</w:t>
        </w:r>
      </w:hyperlink>
    </w:p>
    <w:p w14:paraId="0AF1BA9D" w14:textId="77777777" w:rsidR="00610EC4" w:rsidRPr="00F57828" w:rsidRDefault="00610EC4" w:rsidP="00610EC4">
      <w:pPr>
        <w:ind w:left="709" w:hanging="720"/>
        <w:jc w:val="both"/>
        <w:rPr>
          <w:lang w:val="es-ES"/>
        </w:rPr>
      </w:pPr>
      <w:r w:rsidRPr="00610EC4">
        <w:rPr>
          <w:lang w:val="es-ES"/>
        </w:rPr>
        <w:t xml:space="preserve">Davidson, L. &amp; González-Ibáñez, À. (2017). La recuperación centrada en la persona y sus implicaciones en salud mental. </w:t>
      </w:r>
      <w:r w:rsidRPr="00F57828">
        <w:rPr>
          <w:i/>
          <w:iCs/>
          <w:lang w:val="es-ES"/>
        </w:rPr>
        <w:t>Revista de la Asociación Española de Neuropsiquiatría, 37</w:t>
      </w:r>
      <w:r w:rsidRPr="00F57828">
        <w:rPr>
          <w:lang w:val="es-ES"/>
        </w:rPr>
        <w:t>(131), 189-205</w:t>
      </w:r>
    </w:p>
    <w:p w14:paraId="1CC48E34" w14:textId="25FA4358" w:rsidR="005D633F" w:rsidRPr="003B5926" w:rsidRDefault="00BB46D0" w:rsidP="00610EC4">
      <w:pPr>
        <w:ind w:left="709" w:hanging="720"/>
        <w:jc w:val="both"/>
        <w:rPr>
          <w:lang w:val="es-ES"/>
        </w:rPr>
      </w:pPr>
      <w:r w:rsidRPr="00F57828">
        <w:rPr>
          <w:lang w:val="es-ES"/>
        </w:rPr>
        <w:t xml:space="preserve">Davidson, L., Rowe, M., </w:t>
      </w:r>
      <w:proofErr w:type="spellStart"/>
      <w:r w:rsidRPr="00F57828">
        <w:rPr>
          <w:lang w:val="es-ES"/>
        </w:rPr>
        <w:t>DiLeo</w:t>
      </w:r>
      <w:proofErr w:type="spellEnd"/>
      <w:r w:rsidRPr="00F57828">
        <w:rPr>
          <w:lang w:val="es-ES"/>
        </w:rPr>
        <w:t xml:space="preserve">, P., Bellamy, C., &amp; </w:t>
      </w:r>
      <w:proofErr w:type="spellStart"/>
      <w:r w:rsidRPr="00F57828">
        <w:rPr>
          <w:lang w:val="es-ES"/>
        </w:rPr>
        <w:t>Delphin-Rittmon</w:t>
      </w:r>
      <w:proofErr w:type="spellEnd"/>
      <w:r w:rsidRPr="00F57828">
        <w:rPr>
          <w:lang w:val="es-ES"/>
        </w:rPr>
        <w:t xml:space="preserve">, M. (2021). </w:t>
      </w:r>
      <w:r w:rsidRPr="00BB46D0">
        <w:rPr>
          <w:lang w:val="en-US"/>
        </w:rPr>
        <w:t xml:space="preserve">Recovery-Oriented Systems of Care: A Perspective on the Past, Present, and Future. </w:t>
      </w:r>
      <w:r w:rsidRPr="00BB46D0">
        <w:rPr>
          <w:i/>
          <w:iCs/>
          <w:lang w:val="es-ES"/>
        </w:rPr>
        <w:t xml:space="preserve">Alcohol </w:t>
      </w:r>
      <w:proofErr w:type="spellStart"/>
      <w:r w:rsidRPr="00BB46D0">
        <w:rPr>
          <w:i/>
          <w:iCs/>
          <w:lang w:val="es-ES"/>
        </w:rPr>
        <w:t>research</w:t>
      </w:r>
      <w:proofErr w:type="spellEnd"/>
      <w:r w:rsidRPr="00BB46D0">
        <w:rPr>
          <w:i/>
          <w:iCs/>
          <w:lang w:val="es-ES"/>
        </w:rPr>
        <w:t xml:space="preserve">: </w:t>
      </w:r>
      <w:proofErr w:type="spellStart"/>
      <w:r w:rsidRPr="00BB46D0">
        <w:rPr>
          <w:i/>
          <w:iCs/>
          <w:lang w:val="es-ES"/>
        </w:rPr>
        <w:t>current</w:t>
      </w:r>
      <w:proofErr w:type="spellEnd"/>
      <w:r w:rsidRPr="00BB46D0">
        <w:rPr>
          <w:i/>
          <w:iCs/>
          <w:lang w:val="es-ES"/>
        </w:rPr>
        <w:t xml:space="preserve"> </w:t>
      </w:r>
      <w:proofErr w:type="spellStart"/>
      <w:r w:rsidRPr="00BB46D0">
        <w:rPr>
          <w:i/>
          <w:iCs/>
          <w:lang w:val="es-ES"/>
        </w:rPr>
        <w:t>reviews</w:t>
      </w:r>
      <w:proofErr w:type="spellEnd"/>
      <w:r w:rsidRPr="00BB46D0">
        <w:rPr>
          <w:i/>
          <w:iCs/>
          <w:lang w:val="es-ES"/>
        </w:rPr>
        <w:t>, 41(</w:t>
      </w:r>
      <w:r w:rsidRPr="00BB46D0">
        <w:rPr>
          <w:lang w:val="es-ES"/>
        </w:rPr>
        <w:t xml:space="preserve">1), 09, 1-11. </w:t>
      </w:r>
      <w:hyperlink r:id="rId15" w:history="1">
        <w:r w:rsidRPr="00355AAA">
          <w:rPr>
            <w:rStyle w:val="Hipervnculo"/>
            <w:lang w:val="es-ES"/>
          </w:rPr>
          <w:t>https://doi.org/10.35946/arcr.v41.1.09</w:t>
        </w:r>
      </w:hyperlink>
      <w:r>
        <w:rPr>
          <w:lang w:val="es-ES"/>
        </w:rPr>
        <w:t xml:space="preserve"> </w:t>
      </w:r>
      <w:r w:rsidR="005D633F" w:rsidRPr="09C2A411">
        <w:rPr>
          <w:lang w:val="es-ES"/>
        </w:rPr>
        <w:t xml:space="preserve">. </w:t>
      </w:r>
    </w:p>
    <w:p w14:paraId="23305764" w14:textId="77777777" w:rsidR="005D633F" w:rsidRPr="008644C6" w:rsidRDefault="005D633F" w:rsidP="009B23B3">
      <w:pPr>
        <w:ind w:left="709" w:hanging="720"/>
        <w:jc w:val="both"/>
        <w:rPr>
          <w:lang w:val="es-ES"/>
        </w:rPr>
      </w:pPr>
      <w:r w:rsidRPr="008644C6">
        <w:rPr>
          <w:lang w:val="es-ES"/>
        </w:rPr>
        <w:t xml:space="preserve">Díaz de Neira, H., Marín, M., Vila, M. &amp; Martínez González, L. (2021). Intervención psicoterapéutica grupal en una Unidad de Hospitalización Breve de Adolescentes desde las terapias contextuales. </w:t>
      </w:r>
      <w:r w:rsidRPr="008644C6">
        <w:rPr>
          <w:i/>
          <w:iCs/>
          <w:lang w:val="es-ES"/>
        </w:rPr>
        <w:t>Revista de la Asociación Española de Neuropsiquiatría, 41</w:t>
      </w:r>
      <w:r w:rsidRPr="008644C6">
        <w:rPr>
          <w:lang w:val="es-ES"/>
        </w:rPr>
        <w:t xml:space="preserve">(139), 67-87. </w:t>
      </w:r>
      <w:hyperlink r:id="rId16" w:history="1">
        <w:r w:rsidRPr="008644C6">
          <w:rPr>
            <w:rStyle w:val="Hipervnculo"/>
            <w:lang w:val="es-ES"/>
          </w:rPr>
          <w:t>https://dx.doi.org/10.4321/s0211-57352021000100005</w:t>
        </w:r>
      </w:hyperlink>
      <w:r w:rsidRPr="008644C6">
        <w:rPr>
          <w:lang w:val="es-ES"/>
        </w:rPr>
        <w:t xml:space="preserve">  </w:t>
      </w:r>
    </w:p>
    <w:p w14:paraId="5F16667B" w14:textId="77777777" w:rsidR="0021272A" w:rsidRDefault="005D633F" w:rsidP="0021272A">
      <w:pPr>
        <w:ind w:left="709" w:hanging="720"/>
        <w:jc w:val="both"/>
      </w:pPr>
      <w:r w:rsidRPr="00F42F97">
        <w:rPr>
          <w:lang w:val="es-ES"/>
        </w:rPr>
        <w:t xml:space="preserve">Dubruel, A., Patel, P., &amp; Kennedy, A. (2023). The Recovery from </w:t>
      </w:r>
      <w:proofErr w:type="spellStart"/>
      <w:r w:rsidRPr="00F42F97">
        <w:rPr>
          <w:lang w:val="es-ES"/>
        </w:rPr>
        <w:t>Attempting</w:t>
      </w:r>
      <w:proofErr w:type="spellEnd"/>
      <w:r w:rsidRPr="00F42F97">
        <w:rPr>
          <w:lang w:val="es-ES"/>
        </w:rPr>
        <w:t xml:space="preserve"> Suicide (La recuperación del intento de suicidio). </w:t>
      </w:r>
      <w:r w:rsidRPr="00F42F97">
        <w:rPr>
          <w:i/>
          <w:iCs/>
          <w:lang w:val="es-ES"/>
        </w:rPr>
        <w:t>Archives Of Suicide Research</w:t>
      </w:r>
      <w:r w:rsidRPr="00F42F97">
        <w:rPr>
          <w:lang w:val="es-ES"/>
        </w:rPr>
        <w:t>, 1-13</w:t>
      </w:r>
    </w:p>
    <w:p w14:paraId="3EED16B6" w14:textId="5FCD3927" w:rsidR="00225440" w:rsidRPr="00225440" w:rsidRDefault="00225440" w:rsidP="0021272A">
      <w:pPr>
        <w:ind w:left="709" w:hanging="720"/>
        <w:jc w:val="both"/>
        <w:rPr>
          <w:lang w:val="en-US"/>
        </w:rPr>
      </w:pPr>
      <w:r w:rsidRPr="00225440">
        <w:rPr>
          <w:lang w:val="en-US"/>
        </w:rPr>
        <w:t xml:space="preserve">Espeland, K., Knizek BL &amp; Hjelmeland, H. (2023) Lifesaving turning points: First-person </w:t>
      </w:r>
    </w:p>
    <w:p w14:paraId="3EE90177" w14:textId="1EB22D39" w:rsidR="00225440" w:rsidRPr="00F57828" w:rsidRDefault="00225440" w:rsidP="00225440">
      <w:pPr>
        <w:pStyle w:val="TextoInv"/>
        <w:tabs>
          <w:tab w:val="left" w:pos="142"/>
        </w:tabs>
        <w:spacing w:after="0" w:line="240" w:lineRule="auto"/>
        <w:ind w:left="720" w:hanging="720"/>
        <w:rPr>
          <w:rFonts w:ascii="Times New Roman" w:eastAsia="Times New Roman" w:hAnsi="Times New Roman" w:cs="Times New Roman"/>
          <w:sz w:val="24"/>
          <w:szCs w:val="24"/>
          <w:lang w:eastAsia="es-ES_tradnl"/>
          <w14:ligatures w14:val="none"/>
        </w:rPr>
      </w:pPr>
      <w:r w:rsidRPr="00225440">
        <w:rPr>
          <w:rFonts w:ascii="Times New Roman" w:eastAsia="Times New Roman" w:hAnsi="Times New Roman" w:cs="Times New Roman"/>
          <w:sz w:val="24"/>
          <w:szCs w:val="24"/>
          <w:lang w:val="en-US" w:eastAsia="es-ES_tradnl"/>
          <w14:ligatures w14:val="none"/>
        </w:rPr>
        <w:tab/>
      </w:r>
      <w:r w:rsidRPr="00225440">
        <w:rPr>
          <w:rFonts w:ascii="Times New Roman" w:eastAsia="Times New Roman" w:hAnsi="Times New Roman" w:cs="Times New Roman"/>
          <w:sz w:val="24"/>
          <w:szCs w:val="24"/>
          <w:lang w:val="en-US" w:eastAsia="es-ES_tradnl"/>
          <w14:ligatures w14:val="none"/>
        </w:rPr>
        <w:tab/>
        <w:t xml:space="preserve">accounts of recovery after suicide attempt(s), </w:t>
      </w:r>
      <w:r w:rsidRPr="00225440">
        <w:rPr>
          <w:rFonts w:ascii="Times New Roman" w:eastAsia="Times New Roman" w:hAnsi="Times New Roman" w:cs="Times New Roman"/>
          <w:i/>
          <w:iCs/>
          <w:sz w:val="24"/>
          <w:szCs w:val="24"/>
          <w:lang w:val="en-US" w:eastAsia="es-ES_tradnl"/>
          <w14:ligatures w14:val="none"/>
        </w:rPr>
        <w:t>Death Studies, 47</w:t>
      </w:r>
      <w:r w:rsidRPr="00225440">
        <w:rPr>
          <w:rFonts w:ascii="Times New Roman" w:eastAsia="Times New Roman" w:hAnsi="Times New Roman" w:cs="Times New Roman"/>
          <w:sz w:val="24"/>
          <w:szCs w:val="24"/>
          <w:lang w:val="en-US" w:eastAsia="es-ES_tradnl"/>
          <w14:ligatures w14:val="none"/>
        </w:rPr>
        <w:t xml:space="preserve">(5), 550-558. </w:t>
      </w:r>
      <w:r>
        <w:fldChar w:fldCharType="begin"/>
      </w:r>
      <w:r w:rsidRPr="00244422">
        <w:rPr>
          <w:lang w:val="en-US"/>
        </w:rPr>
        <w:instrText>HYPERLINK "https://doi.org/10.1080/07481187.2022.2108941"</w:instrText>
      </w:r>
      <w:r>
        <w:fldChar w:fldCharType="separate"/>
      </w:r>
      <w:r w:rsidRPr="00F57828">
        <w:rPr>
          <w:rStyle w:val="Hipervnculo"/>
          <w:rFonts w:ascii="Times New Roman" w:eastAsia="Times New Roman" w:hAnsi="Times New Roman" w:cs="Times New Roman"/>
          <w:sz w:val="24"/>
          <w:szCs w:val="24"/>
          <w:lang w:eastAsia="es-ES_tradnl"/>
          <w14:ligatures w14:val="none"/>
        </w:rPr>
        <w:t>https://doi.org/10.1080/07481187.2022.2108941</w:t>
      </w:r>
      <w:r>
        <w:fldChar w:fldCharType="end"/>
      </w:r>
      <w:r w:rsidRPr="00F57828">
        <w:rPr>
          <w:rFonts w:ascii="Times New Roman" w:eastAsia="Times New Roman" w:hAnsi="Times New Roman" w:cs="Times New Roman"/>
          <w:sz w:val="24"/>
          <w:szCs w:val="24"/>
          <w:lang w:eastAsia="es-ES_tradnl"/>
          <w14:ligatures w14:val="none"/>
        </w:rPr>
        <w:t xml:space="preserve">  </w:t>
      </w:r>
    </w:p>
    <w:p w14:paraId="35B5233F" w14:textId="353381F8" w:rsidR="005D633F" w:rsidRPr="008644C6" w:rsidRDefault="005D633F" w:rsidP="00225440">
      <w:pPr>
        <w:pStyle w:val="TextoInv"/>
        <w:tabs>
          <w:tab w:val="left" w:pos="142"/>
        </w:tabs>
        <w:spacing w:after="0" w:line="240" w:lineRule="auto"/>
        <w:ind w:left="720" w:hanging="720"/>
        <w:rPr>
          <w:rFonts w:ascii="Times New Roman" w:hAnsi="Times New Roman" w:cs="Times New Roman"/>
          <w:sz w:val="24"/>
          <w:szCs w:val="24"/>
          <w:lang w:val="en-US"/>
        </w:rPr>
      </w:pPr>
      <w:r w:rsidRPr="00F57828">
        <w:rPr>
          <w:rFonts w:ascii="Times New Roman" w:hAnsi="Times New Roman" w:cs="Times New Roman"/>
          <w:sz w:val="24"/>
          <w:szCs w:val="24"/>
        </w:rPr>
        <w:t xml:space="preserve">Ezhumalai, S., </w:t>
      </w:r>
      <w:proofErr w:type="spellStart"/>
      <w:r w:rsidRPr="00F57828">
        <w:rPr>
          <w:rFonts w:ascii="Times New Roman" w:hAnsi="Times New Roman" w:cs="Times New Roman"/>
          <w:sz w:val="24"/>
          <w:szCs w:val="24"/>
        </w:rPr>
        <w:t>Muralidhar</w:t>
      </w:r>
      <w:proofErr w:type="spellEnd"/>
      <w:r w:rsidRPr="00F57828">
        <w:rPr>
          <w:rFonts w:ascii="Times New Roman" w:hAnsi="Times New Roman" w:cs="Times New Roman"/>
          <w:sz w:val="24"/>
          <w:szCs w:val="24"/>
        </w:rPr>
        <w:t xml:space="preserve">, D., </w:t>
      </w:r>
      <w:proofErr w:type="spellStart"/>
      <w:r w:rsidRPr="00F57828">
        <w:rPr>
          <w:rFonts w:ascii="Times New Roman" w:hAnsi="Times New Roman" w:cs="Times New Roman"/>
          <w:sz w:val="24"/>
          <w:szCs w:val="24"/>
        </w:rPr>
        <w:t>Dhanasekarapandian</w:t>
      </w:r>
      <w:proofErr w:type="spellEnd"/>
      <w:r w:rsidRPr="00F57828">
        <w:rPr>
          <w:rFonts w:ascii="Times New Roman" w:hAnsi="Times New Roman" w:cs="Times New Roman"/>
          <w:sz w:val="24"/>
          <w:szCs w:val="24"/>
        </w:rPr>
        <w:t xml:space="preserve">, R., &amp; </w:t>
      </w:r>
      <w:proofErr w:type="spellStart"/>
      <w:r w:rsidRPr="00F57828">
        <w:rPr>
          <w:rFonts w:ascii="Times New Roman" w:hAnsi="Times New Roman" w:cs="Times New Roman"/>
          <w:sz w:val="24"/>
          <w:szCs w:val="24"/>
        </w:rPr>
        <w:t>Nikketha</w:t>
      </w:r>
      <w:proofErr w:type="spellEnd"/>
      <w:r w:rsidRPr="00F57828">
        <w:rPr>
          <w:rFonts w:ascii="Times New Roman" w:hAnsi="Times New Roman" w:cs="Times New Roman"/>
          <w:sz w:val="24"/>
          <w:szCs w:val="24"/>
        </w:rPr>
        <w:t xml:space="preserve">, B. S. (2018). </w:t>
      </w:r>
      <w:r w:rsidR="00122B2C" w:rsidRPr="00495DDF">
        <w:rPr>
          <w:rFonts w:ascii="Times New Roman" w:hAnsi="Times New Roman" w:cs="Times New Roman"/>
          <w:sz w:val="24"/>
          <w:szCs w:val="24"/>
          <w:lang w:val="en-US"/>
        </w:rPr>
        <w:t>Group interventions. </w:t>
      </w:r>
      <w:r w:rsidR="00183958">
        <w:rPr>
          <w:rFonts w:ascii="Times New Roman" w:hAnsi="Times New Roman" w:cs="Times New Roman"/>
          <w:sz w:val="24"/>
          <w:szCs w:val="24"/>
          <w:lang w:val="en-US"/>
        </w:rPr>
        <w:t xml:space="preserve"> </w:t>
      </w:r>
      <w:r w:rsidR="00122B2C" w:rsidRPr="00495DDF">
        <w:rPr>
          <w:rFonts w:ascii="Times New Roman" w:hAnsi="Times New Roman" w:cs="Times New Roman"/>
          <w:i/>
          <w:iCs/>
          <w:sz w:val="24"/>
          <w:szCs w:val="24"/>
          <w:lang w:val="en-US"/>
        </w:rPr>
        <w:t>Indian Journal Of Psychiatry</w:t>
      </w:r>
      <w:r w:rsidRPr="008644C6">
        <w:rPr>
          <w:rFonts w:ascii="Times New Roman" w:hAnsi="Times New Roman" w:cs="Times New Roman"/>
          <w:i/>
          <w:iCs/>
          <w:sz w:val="24"/>
          <w:szCs w:val="24"/>
          <w:lang w:val="en-US"/>
        </w:rPr>
        <w:t>, 60</w:t>
      </w:r>
      <w:r w:rsidRPr="008644C6">
        <w:rPr>
          <w:rFonts w:ascii="Times New Roman" w:hAnsi="Times New Roman" w:cs="Times New Roman"/>
          <w:sz w:val="24"/>
          <w:szCs w:val="24"/>
          <w:lang w:val="en-US"/>
        </w:rPr>
        <w:t>(</w:t>
      </w:r>
      <w:r w:rsidR="00495DDF">
        <w:rPr>
          <w:rFonts w:ascii="Times New Roman" w:hAnsi="Times New Roman" w:cs="Times New Roman"/>
          <w:sz w:val="24"/>
          <w:szCs w:val="24"/>
          <w:lang w:val="en-US"/>
        </w:rPr>
        <w:t>8</w:t>
      </w:r>
      <w:r w:rsidRPr="008644C6">
        <w:rPr>
          <w:rFonts w:ascii="Times New Roman" w:hAnsi="Times New Roman" w:cs="Times New Roman"/>
          <w:sz w:val="24"/>
          <w:szCs w:val="24"/>
          <w:lang w:val="en-US"/>
        </w:rPr>
        <w:t>),</w:t>
      </w:r>
      <w:r w:rsidR="00495DDF">
        <w:rPr>
          <w:rFonts w:ascii="Times New Roman" w:hAnsi="Times New Roman" w:cs="Times New Roman"/>
          <w:sz w:val="24"/>
          <w:szCs w:val="24"/>
          <w:lang w:val="en-US"/>
        </w:rPr>
        <w:t xml:space="preserve"> </w:t>
      </w:r>
      <w:r w:rsidRPr="008644C6">
        <w:rPr>
          <w:rFonts w:ascii="Times New Roman" w:hAnsi="Times New Roman" w:cs="Times New Roman"/>
          <w:sz w:val="24"/>
          <w:szCs w:val="24"/>
          <w:lang w:val="en-US"/>
        </w:rPr>
        <w:t>514-521</w:t>
      </w:r>
      <w:r>
        <w:fldChar w:fldCharType="begin"/>
      </w:r>
      <w:r w:rsidRPr="00244422">
        <w:rPr>
          <w:lang w:val="en-US"/>
        </w:rPr>
        <w:instrText>HYPERLINK "https://doi.org/10.4103/psychiatry.IndianJPsychiatry_42_18"</w:instrText>
      </w:r>
      <w:r>
        <w:fldChar w:fldCharType="separate"/>
      </w:r>
      <w:r w:rsidRPr="008644C6">
        <w:rPr>
          <w:rStyle w:val="Hipervnculo"/>
          <w:rFonts w:ascii="Times New Roman" w:hAnsi="Times New Roman" w:cs="Times New Roman"/>
          <w:sz w:val="24"/>
          <w:szCs w:val="24"/>
          <w:lang w:val="en-US"/>
        </w:rPr>
        <w:t xml:space="preserve">. https://doi.org/10.4103/psychiatry.IndianJPsychiatry_42_18 </w:t>
      </w:r>
      <w:r>
        <w:fldChar w:fldCharType="end"/>
      </w:r>
    </w:p>
    <w:p w14:paraId="19A69D5F" w14:textId="05E89295" w:rsidR="0021272A" w:rsidRDefault="0021272A" w:rsidP="009B23B3">
      <w:pPr>
        <w:ind w:left="709" w:hanging="720"/>
        <w:jc w:val="both"/>
        <w:rPr>
          <w:lang w:val="es-ES"/>
        </w:rPr>
      </w:pPr>
      <w:r w:rsidRPr="0021272A">
        <w:rPr>
          <w:lang w:val="en-US"/>
        </w:rPr>
        <w:t xml:space="preserve">Färdig, R., </w:t>
      </w:r>
      <w:proofErr w:type="spellStart"/>
      <w:r w:rsidRPr="0021272A">
        <w:rPr>
          <w:lang w:val="en-US"/>
        </w:rPr>
        <w:t>Lewander</w:t>
      </w:r>
      <w:proofErr w:type="spellEnd"/>
      <w:r w:rsidRPr="0021272A">
        <w:rPr>
          <w:lang w:val="en-US"/>
        </w:rPr>
        <w:t xml:space="preserve">, T., Melin, L., Folke, F., &amp; Fredriksson, A. (2011). A randomized controlled trial of the illness management and recovery program for persons with schizophrenia. </w:t>
      </w:r>
      <w:proofErr w:type="spellStart"/>
      <w:r w:rsidRPr="0021272A">
        <w:rPr>
          <w:i/>
          <w:iCs/>
          <w:lang w:val="es-ES"/>
        </w:rPr>
        <w:t>Psychiatric</w:t>
      </w:r>
      <w:proofErr w:type="spellEnd"/>
      <w:r w:rsidRPr="0021272A">
        <w:rPr>
          <w:i/>
          <w:iCs/>
          <w:lang w:val="es-ES"/>
        </w:rPr>
        <w:t xml:space="preserve"> </w:t>
      </w:r>
      <w:proofErr w:type="spellStart"/>
      <w:r w:rsidRPr="0021272A">
        <w:rPr>
          <w:i/>
          <w:iCs/>
          <w:lang w:val="es-ES"/>
        </w:rPr>
        <w:t>services</w:t>
      </w:r>
      <w:proofErr w:type="spellEnd"/>
      <w:r w:rsidRPr="0021272A">
        <w:rPr>
          <w:i/>
          <w:iCs/>
          <w:lang w:val="es-ES"/>
        </w:rPr>
        <w:t>, 62</w:t>
      </w:r>
      <w:r w:rsidRPr="0021272A">
        <w:rPr>
          <w:lang w:val="es-ES"/>
        </w:rPr>
        <w:t xml:space="preserve">(6), 606–612. </w:t>
      </w:r>
      <w:hyperlink r:id="rId17" w:history="1">
        <w:r w:rsidRPr="00355AAA">
          <w:rPr>
            <w:rStyle w:val="Hipervnculo"/>
            <w:lang w:val="es-ES"/>
          </w:rPr>
          <w:t>https://doi.org/10.1176/ps.62.6.pss6206_0606</w:t>
        </w:r>
      </w:hyperlink>
    </w:p>
    <w:p w14:paraId="71C3E7C3" w14:textId="0F03F87C" w:rsidR="00606DE5" w:rsidRDefault="00FB55E6" w:rsidP="009B23B3">
      <w:pPr>
        <w:ind w:left="709" w:hanging="720"/>
        <w:jc w:val="both"/>
        <w:rPr>
          <w:lang w:val="es-ES"/>
        </w:rPr>
      </w:pPr>
      <w:r w:rsidRPr="00FB55E6">
        <w:rPr>
          <w:lang w:val="es-ES"/>
        </w:rPr>
        <w:t xml:space="preserve">Forero, E. A., Zuluaga, D. O., Escobar, A. M. O., &amp; </w:t>
      </w:r>
      <w:proofErr w:type="spellStart"/>
      <w:r w:rsidRPr="00FB55E6">
        <w:rPr>
          <w:lang w:val="es-ES"/>
        </w:rPr>
        <w:t>Ortíz</w:t>
      </w:r>
      <w:proofErr w:type="spellEnd"/>
      <w:r w:rsidRPr="00FB55E6">
        <w:rPr>
          <w:lang w:val="es-ES"/>
        </w:rPr>
        <w:t xml:space="preserve">, J. o. G. (2020). Diseño y validación de un Protocolo de Atención Psicológica para la Ideación Suicida. </w:t>
      </w:r>
      <w:proofErr w:type="spellStart"/>
      <w:r w:rsidRPr="00FB55E6">
        <w:rPr>
          <w:i/>
          <w:iCs/>
          <w:lang w:val="es-ES"/>
        </w:rPr>
        <w:t>Psychologia</w:t>
      </w:r>
      <w:proofErr w:type="spellEnd"/>
      <w:r w:rsidRPr="00FB55E6">
        <w:rPr>
          <w:i/>
          <w:iCs/>
          <w:lang w:val="es-ES"/>
        </w:rPr>
        <w:t>, 14</w:t>
      </w:r>
      <w:r w:rsidRPr="00FB55E6">
        <w:rPr>
          <w:lang w:val="es-ES"/>
        </w:rPr>
        <w:t xml:space="preserve">(2), 61-68. </w:t>
      </w:r>
      <w:hyperlink r:id="rId18" w:history="1">
        <w:r w:rsidRPr="00355AAA">
          <w:rPr>
            <w:rStyle w:val="Hipervnculo"/>
            <w:lang w:val="es-ES"/>
          </w:rPr>
          <w:t>https://doi.org/10.21500/19002386.4824</w:t>
        </w:r>
      </w:hyperlink>
    </w:p>
    <w:p w14:paraId="794AC532" w14:textId="1BA1FC84" w:rsidR="003C5669" w:rsidRDefault="003C5669" w:rsidP="009B23B3">
      <w:pPr>
        <w:ind w:left="709" w:hanging="720"/>
        <w:jc w:val="both"/>
        <w:rPr>
          <w:lang w:val="en-US"/>
        </w:rPr>
      </w:pPr>
      <w:r w:rsidRPr="003C5669">
        <w:rPr>
          <w:lang w:val="es-ES"/>
        </w:rPr>
        <w:t xml:space="preserve">Franklin, J. C., Ribeiro, J. D., Fox, K. R., Bentley, K. H., Kleiman, E. M., Huang, X., </w:t>
      </w:r>
      <w:proofErr w:type="spellStart"/>
      <w:r w:rsidRPr="003C5669">
        <w:rPr>
          <w:lang w:val="es-ES"/>
        </w:rPr>
        <w:t>Musacchio</w:t>
      </w:r>
      <w:proofErr w:type="spellEnd"/>
      <w:r w:rsidRPr="003C5669">
        <w:rPr>
          <w:lang w:val="es-ES"/>
        </w:rPr>
        <w:t xml:space="preserve">, K. M., </w:t>
      </w:r>
      <w:proofErr w:type="spellStart"/>
      <w:r w:rsidRPr="003C5669">
        <w:rPr>
          <w:lang w:val="es-ES"/>
        </w:rPr>
        <w:t>Jaroszewski</w:t>
      </w:r>
      <w:proofErr w:type="spellEnd"/>
      <w:r w:rsidRPr="003C5669">
        <w:rPr>
          <w:lang w:val="es-ES"/>
        </w:rPr>
        <w:t>, A. C., Chang, B. P., &amp; Nock, M. K. (201</w:t>
      </w:r>
      <w:r>
        <w:rPr>
          <w:lang w:val="es-ES"/>
        </w:rPr>
        <w:t>7</w:t>
      </w:r>
      <w:r w:rsidRPr="003C5669">
        <w:rPr>
          <w:lang w:val="es-ES"/>
        </w:rPr>
        <w:t xml:space="preserve">). </w:t>
      </w:r>
      <w:r w:rsidRPr="003C5669">
        <w:rPr>
          <w:lang w:val="en-US"/>
        </w:rPr>
        <w:t xml:space="preserve">Risk factors for suicidal thoughts and behaviors: A meta-analysis of 50 years of research. </w:t>
      </w:r>
      <w:r w:rsidRPr="003C5669">
        <w:rPr>
          <w:i/>
          <w:iCs/>
          <w:lang w:val="en-US"/>
        </w:rPr>
        <w:t>Psychological Bulletin, 143</w:t>
      </w:r>
      <w:r w:rsidRPr="003C5669">
        <w:rPr>
          <w:lang w:val="en-US"/>
        </w:rPr>
        <w:t xml:space="preserve">(2), 187-232. </w:t>
      </w:r>
      <w:r>
        <w:fldChar w:fldCharType="begin"/>
      </w:r>
      <w:r w:rsidRPr="00244422">
        <w:rPr>
          <w:lang w:val="en-US"/>
        </w:rPr>
        <w:instrText>HYPERLINK "https://doi.org/10.1037/bul0000084"</w:instrText>
      </w:r>
      <w:r>
        <w:fldChar w:fldCharType="separate"/>
      </w:r>
      <w:r w:rsidRPr="00355AAA">
        <w:rPr>
          <w:rStyle w:val="Hipervnculo"/>
          <w:lang w:val="en-US"/>
        </w:rPr>
        <w:t>https://doi.org/10.1037/bul0000084</w:t>
      </w:r>
      <w:r>
        <w:fldChar w:fldCharType="end"/>
      </w:r>
      <w:r>
        <w:rPr>
          <w:lang w:val="en-US"/>
        </w:rPr>
        <w:t xml:space="preserve"> </w:t>
      </w:r>
    </w:p>
    <w:p w14:paraId="048F7ABB" w14:textId="1A0D94A3" w:rsidR="0001119B" w:rsidRPr="00F57828" w:rsidRDefault="0001119B" w:rsidP="0001119B">
      <w:pPr>
        <w:ind w:left="709" w:hanging="720"/>
        <w:jc w:val="both"/>
        <w:rPr>
          <w:lang w:val="en-US"/>
        </w:rPr>
      </w:pPr>
      <w:r w:rsidRPr="00F57828">
        <w:rPr>
          <w:lang w:val="en-US"/>
        </w:rPr>
        <w:t xml:space="preserve">Geraci, J. C., Mobbs, M., Edwards, E., </w:t>
      </w:r>
      <w:proofErr w:type="spellStart"/>
      <w:r w:rsidRPr="00F57828">
        <w:rPr>
          <w:lang w:val="en-US"/>
        </w:rPr>
        <w:t>Doerries</w:t>
      </w:r>
      <w:proofErr w:type="spellEnd"/>
      <w:r w:rsidRPr="00F57828">
        <w:rPr>
          <w:lang w:val="en-US"/>
        </w:rPr>
        <w:t xml:space="preserve">, B., Armstrong, N. J., </w:t>
      </w:r>
      <w:proofErr w:type="spellStart"/>
      <w:r w:rsidRPr="00F57828">
        <w:rPr>
          <w:lang w:val="en-US"/>
        </w:rPr>
        <w:t>Porcarelli</w:t>
      </w:r>
      <w:proofErr w:type="spellEnd"/>
      <w:r w:rsidRPr="00F57828">
        <w:rPr>
          <w:lang w:val="en-US"/>
        </w:rPr>
        <w:t xml:space="preserve">, R., Duffy, E., Loos, C. M., Kilby, D., </w:t>
      </w:r>
      <w:proofErr w:type="spellStart"/>
      <w:r w:rsidRPr="00F57828">
        <w:rPr>
          <w:lang w:val="en-US"/>
        </w:rPr>
        <w:t>Juanamarga</w:t>
      </w:r>
      <w:proofErr w:type="spellEnd"/>
      <w:r w:rsidRPr="00F57828">
        <w:rPr>
          <w:lang w:val="en-US"/>
        </w:rPr>
        <w:t xml:space="preserve">, J., Cantor, G., Sutton, L. R., Sokol, Y., &amp; Goodman, M. (2020). Expanded roles and recommendations for stakeholders to successfully reintegrate modern warriors and mitigate suicide risk. </w:t>
      </w:r>
      <w:r w:rsidRPr="00F57828">
        <w:rPr>
          <w:i/>
          <w:iCs/>
          <w:lang w:val="en-US"/>
        </w:rPr>
        <w:t>Frontiers in Psychology, 11</w:t>
      </w:r>
      <w:r w:rsidRPr="00F57828">
        <w:rPr>
          <w:lang w:val="en-US"/>
        </w:rPr>
        <w:t xml:space="preserve">. </w:t>
      </w:r>
      <w:r>
        <w:fldChar w:fldCharType="begin"/>
      </w:r>
      <w:r w:rsidRPr="00244422">
        <w:rPr>
          <w:lang w:val="en-US"/>
        </w:rPr>
        <w:instrText>HYPERLINK "https://doi.org/10.3389/fpsyg.2020.01907"</w:instrText>
      </w:r>
      <w:r>
        <w:fldChar w:fldCharType="separate"/>
      </w:r>
      <w:r w:rsidRPr="00F57828">
        <w:rPr>
          <w:lang w:val="en-US"/>
        </w:rPr>
        <w:t>https://doi.org/10.3389/fpsyg.2020.01907</w:t>
      </w:r>
      <w:r>
        <w:fldChar w:fldCharType="end"/>
      </w:r>
      <w:r w:rsidRPr="00F57828">
        <w:rPr>
          <w:lang w:val="en-US"/>
        </w:rPr>
        <w:t xml:space="preserve">    </w:t>
      </w:r>
    </w:p>
    <w:p w14:paraId="0B499AA7" w14:textId="77777777" w:rsidR="005D633F" w:rsidRPr="008644C6" w:rsidRDefault="005D633F" w:rsidP="009B23B3">
      <w:pPr>
        <w:ind w:left="709" w:hanging="720"/>
        <w:jc w:val="both"/>
        <w:rPr>
          <w:lang w:val="en-US"/>
        </w:rPr>
      </w:pPr>
      <w:r w:rsidRPr="008644C6">
        <w:rPr>
          <w:lang w:val="en-US"/>
        </w:rPr>
        <w:t xml:space="preserve">Gipson, P. Y., Agarwala, P., Opperman, K. J., Horwitz, A., &amp; King, C. A. (2015). Columbia-suicide severity rating scale: predictive validity with adolescent psychiatric emergency patients. </w:t>
      </w:r>
      <w:r w:rsidRPr="008644C6">
        <w:rPr>
          <w:i/>
          <w:iCs/>
          <w:lang w:val="en-US"/>
        </w:rPr>
        <w:t>Pediatric emergency care, 31</w:t>
      </w:r>
      <w:r w:rsidRPr="008644C6">
        <w:rPr>
          <w:lang w:val="en-US"/>
        </w:rPr>
        <w:t>(2), 88-94.</w:t>
      </w:r>
      <w:r>
        <w:fldChar w:fldCharType="begin"/>
      </w:r>
      <w:r w:rsidRPr="00244422">
        <w:rPr>
          <w:lang w:val="en-US"/>
        </w:rPr>
        <w:instrText>HYPERLINK "https://doi.org/10.1097/PEC.0000000000000225"</w:instrText>
      </w:r>
      <w:r>
        <w:fldChar w:fldCharType="separate"/>
      </w:r>
      <w:r w:rsidRPr="008644C6">
        <w:rPr>
          <w:rStyle w:val="Hipervnculo"/>
          <w:lang w:val="en-US"/>
        </w:rPr>
        <w:t xml:space="preserve"> https://doi.org/10.1097/PEC.0000000000000225</w:t>
      </w:r>
      <w:r>
        <w:fldChar w:fldCharType="end"/>
      </w:r>
    </w:p>
    <w:p w14:paraId="21BEB836" w14:textId="77777777" w:rsidR="005D633F" w:rsidRPr="00DD5704" w:rsidRDefault="005D633F" w:rsidP="009B23B3">
      <w:pPr>
        <w:ind w:left="709" w:hanging="720"/>
        <w:jc w:val="both"/>
        <w:rPr>
          <w:lang w:val="en-US"/>
        </w:rPr>
      </w:pPr>
      <w:r w:rsidRPr="008644C6">
        <w:rPr>
          <w:lang w:val="en-US"/>
        </w:rPr>
        <w:t xml:space="preserve">Goh, Y., Yong, J. Q. Y. O., &amp; Li, A. Z. (2023). Effectiveness of Illness Management and Recovery Program on People with Severe Mental Illnesses: A Systematic review and Meta-analysis. </w:t>
      </w:r>
      <w:r w:rsidRPr="00DD5704">
        <w:rPr>
          <w:i/>
          <w:iCs/>
          <w:lang w:val="en-US"/>
        </w:rPr>
        <w:t xml:space="preserve">Frontiers in Psychiatry, 14. </w:t>
      </w:r>
      <w:hyperlink r:id="rId19" w:history="1">
        <w:r w:rsidRPr="00DD5704">
          <w:rPr>
            <w:rStyle w:val="Hipervnculo"/>
            <w:lang w:val="en-US"/>
          </w:rPr>
          <w:t>https://doi.org/10.3389/fpsyt.2023.1162288</w:t>
        </w:r>
      </w:hyperlink>
      <w:r w:rsidRPr="00DD5704">
        <w:rPr>
          <w:lang w:val="en-US"/>
        </w:rPr>
        <w:t xml:space="preserve">  </w:t>
      </w:r>
    </w:p>
    <w:p w14:paraId="30B91E59" w14:textId="7FF63E2D" w:rsidR="00DD5704" w:rsidRPr="00DD5704" w:rsidRDefault="00DD5704" w:rsidP="009B23B3">
      <w:pPr>
        <w:ind w:left="709" w:hanging="720"/>
        <w:jc w:val="both"/>
        <w:rPr>
          <w:lang w:val="en-US"/>
        </w:rPr>
      </w:pPr>
      <w:r w:rsidRPr="00D51F3F">
        <w:rPr>
          <w:lang w:val="en-US"/>
        </w:rPr>
        <w:t>Holmes, J. (2018). Suicide and Deliberate Self-Harm: When Attachments Fail. In: Pompili, M. (eds) Phenomenology of Suicide. Springer, Cham. (</w:t>
      </w:r>
      <w:proofErr w:type="gramStart"/>
      <w:r w:rsidRPr="00D51F3F">
        <w:rPr>
          <w:lang w:val="en-US"/>
        </w:rPr>
        <w:t>pp</w:t>
      </w:r>
      <w:proofErr w:type="gramEnd"/>
      <w:r w:rsidRPr="00D51F3F">
        <w:rPr>
          <w:lang w:val="en-US"/>
        </w:rPr>
        <w:t xml:space="preserve">. 113-129). </w:t>
      </w:r>
      <w:hyperlink r:id="rId20" w:history="1">
        <w:r w:rsidRPr="00D51F3F">
          <w:rPr>
            <w:rStyle w:val="Hipervnculo"/>
            <w:lang w:val="en-US"/>
          </w:rPr>
          <w:t>https://doi.org/10.1007/978-3-319-47976-7_7</w:t>
        </w:r>
      </w:hyperlink>
    </w:p>
    <w:p w14:paraId="6091EDCA" w14:textId="0A4B1B88" w:rsidR="143BD311" w:rsidRPr="00DD723F" w:rsidRDefault="143BD311" w:rsidP="09C2A411">
      <w:pPr>
        <w:ind w:left="709" w:hanging="720"/>
        <w:jc w:val="both"/>
        <w:rPr>
          <w:lang w:val="en-US"/>
        </w:rPr>
      </w:pPr>
      <w:r w:rsidRPr="00DD723F">
        <w:rPr>
          <w:lang w:val="en-US"/>
        </w:rPr>
        <w:t xml:space="preserve">Hom, M. A., Albury, E. A., Gomez, M. M., Christensen, K., Stanley, I. H., Stage, D. L., &amp; Joiner, T. E. (2020). Suicide attempt survivors’ experiences with mental health care services: A mixed methods study. </w:t>
      </w:r>
      <w:r w:rsidRPr="00DD723F">
        <w:rPr>
          <w:i/>
          <w:iCs/>
          <w:lang w:val="en-US"/>
        </w:rPr>
        <w:t>Professional Psychology: Research and Practice, 51</w:t>
      </w:r>
      <w:r w:rsidRPr="00DD723F">
        <w:rPr>
          <w:lang w:val="en-US"/>
        </w:rPr>
        <w:t xml:space="preserve">(2), 172–183. </w:t>
      </w:r>
      <w:hyperlink r:id="rId21">
        <w:r w:rsidRPr="00DD723F">
          <w:rPr>
            <w:rStyle w:val="Hipervnculo"/>
            <w:lang w:val="en-US"/>
          </w:rPr>
          <w:t>https://doi.org/10.1037/pro0000265</w:t>
        </w:r>
      </w:hyperlink>
      <w:r w:rsidRPr="00DD723F">
        <w:rPr>
          <w:lang w:val="en-US"/>
        </w:rPr>
        <w:t xml:space="preserve"> </w:t>
      </w:r>
    </w:p>
    <w:p w14:paraId="1C849F53" w14:textId="6A93695F" w:rsidR="005D633F" w:rsidRPr="00294246" w:rsidRDefault="005D633F" w:rsidP="009B23B3">
      <w:pPr>
        <w:tabs>
          <w:tab w:val="left" w:pos="142"/>
        </w:tabs>
        <w:ind w:left="720" w:hanging="720"/>
        <w:jc w:val="both"/>
        <w:rPr>
          <w:lang w:val="en-US"/>
        </w:rPr>
      </w:pPr>
      <w:r w:rsidRPr="008644C6">
        <w:rPr>
          <w:lang w:val="en-US"/>
        </w:rPr>
        <w:t xml:space="preserve">Hom, M. A., Bauer, B. W., Stanley, I. H., Boffa, J. W., Stage, D. L., Capron, D. W., Schmidt, N. B., &amp; Joiner, T. E. (2021). Suicide </w:t>
      </w:r>
      <w:r w:rsidR="00294246" w:rsidRPr="008644C6">
        <w:rPr>
          <w:lang w:val="en-US"/>
        </w:rPr>
        <w:t>attempts</w:t>
      </w:r>
      <w:r w:rsidRPr="008644C6">
        <w:rPr>
          <w:lang w:val="en-US"/>
        </w:rPr>
        <w:t xml:space="preserve">' recommendations for improving mental health treatment for </w:t>
      </w:r>
      <w:proofErr w:type="gramStart"/>
      <w:r w:rsidRPr="008644C6">
        <w:rPr>
          <w:lang w:val="en-US"/>
        </w:rPr>
        <w:t>attempt</w:t>
      </w:r>
      <w:proofErr w:type="gramEnd"/>
      <w:r w:rsidRPr="008644C6">
        <w:rPr>
          <w:lang w:val="en-US"/>
        </w:rPr>
        <w:t xml:space="preserve"> survivors. </w:t>
      </w:r>
      <w:r w:rsidRPr="00294246">
        <w:rPr>
          <w:i/>
          <w:iCs/>
          <w:lang w:val="en-US"/>
        </w:rPr>
        <w:t>Psychological services, 18</w:t>
      </w:r>
      <w:r w:rsidRPr="00294246">
        <w:rPr>
          <w:lang w:val="en-US"/>
        </w:rPr>
        <w:t>(3), 365-376.</w:t>
      </w:r>
      <w:r>
        <w:fldChar w:fldCharType="begin"/>
      </w:r>
      <w:r w:rsidRPr="00244422">
        <w:rPr>
          <w:lang w:val="en-US"/>
        </w:rPr>
        <w:instrText>HYPERLINK "https://doi.org/10.1037/ser0000415"</w:instrText>
      </w:r>
      <w:r>
        <w:fldChar w:fldCharType="separate"/>
      </w:r>
      <w:r w:rsidRPr="00294246">
        <w:rPr>
          <w:rStyle w:val="Hipervnculo"/>
          <w:lang w:val="en-US"/>
        </w:rPr>
        <w:t xml:space="preserve"> https://doi.org/10.1037/ser0000415</w:t>
      </w:r>
      <w:r>
        <w:fldChar w:fldCharType="end"/>
      </w:r>
    </w:p>
    <w:p w14:paraId="00ADF728" w14:textId="1B75E6DE" w:rsidR="00294246" w:rsidRPr="00294246" w:rsidRDefault="00294246" w:rsidP="00294246">
      <w:pPr>
        <w:tabs>
          <w:tab w:val="left" w:pos="142"/>
        </w:tabs>
        <w:ind w:left="720" w:hanging="720"/>
        <w:jc w:val="both"/>
        <w:rPr>
          <w:color w:val="000000" w:themeColor="text1"/>
          <w:shd w:val="clear" w:color="auto" w:fill="FFFFFF"/>
          <w:lang w:val="en-US"/>
        </w:rPr>
      </w:pPr>
      <w:bookmarkStart w:id="0" w:name="_Hlk151256480"/>
      <w:r w:rsidRPr="00294246">
        <w:rPr>
          <w:color w:val="000000" w:themeColor="text1"/>
          <w:shd w:val="clear" w:color="auto" w:fill="FFFFFF"/>
          <w:lang w:val="en-US"/>
        </w:rPr>
        <w:t xml:space="preserve">Hunt, M. G., &amp; Resnick, S. G. (2015). Two Birds, One Stone: Unintended Consequences and a Potential Solution for Problems with Recovery in Mental Health. </w:t>
      </w:r>
      <w:r w:rsidRPr="00294246">
        <w:rPr>
          <w:i/>
          <w:iCs/>
          <w:color w:val="000000" w:themeColor="text1"/>
          <w:shd w:val="clear" w:color="auto" w:fill="FFFFFF"/>
          <w:lang w:val="en-US"/>
        </w:rPr>
        <w:t>Psychiatric services, 66</w:t>
      </w:r>
      <w:r w:rsidRPr="00294246">
        <w:rPr>
          <w:color w:val="000000" w:themeColor="text1"/>
          <w:shd w:val="clear" w:color="auto" w:fill="FFFFFF"/>
          <w:lang w:val="en-US"/>
        </w:rPr>
        <w:t xml:space="preserve">(11), 1235–1237. </w:t>
      </w:r>
      <w:r>
        <w:fldChar w:fldCharType="begin"/>
      </w:r>
      <w:r w:rsidRPr="00244422">
        <w:rPr>
          <w:lang w:val="en-US"/>
        </w:rPr>
        <w:instrText>HYPERLINK "https://doi.org/10.1176/appi.ps.201400518"</w:instrText>
      </w:r>
      <w:r>
        <w:fldChar w:fldCharType="separate"/>
      </w:r>
      <w:r w:rsidRPr="00583DE5">
        <w:rPr>
          <w:color w:val="000000" w:themeColor="text1"/>
          <w:shd w:val="clear" w:color="auto" w:fill="FFFFFF"/>
          <w:lang w:val="en-US"/>
        </w:rPr>
        <w:t>https://doi.org/10.1176/appi.ps.201400518</w:t>
      </w:r>
      <w:r>
        <w:fldChar w:fldCharType="end"/>
      </w:r>
      <w:r>
        <w:rPr>
          <w:color w:val="000000" w:themeColor="text1"/>
          <w:shd w:val="clear" w:color="auto" w:fill="FFFFFF"/>
          <w:lang w:val="en-US"/>
        </w:rPr>
        <w:t xml:space="preserve"> </w:t>
      </w:r>
      <w:r w:rsidRPr="00294246">
        <w:rPr>
          <w:color w:val="000000" w:themeColor="text1"/>
          <w:shd w:val="clear" w:color="auto" w:fill="FFFFFF"/>
          <w:lang w:val="en-US"/>
        </w:rPr>
        <w:t xml:space="preserve"> </w:t>
      </w:r>
    </w:p>
    <w:bookmarkEnd w:id="0"/>
    <w:p w14:paraId="66CB2D62" w14:textId="30EA8C38" w:rsidR="00583DE5" w:rsidRPr="00583DE5" w:rsidRDefault="00583DE5" w:rsidP="009B23B3">
      <w:pPr>
        <w:ind w:left="709" w:hanging="720"/>
        <w:jc w:val="both"/>
        <w:rPr>
          <w:lang w:val="en-US"/>
        </w:rPr>
      </w:pPr>
      <w:r w:rsidRPr="00583DE5">
        <w:rPr>
          <w:color w:val="000000" w:themeColor="text1"/>
          <w:shd w:val="clear" w:color="auto" w:fill="FFFFFF"/>
          <w:lang w:val="en-US"/>
        </w:rPr>
        <w:t xml:space="preserve">Jacob, K. S. (2015). Recovery Model of Mental Illness: A Complementary Approach to Psychiatric Care. </w:t>
      </w:r>
      <w:r w:rsidRPr="00583DE5">
        <w:rPr>
          <w:i/>
          <w:iCs/>
          <w:color w:val="000000" w:themeColor="text1"/>
          <w:shd w:val="clear" w:color="auto" w:fill="FFFFFF"/>
          <w:lang w:val="en-US"/>
        </w:rPr>
        <w:t>Indian Journal Of Psychological Medicine</w:t>
      </w:r>
      <w:r w:rsidRPr="00583DE5">
        <w:rPr>
          <w:color w:val="000000" w:themeColor="text1"/>
          <w:shd w:val="clear" w:color="auto" w:fill="FFFFFF"/>
          <w:lang w:val="en-US"/>
        </w:rPr>
        <w:t xml:space="preserve">, </w:t>
      </w:r>
      <w:r w:rsidRPr="00583DE5">
        <w:rPr>
          <w:i/>
          <w:iCs/>
          <w:color w:val="000000" w:themeColor="text1"/>
          <w:shd w:val="clear" w:color="auto" w:fill="FFFFFF"/>
          <w:lang w:val="en-US"/>
        </w:rPr>
        <w:t>37</w:t>
      </w:r>
      <w:r w:rsidRPr="00583DE5">
        <w:rPr>
          <w:color w:val="000000" w:themeColor="text1"/>
          <w:shd w:val="clear" w:color="auto" w:fill="FFFFFF"/>
          <w:lang w:val="en-US"/>
        </w:rPr>
        <w:t xml:space="preserve">(2), 117-119. </w:t>
      </w:r>
      <w:r>
        <w:fldChar w:fldCharType="begin"/>
      </w:r>
      <w:r w:rsidRPr="00244422">
        <w:rPr>
          <w:lang w:val="en-US"/>
        </w:rPr>
        <w:instrText>HYPERLINK "https://doi.org/10.4103/0253-7176.155605"</w:instrText>
      </w:r>
      <w:r>
        <w:fldChar w:fldCharType="separate"/>
      </w:r>
      <w:r w:rsidRPr="00583DE5">
        <w:rPr>
          <w:rStyle w:val="Hipervnculo"/>
          <w:shd w:val="clear" w:color="auto" w:fill="FFFFFF"/>
          <w:lang w:val="en-US"/>
        </w:rPr>
        <w:t>https://doi.org/10.4103/0253-7176.155605</w:t>
      </w:r>
      <w:r>
        <w:fldChar w:fldCharType="end"/>
      </w:r>
      <w:r>
        <w:rPr>
          <w:color w:val="000000" w:themeColor="text1"/>
          <w:shd w:val="clear" w:color="auto" w:fill="FFFFFF"/>
          <w:lang w:val="en-US"/>
        </w:rPr>
        <w:t xml:space="preserve"> </w:t>
      </w:r>
    </w:p>
    <w:p w14:paraId="47AB26E7" w14:textId="412A6CEB" w:rsidR="00B8668A" w:rsidRPr="00B8668A" w:rsidRDefault="00B8668A" w:rsidP="00B8668A">
      <w:pPr>
        <w:ind w:left="709" w:hanging="720"/>
        <w:jc w:val="both"/>
        <w:rPr>
          <w:color w:val="000000" w:themeColor="text1"/>
          <w:shd w:val="clear" w:color="auto" w:fill="FFFFFF"/>
          <w:lang w:val="en-US"/>
        </w:rPr>
      </w:pPr>
      <w:r w:rsidRPr="00B8668A">
        <w:rPr>
          <w:color w:val="000000" w:themeColor="text1"/>
          <w:shd w:val="clear" w:color="auto" w:fill="FFFFFF"/>
          <w:lang w:val="en-US"/>
        </w:rPr>
        <w:t xml:space="preserve">Karadzhov, D. (2023). Personal recovery and socio-structural disadvantage: A critical conceptual review. </w:t>
      </w:r>
      <w:r w:rsidRPr="00B8668A">
        <w:rPr>
          <w:i/>
          <w:iCs/>
          <w:color w:val="000000" w:themeColor="text1"/>
          <w:shd w:val="clear" w:color="auto" w:fill="FFFFFF"/>
          <w:lang w:val="en-US"/>
        </w:rPr>
        <w:t>Health, 27</w:t>
      </w:r>
      <w:r w:rsidRPr="00B8668A">
        <w:rPr>
          <w:color w:val="000000" w:themeColor="text1"/>
          <w:shd w:val="clear" w:color="auto" w:fill="FFFFFF"/>
          <w:lang w:val="en-US"/>
        </w:rPr>
        <w:t xml:space="preserve">(2), 201-225. </w:t>
      </w:r>
      <w:r>
        <w:fldChar w:fldCharType="begin"/>
      </w:r>
      <w:r w:rsidRPr="00244422">
        <w:rPr>
          <w:lang w:val="en-US"/>
        </w:rPr>
        <w:instrText>HYPERLINK "https://doi.org/10.1177/13634593211014250"</w:instrText>
      </w:r>
      <w:r>
        <w:fldChar w:fldCharType="separate"/>
      </w:r>
      <w:r w:rsidRPr="00110BDA">
        <w:rPr>
          <w:color w:val="000000" w:themeColor="text1"/>
          <w:shd w:val="clear" w:color="auto" w:fill="FFFFFF"/>
          <w:lang w:val="en-US"/>
        </w:rPr>
        <w:t>https://doi.org/10.1177/13634593211014250</w:t>
      </w:r>
      <w:r>
        <w:fldChar w:fldCharType="end"/>
      </w:r>
      <w:r>
        <w:rPr>
          <w:color w:val="000000" w:themeColor="text1"/>
          <w:shd w:val="clear" w:color="auto" w:fill="FFFFFF"/>
          <w:lang w:val="en-US"/>
        </w:rPr>
        <w:t xml:space="preserve"> </w:t>
      </w:r>
      <w:r w:rsidRPr="00B8668A">
        <w:rPr>
          <w:color w:val="000000" w:themeColor="text1"/>
          <w:shd w:val="clear" w:color="auto" w:fill="FFFFFF"/>
          <w:lang w:val="en-US"/>
        </w:rPr>
        <w:t xml:space="preserve"> </w:t>
      </w:r>
    </w:p>
    <w:p w14:paraId="3695C0BA" w14:textId="4FB64ED1" w:rsidR="005D633F" w:rsidRPr="008644C6" w:rsidRDefault="005D633F" w:rsidP="009B23B3">
      <w:pPr>
        <w:tabs>
          <w:tab w:val="left" w:pos="142"/>
        </w:tabs>
        <w:ind w:left="720" w:hanging="720"/>
        <w:jc w:val="both"/>
        <w:rPr>
          <w:lang w:val="en-US"/>
        </w:rPr>
      </w:pPr>
      <w:r w:rsidRPr="008644C6">
        <w:rPr>
          <w:lang w:val="en-US"/>
        </w:rPr>
        <w:t xml:space="preserve">Lakeman, R. &amp; FitzGerald, M. (2008), How people live with or get over being suicidal: a review of qualitative studies. </w:t>
      </w:r>
      <w:r w:rsidRPr="008644C6">
        <w:rPr>
          <w:i/>
          <w:iCs/>
          <w:lang w:val="en-US"/>
        </w:rPr>
        <w:t>Journal of Advanced Nursing, 64</w:t>
      </w:r>
      <w:r w:rsidRPr="008644C6">
        <w:rPr>
          <w:lang w:val="en-US"/>
        </w:rPr>
        <w:t>, 14-126</w:t>
      </w:r>
      <w:hyperlink r:id="rId22" w:history="1">
        <w:r w:rsidRPr="008644C6">
          <w:rPr>
            <w:rStyle w:val="Hipervnculo"/>
            <w:lang w:val="en-US"/>
          </w:rPr>
          <w:t xml:space="preserve">. https://sibib2.ucm.cl:2106/10.1111/j.1365-2648.2008.04773.x </w:t>
        </w:r>
      </w:hyperlink>
    </w:p>
    <w:p w14:paraId="3D1D2B5E" w14:textId="77777777" w:rsidR="005E32C8" w:rsidRPr="00F57828" w:rsidRDefault="005E32C8" w:rsidP="005E32C8">
      <w:pPr>
        <w:ind w:left="709" w:hanging="720"/>
        <w:jc w:val="both"/>
        <w:rPr>
          <w:lang w:val="en-US"/>
        </w:rPr>
      </w:pPr>
      <w:r w:rsidRPr="005E32C8">
        <w:rPr>
          <w:lang w:val="en-US"/>
        </w:rPr>
        <w:t xml:space="preserve">Mahdanian, A. A., Laporta, M., Bold, N. D., Funk, M., &amp; Puras, D. (2022). Human rights in mental healthcare; A review of </w:t>
      </w:r>
      <w:proofErr w:type="gramStart"/>
      <w:r w:rsidRPr="005E32C8">
        <w:rPr>
          <w:lang w:val="en-US"/>
        </w:rPr>
        <w:t>current</w:t>
      </w:r>
      <w:proofErr w:type="gramEnd"/>
      <w:r w:rsidRPr="005E32C8">
        <w:rPr>
          <w:lang w:val="en-US"/>
        </w:rPr>
        <w:t xml:space="preserve"> global situation. </w:t>
      </w:r>
      <w:r w:rsidRPr="00F57828">
        <w:rPr>
          <w:i/>
          <w:iCs/>
          <w:lang w:val="en-US"/>
        </w:rPr>
        <w:t>International Review Of Psychiatry</w:t>
      </w:r>
      <w:r w:rsidRPr="00F57828">
        <w:rPr>
          <w:lang w:val="en-US"/>
        </w:rPr>
        <w:t xml:space="preserve">, </w:t>
      </w:r>
      <w:r w:rsidRPr="00F57828">
        <w:rPr>
          <w:i/>
          <w:iCs/>
          <w:lang w:val="en-US"/>
        </w:rPr>
        <w:t>35</w:t>
      </w:r>
      <w:r w:rsidRPr="00F57828">
        <w:rPr>
          <w:lang w:val="en-US"/>
        </w:rPr>
        <w:t xml:space="preserve">(2), 150-162. </w:t>
      </w:r>
      <w:r>
        <w:fldChar w:fldCharType="begin"/>
      </w:r>
      <w:r w:rsidRPr="00244422">
        <w:rPr>
          <w:lang w:val="en-US"/>
        </w:rPr>
        <w:instrText>HYPERLINK "https://doi.org/10.1080/09540261.2022.2027348" \h</w:instrText>
      </w:r>
      <w:r>
        <w:fldChar w:fldCharType="separate"/>
      </w:r>
      <w:r w:rsidRPr="00F57828">
        <w:rPr>
          <w:rStyle w:val="Hipervnculo"/>
          <w:lang w:val="en-US"/>
        </w:rPr>
        <w:t>https://doi.org/10.1080/09540261.2022.2027348</w:t>
      </w:r>
      <w:r>
        <w:fldChar w:fldCharType="end"/>
      </w:r>
      <w:r w:rsidRPr="00F57828">
        <w:rPr>
          <w:lang w:val="en-US"/>
        </w:rPr>
        <w:t xml:space="preserve"> </w:t>
      </w:r>
    </w:p>
    <w:p w14:paraId="2A0F7810" w14:textId="77777777" w:rsidR="005D633F" w:rsidRPr="00BB0D60" w:rsidRDefault="005D633F" w:rsidP="09C2A411">
      <w:pPr>
        <w:tabs>
          <w:tab w:val="left" w:pos="3218"/>
        </w:tabs>
        <w:ind w:left="720" w:hanging="720"/>
        <w:jc w:val="both"/>
        <w:rPr>
          <w:lang w:val="en-US"/>
        </w:rPr>
      </w:pPr>
      <w:r w:rsidRPr="00BB0D60">
        <w:rPr>
          <w:lang w:val="en-US"/>
        </w:rPr>
        <w:t>McGovern P. (2022). The World Health Organization's QualityRights initiative: rights and recovery-oriented services should be at the centre not the margins of psychiatry. </w:t>
      </w:r>
      <w:r w:rsidRPr="00BB0D60">
        <w:rPr>
          <w:i/>
          <w:iCs/>
          <w:lang w:val="en-US"/>
        </w:rPr>
        <w:t>The British journal of psychiatry: the journal of mental science</w:t>
      </w:r>
      <w:r w:rsidRPr="00BB0D60">
        <w:rPr>
          <w:lang w:val="en-US"/>
        </w:rPr>
        <w:t>, </w:t>
      </w:r>
      <w:r w:rsidRPr="00BB0D60">
        <w:rPr>
          <w:i/>
          <w:iCs/>
          <w:lang w:val="en-US"/>
        </w:rPr>
        <w:t>221</w:t>
      </w:r>
      <w:r w:rsidRPr="00BB0D60">
        <w:rPr>
          <w:lang w:val="en-US"/>
        </w:rPr>
        <w:t xml:space="preserve">(1), 428–430. </w:t>
      </w:r>
      <w:r>
        <w:fldChar w:fldCharType="begin"/>
      </w:r>
      <w:r w:rsidRPr="00244422">
        <w:rPr>
          <w:lang w:val="en-US"/>
        </w:rPr>
        <w:instrText>HYPERLINK "https://doi.org/10.1192/bjp.2022.25" \h</w:instrText>
      </w:r>
      <w:r>
        <w:fldChar w:fldCharType="separate"/>
      </w:r>
      <w:r w:rsidRPr="00BB0D60">
        <w:rPr>
          <w:rStyle w:val="Hipervnculo"/>
          <w:lang w:val="en-US"/>
        </w:rPr>
        <w:t>https://doi.org/10.1192/bjp.2022.25</w:t>
      </w:r>
      <w:r>
        <w:fldChar w:fldCharType="end"/>
      </w:r>
    </w:p>
    <w:p w14:paraId="47F94369" w14:textId="7F4C5276" w:rsidR="00BB0D60" w:rsidRDefault="00BB0D60" w:rsidP="009B23B3">
      <w:pPr>
        <w:ind w:left="709" w:hanging="720"/>
        <w:jc w:val="both"/>
        <w:rPr>
          <w:lang w:val="en-US"/>
        </w:rPr>
      </w:pPr>
      <w:r w:rsidRPr="00BB0D60">
        <w:rPr>
          <w:lang w:val="en-US"/>
        </w:rPr>
        <w:t xml:space="preserve">McGuire, A. B., Kukla, M., Green, A., Gilbride, D., Mueser, K. T., &amp; Salyers, M. P. (2014). Illness management and recovery: a review of the literature. </w:t>
      </w:r>
      <w:r w:rsidRPr="00BB0D60">
        <w:rPr>
          <w:i/>
          <w:iCs/>
          <w:lang w:val="en-US"/>
        </w:rPr>
        <w:t>Psychiatric services, 65</w:t>
      </w:r>
      <w:r w:rsidRPr="00BB0D60">
        <w:rPr>
          <w:lang w:val="en-US"/>
        </w:rPr>
        <w:t xml:space="preserve">(2), 171–179.  </w:t>
      </w:r>
      <w:r>
        <w:fldChar w:fldCharType="begin"/>
      </w:r>
      <w:r w:rsidRPr="00244422">
        <w:rPr>
          <w:lang w:val="en-US"/>
        </w:rPr>
        <w:instrText>HYPERLINK "https://doi.org/10.1176/appi.ps.201200274"</w:instrText>
      </w:r>
      <w:r>
        <w:fldChar w:fldCharType="separate"/>
      </w:r>
      <w:r w:rsidRPr="00355AAA">
        <w:rPr>
          <w:rStyle w:val="Hipervnculo"/>
          <w:lang w:val="en-US"/>
        </w:rPr>
        <w:t>https://doi.org/10.1176/appi.ps.201200274</w:t>
      </w:r>
      <w:r>
        <w:fldChar w:fldCharType="end"/>
      </w:r>
      <w:r>
        <w:rPr>
          <w:lang w:val="en-US"/>
        </w:rPr>
        <w:t xml:space="preserve"> </w:t>
      </w:r>
      <w:r w:rsidRPr="00BB0D60">
        <w:rPr>
          <w:lang w:val="en-US"/>
        </w:rPr>
        <w:t xml:space="preserve"> </w:t>
      </w:r>
    </w:p>
    <w:p w14:paraId="53EA2848" w14:textId="78729427" w:rsidR="00490209" w:rsidRPr="00490209" w:rsidRDefault="00490209" w:rsidP="009B23B3">
      <w:pPr>
        <w:ind w:left="709" w:hanging="720"/>
        <w:jc w:val="both"/>
        <w:rPr>
          <w:lang w:val="es-ES"/>
        </w:rPr>
      </w:pPr>
      <w:r w:rsidRPr="00490209">
        <w:rPr>
          <w:lang w:val="en-US"/>
        </w:rPr>
        <w:t xml:space="preserve">Melia, R., Francis, K., Hickey, E., Bogue, J., Duggan, J., O'Sullivan, M., &amp; Young, K. (2020). Mobile Health Technology Interventions for Suicide Prevention: Systematic Review. </w:t>
      </w:r>
      <w:r w:rsidRPr="00490209">
        <w:rPr>
          <w:i/>
          <w:iCs/>
          <w:lang w:val="en-US"/>
        </w:rPr>
        <w:t xml:space="preserve">JMIR mHealth and </w:t>
      </w:r>
      <w:proofErr w:type="spellStart"/>
      <w:r w:rsidRPr="00490209">
        <w:rPr>
          <w:i/>
          <w:iCs/>
          <w:lang w:val="en-US"/>
        </w:rPr>
        <w:t>uHealth</w:t>
      </w:r>
      <w:proofErr w:type="spellEnd"/>
      <w:r w:rsidRPr="00490209">
        <w:rPr>
          <w:i/>
          <w:iCs/>
          <w:lang w:val="en-US"/>
        </w:rPr>
        <w:t>, 8(</w:t>
      </w:r>
      <w:r w:rsidRPr="00490209">
        <w:rPr>
          <w:lang w:val="en-US"/>
        </w:rPr>
        <w:t xml:space="preserve">1), e12516. </w:t>
      </w:r>
      <w:r>
        <w:fldChar w:fldCharType="begin"/>
      </w:r>
      <w:r w:rsidRPr="00244422">
        <w:rPr>
          <w:lang w:val="en-US"/>
        </w:rPr>
        <w:instrText>HYPERLINK "https://doi.org/10.2196/12516"</w:instrText>
      </w:r>
      <w:r>
        <w:fldChar w:fldCharType="separate"/>
      </w:r>
      <w:r w:rsidRPr="00490209">
        <w:rPr>
          <w:rStyle w:val="Hipervnculo"/>
          <w:lang w:val="es-ES"/>
        </w:rPr>
        <w:t>https://doi.org/10.2196/12516</w:t>
      </w:r>
      <w:r>
        <w:fldChar w:fldCharType="end"/>
      </w:r>
      <w:r w:rsidRPr="00490209">
        <w:rPr>
          <w:lang w:val="es-ES"/>
        </w:rPr>
        <w:t xml:space="preserve"> </w:t>
      </w:r>
    </w:p>
    <w:p w14:paraId="40415A7B" w14:textId="79831944" w:rsidR="00424937" w:rsidRDefault="00424937" w:rsidP="009B23B3">
      <w:pPr>
        <w:ind w:left="709" w:hanging="720"/>
        <w:jc w:val="both"/>
        <w:rPr>
          <w:lang w:val="es-ES"/>
        </w:rPr>
      </w:pPr>
      <w:r w:rsidRPr="00424937">
        <w:rPr>
          <w:lang w:val="es-ES"/>
        </w:rPr>
        <w:t xml:space="preserve">Méndez-Bustos, P., </w:t>
      </w:r>
      <w:proofErr w:type="spellStart"/>
      <w:r w:rsidRPr="00424937">
        <w:rPr>
          <w:lang w:val="es-ES"/>
        </w:rPr>
        <w:t>Calati</w:t>
      </w:r>
      <w:proofErr w:type="spellEnd"/>
      <w:r w:rsidRPr="00424937">
        <w:rPr>
          <w:lang w:val="es-ES"/>
        </w:rPr>
        <w:t xml:space="preserve">, R., Rubio-Ramírez, F., </w:t>
      </w:r>
      <w:proofErr w:type="spellStart"/>
      <w:r w:rsidRPr="00424937">
        <w:rPr>
          <w:lang w:val="es-ES"/>
        </w:rPr>
        <w:t>Olié</w:t>
      </w:r>
      <w:proofErr w:type="spellEnd"/>
      <w:r w:rsidRPr="00424937">
        <w:rPr>
          <w:lang w:val="es-ES"/>
        </w:rPr>
        <w:t xml:space="preserve">, É., </w:t>
      </w:r>
      <w:proofErr w:type="spellStart"/>
      <w:r w:rsidRPr="00424937">
        <w:rPr>
          <w:lang w:val="es-ES"/>
        </w:rPr>
        <w:t>Courtet</w:t>
      </w:r>
      <w:proofErr w:type="spellEnd"/>
      <w:r w:rsidRPr="00424937">
        <w:rPr>
          <w:lang w:val="es-ES"/>
        </w:rPr>
        <w:t>, P., &amp; López-</w:t>
      </w:r>
      <w:proofErr w:type="spellStart"/>
      <w:r w:rsidRPr="00424937">
        <w:rPr>
          <w:lang w:val="es-ES"/>
        </w:rPr>
        <w:t>Castromán</w:t>
      </w:r>
      <w:proofErr w:type="spellEnd"/>
      <w:r w:rsidRPr="00424937">
        <w:rPr>
          <w:lang w:val="es-ES"/>
        </w:rPr>
        <w:t xml:space="preserve">, J. (2019). </w:t>
      </w:r>
      <w:r w:rsidRPr="00424937">
        <w:rPr>
          <w:lang w:val="en-US"/>
        </w:rPr>
        <w:t xml:space="preserve">Effectiveness of psychotherapy on suicidal risk: A Systematic review of observational studies. </w:t>
      </w:r>
      <w:proofErr w:type="spellStart"/>
      <w:r w:rsidRPr="00424937">
        <w:rPr>
          <w:i/>
          <w:iCs/>
          <w:lang w:val="es-ES"/>
        </w:rPr>
        <w:t>Frontiers</w:t>
      </w:r>
      <w:proofErr w:type="spellEnd"/>
      <w:r w:rsidRPr="00424937">
        <w:rPr>
          <w:i/>
          <w:iCs/>
          <w:lang w:val="es-ES"/>
        </w:rPr>
        <w:t xml:space="preserve"> in Psychology, 10</w:t>
      </w:r>
      <w:r w:rsidRPr="00424937">
        <w:rPr>
          <w:lang w:val="es-ES"/>
        </w:rPr>
        <w:t xml:space="preserve">. </w:t>
      </w:r>
      <w:hyperlink r:id="rId23" w:history="1">
        <w:r w:rsidRPr="00355AAA">
          <w:rPr>
            <w:rStyle w:val="Hipervnculo"/>
            <w:lang w:val="es-ES"/>
          </w:rPr>
          <w:t>https://doi.org/10.3389/fpsyg.2019.00277</w:t>
        </w:r>
      </w:hyperlink>
    </w:p>
    <w:p w14:paraId="732087C7" w14:textId="2FDCAF64" w:rsidR="005D633F" w:rsidRPr="00843DB0" w:rsidRDefault="005D633F" w:rsidP="009B23B3">
      <w:pPr>
        <w:ind w:left="709" w:hanging="720"/>
        <w:jc w:val="both"/>
        <w:rPr>
          <w:lang w:val="en-US"/>
        </w:rPr>
      </w:pPr>
      <w:r w:rsidRPr="00F42F97">
        <w:rPr>
          <w:lang w:val="es-ES"/>
        </w:rPr>
        <w:t xml:space="preserve">MINSAL (2022). </w:t>
      </w:r>
      <w:r w:rsidRPr="00F42F97">
        <w:rPr>
          <w:i/>
          <w:iCs/>
          <w:lang w:val="es-ES"/>
        </w:rPr>
        <w:t>Estrategia nacional de salud para los objetivos sanitarios al 2030</w:t>
      </w:r>
      <w:r w:rsidRPr="00F42F97">
        <w:rPr>
          <w:lang w:val="es-ES"/>
        </w:rPr>
        <w:t xml:space="preserve">. </w:t>
      </w:r>
      <w:r w:rsidRPr="00843DB0">
        <w:rPr>
          <w:lang w:val="en"/>
        </w:rPr>
        <w:t>Chile</w:t>
      </w:r>
      <w:r>
        <w:fldChar w:fldCharType="begin"/>
      </w:r>
      <w:r w:rsidRPr="00244422">
        <w:rPr>
          <w:lang w:val="en-US"/>
        </w:rPr>
        <w:instrText>HYPERLINK "https://www.minsal.cl/wp-content/uploads/2022/03/Estrategia-Nacional-de-Salud-2022-MINSAL-V8.pdf"</w:instrText>
      </w:r>
      <w:r>
        <w:fldChar w:fldCharType="separate"/>
      </w:r>
      <w:r w:rsidRPr="00843DB0">
        <w:rPr>
          <w:rStyle w:val="Hipervnculo"/>
          <w:lang w:val="en"/>
        </w:rPr>
        <w:t xml:space="preserve">. https://www.minsal.cl/wp-content/uploads/2022/03/Estrategia-Nacional-de-Salud-2022-MINSAL-V8.pdf </w:t>
      </w:r>
      <w:r>
        <w:fldChar w:fldCharType="end"/>
      </w:r>
    </w:p>
    <w:p w14:paraId="4205C2E6" w14:textId="77777777" w:rsidR="005D633F" w:rsidRPr="008644C6" w:rsidRDefault="005D633F" w:rsidP="009B23B3">
      <w:pPr>
        <w:ind w:left="709" w:hanging="720"/>
        <w:jc w:val="both"/>
        <w:rPr>
          <w:lang w:val="en-US"/>
        </w:rPr>
      </w:pPr>
      <w:r w:rsidRPr="008644C6">
        <w:rPr>
          <w:lang w:val="en-US"/>
        </w:rPr>
        <w:t xml:space="preserve">Mueser, K. T., Meyer, P. S., Penn, D. L., Clancy, R., Clancy, D. M., &amp; Salyers, M. P. (2006). The Illness Management and Recovery program: rationale, development, and preliminary findings. </w:t>
      </w:r>
      <w:r w:rsidRPr="008644C6">
        <w:rPr>
          <w:i/>
          <w:iCs/>
          <w:lang w:val="en-US"/>
        </w:rPr>
        <w:t xml:space="preserve">Schizophrenia bulletin, 32 </w:t>
      </w:r>
      <w:r w:rsidRPr="008644C6">
        <w:rPr>
          <w:lang w:val="en-US"/>
        </w:rPr>
        <w:t>Suppl 1(Suppl 1), S32-S43.</w:t>
      </w:r>
      <w:r>
        <w:fldChar w:fldCharType="begin"/>
      </w:r>
      <w:r w:rsidRPr="00244422">
        <w:rPr>
          <w:lang w:val="en-US"/>
        </w:rPr>
        <w:instrText>HYPERLINK "https://doi.org/10.1093/schbul/sbl022"</w:instrText>
      </w:r>
      <w:r>
        <w:fldChar w:fldCharType="separate"/>
      </w:r>
      <w:r w:rsidRPr="008644C6">
        <w:rPr>
          <w:rStyle w:val="Hipervnculo"/>
          <w:lang w:val="en-US"/>
        </w:rPr>
        <w:t xml:space="preserve"> https://doi.org/10.1093/schbul/sbl022</w:t>
      </w:r>
      <w:r>
        <w:fldChar w:fldCharType="end"/>
      </w:r>
      <w:r w:rsidRPr="008644C6">
        <w:rPr>
          <w:lang w:val="en-US"/>
        </w:rPr>
        <w:t xml:space="preserve">  </w:t>
      </w:r>
    </w:p>
    <w:p w14:paraId="7212BC41" w14:textId="77777777" w:rsidR="005D633F" w:rsidRPr="008644C6" w:rsidRDefault="005D633F" w:rsidP="009B23B3">
      <w:pPr>
        <w:ind w:left="709" w:hanging="720"/>
        <w:jc w:val="both"/>
        <w:rPr>
          <w:lang w:val="en-US"/>
        </w:rPr>
      </w:pPr>
      <w:r w:rsidRPr="00F42F97">
        <w:rPr>
          <w:lang w:val="es-ES"/>
        </w:rPr>
        <w:t xml:space="preserve">Mueser, K. (2013). </w:t>
      </w:r>
      <w:r w:rsidRPr="00F42F97">
        <w:rPr>
          <w:i/>
          <w:iCs/>
          <w:lang w:val="es-ES"/>
        </w:rPr>
        <w:t>Gestión de la enfermedad y recuperación</w:t>
      </w:r>
      <w:r w:rsidRPr="00F42F97">
        <w:rPr>
          <w:lang w:val="es-ES"/>
        </w:rPr>
        <w:t xml:space="preserve">. </w:t>
      </w:r>
      <w:r w:rsidRPr="008644C6">
        <w:rPr>
          <w:lang w:val="en-US"/>
        </w:rPr>
        <w:t>SAMSHA'S GAINS Center for Behavioral Health and Justice Transformation</w:t>
      </w:r>
      <w:r>
        <w:fldChar w:fldCharType="begin"/>
      </w:r>
      <w:r w:rsidRPr="00244422">
        <w:rPr>
          <w:lang w:val="en-US"/>
        </w:rPr>
        <w:instrText>HYPERLINK "https://www.usf.edu/cbcs/mhlp/tac/documents/behavioral-healthcare/samh/illness-management-and-recovery.pdf"</w:instrText>
      </w:r>
      <w:r>
        <w:fldChar w:fldCharType="separate"/>
      </w:r>
      <w:r w:rsidRPr="008644C6">
        <w:rPr>
          <w:rStyle w:val="Hipervnculo"/>
          <w:lang w:val="en-US"/>
        </w:rPr>
        <w:t xml:space="preserve"> https://www.usf.edu/cbcs/mhlp/tac/documents/behavioral-healthcare/samh/illness-management-and-recovery.pdf</w:t>
      </w:r>
      <w:r>
        <w:fldChar w:fldCharType="end"/>
      </w:r>
      <w:r w:rsidRPr="008644C6">
        <w:rPr>
          <w:lang w:val="en-US"/>
        </w:rPr>
        <w:t xml:space="preserve">  </w:t>
      </w:r>
    </w:p>
    <w:p w14:paraId="53CD0D7C" w14:textId="0D4788CD" w:rsidR="005D633F" w:rsidRPr="00F42F97" w:rsidRDefault="005D633F" w:rsidP="009B23B3">
      <w:pPr>
        <w:ind w:left="709" w:hanging="720"/>
        <w:jc w:val="both"/>
        <w:rPr>
          <w:lang w:val="es-ES"/>
        </w:rPr>
      </w:pPr>
      <w:r w:rsidRPr="00F42F97">
        <w:rPr>
          <w:lang w:val="es-ES"/>
        </w:rPr>
        <w:t xml:space="preserve">OPS </w:t>
      </w:r>
      <w:r w:rsidR="005301D6">
        <w:rPr>
          <w:lang w:val="es-ES"/>
        </w:rPr>
        <w:t>&amp;</w:t>
      </w:r>
      <w:r w:rsidRPr="00F42F97">
        <w:rPr>
          <w:lang w:val="es-ES"/>
        </w:rPr>
        <w:t xml:space="preserve"> OMS (2014). La prevención del suicidio, un imperativo </w:t>
      </w:r>
      <w:hyperlink r:id="rId24" w:history="1">
        <w:r w:rsidRPr="00F42F97">
          <w:rPr>
            <w:rStyle w:val="Hipervnculo"/>
            <w:lang w:val="es-ES"/>
          </w:rPr>
          <w:t xml:space="preserve">mundial. https://iris.paho.org/bitstream/handle/10665.2/54141/9789275318508_spa.pdf?sequence=1&amp;isAllowed=y </w:t>
        </w:r>
      </w:hyperlink>
    </w:p>
    <w:p w14:paraId="7C8B4242" w14:textId="77777777" w:rsidR="005D633F" w:rsidRPr="008644C6" w:rsidRDefault="005D633F" w:rsidP="009B23B3">
      <w:pPr>
        <w:ind w:left="709" w:hanging="720"/>
        <w:jc w:val="both"/>
        <w:rPr>
          <w:lang w:val="es-ES"/>
        </w:rPr>
      </w:pPr>
      <w:r w:rsidRPr="003B5926">
        <w:rPr>
          <w:lang w:val="es-ES"/>
        </w:rPr>
        <w:t xml:space="preserve">Parra López, R. (2019). Modelo de recuperación en Salud Mental: ¿es posible en Chile? </w:t>
      </w:r>
      <w:r w:rsidRPr="008644C6">
        <w:rPr>
          <w:lang w:val="es-ES"/>
        </w:rPr>
        <w:t xml:space="preserve">Revista </w:t>
      </w:r>
      <w:r w:rsidRPr="008644C6">
        <w:rPr>
          <w:i/>
          <w:iCs/>
          <w:lang w:val="es-ES"/>
        </w:rPr>
        <w:t>Liminales. Escritos Sobre Psicología Y Sociedad, 8</w:t>
      </w:r>
      <w:r w:rsidRPr="008644C6">
        <w:rPr>
          <w:lang w:val="es-ES"/>
        </w:rPr>
        <w:t xml:space="preserve">(15), 65-79. </w:t>
      </w:r>
      <w:hyperlink r:id="rId25" w:history="1">
        <w:r w:rsidRPr="008644C6">
          <w:rPr>
            <w:rStyle w:val="Hipervnculo"/>
            <w:lang w:val="es-ES"/>
          </w:rPr>
          <w:t>https://doi.org/10.54255/lim.vol8.num15.371</w:t>
        </w:r>
      </w:hyperlink>
      <w:r w:rsidRPr="008644C6">
        <w:rPr>
          <w:lang w:val="es-ES"/>
        </w:rPr>
        <w:t xml:space="preserve">   </w:t>
      </w:r>
    </w:p>
    <w:p w14:paraId="0579D39E" w14:textId="77777777" w:rsidR="005D633F" w:rsidRPr="008644C6" w:rsidRDefault="005D633F" w:rsidP="009B23B3">
      <w:pPr>
        <w:ind w:left="709" w:hanging="720"/>
        <w:jc w:val="both"/>
        <w:rPr>
          <w:lang w:val="en-US"/>
        </w:rPr>
      </w:pPr>
      <w:r w:rsidRPr="008644C6">
        <w:rPr>
          <w:lang w:val="en-US"/>
        </w:rPr>
        <w:t xml:space="preserve">Posner, K., Brown, G. K., Stanley, B., Brent, D. A., </w:t>
      </w:r>
      <w:proofErr w:type="spellStart"/>
      <w:r w:rsidRPr="008644C6">
        <w:rPr>
          <w:lang w:val="en-US"/>
        </w:rPr>
        <w:t>Yershova</w:t>
      </w:r>
      <w:proofErr w:type="spellEnd"/>
      <w:r w:rsidRPr="008644C6">
        <w:rPr>
          <w:lang w:val="en-US"/>
        </w:rPr>
        <w:t xml:space="preserve">, K. V., Oquendo, M. A., Currier, G. W., Melvin, G. A., Greenhill, L., Shen, S., &amp; Mann, J. J. (2011). The Columbia-Suicide Severity Rating Scale: initial validity and internal consistency findings from three multisite studies with adolescents and adults. </w:t>
      </w:r>
      <w:r w:rsidRPr="008644C6">
        <w:rPr>
          <w:i/>
          <w:iCs/>
          <w:lang w:val="en-US"/>
        </w:rPr>
        <w:t>The American journal of psychiatry, 168</w:t>
      </w:r>
      <w:r w:rsidRPr="008644C6">
        <w:rPr>
          <w:lang w:val="en-US"/>
        </w:rPr>
        <w:t>(12), 1266-1277.</w:t>
      </w:r>
      <w:r>
        <w:fldChar w:fldCharType="begin"/>
      </w:r>
      <w:r w:rsidRPr="00244422">
        <w:rPr>
          <w:lang w:val="en-US"/>
        </w:rPr>
        <w:instrText>HYPERLINK "https://doi.org/10.1176/appi.ajp.2011.10111704"</w:instrText>
      </w:r>
      <w:r>
        <w:fldChar w:fldCharType="separate"/>
      </w:r>
      <w:r w:rsidRPr="008644C6">
        <w:rPr>
          <w:rStyle w:val="Hipervnculo"/>
          <w:lang w:val="en-US"/>
        </w:rPr>
        <w:t xml:space="preserve"> https://doi.org/10.1176/appi.ajp.2011.10111704</w:t>
      </w:r>
      <w:r>
        <w:fldChar w:fldCharType="end"/>
      </w:r>
    </w:p>
    <w:p w14:paraId="342BC859" w14:textId="7A8A063B" w:rsidR="00574C01" w:rsidRDefault="00574C01" w:rsidP="009B23B3">
      <w:pPr>
        <w:tabs>
          <w:tab w:val="left" w:pos="142"/>
        </w:tabs>
        <w:ind w:left="720" w:hanging="720"/>
        <w:jc w:val="both"/>
        <w:rPr>
          <w:lang w:val="en-US"/>
        </w:rPr>
      </w:pPr>
      <w:bookmarkStart w:id="1" w:name="_Hlk151256556"/>
      <w:r w:rsidRPr="00574C01">
        <w:rPr>
          <w:lang w:val="en-US"/>
        </w:rPr>
        <w:t xml:space="preserve">Price-Robertson, R., Obradovic, A., &amp; Morgan, B. (2016). Relational recovery: beyond individualism in the recovery approach. </w:t>
      </w:r>
      <w:r w:rsidRPr="00574C01">
        <w:rPr>
          <w:i/>
          <w:iCs/>
          <w:lang w:val="en-US"/>
        </w:rPr>
        <w:t>Advances in Mental Health, 15</w:t>
      </w:r>
      <w:r w:rsidRPr="00574C01">
        <w:rPr>
          <w:lang w:val="en-US"/>
        </w:rPr>
        <w:t xml:space="preserve">(2), 108–120. </w:t>
      </w:r>
      <w:r>
        <w:fldChar w:fldCharType="begin"/>
      </w:r>
      <w:r w:rsidRPr="00244422">
        <w:rPr>
          <w:lang w:val="en-US"/>
        </w:rPr>
        <w:instrText>HYPERLINK "https://doi.org/10.1080/18387357.2016.1243014"</w:instrText>
      </w:r>
      <w:r>
        <w:fldChar w:fldCharType="separate"/>
      </w:r>
      <w:r w:rsidRPr="00355AAA">
        <w:rPr>
          <w:rStyle w:val="Hipervnculo"/>
          <w:lang w:val="en-US"/>
        </w:rPr>
        <w:t>https://doi.org/10.1080/18387357.2016.1243014</w:t>
      </w:r>
      <w:r>
        <w:fldChar w:fldCharType="end"/>
      </w:r>
      <w:r>
        <w:rPr>
          <w:lang w:val="en-US"/>
        </w:rPr>
        <w:t xml:space="preserve"> </w:t>
      </w:r>
      <w:r w:rsidRPr="00574C01">
        <w:rPr>
          <w:lang w:val="en-US"/>
        </w:rPr>
        <w:t xml:space="preserve"> </w:t>
      </w:r>
    </w:p>
    <w:p w14:paraId="172CFA08" w14:textId="44108F50" w:rsidR="00FF0635" w:rsidRDefault="00FF0635" w:rsidP="009B23B3">
      <w:pPr>
        <w:tabs>
          <w:tab w:val="left" w:pos="142"/>
        </w:tabs>
        <w:ind w:left="720" w:hanging="720"/>
        <w:jc w:val="both"/>
        <w:rPr>
          <w:lang w:val="en-US"/>
        </w:rPr>
      </w:pPr>
      <w:r w:rsidRPr="00FF0635">
        <w:rPr>
          <w:lang w:val="en-US"/>
        </w:rPr>
        <w:t xml:space="preserve">Puras, D., &amp; Gooding, P. (2019). Mental health and human rights in the 21st century. </w:t>
      </w:r>
      <w:r w:rsidRPr="00FF0635">
        <w:rPr>
          <w:i/>
          <w:iCs/>
          <w:lang w:val="en-US"/>
        </w:rPr>
        <w:t>World Psychiatry, 18</w:t>
      </w:r>
      <w:r w:rsidRPr="00FF0635">
        <w:rPr>
          <w:lang w:val="en-US"/>
        </w:rPr>
        <w:t xml:space="preserve">(1), 42-43. </w:t>
      </w:r>
      <w:r>
        <w:fldChar w:fldCharType="begin"/>
      </w:r>
      <w:r w:rsidRPr="00244422">
        <w:rPr>
          <w:lang w:val="en-US"/>
        </w:rPr>
        <w:instrText>HYPERLINK "https://doi.org/10.1002/wps.20599"</w:instrText>
      </w:r>
      <w:r>
        <w:fldChar w:fldCharType="separate"/>
      </w:r>
      <w:r w:rsidRPr="00BB50A3">
        <w:rPr>
          <w:rStyle w:val="Hipervnculo"/>
          <w:lang w:val="en-US"/>
        </w:rPr>
        <w:t>https://doi.org/10.1002/wps.20599</w:t>
      </w:r>
      <w:r>
        <w:fldChar w:fldCharType="end"/>
      </w:r>
      <w:r>
        <w:rPr>
          <w:lang w:val="en-US"/>
        </w:rPr>
        <w:t xml:space="preserve"> </w:t>
      </w:r>
    </w:p>
    <w:p w14:paraId="091B6227" w14:textId="1D007887" w:rsidR="005D633F" w:rsidRPr="003B5926" w:rsidRDefault="005D633F" w:rsidP="009B23B3">
      <w:pPr>
        <w:tabs>
          <w:tab w:val="left" w:pos="142"/>
        </w:tabs>
        <w:ind w:left="720" w:hanging="720"/>
        <w:jc w:val="both"/>
        <w:rPr>
          <w:lang w:val="en-US"/>
        </w:rPr>
      </w:pPr>
      <w:r w:rsidRPr="008644C6">
        <w:rPr>
          <w:lang w:val="en-US"/>
        </w:rPr>
        <w:t xml:space="preserve">Roberts, G., y Boardman, J. (2013). </w:t>
      </w:r>
      <w:r w:rsidR="00062A04" w:rsidRPr="00062A04">
        <w:rPr>
          <w:lang w:val="en-US"/>
        </w:rPr>
        <w:t>Understanding ‘recovery’</w:t>
      </w:r>
      <w:r w:rsidRPr="008644C6">
        <w:rPr>
          <w:lang w:val="en-US"/>
        </w:rPr>
        <w:t xml:space="preserve">. </w:t>
      </w:r>
      <w:r w:rsidRPr="008644C6">
        <w:rPr>
          <w:i/>
          <w:iCs/>
          <w:lang w:val="en-US"/>
        </w:rPr>
        <w:t>Advances in Psychiatric Treatment, 19</w:t>
      </w:r>
      <w:r w:rsidRPr="008644C6">
        <w:rPr>
          <w:lang w:val="en-US"/>
        </w:rPr>
        <w:t>(6), 400-409</w:t>
      </w:r>
      <w:r>
        <w:fldChar w:fldCharType="begin"/>
      </w:r>
      <w:r w:rsidRPr="00244422">
        <w:rPr>
          <w:lang w:val="en-US"/>
        </w:rPr>
        <w:instrText>HYPERLINK "https://doi.org/10.1192/apt.bp.112.010355"</w:instrText>
      </w:r>
      <w:r>
        <w:fldChar w:fldCharType="separate"/>
      </w:r>
      <w:r w:rsidRPr="003B5926">
        <w:rPr>
          <w:rStyle w:val="Hipervnculo"/>
          <w:lang w:val="en-US"/>
        </w:rPr>
        <w:t xml:space="preserve">. https://doi.org/10.1192/apt.bp.112.010355 </w:t>
      </w:r>
      <w:r>
        <w:fldChar w:fldCharType="end"/>
      </w:r>
    </w:p>
    <w:bookmarkEnd w:id="1"/>
    <w:p w14:paraId="1272CC7C" w14:textId="3CAD6D86" w:rsidR="00C9133A" w:rsidRDefault="00C9133A" w:rsidP="009B23B3">
      <w:pPr>
        <w:ind w:left="709" w:hanging="720"/>
        <w:jc w:val="both"/>
        <w:rPr>
          <w:lang w:val="en-US"/>
        </w:rPr>
      </w:pPr>
      <w:r w:rsidRPr="00C9133A">
        <w:rPr>
          <w:lang w:val="en-US"/>
        </w:rPr>
        <w:t xml:space="preserve">Roosenschoon, B., Van Weeghel, J., Deen, M., Van </w:t>
      </w:r>
      <w:proofErr w:type="spellStart"/>
      <w:r w:rsidRPr="00C9133A">
        <w:rPr>
          <w:lang w:val="en-US"/>
        </w:rPr>
        <w:t>Esveld</w:t>
      </w:r>
      <w:proofErr w:type="spellEnd"/>
      <w:r w:rsidRPr="00C9133A">
        <w:rPr>
          <w:lang w:val="en-US"/>
        </w:rPr>
        <w:t xml:space="preserve">, E. W., Kamperman, A. M., &amp; Mulder, C. L. (2021). Effects of Illness Management and Recovery: a multicenter randomized controlled trial. </w:t>
      </w:r>
      <w:r w:rsidRPr="00C9133A">
        <w:rPr>
          <w:i/>
          <w:iCs/>
          <w:lang w:val="en-US"/>
        </w:rPr>
        <w:t>Frontiers in Psychiatry, 12</w:t>
      </w:r>
      <w:r w:rsidRPr="00C9133A">
        <w:rPr>
          <w:lang w:val="en-US"/>
        </w:rPr>
        <w:t xml:space="preserve">. </w:t>
      </w:r>
      <w:hyperlink r:id="rId26" w:history="1">
        <w:r w:rsidRPr="00355AAA">
          <w:rPr>
            <w:rStyle w:val="Hipervnculo"/>
            <w:lang w:val="en-US"/>
          </w:rPr>
          <w:t>https://doi.org/10.3389/fpsyt.2021.723435</w:t>
        </w:r>
      </w:hyperlink>
      <w:r>
        <w:rPr>
          <w:lang w:val="en-US"/>
        </w:rPr>
        <w:t xml:space="preserve"> </w:t>
      </w:r>
      <w:r w:rsidRPr="00C9133A">
        <w:rPr>
          <w:lang w:val="en-US"/>
        </w:rPr>
        <w:t xml:space="preserve"> </w:t>
      </w:r>
    </w:p>
    <w:p w14:paraId="31095969" w14:textId="67901F32" w:rsidR="00163F20" w:rsidRDefault="00163F20" w:rsidP="00163F20">
      <w:pPr>
        <w:ind w:left="709" w:hanging="720"/>
        <w:jc w:val="both"/>
        <w:rPr>
          <w:lang w:val="it-IT"/>
        </w:rPr>
      </w:pPr>
      <w:r w:rsidRPr="00163F20">
        <w:rPr>
          <w:lang w:val="en-US"/>
        </w:rPr>
        <w:t xml:space="preserve">Ropaj, E., Haddock, G., &amp; Pratt, D. (2023). Developing a consensus of recovery from suicidal ideations and </w:t>
      </w:r>
      <w:proofErr w:type="spellStart"/>
      <w:r w:rsidRPr="00163F20">
        <w:rPr>
          <w:lang w:val="en-US"/>
        </w:rPr>
        <w:t>behaviours</w:t>
      </w:r>
      <w:proofErr w:type="spellEnd"/>
      <w:r w:rsidRPr="00163F20">
        <w:rPr>
          <w:lang w:val="en-US"/>
        </w:rPr>
        <w:t xml:space="preserve">: A Delphi study with experts by experience. </w:t>
      </w:r>
      <w:r w:rsidRPr="00163F20">
        <w:rPr>
          <w:i/>
          <w:iCs/>
          <w:lang w:val="it-IT"/>
        </w:rPr>
        <w:t>PloS one, 18</w:t>
      </w:r>
      <w:r w:rsidRPr="00163F20">
        <w:rPr>
          <w:lang w:val="it-IT"/>
        </w:rPr>
        <w:t xml:space="preserve">(9), e0291377. </w:t>
      </w:r>
      <w:r>
        <w:rPr>
          <w:lang w:val="it-IT"/>
        </w:rPr>
        <w:fldChar w:fldCharType="begin"/>
      </w:r>
      <w:r>
        <w:rPr>
          <w:lang w:val="it-IT"/>
        </w:rPr>
        <w:instrText>HYPERLINK "</w:instrText>
      </w:r>
      <w:r w:rsidRPr="00163F20">
        <w:rPr>
          <w:lang w:val="it-IT"/>
        </w:rPr>
        <w:instrText>https://doi.org/10.1371/journal.pone.0291377</w:instrText>
      </w:r>
      <w:r>
        <w:rPr>
          <w:lang w:val="it-IT"/>
        </w:rPr>
        <w:instrText>"</w:instrText>
      </w:r>
      <w:r>
        <w:rPr>
          <w:lang w:val="it-IT"/>
        </w:rPr>
      </w:r>
      <w:r>
        <w:rPr>
          <w:lang w:val="it-IT"/>
        </w:rPr>
        <w:fldChar w:fldCharType="separate"/>
      </w:r>
      <w:r w:rsidRPr="00355AAA">
        <w:rPr>
          <w:rStyle w:val="Hipervnculo"/>
          <w:lang w:val="it-IT"/>
        </w:rPr>
        <w:t>https://doi.org/10.1371/journal.pone.0291377</w:t>
      </w:r>
      <w:r>
        <w:rPr>
          <w:lang w:val="it-IT"/>
        </w:rPr>
        <w:fldChar w:fldCharType="end"/>
      </w:r>
      <w:r w:rsidRPr="00163F20">
        <w:rPr>
          <w:lang w:val="it-IT"/>
        </w:rPr>
        <w:t xml:space="preserve"> </w:t>
      </w:r>
    </w:p>
    <w:p w14:paraId="4C8B4285" w14:textId="4CE9B0D2" w:rsidR="005D633F" w:rsidRPr="008644C6" w:rsidRDefault="005D633F" w:rsidP="00163F20">
      <w:pPr>
        <w:ind w:left="709" w:hanging="720"/>
        <w:jc w:val="both"/>
        <w:rPr>
          <w:lang w:val="es-ES"/>
        </w:rPr>
      </w:pPr>
      <w:r w:rsidRPr="008644C6">
        <w:rPr>
          <w:lang w:val="it-IT"/>
        </w:rPr>
        <w:t xml:space="preserve">Saldivia, S., Aslan, J., Cova, F., Vicente, B., Inostroza, C., &amp; Rincón, P. (2019). </w:t>
      </w:r>
      <w:r w:rsidRPr="003B5926">
        <w:rPr>
          <w:lang w:val="es-ES"/>
        </w:rPr>
        <w:t xml:space="preserve">Propiedades psicométricas del PHQ-9 (Patient Health Questionnaire) en centros de atención primaria de Chile. </w:t>
      </w:r>
      <w:r w:rsidRPr="008644C6">
        <w:rPr>
          <w:i/>
          <w:iCs/>
          <w:lang w:val="es-ES"/>
        </w:rPr>
        <w:t>Revista Médica de Chile, 147</w:t>
      </w:r>
      <w:r w:rsidRPr="008644C6">
        <w:rPr>
          <w:lang w:val="es-ES"/>
        </w:rPr>
        <w:t xml:space="preserve">(1), 53-60. </w:t>
      </w:r>
      <w:hyperlink r:id="rId27" w:history="1">
        <w:r w:rsidRPr="008644C6">
          <w:rPr>
            <w:rStyle w:val="Hipervnculo"/>
            <w:lang w:val="es-ES"/>
          </w:rPr>
          <w:t>https://doi.org/10.4067/s0034-98872019000100053</w:t>
        </w:r>
      </w:hyperlink>
      <w:r w:rsidRPr="008644C6">
        <w:rPr>
          <w:lang w:val="es-ES"/>
        </w:rPr>
        <w:t>.</w:t>
      </w:r>
    </w:p>
    <w:p w14:paraId="1583CAC6" w14:textId="302792E1" w:rsidR="005D633F" w:rsidRPr="00A90CB3" w:rsidRDefault="00E33905" w:rsidP="009B23B3">
      <w:pPr>
        <w:ind w:left="709" w:hanging="720"/>
        <w:jc w:val="both"/>
        <w:rPr>
          <w:lang w:val="en-US"/>
        </w:rPr>
      </w:pPr>
      <w:r w:rsidRPr="00E33905">
        <w:rPr>
          <w:lang w:val="es-ES"/>
        </w:rPr>
        <w:t xml:space="preserve">Cruces, J. M. S., Cuenca, I. M. G., Lacomba-Trejo, L., Adell, M. Á. C., Navarro, I. C., Cortés, M. F., Carreres, E. J., &amp; Álvarez, E. C. (2018). </w:t>
      </w:r>
      <w:r w:rsidRPr="00E33905">
        <w:rPr>
          <w:lang w:val="en-US"/>
        </w:rPr>
        <w:t xml:space="preserve">Group Therapy for Patients with Adjustment Disorder in Primary Care. </w:t>
      </w:r>
      <w:r w:rsidRPr="00F57828">
        <w:rPr>
          <w:i/>
          <w:iCs/>
          <w:lang w:val="en-US"/>
        </w:rPr>
        <w:t>The Spanish Journal Of Psychology, 21</w:t>
      </w:r>
      <w:r w:rsidRPr="00F57828">
        <w:rPr>
          <w:lang w:val="en-US"/>
        </w:rPr>
        <w:t xml:space="preserve">. </w:t>
      </w:r>
      <w:r>
        <w:fldChar w:fldCharType="begin"/>
      </w:r>
      <w:r w:rsidRPr="00244422">
        <w:rPr>
          <w:lang w:val="en-US"/>
        </w:rPr>
        <w:instrText>HYPERLINK "https://doi.org/10.1017/sjp.2018.51"</w:instrText>
      </w:r>
      <w:r>
        <w:fldChar w:fldCharType="separate"/>
      </w:r>
      <w:r w:rsidRPr="00A90CB3">
        <w:rPr>
          <w:rStyle w:val="Hipervnculo"/>
          <w:lang w:val="en-US"/>
        </w:rPr>
        <w:t>https://doi.org/10.1017/sjp.2018.51</w:t>
      </w:r>
      <w:r>
        <w:fldChar w:fldCharType="end"/>
      </w:r>
      <w:r w:rsidR="00B43FC2" w:rsidRPr="00A90CB3">
        <w:rPr>
          <w:lang w:val="en-US"/>
        </w:rPr>
        <w:t xml:space="preserve">  </w:t>
      </w:r>
    </w:p>
    <w:p w14:paraId="3592B596" w14:textId="43C9D503" w:rsidR="00A90CB3" w:rsidRPr="00A90CB3" w:rsidRDefault="00A90CB3" w:rsidP="009B23B3">
      <w:pPr>
        <w:ind w:left="709" w:hanging="720"/>
        <w:jc w:val="both"/>
        <w:rPr>
          <w:lang w:val="en-US"/>
        </w:rPr>
      </w:pPr>
      <w:r w:rsidRPr="00A90CB3">
        <w:rPr>
          <w:lang w:val="en-US"/>
        </w:rPr>
        <w:t xml:space="preserve">Scarth, B., Bering, J. M., Marsh, I., Santiago-Irizarry, V., &amp; Andriessen, K. (2021). Strategies to Stay Alive: Adaptive Toolboxes for Living Well with Suicidal Behavior. International </w:t>
      </w:r>
      <w:r w:rsidRPr="00A90CB3">
        <w:rPr>
          <w:i/>
          <w:iCs/>
          <w:lang w:val="en-US"/>
        </w:rPr>
        <w:t>Journal Of Environmental Research And Public Health, 18</w:t>
      </w:r>
      <w:r w:rsidRPr="00A90CB3">
        <w:rPr>
          <w:lang w:val="en-US"/>
        </w:rPr>
        <w:t xml:space="preserve">(15), 8013. </w:t>
      </w:r>
      <w:r>
        <w:fldChar w:fldCharType="begin"/>
      </w:r>
      <w:r w:rsidRPr="00244422">
        <w:rPr>
          <w:lang w:val="en-US"/>
        </w:rPr>
        <w:instrText>HYPERLINK "https://doi.org/10.3390/ijerph18158013"</w:instrText>
      </w:r>
      <w:r>
        <w:fldChar w:fldCharType="separate"/>
      </w:r>
      <w:r w:rsidRPr="00A90CB3">
        <w:rPr>
          <w:rStyle w:val="Hipervnculo"/>
          <w:lang w:val="en-US"/>
        </w:rPr>
        <w:t>https://doi.org/10.3390/ijerph18158013</w:t>
      </w:r>
      <w:r>
        <w:fldChar w:fldCharType="end"/>
      </w:r>
    </w:p>
    <w:p w14:paraId="6C59842F" w14:textId="7EF3A9AE" w:rsidR="00BC2678" w:rsidRPr="00BC2678" w:rsidRDefault="00BC2678" w:rsidP="00BC2678">
      <w:pPr>
        <w:ind w:left="709" w:hanging="720"/>
        <w:jc w:val="both"/>
        <w:rPr>
          <w:lang w:val="en-US"/>
        </w:rPr>
      </w:pPr>
      <w:r w:rsidRPr="00BC2678">
        <w:rPr>
          <w:lang w:val="en-US"/>
        </w:rPr>
        <w:t xml:space="preserve">Sellin, L., Asp, M., Wallsten, T., &amp; Wiklund Gustin, L. (2017). Reconnecting with oneself while struggling between life and death: The phenomenon of recovery as experienced by persons at risk of suicide. </w:t>
      </w:r>
      <w:r w:rsidRPr="00BC2678">
        <w:rPr>
          <w:i/>
          <w:iCs/>
          <w:lang w:val="en-US"/>
        </w:rPr>
        <w:t>International journal of mental health nursing, 26</w:t>
      </w:r>
      <w:r w:rsidRPr="00BC2678">
        <w:rPr>
          <w:lang w:val="en-US"/>
        </w:rPr>
        <w:t xml:space="preserve">(2), 200–207. </w:t>
      </w:r>
      <w:r>
        <w:fldChar w:fldCharType="begin"/>
      </w:r>
      <w:r w:rsidRPr="00244422">
        <w:rPr>
          <w:lang w:val="en-US"/>
        </w:rPr>
        <w:instrText>HYPERLINK "https://doi.org/10.1111/inm.12249"</w:instrText>
      </w:r>
      <w:r>
        <w:fldChar w:fldCharType="separate"/>
      </w:r>
      <w:r w:rsidRPr="00355AAA">
        <w:rPr>
          <w:rStyle w:val="Hipervnculo"/>
          <w:lang w:val="en-US"/>
        </w:rPr>
        <w:t>https://doi.org/10.1111/inm.12249</w:t>
      </w:r>
      <w:r>
        <w:fldChar w:fldCharType="end"/>
      </w:r>
      <w:r>
        <w:rPr>
          <w:lang w:val="en-US"/>
        </w:rPr>
        <w:t xml:space="preserve"> </w:t>
      </w:r>
      <w:r w:rsidRPr="00BC2678">
        <w:rPr>
          <w:lang w:val="en-US"/>
        </w:rPr>
        <w:t xml:space="preserve"> </w:t>
      </w:r>
    </w:p>
    <w:p w14:paraId="2D18CA32" w14:textId="0C17C569" w:rsidR="00BC2678" w:rsidRPr="00F57828" w:rsidRDefault="00BC2678" w:rsidP="00BC2678">
      <w:pPr>
        <w:ind w:left="709" w:hanging="720"/>
        <w:jc w:val="both"/>
        <w:rPr>
          <w:lang w:val="en-US"/>
        </w:rPr>
      </w:pPr>
      <w:r w:rsidRPr="00BC2678">
        <w:rPr>
          <w:lang w:val="en-US"/>
        </w:rPr>
        <w:t xml:space="preserve">Sellin, L., Kumlin, T., Wallsten, T., &amp; Wiklund Gustin, L. (2018). Caring for the suicidal person: A Delphi study of what characterizes a recovery-oriented caring approach. </w:t>
      </w:r>
      <w:r w:rsidRPr="00BC2678">
        <w:rPr>
          <w:i/>
          <w:iCs/>
          <w:lang w:val="en-US"/>
        </w:rPr>
        <w:t>International journal of mental health nursing, 27</w:t>
      </w:r>
      <w:r w:rsidRPr="00BC2678">
        <w:rPr>
          <w:lang w:val="en-US"/>
        </w:rPr>
        <w:t xml:space="preserve">(6), 1756–1766. </w:t>
      </w:r>
      <w:r>
        <w:fldChar w:fldCharType="begin"/>
      </w:r>
      <w:r w:rsidRPr="00244422">
        <w:rPr>
          <w:lang w:val="en-US"/>
        </w:rPr>
        <w:instrText>HYPERLINK "https://doi.org/10.1111/inm.12481"</w:instrText>
      </w:r>
      <w:r>
        <w:fldChar w:fldCharType="separate"/>
      </w:r>
      <w:r w:rsidRPr="00F57828">
        <w:rPr>
          <w:rStyle w:val="Hipervnculo"/>
          <w:lang w:val="en-US"/>
        </w:rPr>
        <w:t>https://doi.org/10.1111/inm.12481</w:t>
      </w:r>
      <w:r>
        <w:fldChar w:fldCharType="end"/>
      </w:r>
      <w:r w:rsidRPr="00F57828">
        <w:rPr>
          <w:lang w:val="en-US"/>
        </w:rPr>
        <w:t xml:space="preserve"> </w:t>
      </w:r>
    </w:p>
    <w:p w14:paraId="4744A8CA" w14:textId="332EFFD1" w:rsidR="005D633F" w:rsidRPr="00886E8C" w:rsidRDefault="005D633F" w:rsidP="00BC2678">
      <w:pPr>
        <w:ind w:left="709" w:hanging="720"/>
        <w:jc w:val="both"/>
        <w:rPr>
          <w:lang w:val="es-ES"/>
        </w:rPr>
      </w:pPr>
      <w:r w:rsidRPr="00BC2678">
        <w:rPr>
          <w:lang w:val="es-ES"/>
        </w:rPr>
        <w:t xml:space="preserve">SEREMI de Salud, Región del Maule (2022). </w:t>
      </w:r>
      <w:r w:rsidRPr="003B5926">
        <w:rPr>
          <w:lang w:val="es-ES"/>
        </w:rPr>
        <w:t xml:space="preserve">Unidad de vigilancia de enfermedades no transmisibles. </w:t>
      </w:r>
      <w:r w:rsidRPr="00886E8C">
        <w:rPr>
          <w:lang w:val="es-ES"/>
        </w:rPr>
        <w:t>Departamento de Salud Pública. Corte julio 2022 INE, proyecciones CENSO 2017.</w:t>
      </w:r>
    </w:p>
    <w:p w14:paraId="300C2247" w14:textId="77777777" w:rsidR="005D633F" w:rsidRPr="008644C6" w:rsidRDefault="005D633F" w:rsidP="009B23B3">
      <w:pPr>
        <w:ind w:left="709" w:hanging="720"/>
        <w:jc w:val="both"/>
        <w:rPr>
          <w:lang w:val="en-US"/>
        </w:rPr>
      </w:pPr>
      <w:r w:rsidRPr="008644C6">
        <w:rPr>
          <w:lang w:val="es-ES"/>
        </w:rPr>
        <w:t xml:space="preserve">Sokol, Y., Ridley, J., Goodman, M., Landa, Y., </w:t>
      </w:r>
      <w:proofErr w:type="spellStart"/>
      <w:r w:rsidRPr="008644C6">
        <w:rPr>
          <w:lang w:val="es-ES"/>
        </w:rPr>
        <w:t>Hernandez</w:t>
      </w:r>
      <w:proofErr w:type="spellEnd"/>
      <w:r w:rsidRPr="008644C6">
        <w:rPr>
          <w:lang w:val="es-ES"/>
        </w:rPr>
        <w:t xml:space="preserve">, S. C., &amp; Dixon, L. B. (2021). </w:t>
      </w:r>
      <w:proofErr w:type="spellStart"/>
      <w:r w:rsidRPr="008644C6">
        <w:rPr>
          <w:lang w:val="en-US"/>
        </w:rPr>
        <w:t>Terapia</w:t>
      </w:r>
      <w:proofErr w:type="spellEnd"/>
      <w:r w:rsidRPr="008644C6">
        <w:rPr>
          <w:lang w:val="en-US"/>
        </w:rPr>
        <w:t xml:space="preserve"> </w:t>
      </w:r>
      <w:proofErr w:type="spellStart"/>
      <w:r w:rsidRPr="008644C6">
        <w:rPr>
          <w:lang w:val="en-US"/>
        </w:rPr>
        <w:t>cognitiva</w:t>
      </w:r>
      <w:proofErr w:type="spellEnd"/>
      <w:r w:rsidRPr="008644C6">
        <w:rPr>
          <w:lang w:val="en-US"/>
        </w:rPr>
        <w:t xml:space="preserve"> de </w:t>
      </w:r>
      <w:proofErr w:type="spellStart"/>
      <w:r w:rsidRPr="008644C6">
        <w:rPr>
          <w:lang w:val="en-US"/>
        </w:rPr>
        <w:t>identidad</w:t>
      </w:r>
      <w:proofErr w:type="spellEnd"/>
      <w:r w:rsidRPr="008644C6">
        <w:rPr>
          <w:lang w:val="en-US"/>
        </w:rPr>
        <w:t xml:space="preserve"> continua: Feasibility and acceptability of a novel intervention for suicidal symptoms. </w:t>
      </w:r>
      <w:r w:rsidRPr="008644C6">
        <w:rPr>
          <w:i/>
          <w:iCs/>
          <w:lang w:val="en-US"/>
        </w:rPr>
        <w:t>Journal of Cognitive Psychotherapy, 35(</w:t>
      </w:r>
      <w:r w:rsidRPr="008644C6">
        <w:rPr>
          <w:lang w:val="en-US"/>
        </w:rPr>
        <w:t>1), 64-80.</w:t>
      </w:r>
      <w:r>
        <w:fldChar w:fldCharType="begin"/>
      </w:r>
      <w:r w:rsidRPr="00244422">
        <w:rPr>
          <w:lang w:val="en-US"/>
        </w:rPr>
        <w:instrText>HYPERLINK "https://doi.org/10.1891/jcpsy-d-20-00023"</w:instrText>
      </w:r>
      <w:r>
        <w:fldChar w:fldCharType="separate"/>
      </w:r>
      <w:r w:rsidRPr="008644C6">
        <w:rPr>
          <w:rStyle w:val="Hipervnculo"/>
          <w:lang w:val="en-US"/>
        </w:rPr>
        <w:t xml:space="preserve"> https://doi.org/10.1891/jcpsy-d-20-00023</w:t>
      </w:r>
      <w:r>
        <w:fldChar w:fldCharType="end"/>
      </w:r>
      <w:r w:rsidRPr="008644C6">
        <w:rPr>
          <w:lang w:val="en-US"/>
        </w:rPr>
        <w:t xml:space="preserve">  </w:t>
      </w:r>
    </w:p>
    <w:p w14:paraId="5C8BCFEA" w14:textId="77777777" w:rsidR="005D633F" w:rsidRPr="008644C6" w:rsidRDefault="005D633F" w:rsidP="009B23B3">
      <w:pPr>
        <w:ind w:left="709" w:hanging="720"/>
        <w:jc w:val="both"/>
        <w:rPr>
          <w:lang w:val="en-US"/>
        </w:rPr>
      </w:pPr>
      <w:r w:rsidRPr="008644C6">
        <w:rPr>
          <w:lang w:val="en-US"/>
        </w:rPr>
        <w:t xml:space="preserve">Sokol, Y., Levin, C., Linzer, M., Rosensweig, C., Hubner, S., </w:t>
      </w:r>
      <w:proofErr w:type="spellStart"/>
      <w:r w:rsidRPr="008644C6">
        <w:rPr>
          <w:lang w:val="en-US"/>
        </w:rPr>
        <w:t>Gromatsky</w:t>
      </w:r>
      <w:proofErr w:type="spellEnd"/>
      <w:r w:rsidRPr="008644C6">
        <w:rPr>
          <w:lang w:val="en-US"/>
        </w:rPr>
        <w:t xml:space="preserve">, M., Walsh, S., Dixon, L., &amp; Goodman, M. (2022). Theoretical model of recovery following a suicidal episode (COURAGE): scoping review and narrative synthesis. </w:t>
      </w:r>
      <w:r w:rsidRPr="008644C6">
        <w:rPr>
          <w:i/>
          <w:iCs/>
          <w:lang w:val="en-US"/>
        </w:rPr>
        <w:t>BJPsych open, 8</w:t>
      </w:r>
      <w:r w:rsidRPr="008644C6">
        <w:rPr>
          <w:lang w:val="en-US"/>
        </w:rPr>
        <w:t>(6), e200</w:t>
      </w:r>
      <w:r>
        <w:fldChar w:fldCharType="begin"/>
      </w:r>
      <w:r w:rsidRPr="00244422">
        <w:rPr>
          <w:lang w:val="en-US"/>
        </w:rPr>
        <w:instrText>HYPERLINK "https://doi.org/10.1192/bjo.2022.599"</w:instrText>
      </w:r>
      <w:r>
        <w:fldChar w:fldCharType="separate"/>
      </w:r>
      <w:r w:rsidRPr="008644C6">
        <w:rPr>
          <w:rStyle w:val="Hipervnculo"/>
          <w:lang w:val="en-US"/>
        </w:rPr>
        <w:t xml:space="preserve">. https://doi.org/10.1192/bjo.2022.599 </w:t>
      </w:r>
      <w:r>
        <w:fldChar w:fldCharType="end"/>
      </w:r>
    </w:p>
    <w:p w14:paraId="7AB420D7" w14:textId="77777777" w:rsidR="005D633F" w:rsidRPr="003B5926" w:rsidRDefault="005D633F" w:rsidP="009B23B3">
      <w:pPr>
        <w:ind w:left="709" w:hanging="720"/>
        <w:jc w:val="both"/>
        <w:rPr>
          <w:lang w:val="es-ES"/>
        </w:rPr>
      </w:pPr>
      <w:r w:rsidRPr="008644C6">
        <w:rPr>
          <w:lang w:val="en-US"/>
        </w:rPr>
        <w:t xml:space="preserve">Sokol, Y., Andrusier, S., Glatt, S. L., Dixon, L. B., Ridley, J., Brown, C. H., Landa, Y., Glynn, S. M., &amp; Goodman, M. (2023). Feasibility and Acceptability of Continuous Identity Cognitive therapy as a recovery-oriented suicide treatment for Veterans: Un </w:t>
      </w:r>
      <w:proofErr w:type="spellStart"/>
      <w:r w:rsidRPr="008644C6">
        <w:rPr>
          <w:lang w:val="en-US"/>
        </w:rPr>
        <w:t>protocolo</w:t>
      </w:r>
      <w:proofErr w:type="spellEnd"/>
      <w:r w:rsidRPr="008644C6">
        <w:rPr>
          <w:lang w:val="en-US"/>
        </w:rPr>
        <w:t xml:space="preserve"> de </w:t>
      </w:r>
      <w:proofErr w:type="spellStart"/>
      <w:r w:rsidRPr="008644C6">
        <w:rPr>
          <w:lang w:val="en-US"/>
        </w:rPr>
        <w:t>estudio</w:t>
      </w:r>
      <w:proofErr w:type="spellEnd"/>
      <w:r w:rsidRPr="008644C6">
        <w:rPr>
          <w:lang w:val="en-US"/>
        </w:rPr>
        <w:t xml:space="preserve">. </w:t>
      </w:r>
      <w:proofErr w:type="spellStart"/>
      <w:r w:rsidRPr="003B5926">
        <w:rPr>
          <w:i/>
          <w:iCs/>
          <w:lang w:val="es-ES"/>
        </w:rPr>
        <w:t>Contemporary</w:t>
      </w:r>
      <w:proofErr w:type="spellEnd"/>
      <w:r w:rsidRPr="003B5926">
        <w:rPr>
          <w:i/>
          <w:iCs/>
          <w:lang w:val="es-ES"/>
        </w:rPr>
        <w:t xml:space="preserve"> </w:t>
      </w:r>
      <w:proofErr w:type="spellStart"/>
      <w:r w:rsidRPr="003B5926">
        <w:rPr>
          <w:i/>
          <w:iCs/>
          <w:lang w:val="es-ES"/>
        </w:rPr>
        <w:t>Clinical</w:t>
      </w:r>
      <w:proofErr w:type="spellEnd"/>
      <w:r w:rsidRPr="003B5926">
        <w:rPr>
          <w:i/>
          <w:iCs/>
          <w:lang w:val="es-ES"/>
        </w:rPr>
        <w:t xml:space="preserve"> </w:t>
      </w:r>
      <w:proofErr w:type="spellStart"/>
      <w:r w:rsidRPr="003B5926">
        <w:rPr>
          <w:i/>
          <w:iCs/>
          <w:lang w:val="es-ES"/>
        </w:rPr>
        <w:t>Trials</w:t>
      </w:r>
      <w:proofErr w:type="spellEnd"/>
      <w:r w:rsidRPr="003B5926">
        <w:rPr>
          <w:i/>
          <w:iCs/>
          <w:lang w:val="es-ES"/>
        </w:rPr>
        <w:t xml:space="preserve"> </w:t>
      </w:r>
      <w:proofErr w:type="spellStart"/>
      <w:r w:rsidRPr="003B5926">
        <w:rPr>
          <w:i/>
          <w:iCs/>
          <w:lang w:val="es-ES"/>
        </w:rPr>
        <w:t>Communications</w:t>
      </w:r>
      <w:proofErr w:type="spellEnd"/>
      <w:r w:rsidRPr="003B5926">
        <w:rPr>
          <w:i/>
          <w:iCs/>
          <w:lang w:val="es-ES"/>
        </w:rPr>
        <w:t>, 35</w:t>
      </w:r>
      <w:r w:rsidRPr="003B5926">
        <w:rPr>
          <w:lang w:val="es-ES"/>
        </w:rPr>
        <w:t>, 101193</w:t>
      </w:r>
      <w:hyperlink r:id="rId28" w:history="1">
        <w:r w:rsidRPr="003B5926">
          <w:rPr>
            <w:rStyle w:val="Hipervnculo"/>
            <w:lang w:val="es-ES"/>
          </w:rPr>
          <w:t xml:space="preserve">. https://doi.org/10.1016/j.conctc.2023.101193 </w:t>
        </w:r>
      </w:hyperlink>
    </w:p>
    <w:p w14:paraId="6B5CDA54" w14:textId="77777777" w:rsidR="005D633F" w:rsidRPr="008644C6" w:rsidRDefault="005D633F" w:rsidP="009B23B3">
      <w:pPr>
        <w:ind w:left="709" w:hanging="720"/>
        <w:jc w:val="both"/>
        <w:rPr>
          <w:lang w:val="en-US"/>
        </w:rPr>
      </w:pPr>
      <w:r w:rsidRPr="003B5926">
        <w:rPr>
          <w:lang w:val="es-ES"/>
        </w:rPr>
        <w:t xml:space="preserve">Asociación Española de Enfermería de Salud Mental (2020). </w:t>
      </w:r>
      <w:r w:rsidRPr="003B5926">
        <w:rPr>
          <w:i/>
          <w:iCs/>
          <w:lang w:val="es-ES"/>
        </w:rPr>
        <w:t>Gestión y Recuperación de un problema grave de salud mental (IMR). Adaptación española de la Administración de Servicios de Abuso de Sustancias y Salud Mental (2009).</w:t>
      </w:r>
      <w:r w:rsidRPr="003B5926">
        <w:rPr>
          <w:lang w:val="es-ES"/>
        </w:rPr>
        <w:t xml:space="preserve"> Gestión y recuperación de la enfermedad: </w:t>
      </w:r>
      <w:proofErr w:type="spellStart"/>
      <w:r w:rsidRPr="003B5926">
        <w:rPr>
          <w:lang w:val="es-ES"/>
        </w:rPr>
        <w:t>Practitioner</w:t>
      </w:r>
      <w:proofErr w:type="spellEnd"/>
      <w:r w:rsidRPr="003B5926">
        <w:rPr>
          <w:lang w:val="es-ES"/>
        </w:rPr>
        <w:t xml:space="preserve"> Guides and </w:t>
      </w:r>
      <w:proofErr w:type="spellStart"/>
      <w:r w:rsidRPr="003B5926">
        <w:rPr>
          <w:lang w:val="es-ES"/>
        </w:rPr>
        <w:t>Handouts</w:t>
      </w:r>
      <w:proofErr w:type="spellEnd"/>
      <w:r w:rsidRPr="003B5926">
        <w:rPr>
          <w:lang w:val="es-ES"/>
        </w:rPr>
        <w:t xml:space="preserve">. </w:t>
      </w:r>
      <w:r w:rsidRPr="008644C6">
        <w:rPr>
          <w:lang w:val="en-US"/>
        </w:rPr>
        <w:t>HHS Pub. No. SMA-09-4462, Rockville, MD: Center for Mental Health Services, Substance Abuse and Mental Health Services Administration, U.S. Department of Health and Human Services.</w:t>
      </w:r>
    </w:p>
    <w:p w14:paraId="6430BD07" w14:textId="77777777" w:rsidR="005D633F" w:rsidRPr="008644C6" w:rsidRDefault="005D633F" w:rsidP="009B23B3">
      <w:pPr>
        <w:ind w:left="709" w:hanging="720"/>
        <w:jc w:val="both"/>
        <w:rPr>
          <w:lang w:val="en-US"/>
        </w:rPr>
      </w:pPr>
      <w:r w:rsidRPr="008644C6">
        <w:rPr>
          <w:lang w:val="en-US"/>
        </w:rPr>
        <w:t xml:space="preserve">Sullivan, S. R., Monahan, M. F., Mitchell, E. L., Spears, A. P., Walsh, S., </w:t>
      </w:r>
      <w:proofErr w:type="spellStart"/>
      <w:r w:rsidRPr="008644C6">
        <w:rPr>
          <w:lang w:val="en-US"/>
        </w:rPr>
        <w:t>Szeszko</w:t>
      </w:r>
      <w:proofErr w:type="spellEnd"/>
      <w:r w:rsidRPr="008644C6">
        <w:rPr>
          <w:lang w:val="en-US"/>
        </w:rPr>
        <w:t xml:space="preserve">, J. R., </w:t>
      </w:r>
      <w:proofErr w:type="spellStart"/>
      <w:r w:rsidRPr="008644C6">
        <w:rPr>
          <w:lang w:val="en-US"/>
        </w:rPr>
        <w:t>Gromatsky</w:t>
      </w:r>
      <w:proofErr w:type="spellEnd"/>
      <w:r w:rsidRPr="008644C6">
        <w:rPr>
          <w:lang w:val="en-US"/>
        </w:rPr>
        <w:t xml:space="preserve">, M., Stanley, B., &amp; Goodman, M. (2021). Group treatments for individuals at Risk for Suicide: A PRISMA Scoping Review (SCR). </w:t>
      </w:r>
      <w:r w:rsidRPr="008644C6">
        <w:rPr>
          <w:i/>
          <w:iCs/>
          <w:lang w:val="en-US"/>
        </w:rPr>
        <w:t>Psychiatry Research</w:t>
      </w:r>
      <w:r w:rsidRPr="008644C6">
        <w:rPr>
          <w:lang w:val="en-US"/>
        </w:rPr>
        <w:t>, 304, 114108.</w:t>
      </w:r>
      <w:r>
        <w:fldChar w:fldCharType="begin"/>
      </w:r>
      <w:r w:rsidRPr="00244422">
        <w:rPr>
          <w:lang w:val="en-US"/>
        </w:rPr>
        <w:instrText>HYPERLINK "https://doi.org/10.1016/j.psychres.2021.114108"</w:instrText>
      </w:r>
      <w:r>
        <w:fldChar w:fldCharType="separate"/>
      </w:r>
      <w:r w:rsidRPr="008644C6">
        <w:rPr>
          <w:rStyle w:val="Hipervnculo"/>
          <w:lang w:val="en-US"/>
        </w:rPr>
        <w:t xml:space="preserve"> https://doi.org/10.1016/j.psychres.2021.114108</w:t>
      </w:r>
      <w:r>
        <w:fldChar w:fldCharType="end"/>
      </w:r>
      <w:r w:rsidRPr="008644C6">
        <w:rPr>
          <w:lang w:val="en-US"/>
        </w:rPr>
        <w:t xml:space="preserve">  </w:t>
      </w:r>
    </w:p>
    <w:p w14:paraId="6B5D3395" w14:textId="77777777" w:rsidR="005E32C8" w:rsidRPr="005E32C8" w:rsidRDefault="005E32C8" w:rsidP="005E32C8">
      <w:pPr>
        <w:ind w:left="709" w:hanging="720"/>
        <w:jc w:val="both"/>
        <w:rPr>
          <w:color w:val="000000"/>
          <w:lang w:val="en-US"/>
        </w:rPr>
      </w:pPr>
      <w:r w:rsidRPr="005E32C8">
        <w:rPr>
          <w:color w:val="000000"/>
          <w:lang w:val="en-US"/>
        </w:rPr>
        <w:t xml:space="preserve">OMS (2012). </w:t>
      </w:r>
      <w:r w:rsidRPr="005E32C8">
        <w:rPr>
          <w:i/>
          <w:iCs/>
          <w:color w:val="000000"/>
          <w:lang w:val="en-US"/>
        </w:rPr>
        <w:t>QualityRights tool kit to assess and improve quality and human rights in mental health and social care facilities.</w:t>
      </w:r>
      <w:r w:rsidRPr="005E32C8">
        <w:rPr>
          <w:lang w:val="en-US"/>
        </w:rPr>
        <w:t xml:space="preserve"> </w:t>
      </w:r>
      <w:r>
        <w:fldChar w:fldCharType="begin"/>
      </w:r>
      <w:r w:rsidRPr="00244422">
        <w:rPr>
          <w:lang w:val="en-US"/>
        </w:rPr>
        <w:instrText>HYPERLINK "https://iris.who.int/bitstream/handle/10665/70927/9789241548410_eng.pdf?sequence=3"</w:instrText>
      </w:r>
      <w:r>
        <w:fldChar w:fldCharType="separate"/>
      </w:r>
      <w:r w:rsidRPr="005E32C8">
        <w:rPr>
          <w:rStyle w:val="Hipervnculo"/>
          <w:lang w:val="en-US"/>
        </w:rPr>
        <w:t>https://iris.who.int/bitstream/handle/10665/70927/9789241548410_eng.pdf?sequence=3</w:t>
      </w:r>
      <w:r>
        <w:fldChar w:fldCharType="end"/>
      </w:r>
      <w:r w:rsidRPr="005E32C8">
        <w:rPr>
          <w:color w:val="000000"/>
          <w:lang w:val="en-US"/>
        </w:rPr>
        <w:t xml:space="preserve"> </w:t>
      </w:r>
    </w:p>
    <w:p w14:paraId="5B94908F" w14:textId="77777777" w:rsidR="005E32C8" w:rsidRPr="005E32C8" w:rsidRDefault="005E32C8" w:rsidP="005E32C8">
      <w:pPr>
        <w:ind w:left="709" w:hanging="720"/>
        <w:jc w:val="both"/>
        <w:rPr>
          <w:color w:val="000000"/>
          <w:lang w:val="en-US"/>
        </w:rPr>
      </w:pPr>
      <w:r w:rsidRPr="005E32C8">
        <w:rPr>
          <w:color w:val="000000"/>
          <w:lang w:val="en-US"/>
        </w:rPr>
        <w:t xml:space="preserve">OMS (2019a). </w:t>
      </w:r>
      <w:r w:rsidRPr="005E32C8">
        <w:rPr>
          <w:i/>
          <w:iCs/>
          <w:color w:val="000000"/>
          <w:lang w:val="en-US"/>
        </w:rPr>
        <w:t xml:space="preserve">Human rights. WHO QualityRights Core training - for all services and all people. Course guide. </w:t>
      </w:r>
      <w:r>
        <w:fldChar w:fldCharType="begin"/>
      </w:r>
      <w:r w:rsidRPr="00244422">
        <w:rPr>
          <w:lang w:val="en-US"/>
        </w:rPr>
        <w:instrText>HYPERLINK "https://iris.who.int/bitstream/handle/10665/329538/9789241516693-eng.pdf"</w:instrText>
      </w:r>
      <w:r>
        <w:fldChar w:fldCharType="separate"/>
      </w:r>
      <w:r w:rsidRPr="005E32C8">
        <w:rPr>
          <w:rStyle w:val="Hipervnculo"/>
          <w:lang w:val="en-US"/>
        </w:rPr>
        <w:t>https://iris.who.int/bitstream/handle/10665/329538/9789241516693-eng.pdf</w:t>
      </w:r>
      <w:r>
        <w:fldChar w:fldCharType="end"/>
      </w:r>
    </w:p>
    <w:p w14:paraId="6D7AB5C2" w14:textId="77777777" w:rsidR="005E32C8" w:rsidRPr="005E32C8" w:rsidRDefault="005E32C8" w:rsidP="005E32C8">
      <w:pPr>
        <w:ind w:left="709" w:hanging="720"/>
        <w:jc w:val="both"/>
        <w:rPr>
          <w:lang w:val="en-US"/>
        </w:rPr>
      </w:pPr>
      <w:r w:rsidRPr="005E32C8">
        <w:rPr>
          <w:color w:val="000000"/>
          <w:lang w:val="en-US"/>
        </w:rPr>
        <w:t xml:space="preserve">OMS (2019b). </w:t>
      </w:r>
      <w:r w:rsidRPr="005E32C8">
        <w:rPr>
          <w:i/>
          <w:iCs/>
          <w:color w:val="000000"/>
          <w:lang w:val="en-US"/>
        </w:rPr>
        <w:t xml:space="preserve">Recovery and the right to health. WHO QualityRights Core training: mental health and social services. Course guide. </w:t>
      </w:r>
      <w:r>
        <w:fldChar w:fldCharType="begin"/>
      </w:r>
      <w:r w:rsidRPr="00244422">
        <w:rPr>
          <w:lang w:val="en-US"/>
        </w:rPr>
        <w:instrText>HYPERLINK "https://iris.who.int/bitstream/handle/10665/329577/9789241516723-eng.pdf"</w:instrText>
      </w:r>
      <w:r>
        <w:fldChar w:fldCharType="separate"/>
      </w:r>
      <w:r w:rsidRPr="005E32C8">
        <w:rPr>
          <w:rStyle w:val="Hipervnculo"/>
          <w:lang w:val="en-US"/>
        </w:rPr>
        <w:t>https://iris.who.int/bitstream/handle/10665/329577/9789241516723-eng.pdf</w:t>
      </w:r>
      <w:r>
        <w:fldChar w:fldCharType="end"/>
      </w:r>
      <w:r w:rsidRPr="005E32C8">
        <w:rPr>
          <w:color w:val="000000"/>
          <w:lang w:val="en-US"/>
        </w:rPr>
        <w:t xml:space="preserve"> </w:t>
      </w:r>
    </w:p>
    <w:p w14:paraId="3CD0A0C4" w14:textId="77777777" w:rsidR="005D633F" w:rsidRPr="003B5926" w:rsidRDefault="005D633F" w:rsidP="005E32C8">
      <w:pPr>
        <w:ind w:left="709" w:hanging="720"/>
        <w:jc w:val="both"/>
        <w:rPr>
          <w:lang w:val="es-ES"/>
        </w:rPr>
      </w:pPr>
      <w:r w:rsidRPr="005E32C8">
        <w:rPr>
          <w:lang w:val="en-US"/>
        </w:rPr>
        <w:t xml:space="preserve">OMS (2021a). </w:t>
      </w:r>
      <w:r w:rsidRPr="002314CF">
        <w:rPr>
          <w:lang w:val="es-CL"/>
        </w:rPr>
        <w:t xml:space="preserve">Suicide. </w:t>
      </w:r>
      <w:r w:rsidRPr="00F42F97">
        <w:rPr>
          <w:lang w:val="es-ES"/>
        </w:rPr>
        <w:t>Hechos y cifras.</w:t>
      </w:r>
      <w:hyperlink r:id="rId29" w:history="1">
        <w:r w:rsidRPr="00F42F97">
          <w:rPr>
            <w:rStyle w:val="Hipervnculo"/>
            <w:lang w:val="es-ES"/>
          </w:rPr>
          <w:t xml:space="preserve"> </w:t>
        </w:r>
        <w:r w:rsidRPr="003B5926">
          <w:rPr>
            <w:rStyle w:val="Hipervnculo"/>
            <w:lang w:val="es-ES"/>
          </w:rPr>
          <w:t>https://www.who.int/es/news-room/fact-sheets/detail/suicide</w:t>
        </w:r>
      </w:hyperlink>
      <w:r w:rsidRPr="003B5926">
        <w:rPr>
          <w:lang w:val="es-ES"/>
        </w:rPr>
        <w:t xml:space="preserve">  </w:t>
      </w:r>
    </w:p>
    <w:p w14:paraId="7A3FCE61" w14:textId="77777777" w:rsidR="00E51829" w:rsidRPr="00F57828" w:rsidRDefault="005D633F" w:rsidP="005E32C8">
      <w:pPr>
        <w:ind w:left="709" w:hanging="720"/>
        <w:jc w:val="both"/>
        <w:rPr>
          <w:lang w:val="es-ES"/>
        </w:rPr>
      </w:pPr>
      <w:r w:rsidRPr="003B5926">
        <w:rPr>
          <w:lang w:val="es-ES"/>
        </w:rPr>
        <w:t xml:space="preserve">OMS (2021b). El suicidio en el mundo en 2019: estimaciones sanitarias mundiales. </w:t>
      </w:r>
      <w:r w:rsidRPr="00F57828">
        <w:rPr>
          <w:lang w:val="es-ES"/>
        </w:rPr>
        <w:t xml:space="preserve">Ginebra: </w:t>
      </w:r>
      <w:proofErr w:type="spellStart"/>
      <w:r w:rsidRPr="00F57828">
        <w:rPr>
          <w:lang w:val="es-ES"/>
        </w:rPr>
        <w:t>Licence</w:t>
      </w:r>
      <w:proofErr w:type="spellEnd"/>
      <w:r w:rsidRPr="00F57828">
        <w:rPr>
          <w:lang w:val="es-ES"/>
        </w:rPr>
        <w:t xml:space="preserve">: CC BY-NC-SA 3.0 IGO. </w:t>
      </w:r>
      <w:hyperlink r:id="rId30" w:history="1">
        <w:r w:rsidRPr="00F57828">
          <w:rPr>
            <w:rStyle w:val="Hipervnculo"/>
            <w:lang w:val="es-ES"/>
          </w:rPr>
          <w:t>https://www.who.int/publications/i/item/9789240026643</w:t>
        </w:r>
      </w:hyperlink>
      <w:r w:rsidRPr="00F57828">
        <w:rPr>
          <w:lang w:val="es-ES"/>
        </w:rPr>
        <w:t xml:space="preserve">  </w:t>
      </w:r>
    </w:p>
    <w:p w14:paraId="134CE71B" w14:textId="77777777" w:rsidR="005E32C8" w:rsidRPr="005E32C8" w:rsidRDefault="005E32C8" w:rsidP="005E32C8">
      <w:pPr>
        <w:pBdr>
          <w:top w:val="nil"/>
          <w:left w:val="nil"/>
          <w:bottom w:val="nil"/>
          <w:right w:val="nil"/>
          <w:between w:val="nil"/>
        </w:pBdr>
        <w:ind w:left="720" w:hanging="720"/>
        <w:jc w:val="both"/>
        <w:rPr>
          <w:color w:val="000000"/>
          <w:lang w:val="en-US"/>
        </w:rPr>
      </w:pPr>
      <w:r w:rsidRPr="005E32C8">
        <w:rPr>
          <w:color w:val="000000"/>
          <w:lang w:val="es-CL"/>
        </w:rPr>
        <w:t xml:space="preserve">Organización de las Naciones Unidas [ONU]. (2020). </w:t>
      </w:r>
      <w:r w:rsidRPr="005E32C8">
        <w:rPr>
          <w:i/>
          <w:iCs/>
          <w:color w:val="000000"/>
          <w:lang w:val="es-CL"/>
        </w:rPr>
        <w:t>Los derechos humanos como prioridad para la recuperación</w:t>
      </w:r>
      <w:r w:rsidRPr="005E32C8">
        <w:rPr>
          <w:color w:val="000000"/>
          <w:lang w:val="es-CL"/>
        </w:rPr>
        <w:t xml:space="preserve">. </w:t>
      </w:r>
      <w:hyperlink r:id="rId31" w:history="1">
        <w:r w:rsidRPr="005E32C8">
          <w:rPr>
            <w:rStyle w:val="Hipervnculo"/>
            <w:lang w:val="en-US"/>
          </w:rPr>
          <w:t>https://www.ohchr.org/es/stories/2020/12/human-rights-heart-recovery</w:t>
        </w:r>
      </w:hyperlink>
      <w:r w:rsidRPr="005E32C8">
        <w:rPr>
          <w:color w:val="000000"/>
          <w:lang w:val="en-US"/>
        </w:rPr>
        <w:t xml:space="preserve"> </w:t>
      </w:r>
    </w:p>
    <w:p w14:paraId="10BED76B" w14:textId="6CA55E68" w:rsidR="00AB1480" w:rsidRPr="00B910D6" w:rsidRDefault="00AB1480" w:rsidP="005E32C8">
      <w:pPr>
        <w:ind w:left="709" w:hanging="720"/>
        <w:jc w:val="both"/>
        <w:rPr>
          <w:color w:val="000000"/>
          <w:lang w:val="en-US"/>
        </w:rPr>
      </w:pPr>
      <w:r w:rsidRPr="005E32C8">
        <w:rPr>
          <w:color w:val="000000" w:themeColor="text1"/>
          <w:lang w:val="en-US"/>
        </w:rPr>
        <w:t xml:space="preserve">Winsper, C., Crawford-Docherty, A., Weich, S., Fenton, S., &amp; Singh, S. P. (2020). How do recovery-oriented interventions contribute to personal mental health recovery? A systematic review and logic model. </w:t>
      </w:r>
      <w:r w:rsidRPr="005E32C8">
        <w:rPr>
          <w:i/>
          <w:iCs/>
          <w:color w:val="000000" w:themeColor="text1"/>
          <w:lang w:val="en-US"/>
        </w:rPr>
        <w:t>Clinical Psychology Review, 76</w:t>
      </w:r>
      <w:r w:rsidRPr="005E32C8">
        <w:rPr>
          <w:color w:val="000000" w:themeColor="text1"/>
          <w:lang w:val="en-US"/>
        </w:rPr>
        <w:t xml:space="preserve">, 101815. </w:t>
      </w:r>
      <w:hyperlink r:id="rId32">
        <w:r w:rsidRPr="005E32C8">
          <w:rPr>
            <w:rStyle w:val="Hipervnculo"/>
            <w:lang w:val="en-US"/>
          </w:rPr>
          <w:t>https://doi.org/10.1016/j.cpr.2020.101815</w:t>
        </w:r>
      </w:hyperlink>
      <w:r w:rsidRPr="00B910D6">
        <w:rPr>
          <w:color w:val="000000" w:themeColor="text1"/>
          <w:lang w:val="en-US"/>
        </w:rPr>
        <w:t xml:space="preserve">   </w:t>
      </w:r>
    </w:p>
    <w:p w14:paraId="2A895C7E" w14:textId="77777777" w:rsidR="005D633F" w:rsidRPr="00044BB9" w:rsidRDefault="005D633F">
      <w:pPr>
        <w:pBdr>
          <w:top w:val="nil"/>
          <w:left w:val="nil"/>
          <w:bottom w:val="nil"/>
          <w:right w:val="nil"/>
          <w:between w:val="nil"/>
        </w:pBdr>
        <w:jc w:val="center"/>
        <w:rPr>
          <w:b/>
          <w:color w:val="000000"/>
          <w:lang w:val="en-US"/>
        </w:rPr>
      </w:pPr>
    </w:p>
    <w:p w14:paraId="3BB38CBC" w14:textId="7AAD8B65" w:rsidR="00E65307" w:rsidRPr="00044BB9" w:rsidRDefault="00EB278B" w:rsidP="005D633F">
      <w:pPr>
        <w:shd w:val="clear" w:color="auto" w:fill="FFFFFF"/>
        <w:jc w:val="center"/>
        <w:rPr>
          <w:i/>
          <w:sz w:val="20"/>
          <w:szCs w:val="20"/>
          <w:lang w:val="en-US"/>
        </w:rPr>
      </w:pPr>
      <w:r w:rsidRPr="00044BB9">
        <w:rPr>
          <w:rFonts w:ascii="Quattrocento Sans" w:eastAsia="Quattrocento Sans" w:hAnsi="Quattrocento Sans" w:cs="Quattrocento Sans"/>
          <w:sz w:val="21"/>
          <w:szCs w:val="21"/>
          <w:highlight w:val="white"/>
          <w:lang w:val="en-US"/>
        </w:rPr>
        <w:t xml:space="preserve"> </w:t>
      </w:r>
    </w:p>
    <w:sectPr w:rsidR="00E65307" w:rsidRPr="00044BB9" w:rsidSect="00F17C58">
      <w:headerReference w:type="even" r:id="rId33"/>
      <w:headerReference w:type="default" r:id="rId34"/>
      <w:footerReference w:type="even" r:id="rId35"/>
      <w:footerReference w:type="default" r:id="rId36"/>
      <w:pgSz w:w="12240" w:h="15840"/>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467DF" w14:textId="77777777" w:rsidR="00B52A10" w:rsidRDefault="00B52A10">
      <w:r>
        <w:separator/>
      </w:r>
    </w:p>
  </w:endnote>
  <w:endnote w:type="continuationSeparator" w:id="0">
    <w:p w14:paraId="0BAC736B" w14:textId="77777777" w:rsidR="00B52A10" w:rsidRDefault="00B52A10">
      <w:r>
        <w:continuationSeparator/>
      </w:r>
    </w:p>
  </w:endnote>
  <w:endnote w:type="continuationNotice" w:id="1">
    <w:p w14:paraId="02CAE778" w14:textId="77777777" w:rsidR="00B52A10" w:rsidRDefault="00B52A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BD4916ED-AF7C-486D-B723-FA8C5D331AC1}"/>
  </w:font>
  <w:font w:name="Calibri">
    <w:panose1 w:val="020F0502020204030204"/>
    <w:charset w:val="00"/>
    <w:family w:val="swiss"/>
    <w:pitch w:val="variable"/>
    <w:sig w:usb0="E4002EFF" w:usb1="C200247B" w:usb2="00000009" w:usb3="00000000" w:csb0="000001FF" w:csb1="00000000"/>
    <w:embedRegular r:id="rId2" w:fontKey="{F1FF57F1-B9AD-4FF6-9457-DD3BA80D3E34}"/>
    <w:embedBold r:id="rId3" w:fontKey="{44BE20A2-4EEB-4972-B11A-3D7CFCC1FB54}"/>
    <w:embedItalic r:id="rId4" w:fontKey="{00621BB3-C348-49C0-92A9-434AA87F200F}"/>
  </w:font>
  <w:font w:name="Times">
    <w:panose1 w:val="02020603050405020304"/>
    <w:charset w:val="00"/>
    <w:family w:val="roman"/>
    <w:pitch w:val="variable"/>
    <w:sig w:usb0="E0002EFF" w:usb1="C000785B" w:usb2="00000009" w:usb3="00000000" w:csb0="000001FF" w:csb1="00000000"/>
    <w:embedRegular r:id="rId5" w:fontKey="{49F77A15-EB2A-4741-B167-CAEC602B221A}"/>
    <w:embedItalic r:id="rId6" w:fontKey="{3FF6B56C-2B44-457F-856C-FE298B2406B8}"/>
    <w:embedBoldItalic r:id="rId7" w:fontKey="{67A5C09C-138F-47C6-8AE3-E837D4A48F97}"/>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5227CB0B-4AE8-4BEC-B3C5-041DF7B404AD}"/>
    <w:embedItalic r:id="rId9" w:fontKey="{79F52878-17C3-49E0-8A59-D5D20C117E7A}"/>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0" w:fontKey="{91294D04-2C7F-45BF-95F1-F8F5A473CE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87612" w14:textId="77777777" w:rsidR="00E65307" w:rsidRDefault="00EB278B">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4D463900" w14:textId="77777777" w:rsidR="00E65307" w:rsidRDefault="00E65307">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1A16" w14:textId="77777777" w:rsidR="00E65307" w:rsidRDefault="00EB278B">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1829A1E0" w14:textId="77777777" w:rsidR="00E65307" w:rsidRDefault="00E65307">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B7649" w14:textId="77777777" w:rsidR="00B52A10" w:rsidRDefault="00B52A10">
      <w:r>
        <w:separator/>
      </w:r>
    </w:p>
  </w:footnote>
  <w:footnote w:type="continuationSeparator" w:id="0">
    <w:p w14:paraId="4C1CDD25" w14:textId="77777777" w:rsidR="00B52A10" w:rsidRDefault="00B52A10">
      <w:r>
        <w:continuationSeparator/>
      </w:r>
    </w:p>
  </w:footnote>
  <w:footnote w:type="continuationNotice" w:id="1">
    <w:p w14:paraId="20DBCEBA" w14:textId="77777777" w:rsidR="00B52A10" w:rsidRDefault="00B52A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D7065" w14:textId="49B03CBF" w:rsidR="00E65307" w:rsidRPr="00014D11" w:rsidRDefault="00E65307" w:rsidP="00014D1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B318D" w14:textId="77777777" w:rsidR="00E65307" w:rsidRDefault="00EB278B">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Psicología/Interamerican Journal of Psychology</w:t>
    </w:r>
    <w:r>
      <w:rPr>
        <w:noProof/>
      </w:rPr>
      <w:drawing>
        <wp:anchor distT="0" distB="0" distL="114300" distR="114300" simplePos="0" relativeHeight="251658240" behindDoc="0" locked="0" layoutInCell="1" hidden="0" allowOverlap="1" wp14:anchorId="281C95EF" wp14:editId="6BB0B209">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Hz6MCYM6nfkzdW" int2:id="dZbV26qF">
      <int2:state int2:value="Rejected" int2:type="AugLoop_Text_Critique"/>
    </int2:textHash>
    <int2:textHash int2:hashCode="8Gv9g3c87pteI6" int2:id="T8MVteO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013C32"/>
    <w:multiLevelType w:val="multilevel"/>
    <w:tmpl w:val="2488F6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E1F1D74"/>
    <w:multiLevelType w:val="multilevel"/>
    <w:tmpl w:val="638ED4BA"/>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16cid:durableId="648897439">
    <w:abstractNumId w:val="0"/>
  </w:num>
  <w:num w:numId="2" w16cid:durableId="287516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307"/>
    <w:rsid w:val="00002184"/>
    <w:rsid w:val="00005F64"/>
    <w:rsid w:val="0001119B"/>
    <w:rsid w:val="00014D11"/>
    <w:rsid w:val="000321DE"/>
    <w:rsid w:val="00032DB0"/>
    <w:rsid w:val="00040C9A"/>
    <w:rsid w:val="00044BB9"/>
    <w:rsid w:val="00062350"/>
    <w:rsid w:val="00062A04"/>
    <w:rsid w:val="00076E97"/>
    <w:rsid w:val="0008179A"/>
    <w:rsid w:val="00093CED"/>
    <w:rsid w:val="000F3018"/>
    <w:rsid w:val="000F3706"/>
    <w:rsid w:val="000F514E"/>
    <w:rsid w:val="00104030"/>
    <w:rsid w:val="00110BDA"/>
    <w:rsid w:val="00116FB4"/>
    <w:rsid w:val="00122B2C"/>
    <w:rsid w:val="00123C8F"/>
    <w:rsid w:val="0014268B"/>
    <w:rsid w:val="001600F2"/>
    <w:rsid w:val="00163F20"/>
    <w:rsid w:val="00165FC2"/>
    <w:rsid w:val="0017401F"/>
    <w:rsid w:val="00183958"/>
    <w:rsid w:val="00191FE2"/>
    <w:rsid w:val="001A4EC6"/>
    <w:rsid w:val="001A6585"/>
    <w:rsid w:val="001B58E1"/>
    <w:rsid w:val="001C050A"/>
    <w:rsid w:val="001C764F"/>
    <w:rsid w:val="001D612A"/>
    <w:rsid w:val="001D7404"/>
    <w:rsid w:val="0021272A"/>
    <w:rsid w:val="00215431"/>
    <w:rsid w:val="00217B44"/>
    <w:rsid w:val="002206DA"/>
    <w:rsid w:val="00225440"/>
    <w:rsid w:val="002314CF"/>
    <w:rsid w:val="00232C50"/>
    <w:rsid w:val="00244422"/>
    <w:rsid w:val="00256F75"/>
    <w:rsid w:val="002617C4"/>
    <w:rsid w:val="0026639D"/>
    <w:rsid w:val="00266816"/>
    <w:rsid w:val="00274738"/>
    <w:rsid w:val="002818E3"/>
    <w:rsid w:val="00283975"/>
    <w:rsid w:val="00291F1A"/>
    <w:rsid w:val="00294246"/>
    <w:rsid w:val="00294E78"/>
    <w:rsid w:val="002C2706"/>
    <w:rsid w:val="002C3AC5"/>
    <w:rsid w:val="002E3942"/>
    <w:rsid w:val="002F37B1"/>
    <w:rsid w:val="00307BF4"/>
    <w:rsid w:val="0032077B"/>
    <w:rsid w:val="00323E12"/>
    <w:rsid w:val="00337A4E"/>
    <w:rsid w:val="00363DB2"/>
    <w:rsid w:val="00366B61"/>
    <w:rsid w:val="003A2AF1"/>
    <w:rsid w:val="003A5042"/>
    <w:rsid w:val="003C5669"/>
    <w:rsid w:val="003D7D91"/>
    <w:rsid w:val="003F4879"/>
    <w:rsid w:val="00401304"/>
    <w:rsid w:val="0042292A"/>
    <w:rsid w:val="0042299A"/>
    <w:rsid w:val="00424937"/>
    <w:rsid w:val="00427492"/>
    <w:rsid w:val="004411E8"/>
    <w:rsid w:val="00452FED"/>
    <w:rsid w:val="004567F6"/>
    <w:rsid w:val="00490209"/>
    <w:rsid w:val="00494881"/>
    <w:rsid w:val="00495DDF"/>
    <w:rsid w:val="004D2BF4"/>
    <w:rsid w:val="004D4BBD"/>
    <w:rsid w:val="004F53BD"/>
    <w:rsid w:val="004F58D3"/>
    <w:rsid w:val="00513C34"/>
    <w:rsid w:val="00526B03"/>
    <w:rsid w:val="005301D6"/>
    <w:rsid w:val="0055054E"/>
    <w:rsid w:val="005542E8"/>
    <w:rsid w:val="005667F1"/>
    <w:rsid w:val="00574C01"/>
    <w:rsid w:val="0057571E"/>
    <w:rsid w:val="00583DE5"/>
    <w:rsid w:val="00591AA1"/>
    <w:rsid w:val="005962B4"/>
    <w:rsid w:val="005972D4"/>
    <w:rsid w:val="005A755B"/>
    <w:rsid w:val="005B5654"/>
    <w:rsid w:val="005C0842"/>
    <w:rsid w:val="005D111E"/>
    <w:rsid w:val="005D633F"/>
    <w:rsid w:val="005E32C8"/>
    <w:rsid w:val="005E3B33"/>
    <w:rsid w:val="00606DE5"/>
    <w:rsid w:val="00610EC4"/>
    <w:rsid w:val="006449A9"/>
    <w:rsid w:val="00646C9D"/>
    <w:rsid w:val="00654EB9"/>
    <w:rsid w:val="00665137"/>
    <w:rsid w:val="00665540"/>
    <w:rsid w:val="00672E25"/>
    <w:rsid w:val="00675D76"/>
    <w:rsid w:val="00696F7F"/>
    <w:rsid w:val="006A7633"/>
    <w:rsid w:val="006C0F58"/>
    <w:rsid w:val="006C3BC4"/>
    <w:rsid w:val="006D37EC"/>
    <w:rsid w:val="007011CA"/>
    <w:rsid w:val="00706D9E"/>
    <w:rsid w:val="00724A8F"/>
    <w:rsid w:val="00746C2D"/>
    <w:rsid w:val="0076354B"/>
    <w:rsid w:val="00765C69"/>
    <w:rsid w:val="00771006"/>
    <w:rsid w:val="00774732"/>
    <w:rsid w:val="00785711"/>
    <w:rsid w:val="00785C9E"/>
    <w:rsid w:val="007A4815"/>
    <w:rsid w:val="007A5E15"/>
    <w:rsid w:val="007A7431"/>
    <w:rsid w:val="007A7F7B"/>
    <w:rsid w:val="007B3B68"/>
    <w:rsid w:val="007B5E83"/>
    <w:rsid w:val="007D5DEF"/>
    <w:rsid w:val="00805C1A"/>
    <w:rsid w:val="008444C5"/>
    <w:rsid w:val="00855336"/>
    <w:rsid w:val="00862916"/>
    <w:rsid w:val="00871CF8"/>
    <w:rsid w:val="00885591"/>
    <w:rsid w:val="00895A55"/>
    <w:rsid w:val="008A5BAF"/>
    <w:rsid w:val="008D186D"/>
    <w:rsid w:val="008D7AE7"/>
    <w:rsid w:val="008E05CA"/>
    <w:rsid w:val="008E2866"/>
    <w:rsid w:val="008E4204"/>
    <w:rsid w:val="00902505"/>
    <w:rsid w:val="00931B57"/>
    <w:rsid w:val="00943033"/>
    <w:rsid w:val="009538E2"/>
    <w:rsid w:val="0096514A"/>
    <w:rsid w:val="00970808"/>
    <w:rsid w:val="00986EB2"/>
    <w:rsid w:val="0098755F"/>
    <w:rsid w:val="009901B0"/>
    <w:rsid w:val="00991175"/>
    <w:rsid w:val="00996C3C"/>
    <w:rsid w:val="009B23B3"/>
    <w:rsid w:val="009B2DFF"/>
    <w:rsid w:val="009B62C1"/>
    <w:rsid w:val="009C1F2A"/>
    <w:rsid w:val="009C2ACA"/>
    <w:rsid w:val="009C5B3F"/>
    <w:rsid w:val="009C62BE"/>
    <w:rsid w:val="009E7858"/>
    <w:rsid w:val="009F4F75"/>
    <w:rsid w:val="009F6ACB"/>
    <w:rsid w:val="00A14C6B"/>
    <w:rsid w:val="00A162C8"/>
    <w:rsid w:val="00A16ED0"/>
    <w:rsid w:val="00A30A45"/>
    <w:rsid w:val="00A76521"/>
    <w:rsid w:val="00A90CB3"/>
    <w:rsid w:val="00A952D8"/>
    <w:rsid w:val="00AB1480"/>
    <w:rsid w:val="00AB36DB"/>
    <w:rsid w:val="00AC2D39"/>
    <w:rsid w:val="00AC2EE9"/>
    <w:rsid w:val="00AE006F"/>
    <w:rsid w:val="00AE2D20"/>
    <w:rsid w:val="00AF2977"/>
    <w:rsid w:val="00AF7901"/>
    <w:rsid w:val="00B079AC"/>
    <w:rsid w:val="00B15988"/>
    <w:rsid w:val="00B27B53"/>
    <w:rsid w:val="00B31D8E"/>
    <w:rsid w:val="00B43FC2"/>
    <w:rsid w:val="00B52A10"/>
    <w:rsid w:val="00B62FA7"/>
    <w:rsid w:val="00B645CA"/>
    <w:rsid w:val="00B70D7A"/>
    <w:rsid w:val="00B719D1"/>
    <w:rsid w:val="00B73772"/>
    <w:rsid w:val="00B73B76"/>
    <w:rsid w:val="00B73F86"/>
    <w:rsid w:val="00B8668A"/>
    <w:rsid w:val="00B910D6"/>
    <w:rsid w:val="00BA38CD"/>
    <w:rsid w:val="00BA4249"/>
    <w:rsid w:val="00BA69AC"/>
    <w:rsid w:val="00BA7202"/>
    <w:rsid w:val="00BA76D6"/>
    <w:rsid w:val="00BB0D60"/>
    <w:rsid w:val="00BB27EB"/>
    <w:rsid w:val="00BB46D0"/>
    <w:rsid w:val="00BB5CEC"/>
    <w:rsid w:val="00BC2678"/>
    <w:rsid w:val="00C0036B"/>
    <w:rsid w:val="00C07413"/>
    <w:rsid w:val="00C12796"/>
    <w:rsid w:val="00C15B8E"/>
    <w:rsid w:val="00C34254"/>
    <w:rsid w:val="00C471C8"/>
    <w:rsid w:val="00C514D0"/>
    <w:rsid w:val="00C81D8B"/>
    <w:rsid w:val="00C86271"/>
    <w:rsid w:val="00C9133A"/>
    <w:rsid w:val="00C92E97"/>
    <w:rsid w:val="00CB3596"/>
    <w:rsid w:val="00CC33F4"/>
    <w:rsid w:val="00CE1673"/>
    <w:rsid w:val="00CF72CA"/>
    <w:rsid w:val="00D02F10"/>
    <w:rsid w:val="00D04CBC"/>
    <w:rsid w:val="00D42348"/>
    <w:rsid w:val="00D51F3F"/>
    <w:rsid w:val="00D76FD4"/>
    <w:rsid w:val="00D80F3B"/>
    <w:rsid w:val="00D815E1"/>
    <w:rsid w:val="00D865BA"/>
    <w:rsid w:val="00DA3875"/>
    <w:rsid w:val="00DB6A1B"/>
    <w:rsid w:val="00DD0B97"/>
    <w:rsid w:val="00DD5704"/>
    <w:rsid w:val="00DD723F"/>
    <w:rsid w:val="00DE31B0"/>
    <w:rsid w:val="00DF290F"/>
    <w:rsid w:val="00E05644"/>
    <w:rsid w:val="00E265DA"/>
    <w:rsid w:val="00E31E76"/>
    <w:rsid w:val="00E33905"/>
    <w:rsid w:val="00E50354"/>
    <w:rsid w:val="00E51829"/>
    <w:rsid w:val="00E567D1"/>
    <w:rsid w:val="00E65307"/>
    <w:rsid w:val="00E65597"/>
    <w:rsid w:val="00E75C95"/>
    <w:rsid w:val="00EB278B"/>
    <w:rsid w:val="00ED16F6"/>
    <w:rsid w:val="00ED4E7A"/>
    <w:rsid w:val="00EF1F91"/>
    <w:rsid w:val="00EF524E"/>
    <w:rsid w:val="00F17C58"/>
    <w:rsid w:val="00F20BC4"/>
    <w:rsid w:val="00F30E01"/>
    <w:rsid w:val="00F37D47"/>
    <w:rsid w:val="00F42E9E"/>
    <w:rsid w:val="00F53A32"/>
    <w:rsid w:val="00F57828"/>
    <w:rsid w:val="00F63A5D"/>
    <w:rsid w:val="00F677DA"/>
    <w:rsid w:val="00F6798E"/>
    <w:rsid w:val="00F83C77"/>
    <w:rsid w:val="00FA0235"/>
    <w:rsid w:val="00FB55E6"/>
    <w:rsid w:val="00FB6FB1"/>
    <w:rsid w:val="00FB79AF"/>
    <w:rsid w:val="00FC07C4"/>
    <w:rsid w:val="00FC3401"/>
    <w:rsid w:val="00FE35FB"/>
    <w:rsid w:val="00FE4CF2"/>
    <w:rsid w:val="00FE62AD"/>
    <w:rsid w:val="00FE642B"/>
    <w:rsid w:val="00FF0635"/>
    <w:rsid w:val="027F5976"/>
    <w:rsid w:val="065C845A"/>
    <w:rsid w:val="09C2A411"/>
    <w:rsid w:val="0C7E2067"/>
    <w:rsid w:val="0DA7379B"/>
    <w:rsid w:val="121D4FB0"/>
    <w:rsid w:val="143BD311"/>
    <w:rsid w:val="16E4D07C"/>
    <w:rsid w:val="1B5EE7D8"/>
    <w:rsid w:val="1B879BDB"/>
    <w:rsid w:val="1E08AD1C"/>
    <w:rsid w:val="1E9D3FAB"/>
    <w:rsid w:val="1F77F484"/>
    <w:rsid w:val="20AC6681"/>
    <w:rsid w:val="218D62BF"/>
    <w:rsid w:val="24F2C96C"/>
    <w:rsid w:val="28D08F3C"/>
    <w:rsid w:val="29BF7D14"/>
    <w:rsid w:val="2DE5C8E9"/>
    <w:rsid w:val="2E623E52"/>
    <w:rsid w:val="2EBE1149"/>
    <w:rsid w:val="325C75B1"/>
    <w:rsid w:val="3293AB7C"/>
    <w:rsid w:val="3717BC17"/>
    <w:rsid w:val="38673052"/>
    <w:rsid w:val="3A341117"/>
    <w:rsid w:val="3BF9F485"/>
    <w:rsid w:val="3C34E9D4"/>
    <w:rsid w:val="3C7A3419"/>
    <w:rsid w:val="460047D9"/>
    <w:rsid w:val="4810D26F"/>
    <w:rsid w:val="4856DA9F"/>
    <w:rsid w:val="48E090AC"/>
    <w:rsid w:val="48FC872F"/>
    <w:rsid w:val="4ACB84EC"/>
    <w:rsid w:val="4E4C4C53"/>
    <w:rsid w:val="5380AB52"/>
    <w:rsid w:val="5694AB80"/>
    <w:rsid w:val="597A1B22"/>
    <w:rsid w:val="5A8103A5"/>
    <w:rsid w:val="5AD4EAE8"/>
    <w:rsid w:val="606E97AB"/>
    <w:rsid w:val="6137AED2"/>
    <w:rsid w:val="634C25BB"/>
    <w:rsid w:val="63B61817"/>
    <w:rsid w:val="668A1BA4"/>
    <w:rsid w:val="66BE9AD0"/>
    <w:rsid w:val="6A2244E3"/>
    <w:rsid w:val="6BC6EFBB"/>
    <w:rsid w:val="6C46C811"/>
    <w:rsid w:val="6CAC2724"/>
    <w:rsid w:val="6DE9EE09"/>
    <w:rsid w:val="6E16A34B"/>
    <w:rsid w:val="6F386F58"/>
    <w:rsid w:val="6F71EA5F"/>
    <w:rsid w:val="772A0685"/>
    <w:rsid w:val="7A018CCD"/>
    <w:rsid w:val="7DA0160D"/>
    <w:rsid w:val="7FE5ED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12575"/>
  <w15:docId w15:val="{7ECEF892-C972-4B2F-8266-2F47855DB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val="es-AR"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0">
    <w:name w:val="Table Normal0"/>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uentedeprrafopredeter"/>
    <w:link w:val="SubtituloInterno1"/>
    <w:rsid w:val="0078702D"/>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table" w:styleId="Tablanormal2">
    <w:name w:val="Plain Table 2"/>
    <w:basedOn w:val="Tablanormal"/>
    <w:uiPriority w:val="42"/>
    <w:rsid w:val="00F37D47"/>
    <w:rPr>
      <w:rFonts w:asciiTheme="minorHAnsi" w:eastAsiaTheme="minorHAnsi" w:hAnsiTheme="minorHAnsi" w:cstheme="minorBidi"/>
      <w:kern w:val="2"/>
      <w:sz w:val="22"/>
      <w:szCs w:val="22"/>
      <w:lang w:val="es-ES"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5D633F"/>
    <w:pPr>
      <w:spacing w:after="160" w:line="259" w:lineRule="auto"/>
      <w:ind w:left="720"/>
      <w:contextualSpacing/>
    </w:pPr>
    <w:rPr>
      <w:rFonts w:asciiTheme="minorHAnsi" w:eastAsiaTheme="minorHAnsi" w:hAnsiTheme="minorHAnsi" w:cstheme="minorBidi"/>
      <w:kern w:val="2"/>
      <w:sz w:val="22"/>
      <w:szCs w:val="22"/>
      <w:lang w:val="es-CL" w:eastAsia="en-US"/>
      <w14:ligatures w14:val="standardContextual"/>
    </w:rPr>
  </w:style>
  <w:style w:type="paragraph" w:customStyle="1" w:styleId="TextoInv">
    <w:name w:val="Texto Inv."/>
    <w:basedOn w:val="Prrafodelista"/>
    <w:link w:val="TextoInvCar"/>
    <w:qFormat/>
    <w:rsid w:val="005D633F"/>
    <w:pPr>
      <w:spacing w:after="200" w:line="276" w:lineRule="auto"/>
      <w:ind w:left="0"/>
      <w:jc w:val="both"/>
    </w:pPr>
    <w:rPr>
      <w:rFonts w:ascii="Arial" w:eastAsia="Calibri" w:hAnsi="Arial" w:cs="Arial"/>
      <w:kern w:val="0"/>
      <w:sz w:val="20"/>
    </w:rPr>
  </w:style>
  <w:style w:type="character" w:customStyle="1" w:styleId="TextoInvCar">
    <w:name w:val="Texto Inv. Car"/>
    <w:link w:val="TextoInv"/>
    <w:rsid w:val="005D633F"/>
    <w:rPr>
      <w:rFonts w:ascii="Arial" w:eastAsia="Calibri" w:hAnsi="Arial" w:cs="Arial"/>
      <w:sz w:val="20"/>
      <w:szCs w:val="22"/>
      <w:lang w:val="es-CL" w:eastAsia="en-US"/>
      <w14:ligatures w14:val="standardContextual"/>
    </w:rPr>
  </w:style>
  <w:style w:type="character" w:customStyle="1" w:styleId="url">
    <w:name w:val="url"/>
    <w:basedOn w:val="Fuentedeprrafopredeter"/>
    <w:rsid w:val="005D633F"/>
  </w:style>
  <w:style w:type="character" w:styleId="Hipervnculovisitado">
    <w:name w:val="FollowedHyperlink"/>
    <w:basedOn w:val="Fuentedeprrafopredeter"/>
    <w:uiPriority w:val="99"/>
    <w:semiHidden/>
    <w:unhideWhenUsed/>
    <w:rsid w:val="00044BB9"/>
    <w:rPr>
      <w:color w:val="954F72" w:themeColor="followedHyperlink"/>
      <w:u w:val="single"/>
    </w:rPr>
  </w:style>
  <w:style w:type="paragraph" w:styleId="Revisin">
    <w:name w:val="Revision"/>
    <w:hidden/>
    <w:uiPriority w:val="99"/>
    <w:semiHidden/>
    <w:rsid w:val="00307BF4"/>
    <w:rPr>
      <w:lang w:val="es-AR"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822267">
      <w:bodyDiv w:val="1"/>
      <w:marLeft w:val="0"/>
      <w:marRight w:val="0"/>
      <w:marTop w:val="0"/>
      <w:marBottom w:val="0"/>
      <w:divBdr>
        <w:top w:val="none" w:sz="0" w:space="0" w:color="auto"/>
        <w:left w:val="none" w:sz="0" w:space="0" w:color="auto"/>
        <w:bottom w:val="none" w:sz="0" w:space="0" w:color="auto"/>
        <w:right w:val="none" w:sz="0" w:space="0" w:color="auto"/>
      </w:divBdr>
      <w:divsChild>
        <w:div w:id="1191798805">
          <w:marLeft w:val="-720"/>
          <w:marRight w:val="0"/>
          <w:marTop w:val="0"/>
          <w:marBottom w:val="0"/>
          <w:divBdr>
            <w:top w:val="none" w:sz="0" w:space="0" w:color="auto"/>
            <w:left w:val="none" w:sz="0" w:space="0" w:color="auto"/>
            <w:bottom w:val="none" w:sz="0" w:space="0" w:color="auto"/>
            <w:right w:val="none" w:sz="0" w:space="0" w:color="auto"/>
          </w:divBdr>
        </w:div>
      </w:divsChild>
    </w:div>
    <w:div w:id="507184154">
      <w:bodyDiv w:val="1"/>
      <w:marLeft w:val="0"/>
      <w:marRight w:val="0"/>
      <w:marTop w:val="0"/>
      <w:marBottom w:val="0"/>
      <w:divBdr>
        <w:top w:val="none" w:sz="0" w:space="0" w:color="auto"/>
        <w:left w:val="none" w:sz="0" w:space="0" w:color="auto"/>
        <w:bottom w:val="none" w:sz="0" w:space="0" w:color="auto"/>
        <w:right w:val="none" w:sz="0" w:space="0" w:color="auto"/>
      </w:divBdr>
      <w:divsChild>
        <w:div w:id="814762400">
          <w:marLeft w:val="-720"/>
          <w:marRight w:val="0"/>
          <w:marTop w:val="0"/>
          <w:marBottom w:val="0"/>
          <w:divBdr>
            <w:top w:val="none" w:sz="0" w:space="0" w:color="auto"/>
            <w:left w:val="none" w:sz="0" w:space="0" w:color="auto"/>
            <w:bottom w:val="none" w:sz="0" w:space="0" w:color="auto"/>
            <w:right w:val="none" w:sz="0" w:space="0" w:color="auto"/>
          </w:divBdr>
        </w:div>
      </w:divsChild>
    </w:div>
    <w:div w:id="524440867">
      <w:bodyDiv w:val="1"/>
      <w:marLeft w:val="0"/>
      <w:marRight w:val="0"/>
      <w:marTop w:val="0"/>
      <w:marBottom w:val="0"/>
      <w:divBdr>
        <w:top w:val="none" w:sz="0" w:space="0" w:color="auto"/>
        <w:left w:val="none" w:sz="0" w:space="0" w:color="auto"/>
        <w:bottom w:val="none" w:sz="0" w:space="0" w:color="auto"/>
        <w:right w:val="none" w:sz="0" w:space="0" w:color="auto"/>
      </w:divBdr>
      <w:divsChild>
        <w:div w:id="510216001">
          <w:marLeft w:val="-720"/>
          <w:marRight w:val="0"/>
          <w:marTop w:val="0"/>
          <w:marBottom w:val="0"/>
          <w:divBdr>
            <w:top w:val="none" w:sz="0" w:space="0" w:color="auto"/>
            <w:left w:val="none" w:sz="0" w:space="0" w:color="auto"/>
            <w:bottom w:val="none" w:sz="0" w:space="0" w:color="auto"/>
            <w:right w:val="none" w:sz="0" w:space="0" w:color="auto"/>
          </w:divBdr>
        </w:div>
      </w:divsChild>
    </w:div>
    <w:div w:id="760637828">
      <w:bodyDiv w:val="1"/>
      <w:marLeft w:val="0"/>
      <w:marRight w:val="0"/>
      <w:marTop w:val="0"/>
      <w:marBottom w:val="0"/>
      <w:divBdr>
        <w:top w:val="none" w:sz="0" w:space="0" w:color="auto"/>
        <w:left w:val="none" w:sz="0" w:space="0" w:color="auto"/>
        <w:bottom w:val="none" w:sz="0" w:space="0" w:color="auto"/>
        <w:right w:val="none" w:sz="0" w:space="0" w:color="auto"/>
      </w:divBdr>
      <w:divsChild>
        <w:div w:id="473761283">
          <w:marLeft w:val="-720"/>
          <w:marRight w:val="0"/>
          <w:marTop w:val="0"/>
          <w:marBottom w:val="0"/>
          <w:divBdr>
            <w:top w:val="none" w:sz="0" w:space="0" w:color="auto"/>
            <w:left w:val="none" w:sz="0" w:space="0" w:color="auto"/>
            <w:bottom w:val="none" w:sz="0" w:space="0" w:color="auto"/>
            <w:right w:val="none" w:sz="0" w:space="0" w:color="auto"/>
          </w:divBdr>
        </w:div>
      </w:divsChild>
    </w:div>
    <w:div w:id="763497077">
      <w:bodyDiv w:val="1"/>
      <w:marLeft w:val="0"/>
      <w:marRight w:val="0"/>
      <w:marTop w:val="0"/>
      <w:marBottom w:val="0"/>
      <w:divBdr>
        <w:top w:val="none" w:sz="0" w:space="0" w:color="auto"/>
        <w:left w:val="none" w:sz="0" w:space="0" w:color="auto"/>
        <w:bottom w:val="none" w:sz="0" w:space="0" w:color="auto"/>
        <w:right w:val="none" w:sz="0" w:space="0" w:color="auto"/>
      </w:divBdr>
      <w:divsChild>
        <w:div w:id="1375495520">
          <w:marLeft w:val="-720"/>
          <w:marRight w:val="0"/>
          <w:marTop w:val="0"/>
          <w:marBottom w:val="0"/>
          <w:divBdr>
            <w:top w:val="none" w:sz="0" w:space="0" w:color="auto"/>
            <w:left w:val="none" w:sz="0" w:space="0" w:color="auto"/>
            <w:bottom w:val="none" w:sz="0" w:space="0" w:color="auto"/>
            <w:right w:val="none" w:sz="0" w:space="0" w:color="auto"/>
          </w:divBdr>
        </w:div>
      </w:divsChild>
    </w:div>
    <w:div w:id="804663179">
      <w:bodyDiv w:val="1"/>
      <w:marLeft w:val="0"/>
      <w:marRight w:val="0"/>
      <w:marTop w:val="0"/>
      <w:marBottom w:val="0"/>
      <w:divBdr>
        <w:top w:val="none" w:sz="0" w:space="0" w:color="auto"/>
        <w:left w:val="none" w:sz="0" w:space="0" w:color="auto"/>
        <w:bottom w:val="none" w:sz="0" w:space="0" w:color="auto"/>
        <w:right w:val="none" w:sz="0" w:space="0" w:color="auto"/>
      </w:divBdr>
      <w:divsChild>
        <w:div w:id="1203977889">
          <w:marLeft w:val="-720"/>
          <w:marRight w:val="0"/>
          <w:marTop w:val="0"/>
          <w:marBottom w:val="0"/>
          <w:divBdr>
            <w:top w:val="none" w:sz="0" w:space="0" w:color="auto"/>
            <w:left w:val="none" w:sz="0" w:space="0" w:color="auto"/>
            <w:bottom w:val="none" w:sz="0" w:space="0" w:color="auto"/>
            <w:right w:val="none" w:sz="0" w:space="0" w:color="auto"/>
          </w:divBdr>
        </w:div>
      </w:divsChild>
    </w:div>
    <w:div w:id="810753980">
      <w:bodyDiv w:val="1"/>
      <w:marLeft w:val="0"/>
      <w:marRight w:val="0"/>
      <w:marTop w:val="0"/>
      <w:marBottom w:val="0"/>
      <w:divBdr>
        <w:top w:val="none" w:sz="0" w:space="0" w:color="auto"/>
        <w:left w:val="none" w:sz="0" w:space="0" w:color="auto"/>
        <w:bottom w:val="none" w:sz="0" w:space="0" w:color="auto"/>
        <w:right w:val="none" w:sz="0" w:space="0" w:color="auto"/>
      </w:divBdr>
      <w:divsChild>
        <w:div w:id="1247230334">
          <w:marLeft w:val="-720"/>
          <w:marRight w:val="0"/>
          <w:marTop w:val="0"/>
          <w:marBottom w:val="0"/>
          <w:divBdr>
            <w:top w:val="none" w:sz="0" w:space="0" w:color="auto"/>
            <w:left w:val="none" w:sz="0" w:space="0" w:color="auto"/>
            <w:bottom w:val="none" w:sz="0" w:space="0" w:color="auto"/>
            <w:right w:val="none" w:sz="0" w:space="0" w:color="auto"/>
          </w:divBdr>
        </w:div>
      </w:divsChild>
    </w:div>
    <w:div w:id="974457442">
      <w:bodyDiv w:val="1"/>
      <w:marLeft w:val="0"/>
      <w:marRight w:val="0"/>
      <w:marTop w:val="0"/>
      <w:marBottom w:val="0"/>
      <w:divBdr>
        <w:top w:val="none" w:sz="0" w:space="0" w:color="auto"/>
        <w:left w:val="none" w:sz="0" w:space="0" w:color="auto"/>
        <w:bottom w:val="none" w:sz="0" w:space="0" w:color="auto"/>
        <w:right w:val="none" w:sz="0" w:space="0" w:color="auto"/>
      </w:divBdr>
      <w:divsChild>
        <w:div w:id="1738623236">
          <w:marLeft w:val="-720"/>
          <w:marRight w:val="0"/>
          <w:marTop w:val="0"/>
          <w:marBottom w:val="0"/>
          <w:divBdr>
            <w:top w:val="none" w:sz="0" w:space="0" w:color="auto"/>
            <w:left w:val="none" w:sz="0" w:space="0" w:color="auto"/>
            <w:bottom w:val="none" w:sz="0" w:space="0" w:color="auto"/>
            <w:right w:val="none" w:sz="0" w:space="0" w:color="auto"/>
          </w:divBdr>
        </w:div>
      </w:divsChild>
    </w:div>
    <w:div w:id="1187451459">
      <w:bodyDiv w:val="1"/>
      <w:marLeft w:val="0"/>
      <w:marRight w:val="0"/>
      <w:marTop w:val="0"/>
      <w:marBottom w:val="0"/>
      <w:divBdr>
        <w:top w:val="none" w:sz="0" w:space="0" w:color="auto"/>
        <w:left w:val="none" w:sz="0" w:space="0" w:color="auto"/>
        <w:bottom w:val="none" w:sz="0" w:space="0" w:color="auto"/>
        <w:right w:val="none" w:sz="0" w:space="0" w:color="auto"/>
      </w:divBdr>
      <w:divsChild>
        <w:div w:id="284316099">
          <w:marLeft w:val="-720"/>
          <w:marRight w:val="0"/>
          <w:marTop w:val="0"/>
          <w:marBottom w:val="0"/>
          <w:divBdr>
            <w:top w:val="none" w:sz="0" w:space="0" w:color="auto"/>
            <w:left w:val="none" w:sz="0" w:space="0" w:color="auto"/>
            <w:bottom w:val="none" w:sz="0" w:space="0" w:color="auto"/>
            <w:right w:val="none" w:sz="0" w:space="0" w:color="auto"/>
          </w:divBdr>
        </w:div>
      </w:divsChild>
    </w:div>
    <w:div w:id="1218320279">
      <w:bodyDiv w:val="1"/>
      <w:marLeft w:val="0"/>
      <w:marRight w:val="0"/>
      <w:marTop w:val="0"/>
      <w:marBottom w:val="0"/>
      <w:divBdr>
        <w:top w:val="none" w:sz="0" w:space="0" w:color="auto"/>
        <w:left w:val="none" w:sz="0" w:space="0" w:color="auto"/>
        <w:bottom w:val="none" w:sz="0" w:space="0" w:color="auto"/>
        <w:right w:val="none" w:sz="0" w:space="0" w:color="auto"/>
      </w:divBdr>
      <w:divsChild>
        <w:div w:id="857696218">
          <w:marLeft w:val="-720"/>
          <w:marRight w:val="0"/>
          <w:marTop w:val="0"/>
          <w:marBottom w:val="0"/>
          <w:divBdr>
            <w:top w:val="none" w:sz="0" w:space="0" w:color="auto"/>
            <w:left w:val="none" w:sz="0" w:space="0" w:color="auto"/>
            <w:bottom w:val="none" w:sz="0" w:space="0" w:color="auto"/>
            <w:right w:val="none" w:sz="0" w:space="0" w:color="auto"/>
          </w:divBdr>
        </w:div>
      </w:divsChild>
    </w:div>
    <w:div w:id="1332216624">
      <w:bodyDiv w:val="1"/>
      <w:marLeft w:val="0"/>
      <w:marRight w:val="0"/>
      <w:marTop w:val="0"/>
      <w:marBottom w:val="0"/>
      <w:divBdr>
        <w:top w:val="none" w:sz="0" w:space="0" w:color="auto"/>
        <w:left w:val="none" w:sz="0" w:space="0" w:color="auto"/>
        <w:bottom w:val="none" w:sz="0" w:space="0" w:color="auto"/>
        <w:right w:val="none" w:sz="0" w:space="0" w:color="auto"/>
      </w:divBdr>
      <w:divsChild>
        <w:div w:id="979992323">
          <w:marLeft w:val="-720"/>
          <w:marRight w:val="0"/>
          <w:marTop w:val="0"/>
          <w:marBottom w:val="0"/>
          <w:divBdr>
            <w:top w:val="none" w:sz="0" w:space="0" w:color="auto"/>
            <w:left w:val="none" w:sz="0" w:space="0" w:color="auto"/>
            <w:bottom w:val="none" w:sz="0" w:space="0" w:color="auto"/>
            <w:right w:val="none" w:sz="0" w:space="0" w:color="auto"/>
          </w:divBdr>
        </w:div>
      </w:divsChild>
    </w:div>
    <w:div w:id="1453090267">
      <w:bodyDiv w:val="1"/>
      <w:marLeft w:val="0"/>
      <w:marRight w:val="0"/>
      <w:marTop w:val="0"/>
      <w:marBottom w:val="0"/>
      <w:divBdr>
        <w:top w:val="none" w:sz="0" w:space="0" w:color="auto"/>
        <w:left w:val="none" w:sz="0" w:space="0" w:color="auto"/>
        <w:bottom w:val="none" w:sz="0" w:space="0" w:color="auto"/>
        <w:right w:val="none" w:sz="0" w:space="0" w:color="auto"/>
      </w:divBdr>
      <w:divsChild>
        <w:div w:id="589853149">
          <w:marLeft w:val="-720"/>
          <w:marRight w:val="0"/>
          <w:marTop w:val="0"/>
          <w:marBottom w:val="0"/>
          <w:divBdr>
            <w:top w:val="none" w:sz="0" w:space="0" w:color="auto"/>
            <w:left w:val="none" w:sz="0" w:space="0" w:color="auto"/>
            <w:bottom w:val="none" w:sz="0" w:space="0" w:color="auto"/>
            <w:right w:val="none" w:sz="0" w:space="0" w:color="auto"/>
          </w:divBdr>
        </w:div>
      </w:divsChild>
    </w:div>
    <w:div w:id="1454328079">
      <w:bodyDiv w:val="1"/>
      <w:marLeft w:val="0"/>
      <w:marRight w:val="0"/>
      <w:marTop w:val="0"/>
      <w:marBottom w:val="0"/>
      <w:divBdr>
        <w:top w:val="none" w:sz="0" w:space="0" w:color="auto"/>
        <w:left w:val="none" w:sz="0" w:space="0" w:color="auto"/>
        <w:bottom w:val="none" w:sz="0" w:space="0" w:color="auto"/>
        <w:right w:val="none" w:sz="0" w:space="0" w:color="auto"/>
      </w:divBdr>
      <w:divsChild>
        <w:div w:id="906842340">
          <w:marLeft w:val="-720"/>
          <w:marRight w:val="0"/>
          <w:marTop w:val="0"/>
          <w:marBottom w:val="0"/>
          <w:divBdr>
            <w:top w:val="none" w:sz="0" w:space="0" w:color="auto"/>
            <w:left w:val="none" w:sz="0" w:space="0" w:color="auto"/>
            <w:bottom w:val="none" w:sz="0" w:space="0" w:color="auto"/>
            <w:right w:val="none" w:sz="0" w:space="0" w:color="auto"/>
          </w:divBdr>
        </w:div>
      </w:divsChild>
    </w:div>
    <w:div w:id="1526168779">
      <w:bodyDiv w:val="1"/>
      <w:marLeft w:val="0"/>
      <w:marRight w:val="0"/>
      <w:marTop w:val="0"/>
      <w:marBottom w:val="0"/>
      <w:divBdr>
        <w:top w:val="none" w:sz="0" w:space="0" w:color="auto"/>
        <w:left w:val="none" w:sz="0" w:space="0" w:color="auto"/>
        <w:bottom w:val="none" w:sz="0" w:space="0" w:color="auto"/>
        <w:right w:val="none" w:sz="0" w:space="0" w:color="auto"/>
      </w:divBdr>
      <w:divsChild>
        <w:div w:id="1932202331">
          <w:marLeft w:val="-720"/>
          <w:marRight w:val="0"/>
          <w:marTop w:val="0"/>
          <w:marBottom w:val="0"/>
          <w:divBdr>
            <w:top w:val="none" w:sz="0" w:space="0" w:color="auto"/>
            <w:left w:val="none" w:sz="0" w:space="0" w:color="auto"/>
            <w:bottom w:val="none" w:sz="0" w:space="0" w:color="auto"/>
            <w:right w:val="none" w:sz="0" w:space="0" w:color="auto"/>
          </w:divBdr>
        </w:div>
      </w:divsChild>
    </w:div>
    <w:div w:id="1690140199">
      <w:bodyDiv w:val="1"/>
      <w:marLeft w:val="0"/>
      <w:marRight w:val="0"/>
      <w:marTop w:val="0"/>
      <w:marBottom w:val="0"/>
      <w:divBdr>
        <w:top w:val="none" w:sz="0" w:space="0" w:color="auto"/>
        <w:left w:val="none" w:sz="0" w:space="0" w:color="auto"/>
        <w:bottom w:val="none" w:sz="0" w:space="0" w:color="auto"/>
        <w:right w:val="none" w:sz="0" w:space="0" w:color="auto"/>
      </w:divBdr>
      <w:divsChild>
        <w:div w:id="706836297">
          <w:marLeft w:val="-720"/>
          <w:marRight w:val="0"/>
          <w:marTop w:val="0"/>
          <w:marBottom w:val="0"/>
          <w:divBdr>
            <w:top w:val="none" w:sz="0" w:space="0" w:color="auto"/>
            <w:left w:val="none" w:sz="0" w:space="0" w:color="auto"/>
            <w:bottom w:val="none" w:sz="0" w:space="0" w:color="auto"/>
            <w:right w:val="none" w:sz="0" w:space="0" w:color="auto"/>
          </w:divBdr>
        </w:div>
      </w:divsChild>
    </w:div>
    <w:div w:id="1764259140">
      <w:bodyDiv w:val="1"/>
      <w:marLeft w:val="0"/>
      <w:marRight w:val="0"/>
      <w:marTop w:val="0"/>
      <w:marBottom w:val="0"/>
      <w:divBdr>
        <w:top w:val="none" w:sz="0" w:space="0" w:color="auto"/>
        <w:left w:val="none" w:sz="0" w:space="0" w:color="auto"/>
        <w:bottom w:val="none" w:sz="0" w:space="0" w:color="auto"/>
        <w:right w:val="none" w:sz="0" w:space="0" w:color="auto"/>
      </w:divBdr>
      <w:divsChild>
        <w:div w:id="1435056662">
          <w:marLeft w:val="-720"/>
          <w:marRight w:val="0"/>
          <w:marTop w:val="0"/>
          <w:marBottom w:val="0"/>
          <w:divBdr>
            <w:top w:val="none" w:sz="0" w:space="0" w:color="auto"/>
            <w:left w:val="none" w:sz="0" w:space="0" w:color="auto"/>
            <w:bottom w:val="none" w:sz="0" w:space="0" w:color="auto"/>
            <w:right w:val="none" w:sz="0" w:space="0" w:color="auto"/>
          </w:divBdr>
        </w:div>
      </w:divsChild>
    </w:div>
    <w:div w:id="1772626148">
      <w:bodyDiv w:val="1"/>
      <w:marLeft w:val="0"/>
      <w:marRight w:val="0"/>
      <w:marTop w:val="0"/>
      <w:marBottom w:val="0"/>
      <w:divBdr>
        <w:top w:val="none" w:sz="0" w:space="0" w:color="auto"/>
        <w:left w:val="none" w:sz="0" w:space="0" w:color="auto"/>
        <w:bottom w:val="none" w:sz="0" w:space="0" w:color="auto"/>
        <w:right w:val="none" w:sz="0" w:space="0" w:color="auto"/>
      </w:divBdr>
      <w:divsChild>
        <w:div w:id="1440374900">
          <w:marLeft w:val="-720"/>
          <w:marRight w:val="0"/>
          <w:marTop w:val="0"/>
          <w:marBottom w:val="0"/>
          <w:divBdr>
            <w:top w:val="none" w:sz="0" w:space="0" w:color="auto"/>
            <w:left w:val="none" w:sz="0" w:space="0" w:color="auto"/>
            <w:bottom w:val="none" w:sz="0" w:space="0" w:color="auto"/>
            <w:right w:val="none" w:sz="0" w:space="0" w:color="auto"/>
          </w:divBdr>
        </w:div>
      </w:divsChild>
    </w:div>
    <w:div w:id="1850632058">
      <w:bodyDiv w:val="1"/>
      <w:marLeft w:val="0"/>
      <w:marRight w:val="0"/>
      <w:marTop w:val="0"/>
      <w:marBottom w:val="0"/>
      <w:divBdr>
        <w:top w:val="none" w:sz="0" w:space="0" w:color="auto"/>
        <w:left w:val="none" w:sz="0" w:space="0" w:color="auto"/>
        <w:bottom w:val="none" w:sz="0" w:space="0" w:color="auto"/>
        <w:right w:val="none" w:sz="0" w:space="0" w:color="auto"/>
      </w:divBdr>
      <w:divsChild>
        <w:div w:id="165095463">
          <w:marLeft w:val="-720"/>
          <w:marRight w:val="0"/>
          <w:marTop w:val="0"/>
          <w:marBottom w:val="0"/>
          <w:divBdr>
            <w:top w:val="none" w:sz="0" w:space="0" w:color="auto"/>
            <w:left w:val="none" w:sz="0" w:space="0" w:color="auto"/>
            <w:bottom w:val="none" w:sz="0" w:space="0" w:color="auto"/>
            <w:right w:val="none" w:sz="0" w:space="0" w:color="auto"/>
          </w:divBdr>
        </w:div>
      </w:divsChild>
    </w:div>
    <w:div w:id="1870558409">
      <w:bodyDiv w:val="1"/>
      <w:marLeft w:val="0"/>
      <w:marRight w:val="0"/>
      <w:marTop w:val="0"/>
      <w:marBottom w:val="0"/>
      <w:divBdr>
        <w:top w:val="none" w:sz="0" w:space="0" w:color="auto"/>
        <w:left w:val="none" w:sz="0" w:space="0" w:color="auto"/>
        <w:bottom w:val="none" w:sz="0" w:space="0" w:color="auto"/>
        <w:right w:val="none" w:sz="0" w:space="0" w:color="auto"/>
      </w:divBdr>
      <w:divsChild>
        <w:div w:id="11927628">
          <w:marLeft w:val="-720"/>
          <w:marRight w:val="0"/>
          <w:marTop w:val="0"/>
          <w:marBottom w:val="0"/>
          <w:divBdr>
            <w:top w:val="none" w:sz="0" w:space="0" w:color="auto"/>
            <w:left w:val="none" w:sz="0" w:space="0" w:color="auto"/>
            <w:bottom w:val="none" w:sz="0" w:space="0" w:color="auto"/>
            <w:right w:val="none" w:sz="0" w:space="0" w:color="auto"/>
          </w:divBdr>
        </w:div>
      </w:divsChild>
    </w:div>
    <w:div w:id="1936134751">
      <w:bodyDiv w:val="1"/>
      <w:marLeft w:val="0"/>
      <w:marRight w:val="0"/>
      <w:marTop w:val="0"/>
      <w:marBottom w:val="0"/>
      <w:divBdr>
        <w:top w:val="none" w:sz="0" w:space="0" w:color="auto"/>
        <w:left w:val="none" w:sz="0" w:space="0" w:color="auto"/>
        <w:bottom w:val="none" w:sz="0" w:space="0" w:color="auto"/>
        <w:right w:val="none" w:sz="0" w:space="0" w:color="auto"/>
      </w:divBdr>
      <w:divsChild>
        <w:div w:id="1982496680">
          <w:marLeft w:val="-720"/>
          <w:marRight w:val="0"/>
          <w:marTop w:val="0"/>
          <w:marBottom w:val="0"/>
          <w:divBdr>
            <w:top w:val="none" w:sz="0" w:space="0" w:color="auto"/>
            <w:left w:val="none" w:sz="0" w:space="0" w:color="auto"/>
            <w:bottom w:val="none" w:sz="0" w:space="0" w:color="auto"/>
            <w:right w:val="none" w:sz="0" w:space="0" w:color="auto"/>
          </w:divBdr>
        </w:div>
      </w:divsChild>
    </w:div>
    <w:div w:id="2077163640">
      <w:bodyDiv w:val="1"/>
      <w:marLeft w:val="0"/>
      <w:marRight w:val="0"/>
      <w:marTop w:val="0"/>
      <w:marBottom w:val="0"/>
      <w:divBdr>
        <w:top w:val="none" w:sz="0" w:space="0" w:color="auto"/>
        <w:left w:val="none" w:sz="0" w:space="0" w:color="auto"/>
        <w:bottom w:val="none" w:sz="0" w:space="0" w:color="auto"/>
        <w:right w:val="none" w:sz="0" w:space="0" w:color="auto"/>
      </w:divBdr>
      <w:divsChild>
        <w:div w:id="284895014">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atos.bancomundial.org/indicador/SH.STA.SUIC.P5?locations=CL" TargetMode="External"/><Relationship Id="rId18" Type="http://schemas.openxmlformats.org/officeDocument/2006/relationships/hyperlink" Target="https://doi.org/10.21500/19002386.4824" TargetMode="External"/><Relationship Id="rId26" Type="http://schemas.openxmlformats.org/officeDocument/2006/relationships/hyperlink" Target="https://doi.org/10.3389/fpsyt.2021.723435" TargetMode="External"/><Relationship Id="rId39" Type="http://schemas.microsoft.com/office/2020/10/relationships/intelligence" Target="intelligence2.xml"/><Relationship Id="rId21" Type="http://schemas.openxmlformats.org/officeDocument/2006/relationships/hyperlink" Target="https://doi.org/10.1037/pro0000265"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doi.org/10.1080/23311908.2025.2480418" TargetMode="External"/><Relationship Id="rId17" Type="http://schemas.openxmlformats.org/officeDocument/2006/relationships/hyperlink" Target="https://doi.org/10.1176/ps.62.6.pss6206_0606" TargetMode="External"/><Relationship Id="rId25" Type="http://schemas.openxmlformats.org/officeDocument/2006/relationships/hyperlink" Target="https://doi.org/10.54255/lim.vol8.num15.371"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x.doi.org/10.4321/s0211-57352021000100005" TargetMode="External"/><Relationship Id="rId20" Type="http://schemas.openxmlformats.org/officeDocument/2006/relationships/hyperlink" Target="https://doi.org/10.1007/978-3-319-47976-7_7" TargetMode="External"/><Relationship Id="rId29" Type="http://schemas.openxmlformats.org/officeDocument/2006/relationships/hyperlink" Target="https://www.who.int/es/news-room/fact-sheets/detail/suici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16/j.semerg.2018.05.005" TargetMode="External"/><Relationship Id="rId24" Type="http://schemas.openxmlformats.org/officeDocument/2006/relationships/hyperlink" Target="https://iris.paho.org/bitstream/handle/10665.2/54141/9789275318508_spa.pdf?sequence=1&amp;isAllowed=y" TargetMode="External"/><Relationship Id="rId32" Type="http://schemas.openxmlformats.org/officeDocument/2006/relationships/hyperlink" Target="https://doi.org/10.1016/j.cpr.2020.101815"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35946/arcr.v41.1.09" TargetMode="External"/><Relationship Id="rId23" Type="http://schemas.openxmlformats.org/officeDocument/2006/relationships/hyperlink" Target="https://doi.org/10.3389/fpsyg.2019.00277" TargetMode="External"/><Relationship Id="rId28" Type="http://schemas.openxmlformats.org/officeDocument/2006/relationships/hyperlink" Target="https://doi.org/10.1016/j.conctc.2023.101193" TargetMode="External"/><Relationship Id="rId36" Type="http://schemas.openxmlformats.org/officeDocument/2006/relationships/footer" Target="footer2.xml"/><Relationship Id="rId10" Type="http://schemas.openxmlformats.org/officeDocument/2006/relationships/hyperlink" Target="https://doi.org/10.1007/s11920-023-01461-5" TargetMode="External"/><Relationship Id="rId19" Type="http://schemas.openxmlformats.org/officeDocument/2006/relationships/hyperlink" Target="https://doi.org/10.3389/fpsyt.2023.1162288" TargetMode="External"/><Relationship Id="rId31" Type="http://schemas.openxmlformats.org/officeDocument/2006/relationships/hyperlink" Target="https://www.ohchr.org/es/stories/2020/12/human-rights-heart-recover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35946/arcr.v41.1.09" TargetMode="External"/><Relationship Id="rId22" Type="http://schemas.openxmlformats.org/officeDocument/2006/relationships/hyperlink" Target="https://sibib2.ucm.cl:2106/10.1111/j.1365-2648.2008.04773.x" TargetMode="External"/><Relationship Id="rId27" Type="http://schemas.openxmlformats.org/officeDocument/2006/relationships/hyperlink" Target="https://doi.org/10.4067/s0034-98872019000100053" TargetMode="External"/><Relationship Id="rId30" Type="http://schemas.openxmlformats.org/officeDocument/2006/relationships/hyperlink" Target="https://www.who.int/publications/i/item/9789240026643"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59F54D-1D4D-403E-885D-DDC67F048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19</Pages>
  <Words>8144</Words>
  <Characters>44795</Characters>
  <Application>Microsoft Office Word</Application>
  <DocSecurity>0</DocSecurity>
  <Lines>373</Lines>
  <Paragraphs>105</Paragraphs>
  <ScaleCrop>false</ScaleCrop>
  <Company/>
  <LinksUpToDate>false</LinksUpToDate>
  <CharactersWithSpaces>52834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ORIANA Arellano</cp:lastModifiedBy>
  <cp:revision>247</cp:revision>
  <dcterms:created xsi:type="dcterms:W3CDTF">2025-03-27T03:23:00Z</dcterms:created>
  <dcterms:modified xsi:type="dcterms:W3CDTF">2025-04-28T18:31:00Z</dcterms:modified>
</cp:coreProperties>
</file>