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2EB" w:rsidRDefault="00932784">
      <w:pPr>
        <w:pBdr>
          <w:top w:val="nil"/>
          <w:left w:val="nil"/>
          <w:bottom w:val="nil"/>
          <w:right w:val="nil"/>
          <w:between w:val="nil"/>
        </w:pBdr>
        <w:jc w:val="center"/>
        <w:rPr>
          <w:b/>
          <w:color w:val="000000"/>
          <w:sz w:val="36"/>
          <w:szCs w:val="36"/>
        </w:rPr>
      </w:pPr>
      <w:r>
        <w:rPr>
          <w:b/>
          <w:sz w:val="36"/>
          <w:szCs w:val="36"/>
        </w:rPr>
        <w:t>Association between Obsessive</w:t>
      </w:r>
      <w:r>
        <w:rPr>
          <w:b/>
          <w:color w:val="000000"/>
          <w:sz w:val="36"/>
          <w:szCs w:val="36"/>
        </w:rPr>
        <w:t>-</w:t>
      </w:r>
      <w:r>
        <w:rPr>
          <w:b/>
          <w:sz w:val="36"/>
          <w:szCs w:val="36"/>
        </w:rPr>
        <w:t>Compulsive Disorder and Chronic Pain: a scoping review</w:t>
      </w:r>
    </w:p>
    <w:p w:rsidR="00F562EB" w:rsidRDefault="00F562EB">
      <w:pPr>
        <w:rPr>
          <w:b/>
        </w:rPr>
      </w:pPr>
    </w:p>
    <w:p w:rsidR="00F562EB" w:rsidRDefault="00F562EB">
      <w:pPr>
        <w:rPr>
          <w:i/>
          <w:sz w:val="28"/>
          <w:szCs w:val="28"/>
        </w:rPr>
      </w:pPr>
    </w:p>
    <w:p w:rsidR="00F562EB" w:rsidRDefault="00932784">
      <w:pPr>
        <w:rPr>
          <w:rFonts w:ascii="Times" w:eastAsia="Times" w:hAnsi="Times" w:cs="Times"/>
          <w:i/>
          <w:sz w:val="28"/>
          <w:szCs w:val="28"/>
        </w:rPr>
      </w:pPr>
      <w:r>
        <w:rPr>
          <w:noProof/>
          <w:lang w:val="pt-BR" w:eastAsia="pt-BR"/>
        </w:rPr>
        <mc:AlternateContent>
          <mc:Choice Requires="wps">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68596</wp:posOffset>
                </wp:positionV>
                <wp:extent cx="0" cy="25400"/>
                <wp:effectExtent l="0" t="0" r="0" b="0"/>
                <wp:wrapNone/>
                <wp:docPr id="28" name="Conector de seta reta 28"/>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68596</wp:posOffset>
                </wp:positionV>
                <wp:extent cx="0" cy="25400"/>
                <wp:effectExtent b="0" l="0" r="0" t="0"/>
                <wp:wrapNone/>
                <wp:docPr id="2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25400"/>
                        </a:xfrm>
                        <a:prstGeom prst="rect"/>
                        <a:ln/>
                      </pic:spPr>
                    </pic:pic>
                  </a:graphicData>
                </a:graphic>
              </wp:anchor>
            </w:drawing>
          </mc:Fallback>
        </mc:AlternateContent>
      </w:r>
    </w:p>
    <w:p w:rsidR="00F562EB" w:rsidRDefault="00F562EB">
      <w:pPr>
        <w:rPr>
          <w:b/>
          <w:sz w:val="20"/>
          <w:szCs w:val="20"/>
        </w:rPr>
      </w:pPr>
    </w:p>
    <w:p w:rsidR="00F562EB" w:rsidRDefault="00932784">
      <w:pPr>
        <w:pBdr>
          <w:top w:val="nil"/>
          <w:left w:val="nil"/>
          <w:bottom w:val="nil"/>
          <w:right w:val="nil"/>
          <w:between w:val="nil"/>
        </w:pBdr>
        <w:spacing w:after="120"/>
        <w:jc w:val="center"/>
        <w:rPr>
          <w:b/>
          <w:smallCaps/>
          <w:color w:val="000000"/>
          <w:sz w:val="20"/>
          <w:szCs w:val="20"/>
        </w:rPr>
      </w:pPr>
      <w:r>
        <w:rPr>
          <w:b/>
          <w:smallCaps/>
          <w:color w:val="000000"/>
          <w:sz w:val="20"/>
          <w:szCs w:val="20"/>
        </w:rPr>
        <w:t>Abstract</w:t>
      </w:r>
    </w:p>
    <w:p w:rsidR="00F562EB" w:rsidRDefault="00932784">
      <w:pPr>
        <w:jc w:val="both"/>
        <w:rPr>
          <w:sz w:val="20"/>
          <w:szCs w:val="20"/>
        </w:rPr>
      </w:pPr>
      <w:r>
        <w:rPr>
          <w:sz w:val="20"/>
          <w:szCs w:val="20"/>
        </w:rPr>
        <w:t>Obsessive-Compulsive Disorder (OCD) is characterized by the presence of obsessions and compulsions that significantly interfere in the lives of affected individuals. Chronic pain (CP) is a pain condition that lasts longer than 3 months and is usually accom</w:t>
      </w:r>
      <w:r>
        <w:rPr>
          <w:sz w:val="20"/>
          <w:szCs w:val="20"/>
        </w:rPr>
        <w:t>panied by psychological problems. The aim of this study was to investigate the possible relationship between OCD and CP. For this purpose, a scoping review of the literature was carried out, according to the PRISMA-ScR checklist. The search was conducted i</w:t>
      </w:r>
      <w:r>
        <w:rPr>
          <w:sz w:val="20"/>
          <w:szCs w:val="20"/>
        </w:rPr>
        <w:t>n the EBSCO, LILACS, MedLine, PePSIC, PubMed, SciELO and ScienceDirect databases, using the descriptors “obsessive-compulsive disorder” and “chronic pain” in Portuguese, English and Spanish. The search resulted in 92 publications and, after applying the in</w:t>
      </w:r>
      <w:r>
        <w:rPr>
          <w:sz w:val="20"/>
          <w:szCs w:val="20"/>
        </w:rPr>
        <w:t>clusion and exclusion criteria, 11 articles formed the final sample. The results indicate that the comorbidity between OCD and CP is still little explored, but the two conditions share genetic factors and the presence of one increases the predisposition to</w:t>
      </w:r>
      <w:r>
        <w:rPr>
          <w:sz w:val="20"/>
          <w:szCs w:val="20"/>
        </w:rPr>
        <w:t xml:space="preserve"> the development of the other. The impact of obsessive-compulsive symptoms on CP and the particularities of treatment in these cases remain unknown. Further research in this field is needed, with an increase in the sample and control of confounding factors</w:t>
      </w:r>
      <w:r>
        <w:rPr>
          <w:sz w:val="20"/>
          <w:szCs w:val="20"/>
        </w:rPr>
        <w:t>.</w:t>
      </w:r>
    </w:p>
    <w:p w:rsidR="00F562EB" w:rsidRDefault="00F562EB">
      <w:pPr>
        <w:rPr>
          <w:sz w:val="20"/>
          <w:szCs w:val="20"/>
        </w:rPr>
      </w:pPr>
    </w:p>
    <w:p w:rsidR="00F562EB" w:rsidRDefault="00932784">
      <w:pPr>
        <w:rPr>
          <w:b/>
          <w:sz w:val="20"/>
          <w:szCs w:val="20"/>
        </w:rPr>
      </w:pPr>
      <w:r>
        <w:rPr>
          <w:b/>
          <w:sz w:val="20"/>
          <w:szCs w:val="20"/>
        </w:rPr>
        <w:t>Keywords</w:t>
      </w:r>
    </w:p>
    <w:p w:rsidR="00F562EB" w:rsidRDefault="00932784">
      <w:pPr>
        <w:jc w:val="both"/>
        <w:rPr>
          <w:sz w:val="20"/>
          <w:szCs w:val="20"/>
        </w:rPr>
      </w:pPr>
      <w:proofErr w:type="gramStart"/>
      <w:r>
        <w:rPr>
          <w:sz w:val="20"/>
          <w:szCs w:val="20"/>
        </w:rPr>
        <w:t>obsessive-compulsive</w:t>
      </w:r>
      <w:proofErr w:type="gramEnd"/>
      <w:r>
        <w:rPr>
          <w:sz w:val="20"/>
          <w:szCs w:val="20"/>
        </w:rPr>
        <w:t xml:space="preserve"> disorder; chronic pain; comorbidity</w:t>
      </w:r>
    </w:p>
    <w:p w:rsidR="00F562EB" w:rsidRDefault="00F562EB">
      <w:pPr>
        <w:jc w:val="both"/>
        <w:rPr>
          <w:sz w:val="20"/>
          <w:szCs w:val="20"/>
        </w:rPr>
      </w:pPr>
    </w:p>
    <w:p w:rsidR="00F562EB" w:rsidRDefault="00932784">
      <w:pPr>
        <w:pBdr>
          <w:top w:val="nil"/>
          <w:left w:val="nil"/>
          <w:bottom w:val="nil"/>
          <w:right w:val="nil"/>
          <w:between w:val="nil"/>
        </w:pBdr>
        <w:spacing w:after="120"/>
        <w:jc w:val="center"/>
        <w:rPr>
          <w:b/>
          <w:smallCaps/>
          <w:color w:val="000000"/>
          <w:sz w:val="20"/>
          <w:szCs w:val="20"/>
        </w:rPr>
      </w:pPr>
      <w:r>
        <w:rPr>
          <w:b/>
          <w:smallCaps/>
          <w:color w:val="000000"/>
          <w:sz w:val="20"/>
          <w:szCs w:val="20"/>
        </w:rPr>
        <w:t>Resumo</w:t>
      </w:r>
    </w:p>
    <w:p w:rsidR="00F562EB" w:rsidRDefault="00932784">
      <w:pPr>
        <w:jc w:val="both"/>
        <w:rPr>
          <w:sz w:val="20"/>
          <w:szCs w:val="20"/>
        </w:rPr>
      </w:pPr>
      <w:r>
        <w:rPr>
          <w:sz w:val="20"/>
          <w:szCs w:val="20"/>
        </w:rPr>
        <w:t xml:space="preserve">O Transtorno Obsessivo-Compulsivo (TOC) é caracterizado pela presença de obsessões e compulsões que interferem significativamente na vida dos indivíduos acometidos. A dor crônica </w:t>
      </w:r>
      <w:r>
        <w:rPr>
          <w:sz w:val="20"/>
          <w:szCs w:val="20"/>
        </w:rPr>
        <w:t xml:space="preserve">(DC) é uma condição de dor que ultrapassa 3 meses e costuma estar acompanhada de quadros psicológicos. O objetivo do presente estudo foi investigar a possível relação entre TOC e DC. Para isso, foi realizada uma revisão de escopo da literatura, conforme o </w:t>
      </w:r>
      <w:r>
        <w:rPr>
          <w:sz w:val="20"/>
          <w:szCs w:val="20"/>
        </w:rPr>
        <w:t>checklist PRISMA-ScR. A pesquisa foi feita nas bases de dados EBSCO, LILACS, MedLine, PePSIC, PubMed, SciELO e ScienceDirect, com os descritores “transtorno obsessivo-compulsivo” e “dor crônica” em português, inglês e espanhol. A busca resultou em 92 publi</w:t>
      </w:r>
      <w:r>
        <w:rPr>
          <w:sz w:val="20"/>
          <w:szCs w:val="20"/>
        </w:rPr>
        <w:t>cações e, após a aplicação dos critérios de inclusão e de exclusão, 11 artigos formaram a amostra final. Os resultados apontam que a comorbidade entre TOC e DC ainda é pouco explorada, mas as duas condições compartilham fatores genéticos e a presença de um</w:t>
      </w:r>
      <w:r>
        <w:rPr>
          <w:sz w:val="20"/>
          <w:szCs w:val="20"/>
        </w:rPr>
        <w:t>a aumenta a predisposição para o desenvolvimento da outra. A repercussão dos sintomas obsessivo-compulsivos na DC e as particularidades do tratamento nesses casos permanecem desconhecidas. Faz-se necessária a realização de mais pesquisas neste campo, com a</w:t>
      </w:r>
      <w:r>
        <w:rPr>
          <w:sz w:val="20"/>
          <w:szCs w:val="20"/>
        </w:rPr>
        <w:t>mpliação da amostra e controle de aspectos confundidores.</w:t>
      </w:r>
    </w:p>
    <w:p w:rsidR="00F562EB" w:rsidRDefault="00F562EB">
      <w:pPr>
        <w:rPr>
          <w:sz w:val="20"/>
          <w:szCs w:val="20"/>
        </w:rPr>
      </w:pPr>
    </w:p>
    <w:p w:rsidR="00F562EB" w:rsidRDefault="00932784">
      <w:pPr>
        <w:jc w:val="both"/>
        <w:rPr>
          <w:b/>
          <w:sz w:val="20"/>
          <w:szCs w:val="20"/>
        </w:rPr>
      </w:pPr>
      <w:r>
        <w:rPr>
          <w:b/>
          <w:sz w:val="20"/>
          <w:szCs w:val="20"/>
        </w:rPr>
        <w:t>Palavras-chave</w:t>
      </w:r>
    </w:p>
    <w:p w:rsidR="00F562EB" w:rsidRDefault="00932784">
      <w:pPr>
        <w:jc w:val="both"/>
        <w:rPr>
          <w:sz w:val="20"/>
          <w:szCs w:val="20"/>
        </w:rPr>
      </w:pPr>
      <w:proofErr w:type="gramStart"/>
      <w:r>
        <w:rPr>
          <w:sz w:val="20"/>
          <w:szCs w:val="20"/>
        </w:rPr>
        <w:t>transtorno</w:t>
      </w:r>
      <w:proofErr w:type="gramEnd"/>
      <w:r>
        <w:rPr>
          <w:sz w:val="20"/>
          <w:szCs w:val="20"/>
        </w:rPr>
        <w:t xml:space="preserve"> obsessivo-compulsivo; dor crônica; comorbidade</w:t>
      </w:r>
    </w:p>
    <w:p w:rsidR="00F562EB" w:rsidRDefault="00932784">
      <w:pPr>
        <w:jc w:val="both"/>
        <w:rPr>
          <w:sz w:val="20"/>
          <w:szCs w:val="20"/>
        </w:rPr>
      </w:pPr>
      <w:r>
        <w:rPr>
          <w:noProof/>
          <w:lang w:val="pt-BR" w:eastAsia="pt-BR"/>
        </w:rPr>
        <w:drawing>
          <wp:anchor distT="0" distB="0" distL="114300" distR="114300" simplePos="0" relativeHeight="251659264" behindDoc="0" locked="0" layoutInCell="1" hidden="0" allowOverlap="1">
            <wp:simplePos x="0" y="0"/>
            <wp:positionH relativeFrom="column">
              <wp:posOffset>5400675</wp:posOffset>
            </wp:positionH>
            <wp:positionV relativeFrom="paragraph">
              <wp:posOffset>0</wp:posOffset>
            </wp:positionV>
            <wp:extent cx="396000" cy="259200"/>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6000" cy="259200"/>
                    </a:xfrm>
                    <a:prstGeom prst="rect">
                      <a:avLst/>
                    </a:prstGeom>
                    <a:ln/>
                  </pic:spPr>
                </pic:pic>
              </a:graphicData>
            </a:graphic>
          </wp:anchor>
        </w:drawing>
      </w:r>
    </w:p>
    <w:p w:rsidR="00F562EB" w:rsidRDefault="00F562EB">
      <w:pPr>
        <w:rPr>
          <w:b/>
        </w:rPr>
      </w:pPr>
    </w:p>
    <w:p w:rsidR="00F562EB" w:rsidRDefault="00932784">
      <w:pPr>
        <w:pBdr>
          <w:top w:val="nil"/>
          <w:left w:val="nil"/>
          <w:bottom w:val="nil"/>
          <w:right w:val="nil"/>
          <w:between w:val="nil"/>
        </w:pBdr>
        <w:jc w:val="center"/>
        <w:rPr>
          <w:color w:val="000000"/>
        </w:rPr>
      </w:pPr>
      <w:r>
        <w:br w:type="page"/>
      </w:r>
      <w:r>
        <w:rPr>
          <w:color w:val="000000"/>
        </w:rPr>
        <w:lastRenderedPageBreak/>
        <w:t>A</w:t>
      </w:r>
      <w:r>
        <w:t>ssociação entre Transtorno Obsessivo</w:t>
      </w:r>
      <w:r>
        <w:rPr>
          <w:color w:val="000000"/>
        </w:rPr>
        <w:t>-</w:t>
      </w:r>
      <w:r>
        <w:t>Compulsivo e Dor Crônica: uma revisão de escopo</w:t>
      </w:r>
    </w:p>
    <w:p w:rsidR="00F562EB" w:rsidRDefault="00F562EB">
      <w:pPr>
        <w:pBdr>
          <w:top w:val="nil"/>
          <w:left w:val="nil"/>
          <w:bottom w:val="nil"/>
          <w:right w:val="nil"/>
          <w:between w:val="nil"/>
        </w:pBdr>
        <w:jc w:val="center"/>
      </w:pPr>
    </w:p>
    <w:p w:rsidR="00F562EB" w:rsidRDefault="00932784">
      <w:pPr>
        <w:pBdr>
          <w:top w:val="nil"/>
          <w:left w:val="nil"/>
          <w:bottom w:val="nil"/>
          <w:right w:val="nil"/>
          <w:between w:val="nil"/>
        </w:pBdr>
        <w:jc w:val="center"/>
        <w:rPr>
          <w:b/>
        </w:rPr>
      </w:pPr>
      <w:r>
        <w:rPr>
          <w:b/>
          <w:color w:val="000000"/>
        </w:rPr>
        <w:t>Introdução</w:t>
      </w:r>
    </w:p>
    <w:p w:rsidR="00F562EB" w:rsidRDefault="00932784">
      <w:pPr>
        <w:pBdr>
          <w:top w:val="nil"/>
          <w:left w:val="nil"/>
          <w:bottom w:val="nil"/>
          <w:right w:val="nil"/>
          <w:between w:val="nil"/>
        </w:pBdr>
        <w:spacing w:line="360" w:lineRule="auto"/>
        <w:ind w:firstLine="708"/>
        <w:jc w:val="both"/>
      </w:pPr>
      <w:r>
        <w:t>O Transtorno Obsessivo-Compulsivo (TOC) é caracterizado pela presença de obsessões e de compulsões, que tomam tempo (mais de uma hora por dia) ou causam sofrimento significativo aos indivíduos que apresentam a doença. As obsessões podem ser pensamentos, im</w:t>
      </w:r>
      <w:r>
        <w:t>agens ou impulsos recorrentes e persistentes, experimentadas como intrusivas e indesejadas, causando ansiedade ou sofrimento. O indivíduo tenta ignorar ou suprimir as obsessões por meio de outro pensamento ou ação. As compulsões são comportamentos repetiti</w:t>
      </w:r>
      <w:r>
        <w:t>vos ou atos mentais que o indivíduo se sente obrigado a realizar, em resposta a uma obsessão ou de acordo com a aplicação de regras rígidas. Ao realizar as compulsões, o paciente busca prevenir ou reduzir a ansiedade ou o sofrimento ou, ainda, evitar algum</w:t>
      </w:r>
      <w:r>
        <w:t xml:space="preserve"> evento temido. No entanto, tais comportamentos ou atos mentais não possuem conexão realista com aquilo que visam neutralizar ou evitar ou são claramente excessivos. A prevalência mundial do TOC varia entre 1 e 3% (Cervin, 2023), com diferenças nas taxas d</w:t>
      </w:r>
      <w:r>
        <w:t>e acordo com o gênero e a faixa etária. As consequências funcionais do TOC incluem a redução da qualidade de vida, com prejuízos em diferentes áreas, como relações interpessoais e contexto laboral. O impacto pode estar associado ao tempo gasto com as obses</w:t>
      </w:r>
      <w:r>
        <w:t>sões e as compulsões, e também à evitação de situações desencadeantes dos sintomas, de acordo com o tipo de obsessões presentes (American Psychiatric Association [APA], 2023).</w:t>
      </w:r>
    </w:p>
    <w:p w:rsidR="00F562EB" w:rsidRDefault="00932784">
      <w:pPr>
        <w:pBdr>
          <w:top w:val="nil"/>
          <w:left w:val="nil"/>
          <w:bottom w:val="nil"/>
          <w:right w:val="nil"/>
          <w:between w:val="nil"/>
        </w:pBdr>
        <w:spacing w:line="360" w:lineRule="auto"/>
        <w:ind w:firstLine="708"/>
        <w:jc w:val="both"/>
      </w:pPr>
      <w:r>
        <w:t>O TOC pode ser dividido em duas classificações: primária e secundária. O TOC pri</w:t>
      </w:r>
      <w:r>
        <w:t>mário satisfaz o critério de exclusão relacionado aos efeitos fisiológicos de substância ou a outra condição médica. O TOC secundário, em contrapartida, refere-se ao surgimento dos sintomas em decorrência fisiopatológica direta de outra condição médica. Al</w:t>
      </w:r>
      <w:r>
        <w:t>gumas das principais doenças associadas a esse diagnóstico são aquelas causadas por infecções estreptocócicas do grupo A, como a febre reumática e os transtornos neuropsiquiátricos pediátricos autoimunes associados a infecções estreptocócicas (PANDAS) (APA</w:t>
      </w:r>
      <w:r>
        <w:t xml:space="preserve">, 2023). A ocorrência de TOC secundário também acontece na presença de outras doenças autoimunes (DAs) imunológicas, como encefalite autoimune e esclerose múltipla (Endres et al., 2022). </w:t>
      </w:r>
    </w:p>
    <w:p w:rsidR="00F562EB" w:rsidRDefault="00932784">
      <w:pPr>
        <w:pBdr>
          <w:top w:val="nil"/>
          <w:left w:val="nil"/>
          <w:bottom w:val="nil"/>
          <w:right w:val="nil"/>
          <w:between w:val="nil"/>
        </w:pBdr>
        <w:spacing w:line="360" w:lineRule="auto"/>
        <w:ind w:firstLine="708"/>
        <w:jc w:val="both"/>
      </w:pPr>
      <w:r>
        <w:t xml:space="preserve">A influência entre TOC e DAs ocorre de forma mútua. Pessoas com DAs </w:t>
      </w:r>
      <w:r>
        <w:t>(como lúpus eritematoso sistêmico, dermatomiosite e síndrome de Sjögren) possuem maior risco de desenvolver TOC (Wang et al., 2019). As três doenças configuram-se como crônicas (apenas a dermatomiosite pode ocorrer também em episódio agudo), e podem ocasio</w:t>
      </w:r>
      <w:r>
        <w:t xml:space="preserve">nar dores (World Health Organization [WHO], 2019). Ademais, pacientes com TOC apresentam 43% mais chance de possuírem qualquer DA quando comparados à população geral (Mataix-Cols et al., </w:t>
      </w:r>
      <w:r>
        <w:lastRenderedPageBreak/>
        <w:t>2018). Dentre as 11 DAs com maior prevalência de comorbidade, 8 se re</w:t>
      </w:r>
      <w:r>
        <w:t>ferem a doenças crônicas (WHO, 2019). Dessas, todas apresentam sintomatologia álgica, que podem configurar dor crônica (DC), de acordo com o estágio da doença. São elas: síndrome de Sjögren (94% mais chance), doença celíaca (76%), doença de Crohn (66%), ti</w:t>
      </w:r>
      <w:r>
        <w:t>reoidite de Hashimoto (59%), diabetes mellitus tipo 1 (56%), colite ulcerativa (41%), esclerose múltipla (41%) e psoríase (32%) (Mataix-Cols et al., 2018).</w:t>
      </w:r>
    </w:p>
    <w:p w:rsidR="00F562EB" w:rsidRDefault="00932784">
      <w:pPr>
        <w:pBdr>
          <w:top w:val="nil"/>
          <w:left w:val="nil"/>
          <w:bottom w:val="nil"/>
          <w:right w:val="nil"/>
          <w:between w:val="nil"/>
        </w:pBdr>
        <w:spacing w:line="360" w:lineRule="auto"/>
        <w:ind w:firstLine="708"/>
        <w:jc w:val="both"/>
      </w:pPr>
      <w:r>
        <w:t>A dor é um tipo de experiência sensorial desagradável, associada à existência ou à semelhança da exi</w:t>
      </w:r>
      <w:r>
        <w:t>stência de lesão tecidual. A DC, por sua vez, é um tipo de dor classificada de acordo com a sua duração. Enquanto a dor aguda dura até três meses, a DC ultrapassa esse período (WHO, 2019). Outras características da DC são o início insidioso, a disfunção pr</w:t>
      </w:r>
      <w:r>
        <w:t xml:space="preserve">esente no Sistema Nervoso Central (SNC) e o impacto em âmbitos social e laboral do paciente (Avila et al., 2023). Sabe-se que a DC geralmente está associada a outros quadros psicológicos, e que pode acompanhar elementos psicossociais, como medo, evitação, </w:t>
      </w:r>
      <w:r>
        <w:t xml:space="preserve">catastrofização, baixa autoeficácia e hipervigilância (Avila et al., 2023; Fukusawa et al., 2023). Dentre esses aspectos, a catastrofização pode apresentar função intermediária no desenvolvimento da DC, ao contribuir para a interpretação equivocada da dor </w:t>
      </w:r>
      <w:r>
        <w:t>como ameaça, gerando medo de sensações dolorosas e levando à evitação de atividades (Otis, 2023).</w:t>
      </w:r>
    </w:p>
    <w:p w:rsidR="00F562EB" w:rsidRDefault="00932784">
      <w:pPr>
        <w:pBdr>
          <w:top w:val="nil"/>
          <w:left w:val="nil"/>
          <w:bottom w:val="nil"/>
          <w:right w:val="nil"/>
          <w:between w:val="nil"/>
        </w:pBdr>
        <w:spacing w:line="360" w:lineRule="auto"/>
        <w:ind w:firstLine="708"/>
        <w:jc w:val="both"/>
      </w:pPr>
      <w:r>
        <w:t>A associação entre TOC e DC foi pouco estudada ao longo dos anos, de forma que há uma escassez de estudos que abordam o possível impacto do TOC na DC e em sua</w:t>
      </w:r>
      <w:r>
        <w:t xml:space="preserve"> reabilitação (Sloley et al., 2021). Uma revisão de escopo recente mapeou os estudos sobre TOC e DC produzidos entre 1972 e 2022 (Sloley et al., 2025). A ausência de avaliação crítica e a busca em apenas um idioma limitaram a apresentação dos resultados en</w:t>
      </w:r>
      <w:r>
        <w:t>contrados. A relação entre as duas condições é considerada complexa, de forma que a etiologia permanece desconhecida (Sloley et al., 2025). No entanto, foram encontradas semelhanças nas alterações no processamento da dor em ambos os quadros (Sloley et al.,</w:t>
      </w:r>
      <w:r>
        <w:t xml:space="preserve"> 2025). No âmbito da dor aguda, uma pesquisa de 2012 mostrou que pacientes com TOC severo manifestaram maior resistência à dor quando comparados ao grupo controle saudável (Hezel et al., 2012). Identificou-se que os dois grupos percebiam a dor de forma sem</w:t>
      </w:r>
      <w:r>
        <w:t>elhante, no entanto, o grupo de pacientes com TOC expressou maior disposição para tolerá-la. Uma das possíveis explicações para este fenômeno é a de que a dor física funcionou como uma forma de distração para o sofrimento emocional experienciado pelos paci</w:t>
      </w:r>
      <w:r>
        <w:t>entes (Hezel et al., 2012). Além disso, foram identificados aspectos cognitivos de desvalor no grupo do TOC, o que pode colaborar para os resultados obtidos (Hezel et al., 2012). Pessoas com maior senso de inferioridade e de desvalor tendem a suportar mais</w:t>
      </w:r>
      <w:r>
        <w:t xml:space="preserve"> a dor (Hooley et al., 2010). Por fim, o </w:t>
      </w:r>
      <w:r>
        <w:lastRenderedPageBreak/>
        <w:t>estímulo aversivo (pressão gerada pelo algômetro) esteve sob comando dos participantes durante o experimento. A possibilidade de manejar o aparelho contribuiu para a sensação de controle sobre a dor e em certo nível</w:t>
      </w:r>
      <w:r>
        <w:t xml:space="preserve"> de conforto para os pacientes. As limitações do estudo incluíam o tamanho amostral e o contexto de internação dos participantes do grupo do TOC (Hezel et al., 2012). Considerando que a pesquisa realizada avaliou a tolerância dos participantes à dor aguda </w:t>
      </w:r>
      <w:r>
        <w:t>limitada a uma parte do corpo, cabe ainda investigar como o TOC influencia a experiência de DC.</w:t>
      </w:r>
    </w:p>
    <w:p w:rsidR="00F562EB" w:rsidRDefault="00932784">
      <w:pPr>
        <w:pBdr>
          <w:top w:val="nil"/>
          <w:left w:val="nil"/>
          <w:bottom w:val="nil"/>
          <w:right w:val="nil"/>
          <w:between w:val="nil"/>
        </w:pBdr>
        <w:spacing w:line="360" w:lineRule="auto"/>
        <w:ind w:firstLine="708"/>
        <w:jc w:val="both"/>
      </w:pPr>
      <w:r>
        <w:t>Diante da alta prevalência da comorbidade entre TOC e condições relacionadas à dor, o objetivo do presente trabalho é investigar a relação entre TOC e DC. Em es</w:t>
      </w:r>
      <w:r>
        <w:t>pecial, busca-se: a) mapear os achados sobre a comorbidade entre TOC e DC; b) identificar as lacunas de pesquisa sobre a comorbidade de TOC e DC; e c) direcionar estudos futuros.</w:t>
      </w:r>
    </w:p>
    <w:p w:rsidR="00F562EB" w:rsidRDefault="00F562EB">
      <w:pPr>
        <w:pBdr>
          <w:top w:val="nil"/>
          <w:left w:val="nil"/>
          <w:bottom w:val="nil"/>
          <w:right w:val="nil"/>
          <w:between w:val="nil"/>
        </w:pBdr>
        <w:jc w:val="center"/>
      </w:pPr>
    </w:p>
    <w:p w:rsidR="00F562EB" w:rsidRDefault="00932784">
      <w:pPr>
        <w:pBdr>
          <w:top w:val="nil"/>
          <w:left w:val="nil"/>
          <w:bottom w:val="nil"/>
          <w:right w:val="nil"/>
          <w:between w:val="nil"/>
        </w:pBdr>
        <w:jc w:val="center"/>
        <w:rPr>
          <w:b/>
        </w:rPr>
      </w:pPr>
      <w:r>
        <w:rPr>
          <w:b/>
          <w:color w:val="000000"/>
        </w:rPr>
        <w:t>Método</w:t>
      </w:r>
    </w:p>
    <w:p w:rsidR="00F562EB" w:rsidRDefault="00932784">
      <w:pPr>
        <w:spacing w:line="360" w:lineRule="auto"/>
        <w:ind w:firstLine="708"/>
        <w:jc w:val="both"/>
      </w:pPr>
      <w:r>
        <w:t xml:space="preserve">Realizou-se uma revisão de escopo, método orientado pela abrangência </w:t>
      </w:r>
      <w:r>
        <w:t xml:space="preserve">de toda a literatura relevante, e caracterizado pelo rigor e pela transparência de cada etapa do processo (Arksey &amp; O’Malley, 2005). O </w:t>
      </w:r>
      <w:r>
        <w:rPr>
          <w:i/>
        </w:rPr>
        <w:t>checklist</w:t>
      </w:r>
      <w:r>
        <w:t xml:space="preserve"> PRISMA-ScR, </w:t>
      </w:r>
      <w:r>
        <w:rPr>
          <w:i/>
        </w:rPr>
        <w:t>Preferred Reporting Items for Systematic Reviews and Meta-Analyses extension for Scoping Reviews</w:t>
      </w:r>
      <w:r>
        <w:t>, o</w:t>
      </w:r>
      <w:r>
        <w:t xml:space="preserve">rientou o protocolo desta revisão de escopo (Mattos et al., 2023). </w:t>
      </w:r>
    </w:p>
    <w:p w:rsidR="00F562EB" w:rsidRDefault="00F562EB">
      <w:pPr>
        <w:spacing w:line="360" w:lineRule="auto"/>
        <w:ind w:firstLine="708"/>
        <w:jc w:val="both"/>
      </w:pPr>
    </w:p>
    <w:p w:rsidR="00F562EB" w:rsidRDefault="00932784">
      <w:pPr>
        <w:spacing w:line="360" w:lineRule="auto"/>
        <w:jc w:val="both"/>
      </w:pPr>
      <w:r>
        <w:rPr>
          <w:b/>
          <w:i/>
        </w:rPr>
        <w:t>Pergunta de pesquisa</w:t>
      </w:r>
    </w:p>
    <w:p w:rsidR="00F562EB" w:rsidRDefault="00932784">
      <w:pPr>
        <w:spacing w:line="360" w:lineRule="auto"/>
        <w:ind w:firstLine="708"/>
        <w:jc w:val="both"/>
      </w:pPr>
      <w:r>
        <w:t>A estratégia PCC (População, Conceito e Contexto) (Peters et al.,</w:t>
      </w:r>
      <w:r>
        <w:t xml:space="preserve"> 2015) foi utilizada a fim de fundamentar a pergunta de pesquisa “Qual a relação entre TOC e DC?”. A População refere-se a pessoas com TOC, e o Conceito (questão central), à possível relação entre TOC e DC. Por fim, o Contexto diz respeito à DC enquanto um</w:t>
      </w:r>
      <w:r>
        <w:t xml:space="preserve"> fator específico da População.</w:t>
      </w:r>
    </w:p>
    <w:p w:rsidR="00F562EB" w:rsidRDefault="00F562EB">
      <w:pPr>
        <w:spacing w:line="360" w:lineRule="auto"/>
        <w:ind w:firstLine="708"/>
        <w:jc w:val="both"/>
      </w:pPr>
    </w:p>
    <w:p w:rsidR="00F562EB" w:rsidRDefault="00932784">
      <w:pPr>
        <w:spacing w:line="360" w:lineRule="auto"/>
        <w:jc w:val="both"/>
      </w:pPr>
      <w:r>
        <w:rPr>
          <w:b/>
          <w:i/>
        </w:rPr>
        <w:t>Processo de busca</w:t>
      </w:r>
    </w:p>
    <w:p w:rsidR="00F562EB" w:rsidRDefault="00932784">
      <w:pPr>
        <w:spacing w:line="360" w:lineRule="auto"/>
        <w:ind w:firstLine="708"/>
        <w:jc w:val="both"/>
      </w:pPr>
      <w:r>
        <w:t>Os descritores utilizados foram “transtorno obsessivo-compulsivo” e “dor crônica”, em português, inglês e espanhol, no campo de busca “resumo”. A pesquisa foi feita nas bases de dados EBSCO, LILACS, MedLin</w:t>
      </w:r>
      <w:r>
        <w:t>e, PePSIC, PubMed, SciELO e ScienceDirect, durante o mês de julho de 2024. Foram selecionados os filtros de tempo correspondente aos últimos cinco anos e de texto completo, quando disponíveis. A escolha do período de cinco anos baseou-se no interesse em ma</w:t>
      </w:r>
      <w:r>
        <w:t xml:space="preserve">pear os achados mais recentes da literatura. Assim, a busca resultou em 92 trabalhos ao total. </w:t>
      </w:r>
    </w:p>
    <w:p w:rsidR="00F562EB" w:rsidRDefault="00F562EB">
      <w:pPr>
        <w:spacing w:line="360" w:lineRule="auto"/>
        <w:ind w:firstLine="708"/>
        <w:jc w:val="both"/>
      </w:pPr>
    </w:p>
    <w:p w:rsidR="00F562EB" w:rsidRDefault="00932784">
      <w:pPr>
        <w:spacing w:line="360" w:lineRule="auto"/>
        <w:jc w:val="both"/>
      </w:pPr>
      <w:r>
        <w:rPr>
          <w:b/>
          <w:i/>
        </w:rPr>
        <w:lastRenderedPageBreak/>
        <w:t>Seleção da amostra</w:t>
      </w:r>
    </w:p>
    <w:p w:rsidR="00F562EB" w:rsidRDefault="00932784">
      <w:pPr>
        <w:spacing w:line="360" w:lineRule="auto"/>
        <w:ind w:firstLine="708"/>
        <w:jc w:val="both"/>
      </w:pPr>
      <w:r>
        <w:t>Após deletar as duplicações (n=42), os títulos e resumos dos 50 estudos restantes foram lidos por dois juízes independentes. Os critérios de</w:t>
      </w:r>
      <w:r>
        <w:t xml:space="preserve"> inclusão para a escolha dos textos a serem lidos na íntegra foram: a) tratar sobre a comorbidade entre TOC e DC; e b) configurar-se como artigo de periódico. Já os critérios de exclusão foram: a) não estar disponível na íntegra; e b) não ser escrito em po</w:t>
      </w:r>
      <w:r>
        <w:t>rtuguês, inglês ou espanhol. O índice Kappa foi de 81%, com 92% de concordância observada. Nos casos de discordância, a decisão foi feita a partir da leitura dos resultados do estudo, conforme os critérios estabelecidos. Ao final, foram selecionados 14 art</w:t>
      </w:r>
      <w:r>
        <w:t>igos para a leitura na íntegra. A Figura 1 ilustra o processo descrito.</w:t>
      </w:r>
    </w:p>
    <w:p w:rsidR="00F562EB" w:rsidRDefault="00F562EB">
      <w:pPr>
        <w:spacing w:line="360" w:lineRule="auto"/>
        <w:ind w:firstLine="708"/>
        <w:jc w:val="both"/>
      </w:pPr>
    </w:p>
    <w:p w:rsidR="00F562EB" w:rsidRDefault="00932784">
      <w:pPr>
        <w:spacing w:line="360" w:lineRule="auto"/>
        <w:jc w:val="both"/>
      </w:pPr>
      <w:r>
        <w:t>Figura 1</w:t>
      </w:r>
    </w:p>
    <w:p w:rsidR="00F562EB" w:rsidRDefault="00932784">
      <w:pPr>
        <w:spacing w:line="276" w:lineRule="auto"/>
        <w:jc w:val="center"/>
      </w:pPr>
      <w:r>
        <w:rPr>
          <w:noProof/>
          <w:lang w:val="pt-BR" w:eastAsia="pt-BR"/>
        </w:rPr>
        <mc:AlternateContent>
          <mc:Choice Requires="wpg">
            <w:drawing>
              <wp:inline distT="114300" distB="114300" distL="114300" distR="114300">
                <wp:extent cx="5777931" cy="3491225"/>
                <wp:effectExtent l="0" t="0" r="13335" b="14605"/>
                <wp:docPr id="27" name="Grupo 27"/>
                <wp:cNvGraphicFramePr/>
                <a:graphic xmlns:a="http://schemas.openxmlformats.org/drawingml/2006/main">
                  <a:graphicData uri="http://schemas.microsoft.com/office/word/2010/wordprocessingGroup">
                    <wpg:wgp>
                      <wpg:cNvGrpSpPr/>
                      <wpg:grpSpPr>
                        <a:xfrm>
                          <a:off x="0" y="0"/>
                          <a:ext cx="5777931" cy="3491225"/>
                          <a:chOff x="42113" y="195125"/>
                          <a:chExt cx="6703028" cy="3809709"/>
                        </a:xfrm>
                      </wpg:grpSpPr>
                      <wps:wsp>
                        <wps:cNvPr id="1" name="Caixa de texto 1"/>
                        <wps:cNvSpPr txBox="1"/>
                        <wps:spPr>
                          <a:xfrm>
                            <a:off x="3634446" y="708724"/>
                            <a:ext cx="3109898" cy="560794"/>
                          </a:xfrm>
                          <a:prstGeom prst="rect">
                            <a:avLst/>
                          </a:prstGeom>
                          <a:noFill/>
                          <a:ln w="9525" cap="flat" cmpd="sng">
                            <a:solidFill>
                              <a:srgbClr val="000000"/>
                            </a:solidFill>
                            <a:prstDash val="solid"/>
                            <a:round/>
                            <a:headEnd type="none" w="sm" len="sm"/>
                            <a:tailEnd type="none" w="sm" len="sm"/>
                          </a:ln>
                        </wps:spPr>
                        <wps:txbx>
                          <w:txbxContent>
                            <w:p w:rsidR="00F562EB" w:rsidRDefault="00932784">
                              <w:pPr>
                                <w:jc w:val="center"/>
                                <w:textDirection w:val="btLr"/>
                              </w:pPr>
                              <w:r>
                                <w:rPr>
                                  <w:color w:val="000000"/>
                                  <w:sz w:val="20"/>
                                </w:rPr>
                                <w:t>Exclusão:</w:t>
                              </w:r>
                            </w:p>
                            <w:p w:rsidR="00F562EB" w:rsidRDefault="00932784">
                              <w:pPr>
                                <w:jc w:val="center"/>
                                <w:textDirection w:val="btLr"/>
                              </w:pPr>
                              <w:r>
                                <w:rPr>
                                  <w:color w:val="000000"/>
                                  <w:sz w:val="20"/>
                                </w:rPr>
                                <w:t>Duplicados (n=42)</w:t>
                              </w:r>
                            </w:p>
                          </w:txbxContent>
                        </wps:txbx>
                        <wps:bodyPr spcFirstLastPara="1" wrap="square" lIns="91425" tIns="91425" rIns="91425" bIns="91425" anchor="t" anchorCtr="0">
                          <a:noAutofit/>
                        </wps:bodyPr>
                      </wps:wsp>
                      <wps:wsp>
                        <wps:cNvPr id="2" name="Caixa de texto 2"/>
                        <wps:cNvSpPr txBox="1"/>
                        <wps:spPr>
                          <a:xfrm>
                            <a:off x="579171" y="1958998"/>
                            <a:ext cx="2835403" cy="560793"/>
                          </a:xfrm>
                          <a:prstGeom prst="rect">
                            <a:avLst/>
                          </a:prstGeom>
                          <a:noFill/>
                          <a:ln w="9525" cap="flat" cmpd="sng">
                            <a:solidFill>
                              <a:srgbClr val="000000"/>
                            </a:solidFill>
                            <a:prstDash val="solid"/>
                            <a:round/>
                            <a:headEnd type="none" w="sm" len="sm"/>
                            <a:tailEnd type="none" w="sm" len="sm"/>
                          </a:ln>
                        </wps:spPr>
                        <wps:txbx>
                          <w:txbxContent>
                            <w:p w:rsidR="00F562EB" w:rsidRDefault="00932784">
                              <w:pPr>
                                <w:jc w:val="center"/>
                                <w:textDirection w:val="btLr"/>
                              </w:pPr>
                              <w:r>
                                <w:rPr>
                                  <w:color w:val="000000"/>
                                  <w:sz w:val="20"/>
                                </w:rPr>
                                <w:t xml:space="preserve">Trabalhos elegíveis </w:t>
                              </w:r>
                              <w:r w:rsidR="001403E6">
                                <w:rPr>
                                  <w:color w:val="000000"/>
                                  <w:sz w:val="20"/>
                                </w:rPr>
                                <w:t>para a leitura de título e resum</w:t>
                              </w:r>
                              <w:r>
                                <w:rPr>
                                  <w:color w:val="000000"/>
                                  <w:sz w:val="20"/>
                                </w:rPr>
                                <w:t>o (n=50)</w:t>
                              </w:r>
                            </w:p>
                          </w:txbxContent>
                        </wps:txbx>
                        <wps:bodyPr spcFirstLastPara="1" wrap="square" lIns="91425" tIns="91425" rIns="91425" bIns="91425" anchor="t" anchorCtr="0">
                          <a:noAutofit/>
                        </wps:bodyPr>
                      </wps:wsp>
                      <wps:wsp>
                        <wps:cNvPr id="3" name="Caixa de texto 3"/>
                        <wps:cNvSpPr txBox="1"/>
                        <wps:spPr>
                          <a:xfrm>
                            <a:off x="579171" y="2688867"/>
                            <a:ext cx="2835403" cy="560793"/>
                          </a:xfrm>
                          <a:prstGeom prst="rect">
                            <a:avLst/>
                          </a:prstGeom>
                          <a:noFill/>
                          <a:ln w="9525" cap="flat" cmpd="sng">
                            <a:solidFill>
                              <a:srgbClr val="000000"/>
                            </a:solidFill>
                            <a:prstDash val="solid"/>
                            <a:round/>
                            <a:headEnd type="none" w="sm" len="sm"/>
                            <a:tailEnd type="none" w="sm" len="sm"/>
                          </a:ln>
                        </wps:spPr>
                        <wps:txbx>
                          <w:txbxContent>
                            <w:p w:rsidR="00F562EB" w:rsidRDefault="00932784">
                              <w:pPr>
                                <w:jc w:val="center"/>
                                <w:textDirection w:val="btLr"/>
                              </w:pPr>
                              <w:r>
                                <w:rPr>
                                  <w:color w:val="000000"/>
                                  <w:sz w:val="20"/>
                                </w:rPr>
                                <w:t>Trabalhos elegíveis para a leitura na íntegra (n=14)</w:t>
                              </w:r>
                            </w:p>
                          </w:txbxContent>
                        </wps:txbx>
                        <wps:bodyPr spcFirstLastPara="1" wrap="square" lIns="91425" tIns="91425" rIns="91425" bIns="91425" anchor="t" anchorCtr="0">
                          <a:noAutofit/>
                        </wps:bodyPr>
                      </wps:wsp>
                      <wps:wsp>
                        <wps:cNvPr id="4" name="Caixa de texto 4"/>
                        <wps:cNvSpPr txBox="1"/>
                        <wps:spPr>
                          <a:xfrm>
                            <a:off x="3634487" y="1888376"/>
                            <a:ext cx="3110654" cy="717888"/>
                          </a:xfrm>
                          <a:prstGeom prst="rect">
                            <a:avLst/>
                          </a:prstGeom>
                          <a:noFill/>
                          <a:ln w="9525" cap="flat" cmpd="sng">
                            <a:solidFill>
                              <a:srgbClr val="000000"/>
                            </a:solidFill>
                            <a:prstDash val="solid"/>
                            <a:round/>
                            <a:headEnd type="none" w="sm" len="sm"/>
                            <a:tailEnd type="none" w="sm" len="sm"/>
                          </a:ln>
                        </wps:spPr>
                        <wps:txbx>
                          <w:txbxContent>
                            <w:p w:rsidR="00F562EB" w:rsidRDefault="00932784">
                              <w:pPr>
                                <w:jc w:val="center"/>
                                <w:textDirection w:val="btLr"/>
                              </w:pPr>
                              <w:r>
                                <w:rPr>
                                  <w:color w:val="000000"/>
                                  <w:sz w:val="20"/>
                                </w:rPr>
                                <w:t>Exclusão:</w:t>
                              </w:r>
                            </w:p>
                            <w:p w:rsidR="00F562EB" w:rsidRDefault="00932784">
                              <w:pPr>
                                <w:jc w:val="center"/>
                                <w:textDirection w:val="btLr"/>
                              </w:pPr>
                              <w:r>
                                <w:rPr>
                                  <w:color w:val="000000"/>
                                  <w:sz w:val="20"/>
                                </w:rPr>
                                <w:t>Não preencheram os critérios de inclusão (n=35)</w:t>
                              </w:r>
                            </w:p>
                            <w:p w:rsidR="00F562EB" w:rsidRDefault="00932784">
                              <w:pPr>
                                <w:jc w:val="center"/>
                                <w:textDirection w:val="btLr"/>
                              </w:pPr>
                              <w:r>
                                <w:rPr>
                                  <w:color w:val="000000"/>
                                  <w:sz w:val="20"/>
                                </w:rPr>
                                <w:t>Preencheu os critérios de exclusão (n=1)</w:t>
                              </w:r>
                            </w:p>
                          </w:txbxContent>
                        </wps:txbx>
                        <wps:bodyPr spcFirstLastPara="1" wrap="square" lIns="91425" tIns="91425" rIns="91425" bIns="91425" anchor="t" anchorCtr="0">
                          <a:noAutofit/>
                        </wps:bodyPr>
                      </wps:wsp>
                      <wps:wsp>
                        <wps:cNvPr id="5" name="Caixa de texto 5"/>
                        <wps:cNvSpPr txBox="1"/>
                        <wps:spPr>
                          <a:xfrm>
                            <a:off x="3634451" y="2718163"/>
                            <a:ext cx="3110690" cy="505742"/>
                          </a:xfrm>
                          <a:prstGeom prst="rect">
                            <a:avLst/>
                          </a:prstGeom>
                          <a:noFill/>
                          <a:ln w="9525" cap="flat" cmpd="sng">
                            <a:solidFill>
                              <a:srgbClr val="000000"/>
                            </a:solidFill>
                            <a:prstDash val="solid"/>
                            <a:round/>
                            <a:headEnd type="none" w="sm" len="sm"/>
                            <a:tailEnd type="none" w="sm" len="sm"/>
                          </a:ln>
                        </wps:spPr>
                        <wps:txbx>
                          <w:txbxContent>
                            <w:p w:rsidR="00F562EB" w:rsidRDefault="00932784">
                              <w:pPr>
                                <w:jc w:val="center"/>
                                <w:textDirection w:val="btLr"/>
                              </w:pPr>
                              <w:r>
                                <w:rPr>
                                  <w:color w:val="000000"/>
                                  <w:sz w:val="20"/>
                                </w:rPr>
                                <w:t>Exclusão:</w:t>
                              </w:r>
                            </w:p>
                            <w:p w:rsidR="00F562EB" w:rsidRDefault="00932784">
                              <w:pPr>
                                <w:jc w:val="center"/>
                                <w:textDirection w:val="btLr"/>
                              </w:pPr>
                              <w:r>
                                <w:rPr>
                                  <w:color w:val="000000"/>
                                  <w:sz w:val="20"/>
                                </w:rPr>
                                <w:t>Não preencheram os critérios de inclusão (n=3)</w:t>
                              </w:r>
                            </w:p>
                          </w:txbxContent>
                        </wps:txbx>
                        <wps:bodyPr spcFirstLastPara="1" wrap="square" lIns="91425" tIns="91425" rIns="91425" bIns="91425" anchor="t" anchorCtr="0">
                          <a:noAutofit/>
                        </wps:bodyPr>
                      </wps:wsp>
                      <wps:wsp>
                        <wps:cNvPr id="6" name="Caixa de texto 6"/>
                        <wps:cNvSpPr txBox="1"/>
                        <wps:spPr>
                          <a:xfrm>
                            <a:off x="581334" y="3496573"/>
                            <a:ext cx="2835403" cy="391736"/>
                          </a:xfrm>
                          <a:prstGeom prst="rect">
                            <a:avLst/>
                          </a:prstGeom>
                          <a:noFill/>
                          <a:ln w="9525" cap="flat" cmpd="sng">
                            <a:solidFill>
                              <a:srgbClr val="000000"/>
                            </a:solidFill>
                            <a:prstDash val="solid"/>
                            <a:round/>
                            <a:headEnd type="none" w="sm" len="sm"/>
                            <a:tailEnd type="none" w="sm" len="sm"/>
                          </a:ln>
                        </wps:spPr>
                        <wps:txbx>
                          <w:txbxContent>
                            <w:p w:rsidR="00F562EB" w:rsidRDefault="00932784">
                              <w:pPr>
                                <w:jc w:val="center"/>
                                <w:textDirection w:val="btLr"/>
                              </w:pPr>
                              <w:r>
                                <w:rPr>
                                  <w:b/>
                                  <w:color w:val="000000"/>
                                  <w:sz w:val="20"/>
                                </w:rPr>
                                <w:t>Amostra final (n=11)</w:t>
                              </w:r>
                            </w:p>
                          </w:txbxContent>
                        </wps:txbx>
                        <wps:bodyPr spcFirstLastPara="1" wrap="square" lIns="91425" tIns="91425" rIns="91425" bIns="91425" anchor="t" anchorCtr="0">
                          <a:noAutofit/>
                        </wps:bodyPr>
                      </wps:wsp>
                      <wps:wsp>
                        <wps:cNvPr id="7" name="Caixa de texto 7"/>
                        <wps:cNvSpPr txBox="1"/>
                        <wps:spPr>
                          <a:xfrm rot="16200000">
                            <a:off x="-529065" y="799359"/>
                            <a:ext cx="1548701" cy="392609"/>
                          </a:xfrm>
                          <a:prstGeom prst="rect">
                            <a:avLst/>
                          </a:prstGeom>
                          <a:solidFill>
                            <a:srgbClr val="D9D9D9"/>
                          </a:solidFill>
                          <a:ln w="9525" cap="flat" cmpd="sng">
                            <a:solidFill>
                              <a:srgbClr val="000000"/>
                            </a:solidFill>
                            <a:prstDash val="solid"/>
                            <a:round/>
                            <a:headEnd type="none" w="sm" len="sm"/>
                            <a:tailEnd type="none" w="sm" len="sm"/>
                          </a:ln>
                        </wps:spPr>
                        <wps:txbx>
                          <w:txbxContent>
                            <w:p w:rsidR="00F562EB" w:rsidRDefault="00932784">
                              <w:pPr>
                                <w:jc w:val="center"/>
                                <w:textDirection w:val="btLr"/>
                              </w:pPr>
                              <w:r>
                                <w:rPr>
                                  <w:b/>
                                  <w:color w:val="000000"/>
                                  <w:sz w:val="20"/>
                                </w:rPr>
                                <w:t>Identificação</w:t>
                              </w:r>
                            </w:p>
                          </w:txbxContent>
                        </wps:txbx>
                        <wps:bodyPr spcFirstLastPara="1" wrap="square" lIns="91425" tIns="91425" rIns="91425" bIns="91425" anchor="t" anchorCtr="0">
                          <a:noAutofit/>
                        </wps:bodyPr>
                      </wps:wsp>
                      <wps:wsp>
                        <wps:cNvPr id="8" name="Caixa de texto 8"/>
                        <wps:cNvSpPr txBox="1"/>
                        <wps:spPr>
                          <a:xfrm rot="16200000">
                            <a:off x="-386181" y="2339817"/>
                            <a:ext cx="1263394" cy="392609"/>
                          </a:xfrm>
                          <a:prstGeom prst="rect">
                            <a:avLst/>
                          </a:prstGeom>
                          <a:solidFill>
                            <a:srgbClr val="D9D9D9"/>
                          </a:solidFill>
                          <a:ln w="9525" cap="flat" cmpd="sng">
                            <a:solidFill>
                              <a:srgbClr val="000000"/>
                            </a:solidFill>
                            <a:prstDash val="solid"/>
                            <a:round/>
                            <a:headEnd type="none" w="sm" len="sm"/>
                            <a:tailEnd type="none" w="sm" len="sm"/>
                          </a:ln>
                        </wps:spPr>
                        <wps:txbx>
                          <w:txbxContent>
                            <w:p w:rsidR="00F562EB" w:rsidRDefault="00932784">
                              <w:pPr>
                                <w:jc w:val="center"/>
                                <w:textDirection w:val="btLr"/>
                              </w:pPr>
                              <w:r>
                                <w:rPr>
                                  <w:b/>
                                  <w:color w:val="000000"/>
                                  <w:sz w:val="20"/>
                                </w:rPr>
                                <w:t>Triagem</w:t>
                              </w:r>
                            </w:p>
                          </w:txbxContent>
                        </wps:txbx>
                        <wps:bodyPr spcFirstLastPara="1" wrap="square" lIns="91425" tIns="91425" rIns="91425" bIns="91425" anchor="t" anchorCtr="0">
                          <a:noAutofit/>
                        </wps:bodyPr>
                      </wps:wsp>
                      <wps:wsp>
                        <wps:cNvPr id="9" name="Caixa de texto 9"/>
                        <wps:cNvSpPr txBox="1"/>
                        <wps:spPr>
                          <a:xfrm rot="16200000">
                            <a:off x="-135621" y="3427393"/>
                            <a:ext cx="755175" cy="399707"/>
                          </a:xfrm>
                          <a:prstGeom prst="rect">
                            <a:avLst/>
                          </a:prstGeom>
                          <a:solidFill>
                            <a:srgbClr val="D9D9D9"/>
                          </a:solidFill>
                          <a:ln w="9525" cap="flat" cmpd="sng">
                            <a:solidFill>
                              <a:srgbClr val="000000"/>
                            </a:solidFill>
                            <a:prstDash val="solid"/>
                            <a:round/>
                            <a:headEnd type="none" w="sm" len="sm"/>
                            <a:tailEnd type="none" w="sm" len="sm"/>
                          </a:ln>
                        </wps:spPr>
                        <wps:txbx>
                          <w:txbxContent>
                            <w:p w:rsidR="00F562EB" w:rsidRDefault="00932784">
                              <w:pPr>
                                <w:jc w:val="center"/>
                                <w:textDirection w:val="btLr"/>
                              </w:pPr>
                              <w:r>
                                <w:rPr>
                                  <w:b/>
                                  <w:color w:val="000000"/>
                                  <w:sz w:val="20"/>
                                </w:rPr>
                                <w:t>Inclusão</w:t>
                              </w:r>
                            </w:p>
                          </w:txbxContent>
                        </wps:txbx>
                        <wps:bodyPr spcFirstLastPara="1" wrap="square" lIns="91425" tIns="91425" rIns="91425" bIns="91425" anchor="t" anchorCtr="0">
                          <a:noAutofit/>
                        </wps:bodyPr>
                      </wps:wsp>
                      <wps:wsp>
                        <wps:cNvPr id="10" name="Caixa de texto 10"/>
                        <wps:cNvSpPr txBox="1"/>
                        <wps:spPr>
                          <a:xfrm>
                            <a:off x="579171" y="195125"/>
                            <a:ext cx="2835403" cy="1575138"/>
                          </a:xfrm>
                          <a:prstGeom prst="rect">
                            <a:avLst/>
                          </a:prstGeom>
                          <a:noFill/>
                          <a:ln w="9525" cap="flat" cmpd="sng">
                            <a:solidFill>
                              <a:srgbClr val="000000"/>
                            </a:solidFill>
                            <a:prstDash val="solid"/>
                            <a:round/>
                            <a:headEnd type="none" w="sm" len="sm"/>
                            <a:tailEnd type="none" w="sm" len="sm"/>
                          </a:ln>
                        </wps:spPr>
                        <wps:txbx>
                          <w:txbxContent>
                            <w:p w:rsidR="00F562EB" w:rsidRDefault="00932784">
                              <w:pPr>
                                <w:jc w:val="center"/>
                                <w:textDirection w:val="btLr"/>
                              </w:pPr>
                              <w:r>
                                <w:rPr>
                                  <w:color w:val="000000"/>
                                  <w:sz w:val="20"/>
                                </w:rPr>
                                <w:t>Bases de Dados:</w:t>
                              </w:r>
                            </w:p>
                            <w:p w:rsidR="00F562EB" w:rsidRDefault="00932784">
                              <w:pPr>
                                <w:jc w:val="center"/>
                                <w:textDirection w:val="btLr"/>
                              </w:pPr>
                              <w:r>
                                <w:rPr>
                                  <w:color w:val="000000"/>
                                  <w:sz w:val="20"/>
                                </w:rPr>
                                <w:t>EBSCO (n=30)</w:t>
                              </w:r>
                            </w:p>
                            <w:p w:rsidR="00F562EB" w:rsidRDefault="00932784">
                              <w:pPr>
                                <w:jc w:val="center"/>
                                <w:textDirection w:val="btLr"/>
                              </w:pPr>
                              <w:r>
                                <w:rPr>
                                  <w:color w:val="000000"/>
                                  <w:sz w:val="20"/>
                                </w:rPr>
                                <w:t>LILACS (n=1)</w:t>
                              </w:r>
                            </w:p>
                            <w:p w:rsidR="00F562EB" w:rsidRDefault="00932784">
                              <w:pPr>
                                <w:jc w:val="center"/>
                                <w:textDirection w:val="btLr"/>
                              </w:pPr>
                              <w:r>
                                <w:rPr>
                                  <w:color w:val="000000"/>
                                  <w:sz w:val="20"/>
                                </w:rPr>
                                <w:t>MedLine (n=31)</w:t>
                              </w:r>
                            </w:p>
                            <w:p w:rsidR="00F562EB" w:rsidRDefault="00932784">
                              <w:pPr>
                                <w:jc w:val="center"/>
                                <w:textDirection w:val="btLr"/>
                              </w:pPr>
                              <w:r>
                                <w:rPr>
                                  <w:color w:val="000000"/>
                                  <w:sz w:val="20"/>
                                </w:rPr>
                                <w:t>PePSIC (n=0)</w:t>
                              </w:r>
                            </w:p>
                            <w:p w:rsidR="00F562EB" w:rsidRDefault="00932784">
                              <w:pPr>
                                <w:jc w:val="center"/>
                                <w:textDirection w:val="btLr"/>
                              </w:pPr>
                              <w:r>
                                <w:rPr>
                                  <w:color w:val="000000"/>
                                  <w:sz w:val="20"/>
                                </w:rPr>
                                <w:t>PubMed (n=15)</w:t>
                              </w:r>
                            </w:p>
                            <w:p w:rsidR="00F562EB" w:rsidRDefault="00932784">
                              <w:pPr>
                                <w:jc w:val="center"/>
                                <w:textDirection w:val="btLr"/>
                              </w:pPr>
                              <w:r>
                                <w:rPr>
                                  <w:color w:val="000000"/>
                                  <w:sz w:val="20"/>
                                </w:rPr>
                                <w:t>SciELO (n=1)</w:t>
                              </w:r>
                            </w:p>
                            <w:p w:rsidR="00F562EB" w:rsidRDefault="00932784">
                              <w:pPr>
                                <w:jc w:val="center"/>
                                <w:textDirection w:val="btLr"/>
                              </w:pPr>
                              <w:r>
                                <w:rPr>
                                  <w:color w:val="000000"/>
                                  <w:sz w:val="20"/>
                                </w:rPr>
                                <w:t>Science Direct (n=14)</w:t>
                              </w:r>
                            </w:p>
                          </w:txbxContent>
                        </wps:txbx>
                        <wps:bodyPr spcFirstLastPara="1" wrap="square" lIns="91425" tIns="91425" rIns="91425" bIns="91425" anchor="t" anchorCtr="0">
                          <a:noAutofit/>
                        </wps:bodyPr>
                      </wps:wsp>
                      <wps:wsp>
                        <wps:cNvPr id="11" name="Conector de seta reta 11"/>
                        <wps:cNvCnPr>
                          <a:stCxn id="10" idx="2"/>
                          <a:endCxn id="2" idx="0"/>
                        </wps:cNvCnPr>
                        <wps:spPr>
                          <a:xfrm>
                            <a:off x="1996873" y="1770263"/>
                            <a:ext cx="0" cy="188735"/>
                          </a:xfrm>
                          <a:prstGeom prst="straightConnector1">
                            <a:avLst/>
                          </a:prstGeom>
                          <a:noFill/>
                          <a:ln w="9525" cap="flat" cmpd="sng">
                            <a:solidFill>
                              <a:srgbClr val="000000"/>
                            </a:solidFill>
                            <a:prstDash val="solid"/>
                            <a:round/>
                            <a:headEnd type="none" w="med" len="med"/>
                            <a:tailEnd type="triangle" w="med" len="med"/>
                          </a:ln>
                        </wps:spPr>
                        <wps:bodyPr/>
                      </wps:wsp>
                      <wps:wsp>
                        <wps:cNvPr id="12" name="Conector de seta reta 12"/>
                        <wps:cNvCnPr>
                          <a:stCxn id="2" idx="2"/>
                          <a:endCxn id="3" idx="0"/>
                        </wps:cNvCnPr>
                        <wps:spPr>
                          <a:xfrm>
                            <a:off x="1996873" y="2519791"/>
                            <a:ext cx="0" cy="169075"/>
                          </a:xfrm>
                          <a:prstGeom prst="straightConnector1">
                            <a:avLst/>
                          </a:prstGeom>
                          <a:noFill/>
                          <a:ln w="9525" cap="flat" cmpd="sng">
                            <a:solidFill>
                              <a:srgbClr val="000000"/>
                            </a:solidFill>
                            <a:prstDash val="solid"/>
                            <a:round/>
                            <a:headEnd type="none" w="med" len="med"/>
                            <a:tailEnd type="triangle" w="med" len="med"/>
                          </a:ln>
                        </wps:spPr>
                        <wps:bodyPr/>
                      </wps:wsp>
                      <wps:wsp>
                        <wps:cNvPr id="13" name="Conector de seta reta 13"/>
                        <wps:cNvCnPr>
                          <a:stCxn id="3" idx="2"/>
                          <a:endCxn id="6" idx="0"/>
                        </wps:cNvCnPr>
                        <wps:spPr>
                          <a:xfrm>
                            <a:off x="1996873" y="3249660"/>
                            <a:ext cx="2162" cy="246913"/>
                          </a:xfrm>
                          <a:prstGeom prst="straightConnector1">
                            <a:avLst/>
                          </a:prstGeom>
                          <a:noFill/>
                          <a:ln w="9525" cap="flat" cmpd="sng">
                            <a:solidFill>
                              <a:srgbClr val="000000"/>
                            </a:solidFill>
                            <a:prstDash val="solid"/>
                            <a:round/>
                            <a:headEnd type="none" w="med" len="med"/>
                            <a:tailEnd type="triangle" w="med" len="med"/>
                          </a:ln>
                        </wps:spPr>
                        <wps:bodyPr/>
                      </wps:wsp>
                      <wps:wsp>
                        <wps:cNvPr id="14" name="Conector de seta reta 14"/>
                        <wps:cNvCnPr>
                          <a:stCxn id="10" idx="3"/>
                          <a:endCxn id="1" idx="1"/>
                        </wps:cNvCnPr>
                        <wps:spPr>
                          <a:xfrm>
                            <a:off x="3414575" y="982694"/>
                            <a:ext cx="219872" cy="6427"/>
                          </a:xfrm>
                          <a:prstGeom prst="straightConnector1">
                            <a:avLst/>
                          </a:prstGeom>
                          <a:noFill/>
                          <a:ln w="9525" cap="flat" cmpd="sng">
                            <a:solidFill>
                              <a:srgbClr val="000000"/>
                            </a:solidFill>
                            <a:prstDash val="solid"/>
                            <a:round/>
                            <a:headEnd type="none" w="med" len="med"/>
                            <a:tailEnd type="triangle" w="med" len="med"/>
                          </a:ln>
                        </wps:spPr>
                        <wps:bodyPr/>
                      </wps:wsp>
                      <wps:wsp>
                        <wps:cNvPr id="15" name="Conector de seta reta 15"/>
                        <wps:cNvCnPr>
                          <a:stCxn id="2" idx="3"/>
                          <a:endCxn id="4" idx="1"/>
                        </wps:cNvCnPr>
                        <wps:spPr>
                          <a:xfrm>
                            <a:off x="3414575" y="2239395"/>
                            <a:ext cx="219913" cy="7926"/>
                          </a:xfrm>
                          <a:prstGeom prst="straightConnector1">
                            <a:avLst/>
                          </a:prstGeom>
                          <a:noFill/>
                          <a:ln w="9525" cap="flat" cmpd="sng">
                            <a:solidFill>
                              <a:srgbClr val="000000"/>
                            </a:solidFill>
                            <a:prstDash val="solid"/>
                            <a:round/>
                            <a:headEnd type="none" w="med" len="med"/>
                            <a:tailEnd type="triangle" w="med" len="med"/>
                          </a:ln>
                        </wps:spPr>
                        <wps:bodyPr/>
                      </wps:wsp>
                      <wps:wsp>
                        <wps:cNvPr id="16" name="Conector de seta reta 16"/>
                        <wps:cNvCnPr>
                          <a:stCxn id="3" idx="3"/>
                          <a:endCxn id="5" idx="1"/>
                        </wps:cNvCnPr>
                        <wps:spPr>
                          <a:xfrm>
                            <a:off x="3414575" y="2969263"/>
                            <a:ext cx="219877" cy="1771"/>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inline>
            </w:drawing>
          </mc:Choice>
          <mc:Fallback>
            <w:pict>
              <v:group id="Grupo 27" o:spid="_x0000_s1026" style="width:454.95pt;height:274.9pt;mso-position-horizontal-relative:char;mso-position-vertical-relative:line" coordorigin="421,1951" coordsize="67030,3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K3+AUAALYtAAAOAAAAZHJzL2Uyb0RvYy54bWzsmmtv2zYUhr8P2H8Q9L2xKOpGo06xJW0w&#10;oNgKdPsBjCTbAmRJo5jY+fd7eSjJsa2kzaXDgskBHF1oijx89PLwHL7/sNuUzm2u2qKuFi4781wn&#10;r9I6K6rVwv3rz0/vEtdptawyWdZVvnDv8tb9cP7zT++3zTz363VdZrlyUEnVzrfNwl1r3cxnszZd&#10;5xvZntVNXuHmslYbqXGqVrNMyS1q35Qz3/Oi2bZWWaPqNG9bXL20N91zqn+5zFP9x3LZ5topFy7a&#10;pulb0fe1+Z6dv5fzlZLNuki7ZshntGIjiwoPHaq6lFo6N6o4qWpTpKpu66U+S+vNrF4uizSnPqA3&#10;zDvqzZWqbxrqy2q+XTWDmWDaIzs9u9r099svyimyhevHrlPJDcboSt00tYNzGGfbrOYoc6War80X&#10;1V1Y2TPT391Sbcx/9MTZkVnvBrPmO+2kuBjGcSw4c50U93ggmO+H1vDpGqNjfhf4jHHXwX0mQra/&#10;/bGrIoo97vlgiapIPBF7wlQx61swMw0d2rVtQFO7N1j7MoN9Xcsmp3FojTE6g6FD1l4XsthJJ8sd&#10;jR7XDrN2o6LGaI7e/Vqjj8P1FhdHbMcjHgRBRFaIvST2A2uk3oyceSIRnQ3CyIsFFRhMIOeNavVV&#10;Xm8cc7BwFegnKOXt51Zba/VFzPOr+lNRlrgu52XlbBeuCGF5J5V4D5el1DjcNCCjrVZUTVuXRWZ+&#10;Yn7RqtX1RamcW2neLPp0A3JQzDzvUrZrW45u2V4B7SqjZ69zmX2sMkffNYCvgky4pjHtxnXKHKKC&#10;AyqnZVF+uxzMUVYAwyBgDW2O9O56h0rM4XWd3WFQ2ib9VKBxn2Wrv0iFlx7juYUQ4IF/30iFRpS/&#10;VQBHsMBYRd8/UfdPru+fyCpd19AXGM8eXmhSG2vvX250vSxoKPZN6RoLXm0Dfzi4/gPg+sbOpl1g&#10;/CnghrFgMaxn395EgFEasB5cP+Fh4OH1Ni8vgctNgQncA8AfBpfkeVCPiV+QNCq8RNXL+PWjJEki&#10;mvnkfOL3dYTXuhe9uEz8Bg/wS9P5M/glxyGB+2YEGPzyODoUYM6YF4V4rBHgmMUoMwnwiYfxDQEe&#10;1GUCGO7QqACTV/9cgEPrQfgxS1hExt4rMAEssH4jD8IL44B8lcmDeIoHMcjLBDAWWaMAk24+A+Aw&#10;YZxDXyGvWN9GYXzE74EHzOEtc3rSxO9T+B3UZeJ3CNUchR66kM33reAcVSNIwCKE0fChFX4XxXkX&#10;+gIOg41ECMFDirXs5ZiFQRJ70GuKxgg/OgrGPDkScRAyOIgsXArz13krB8X+DyEL8pwHUZq4R/Br&#10;VLfJnf1e3X6Ee55E8D6Ie59zkbCjlSDzI1zuHGk+gf/DYnUE/qBmE/jiAfBJGV8BfMbDyLfg88CP&#10;uThyYOIwZDEmBCv4iL7T2DzffzlQ8knwKepqYtTE/aBmE/cMa75RxceN1whWD6mm0VgfC+OQ8SlW&#10;cpqN+UasZJCliWAGVe0IxmyZ6lqZTCEy0tJR5gv39yBfVDYz2OqLXUVaYF6AIkP2kAIecMGrrL+F&#10;NA7doTeB8l3I29gazIzwQJaRCRElWJ9SsDCOPXg0pgF7576LsiCQGHNacj2s8q1Wslit9UVd2a6x&#10;t5tu3ORZtxg1R2SRw4SjVoWsVmVOycmT0uMvhMUfldHw/HsZPrZP8Y1Ddz/VdwpdT9Ypc+Dmhcz5&#10;IRPIF44zFwkPXoaxV5/XP1lKTswt3I7Q/xhz+7TcOHOkM52vespcT9YpcwjWvZA57iMoF3WbfYaZ&#10;HpEP69D6QSSw+2TCrt+D8aakDqvxR+fXIew9zI7YvHI6v/az4H5+xcRN3JFWfff8ygMWwG2k+VUk&#10;fmQ36eynV58JbO2x4EVYak3YDVt/3hR2GOFHsRui1aPY9TPsKXXA+YXU+T6W74Kef4Cd0TibAUbg&#10;asLubWK3z1yNT7JDsHgUu36SPcUOOL8UOxGBq77mbt8mqR2yFSZuxGJsEpsm2VeeZDEx0eZg8pm7&#10;jcxm9/H9c1p/7Ldbn/8DAAD//wMAUEsDBBQABgAIAAAAIQDohm8l3QAAAAUBAAAPAAAAZHJzL2Rv&#10;d25yZXYueG1sTI9Ba8JAEIXvhf6HZQq91U1aFZNmIyJtT1JQC6W3MTsmwexsyK5J/Pdue6mXgcd7&#10;vPdNthxNI3rqXG1ZQTyJQBAXVtdcKvjavz8tQDiPrLGxTAou5GCZ399lmGo78Jb6nS9FKGGXooLK&#10;+zaV0hUVGXQT2xIH72g7gz7IrpS6wyGUm0Y+R9FcGqw5LFTY0rqi4rQ7GwUfAw6rl/it35yO68vP&#10;fvb5vYlJqceHcfUKwtPo/8Pwix/QIQ9MB3tm7USjIDzi/27wkihJQBwUzKbJAmSeyVv6/AoAAP//&#10;AwBQSwECLQAUAAYACAAAACEAtoM4kv4AAADhAQAAEwAAAAAAAAAAAAAAAAAAAAAAW0NvbnRlbnRf&#10;VHlwZXNdLnhtbFBLAQItABQABgAIAAAAIQA4/SH/1gAAAJQBAAALAAAAAAAAAAAAAAAAAC8BAABf&#10;cmVscy8ucmVsc1BLAQItABQABgAIAAAAIQDslBK3+AUAALYtAAAOAAAAAAAAAAAAAAAAAC4CAABk&#10;cnMvZTJvRG9jLnhtbFBLAQItABQABgAIAAAAIQDohm8l3QAAAAUBAAAPAAAAAAAAAAAAAAAAAFII&#10;AABkcnMvZG93bnJldi54bWxQSwUGAAAAAAQABADzAAAAXAkAAAAA&#10;">
                <v:shapetype id="_x0000_t202" coordsize="21600,21600" o:spt="202" path="m,l,21600r21600,l21600,xe">
                  <v:stroke joinstyle="miter"/>
                  <v:path gradientshapeok="t" o:connecttype="rect"/>
                </v:shapetype>
                <v:shape id="Caixa de texto 1" o:spid="_x0000_s1027" type="#_x0000_t202" style="position:absolute;left:36344;top:7087;width:31099;height:5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gHgsEA&#10;AADaAAAADwAAAGRycy9kb3ducmV2LnhtbERPS2vCQBC+F/wPywje6kaRmqZuRJTaXhM91NuYnTxo&#10;djZkt5r++26g4Gn4+J6z2Q6mFTfqXWNZwWIegSAurG64UnA+vT/HIJxH1thaJgW/5GCbTp42mGh7&#10;54xuua9ECGGXoILa+y6R0hU1GXRz2xEHrrS9QR9gX0nd4z2Em1Yuo+hFGmw4NNTY0b6m4jv/MQrW&#10;3fFaHnbHNs4+XuPlZb0aDvmXUrPpsHsD4WnwD/G/+1OH+TC+Ml6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4B4LBAAAA2gAAAA8AAAAAAAAAAAAAAAAAmAIAAGRycy9kb3du&#10;cmV2LnhtbFBLBQYAAAAABAAEAPUAAACGAwAAAAA=&#10;" filled="f">
                  <v:stroke startarrowwidth="narrow" startarrowlength="short" endarrowwidth="narrow" endarrowlength="short" joinstyle="round"/>
                  <v:textbox inset="2.53958mm,2.53958mm,2.53958mm,2.53958mm">
                    <w:txbxContent>
                      <w:p w:rsidR="00F562EB" w:rsidRDefault="00932784">
                        <w:pPr>
                          <w:jc w:val="center"/>
                          <w:textDirection w:val="btLr"/>
                        </w:pPr>
                        <w:r>
                          <w:rPr>
                            <w:color w:val="000000"/>
                            <w:sz w:val="20"/>
                          </w:rPr>
                          <w:t>Exclusão:</w:t>
                        </w:r>
                      </w:p>
                      <w:p w:rsidR="00F562EB" w:rsidRDefault="00932784">
                        <w:pPr>
                          <w:jc w:val="center"/>
                          <w:textDirection w:val="btLr"/>
                        </w:pPr>
                        <w:r>
                          <w:rPr>
                            <w:color w:val="000000"/>
                            <w:sz w:val="20"/>
                          </w:rPr>
                          <w:t>Duplicados (n=42)</w:t>
                        </w:r>
                      </w:p>
                    </w:txbxContent>
                  </v:textbox>
                </v:shape>
                <v:shape id="Caixa de texto 2" o:spid="_x0000_s1028" type="#_x0000_t202" style="position:absolute;left:5791;top:19589;width:28354;height:5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qZ9cIA&#10;AADaAAAADwAAAGRycy9kb3ducmV2LnhtbESPQYvCMBSE78L+h/AWvGlqEa3VKLKi7tW6h/X2bJ5t&#10;sXkpTVbrv98IgsdhZr5hFqvO1OJGrassKxgNIxDEudUVFwp+jttBAsJ5ZI21ZVLwIAer5Udvgam2&#10;dz7QLfOFCBB2KSoovW9SKV1ekkE3tA1x8C62NeiDbAupW7wHuKllHEUTabDisFBiQ18l5dfszyiY&#10;NrvzZbPe1clhP0vi03TcbbJfpfqf3XoOwlPn3+FX+1sriOF5Jdw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qpn1wgAAANoAAAAPAAAAAAAAAAAAAAAAAJgCAABkcnMvZG93&#10;bnJldi54bWxQSwUGAAAAAAQABAD1AAAAhwMAAAAA&#10;" filled="f">
                  <v:stroke startarrowwidth="narrow" startarrowlength="short" endarrowwidth="narrow" endarrowlength="short" joinstyle="round"/>
                  <v:textbox inset="2.53958mm,2.53958mm,2.53958mm,2.53958mm">
                    <w:txbxContent>
                      <w:p w:rsidR="00F562EB" w:rsidRDefault="00932784">
                        <w:pPr>
                          <w:jc w:val="center"/>
                          <w:textDirection w:val="btLr"/>
                        </w:pPr>
                        <w:r>
                          <w:rPr>
                            <w:color w:val="000000"/>
                            <w:sz w:val="20"/>
                          </w:rPr>
                          <w:t xml:space="preserve">Trabalhos elegíveis </w:t>
                        </w:r>
                        <w:r w:rsidR="001403E6">
                          <w:rPr>
                            <w:color w:val="000000"/>
                            <w:sz w:val="20"/>
                          </w:rPr>
                          <w:t>para a leitura de título e resum</w:t>
                        </w:r>
                        <w:r>
                          <w:rPr>
                            <w:color w:val="000000"/>
                            <w:sz w:val="20"/>
                          </w:rPr>
                          <w:t>o (n=50)</w:t>
                        </w:r>
                      </w:p>
                    </w:txbxContent>
                  </v:textbox>
                </v:shape>
                <v:shape id="Caixa de texto 3" o:spid="_x0000_s1029" type="#_x0000_t202" style="position:absolute;left:5791;top:26888;width:28354;height:5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Y8bsUA&#10;AADaAAAADwAAAGRycy9kb3ducmV2LnhtbESPzW7CMBCE75X6DtZW6q04pQhCiBNFRfxcSXsotyVe&#10;kqjxOopdSN++RkLqcTQz32jSfDSduNDgWssKXicRCOLK6pZrBZ8fm5cYhPPIGjvLpOCXHOTZ40OK&#10;ibZXPtCl9LUIEHYJKmi87xMpXdWQQTexPXHwznYw6IMcaqkHvAa46eQ0iubSYMthocGe3huqvssf&#10;o2DRb0/ndbHt4sNuGU+Pi9m4Lr+Uen4aixUIT6P/D9/be63gDW5Xwg2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5jxuxQAAANoAAAAPAAAAAAAAAAAAAAAAAJgCAABkcnMv&#10;ZG93bnJldi54bWxQSwUGAAAAAAQABAD1AAAAigMAAAAA&#10;" filled="f">
                  <v:stroke startarrowwidth="narrow" startarrowlength="short" endarrowwidth="narrow" endarrowlength="short" joinstyle="round"/>
                  <v:textbox inset="2.53958mm,2.53958mm,2.53958mm,2.53958mm">
                    <w:txbxContent>
                      <w:p w:rsidR="00F562EB" w:rsidRDefault="00932784">
                        <w:pPr>
                          <w:jc w:val="center"/>
                          <w:textDirection w:val="btLr"/>
                        </w:pPr>
                        <w:r>
                          <w:rPr>
                            <w:color w:val="000000"/>
                            <w:sz w:val="20"/>
                          </w:rPr>
                          <w:t>Trabalhos elegíveis para a leitura na íntegra (n=14)</w:t>
                        </w:r>
                      </w:p>
                    </w:txbxContent>
                  </v:textbox>
                </v:shape>
                <v:shape id="Caixa de texto 4" o:spid="_x0000_s1030" type="#_x0000_t202" style="position:absolute;left:36344;top:18883;width:31107;height:7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kGsIA&#10;AADaAAAADwAAAGRycy9kb3ducmV2LnhtbESPQYvCMBSE74L/IbwFb5quiNZqFFFW92r1oLdn82yL&#10;zUtpslr//UYQPA4z8w0zX7amEndqXGlZwfcgAkGcWV1yruB4+OnHIJxH1lhZJgVPcrBcdDtzTLR9&#10;8J7uqc9FgLBLUEHhfZ1I6bKCDLqBrYmDd7WNQR9kk0vd4CPATSWHUTSWBksOCwXWtC4ou6V/RsGk&#10;3l6um9W2ive7aTw8T0btJj0p1ftqVzMQnlr/Cb/bv1rBCF5Xwg2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D6QawgAAANoAAAAPAAAAAAAAAAAAAAAAAJgCAABkcnMvZG93&#10;bnJldi54bWxQSwUGAAAAAAQABAD1AAAAhwMAAAAA&#10;" filled="f">
                  <v:stroke startarrowwidth="narrow" startarrowlength="short" endarrowwidth="narrow" endarrowlength="short" joinstyle="round"/>
                  <v:textbox inset="2.53958mm,2.53958mm,2.53958mm,2.53958mm">
                    <w:txbxContent>
                      <w:p w:rsidR="00F562EB" w:rsidRDefault="00932784">
                        <w:pPr>
                          <w:jc w:val="center"/>
                          <w:textDirection w:val="btLr"/>
                        </w:pPr>
                        <w:r>
                          <w:rPr>
                            <w:color w:val="000000"/>
                            <w:sz w:val="20"/>
                          </w:rPr>
                          <w:t>Exclusão:</w:t>
                        </w:r>
                      </w:p>
                      <w:p w:rsidR="00F562EB" w:rsidRDefault="00932784">
                        <w:pPr>
                          <w:jc w:val="center"/>
                          <w:textDirection w:val="btLr"/>
                        </w:pPr>
                        <w:r>
                          <w:rPr>
                            <w:color w:val="000000"/>
                            <w:sz w:val="20"/>
                          </w:rPr>
                          <w:t>Não preencheram os critérios de inclusão (n=35)</w:t>
                        </w:r>
                      </w:p>
                      <w:p w:rsidR="00F562EB" w:rsidRDefault="00932784">
                        <w:pPr>
                          <w:jc w:val="center"/>
                          <w:textDirection w:val="btLr"/>
                        </w:pPr>
                        <w:r>
                          <w:rPr>
                            <w:color w:val="000000"/>
                            <w:sz w:val="20"/>
                          </w:rPr>
                          <w:t>Preencheu os critérios de exclusão (n=1)</w:t>
                        </w:r>
                      </w:p>
                    </w:txbxContent>
                  </v:textbox>
                </v:shape>
                <v:shape id="Caixa de texto 5" o:spid="_x0000_s1031" type="#_x0000_t202" style="position:absolute;left:36344;top:27181;width:31107;height:5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BgcUA&#10;AADaAAAADwAAAGRycy9kb3ducmV2LnhtbESPzW7CMBCE75X6DtZW6q04RQVCiBNFRfxcSXsotyVe&#10;kqjxOopdSN++RkLqcTQz32jSfDSduNDgWssKXicRCOLK6pZrBZ8fm5cYhPPIGjvLpOCXHOTZ40OK&#10;ibZXPtCl9LUIEHYJKmi87xMpXdWQQTexPXHwznYw6IMcaqkHvAa46eQ0iubSYMthocGe3huqvssf&#10;o2DRb0/ndbHt4sNuGU+Pi7dxXX4p9fw0FisQnkb/H76391rBDG5Xwg2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QwGBxQAAANoAAAAPAAAAAAAAAAAAAAAAAJgCAABkcnMv&#10;ZG93bnJldi54bWxQSwUGAAAAAAQABAD1AAAAigMAAAAA&#10;" filled="f">
                  <v:stroke startarrowwidth="narrow" startarrowlength="short" endarrowwidth="narrow" endarrowlength="short" joinstyle="round"/>
                  <v:textbox inset="2.53958mm,2.53958mm,2.53958mm,2.53958mm">
                    <w:txbxContent>
                      <w:p w:rsidR="00F562EB" w:rsidRDefault="00932784">
                        <w:pPr>
                          <w:jc w:val="center"/>
                          <w:textDirection w:val="btLr"/>
                        </w:pPr>
                        <w:r>
                          <w:rPr>
                            <w:color w:val="000000"/>
                            <w:sz w:val="20"/>
                          </w:rPr>
                          <w:t>Exclusão:</w:t>
                        </w:r>
                      </w:p>
                      <w:p w:rsidR="00F562EB" w:rsidRDefault="00932784">
                        <w:pPr>
                          <w:jc w:val="center"/>
                          <w:textDirection w:val="btLr"/>
                        </w:pPr>
                        <w:r>
                          <w:rPr>
                            <w:color w:val="000000"/>
                            <w:sz w:val="20"/>
                          </w:rPr>
                          <w:t>Não preencheram os critérios de inclusão (n=3)</w:t>
                        </w:r>
                      </w:p>
                    </w:txbxContent>
                  </v:textbox>
                </v:shape>
                <v:shape id="Caixa de texto 6" o:spid="_x0000_s1032" type="#_x0000_t202" style="position:absolute;left:5813;top:34965;width:28354;height:3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Gf9sQA&#10;AADaAAAADwAAAGRycy9kb3ducmV2LnhtbESPQWvCQBSE7wX/w/IEb3VjEE3TrBKU2l6NHurtmX0m&#10;odm3IbuN6b/vFgoeh5n5hsm2o2nFQL1rLCtYzCMQxKXVDVcKzqe35wSE88gaW8uk4IccbDeTpwxT&#10;be98pKHwlQgQdikqqL3vUildWZNBN7cdcfButjfog+wrqXu8B7hpZRxFK2mw4bBQY0e7msqv4tso&#10;WHeH622fH9rk+P6SxJf1ctwXn0rNpmP+CsLT6B/h//aHVrCCvyvhB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Rn/bEAAAA2gAAAA8AAAAAAAAAAAAAAAAAmAIAAGRycy9k&#10;b3ducmV2LnhtbFBLBQYAAAAABAAEAPUAAACJAwAAAAA=&#10;" filled="f">
                  <v:stroke startarrowwidth="narrow" startarrowlength="short" endarrowwidth="narrow" endarrowlength="short" joinstyle="round"/>
                  <v:textbox inset="2.53958mm,2.53958mm,2.53958mm,2.53958mm">
                    <w:txbxContent>
                      <w:p w:rsidR="00F562EB" w:rsidRDefault="00932784">
                        <w:pPr>
                          <w:jc w:val="center"/>
                          <w:textDirection w:val="btLr"/>
                        </w:pPr>
                        <w:r>
                          <w:rPr>
                            <w:b/>
                            <w:color w:val="000000"/>
                            <w:sz w:val="20"/>
                          </w:rPr>
                          <w:t>Amostra final (n=11)</w:t>
                        </w:r>
                      </w:p>
                    </w:txbxContent>
                  </v:textbox>
                </v:shape>
                <v:shape id="Caixa de texto 7" o:spid="_x0000_s1033" type="#_x0000_t202" style="position:absolute;left:-5292;top:7994;width:15487;height:392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HCMQA&#10;AADaAAAADwAAAGRycy9kb3ducmV2LnhtbESPQWvCQBSE7wX/w/KEXkQ3baGVmI2oxWIvUqPg9ZF9&#10;JsHdtyG7atpf3y0IPQ4z8w2TzXtrxJU63zhW8DRJQBCXTjdcKTjs1+MpCB+QNRrHpOCbPMzzwUOG&#10;qXY33tG1CJWIEPYpKqhDaFMpfVmTRT9xLXH0Tq6zGKLsKqk7vEW4NfI5SV6lxYbjQo0trWoqz8XF&#10;KnDNaLl/MT/9Z+vk1+bjfbU9mkKpx2G/mIEI1If/8L290Qre4O9Kv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HBwjEAAAA2gAAAA8AAAAAAAAAAAAAAAAAmAIAAGRycy9k&#10;b3ducmV2LnhtbFBLBQYAAAAABAAEAPUAAACJAwAAAAA=&#10;" fillcolor="#d9d9d9">
                  <v:stroke startarrowwidth="narrow" startarrowlength="short" endarrowwidth="narrow" endarrowlength="short" joinstyle="round"/>
                  <v:textbox inset="2.53958mm,2.53958mm,2.53958mm,2.53958mm">
                    <w:txbxContent>
                      <w:p w:rsidR="00F562EB" w:rsidRDefault="00932784">
                        <w:pPr>
                          <w:jc w:val="center"/>
                          <w:textDirection w:val="btLr"/>
                        </w:pPr>
                        <w:r>
                          <w:rPr>
                            <w:b/>
                            <w:color w:val="000000"/>
                            <w:sz w:val="20"/>
                          </w:rPr>
                          <w:t>Identificação</w:t>
                        </w:r>
                      </w:p>
                    </w:txbxContent>
                  </v:textbox>
                </v:shape>
                <v:shape id="Caixa de texto 8" o:spid="_x0000_s1034" type="#_x0000_t202" style="position:absolute;left:-3862;top:23398;width:12634;height:392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TesAA&#10;AADaAAAADwAAAGRycy9kb3ducmV2LnhtbERPTYvCMBC9C/6HMAteZE1VEKlGWRXFvYjWBa9DM9uW&#10;TSaliVr99ZuD4PHxvufL1hpxo8ZXjhUMBwkI4tzpigsFP+ft5xSED8gajWNS8CAPy0W3M8dUuzuf&#10;6JaFQsQQ9ikqKEOoUyl9XpJFP3A1ceR+XWMxRNgUUjd4j+HWyFGSTKTFimNDiTWtS8r/sqtV4Kr+&#10;6jw2z/a7dvK4323Wh4vJlOp9tF8zEIHa8Ba/3HutIG6NV+INk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iTesAAAADaAAAADwAAAAAAAAAAAAAAAACYAgAAZHJzL2Rvd25y&#10;ZXYueG1sUEsFBgAAAAAEAAQA9QAAAIUDAAAAAA==&#10;" fillcolor="#d9d9d9">
                  <v:stroke startarrowwidth="narrow" startarrowlength="short" endarrowwidth="narrow" endarrowlength="short" joinstyle="round"/>
                  <v:textbox inset="2.53958mm,2.53958mm,2.53958mm,2.53958mm">
                    <w:txbxContent>
                      <w:p w:rsidR="00F562EB" w:rsidRDefault="00932784">
                        <w:pPr>
                          <w:jc w:val="center"/>
                          <w:textDirection w:val="btLr"/>
                        </w:pPr>
                        <w:r>
                          <w:rPr>
                            <w:b/>
                            <w:color w:val="000000"/>
                            <w:sz w:val="20"/>
                          </w:rPr>
                          <w:t>Triagem</w:t>
                        </w:r>
                      </w:p>
                    </w:txbxContent>
                  </v:textbox>
                </v:shape>
                <v:shape id="Caixa de texto 9" o:spid="_x0000_s1035" type="#_x0000_t202" style="position:absolute;left:-1356;top:34273;width:7552;height:399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Q24cQA&#10;AADaAAAADwAAAGRycy9kb3ducmV2LnhtbESPQWvCQBSE7wX/w/KEXkQ3baHUmI2oxWIvUqPg9ZF9&#10;JsHdtyG7atpf3y0IPQ4z8w2TzXtrxJU63zhW8DRJQBCXTjdcKTjs1+M3ED4gazSOScE3eZjng4cM&#10;U+1uvKNrESoRIexTVFCH0KZS+rImi37iWuLonVxnMUTZVVJ3eItwa+RzkrxKiw3HhRpbWtVUnouL&#10;VeCa0XL/Yn76z9bJr83H+2p7NIVSj8N+MQMRqA//4Xt7oxVM4e9Kv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UNuHEAAAA2gAAAA8AAAAAAAAAAAAAAAAAmAIAAGRycy9k&#10;b3ducmV2LnhtbFBLBQYAAAAABAAEAPUAAACJAwAAAAA=&#10;" fillcolor="#d9d9d9">
                  <v:stroke startarrowwidth="narrow" startarrowlength="short" endarrowwidth="narrow" endarrowlength="short" joinstyle="round"/>
                  <v:textbox inset="2.53958mm,2.53958mm,2.53958mm,2.53958mm">
                    <w:txbxContent>
                      <w:p w:rsidR="00F562EB" w:rsidRDefault="00932784">
                        <w:pPr>
                          <w:jc w:val="center"/>
                          <w:textDirection w:val="btLr"/>
                        </w:pPr>
                        <w:r>
                          <w:rPr>
                            <w:b/>
                            <w:color w:val="000000"/>
                            <w:sz w:val="20"/>
                          </w:rPr>
                          <w:t>Inclusão</w:t>
                        </w:r>
                      </w:p>
                    </w:txbxContent>
                  </v:textbox>
                </v:shape>
                <v:shape id="Caixa de texto 10" o:spid="_x0000_s1036" type="#_x0000_t202" style="position:absolute;left:5791;top:1951;width:28354;height:15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xjncQA&#10;AADbAAAADwAAAGRycy9kb3ducmV2LnhtbESPQW/CMAyF75P4D5GRuI10CEHXERACAbtSdthuXmPa&#10;ao1TNQHKv58PSNxsvef3Pi9WvWvUlbpQezbwNk5AERfe1lwa+DrtXlNQISJbbDyTgTsFWC0HLwvM&#10;rL/xka55LJWEcMjQQBVjm2kdioochrFviUU7+85hlLUrte3wJuGu0ZMkmWmHNUtDhS1tKir+8osz&#10;MG/3v+ftet+kx8N7OvmZT/tt/m3MaNivP0BF6uPT/Lj+tIIv9PKLD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cY53EAAAA2wAAAA8AAAAAAAAAAAAAAAAAmAIAAGRycy9k&#10;b3ducmV2LnhtbFBLBQYAAAAABAAEAPUAAACJAwAAAAA=&#10;" filled="f">
                  <v:stroke startarrowwidth="narrow" startarrowlength="short" endarrowwidth="narrow" endarrowlength="short" joinstyle="round"/>
                  <v:textbox inset="2.53958mm,2.53958mm,2.53958mm,2.53958mm">
                    <w:txbxContent>
                      <w:p w:rsidR="00F562EB" w:rsidRDefault="00932784">
                        <w:pPr>
                          <w:jc w:val="center"/>
                          <w:textDirection w:val="btLr"/>
                        </w:pPr>
                        <w:r>
                          <w:rPr>
                            <w:color w:val="000000"/>
                            <w:sz w:val="20"/>
                          </w:rPr>
                          <w:t>Bases de Dados:</w:t>
                        </w:r>
                      </w:p>
                      <w:p w:rsidR="00F562EB" w:rsidRDefault="00932784">
                        <w:pPr>
                          <w:jc w:val="center"/>
                          <w:textDirection w:val="btLr"/>
                        </w:pPr>
                        <w:r>
                          <w:rPr>
                            <w:color w:val="000000"/>
                            <w:sz w:val="20"/>
                          </w:rPr>
                          <w:t>EBSCO (n=30)</w:t>
                        </w:r>
                      </w:p>
                      <w:p w:rsidR="00F562EB" w:rsidRDefault="00932784">
                        <w:pPr>
                          <w:jc w:val="center"/>
                          <w:textDirection w:val="btLr"/>
                        </w:pPr>
                        <w:r>
                          <w:rPr>
                            <w:color w:val="000000"/>
                            <w:sz w:val="20"/>
                          </w:rPr>
                          <w:t>LILACS (n=1)</w:t>
                        </w:r>
                      </w:p>
                      <w:p w:rsidR="00F562EB" w:rsidRDefault="00932784">
                        <w:pPr>
                          <w:jc w:val="center"/>
                          <w:textDirection w:val="btLr"/>
                        </w:pPr>
                        <w:r>
                          <w:rPr>
                            <w:color w:val="000000"/>
                            <w:sz w:val="20"/>
                          </w:rPr>
                          <w:t>MedLine (n=31)</w:t>
                        </w:r>
                      </w:p>
                      <w:p w:rsidR="00F562EB" w:rsidRDefault="00932784">
                        <w:pPr>
                          <w:jc w:val="center"/>
                          <w:textDirection w:val="btLr"/>
                        </w:pPr>
                        <w:r>
                          <w:rPr>
                            <w:color w:val="000000"/>
                            <w:sz w:val="20"/>
                          </w:rPr>
                          <w:t>PePSIC (n=0)</w:t>
                        </w:r>
                      </w:p>
                      <w:p w:rsidR="00F562EB" w:rsidRDefault="00932784">
                        <w:pPr>
                          <w:jc w:val="center"/>
                          <w:textDirection w:val="btLr"/>
                        </w:pPr>
                        <w:r>
                          <w:rPr>
                            <w:color w:val="000000"/>
                            <w:sz w:val="20"/>
                          </w:rPr>
                          <w:t>PubMed (n=15)</w:t>
                        </w:r>
                      </w:p>
                      <w:p w:rsidR="00F562EB" w:rsidRDefault="00932784">
                        <w:pPr>
                          <w:jc w:val="center"/>
                          <w:textDirection w:val="btLr"/>
                        </w:pPr>
                        <w:r>
                          <w:rPr>
                            <w:color w:val="000000"/>
                            <w:sz w:val="20"/>
                          </w:rPr>
                          <w:t>SciELO (n=1)</w:t>
                        </w:r>
                      </w:p>
                      <w:p w:rsidR="00F562EB" w:rsidRDefault="00932784">
                        <w:pPr>
                          <w:jc w:val="center"/>
                          <w:textDirection w:val="btLr"/>
                        </w:pPr>
                        <w:r>
                          <w:rPr>
                            <w:color w:val="000000"/>
                            <w:sz w:val="20"/>
                          </w:rPr>
                          <w:t>Science Direct (n=14)</w:t>
                        </w:r>
                      </w:p>
                    </w:txbxContent>
                  </v:textbox>
                </v:shape>
                <v:shapetype id="_x0000_t32" coordsize="21600,21600" o:spt="32" o:oned="t" path="m,l21600,21600e" filled="f">
                  <v:path arrowok="t" fillok="f" o:connecttype="none"/>
                  <o:lock v:ext="edit" shapetype="t"/>
                </v:shapetype>
                <v:shape id="Conector de seta reta 11" o:spid="_x0000_s1037" type="#_x0000_t32" style="position:absolute;left:19968;top:17702;width:0;height:18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Conector de seta reta 12" o:spid="_x0000_s1038" type="#_x0000_t32" style="position:absolute;left:19968;top:25197;width:0;height:16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Conector de seta reta 13" o:spid="_x0000_s1039" type="#_x0000_t32" style="position:absolute;left:19968;top:32496;width:22;height:2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Conector de seta reta 14" o:spid="_x0000_s1040" type="#_x0000_t32" style="position:absolute;left:34145;top:9826;width:2199;height: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Conector de seta reta 15" o:spid="_x0000_s1041" type="#_x0000_t32" style="position:absolute;left:34145;top:22393;width:2199;height: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Conector de seta reta 16" o:spid="_x0000_s1042" type="#_x0000_t32" style="position:absolute;left:34145;top:29692;width:2199;height: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w10:anchorlock/>
              </v:group>
            </w:pict>
          </mc:Fallback>
        </mc:AlternateContent>
      </w:r>
      <w:bookmarkStart w:id="0" w:name="_GoBack"/>
      <w:bookmarkEnd w:id="0"/>
    </w:p>
    <w:p w:rsidR="00F562EB" w:rsidRDefault="00F562EB">
      <w:pPr>
        <w:spacing w:line="360" w:lineRule="auto"/>
        <w:ind w:firstLine="708"/>
        <w:jc w:val="both"/>
      </w:pPr>
    </w:p>
    <w:p w:rsidR="00F562EB" w:rsidRDefault="00932784">
      <w:pPr>
        <w:spacing w:line="360" w:lineRule="auto"/>
        <w:ind w:firstLine="708"/>
        <w:jc w:val="both"/>
      </w:pPr>
      <w:r>
        <w:t>Após a leitura dos artigos elegíveis, 3 trabalhos foram excluídos por não preencherem o primeiro critério de inclusão. A amostra final foi de 11 artigos, cujos dados extraídos encontram-se representados pela Tabela 1. As informações foram organizadas em oi</w:t>
      </w:r>
      <w:r>
        <w:t xml:space="preserve">to colunas: número do artigo, autoria e ano, país de origem, qualidade, método, objetivo, </w:t>
      </w:r>
      <w:proofErr w:type="gramStart"/>
      <w:r>
        <w:t>amostra</w:t>
      </w:r>
      <w:proofErr w:type="gramEnd"/>
      <w:r>
        <w:t xml:space="preserve"> e desfechos primários (achados sobre TOC e DC comórbidos).</w:t>
      </w:r>
    </w:p>
    <w:p w:rsidR="002E5FFF" w:rsidRDefault="002E5FFF">
      <w:pPr>
        <w:spacing w:line="360" w:lineRule="auto"/>
        <w:ind w:firstLine="708"/>
        <w:jc w:val="both"/>
        <w:sectPr w:rsidR="002E5FFF">
          <w:headerReference w:type="even" r:id="rId11"/>
          <w:headerReference w:type="default" r:id="rId12"/>
          <w:footerReference w:type="even" r:id="rId13"/>
          <w:footerReference w:type="default" r:id="rId14"/>
          <w:pgSz w:w="11906" w:h="16838"/>
          <w:pgMar w:top="1417" w:right="1417" w:bottom="1417" w:left="1417" w:header="720" w:footer="720" w:gutter="0"/>
          <w:pgNumType w:start="1"/>
          <w:cols w:space="720"/>
        </w:sectPr>
      </w:pPr>
    </w:p>
    <w:p w:rsidR="00F562EB" w:rsidRDefault="00932784">
      <w:pPr>
        <w:spacing w:line="360" w:lineRule="auto"/>
        <w:jc w:val="both"/>
        <w:rPr>
          <w:i/>
          <w:sz w:val="20"/>
          <w:szCs w:val="20"/>
        </w:rPr>
      </w:pPr>
      <w:r>
        <w:rPr>
          <w:sz w:val="20"/>
          <w:szCs w:val="20"/>
        </w:rPr>
        <w:lastRenderedPageBreak/>
        <w:t xml:space="preserve">Tabela 1 – </w:t>
      </w:r>
      <w:r>
        <w:rPr>
          <w:i/>
          <w:sz w:val="20"/>
          <w:szCs w:val="20"/>
        </w:rPr>
        <w:t>Amostra final</w:t>
      </w:r>
    </w:p>
    <w:sdt>
      <w:sdtPr>
        <w:tag w:val="goog_rdk_0"/>
        <w:id w:val="-1242097236"/>
        <w:lock w:val="contentLocked"/>
      </w:sdtPr>
      <w:sdtEndPr/>
      <w:sdtContent>
        <w:tbl>
          <w:tblPr>
            <w:tblStyle w:val="a0"/>
            <w:tblW w:w="14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1350"/>
            <w:gridCol w:w="1110"/>
            <w:gridCol w:w="1185"/>
            <w:gridCol w:w="1440"/>
            <w:gridCol w:w="2460"/>
            <w:gridCol w:w="2235"/>
            <w:gridCol w:w="3645"/>
          </w:tblGrid>
          <w:tr w:rsidR="00F562EB">
            <w:trPr>
              <w:tblHeader/>
            </w:trPr>
            <w:tc>
              <w:tcPr>
                <w:tcW w:w="600" w:type="dxa"/>
                <w:tcBorders>
                  <w:left w:val="nil"/>
                  <w:right w:val="nil"/>
                </w:tcBorders>
                <w:vAlign w:val="center"/>
              </w:tcPr>
              <w:p w:rsidR="00F562EB" w:rsidRDefault="00932784">
                <w:pPr>
                  <w:widowControl w:val="0"/>
                  <w:jc w:val="center"/>
                  <w:rPr>
                    <w:b/>
                  </w:rPr>
                </w:pPr>
                <w:r>
                  <w:rPr>
                    <w:b/>
                    <w:sz w:val="20"/>
                    <w:szCs w:val="20"/>
                  </w:rPr>
                  <w:t>N.º</w:t>
                </w:r>
              </w:p>
            </w:tc>
            <w:tc>
              <w:tcPr>
                <w:tcW w:w="1350" w:type="dxa"/>
                <w:tcBorders>
                  <w:left w:val="nil"/>
                  <w:right w:val="nil"/>
                </w:tcBorders>
                <w:vAlign w:val="center"/>
              </w:tcPr>
              <w:p w:rsidR="00F562EB" w:rsidRDefault="00932784">
                <w:pPr>
                  <w:widowControl w:val="0"/>
                  <w:jc w:val="center"/>
                  <w:rPr>
                    <w:b/>
                  </w:rPr>
                </w:pPr>
                <w:r>
                  <w:rPr>
                    <w:b/>
                    <w:sz w:val="20"/>
                    <w:szCs w:val="20"/>
                  </w:rPr>
                  <w:t>Autoria e ano</w:t>
                </w:r>
              </w:p>
            </w:tc>
            <w:tc>
              <w:tcPr>
                <w:tcW w:w="1110" w:type="dxa"/>
                <w:tcBorders>
                  <w:left w:val="nil"/>
                  <w:right w:val="nil"/>
                </w:tcBorders>
                <w:vAlign w:val="center"/>
              </w:tcPr>
              <w:p w:rsidR="00F562EB" w:rsidRDefault="00932784">
                <w:pPr>
                  <w:widowControl w:val="0"/>
                  <w:jc w:val="center"/>
                  <w:rPr>
                    <w:b/>
                  </w:rPr>
                </w:pPr>
                <w:r>
                  <w:rPr>
                    <w:b/>
                    <w:sz w:val="20"/>
                    <w:szCs w:val="20"/>
                  </w:rPr>
                  <w:t>País de origem</w:t>
                </w:r>
              </w:p>
            </w:tc>
            <w:tc>
              <w:tcPr>
                <w:tcW w:w="1185" w:type="dxa"/>
                <w:tcBorders>
                  <w:left w:val="nil"/>
                  <w:right w:val="nil"/>
                </w:tcBorders>
                <w:vAlign w:val="center"/>
              </w:tcPr>
              <w:p w:rsidR="00F562EB" w:rsidRDefault="00932784">
                <w:pPr>
                  <w:widowControl w:val="0"/>
                  <w:jc w:val="center"/>
                  <w:rPr>
                    <w:b/>
                  </w:rPr>
                </w:pPr>
                <w:r>
                  <w:rPr>
                    <w:b/>
                    <w:sz w:val="20"/>
                    <w:szCs w:val="20"/>
                  </w:rPr>
                  <w:t>Qualidade</w:t>
                </w:r>
              </w:p>
            </w:tc>
            <w:tc>
              <w:tcPr>
                <w:tcW w:w="1440" w:type="dxa"/>
                <w:tcBorders>
                  <w:left w:val="nil"/>
                  <w:right w:val="nil"/>
                </w:tcBorders>
                <w:vAlign w:val="center"/>
              </w:tcPr>
              <w:p w:rsidR="00F562EB" w:rsidRDefault="00932784">
                <w:pPr>
                  <w:widowControl w:val="0"/>
                  <w:jc w:val="center"/>
                  <w:rPr>
                    <w:b/>
                  </w:rPr>
                </w:pPr>
                <w:r>
                  <w:rPr>
                    <w:b/>
                    <w:sz w:val="20"/>
                    <w:szCs w:val="20"/>
                  </w:rPr>
                  <w:t>Método</w:t>
                </w:r>
              </w:p>
            </w:tc>
            <w:tc>
              <w:tcPr>
                <w:tcW w:w="2460" w:type="dxa"/>
                <w:tcBorders>
                  <w:left w:val="nil"/>
                  <w:right w:val="nil"/>
                </w:tcBorders>
                <w:vAlign w:val="center"/>
              </w:tcPr>
              <w:p w:rsidR="00F562EB" w:rsidRDefault="00932784">
                <w:pPr>
                  <w:widowControl w:val="0"/>
                  <w:jc w:val="center"/>
                  <w:rPr>
                    <w:b/>
                  </w:rPr>
                </w:pPr>
                <w:r>
                  <w:rPr>
                    <w:b/>
                    <w:sz w:val="20"/>
                    <w:szCs w:val="20"/>
                  </w:rPr>
                  <w:t>Objetivo</w:t>
                </w:r>
              </w:p>
            </w:tc>
            <w:tc>
              <w:tcPr>
                <w:tcW w:w="2235" w:type="dxa"/>
                <w:tcBorders>
                  <w:left w:val="nil"/>
                  <w:right w:val="nil"/>
                </w:tcBorders>
                <w:vAlign w:val="center"/>
              </w:tcPr>
              <w:p w:rsidR="00F562EB" w:rsidRDefault="00932784">
                <w:pPr>
                  <w:widowControl w:val="0"/>
                  <w:jc w:val="center"/>
                  <w:rPr>
                    <w:b/>
                  </w:rPr>
                </w:pPr>
                <w:r>
                  <w:rPr>
                    <w:b/>
                    <w:sz w:val="20"/>
                    <w:szCs w:val="20"/>
                  </w:rPr>
                  <w:t>Amostra</w:t>
                </w:r>
              </w:p>
            </w:tc>
            <w:tc>
              <w:tcPr>
                <w:tcW w:w="3645" w:type="dxa"/>
                <w:tcBorders>
                  <w:left w:val="nil"/>
                  <w:right w:val="nil"/>
                </w:tcBorders>
                <w:vAlign w:val="center"/>
              </w:tcPr>
              <w:p w:rsidR="00F562EB" w:rsidRDefault="00932784">
                <w:pPr>
                  <w:widowControl w:val="0"/>
                  <w:jc w:val="center"/>
                  <w:rPr>
                    <w:b/>
                  </w:rPr>
                </w:pPr>
                <w:r>
                  <w:rPr>
                    <w:b/>
                    <w:sz w:val="20"/>
                    <w:szCs w:val="20"/>
                  </w:rPr>
                  <w:t>Desfechos primários</w:t>
                </w:r>
              </w:p>
            </w:tc>
          </w:tr>
          <w:tr w:rsidR="00F562EB">
            <w:tc>
              <w:tcPr>
                <w:tcW w:w="600" w:type="dxa"/>
                <w:tcBorders>
                  <w:left w:val="nil"/>
                  <w:bottom w:val="nil"/>
                  <w:right w:val="nil"/>
                </w:tcBorders>
                <w:vAlign w:val="center"/>
              </w:tcPr>
              <w:p w:rsidR="00F562EB" w:rsidRDefault="00932784">
                <w:pPr>
                  <w:widowControl w:val="0"/>
                </w:pPr>
                <w:r>
                  <w:rPr>
                    <w:sz w:val="20"/>
                    <w:szCs w:val="20"/>
                  </w:rPr>
                  <w:t>A1</w:t>
                </w:r>
              </w:p>
            </w:tc>
            <w:tc>
              <w:tcPr>
                <w:tcW w:w="1350" w:type="dxa"/>
                <w:tcBorders>
                  <w:left w:val="nil"/>
                  <w:bottom w:val="nil"/>
                  <w:right w:val="nil"/>
                </w:tcBorders>
                <w:vAlign w:val="center"/>
              </w:tcPr>
              <w:p w:rsidR="00F562EB" w:rsidRDefault="00932784">
                <w:pPr>
                  <w:widowControl w:val="0"/>
                </w:pPr>
                <w:r>
                  <w:rPr>
                    <w:sz w:val="20"/>
                    <w:szCs w:val="20"/>
                  </w:rPr>
                  <w:t>Sadrzadeh-</w:t>
                </w:r>
              </w:p>
              <w:p w:rsidR="00F562EB" w:rsidRDefault="00932784">
                <w:pPr>
                  <w:widowControl w:val="0"/>
                </w:pPr>
                <w:r>
                  <w:rPr>
                    <w:sz w:val="20"/>
                    <w:szCs w:val="20"/>
                  </w:rPr>
                  <w:t>-Afshar et al., 2023</w:t>
                </w:r>
              </w:p>
            </w:tc>
            <w:tc>
              <w:tcPr>
                <w:tcW w:w="1110" w:type="dxa"/>
                <w:tcBorders>
                  <w:left w:val="nil"/>
                  <w:bottom w:val="nil"/>
                  <w:right w:val="nil"/>
                </w:tcBorders>
                <w:vAlign w:val="center"/>
              </w:tcPr>
              <w:p w:rsidR="00F562EB" w:rsidRDefault="00932784">
                <w:pPr>
                  <w:widowControl w:val="0"/>
                </w:pPr>
                <w:r>
                  <w:rPr>
                    <w:sz w:val="20"/>
                    <w:szCs w:val="20"/>
                  </w:rPr>
                  <w:t>Irã</w:t>
                </w:r>
              </w:p>
            </w:tc>
            <w:tc>
              <w:tcPr>
                <w:tcW w:w="1185" w:type="dxa"/>
                <w:tcBorders>
                  <w:left w:val="nil"/>
                  <w:bottom w:val="nil"/>
                  <w:right w:val="nil"/>
                </w:tcBorders>
                <w:vAlign w:val="center"/>
              </w:tcPr>
              <w:p w:rsidR="00F562EB" w:rsidRDefault="00932784">
                <w:pPr>
                  <w:widowControl w:val="0"/>
                </w:pPr>
                <w:r>
                  <w:rPr>
                    <w:sz w:val="20"/>
                    <w:szCs w:val="20"/>
                  </w:rPr>
                  <w:t>Regular</w:t>
                </w:r>
              </w:p>
            </w:tc>
            <w:tc>
              <w:tcPr>
                <w:tcW w:w="1440" w:type="dxa"/>
                <w:tcBorders>
                  <w:left w:val="nil"/>
                  <w:bottom w:val="nil"/>
                  <w:right w:val="nil"/>
                </w:tcBorders>
                <w:vAlign w:val="center"/>
              </w:tcPr>
              <w:p w:rsidR="00F562EB" w:rsidRDefault="00932784">
                <w:pPr>
                  <w:widowControl w:val="0"/>
                </w:pPr>
                <w:r>
                  <w:rPr>
                    <w:sz w:val="20"/>
                    <w:szCs w:val="20"/>
                  </w:rPr>
                  <w:t>Observacional transversal</w:t>
                </w:r>
              </w:p>
            </w:tc>
            <w:tc>
              <w:tcPr>
                <w:tcW w:w="2460" w:type="dxa"/>
                <w:tcBorders>
                  <w:left w:val="nil"/>
                  <w:bottom w:val="nil"/>
                  <w:right w:val="nil"/>
                </w:tcBorders>
                <w:vAlign w:val="center"/>
              </w:tcPr>
              <w:p w:rsidR="00F562EB" w:rsidRDefault="00932784">
                <w:pPr>
                  <w:widowControl w:val="0"/>
                </w:pPr>
                <w:r>
                  <w:rPr>
                    <w:sz w:val="20"/>
                    <w:szCs w:val="20"/>
                  </w:rPr>
                  <w:t>Investigar o efeito do TOC na DTM</w:t>
                </w:r>
              </w:p>
            </w:tc>
            <w:tc>
              <w:tcPr>
                <w:tcW w:w="2235" w:type="dxa"/>
                <w:tcBorders>
                  <w:left w:val="nil"/>
                  <w:bottom w:val="nil"/>
                  <w:right w:val="nil"/>
                </w:tcBorders>
                <w:vAlign w:val="center"/>
              </w:tcPr>
              <w:p w:rsidR="00F562EB" w:rsidRDefault="00932784">
                <w:pPr>
                  <w:widowControl w:val="0"/>
                </w:pPr>
                <w:r>
                  <w:rPr>
                    <w:sz w:val="20"/>
                    <w:szCs w:val="20"/>
                  </w:rPr>
                  <w:t>Total: 385</w:t>
                </w:r>
              </w:p>
              <w:p w:rsidR="00F562EB" w:rsidRDefault="00932784">
                <w:pPr>
                  <w:widowControl w:val="0"/>
                </w:pPr>
                <w:r>
                  <w:rPr>
                    <w:sz w:val="20"/>
                    <w:szCs w:val="20"/>
                  </w:rPr>
                  <w:t>Controle: 198</w:t>
                </w:r>
              </w:p>
              <w:p w:rsidR="00F562EB" w:rsidRDefault="00932784">
                <w:pPr>
                  <w:widowControl w:val="0"/>
                </w:pPr>
                <w:r>
                  <w:rPr>
                    <w:sz w:val="20"/>
                    <w:szCs w:val="20"/>
                  </w:rPr>
                  <w:t>Estresse: 140</w:t>
                </w:r>
              </w:p>
              <w:p w:rsidR="00F562EB" w:rsidRDefault="00932784">
                <w:pPr>
                  <w:widowControl w:val="0"/>
                </w:pPr>
                <w:r>
                  <w:rPr>
                    <w:sz w:val="20"/>
                    <w:szCs w:val="20"/>
                  </w:rPr>
                  <w:t>Estresse e TOC: 47</w:t>
                </w:r>
              </w:p>
            </w:tc>
            <w:tc>
              <w:tcPr>
                <w:tcW w:w="3645" w:type="dxa"/>
                <w:tcBorders>
                  <w:left w:val="nil"/>
                  <w:bottom w:val="nil"/>
                  <w:right w:val="nil"/>
                </w:tcBorders>
                <w:vAlign w:val="center"/>
              </w:tcPr>
              <w:p w:rsidR="00F562EB" w:rsidRDefault="00932784">
                <w:pPr>
                  <w:widowControl w:val="0"/>
                </w:pPr>
                <w:r>
                  <w:rPr>
                    <w:sz w:val="20"/>
                    <w:szCs w:val="20"/>
                  </w:rPr>
                  <w:t>A chance de apresentar DTM em quem sofre de TOC e de estresse ao mesmo</w:t>
                </w:r>
                <w:r>
                  <w:rPr>
                    <w:sz w:val="20"/>
                    <w:szCs w:val="20"/>
                  </w:rPr>
                  <w:t xml:space="preserve"> tempo é 1,8 vezes maior que a do grupo que não possui TOC nem estresse.</w:t>
                </w:r>
              </w:p>
            </w:tc>
          </w:tr>
          <w:tr w:rsidR="00F562EB">
            <w:tc>
              <w:tcPr>
                <w:tcW w:w="600" w:type="dxa"/>
                <w:tcBorders>
                  <w:top w:val="nil"/>
                  <w:left w:val="nil"/>
                  <w:bottom w:val="nil"/>
                  <w:right w:val="nil"/>
                </w:tcBorders>
                <w:vAlign w:val="center"/>
              </w:tcPr>
              <w:p w:rsidR="00F562EB" w:rsidRDefault="00932784">
                <w:pPr>
                  <w:widowControl w:val="0"/>
                </w:pPr>
                <w:r>
                  <w:rPr>
                    <w:sz w:val="20"/>
                    <w:szCs w:val="20"/>
                  </w:rPr>
                  <w:t>A2</w:t>
                </w:r>
              </w:p>
            </w:tc>
            <w:tc>
              <w:tcPr>
                <w:tcW w:w="1350" w:type="dxa"/>
                <w:tcBorders>
                  <w:top w:val="nil"/>
                  <w:left w:val="nil"/>
                  <w:bottom w:val="nil"/>
                  <w:right w:val="nil"/>
                </w:tcBorders>
                <w:vAlign w:val="center"/>
              </w:tcPr>
              <w:p w:rsidR="00F562EB" w:rsidRDefault="00932784">
                <w:pPr>
                  <w:widowControl w:val="0"/>
                </w:pPr>
                <w:r>
                  <w:rPr>
                    <w:sz w:val="20"/>
                    <w:szCs w:val="20"/>
                  </w:rPr>
                  <w:t>Kleykamp et al., 2021</w:t>
                </w:r>
              </w:p>
            </w:tc>
            <w:tc>
              <w:tcPr>
                <w:tcW w:w="1110" w:type="dxa"/>
                <w:tcBorders>
                  <w:top w:val="nil"/>
                  <w:left w:val="nil"/>
                  <w:bottom w:val="nil"/>
                  <w:right w:val="nil"/>
                </w:tcBorders>
                <w:vAlign w:val="center"/>
              </w:tcPr>
              <w:p w:rsidR="00F562EB" w:rsidRDefault="00932784">
                <w:pPr>
                  <w:widowControl w:val="0"/>
                </w:pPr>
                <w:r>
                  <w:rPr>
                    <w:sz w:val="20"/>
                    <w:szCs w:val="20"/>
                  </w:rPr>
                  <w:t>Estados Unidos</w:t>
                </w:r>
              </w:p>
              <w:p w:rsidR="00F562EB" w:rsidRDefault="00F562EB">
                <w:pPr>
                  <w:widowControl w:val="0"/>
                </w:pPr>
              </w:p>
            </w:tc>
            <w:tc>
              <w:tcPr>
                <w:tcW w:w="1185" w:type="dxa"/>
                <w:tcBorders>
                  <w:top w:val="nil"/>
                  <w:left w:val="nil"/>
                  <w:bottom w:val="nil"/>
                  <w:right w:val="nil"/>
                </w:tcBorders>
                <w:vAlign w:val="center"/>
              </w:tcPr>
              <w:p w:rsidR="00F562EB" w:rsidRDefault="00932784">
                <w:pPr>
                  <w:widowControl w:val="0"/>
                </w:pPr>
                <w:r>
                  <w:rPr>
                    <w:sz w:val="20"/>
                    <w:szCs w:val="20"/>
                  </w:rPr>
                  <w:t>Bom</w:t>
                </w:r>
              </w:p>
            </w:tc>
            <w:tc>
              <w:tcPr>
                <w:tcW w:w="1440" w:type="dxa"/>
                <w:tcBorders>
                  <w:top w:val="nil"/>
                  <w:left w:val="nil"/>
                  <w:bottom w:val="nil"/>
                  <w:right w:val="nil"/>
                </w:tcBorders>
                <w:vAlign w:val="center"/>
              </w:tcPr>
              <w:p w:rsidR="00F562EB" w:rsidRDefault="00932784">
                <w:pPr>
                  <w:widowControl w:val="0"/>
                </w:pPr>
                <w:r>
                  <w:rPr>
                    <w:sz w:val="20"/>
                    <w:szCs w:val="20"/>
                  </w:rPr>
                  <w:t>Revisão sistemática da literatura</w:t>
                </w:r>
              </w:p>
            </w:tc>
            <w:tc>
              <w:tcPr>
                <w:tcW w:w="2460" w:type="dxa"/>
                <w:tcBorders>
                  <w:top w:val="nil"/>
                  <w:left w:val="nil"/>
                  <w:bottom w:val="nil"/>
                  <w:right w:val="nil"/>
                </w:tcBorders>
                <w:vAlign w:val="center"/>
              </w:tcPr>
              <w:p w:rsidR="00F562EB" w:rsidRDefault="00932784">
                <w:pPr>
                  <w:widowControl w:val="0"/>
                </w:pPr>
                <w:r>
                  <w:rPr>
                    <w:sz w:val="20"/>
                    <w:szCs w:val="20"/>
                  </w:rPr>
                  <w:t>Identificar a prevalência de comorbidades psiquiátricas em pacientes com FM</w:t>
                </w:r>
              </w:p>
            </w:tc>
            <w:tc>
              <w:tcPr>
                <w:tcW w:w="2235" w:type="dxa"/>
                <w:tcBorders>
                  <w:top w:val="nil"/>
                  <w:left w:val="nil"/>
                  <w:bottom w:val="nil"/>
                  <w:right w:val="nil"/>
                </w:tcBorders>
                <w:vAlign w:val="center"/>
              </w:tcPr>
              <w:p w:rsidR="00F562EB" w:rsidRDefault="00932784">
                <w:pPr>
                  <w:widowControl w:val="0"/>
                </w:pPr>
                <w:r>
                  <w:rPr>
                    <w:sz w:val="20"/>
                    <w:szCs w:val="20"/>
                  </w:rPr>
                  <w:t>Total: 31 estudos, com 32 grupos de dados</w:t>
                </w:r>
              </w:p>
            </w:tc>
            <w:tc>
              <w:tcPr>
                <w:tcW w:w="3645" w:type="dxa"/>
                <w:tcBorders>
                  <w:top w:val="nil"/>
                  <w:left w:val="nil"/>
                  <w:bottom w:val="nil"/>
                  <w:right w:val="nil"/>
                </w:tcBorders>
                <w:vAlign w:val="center"/>
              </w:tcPr>
              <w:p w:rsidR="00F562EB" w:rsidRDefault="00932784">
                <w:pPr>
                  <w:widowControl w:val="0"/>
                </w:pPr>
                <w:r>
                  <w:rPr>
                    <w:sz w:val="20"/>
                    <w:szCs w:val="20"/>
                  </w:rPr>
                  <w:t>Prevalência de TOC em pacientes com FM:</w:t>
                </w:r>
              </w:p>
              <w:p w:rsidR="00F562EB" w:rsidRDefault="00932784">
                <w:pPr>
                  <w:widowControl w:val="0"/>
                </w:pPr>
                <w:r>
                  <w:rPr>
                    <w:sz w:val="20"/>
                    <w:szCs w:val="20"/>
                  </w:rPr>
                  <w:t>Atual: 2,0%</w:t>
                </w:r>
              </w:p>
              <w:p w:rsidR="00F562EB" w:rsidRDefault="00932784">
                <w:pPr>
                  <w:widowControl w:val="0"/>
                </w:pPr>
                <w:r>
                  <w:rPr>
                    <w:sz w:val="20"/>
                    <w:szCs w:val="20"/>
                  </w:rPr>
                  <w:t>Ao longo da vida: 4,3%</w:t>
                </w:r>
              </w:p>
            </w:tc>
          </w:tr>
          <w:tr w:rsidR="00F562EB">
            <w:tc>
              <w:tcPr>
                <w:tcW w:w="600" w:type="dxa"/>
                <w:tcBorders>
                  <w:top w:val="nil"/>
                  <w:left w:val="nil"/>
                  <w:bottom w:val="nil"/>
                  <w:right w:val="nil"/>
                </w:tcBorders>
                <w:vAlign w:val="center"/>
              </w:tcPr>
              <w:p w:rsidR="00F562EB" w:rsidRDefault="00932784">
                <w:pPr>
                  <w:widowControl w:val="0"/>
                </w:pPr>
                <w:r>
                  <w:rPr>
                    <w:sz w:val="20"/>
                    <w:szCs w:val="20"/>
                  </w:rPr>
                  <w:t>A3</w:t>
                </w:r>
              </w:p>
            </w:tc>
            <w:tc>
              <w:tcPr>
                <w:tcW w:w="1350" w:type="dxa"/>
                <w:tcBorders>
                  <w:top w:val="nil"/>
                  <w:left w:val="nil"/>
                  <w:bottom w:val="nil"/>
                  <w:right w:val="nil"/>
                </w:tcBorders>
                <w:vAlign w:val="center"/>
              </w:tcPr>
              <w:p w:rsidR="00F562EB" w:rsidRDefault="00932784">
                <w:pPr>
                  <w:widowControl w:val="0"/>
                </w:pPr>
                <w:r>
                  <w:rPr>
                    <w:sz w:val="20"/>
                    <w:szCs w:val="20"/>
                  </w:rPr>
                  <w:t>Creed, 2023</w:t>
                </w:r>
              </w:p>
            </w:tc>
            <w:tc>
              <w:tcPr>
                <w:tcW w:w="1110" w:type="dxa"/>
                <w:tcBorders>
                  <w:top w:val="nil"/>
                  <w:left w:val="nil"/>
                  <w:bottom w:val="nil"/>
                  <w:right w:val="nil"/>
                </w:tcBorders>
                <w:vAlign w:val="center"/>
              </w:tcPr>
              <w:p w:rsidR="00F562EB" w:rsidRDefault="00932784">
                <w:pPr>
                  <w:widowControl w:val="0"/>
                </w:pPr>
                <w:r>
                  <w:rPr>
                    <w:sz w:val="20"/>
                    <w:szCs w:val="20"/>
                  </w:rPr>
                  <w:t>Inglaterra</w:t>
                </w:r>
              </w:p>
            </w:tc>
            <w:tc>
              <w:tcPr>
                <w:tcW w:w="1185" w:type="dxa"/>
                <w:tcBorders>
                  <w:top w:val="nil"/>
                  <w:left w:val="nil"/>
                  <w:bottom w:val="nil"/>
                  <w:right w:val="nil"/>
                </w:tcBorders>
                <w:vAlign w:val="center"/>
              </w:tcPr>
              <w:p w:rsidR="00F562EB" w:rsidRDefault="00932784">
                <w:pPr>
                  <w:widowControl w:val="0"/>
                </w:pPr>
                <w:r>
                  <w:rPr>
                    <w:sz w:val="20"/>
                    <w:szCs w:val="20"/>
                  </w:rPr>
                  <w:t>Regular</w:t>
                </w:r>
              </w:p>
            </w:tc>
            <w:tc>
              <w:tcPr>
                <w:tcW w:w="1440" w:type="dxa"/>
                <w:tcBorders>
                  <w:top w:val="nil"/>
                  <w:left w:val="nil"/>
                  <w:bottom w:val="nil"/>
                  <w:right w:val="nil"/>
                </w:tcBorders>
                <w:vAlign w:val="center"/>
              </w:tcPr>
              <w:p w:rsidR="00F562EB" w:rsidRDefault="00932784">
                <w:pPr>
                  <w:widowControl w:val="0"/>
                </w:pPr>
                <w:r>
                  <w:rPr>
                    <w:sz w:val="20"/>
                    <w:szCs w:val="20"/>
                  </w:rPr>
                  <w:t>Coorte</w:t>
                </w:r>
              </w:p>
            </w:tc>
            <w:tc>
              <w:tcPr>
                <w:tcW w:w="2460" w:type="dxa"/>
                <w:tcBorders>
                  <w:top w:val="nil"/>
                  <w:left w:val="nil"/>
                  <w:bottom w:val="nil"/>
                  <w:right w:val="nil"/>
                </w:tcBorders>
                <w:vAlign w:val="center"/>
              </w:tcPr>
              <w:p w:rsidR="00F562EB" w:rsidRDefault="00932784">
                <w:pPr>
                  <w:widowControl w:val="0"/>
                </w:pPr>
                <w:r>
                  <w:rPr>
                    <w:sz w:val="20"/>
                    <w:szCs w:val="20"/>
                  </w:rPr>
                  <w:t>Avaliar se transtornos psiquiátricos previram o aparecimento de FM e SFC em participantes com dor muscular ou fadiga no início do estudo</w:t>
                </w:r>
              </w:p>
            </w:tc>
            <w:tc>
              <w:tcPr>
                <w:tcW w:w="2235" w:type="dxa"/>
                <w:tcBorders>
                  <w:top w:val="nil"/>
                  <w:left w:val="nil"/>
                  <w:bottom w:val="nil"/>
                  <w:right w:val="nil"/>
                </w:tcBorders>
                <w:vAlign w:val="center"/>
              </w:tcPr>
              <w:p w:rsidR="00F562EB" w:rsidRDefault="00932784">
                <w:pPr>
                  <w:widowControl w:val="0"/>
                </w:pPr>
                <w:r>
                  <w:rPr>
                    <w:sz w:val="20"/>
                    <w:szCs w:val="20"/>
                  </w:rPr>
                  <w:t>FM: 148.614 adultos</w:t>
                </w:r>
              </w:p>
              <w:p w:rsidR="00F562EB" w:rsidRDefault="00932784">
                <w:pPr>
                  <w:widowControl w:val="0"/>
                </w:pPr>
                <w:r>
                  <w:rPr>
                    <w:sz w:val="20"/>
                    <w:szCs w:val="20"/>
                  </w:rPr>
                  <w:t>SFC: 136.423 adultos</w:t>
                </w:r>
              </w:p>
            </w:tc>
            <w:tc>
              <w:tcPr>
                <w:tcW w:w="3645" w:type="dxa"/>
                <w:tcBorders>
                  <w:top w:val="nil"/>
                  <w:left w:val="nil"/>
                  <w:bottom w:val="nil"/>
                  <w:right w:val="nil"/>
                </w:tcBorders>
                <w:vAlign w:val="center"/>
              </w:tcPr>
              <w:p w:rsidR="00F562EB" w:rsidRDefault="00932784">
                <w:pPr>
                  <w:widowControl w:val="0"/>
                </w:pPr>
                <w:r>
                  <w:rPr>
                    <w:sz w:val="20"/>
                    <w:szCs w:val="20"/>
                  </w:rPr>
                  <w:t>Prevalência de “Outro transtorno de ansiedade” (TOC incluso):</w:t>
                </w:r>
              </w:p>
              <w:p w:rsidR="00F562EB" w:rsidRDefault="00932784">
                <w:pPr>
                  <w:widowControl w:val="0"/>
                </w:pPr>
                <w:r>
                  <w:rPr>
                    <w:sz w:val="20"/>
                    <w:szCs w:val="20"/>
                  </w:rPr>
                  <w:t>Sem dor muscular</w:t>
                </w:r>
                <w:r>
                  <w:rPr>
                    <w:sz w:val="20"/>
                    <w:szCs w:val="20"/>
                  </w:rPr>
                  <w:t xml:space="preserve"> preexistente: 124.232</w:t>
                </w:r>
              </w:p>
              <w:p w:rsidR="00F562EB" w:rsidRDefault="00932784">
                <w:pPr>
                  <w:widowControl w:val="0"/>
                </w:pPr>
                <w:r>
                  <w:rPr>
                    <w:sz w:val="20"/>
                    <w:szCs w:val="20"/>
                  </w:rPr>
                  <w:t xml:space="preserve">Início da FM: 685 (6,0%) </w:t>
                </w:r>
              </w:p>
              <w:p w:rsidR="00F562EB" w:rsidRDefault="00932784">
                <w:pPr>
                  <w:widowControl w:val="0"/>
                </w:pPr>
                <w:r>
                  <w:rPr>
                    <w:sz w:val="20"/>
                    <w:szCs w:val="20"/>
                  </w:rPr>
                  <w:t>Dor muscular média ou intensa: 7.841</w:t>
                </w:r>
              </w:p>
              <w:p w:rsidR="00F562EB" w:rsidRDefault="00932784">
                <w:pPr>
                  <w:widowControl w:val="0"/>
                </w:pPr>
                <w:r>
                  <w:rPr>
                    <w:sz w:val="20"/>
                    <w:szCs w:val="20"/>
                  </w:rPr>
                  <w:t>Sem FM: –7.200 (6,3%)</w:t>
                </w:r>
              </w:p>
              <w:p w:rsidR="00F562EB" w:rsidRDefault="00932784">
                <w:pPr>
                  <w:widowControl w:val="0"/>
                </w:pPr>
                <w:r>
                  <w:rPr>
                    <w:sz w:val="20"/>
                    <w:szCs w:val="20"/>
                  </w:rPr>
                  <w:t>Com FM: 281 (5,3%)</w:t>
                </w:r>
              </w:p>
              <w:p w:rsidR="00F562EB" w:rsidRDefault="00932784">
                <w:pPr>
                  <w:widowControl w:val="0"/>
                </w:pPr>
                <w:r>
                  <w:rPr>
                    <w:sz w:val="20"/>
                    <w:szCs w:val="20"/>
                  </w:rPr>
                  <w:t>FM na linha de base: 4.710 (6,5%)</w:t>
                </w:r>
              </w:p>
            </w:tc>
          </w:tr>
          <w:tr w:rsidR="00F562EB">
            <w:tc>
              <w:tcPr>
                <w:tcW w:w="600" w:type="dxa"/>
                <w:tcBorders>
                  <w:top w:val="nil"/>
                  <w:left w:val="nil"/>
                  <w:bottom w:val="nil"/>
                  <w:right w:val="nil"/>
                </w:tcBorders>
                <w:vAlign w:val="center"/>
              </w:tcPr>
              <w:p w:rsidR="00F562EB" w:rsidRDefault="00932784">
                <w:pPr>
                  <w:widowControl w:val="0"/>
                </w:pPr>
                <w:r>
                  <w:rPr>
                    <w:sz w:val="20"/>
                    <w:szCs w:val="20"/>
                  </w:rPr>
                  <w:t>A4</w:t>
                </w:r>
              </w:p>
            </w:tc>
            <w:tc>
              <w:tcPr>
                <w:tcW w:w="1350" w:type="dxa"/>
                <w:tcBorders>
                  <w:top w:val="nil"/>
                  <w:left w:val="nil"/>
                  <w:bottom w:val="nil"/>
                  <w:right w:val="nil"/>
                </w:tcBorders>
                <w:vAlign w:val="center"/>
              </w:tcPr>
              <w:p w:rsidR="00F562EB" w:rsidRDefault="00932784">
                <w:pPr>
                  <w:widowControl w:val="0"/>
                </w:pPr>
                <w:r>
                  <w:rPr>
                    <w:sz w:val="20"/>
                    <w:szCs w:val="20"/>
                  </w:rPr>
                  <w:t>Ishiguro et al., 2022</w:t>
                </w:r>
              </w:p>
            </w:tc>
            <w:tc>
              <w:tcPr>
                <w:tcW w:w="1110" w:type="dxa"/>
                <w:tcBorders>
                  <w:top w:val="nil"/>
                  <w:left w:val="nil"/>
                  <w:bottom w:val="nil"/>
                  <w:right w:val="nil"/>
                </w:tcBorders>
                <w:vAlign w:val="center"/>
              </w:tcPr>
              <w:p w:rsidR="00F562EB" w:rsidRDefault="00932784">
                <w:pPr>
                  <w:widowControl w:val="0"/>
                </w:pPr>
                <w:r>
                  <w:rPr>
                    <w:sz w:val="20"/>
                    <w:szCs w:val="20"/>
                  </w:rPr>
                  <w:t>Japão</w:t>
                </w:r>
              </w:p>
            </w:tc>
            <w:tc>
              <w:tcPr>
                <w:tcW w:w="1185" w:type="dxa"/>
                <w:tcBorders>
                  <w:top w:val="nil"/>
                  <w:left w:val="nil"/>
                  <w:bottom w:val="nil"/>
                  <w:right w:val="nil"/>
                </w:tcBorders>
                <w:vAlign w:val="center"/>
              </w:tcPr>
              <w:p w:rsidR="00F562EB" w:rsidRDefault="00932784">
                <w:pPr>
                  <w:widowControl w:val="0"/>
                </w:pPr>
                <w:r>
                  <w:rPr>
                    <w:sz w:val="20"/>
                    <w:szCs w:val="20"/>
                  </w:rPr>
                  <w:t>Regular</w:t>
                </w:r>
              </w:p>
            </w:tc>
            <w:tc>
              <w:tcPr>
                <w:tcW w:w="1440" w:type="dxa"/>
                <w:tcBorders>
                  <w:top w:val="nil"/>
                  <w:left w:val="nil"/>
                  <w:bottom w:val="nil"/>
                  <w:right w:val="nil"/>
                </w:tcBorders>
                <w:vAlign w:val="center"/>
              </w:tcPr>
              <w:p w:rsidR="00F562EB" w:rsidRDefault="00932784">
                <w:pPr>
                  <w:widowControl w:val="0"/>
                </w:pPr>
                <w:r>
                  <w:rPr>
                    <w:sz w:val="20"/>
                    <w:szCs w:val="20"/>
                  </w:rPr>
                  <w:t>Revisão de literatura não especificada</w:t>
                </w:r>
              </w:p>
            </w:tc>
            <w:tc>
              <w:tcPr>
                <w:tcW w:w="2460" w:type="dxa"/>
                <w:tcBorders>
                  <w:top w:val="nil"/>
                  <w:left w:val="nil"/>
                  <w:bottom w:val="nil"/>
                  <w:right w:val="nil"/>
                </w:tcBorders>
                <w:vAlign w:val="center"/>
              </w:tcPr>
              <w:p w:rsidR="00F562EB" w:rsidRDefault="00932784">
                <w:pPr>
                  <w:widowControl w:val="0"/>
                </w:pPr>
                <w:r>
                  <w:rPr>
                    <w:sz w:val="20"/>
                    <w:szCs w:val="20"/>
                  </w:rPr>
                  <w:t>Investigar as implicações psiquiátricas da SED</w:t>
                </w:r>
              </w:p>
            </w:tc>
            <w:tc>
              <w:tcPr>
                <w:tcW w:w="2235" w:type="dxa"/>
                <w:tcBorders>
                  <w:top w:val="nil"/>
                  <w:left w:val="nil"/>
                  <w:bottom w:val="nil"/>
                  <w:right w:val="nil"/>
                </w:tcBorders>
                <w:vAlign w:val="center"/>
              </w:tcPr>
              <w:p w:rsidR="00F562EB" w:rsidRDefault="00932784">
                <w:pPr>
                  <w:widowControl w:val="0"/>
                </w:pPr>
                <w:r>
                  <w:rPr>
                    <w:sz w:val="20"/>
                    <w:szCs w:val="20"/>
                  </w:rPr>
                  <w:t>Não especificada</w:t>
                </w:r>
              </w:p>
            </w:tc>
            <w:tc>
              <w:tcPr>
                <w:tcW w:w="3645" w:type="dxa"/>
                <w:tcBorders>
                  <w:top w:val="nil"/>
                  <w:left w:val="nil"/>
                  <w:bottom w:val="nil"/>
                  <w:right w:val="nil"/>
                </w:tcBorders>
                <w:vAlign w:val="center"/>
              </w:tcPr>
              <w:p w:rsidR="00F562EB" w:rsidRDefault="00932784">
                <w:pPr>
                  <w:widowControl w:val="0"/>
                </w:pPr>
                <w:r>
                  <w:rPr>
                    <w:sz w:val="20"/>
                    <w:szCs w:val="20"/>
                  </w:rPr>
                  <w:t>O artigo alega que uma alta porcentagem de pacientes com SED relataram O/C.</w:t>
                </w:r>
              </w:p>
            </w:tc>
          </w:tr>
          <w:tr w:rsidR="00F562EB">
            <w:tc>
              <w:tcPr>
                <w:tcW w:w="600" w:type="dxa"/>
                <w:tcBorders>
                  <w:top w:val="nil"/>
                  <w:left w:val="nil"/>
                  <w:bottom w:val="nil"/>
                  <w:right w:val="nil"/>
                </w:tcBorders>
                <w:vAlign w:val="center"/>
              </w:tcPr>
              <w:p w:rsidR="00F562EB" w:rsidRDefault="00932784">
                <w:pPr>
                  <w:widowControl w:val="0"/>
                </w:pPr>
                <w:r>
                  <w:rPr>
                    <w:sz w:val="20"/>
                    <w:szCs w:val="20"/>
                  </w:rPr>
                  <w:t>A5</w:t>
                </w:r>
              </w:p>
            </w:tc>
            <w:tc>
              <w:tcPr>
                <w:tcW w:w="1350" w:type="dxa"/>
                <w:tcBorders>
                  <w:top w:val="nil"/>
                  <w:left w:val="nil"/>
                  <w:bottom w:val="nil"/>
                  <w:right w:val="nil"/>
                </w:tcBorders>
                <w:vAlign w:val="center"/>
              </w:tcPr>
              <w:p w:rsidR="00F562EB" w:rsidRDefault="00932784">
                <w:pPr>
                  <w:widowControl w:val="0"/>
                </w:pPr>
                <w:r>
                  <w:rPr>
                    <w:sz w:val="20"/>
                    <w:szCs w:val="20"/>
                  </w:rPr>
                  <w:t>Allen et al., 2022</w:t>
                </w:r>
              </w:p>
            </w:tc>
            <w:tc>
              <w:tcPr>
                <w:tcW w:w="1110" w:type="dxa"/>
                <w:tcBorders>
                  <w:top w:val="nil"/>
                  <w:left w:val="nil"/>
                  <w:bottom w:val="nil"/>
                  <w:right w:val="nil"/>
                </w:tcBorders>
                <w:vAlign w:val="center"/>
              </w:tcPr>
              <w:p w:rsidR="00F562EB" w:rsidRDefault="00932784">
                <w:pPr>
                  <w:widowControl w:val="0"/>
                </w:pPr>
                <w:r>
                  <w:rPr>
                    <w:sz w:val="20"/>
                    <w:szCs w:val="20"/>
                  </w:rPr>
                  <w:t>Estados Unidos</w:t>
                </w:r>
              </w:p>
            </w:tc>
            <w:tc>
              <w:tcPr>
                <w:tcW w:w="1185" w:type="dxa"/>
                <w:tcBorders>
                  <w:top w:val="nil"/>
                  <w:left w:val="nil"/>
                  <w:bottom w:val="nil"/>
                  <w:right w:val="nil"/>
                </w:tcBorders>
                <w:vAlign w:val="center"/>
              </w:tcPr>
              <w:p w:rsidR="00F562EB" w:rsidRDefault="00932784">
                <w:pPr>
                  <w:widowControl w:val="0"/>
                </w:pPr>
                <w:r>
                  <w:rPr>
                    <w:sz w:val="20"/>
                    <w:szCs w:val="20"/>
                  </w:rPr>
                  <w:t>Regular</w:t>
                </w:r>
              </w:p>
            </w:tc>
            <w:tc>
              <w:tcPr>
                <w:tcW w:w="1440" w:type="dxa"/>
                <w:tcBorders>
                  <w:top w:val="nil"/>
                  <w:left w:val="nil"/>
                  <w:bottom w:val="nil"/>
                  <w:right w:val="nil"/>
                </w:tcBorders>
                <w:vAlign w:val="center"/>
              </w:tcPr>
              <w:p w:rsidR="00F562EB" w:rsidRDefault="00932784">
                <w:pPr>
                  <w:widowControl w:val="0"/>
                </w:pPr>
                <w:r>
                  <w:rPr>
                    <w:sz w:val="20"/>
                    <w:szCs w:val="20"/>
                  </w:rPr>
                  <w:t>Revisão retrospectiva</w:t>
                </w:r>
              </w:p>
            </w:tc>
            <w:tc>
              <w:tcPr>
                <w:tcW w:w="2460" w:type="dxa"/>
                <w:tcBorders>
                  <w:top w:val="nil"/>
                  <w:left w:val="nil"/>
                  <w:bottom w:val="nil"/>
                  <w:right w:val="nil"/>
                </w:tcBorders>
                <w:vAlign w:val="center"/>
              </w:tcPr>
              <w:p w:rsidR="00F562EB" w:rsidRDefault="00932784">
                <w:pPr>
                  <w:widowControl w:val="0"/>
                </w:pPr>
                <w:r>
                  <w:rPr>
                    <w:sz w:val="20"/>
                    <w:szCs w:val="20"/>
                  </w:rPr>
                  <w:t>Investigar a associação entre diagnóstico psiqui</w:t>
                </w:r>
                <w:r>
                  <w:rPr>
                    <w:sz w:val="20"/>
                    <w:szCs w:val="20"/>
                  </w:rPr>
                  <w:t>átrico e ICT</w:t>
                </w:r>
              </w:p>
            </w:tc>
            <w:tc>
              <w:tcPr>
                <w:tcW w:w="2235" w:type="dxa"/>
                <w:tcBorders>
                  <w:top w:val="nil"/>
                  <w:left w:val="nil"/>
                  <w:bottom w:val="nil"/>
                  <w:right w:val="nil"/>
                </w:tcBorders>
                <w:vAlign w:val="center"/>
              </w:tcPr>
              <w:p w:rsidR="00F562EB" w:rsidRDefault="00932784">
                <w:pPr>
                  <w:widowControl w:val="0"/>
                </w:pPr>
                <w:r>
                  <w:rPr>
                    <w:sz w:val="20"/>
                    <w:szCs w:val="20"/>
                  </w:rPr>
                  <w:t>Total: 276</w:t>
                </w:r>
              </w:p>
              <w:p w:rsidR="00F562EB" w:rsidRDefault="00932784">
                <w:pPr>
                  <w:widowControl w:val="0"/>
                </w:pPr>
                <w:r>
                  <w:rPr>
                    <w:sz w:val="20"/>
                    <w:szCs w:val="20"/>
                  </w:rPr>
                  <w:t>Comorbidade psiquiátrica: 130</w:t>
                </w:r>
              </w:p>
              <w:p w:rsidR="00F562EB" w:rsidRDefault="00932784">
                <w:pPr>
                  <w:widowControl w:val="0"/>
                </w:pPr>
                <w:r>
                  <w:rPr>
                    <w:sz w:val="20"/>
                    <w:szCs w:val="20"/>
                  </w:rPr>
                  <w:t>TOC: 6</w:t>
                </w:r>
              </w:p>
            </w:tc>
            <w:tc>
              <w:tcPr>
                <w:tcW w:w="3645" w:type="dxa"/>
                <w:tcBorders>
                  <w:top w:val="nil"/>
                  <w:left w:val="nil"/>
                  <w:bottom w:val="nil"/>
                  <w:right w:val="nil"/>
                </w:tcBorders>
                <w:vAlign w:val="center"/>
              </w:tcPr>
              <w:p w:rsidR="00F562EB" w:rsidRDefault="00932784">
                <w:pPr>
                  <w:widowControl w:val="0"/>
                </w:pPr>
                <w:r>
                  <w:rPr>
                    <w:sz w:val="20"/>
                    <w:szCs w:val="20"/>
                  </w:rPr>
                  <w:t>Pacientes com diagnósticos psiquiátricos apresentaram piores PROMs pré-operatórios e melhores PROMs pós-operatórios, com exceção da subescala “Esportes e Recreação” no último caso.</w:t>
                </w:r>
              </w:p>
            </w:tc>
          </w:tr>
          <w:tr w:rsidR="00F562EB">
            <w:tc>
              <w:tcPr>
                <w:tcW w:w="600" w:type="dxa"/>
                <w:tcBorders>
                  <w:top w:val="nil"/>
                  <w:left w:val="nil"/>
                  <w:bottom w:val="nil"/>
                  <w:right w:val="nil"/>
                </w:tcBorders>
                <w:vAlign w:val="center"/>
              </w:tcPr>
              <w:p w:rsidR="00F562EB" w:rsidRDefault="00932784">
                <w:pPr>
                  <w:widowControl w:val="0"/>
                </w:pPr>
                <w:r>
                  <w:rPr>
                    <w:sz w:val="20"/>
                    <w:szCs w:val="20"/>
                  </w:rPr>
                  <w:t>A6</w:t>
                </w:r>
              </w:p>
            </w:tc>
            <w:tc>
              <w:tcPr>
                <w:tcW w:w="1350" w:type="dxa"/>
                <w:tcBorders>
                  <w:top w:val="nil"/>
                  <w:left w:val="nil"/>
                  <w:bottom w:val="nil"/>
                  <w:right w:val="nil"/>
                </w:tcBorders>
                <w:vAlign w:val="center"/>
              </w:tcPr>
              <w:p w:rsidR="00F562EB" w:rsidRDefault="00932784">
                <w:pPr>
                  <w:widowControl w:val="0"/>
                </w:pPr>
                <w:r>
                  <w:rPr>
                    <w:sz w:val="20"/>
                    <w:szCs w:val="20"/>
                  </w:rPr>
                  <w:t>Fernández de la Cruz et al., 2022</w:t>
                </w:r>
              </w:p>
            </w:tc>
            <w:tc>
              <w:tcPr>
                <w:tcW w:w="1110" w:type="dxa"/>
                <w:tcBorders>
                  <w:top w:val="nil"/>
                  <w:left w:val="nil"/>
                  <w:bottom w:val="nil"/>
                  <w:right w:val="nil"/>
                </w:tcBorders>
                <w:vAlign w:val="center"/>
              </w:tcPr>
              <w:p w:rsidR="00F562EB" w:rsidRDefault="00932784">
                <w:pPr>
                  <w:widowControl w:val="0"/>
                </w:pPr>
                <w:r>
                  <w:rPr>
                    <w:sz w:val="20"/>
                    <w:szCs w:val="20"/>
                  </w:rPr>
                  <w:t>Suécia</w:t>
                </w:r>
              </w:p>
            </w:tc>
            <w:tc>
              <w:tcPr>
                <w:tcW w:w="1185" w:type="dxa"/>
                <w:tcBorders>
                  <w:top w:val="nil"/>
                  <w:left w:val="nil"/>
                  <w:bottom w:val="nil"/>
                  <w:right w:val="nil"/>
                </w:tcBorders>
                <w:vAlign w:val="center"/>
              </w:tcPr>
              <w:p w:rsidR="00F562EB" w:rsidRDefault="00932784">
                <w:pPr>
                  <w:widowControl w:val="0"/>
                </w:pPr>
                <w:r>
                  <w:rPr>
                    <w:sz w:val="20"/>
                    <w:szCs w:val="20"/>
                  </w:rPr>
                  <w:t>Bom</w:t>
                </w:r>
              </w:p>
            </w:tc>
            <w:tc>
              <w:tcPr>
                <w:tcW w:w="1440" w:type="dxa"/>
                <w:tcBorders>
                  <w:top w:val="nil"/>
                  <w:left w:val="nil"/>
                  <w:bottom w:val="nil"/>
                  <w:right w:val="nil"/>
                </w:tcBorders>
                <w:vAlign w:val="center"/>
              </w:tcPr>
              <w:p w:rsidR="00F562EB" w:rsidRDefault="00932784">
                <w:pPr>
                  <w:widowControl w:val="0"/>
                </w:pPr>
                <w:r>
                  <w:rPr>
                    <w:sz w:val="20"/>
                    <w:szCs w:val="20"/>
                  </w:rPr>
                  <w:t>Revisão narrativa da literatura</w:t>
                </w:r>
              </w:p>
            </w:tc>
            <w:tc>
              <w:tcPr>
                <w:tcW w:w="2460" w:type="dxa"/>
                <w:tcBorders>
                  <w:top w:val="nil"/>
                  <w:left w:val="nil"/>
                  <w:bottom w:val="nil"/>
                  <w:right w:val="nil"/>
                </w:tcBorders>
                <w:vAlign w:val="center"/>
              </w:tcPr>
              <w:p w:rsidR="00F562EB" w:rsidRDefault="00932784">
                <w:pPr>
                  <w:widowControl w:val="0"/>
                </w:pPr>
                <w:r>
                  <w:rPr>
                    <w:sz w:val="20"/>
                    <w:szCs w:val="20"/>
                  </w:rPr>
                  <w:t>Resumir o conhecimento atual sobre a saúde geral de indivíduos com TOC</w:t>
                </w:r>
              </w:p>
            </w:tc>
            <w:tc>
              <w:tcPr>
                <w:tcW w:w="2235" w:type="dxa"/>
                <w:tcBorders>
                  <w:top w:val="nil"/>
                  <w:left w:val="nil"/>
                  <w:bottom w:val="nil"/>
                  <w:right w:val="nil"/>
                </w:tcBorders>
                <w:vAlign w:val="center"/>
              </w:tcPr>
              <w:p w:rsidR="00F562EB" w:rsidRDefault="00932784">
                <w:pPr>
                  <w:widowControl w:val="0"/>
                </w:pPr>
                <w:r>
                  <w:rPr>
                    <w:sz w:val="20"/>
                    <w:szCs w:val="20"/>
                  </w:rPr>
                  <w:t>Não especificada</w:t>
                </w:r>
              </w:p>
            </w:tc>
            <w:tc>
              <w:tcPr>
                <w:tcW w:w="3645" w:type="dxa"/>
                <w:tcBorders>
                  <w:top w:val="nil"/>
                  <w:left w:val="nil"/>
                  <w:bottom w:val="nil"/>
                  <w:right w:val="nil"/>
                </w:tcBorders>
                <w:vAlign w:val="center"/>
              </w:tcPr>
              <w:p w:rsidR="00F562EB" w:rsidRDefault="00932784">
                <w:pPr>
                  <w:widowControl w:val="0"/>
                </w:pPr>
                <w:r>
                  <w:rPr>
                    <w:sz w:val="20"/>
                    <w:szCs w:val="20"/>
                  </w:rPr>
                  <w:t xml:space="preserve">Estudos populacionais sugerem uma associação entre TOC e dor. </w:t>
                </w:r>
              </w:p>
              <w:p w:rsidR="00F562EB" w:rsidRDefault="00932784">
                <w:pPr>
                  <w:widowControl w:val="0"/>
                </w:pPr>
                <w:r>
                  <w:rPr>
                    <w:sz w:val="20"/>
                    <w:szCs w:val="20"/>
                  </w:rPr>
                  <w:t>Estudos clínicos apresentara</w:t>
                </w:r>
                <w:r>
                  <w:rPr>
                    <w:sz w:val="20"/>
                    <w:szCs w:val="20"/>
                  </w:rPr>
                  <w:t xml:space="preserve">m resultados menos consistentes. </w:t>
                </w:r>
              </w:p>
              <w:p w:rsidR="00F562EB" w:rsidRDefault="00932784">
                <w:pPr>
                  <w:widowControl w:val="0"/>
                </w:pPr>
                <w:r>
                  <w:rPr>
                    <w:sz w:val="20"/>
                    <w:szCs w:val="20"/>
                  </w:rPr>
                  <w:t xml:space="preserve">O restante dos estudos não possuíam </w:t>
                </w:r>
                <w:r>
                  <w:rPr>
                    <w:sz w:val="20"/>
                    <w:szCs w:val="20"/>
                  </w:rPr>
                  <w:lastRenderedPageBreak/>
                  <w:t>grupos controle de participantes sem sintomas de dor.</w:t>
                </w:r>
              </w:p>
            </w:tc>
          </w:tr>
          <w:tr w:rsidR="00F562EB">
            <w:tc>
              <w:tcPr>
                <w:tcW w:w="600" w:type="dxa"/>
                <w:tcBorders>
                  <w:top w:val="nil"/>
                  <w:left w:val="nil"/>
                  <w:bottom w:val="nil"/>
                  <w:right w:val="nil"/>
                </w:tcBorders>
                <w:vAlign w:val="center"/>
              </w:tcPr>
              <w:p w:rsidR="00F562EB" w:rsidRDefault="00932784">
                <w:pPr>
                  <w:widowControl w:val="0"/>
                </w:pPr>
                <w:r>
                  <w:rPr>
                    <w:sz w:val="20"/>
                    <w:szCs w:val="20"/>
                  </w:rPr>
                  <w:lastRenderedPageBreak/>
                  <w:t>A7</w:t>
                </w:r>
              </w:p>
            </w:tc>
            <w:tc>
              <w:tcPr>
                <w:tcW w:w="1350" w:type="dxa"/>
                <w:tcBorders>
                  <w:top w:val="nil"/>
                  <w:left w:val="nil"/>
                  <w:bottom w:val="nil"/>
                  <w:right w:val="nil"/>
                </w:tcBorders>
                <w:vAlign w:val="center"/>
              </w:tcPr>
              <w:p w:rsidR="00F562EB" w:rsidRDefault="00932784">
                <w:pPr>
                  <w:widowControl w:val="0"/>
                </w:pPr>
                <w:r>
                  <w:rPr>
                    <w:sz w:val="20"/>
                    <w:szCs w:val="20"/>
                  </w:rPr>
                  <w:t>Janssen et al., 2021</w:t>
                </w:r>
              </w:p>
            </w:tc>
            <w:tc>
              <w:tcPr>
                <w:tcW w:w="1110" w:type="dxa"/>
                <w:tcBorders>
                  <w:top w:val="nil"/>
                  <w:left w:val="nil"/>
                  <w:bottom w:val="nil"/>
                  <w:right w:val="nil"/>
                </w:tcBorders>
                <w:vAlign w:val="center"/>
              </w:tcPr>
              <w:p w:rsidR="00F562EB" w:rsidRDefault="00932784">
                <w:pPr>
                  <w:widowControl w:val="0"/>
                </w:pPr>
                <w:r>
                  <w:rPr>
                    <w:sz w:val="20"/>
                    <w:szCs w:val="20"/>
                  </w:rPr>
                  <w:t>Brasil</w:t>
                </w:r>
              </w:p>
            </w:tc>
            <w:tc>
              <w:tcPr>
                <w:tcW w:w="1185" w:type="dxa"/>
                <w:tcBorders>
                  <w:top w:val="nil"/>
                  <w:left w:val="nil"/>
                  <w:bottom w:val="nil"/>
                  <w:right w:val="nil"/>
                </w:tcBorders>
                <w:vAlign w:val="center"/>
              </w:tcPr>
              <w:p w:rsidR="00F562EB" w:rsidRDefault="00932784">
                <w:pPr>
                  <w:widowControl w:val="0"/>
                </w:pPr>
                <w:r>
                  <w:rPr>
                    <w:sz w:val="20"/>
                    <w:szCs w:val="20"/>
                  </w:rPr>
                  <w:t>Ruim</w:t>
                </w:r>
              </w:p>
            </w:tc>
            <w:tc>
              <w:tcPr>
                <w:tcW w:w="1440" w:type="dxa"/>
                <w:tcBorders>
                  <w:top w:val="nil"/>
                  <w:left w:val="nil"/>
                  <w:bottom w:val="nil"/>
                  <w:right w:val="nil"/>
                </w:tcBorders>
                <w:vAlign w:val="center"/>
              </w:tcPr>
              <w:p w:rsidR="00F562EB" w:rsidRDefault="00932784">
                <w:pPr>
                  <w:widowControl w:val="0"/>
                </w:pPr>
                <w:r>
                  <w:rPr>
                    <w:sz w:val="20"/>
                    <w:szCs w:val="20"/>
                  </w:rPr>
                  <w:t xml:space="preserve">Revisão sistemática da literatura </w:t>
                </w:r>
              </w:p>
            </w:tc>
            <w:tc>
              <w:tcPr>
                <w:tcW w:w="2460" w:type="dxa"/>
                <w:tcBorders>
                  <w:top w:val="nil"/>
                  <w:left w:val="nil"/>
                  <w:bottom w:val="nil"/>
                  <w:right w:val="nil"/>
                </w:tcBorders>
                <w:vAlign w:val="center"/>
              </w:tcPr>
              <w:p w:rsidR="00F562EB" w:rsidRDefault="00932784">
                <w:pPr>
                  <w:widowControl w:val="0"/>
                </w:pPr>
                <w:r>
                  <w:rPr>
                    <w:sz w:val="20"/>
                    <w:szCs w:val="20"/>
                  </w:rPr>
                  <w:t>Identificar os polimorfismos e as características clínicas d</w:t>
                </w:r>
                <w:r>
                  <w:rPr>
                    <w:sz w:val="20"/>
                    <w:szCs w:val="20"/>
                  </w:rPr>
                  <w:t>a fisiopatologia da FM</w:t>
                </w:r>
              </w:p>
            </w:tc>
            <w:tc>
              <w:tcPr>
                <w:tcW w:w="2235" w:type="dxa"/>
                <w:tcBorders>
                  <w:top w:val="nil"/>
                  <w:left w:val="nil"/>
                  <w:bottom w:val="nil"/>
                  <w:right w:val="nil"/>
                </w:tcBorders>
                <w:vAlign w:val="center"/>
              </w:tcPr>
              <w:p w:rsidR="00F562EB" w:rsidRDefault="00932784">
                <w:pPr>
                  <w:widowControl w:val="0"/>
                </w:pPr>
                <w:r>
                  <w:rPr>
                    <w:sz w:val="20"/>
                    <w:szCs w:val="20"/>
                  </w:rPr>
                  <w:t>Total: 27 artigos</w:t>
                </w:r>
              </w:p>
            </w:tc>
            <w:tc>
              <w:tcPr>
                <w:tcW w:w="3645" w:type="dxa"/>
                <w:tcBorders>
                  <w:top w:val="nil"/>
                  <w:left w:val="nil"/>
                  <w:bottom w:val="nil"/>
                  <w:right w:val="nil"/>
                </w:tcBorders>
                <w:vAlign w:val="center"/>
              </w:tcPr>
              <w:p w:rsidR="00F562EB" w:rsidRDefault="00932784">
                <w:pPr>
                  <w:widowControl w:val="0"/>
                </w:pPr>
                <w:r>
                  <w:rPr>
                    <w:sz w:val="20"/>
                    <w:szCs w:val="20"/>
                  </w:rPr>
                  <w:t>Dos 30 genes relacionados à FM, 73,33% estão associados a transtornos psicológicos, como ansiedade, depressão, esquizofrenia e TOC.</w:t>
                </w:r>
              </w:p>
            </w:tc>
          </w:tr>
          <w:tr w:rsidR="00F562EB">
            <w:tc>
              <w:tcPr>
                <w:tcW w:w="600" w:type="dxa"/>
                <w:tcBorders>
                  <w:top w:val="nil"/>
                  <w:left w:val="nil"/>
                  <w:bottom w:val="nil"/>
                  <w:right w:val="nil"/>
                </w:tcBorders>
                <w:vAlign w:val="center"/>
              </w:tcPr>
              <w:p w:rsidR="00F562EB" w:rsidRDefault="00932784">
                <w:pPr>
                  <w:widowControl w:val="0"/>
                </w:pPr>
                <w:r>
                  <w:rPr>
                    <w:sz w:val="20"/>
                    <w:szCs w:val="20"/>
                  </w:rPr>
                  <w:t>A8</w:t>
                </w:r>
              </w:p>
            </w:tc>
            <w:tc>
              <w:tcPr>
                <w:tcW w:w="1350" w:type="dxa"/>
                <w:tcBorders>
                  <w:top w:val="nil"/>
                  <w:left w:val="nil"/>
                  <w:bottom w:val="nil"/>
                  <w:right w:val="nil"/>
                </w:tcBorders>
                <w:vAlign w:val="center"/>
              </w:tcPr>
              <w:p w:rsidR="00F562EB" w:rsidRDefault="00932784">
                <w:pPr>
                  <w:widowControl w:val="0"/>
                </w:pPr>
                <w:r>
                  <w:rPr>
                    <w:sz w:val="20"/>
                    <w:szCs w:val="20"/>
                  </w:rPr>
                  <w:t>Sloley et al., 2021</w:t>
                </w:r>
              </w:p>
            </w:tc>
            <w:tc>
              <w:tcPr>
                <w:tcW w:w="1110" w:type="dxa"/>
                <w:tcBorders>
                  <w:top w:val="nil"/>
                  <w:left w:val="nil"/>
                  <w:bottom w:val="nil"/>
                  <w:right w:val="nil"/>
                </w:tcBorders>
                <w:vAlign w:val="center"/>
              </w:tcPr>
              <w:p w:rsidR="00F562EB" w:rsidRDefault="00932784">
                <w:pPr>
                  <w:widowControl w:val="0"/>
                </w:pPr>
                <w:r>
                  <w:rPr>
                    <w:sz w:val="20"/>
                    <w:szCs w:val="20"/>
                  </w:rPr>
                  <w:t>Nova Zelândia</w:t>
                </w:r>
              </w:p>
            </w:tc>
            <w:tc>
              <w:tcPr>
                <w:tcW w:w="1185" w:type="dxa"/>
                <w:tcBorders>
                  <w:top w:val="nil"/>
                  <w:left w:val="nil"/>
                  <w:bottom w:val="nil"/>
                  <w:right w:val="nil"/>
                </w:tcBorders>
                <w:vAlign w:val="center"/>
              </w:tcPr>
              <w:p w:rsidR="00F562EB" w:rsidRDefault="00932784">
                <w:pPr>
                  <w:widowControl w:val="0"/>
                </w:pPr>
                <w:r>
                  <w:rPr>
                    <w:sz w:val="20"/>
                    <w:szCs w:val="20"/>
                  </w:rPr>
                  <w:t>Não se aplica</w:t>
                </w:r>
              </w:p>
            </w:tc>
            <w:tc>
              <w:tcPr>
                <w:tcW w:w="1440" w:type="dxa"/>
                <w:tcBorders>
                  <w:top w:val="nil"/>
                  <w:left w:val="nil"/>
                  <w:bottom w:val="nil"/>
                  <w:right w:val="nil"/>
                </w:tcBorders>
                <w:vAlign w:val="center"/>
              </w:tcPr>
              <w:p w:rsidR="00F562EB" w:rsidRDefault="00932784">
                <w:pPr>
                  <w:widowControl w:val="0"/>
                </w:pPr>
                <w:r>
                  <w:rPr>
                    <w:sz w:val="20"/>
                    <w:szCs w:val="20"/>
                  </w:rPr>
                  <w:t>Coorte futuro</w:t>
                </w:r>
              </w:p>
            </w:tc>
            <w:tc>
              <w:tcPr>
                <w:tcW w:w="2460" w:type="dxa"/>
                <w:tcBorders>
                  <w:top w:val="nil"/>
                  <w:left w:val="nil"/>
                  <w:bottom w:val="nil"/>
                  <w:right w:val="nil"/>
                </w:tcBorders>
                <w:vAlign w:val="center"/>
              </w:tcPr>
              <w:p w:rsidR="00F562EB" w:rsidRDefault="00932784">
                <w:pPr>
                  <w:widowControl w:val="0"/>
                </w:pPr>
                <w:r>
                  <w:rPr>
                    <w:sz w:val="20"/>
                    <w:szCs w:val="20"/>
                  </w:rPr>
                  <w:t>Explorar a prevalência e o impacto dos O/C em indivíduos com DC atendidos em serviços de dor na Nova Zelândia</w:t>
                </w:r>
              </w:p>
            </w:tc>
            <w:tc>
              <w:tcPr>
                <w:tcW w:w="2235" w:type="dxa"/>
                <w:tcBorders>
                  <w:top w:val="nil"/>
                  <w:left w:val="nil"/>
                  <w:bottom w:val="nil"/>
                  <w:right w:val="nil"/>
                </w:tcBorders>
                <w:vAlign w:val="center"/>
              </w:tcPr>
              <w:p w:rsidR="00F562EB" w:rsidRDefault="00932784">
                <w:pPr>
                  <w:widowControl w:val="0"/>
                </w:pPr>
                <w:r>
                  <w:rPr>
                    <w:sz w:val="20"/>
                    <w:szCs w:val="20"/>
                  </w:rPr>
                  <w:t>Não se aplica</w:t>
                </w:r>
              </w:p>
            </w:tc>
            <w:tc>
              <w:tcPr>
                <w:tcW w:w="3645" w:type="dxa"/>
                <w:tcBorders>
                  <w:top w:val="nil"/>
                  <w:left w:val="nil"/>
                  <w:bottom w:val="nil"/>
                  <w:right w:val="nil"/>
                </w:tcBorders>
                <w:vAlign w:val="center"/>
              </w:tcPr>
              <w:p w:rsidR="00F562EB" w:rsidRDefault="00932784">
                <w:pPr>
                  <w:widowControl w:val="0"/>
                </w:pPr>
                <w:r>
                  <w:rPr>
                    <w:sz w:val="20"/>
                    <w:szCs w:val="20"/>
                  </w:rPr>
                  <w:t>Não se aplica</w:t>
                </w:r>
              </w:p>
            </w:tc>
          </w:tr>
          <w:tr w:rsidR="00F562EB">
            <w:tc>
              <w:tcPr>
                <w:tcW w:w="600" w:type="dxa"/>
                <w:tcBorders>
                  <w:top w:val="nil"/>
                  <w:left w:val="nil"/>
                  <w:bottom w:val="nil"/>
                  <w:right w:val="nil"/>
                </w:tcBorders>
                <w:vAlign w:val="center"/>
              </w:tcPr>
              <w:p w:rsidR="00F562EB" w:rsidRDefault="00932784">
                <w:pPr>
                  <w:widowControl w:val="0"/>
                </w:pPr>
                <w:r>
                  <w:rPr>
                    <w:sz w:val="20"/>
                    <w:szCs w:val="20"/>
                  </w:rPr>
                  <w:t>A9</w:t>
                </w:r>
              </w:p>
            </w:tc>
            <w:tc>
              <w:tcPr>
                <w:tcW w:w="1350" w:type="dxa"/>
                <w:tcBorders>
                  <w:top w:val="nil"/>
                  <w:left w:val="nil"/>
                  <w:bottom w:val="nil"/>
                  <w:right w:val="nil"/>
                </w:tcBorders>
                <w:vAlign w:val="center"/>
              </w:tcPr>
              <w:p w:rsidR="00F562EB" w:rsidRDefault="00932784">
                <w:pPr>
                  <w:widowControl w:val="0"/>
                </w:pPr>
                <w:r>
                  <w:rPr>
                    <w:sz w:val="20"/>
                    <w:szCs w:val="20"/>
                  </w:rPr>
                  <w:t>Torun et al., 2020</w:t>
                </w:r>
              </w:p>
            </w:tc>
            <w:tc>
              <w:tcPr>
                <w:tcW w:w="1110" w:type="dxa"/>
                <w:tcBorders>
                  <w:top w:val="nil"/>
                  <w:left w:val="nil"/>
                  <w:bottom w:val="nil"/>
                  <w:right w:val="nil"/>
                </w:tcBorders>
                <w:vAlign w:val="center"/>
              </w:tcPr>
              <w:p w:rsidR="00F562EB" w:rsidRDefault="00932784">
                <w:pPr>
                  <w:widowControl w:val="0"/>
                </w:pPr>
                <w:r>
                  <w:rPr>
                    <w:sz w:val="20"/>
                    <w:szCs w:val="20"/>
                  </w:rPr>
                  <w:t>Turquia</w:t>
                </w:r>
              </w:p>
            </w:tc>
            <w:tc>
              <w:tcPr>
                <w:tcW w:w="1185" w:type="dxa"/>
                <w:tcBorders>
                  <w:top w:val="nil"/>
                  <w:left w:val="nil"/>
                  <w:bottom w:val="nil"/>
                  <w:right w:val="nil"/>
                </w:tcBorders>
                <w:vAlign w:val="center"/>
              </w:tcPr>
              <w:p w:rsidR="00F562EB" w:rsidRDefault="00932784">
                <w:pPr>
                  <w:widowControl w:val="0"/>
                </w:pPr>
                <w:r>
                  <w:rPr>
                    <w:sz w:val="20"/>
                    <w:szCs w:val="20"/>
                  </w:rPr>
                  <w:t>Regular</w:t>
                </w:r>
              </w:p>
            </w:tc>
            <w:tc>
              <w:tcPr>
                <w:tcW w:w="1440" w:type="dxa"/>
                <w:tcBorders>
                  <w:top w:val="nil"/>
                  <w:left w:val="nil"/>
                  <w:bottom w:val="nil"/>
                  <w:right w:val="nil"/>
                </w:tcBorders>
                <w:vAlign w:val="center"/>
              </w:tcPr>
              <w:p w:rsidR="00F562EB" w:rsidRDefault="00932784">
                <w:pPr>
                  <w:widowControl w:val="0"/>
                </w:pPr>
                <w:r>
                  <w:rPr>
                    <w:sz w:val="20"/>
                    <w:szCs w:val="20"/>
                  </w:rPr>
                  <w:t>Observacional transversal</w:t>
                </w:r>
              </w:p>
            </w:tc>
            <w:tc>
              <w:tcPr>
                <w:tcW w:w="2460" w:type="dxa"/>
                <w:tcBorders>
                  <w:top w:val="nil"/>
                  <w:left w:val="nil"/>
                  <w:bottom w:val="nil"/>
                  <w:right w:val="nil"/>
                </w:tcBorders>
                <w:vAlign w:val="center"/>
              </w:tcPr>
              <w:p w:rsidR="00F562EB" w:rsidRDefault="00932784">
                <w:pPr>
                  <w:widowControl w:val="0"/>
                </w:pPr>
                <w:r>
                  <w:rPr>
                    <w:sz w:val="20"/>
                    <w:szCs w:val="20"/>
                  </w:rPr>
                  <w:t>Avaliar sintomas psiquiátricos em pacientes com SII</w:t>
                </w:r>
              </w:p>
            </w:tc>
            <w:tc>
              <w:tcPr>
                <w:tcW w:w="2235" w:type="dxa"/>
                <w:tcBorders>
                  <w:top w:val="nil"/>
                  <w:left w:val="nil"/>
                  <w:bottom w:val="nil"/>
                  <w:right w:val="nil"/>
                </w:tcBorders>
                <w:vAlign w:val="center"/>
              </w:tcPr>
              <w:p w:rsidR="00F562EB" w:rsidRDefault="00932784">
                <w:pPr>
                  <w:widowControl w:val="0"/>
                </w:pPr>
                <w:r>
                  <w:rPr>
                    <w:sz w:val="20"/>
                    <w:szCs w:val="20"/>
                  </w:rPr>
                  <w:t>SII: 54 pacientes ambulatoriais</w:t>
                </w:r>
              </w:p>
              <w:p w:rsidR="00F562EB" w:rsidRDefault="00932784">
                <w:pPr>
                  <w:widowControl w:val="0"/>
                </w:pPr>
                <w:r>
                  <w:rPr>
                    <w:sz w:val="20"/>
                    <w:szCs w:val="20"/>
                  </w:rPr>
                  <w:t>Controle: 50 voluntários</w:t>
                </w:r>
              </w:p>
            </w:tc>
            <w:tc>
              <w:tcPr>
                <w:tcW w:w="3645" w:type="dxa"/>
                <w:tcBorders>
                  <w:top w:val="nil"/>
                  <w:left w:val="nil"/>
                  <w:bottom w:val="nil"/>
                  <w:right w:val="nil"/>
                </w:tcBorders>
                <w:vAlign w:val="center"/>
              </w:tcPr>
              <w:p w:rsidR="00F562EB" w:rsidRDefault="00932784">
                <w:pPr>
                  <w:widowControl w:val="0"/>
                </w:pPr>
                <w:r>
                  <w:rPr>
                    <w:sz w:val="20"/>
                    <w:szCs w:val="20"/>
                  </w:rPr>
                  <w:t>Resultado da subescala de O/C da escala SCL-90-R:</w:t>
                </w:r>
              </w:p>
              <w:p w:rsidR="00F562EB" w:rsidRDefault="00932784">
                <w:pPr>
                  <w:widowControl w:val="0"/>
                </w:pPr>
                <w:r>
                  <w:rPr>
                    <w:sz w:val="20"/>
                    <w:szCs w:val="20"/>
                  </w:rPr>
                  <w:t xml:space="preserve">SII: 1,49±0,87 </w:t>
                </w:r>
              </w:p>
              <w:p w:rsidR="00F562EB" w:rsidRDefault="00932784">
                <w:pPr>
                  <w:widowControl w:val="0"/>
                </w:pPr>
                <w:r>
                  <w:rPr>
                    <w:sz w:val="20"/>
                    <w:szCs w:val="20"/>
                  </w:rPr>
                  <w:t>Controle: 0,9±0,41</w:t>
                </w:r>
              </w:p>
            </w:tc>
          </w:tr>
          <w:tr w:rsidR="00F562EB">
            <w:tc>
              <w:tcPr>
                <w:tcW w:w="600" w:type="dxa"/>
                <w:tcBorders>
                  <w:top w:val="nil"/>
                  <w:left w:val="nil"/>
                  <w:bottom w:val="nil"/>
                  <w:right w:val="nil"/>
                </w:tcBorders>
                <w:vAlign w:val="center"/>
              </w:tcPr>
              <w:p w:rsidR="00F562EB" w:rsidRDefault="00932784">
                <w:pPr>
                  <w:widowControl w:val="0"/>
                </w:pPr>
                <w:r>
                  <w:rPr>
                    <w:sz w:val="20"/>
                    <w:szCs w:val="20"/>
                  </w:rPr>
                  <w:t>A10</w:t>
                </w:r>
              </w:p>
            </w:tc>
            <w:tc>
              <w:tcPr>
                <w:tcW w:w="1350" w:type="dxa"/>
                <w:tcBorders>
                  <w:top w:val="nil"/>
                  <w:left w:val="nil"/>
                  <w:bottom w:val="nil"/>
                  <w:right w:val="nil"/>
                </w:tcBorders>
                <w:vAlign w:val="center"/>
              </w:tcPr>
              <w:p w:rsidR="00F562EB" w:rsidRDefault="00932784">
                <w:pPr>
                  <w:widowControl w:val="0"/>
                </w:pPr>
                <w:r>
                  <w:rPr>
                    <w:sz w:val="20"/>
                    <w:szCs w:val="20"/>
                  </w:rPr>
                  <w:t>Subramaniam et al., 2020</w:t>
                </w:r>
              </w:p>
            </w:tc>
            <w:tc>
              <w:tcPr>
                <w:tcW w:w="1110" w:type="dxa"/>
                <w:tcBorders>
                  <w:top w:val="nil"/>
                  <w:left w:val="nil"/>
                  <w:bottom w:val="nil"/>
                  <w:right w:val="nil"/>
                </w:tcBorders>
                <w:vAlign w:val="center"/>
              </w:tcPr>
              <w:p w:rsidR="00F562EB" w:rsidRDefault="00932784">
                <w:pPr>
                  <w:widowControl w:val="0"/>
                </w:pPr>
                <w:r>
                  <w:rPr>
                    <w:sz w:val="20"/>
                    <w:szCs w:val="20"/>
                  </w:rPr>
                  <w:t>Cingapura</w:t>
                </w:r>
              </w:p>
            </w:tc>
            <w:tc>
              <w:tcPr>
                <w:tcW w:w="1185" w:type="dxa"/>
                <w:tcBorders>
                  <w:top w:val="nil"/>
                  <w:left w:val="nil"/>
                  <w:bottom w:val="nil"/>
                  <w:right w:val="nil"/>
                </w:tcBorders>
                <w:vAlign w:val="center"/>
              </w:tcPr>
              <w:p w:rsidR="00F562EB" w:rsidRDefault="00932784">
                <w:pPr>
                  <w:widowControl w:val="0"/>
                </w:pPr>
                <w:r>
                  <w:rPr>
                    <w:sz w:val="20"/>
                    <w:szCs w:val="20"/>
                  </w:rPr>
                  <w:t>Regular</w:t>
                </w:r>
              </w:p>
            </w:tc>
            <w:tc>
              <w:tcPr>
                <w:tcW w:w="1440" w:type="dxa"/>
                <w:tcBorders>
                  <w:top w:val="nil"/>
                  <w:left w:val="nil"/>
                  <w:bottom w:val="nil"/>
                  <w:right w:val="nil"/>
                </w:tcBorders>
                <w:vAlign w:val="center"/>
              </w:tcPr>
              <w:p w:rsidR="00F562EB" w:rsidRDefault="00932784">
                <w:pPr>
                  <w:widowControl w:val="0"/>
                </w:pPr>
                <w:r>
                  <w:rPr>
                    <w:sz w:val="20"/>
                    <w:szCs w:val="20"/>
                  </w:rPr>
                  <w:t>Observacional transversal</w:t>
                </w:r>
              </w:p>
            </w:tc>
            <w:tc>
              <w:tcPr>
                <w:tcW w:w="2460" w:type="dxa"/>
                <w:tcBorders>
                  <w:top w:val="nil"/>
                  <w:left w:val="nil"/>
                  <w:bottom w:val="nil"/>
                  <w:right w:val="nil"/>
                </w:tcBorders>
                <w:vAlign w:val="center"/>
              </w:tcPr>
              <w:p w:rsidR="00F562EB" w:rsidRDefault="00932784">
                <w:pPr>
                  <w:widowControl w:val="0"/>
                </w:pPr>
                <w:r>
                  <w:rPr>
                    <w:sz w:val="20"/>
                    <w:szCs w:val="20"/>
                  </w:rPr>
                  <w:t>Investigar prevalência, comorbidade, qua</w:t>
                </w:r>
                <w:r>
                  <w:rPr>
                    <w:sz w:val="20"/>
                    <w:szCs w:val="20"/>
                  </w:rPr>
                  <w:t>lidade de vida e apoio social da população com TOC em Cingapura</w:t>
                </w:r>
              </w:p>
            </w:tc>
            <w:tc>
              <w:tcPr>
                <w:tcW w:w="2235" w:type="dxa"/>
                <w:tcBorders>
                  <w:top w:val="nil"/>
                  <w:left w:val="nil"/>
                  <w:bottom w:val="nil"/>
                  <w:right w:val="nil"/>
                </w:tcBorders>
                <w:vAlign w:val="center"/>
              </w:tcPr>
              <w:p w:rsidR="00F562EB" w:rsidRDefault="00932784">
                <w:pPr>
                  <w:widowControl w:val="0"/>
                </w:pPr>
                <w:r>
                  <w:rPr>
                    <w:sz w:val="20"/>
                    <w:szCs w:val="20"/>
                  </w:rPr>
                  <w:t>Total: 6126</w:t>
                </w:r>
              </w:p>
              <w:p w:rsidR="00F562EB" w:rsidRDefault="00932784">
                <w:pPr>
                  <w:widowControl w:val="0"/>
                </w:pPr>
                <w:r>
                  <w:rPr>
                    <w:sz w:val="20"/>
                    <w:szCs w:val="20"/>
                  </w:rPr>
                  <w:t>TOC (ao longo da vida): 217</w:t>
                </w:r>
              </w:p>
              <w:p w:rsidR="00F562EB" w:rsidRDefault="00932784">
                <w:pPr>
                  <w:widowControl w:val="0"/>
                </w:pPr>
                <w:r>
                  <w:rPr>
                    <w:sz w:val="20"/>
                    <w:szCs w:val="20"/>
                  </w:rPr>
                  <w:t>TOC (em 12 meses): 169</w:t>
                </w:r>
              </w:p>
              <w:p w:rsidR="00F562EB" w:rsidRDefault="00932784">
                <w:pPr>
                  <w:widowControl w:val="0"/>
                </w:pPr>
                <w:r>
                  <w:rPr>
                    <w:sz w:val="20"/>
                    <w:szCs w:val="20"/>
                  </w:rPr>
                  <w:t xml:space="preserve">TOC e DC: 64 </w:t>
                </w:r>
              </w:p>
            </w:tc>
            <w:tc>
              <w:tcPr>
                <w:tcW w:w="3645" w:type="dxa"/>
                <w:tcBorders>
                  <w:top w:val="nil"/>
                  <w:left w:val="nil"/>
                  <w:bottom w:val="nil"/>
                  <w:right w:val="nil"/>
                </w:tcBorders>
                <w:vAlign w:val="center"/>
              </w:tcPr>
              <w:p w:rsidR="00F562EB" w:rsidRDefault="00932784">
                <w:pPr>
                  <w:widowControl w:val="0"/>
                </w:pPr>
                <w:r>
                  <w:rPr>
                    <w:sz w:val="20"/>
                    <w:szCs w:val="20"/>
                  </w:rPr>
                  <w:t>A análise de regressão logística revelou que os participantes com TOC tinham maiores chances de apresentar DC.</w:t>
                </w:r>
              </w:p>
            </w:tc>
          </w:tr>
          <w:tr w:rsidR="00F562EB">
            <w:tc>
              <w:tcPr>
                <w:tcW w:w="600" w:type="dxa"/>
                <w:tcBorders>
                  <w:top w:val="nil"/>
                  <w:left w:val="nil"/>
                  <w:right w:val="nil"/>
                </w:tcBorders>
                <w:vAlign w:val="center"/>
              </w:tcPr>
              <w:p w:rsidR="00F562EB" w:rsidRDefault="00932784">
                <w:pPr>
                  <w:widowControl w:val="0"/>
                </w:pPr>
                <w:r>
                  <w:rPr>
                    <w:sz w:val="20"/>
                    <w:szCs w:val="20"/>
                  </w:rPr>
                  <w:t>A11</w:t>
                </w:r>
              </w:p>
            </w:tc>
            <w:tc>
              <w:tcPr>
                <w:tcW w:w="1350" w:type="dxa"/>
                <w:tcBorders>
                  <w:top w:val="nil"/>
                  <w:left w:val="nil"/>
                  <w:right w:val="nil"/>
                </w:tcBorders>
                <w:vAlign w:val="center"/>
              </w:tcPr>
              <w:p w:rsidR="00F562EB" w:rsidRDefault="00932784">
                <w:pPr>
                  <w:widowControl w:val="0"/>
                </w:pPr>
                <w:r>
                  <w:rPr>
                    <w:sz w:val="20"/>
                    <w:szCs w:val="20"/>
                  </w:rPr>
                  <w:t>Finnmann Munk et al., 2022</w:t>
                </w:r>
              </w:p>
            </w:tc>
            <w:tc>
              <w:tcPr>
                <w:tcW w:w="1110" w:type="dxa"/>
                <w:tcBorders>
                  <w:top w:val="nil"/>
                  <w:left w:val="nil"/>
                  <w:right w:val="nil"/>
                </w:tcBorders>
                <w:vAlign w:val="center"/>
              </w:tcPr>
              <w:p w:rsidR="00F562EB" w:rsidRDefault="00932784">
                <w:pPr>
                  <w:widowControl w:val="0"/>
                </w:pPr>
                <w:r>
                  <w:rPr>
                    <w:sz w:val="20"/>
                    <w:szCs w:val="20"/>
                  </w:rPr>
                  <w:t>Dinamarca</w:t>
                </w:r>
              </w:p>
            </w:tc>
            <w:tc>
              <w:tcPr>
                <w:tcW w:w="1185" w:type="dxa"/>
                <w:tcBorders>
                  <w:top w:val="nil"/>
                  <w:left w:val="nil"/>
                  <w:right w:val="nil"/>
                </w:tcBorders>
                <w:vAlign w:val="center"/>
              </w:tcPr>
              <w:p w:rsidR="00F562EB" w:rsidRDefault="00932784">
                <w:pPr>
                  <w:widowControl w:val="0"/>
                </w:pPr>
                <w:r>
                  <w:rPr>
                    <w:sz w:val="20"/>
                    <w:szCs w:val="20"/>
                  </w:rPr>
                  <w:t>Ruim</w:t>
                </w:r>
              </w:p>
            </w:tc>
            <w:tc>
              <w:tcPr>
                <w:tcW w:w="1440" w:type="dxa"/>
                <w:tcBorders>
                  <w:top w:val="nil"/>
                  <w:left w:val="nil"/>
                  <w:right w:val="nil"/>
                </w:tcBorders>
                <w:vAlign w:val="center"/>
              </w:tcPr>
              <w:p w:rsidR="00F562EB" w:rsidRDefault="00932784">
                <w:pPr>
                  <w:widowControl w:val="0"/>
                </w:pPr>
                <w:r>
                  <w:rPr>
                    <w:sz w:val="20"/>
                    <w:szCs w:val="20"/>
                  </w:rPr>
                  <w:t>Coorte retrospectivo</w:t>
                </w:r>
              </w:p>
            </w:tc>
            <w:tc>
              <w:tcPr>
                <w:tcW w:w="2460" w:type="dxa"/>
                <w:tcBorders>
                  <w:top w:val="nil"/>
                  <w:left w:val="nil"/>
                  <w:right w:val="nil"/>
                </w:tcBorders>
                <w:vAlign w:val="center"/>
              </w:tcPr>
              <w:p w:rsidR="00F562EB" w:rsidRDefault="00932784">
                <w:pPr>
                  <w:widowControl w:val="0"/>
                </w:pPr>
                <w:r>
                  <w:rPr>
                    <w:sz w:val="20"/>
                    <w:szCs w:val="20"/>
                  </w:rPr>
                  <w:t>Investigar a qualidade de vida de ex-pacientes pediátricos de SDRC</w:t>
                </w:r>
              </w:p>
            </w:tc>
            <w:tc>
              <w:tcPr>
                <w:tcW w:w="2235" w:type="dxa"/>
                <w:tcBorders>
                  <w:top w:val="nil"/>
                  <w:left w:val="nil"/>
                  <w:right w:val="nil"/>
                </w:tcBorders>
                <w:vAlign w:val="center"/>
              </w:tcPr>
              <w:p w:rsidR="00F562EB" w:rsidRDefault="00932784">
                <w:pPr>
                  <w:widowControl w:val="0"/>
                </w:pPr>
                <w:r>
                  <w:rPr>
                    <w:sz w:val="20"/>
                    <w:szCs w:val="20"/>
                  </w:rPr>
                  <w:t>Total: 22</w:t>
                </w:r>
              </w:p>
              <w:p w:rsidR="00F562EB" w:rsidRDefault="00932784">
                <w:pPr>
                  <w:widowControl w:val="0"/>
                </w:pPr>
                <w:r>
                  <w:rPr>
                    <w:sz w:val="20"/>
                    <w:szCs w:val="20"/>
                  </w:rPr>
                  <w:t>TOC: 6</w:t>
                </w:r>
              </w:p>
            </w:tc>
            <w:tc>
              <w:tcPr>
                <w:tcW w:w="3645" w:type="dxa"/>
                <w:tcBorders>
                  <w:top w:val="nil"/>
                  <w:left w:val="nil"/>
                  <w:right w:val="nil"/>
                </w:tcBorders>
                <w:vAlign w:val="center"/>
              </w:tcPr>
              <w:p w:rsidR="00F562EB" w:rsidRDefault="00932784">
                <w:pPr>
                  <w:widowControl w:val="0"/>
                </w:pPr>
                <w:r>
                  <w:rPr>
                    <w:sz w:val="20"/>
                    <w:szCs w:val="20"/>
                  </w:rPr>
                  <w:t>O uso da distração como estratégia de enfrentamento da dor foi identificado no subgrupo com TOC.</w:t>
                </w:r>
              </w:p>
            </w:tc>
          </w:tr>
        </w:tbl>
      </w:sdtContent>
    </w:sdt>
    <w:p w:rsidR="00F562EB" w:rsidRDefault="00932784">
      <w:pPr>
        <w:spacing w:line="360" w:lineRule="auto"/>
        <w:jc w:val="both"/>
        <w:rPr>
          <w:sz w:val="20"/>
          <w:szCs w:val="20"/>
        </w:rPr>
        <w:sectPr w:rsidR="00F562EB">
          <w:pgSz w:w="16838" w:h="11906" w:orient="landscape"/>
          <w:pgMar w:top="1417" w:right="1417" w:bottom="1417" w:left="1417" w:header="720" w:footer="720" w:gutter="0"/>
          <w:cols w:space="720"/>
        </w:sectPr>
      </w:pPr>
      <w:r>
        <w:rPr>
          <w:sz w:val="20"/>
          <w:szCs w:val="20"/>
        </w:rPr>
        <w:t xml:space="preserve">Legenda: DC: dor crônica; DTM: disfunção temporomandibular; SED: Síndrome Ehlers-Danlos; FM: Fibromialgia; ICT: instabilidade crônica do tornozelo; O/C: sintomas obsessivo-compulsivos; PROMs: </w:t>
      </w:r>
      <w:r>
        <w:rPr>
          <w:i/>
          <w:sz w:val="20"/>
          <w:szCs w:val="20"/>
        </w:rPr>
        <w:t xml:space="preserve">patient-reported outcome measures </w:t>
      </w:r>
      <w:r>
        <w:rPr>
          <w:sz w:val="20"/>
          <w:szCs w:val="20"/>
        </w:rPr>
        <w:t>(resultados relata</w:t>
      </w:r>
      <w:r>
        <w:rPr>
          <w:sz w:val="20"/>
          <w:szCs w:val="20"/>
        </w:rPr>
        <w:t xml:space="preserve">dos pelos pacientes); SCL-90-R: </w:t>
      </w:r>
      <w:r>
        <w:rPr>
          <w:i/>
          <w:sz w:val="20"/>
          <w:szCs w:val="20"/>
        </w:rPr>
        <w:t>Symptom Checklist-90-Revised</w:t>
      </w:r>
      <w:r>
        <w:rPr>
          <w:sz w:val="20"/>
          <w:szCs w:val="20"/>
        </w:rPr>
        <w:t xml:space="preserve"> (versão revisada da lista de verificação de 90 sintomas); SDRC: síndrome da dor regional complexa; SFC: síndrome da fadiga crônica; SII: síndrome do intestino irritável; TOC: Transtorno Obsessivo</w:t>
      </w:r>
      <w:r>
        <w:rPr>
          <w:sz w:val="20"/>
          <w:szCs w:val="20"/>
        </w:rPr>
        <w:t>-Compulsivo.</w:t>
      </w:r>
    </w:p>
    <w:p w:rsidR="00F562EB" w:rsidRDefault="00932784">
      <w:pPr>
        <w:spacing w:line="360" w:lineRule="auto"/>
        <w:jc w:val="both"/>
      </w:pPr>
      <w:r>
        <w:rPr>
          <w:b/>
          <w:i/>
        </w:rPr>
        <w:lastRenderedPageBreak/>
        <w:t>Avaliação da qualidade</w:t>
      </w:r>
    </w:p>
    <w:p w:rsidR="00F562EB" w:rsidRDefault="00932784">
      <w:pPr>
        <w:spacing w:line="360" w:lineRule="auto"/>
        <w:ind w:firstLine="708"/>
        <w:jc w:val="both"/>
      </w:pPr>
      <w:r>
        <w:t>A avaliação da qualidade dos artigos foi feita com instrumentos apropriados a cada tipo de desenho. Os estudos de coorte prospectivo e retrospectivo foram avaliados pela Newcastle-Ottawa Scale (NOS) (Wells et al., 2021).</w:t>
      </w:r>
      <w:r>
        <w:t xml:space="preserve"> Uma versão adaptada da ferramenta NOS foi utilizada para avaliar a qualidade dos artigos transversais (Patra et al., 2015). Para as revisões sistemáticas de literatura foram utilizados o AMSTAR 2 (Shea et al., 2017) e para as revisões narrativas o SANRA (</w:t>
      </w:r>
      <w:r>
        <w:t>Baethge et al., 2019). A escolha dos instrumentos deu-se por sua ampla utilização. A classificação de qualidade dos artigos foi “Ruim”, “Regular” ou “Bom”, de acordo com o escore obtido nas respectivas escalas. Os escores que não atingiram 40% foram classi</w:t>
      </w:r>
      <w:r>
        <w:t>ficados como ruins, e aqueles que ultrapassaram 70% tiveram classificação boa. Os artigos cujos escores pontuaram entre 40% e 70% classificaram-se como regulares.</w:t>
      </w:r>
    </w:p>
    <w:p w:rsidR="00F562EB" w:rsidRDefault="00932784">
      <w:pPr>
        <w:spacing w:line="360" w:lineRule="auto"/>
        <w:ind w:firstLine="708"/>
        <w:jc w:val="both"/>
      </w:pPr>
      <w:r>
        <w:t>Posteriormente, foi feita a interpretação dos resultados encontrados. A organização se deu em</w:t>
      </w:r>
      <w:r>
        <w:t xml:space="preserve"> duas categorias definidas a priori com base nos objetivos específicos da presente pesquisa: a) mapeamento dos achados sobre a comorbidade entre TOC e DC; e b) lacunas de pesquisa sobre a comorbidade entre TOC e DC e direcionamento para estudos futuros.</w:t>
      </w:r>
    </w:p>
    <w:p w:rsidR="00F562EB" w:rsidRDefault="00F562EB">
      <w:pPr>
        <w:spacing w:line="360" w:lineRule="auto"/>
        <w:ind w:firstLine="708"/>
        <w:jc w:val="both"/>
      </w:pPr>
    </w:p>
    <w:p w:rsidR="00F562EB" w:rsidRDefault="00932784">
      <w:pPr>
        <w:spacing w:line="360" w:lineRule="auto"/>
        <w:jc w:val="center"/>
        <w:rPr>
          <w:b/>
        </w:rPr>
      </w:pPr>
      <w:r>
        <w:rPr>
          <w:b/>
        </w:rPr>
        <w:t>Resultados</w:t>
      </w:r>
    </w:p>
    <w:p w:rsidR="00F562EB" w:rsidRDefault="00932784">
      <w:pPr>
        <w:spacing w:line="360" w:lineRule="auto"/>
        <w:ind w:firstLine="708"/>
        <w:jc w:val="both"/>
      </w:pPr>
      <w:r>
        <w:t>Os 11 estudos abrangem o período de 2020 a 2024, e todos foram redigidos na língua inglesa. Quanto ao delineamento, 5 são de coorte (A3, A8, A9, A10 e A11), 4 são revisões da literatura (A2, A4, A6 e A7), 2 são retrospectivos (A5 e A11) e 1 é ob</w:t>
      </w:r>
      <w:r>
        <w:t>servacional transversal (A1). Os continentes de origem são Europa (A3, A6, A9 e A11), Ásia (A1, A4, A9 e A10), América (A2, A5 e A7) e Oceania (A8), sendo que o único país com mais de um trabalho são os Estados Unidos (A2 e A5).</w:t>
      </w:r>
    </w:p>
    <w:p w:rsidR="00F562EB" w:rsidRDefault="00932784">
      <w:pPr>
        <w:spacing w:line="360" w:lineRule="auto"/>
        <w:ind w:firstLine="708"/>
        <w:jc w:val="both"/>
      </w:pPr>
      <w:r>
        <w:t>De acordo com a qualidade, os artigos foram classificados majoritariamente como regulares (A1, A3, A4, A5, A9 e A10), seguido por dois ruins (A7 e A11) e dois bons (A2 e A6). O estudo futuro (A8) não teve a qualidade avaliada.</w:t>
      </w:r>
    </w:p>
    <w:p w:rsidR="00F562EB" w:rsidRDefault="00F562EB">
      <w:pPr>
        <w:spacing w:line="360" w:lineRule="auto"/>
        <w:ind w:firstLine="708"/>
        <w:jc w:val="both"/>
      </w:pPr>
    </w:p>
    <w:p w:rsidR="00F562EB" w:rsidRDefault="00932784">
      <w:pPr>
        <w:spacing w:line="360" w:lineRule="auto"/>
        <w:jc w:val="both"/>
        <w:rPr>
          <w:b/>
        </w:rPr>
      </w:pPr>
      <w:r>
        <w:rPr>
          <w:b/>
          <w:i/>
        </w:rPr>
        <w:t xml:space="preserve">Achados sobre a comorbidade </w:t>
      </w:r>
      <w:r>
        <w:rPr>
          <w:b/>
          <w:i/>
        </w:rPr>
        <w:t>de TOC e DC</w:t>
      </w:r>
    </w:p>
    <w:p w:rsidR="00F562EB" w:rsidRDefault="00932784">
      <w:pPr>
        <w:pBdr>
          <w:top w:val="nil"/>
          <w:left w:val="nil"/>
          <w:bottom w:val="nil"/>
          <w:right w:val="nil"/>
          <w:between w:val="nil"/>
        </w:pBdr>
        <w:spacing w:line="360" w:lineRule="auto"/>
        <w:ind w:firstLine="708"/>
        <w:jc w:val="both"/>
      </w:pPr>
      <w:r>
        <w:t>As causas de DC relatadas nos estudos foram fibromialgia (FM) (A2, A3, A6 e A7), artrite, problemas nas costas e no disco espinhal, dores de cabeça, enxaqueca e reumatismo (A6 e A10), sintomas gastrointestinais (A6 e A9), disfunção temporomandi</w:t>
      </w:r>
      <w:r>
        <w:t>bular (DTM) (A1), Síndrome Ehlers-Danlos (SED) (A4), instabilidade crônica do tornozelo (ICT) (A5) e síndrome da dor regional complexa (SDRC) (A11). Os instrumentos utilizados para avaliar os sintomas álgicos e suas repercussões na vida dos indivíduos fora</w:t>
      </w:r>
      <w:r>
        <w:t xml:space="preserve">m escalas (A5, A8, A10 e </w:t>
      </w:r>
      <w:r>
        <w:lastRenderedPageBreak/>
        <w:t xml:space="preserve">A11), questionários (A3, A8 e A11), avaliação clínica (A1 e A11), protocolo diagnóstico (A1) e inventário (A11). Os instrumentos de avaliação do TOC ou de O/C foram entrevistas (A8, A10 e A11), inventários (A1 e A8), escalas (A9 e </w:t>
      </w:r>
      <w:r>
        <w:t>A10) e questionários (A8 e A11). Outros aspectos de saúde física ou de sintomas psiquiátricos foram medidos por escalas (A1, A3, A4, A5, A9, A10 e A11), entrevistas (A2, A3, A10 e A11), questionários (A3 e A11), inventários (A3 e A9) e protocolo diagnóstic</w:t>
      </w:r>
      <w:r>
        <w:t>o (A2). Dos 11 artigos, 6 (A1, A3, A4, A8, A9 e A11) analisaram os O/C, enquanto apenas 3 (A2, A5 e A7) avaliaram o TOC propriamente dito. Por fim, 2 trabalhos (A6 e A10)  incluíram tanto o TOC quanto os O/C.</w:t>
      </w:r>
    </w:p>
    <w:p w:rsidR="00F562EB" w:rsidRDefault="00932784">
      <w:pPr>
        <w:spacing w:line="360" w:lineRule="auto"/>
        <w:ind w:firstLine="708"/>
        <w:jc w:val="both"/>
      </w:pPr>
      <w:r>
        <w:t>Os índices de associação entre TOC e DC foram m</w:t>
      </w:r>
      <w:r>
        <w:t>edidos por diferentes estudos. A maioria dos artigos (A2, A3, A4, A5, A7, A9 e A11) pesquisou condições físicas específicas e identificou psicopatologias simultâneas. Nesses casos, o enfoque na comorbidade entre TOC e DC ficou em segundo plano, o que gerou</w:t>
      </w:r>
      <w:r>
        <w:t xml:space="preserve"> dados com limitações. Em alguns trabalhos, o TOC foi avaliado junto a todos os transtornos mentais (A6) ou especificamente aos da ansiedade (A4), de forma que não foi possível estabelecer medidas separadas do TOC na comorbidade com DC. Outras pesquisas (A</w:t>
      </w:r>
      <w:r>
        <w:t>6 e A10) tinham o TOC como objeto de estudo primário e investigaram posteriormente suas comorbidades. Duas pesquisas (A1 e A8) voltaram-se para o TOC comórbido a alguma condição de DC. No entanto, um dos estudos (A8) é futuro, de modo que não há resultados</w:t>
      </w:r>
      <w:r>
        <w:t xml:space="preserve"> a serem analisados.</w:t>
      </w:r>
    </w:p>
    <w:p w:rsidR="00F562EB" w:rsidRDefault="00932784">
      <w:pPr>
        <w:spacing w:line="360" w:lineRule="auto"/>
        <w:ind w:firstLine="708"/>
        <w:jc w:val="both"/>
      </w:pPr>
      <w:r>
        <w:t xml:space="preserve">A FM é uma condição de DC generalizada, que está associada a sofrimento emocional significativo ou incapacidade funcional. Diversos estudos (A2, A4, A7 e A8) dedicaram-se a avaliar a relação da FM com condições psiquiátricas diversas, </w:t>
      </w:r>
      <w:r>
        <w:t>incluindo o TOC. Quanto à genética da FM, o trabalho A7 traz que, dos 30 genes associados à fisiopatologia da doença, 2 também aparecem no TOC. São eles os genes SLC6A4 e COMT, em que o primeiro atua em vias serotoninérgicas e o segundo em vias catecolamin</w:t>
      </w:r>
      <w:r>
        <w:t>érgicas. O gene SLC6A4 transporta serotonina para os neurônios pré-sinápticos, enquanto o COMT é responsável pela produção de enzimas que degradam dopamina, adrenalina e noradrenalina. No que tange aos impactos psicológicos e álgicos, o gene SLC6A4 relacio</w:t>
      </w:r>
      <w:r>
        <w:t>na-se a condições de DC, DTM, enxaqueca e estresse psicológico. Já o gene COMT apresenta relação com o risco de FM e com o aumento da intensidade da dor, além de dores de cabeça e sintomas psicológicos diversos.</w:t>
      </w:r>
    </w:p>
    <w:p w:rsidR="00F562EB" w:rsidRDefault="00932784">
      <w:pPr>
        <w:spacing w:line="360" w:lineRule="auto"/>
        <w:ind w:firstLine="708"/>
        <w:jc w:val="both"/>
      </w:pPr>
      <w:r>
        <w:t>Diferentes artigos exploraram hipóteses quan</w:t>
      </w:r>
      <w:r>
        <w:t>to à influência de dor em transtornos mentais e vice-versa, como o estudo que investigou a relação entre TOC e DTM (A1). A DTM é caracterizada por dor, sons articulares e limitação da amplitude de movimento mandibular em atividades diárias, como mastigação</w:t>
      </w:r>
      <w:r>
        <w:t xml:space="preserve">, deglutição e fala. Os fatores etiológicos da DTM incluem aspectos psicológicos, como bruxismo, ansiedade e depressão. No que tange </w:t>
      </w:r>
      <w:r>
        <w:lastRenderedPageBreak/>
        <w:t>ao TOC, os pacientes odontológicos com o transtorno podem apresentar O/C que interfiram nas operações a serem feitas. Algun</w:t>
      </w:r>
      <w:r>
        <w:t xml:space="preserve">s sintomas relatados são medo de contaminação, compulsões de lavagem excessiva, pensamentos agressivos e necessidade de simetria e de organização. Tendo em vista que os fatores psicológicos são mais evidentes em pacientes que sofrem de DC por DTM, deve-se </w:t>
      </w:r>
      <w:r>
        <w:t>considerar tais aspectos no tratamento desses pacientes. Ademais, o efeito dos Inibidores Seletivos de Recaptação de Serotonina (ISRS) – classe de medicamentos utilizada no tratamento do TOC – pode aumentar o bruxismo, e, por consequência, as chances de de</w:t>
      </w:r>
      <w:r>
        <w:t>senvolver DTM.</w:t>
      </w:r>
    </w:p>
    <w:p w:rsidR="00F562EB" w:rsidRDefault="00932784">
      <w:pPr>
        <w:spacing w:line="360" w:lineRule="auto"/>
        <w:ind w:firstLine="708"/>
        <w:jc w:val="both"/>
      </w:pPr>
      <w:r>
        <w:t>Um estudo sobre a morbidade e a mortalidade no TOC teve achados semelhantes (A6). Existem teorias que sugerem uma contribuição adversa dos O/C na saúde dos indivíduos, como a evitação de consultas médicas em pacientes com obsessões de contam</w:t>
      </w:r>
      <w:r>
        <w:t xml:space="preserve">inação. Esse comportamento pode impedir a detecção e o diagnóstico precoce de problemas médicos. Ademais, foi diferenciado o grupo de pacientes com TOC que faz tratamento medicamentoso daqueles que não o fazem. O primeiro grupo provavelmente possui acesso </w:t>
      </w:r>
      <w:r>
        <w:t>a acompanhamento médico mais frequente e, por consequência, um melhor gerenciamento de sua saúde geral. Em se tratando da DC, o TOC foi associado a casos mais graves, como em condições comórbidas (ex.: enxaqueca e cefaleia tensional; enxaqueca crônica e ce</w:t>
      </w:r>
      <w:r>
        <w:t>faleia por excesso de medicamentos) quando comparadas a grupos de uma única condição ou grupos controle.</w:t>
      </w:r>
    </w:p>
    <w:p w:rsidR="00F562EB" w:rsidRDefault="00F562EB">
      <w:pPr>
        <w:spacing w:line="360" w:lineRule="auto"/>
        <w:ind w:firstLine="708"/>
        <w:jc w:val="both"/>
      </w:pPr>
    </w:p>
    <w:p w:rsidR="00F562EB" w:rsidRDefault="00932784">
      <w:pPr>
        <w:spacing w:line="360" w:lineRule="auto"/>
        <w:jc w:val="both"/>
        <w:rPr>
          <w:i/>
        </w:rPr>
      </w:pPr>
      <w:r>
        <w:rPr>
          <w:b/>
          <w:i/>
        </w:rPr>
        <w:t>Lacunas de pesquisa sobre a comorbidade entre TOC e DC e direcionamento para pesquisas futuras</w:t>
      </w:r>
    </w:p>
    <w:p w:rsidR="00F562EB" w:rsidRDefault="00932784">
      <w:pPr>
        <w:spacing w:line="360" w:lineRule="auto"/>
        <w:ind w:firstLine="708"/>
        <w:jc w:val="both"/>
      </w:pPr>
      <w:r>
        <w:t>As principais limitações identificadas nos estudos fora</w:t>
      </w:r>
      <w:r>
        <w:t xml:space="preserve">m tamanho amostral reduzido (A1, A2, A5, A9 e A11), uso do DSM-IV como referência diagnóstica (A2, A3, A10 e A11), não isolamento do grupo do TOC (A1, A3, A5 e A9), limitações metodológicas (A1, A4, A6 e A10), incongruência ou ausência de informações (A2, </w:t>
      </w:r>
      <w:r>
        <w:t>A4, A6 e A11), falta de sugestões para estudos futuros (A1, A4 e A5) e fundamentação dos dados em autorrelato (A3 e A10). As limitações menos frequentes incluem cansaço dos entrevistados devido ao excesso de perguntas (A1), amostragem majoritariamente femi</w:t>
      </w:r>
      <w:r>
        <w:t>nina (A2), uso do DSM-III como referência diagnóstica (A2), falta de certos preditores na avaliação (A3), uso de instrumento não validado na população (A10), exclusão de indivíduos institucionalizados (A10), falta de grupo controle (A11) e dados com base e</w:t>
      </w:r>
      <w:r>
        <w:t>m prontuários retrospectivos (A11).</w:t>
      </w:r>
    </w:p>
    <w:p w:rsidR="00F562EB" w:rsidRDefault="00932784">
      <w:pPr>
        <w:spacing w:line="360" w:lineRule="auto"/>
        <w:ind w:firstLine="708"/>
        <w:jc w:val="both"/>
      </w:pPr>
      <w:r>
        <w:t>As sugestões para estudos futuros incluem a vinculação de dados clínicos com dados de reivindicações administrativas (</w:t>
      </w:r>
      <w:r>
        <w:rPr>
          <w:i/>
        </w:rPr>
        <w:t>administrative claims data</w:t>
      </w:r>
      <w:r>
        <w:t>), a fim de permitir uma avaliação mais completa da multimorbidade entre pac</w:t>
      </w:r>
      <w:r>
        <w:t xml:space="preserve">ientes com FM (A2). Recomendam-se </w:t>
      </w:r>
      <w:r>
        <w:lastRenderedPageBreak/>
        <w:t>estudos adicionais para avaliar se os transtornos de ansiedade e depressão observados na FM estabelecida estavam presentes antes do início da síndrome e para verificar se os transtornos mentais contribuem para o desenvolvi</w:t>
      </w:r>
      <w:r>
        <w:t>mento da doença (A3). Preconiza-se a investigação da epigenética da FM, além de estudos sobre os polimorfismos identificados da doença e o possível tratamento farmacológico (A7). São necessárias pesquisas com populações maiores, além da ampliação para aver</w:t>
      </w:r>
      <w:r>
        <w:t xml:space="preserve">iguar polimorfismos em outras condições junto à FM (A7). </w:t>
      </w:r>
    </w:p>
    <w:p w:rsidR="00F562EB" w:rsidRDefault="00932784">
      <w:pPr>
        <w:spacing w:line="360" w:lineRule="auto"/>
        <w:ind w:firstLine="708"/>
        <w:jc w:val="both"/>
      </w:pPr>
      <w:r>
        <w:t>São indicadas diversas pesquisas voltadas para a população de pacientes com TOC e aspectos de saúde física relacionados. Assim, têm-se direcionamentos mais gerais, como a compreensão de hábitos de v</w:t>
      </w:r>
      <w:r>
        <w:t>ida de pacientes com TOC e a realização de estudos de randomização mendeliana que investiguem o papel das variantes de risco do TOC no aparecimento de condições médicas (A6). Recomendam-se pesquisas específicas, como o desenvolvimento de estudos adicionais</w:t>
      </w:r>
      <w:r>
        <w:t xml:space="preserve"> sobre a prevalência de distúrbios gastrointestinais no TOC, seus correlatos clínicos e mecanismos associados (A6), com amostras maiores (A9). Propõe-se, também, a replicação de estudos sobre a relação potencial entre TOC e dores de cabeça e enxaquecas (A6</w:t>
      </w:r>
      <w:r>
        <w:t xml:space="preserve">), tal como a análise da associação entre TOC e diabetes (A10). Por fim, recomenda-se a investigação sobre o impacto do uso crônico de medicamentos, especialmente os antipsicóticos, na saúde geral de pacientes com TOC (A6). </w:t>
      </w:r>
    </w:p>
    <w:p w:rsidR="00F562EB" w:rsidRDefault="00932784">
      <w:pPr>
        <w:spacing w:line="360" w:lineRule="auto"/>
        <w:ind w:firstLine="708"/>
        <w:jc w:val="both"/>
      </w:pPr>
      <w:r>
        <w:t>De forma geral, indica-se que s</w:t>
      </w:r>
      <w:r>
        <w:t>ão necessários estudos clínicos maiores voltados para possível associação entre TOC e DC, que possuam controle suficiente dos fatores confundidores (A6 e A11). Estudos epidemiológicos que utilizem registros populacionais nacionais podem superar algumas lim</w:t>
      </w:r>
      <w:r>
        <w:t>itações comuns, com o fito de gerar estimativas de associação mais precisas (A6).</w:t>
      </w:r>
    </w:p>
    <w:p w:rsidR="00F562EB" w:rsidRDefault="00932784">
      <w:pPr>
        <w:spacing w:line="360" w:lineRule="auto"/>
        <w:ind w:firstLine="708"/>
        <w:jc w:val="both"/>
      </w:pPr>
      <w:r>
        <w:t>Em suma, os direcionamentos para estudos futuros abrangem a necessidade de ampliar o tamanho amostral estudado. As recomendações permeiam associações tanto do TOC e condições</w:t>
      </w:r>
      <w:r>
        <w:t xml:space="preserve"> simultâneas, quanto com DC e fatores relacionados, assim como a comorbidade entre TOC e DC. Urge o controle de aspectos confundidores nas pesquisas futuras.</w:t>
      </w:r>
    </w:p>
    <w:p w:rsidR="00F562EB" w:rsidRDefault="00F562EB">
      <w:pPr>
        <w:spacing w:line="360" w:lineRule="auto"/>
        <w:ind w:firstLine="708"/>
        <w:jc w:val="both"/>
      </w:pPr>
    </w:p>
    <w:p w:rsidR="00F562EB" w:rsidRDefault="00932784">
      <w:pPr>
        <w:spacing w:line="360" w:lineRule="auto"/>
        <w:jc w:val="center"/>
        <w:rPr>
          <w:b/>
        </w:rPr>
      </w:pPr>
      <w:r>
        <w:rPr>
          <w:b/>
        </w:rPr>
        <w:t>Discussão</w:t>
      </w:r>
    </w:p>
    <w:p w:rsidR="00F562EB" w:rsidRDefault="00932784">
      <w:pPr>
        <w:spacing w:line="360" w:lineRule="auto"/>
        <w:ind w:firstLine="708"/>
        <w:jc w:val="both"/>
      </w:pPr>
      <w:r>
        <w:t>O TOC é uma psicopatologia grave, e a ocorrência simultânea de outras enfermidades físi</w:t>
      </w:r>
      <w:r>
        <w:t>cas ou psicológicas pode dificultar o diagnóstico e o tratamento do transtorno (Cordioli, 2014b). A DC é uma condição física marcada por elementos psicológicos e emocionais, que influenciam na gestão da dor e podem afetar o bem-estar do indivíduo acometido</w:t>
      </w:r>
      <w:r>
        <w:t xml:space="preserve"> (Eckert et al., 2022). Os impactos do TOC na DC podem ter relação com a intensidade de dor e com o manejo da sintomatologia álgica. Mutuamente, a DC pode interferir no tratamento do TOC e </w:t>
      </w:r>
      <w:r>
        <w:lastRenderedPageBreak/>
        <w:t>na manifestação dos O/C. As pesquisas sobre TOC e DC comórbidos ain</w:t>
      </w:r>
      <w:r>
        <w:t>da são escassas, mas os achados mostram que existe uma relação a ser explorada entre as duas condições.</w:t>
      </w:r>
    </w:p>
    <w:p w:rsidR="00F562EB" w:rsidRDefault="00932784">
      <w:pPr>
        <w:spacing w:line="360" w:lineRule="auto"/>
        <w:ind w:firstLine="708"/>
        <w:jc w:val="both"/>
      </w:pPr>
      <w:r>
        <w:t>A atualização do DSM-IV para o DSM-5 incluiu a criação de uma categoria para o TOC e os transtornos relacionados. Anteriormente, o TOC era classificado como transtorno de ansiedade e, mesmo com a mudança de classe, sabe-se que a presença deste estado emoci</w:t>
      </w:r>
      <w:r>
        <w:t xml:space="preserve">onal é característica do TOC (Barlow et al., 2020). A apresentação pura do transtorno é rara, tendo em vista que a sintomatologia depressiva e ansiosa costuma aparecer nos indivíduos com essa psicopatologia (Cordioli, 2014b). Os achados do presente estudo </w:t>
      </w:r>
      <w:r>
        <w:t>confirmam esses aspectos, uma vez que uma das limitações frequentes das pesquisas foi a dificuldade de isolar o grupo de pacientes com TOC. Em alguns casos, o TOC foi analisado junto a outros transtornos (A3, A5 e A9), sem expor justificativa para tal. Por</w:t>
      </w:r>
      <w:r>
        <w:t>ém, um estudo (A1) precisou analisar o grupo de TOC junto à sintomatologia de estresse, devido à impossibilidade de isolar uma amostra de TOC puro. Ademais, a maior parte dos estudos avaliou os O/C, em detrimento do transtorno propriamente dito, o que aume</w:t>
      </w:r>
      <w:r>
        <w:t>nta o risco de viés. A prevalência média de O/C na população geral pode variar de 20% a 36% (Pozza et al., 2024). Em comparação, a prevalência mundial do TOC pode chegar a 3% (Cervin, 2023).</w:t>
      </w:r>
    </w:p>
    <w:p w:rsidR="00F562EB" w:rsidRDefault="00932784">
      <w:pPr>
        <w:spacing w:line="360" w:lineRule="auto"/>
        <w:ind w:firstLine="708"/>
        <w:jc w:val="both"/>
      </w:pPr>
      <w:r>
        <w:t>O modelo integrado de psicopatologia compreende que o desenvolvim</w:t>
      </w:r>
      <w:r>
        <w:t>ento de um transtorno mental depende de diversas influências, como biológicas, comportamentais, emocionais, cognitivas e sociais (Barlow et al., 2020). O mesmo se aplica ao TOC, transtorno que necessita da presença de vulnerabilidades biológicas e psicológ</w:t>
      </w:r>
      <w:r>
        <w:t>icas para se manifestar (Barlow et al., 2020). Nesta linha, o estudo A6 abordou a presença de condições físicas concomitantes com o TOC. Considera-se que o surgimento de comorbidades também tem origens multifatoriais. Os fatores genéticos compartilhados en</w:t>
      </w:r>
      <w:r>
        <w:t>tre TOC e outras doenças interagem com aspectos ambientais, como uso crônico de medicamentos, estilos de vida pouco saudáveis ​​ou desigualdades no acesso a serviços de saúde (A6). Além disso, a existência de comorbidade no TOC tende a gerar pior qualidade</w:t>
      </w:r>
      <w:r>
        <w:t xml:space="preserve"> de vida e menor resposta ao tratamento (Sousa &amp; Cordioli, 2014). Sabe-se que a presença concomitante de transtornos mentais pode aumentar a vulnerabilidade de desenvolver DC e piorar a experiência de dor (Otis, 2023). Assim, os aspectos aqui discutidos re</w:t>
      </w:r>
      <w:r>
        <w:t>forçam os achados da presente pesquisa. Diversos estudos (A1, A2, A3, A9 e A10) apontam que há um aumento mútuo na chance de desenvolver TOC ou DC quando o indivíduo possui uma das condições previamente.</w:t>
      </w:r>
    </w:p>
    <w:p w:rsidR="00F562EB" w:rsidRDefault="00932784">
      <w:pPr>
        <w:spacing w:line="360" w:lineRule="auto"/>
        <w:ind w:firstLine="708"/>
        <w:jc w:val="both"/>
      </w:pPr>
      <w:r>
        <w:t xml:space="preserve"> A teoria da neuromatriz da dor considera a DC como </w:t>
      </w:r>
      <w:r>
        <w:t xml:space="preserve">uma condição multidimensional. Conforme esta hipótese, a experiência da dor recebe influência de três dimensões: sensorial-discriminativa, afetiva-motivacional e avaliativa-cognitiva. A interação de tais fatores </w:t>
      </w:r>
      <w:r>
        <w:lastRenderedPageBreak/>
        <w:t>determina a arquitetura sináptica da rede ne</w:t>
      </w:r>
      <w:r>
        <w:t>ural do cérebro, isto é, a neuromatriz. A experiência da dor é designada por padrões de neuroassinatura de impulsos nervosos, que, no caso da DC, têm origem parcial na falha do estabelecimento de homeostase na regulação do estresse (Melzack, 1999). Outra t</w:t>
      </w:r>
      <w:r>
        <w:t>eoria sobre o desenvolvimento e a manutenção da DC é o Modelo Bayesiano. Tal hipótese postula que o paciente com DC infere a dor a partir de diversos estímulos sensoriais recebidos, inclusive de sensações inócuas, geralmente condicionado por crenças anteri</w:t>
      </w:r>
      <w:r>
        <w:t>ores de superestimação da dor. A chamada “inferência ativa” parte da combinação de tais crenças com informações sensoriais recebidas e ações do próprio paciente. Esses fatores provocam a perpetuação da dor, em oposição ao que ocorre com indivíduos saudávei</w:t>
      </w:r>
      <w:r>
        <w:t>s, cuja inferência interoceptiva tende a ser flexível e dinâmica, com avaliações precisas sobre estímulos inofensivos (Eckert et al., 2022).</w:t>
      </w:r>
    </w:p>
    <w:p w:rsidR="00F562EB" w:rsidRDefault="00932784">
      <w:pPr>
        <w:spacing w:line="360" w:lineRule="auto"/>
        <w:ind w:firstLine="708"/>
        <w:jc w:val="both"/>
      </w:pPr>
      <w:r>
        <w:t>Tanto a Teoria da Neuromatriz da Dor quanto o Modelo Bayesiano vão ao encontro do modelo cognitivo-comportamental d</w:t>
      </w:r>
      <w:r>
        <w:t>o TOC. Tal hipótese parte da premissa de que pensamentos intrusivos fazem parte do funcionamento cognitivo normal, com ativações diversas ao longo do dia. Para a maioria dos indivíduos, os pensamentos intrusivos são neutros e desaparecem de forma espontâne</w:t>
      </w:r>
      <w:r>
        <w:t>a. No caso de pacientes com TOC, esse tipo de cognição transforma-se em obsessões por meio de avaliações negativas associadas, predispostas pela presença da intolerância à incerteza e da superestimação da ameaça. As experiências emocionais de medo, ansie</w:t>
      </w:r>
      <w:r>
        <w:t>dade e culpa impelem o indivíduo à tentativa de afastar ou eliminar os riscos percebidos. O uso de rituais, evitação, neutralizações e hipervigilância geram um alívio a curto prazo das emoções desconfortáveis, de modo a reforçar o funcionamento O/C (Cord</w:t>
      </w:r>
      <w:r>
        <w:t>ioli, 2014a). Tendo em vista a tendência de indivíduos com TOC de enviesar negativamente a sua avaliação perante às próprias cognições, questiona-se como a presença dos O/C pode influenciar a inferência ativa sobre a dor e modelar os padrões de neuroassina</w:t>
      </w:r>
      <w:r>
        <w:t>tura na DC.</w:t>
      </w:r>
    </w:p>
    <w:p w:rsidR="00F562EB" w:rsidRDefault="00932784">
      <w:pPr>
        <w:spacing w:line="360" w:lineRule="auto"/>
        <w:ind w:firstLine="708"/>
        <w:jc w:val="both"/>
      </w:pPr>
      <w:r>
        <w:t>Existem particularidades a cada condição associada à DC, e seus desfechos podem variar na comorbidade com TOC. A DTM possui influências multifatoriais ao surgimento e à piora dos sintomas, incluindo aspectos psicológicos, hábitos parafuncionais</w:t>
      </w:r>
      <w:r>
        <w:t xml:space="preserve"> e tensão muscular (Calixtre et al., 2023). Hábitos parafuncionais são comportamentos emitidos durante o sono ou a vigília (Calixtre et al., 2023), que podem gerar alteração nas funções orais (Tavares et al., 2023), como movimentos voluntários repetitivos,</w:t>
      </w:r>
      <w:r>
        <w:t xml:space="preserve"> roer unhas, morder lábios ou bochechas e bruxismo (Calixtre et al., 2023). Ademais, certos medicamentos utilizados no tratamento do TOC, como fluoxetina e citalopram, aumentam o bruxismo (A1). Assim, faz-se necessário </w:t>
      </w:r>
      <w:r>
        <w:lastRenderedPageBreak/>
        <w:t>considerar a susceptibilidade deste g</w:t>
      </w:r>
      <w:r>
        <w:t>rupo quanto ao desenvolvimento de DC originada por DTM, além do cuidado referente aos psicofármacos utilizados pelos pacientes.</w:t>
      </w:r>
    </w:p>
    <w:p w:rsidR="00F562EB" w:rsidRDefault="00932784">
      <w:pPr>
        <w:spacing w:line="360" w:lineRule="auto"/>
        <w:ind w:firstLine="708"/>
        <w:jc w:val="both"/>
      </w:pPr>
      <w:r>
        <w:t>O tratamento farmacológico mais indicado para o TOC consiste na classe de ISRS, categoria que inclui medicamentos como a fluoxet</w:t>
      </w:r>
      <w:r>
        <w:t>ina e o citalopram (Knebel &amp; Kennedy, 2024). Já a classe medicamentosa mais utilizada para o tratamento de diferentes tipos de DC é a de Inibidores Seletivos de Recaptação de Serotonina e de Noradrenalina (ISRN), como alternativa à prescrição de opioides (</w:t>
      </w:r>
      <w:r>
        <w:t>Ayub et al., 2024). Alguns exemplos de psicofármacos dessa categoria são a duloxetina e a venlafaxina. Por mais que a prescrição de ISRN não seja indicada no TOC, a presença de comorbidades, como transtorno depressivo maior (TDM) e outros transtornos de an</w:t>
      </w:r>
      <w:r>
        <w:t>siedade pode explicar a receita de tais psicofármacos para esses pacientes (Knebel &amp; Kennedy, 2024). Achados recentes mostraram eficácia de curto prazo da duloxetina no tratamento de FM. No entanto, não foram identificados benefícios consistentes a longo p</w:t>
      </w:r>
      <w:r>
        <w:t>razo de nenhum medicamento para o tratamento de DC (Ayub et al., 2024). A Terapia Cognitivo-Comportamental (TCC) configura-se, atualmente, como a abordagem de tratamento com maior nível de evidência para diferentes condições de DC (APA, 2022a, 2022b, 2022d</w:t>
      </w:r>
      <w:r>
        <w:t>). Os principais componentes da TCC utilizados no tratamento são a psicoeducação sobre dor, o automonitoramento e a inclusão de estratégias de relaxamento na rotina. No caso do TOC, o tratamento psicológico com maior suporte de evidência é a Exposição e Pr</w:t>
      </w:r>
      <w:r>
        <w:t>evenção de Resposta (EPR), em que o indivíduo experimenta a ansiedade gerada pelas obsessões, sem realizar as compulsões associadas (APA, 2022c). A presença de comorbidades contribui para piores resultados do tratamento (Sousa &amp; Cordioli, 2014) e a falta d</w:t>
      </w:r>
      <w:r>
        <w:t>e estudos sobre a comorbidade entre TOC e DC priva profissionais e pacientes do acesso ao melhor tratamento disponível.</w:t>
      </w:r>
    </w:p>
    <w:p w:rsidR="00F562EB" w:rsidRDefault="00932784">
      <w:pPr>
        <w:spacing w:line="360" w:lineRule="auto"/>
        <w:ind w:firstLine="708"/>
        <w:jc w:val="both"/>
      </w:pPr>
      <w:r>
        <w:t>As pesquisas existentes falham em responder quais as repercussões do funcionamento cognitivo, emocional e comportamental característicos</w:t>
      </w:r>
      <w:r>
        <w:t xml:space="preserve"> do TOC na experiência da DC. O estudo futuro A8 propõe-se a preencher tais lacunas, uma vez que seus objetivos incluem avaliar a associação entre os O/C e a complexidade da dor, a intensidade da dor e a interferência na vida diária dos indivíduos que freq</w:t>
      </w:r>
      <w:r>
        <w:t>uentam um Programa de Serviço de Dor na Nova Zelândia. A pesquisa pretende explorar como os indivíduos compreendem a própria experiência de DC e TOC concomitantes e de que forma os O/C contribuem para a reabilitação da dor. Os pesquisadores hipotetizam que</w:t>
      </w:r>
      <w:r>
        <w:t xml:space="preserve"> indivíduos com DC apresentam uma taxa de TOC significativamente maior do que a população geral e que a presença do TOC associa-se à maior complexidade e intensidade de dor, com mais interferência na vida dos indivíduos. Supõe-se que a população com TOC pr</w:t>
      </w:r>
      <w:r>
        <w:t xml:space="preserve">ecisa de mais auxílio do Programa de </w:t>
      </w:r>
      <w:r>
        <w:lastRenderedPageBreak/>
        <w:t>Serviço de Dor e tem piores resultados de tratamento. O trabalho em desenvolvimento segue as indicações prévias da literatura quanto à ampliação da amostra estudada (A6, A7 e A9), ao recrutar participantes por meio de s</w:t>
      </w:r>
      <w:r>
        <w:t xml:space="preserve">erviços comunitários de dor com abrangência nacional. </w:t>
      </w:r>
    </w:p>
    <w:p w:rsidR="00F562EB" w:rsidRDefault="00F562EB">
      <w:pPr>
        <w:spacing w:line="360" w:lineRule="auto"/>
        <w:ind w:firstLine="708"/>
        <w:jc w:val="both"/>
      </w:pPr>
    </w:p>
    <w:p w:rsidR="00F562EB" w:rsidRDefault="00932784">
      <w:pPr>
        <w:spacing w:line="360" w:lineRule="auto"/>
        <w:jc w:val="center"/>
        <w:rPr>
          <w:b/>
        </w:rPr>
      </w:pPr>
      <w:r>
        <w:rPr>
          <w:b/>
        </w:rPr>
        <w:t>Considerações Finais</w:t>
      </w:r>
    </w:p>
    <w:p w:rsidR="00F562EB" w:rsidRDefault="00932784">
      <w:pPr>
        <w:spacing w:line="360" w:lineRule="auto"/>
        <w:ind w:firstLine="708"/>
        <w:jc w:val="both"/>
      </w:pPr>
      <w:r>
        <w:t>O presente trabalho teve como objetivo investigar a relação entre o TOC e a DC. Para isso, realizou-se uma revisão de escopo da literatura, em que o mapeamento dos achados permiti</w:t>
      </w:r>
      <w:r>
        <w:t>u a identificação das lacunas de pesquisa e o direcionamento para estudos futuros. Os resultados apontaram que a relação entre TOC e DC ainda é pouco explorada na literatura. No entanto, a comorbidade entre as duas condições configura um campo potencial de</w:t>
      </w:r>
      <w:r>
        <w:t xml:space="preserve"> investigação, tendo em vista a necessidade de identificar marcadores biológicos de diagnóstico, manifestação sintomatológica e alternativas de tratamento para os pacientes. Foram identificados genes de atuação comum no TOC e em alguns tipos de DC. Ainda n</w:t>
      </w:r>
      <w:r>
        <w:t xml:space="preserve">ão está claro como a interação entre os O/C e as diversas condições de DC complexifica os sintomas e o estabelecimento de alvos de intervenção. </w:t>
      </w:r>
    </w:p>
    <w:p w:rsidR="00F562EB" w:rsidRDefault="00932784">
      <w:pPr>
        <w:spacing w:line="360" w:lineRule="auto"/>
        <w:ind w:firstLine="708"/>
        <w:jc w:val="both"/>
      </w:pPr>
      <w:r>
        <w:t>As principais limitações do estudo referem-se ao número reduzido de artigos da amostra, com qualidade majoritar</w:t>
      </w:r>
      <w:r>
        <w:t>iamente regular. Além disso, a maior parte dos artigos avaliou os O/C em detrimento do TOC diagnosticado, o que pode ter enviesado os resultados. Considera-se que o mapeamento realizado reflete a literatura mais recente, além de ser a primeira revisão sist</w:t>
      </w:r>
      <w:r>
        <w:t>ematizada da literatura em língua portuguesa sobre a comorbidade entre TOC e DC. O estudo desenvolvido aponta os possíveis caminhos de investigação, a fim de ampliar o campo de pesquisa e guiar o foco dos pesquisadores em saúde. O recrutamento de participa</w:t>
      </w:r>
      <w:r>
        <w:t>ntes para novas pesquisas pode ser feito em serviços de saúde públicos ou privados, com pacientes diagnosticados com TOC, DC ou ambos. É impreterível a correspondência do grupo controle em fatores sociodemográficos, como idade e gênero. Pode-se avaliar a i</w:t>
      </w:r>
      <w:r>
        <w:t>ntensidade, frequência e gravidade dos sintomas álgicos e O/C, bem como aspectos cognitivos, emocionais e comportamentais dos participantes. Isto é, crenças sobre dor, nível de catastrofização e de fusão pensamento-ação, insight sobre os O/C, recursos de m</w:t>
      </w:r>
      <w:r>
        <w:t>anejo de regulação emocional, de manejo da dor e dos O/C.</w:t>
      </w:r>
    </w:p>
    <w:p w:rsidR="00F562EB" w:rsidRDefault="00932784">
      <w:pPr>
        <w:spacing w:line="360" w:lineRule="auto"/>
        <w:ind w:firstLine="708"/>
        <w:jc w:val="both"/>
        <w:rPr>
          <w:b/>
        </w:rPr>
      </w:pPr>
      <w:r>
        <w:t>A investigação genética e neurofisiológica do TOC e da DC comórbidos caracterizam-se como alternativa de pesquisa. O compartilhamento genético entre o TOC e a FM pode configurar uma via promissora p</w:t>
      </w:r>
      <w:r>
        <w:t xml:space="preserve">ara a identificação de marcadores diagnósticos. Ademais, as particularidades de cada tipo de DC, como DTM e SII, e a existência de outras condições psicológicas devem ser levadas em conta na avaliação profissional. A interação entre os </w:t>
      </w:r>
      <w:r>
        <w:lastRenderedPageBreak/>
        <w:t>sintomas álgicos e o</w:t>
      </w:r>
      <w:r>
        <w:t>s O/C presumivelmente resultam em manifestações clínicas singulares, que demandam intervenções específicas. A realização de estudos com indivíduos que apresentam TOC e DC comórbidos pode colaborar para a consolidação de tratamentos baseados em evidências v</w:t>
      </w:r>
      <w:r>
        <w:t>oltados a esse público.</w:t>
      </w:r>
      <w:r>
        <w:br w:type="page"/>
      </w:r>
    </w:p>
    <w:p w:rsidR="00F562EB" w:rsidRDefault="00932784" w:rsidP="002E5FFF">
      <w:pPr>
        <w:spacing w:line="276" w:lineRule="auto"/>
        <w:ind w:left="709" w:hanging="709"/>
        <w:jc w:val="center"/>
        <w:rPr>
          <w:b/>
        </w:rPr>
      </w:pPr>
      <w:r>
        <w:rPr>
          <w:b/>
        </w:rPr>
        <w:lastRenderedPageBreak/>
        <w:t>Referências</w:t>
      </w:r>
    </w:p>
    <w:p w:rsidR="00F562EB" w:rsidRDefault="00932784" w:rsidP="002E5FFF">
      <w:pPr>
        <w:ind w:left="709" w:hanging="709"/>
      </w:pPr>
      <w:r>
        <w:t xml:space="preserve">Allen, J. R., Hoch, C. P., Scott, D. J., &amp; Gross, C. E. (2022). Is There a Psychiatric Diagnosis in Chronic Ankle Instability Patients? </w:t>
      </w:r>
      <w:r>
        <w:rPr>
          <w:i/>
        </w:rPr>
        <w:t>Foot &amp; Ankle Orthopaedics</w:t>
      </w:r>
      <w:r>
        <w:t xml:space="preserve">, </w:t>
      </w:r>
      <w:r>
        <w:rPr>
          <w:i/>
        </w:rPr>
        <w:t>7</w:t>
      </w:r>
      <w:r>
        <w:t xml:space="preserve">(4), 1-2. </w:t>
      </w:r>
      <w:hyperlink r:id="rId15">
        <w:r>
          <w:rPr>
            <w:color w:val="1155CC"/>
            <w:u w:val="single"/>
          </w:rPr>
          <w:t>https://doi.org/10.1177/2473011421S00553</w:t>
        </w:r>
      </w:hyperlink>
      <w:r>
        <w:t xml:space="preserve"> </w:t>
      </w:r>
    </w:p>
    <w:p w:rsidR="00F562EB" w:rsidRDefault="00932784" w:rsidP="002E5FFF">
      <w:pPr>
        <w:ind w:left="709" w:hanging="709"/>
        <w:rPr>
          <w:color w:val="AD0EAD"/>
        </w:rPr>
      </w:pPr>
      <w:r>
        <w:t xml:space="preserve">American Psychological Association (APA). (2022a). Behavioral and Cognitive Behavioral Therapy for Chronic Low Back Pain. </w:t>
      </w:r>
      <w:hyperlink r:id="rId16">
        <w:r>
          <w:rPr>
            <w:color w:val="1155CC"/>
            <w:u w:val="single"/>
          </w:rPr>
          <w:t>https://div12.org/treatment/behavioral-and-cognitive-behavioral-therapy-for-chronic-low-back-pain</w:t>
        </w:r>
      </w:hyperlink>
    </w:p>
    <w:p w:rsidR="00F562EB" w:rsidRDefault="00932784" w:rsidP="002E5FFF">
      <w:pPr>
        <w:ind w:left="709" w:hanging="709"/>
      </w:pPr>
      <w:r>
        <w:t xml:space="preserve">American Psychological Association (APA). (2022b). Cognitive behavioral therapy for chronic headache. </w:t>
      </w:r>
      <w:hyperlink r:id="rId17">
        <w:r>
          <w:rPr>
            <w:color w:val="1155CC"/>
            <w:u w:val="single"/>
          </w:rPr>
          <w:t>https://div12.org/treatment/cognitive-behavioral-therapy-for-chronic-headache</w:t>
        </w:r>
      </w:hyperlink>
    </w:p>
    <w:p w:rsidR="00F562EB" w:rsidRDefault="00932784" w:rsidP="002E5FFF">
      <w:pPr>
        <w:ind w:left="709" w:hanging="709"/>
        <w:rPr>
          <w:color w:val="AD0EAD"/>
        </w:rPr>
      </w:pPr>
      <w:r>
        <w:t xml:space="preserve">American Psychological Association (APA). (2022c). Exposure and Response Prevention for Obsessive-Compulsive Disorder. </w:t>
      </w:r>
      <w:hyperlink r:id="rId18">
        <w:r>
          <w:rPr>
            <w:color w:val="1155CC"/>
            <w:u w:val="single"/>
          </w:rPr>
          <w:t>https://div12.org/trea</w:t>
        </w:r>
        <w:r>
          <w:rPr>
            <w:color w:val="1155CC"/>
            <w:u w:val="single"/>
          </w:rPr>
          <w:t>tment/exposure-and-response-prevention-for-obsessive-compulsive-disorder</w:t>
        </w:r>
      </w:hyperlink>
    </w:p>
    <w:p w:rsidR="00F562EB" w:rsidRDefault="00932784" w:rsidP="002E5FFF">
      <w:pPr>
        <w:ind w:left="709" w:hanging="709"/>
        <w:rPr>
          <w:color w:val="AD0EAD"/>
        </w:rPr>
      </w:pPr>
      <w:r>
        <w:t xml:space="preserve">American Psychological Association (APA). (2022d). Multi-Component Cognitive Behavioral Therapy for Rheumatologic Pain. </w:t>
      </w:r>
      <w:hyperlink r:id="rId19">
        <w:r>
          <w:rPr>
            <w:color w:val="1155CC"/>
            <w:u w:val="single"/>
          </w:rPr>
          <w:t>https://div12.org/treatment/multi-component-cognitive-behavioral-therapy-for-rheumatologic-pain</w:t>
        </w:r>
      </w:hyperlink>
    </w:p>
    <w:p w:rsidR="00F562EB" w:rsidRDefault="00932784" w:rsidP="002E5FFF">
      <w:pPr>
        <w:ind w:left="709" w:hanging="709"/>
      </w:pPr>
      <w:r>
        <w:t xml:space="preserve">American Psychiatric Association (APA) (2023). </w:t>
      </w:r>
      <w:r>
        <w:rPr>
          <w:i/>
        </w:rPr>
        <w:t>Manual Diagnóstico e Estatístico de Transtornos Mentais - DSM</w:t>
      </w:r>
      <w:r>
        <w:rPr>
          <w:i/>
        </w:rPr>
        <w:t>-5-TR: Texto Revisado</w:t>
      </w:r>
      <w:r>
        <w:t xml:space="preserve"> (5a ed.). Artmed. </w:t>
      </w:r>
    </w:p>
    <w:p w:rsidR="00F562EB" w:rsidRDefault="00932784" w:rsidP="002E5FFF">
      <w:pPr>
        <w:ind w:left="709" w:hanging="709"/>
      </w:pPr>
      <w:r>
        <w:t xml:space="preserve">Arksey, H., &amp; O’Malley, L. (2005). Scoping studies: towards a methodological framework. </w:t>
      </w:r>
      <w:r>
        <w:rPr>
          <w:i/>
        </w:rPr>
        <w:t>International Journal of Social Research Methodology: Theory &amp; Practice,</w:t>
      </w:r>
      <w:r>
        <w:t xml:space="preserve"> </w:t>
      </w:r>
      <w:r>
        <w:rPr>
          <w:i/>
        </w:rPr>
        <w:t>8</w:t>
      </w:r>
      <w:r>
        <w:t xml:space="preserve">(1), 19-32. </w:t>
      </w:r>
      <w:hyperlink r:id="rId20">
        <w:r>
          <w:rPr>
            <w:color w:val="1155CC"/>
            <w:u w:val="single"/>
          </w:rPr>
          <w:t>https://doi.org/10.1080/1364557032000119616</w:t>
        </w:r>
      </w:hyperlink>
      <w:r>
        <w:t xml:space="preserve"> </w:t>
      </w:r>
    </w:p>
    <w:p w:rsidR="00F562EB" w:rsidRDefault="00932784" w:rsidP="002E5FFF">
      <w:pPr>
        <w:ind w:left="709" w:hanging="709"/>
      </w:pPr>
      <w:r>
        <w:t xml:space="preserve">Avila, M. A., Gomes, C. A. F. P., &amp; Filho, A. V. D. (2023). O que é dor e por que se deve avaliá-la. Em Avila, M. A., Gomes, C. A. F. P., &amp; Filho, A. V. D. </w:t>
      </w:r>
      <w:r>
        <w:rPr>
          <w:i/>
        </w:rPr>
        <w:t>Métodos e técnicas de avaliação d</w:t>
      </w:r>
      <w:r>
        <w:rPr>
          <w:i/>
        </w:rPr>
        <w:t xml:space="preserve">a dor crônica: abordagem prática </w:t>
      </w:r>
      <w:r>
        <w:t>(pp. 3-8). Editora Manole.</w:t>
      </w:r>
    </w:p>
    <w:p w:rsidR="00F562EB" w:rsidRDefault="00932784" w:rsidP="002E5FFF">
      <w:pPr>
        <w:ind w:left="709" w:hanging="709"/>
      </w:pPr>
      <w:r>
        <w:t>Ayub, S., Bachu, A. K., Jain, L., Parnia, S., Bhivandkar, S., Ahmed, R.</w:t>
      </w:r>
      <w:proofErr w:type="gramStart"/>
      <w:r>
        <w:t>, ...</w:t>
      </w:r>
      <w:proofErr w:type="gramEnd"/>
      <w:r>
        <w:t xml:space="preserve"> &amp; Ahmed, S. (2024). Non-opioid psychiatric medications for chronic pain: systematic review and meta-analysis. </w:t>
      </w:r>
      <w:r>
        <w:rPr>
          <w:i/>
        </w:rPr>
        <w:t>Frontiers</w:t>
      </w:r>
      <w:r>
        <w:rPr>
          <w:i/>
        </w:rPr>
        <w:t xml:space="preserve"> in Pain Research</w:t>
      </w:r>
      <w:r>
        <w:t xml:space="preserve">, </w:t>
      </w:r>
      <w:r>
        <w:rPr>
          <w:i/>
        </w:rPr>
        <w:t>5</w:t>
      </w:r>
      <w:r>
        <w:t xml:space="preserve">, 1398442. </w:t>
      </w:r>
      <w:hyperlink r:id="rId21">
        <w:r>
          <w:rPr>
            <w:color w:val="1155CC"/>
            <w:u w:val="single"/>
          </w:rPr>
          <w:t>https://doi.org/10.3389/fpain.2024.1398442</w:t>
        </w:r>
      </w:hyperlink>
      <w:r>
        <w:t xml:space="preserve"> </w:t>
      </w:r>
    </w:p>
    <w:p w:rsidR="00F562EB" w:rsidRDefault="00932784" w:rsidP="002E5FFF">
      <w:pPr>
        <w:ind w:left="709" w:hanging="709"/>
      </w:pPr>
      <w:r>
        <w:t>Baethge, C., Goldbeck-Wood, S., &amp; Mertens, S. (2019). SANRA – a scale for the quality assessment of narrative review ar</w:t>
      </w:r>
      <w:r>
        <w:t xml:space="preserve">ticles. </w:t>
      </w:r>
      <w:r>
        <w:rPr>
          <w:i/>
        </w:rPr>
        <w:t>Research integrity and peer review</w:t>
      </w:r>
      <w:r>
        <w:t>,</w:t>
      </w:r>
      <w:r>
        <w:rPr>
          <w:i/>
        </w:rPr>
        <w:t xml:space="preserve"> 4</w:t>
      </w:r>
      <w:r>
        <w:t xml:space="preserve">(5), 1-7. </w:t>
      </w:r>
      <w:hyperlink r:id="rId22">
        <w:r>
          <w:rPr>
            <w:color w:val="1155CC"/>
            <w:u w:val="single"/>
          </w:rPr>
          <w:t>https://doi.org/10.1186/s41073-019-0064-8</w:t>
        </w:r>
      </w:hyperlink>
    </w:p>
    <w:p w:rsidR="00F562EB" w:rsidRDefault="00932784" w:rsidP="002E5FFF">
      <w:pPr>
        <w:ind w:left="709" w:hanging="709"/>
      </w:pPr>
      <w:r>
        <w:t xml:space="preserve">Barlow, D. H., Durand, V. M., &amp; Hofmann, S. G. (2020). </w:t>
      </w:r>
      <w:r>
        <w:rPr>
          <w:i/>
        </w:rPr>
        <w:t>Psicopatologia: uma abordagem integrada</w:t>
      </w:r>
      <w:r>
        <w:t xml:space="preserve"> (3a</w:t>
      </w:r>
      <w:r>
        <w:t xml:space="preserve"> ed.). Cengage Learning Brasil.</w:t>
      </w:r>
    </w:p>
    <w:p w:rsidR="00F562EB" w:rsidRDefault="00932784" w:rsidP="002E5FFF">
      <w:pPr>
        <w:ind w:left="709" w:hanging="709"/>
      </w:pPr>
      <w:r>
        <w:t xml:space="preserve">Calixtre, L. B., Tavares, L. F., &amp; Oliveira, A. B. (2023). Avaliação da dor relacionada à disfunção temporomandibular. Em Avila, M. A., Gomes, C. A. F. P., &amp; Filho, A. V. D. </w:t>
      </w:r>
      <w:r>
        <w:rPr>
          <w:i/>
        </w:rPr>
        <w:t>Métodos e técnicas de avaliação da dor crônica: ab</w:t>
      </w:r>
      <w:r>
        <w:rPr>
          <w:i/>
        </w:rPr>
        <w:t xml:space="preserve">ordagem prática </w:t>
      </w:r>
      <w:r>
        <w:t>(pp. 220-239). Editora Manole.</w:t>
      </w:r>
    </w:p>
    <w:p w:rsidR="00F562EB" w:rsidRDefault="00932784" w:rsidP="002E5FFF">
      <w:pPr>
        <w:ind w:left="709" w:hanging="709"/>
      </w:pPr>
      <w:r>
        <w:t xml:space="preserve">Cervin, M. (2023). Obsessive-Compulsive Disorder: Diagnosis, Clinical Features, Nosology, and Epidemiology. </w:t>
      </w:r>
      <w:r>
        <w:rPr>
          <w:i/>
        </w:rPr>
        <w:t>The Psychiatric clinics of North America</w:t>
      </w:r>
      <w:r>
        <w:t>,</w:t>
      </w:r>
      <w:r>
        <w:rPr>
          <w:i/>
        </w:rPr>
        <w:t xml:space="preserve"> 46</w:t>
      </w:r>
      <w:r>
        <w:t xml:space="preserve">(1), 1-16. </w:t>
      </w:r>
      <w:hyperlink r:id="rId23">
        <w:r>
          <w:rPr>
            <w:color w:val="1155CC"/>
            <w:u w:val="single"/>
          </w:rPr>
          <w:t>https://doi.org/10.1016/j.psc.2022.10.006</w:t>
        </w:r>
      </w:hyperlink>
      <w:r>
        <w:t xml:space="preserve"> </w:t>
      </w:r>
    </w:p>
    <w:p w:rsidR="00F562EB" w:rsidRDefault="00932784" w:rsidP="002E5FFF">
      <w:pPr>
        <w:ind w:left="709" w:hanging="709"/>
      </w:pPr>
      <w:r>
        <w:t xml:space="preserve">Cordioli, A. V. (2014a). Fatores psicológicos na gênese e na manutenção do TOC. Em Cordioli, A. V. (Org.). </w:t>
      </w:r>
      <w:r>
        <w:rPr>
          <w:i/>
        </w:rPr>
        <w:t>TOC: manual de terapia cognitivo-comportame</w:t>
      </w:r>
      <w:r>
        <w:rPr>
          <w:i/>
        </w:rPr>
        <w:t>ntal para o transtorno obsessivo-compulsivo</w:t>
      </w:r>
      <w:r>
        <w:t xml:space="preserve"> (2a ed., pp. 76-94). Grupo A.</w:t>
      </w:r>
    </w:p>
    <w:p w:rsidR="00F562EB" w:rsidRDefault="00932784" w:rsidP="002E5FFF">
      <w:pPr>
        <w:ind w:left="709" w:hanging="709"/>
      </w:pPr>
      <w:r>
        <w:t xml:space="preserve">Cordioli, A. V. (2014b). O TOC e as suas manifestações. Em Cordioli, A. V. (Org.). </w:t>
      </w:r>
      <w:r>
        <w:rPr>
          <w:i/>
        </w:rPr>
        <w:t>TOC: manual de terapia cognitivo-comportamental para o transtorno obsessivo-compulsivo</w:t>
      </w:r>
      <w:r>
        <w:t xml:space="preserve"> (2a ed., pp.</w:t>
      </w:r>
      <w:r>
        <w:t xml:space="preserve"> 12-31). Grupo A.</w:t>
      </w:r>
    </w:p>
    <w:p w:rsidR="00F562EB" w:rsidRDefault="00932784" w:rsidP="002E5FFF">
      <w:pPr>
        <w:ind w:left="709" w:hanging="709"/>
      </w:pPr>
      <w:r>
        <w:t xml:space="preserve">Creed, F. (2023). Psychiatric disorders and the onset of self-reported fibromyalgia and chronic fatigue syndrome: The lifelines cohort study. </w:t>
      </w:r>
      <w:r>
        <w:rPr>
          <w:i/>
        </w:rPr>
        <w:t>Frontiers in Psychiatry</w:t>
      </w:r>
      <w:r>
        <w:t xml:space="preserve">, </w:t>
      </w:r>
      <w:r>
        <w:rPr>
          <w:i/>
        </w:rPr>
        <w:t>14</w:t>
      </w:r>
      <w:r>
        <w:t xml:space="preserve">, 1–12. </w:t>
      </w:r>
      <w:hyperlink r:id="rId24">
        <w:r>
          <w:rPr>
            <w:color w:val="1155CC"/>
            <w:u w:val="single"/>
          </w:rPr>
          <w:t>https://doi.org/10.3389/fpsyt.2023.1120250</w:t>
        </w:r>
      </w:hyperlink>
      <w:r>
        <w:t xml:space="preserve"> </w:t>
      </w:r>
    </w:p>
    <w:p w:rsidR="00F562EB" w:rsidRDefault="00932784" w:rsidP="002E5FFF">
      <w:pPr>
        <w:ind w:left="709" w:hanging="709"/>
      </w:pPr>
      <w:r>
        <w:lastRenderedPageBreak/>
        <w:t xml:space="preserve">Eckert, A. L., Pabst, K., &amp; Endres, D. M. (2022). A Bayesian model for chronic pain. </w:t>
      </w:r>
      <w:r>
        <w:rPr>
          <w:i/>
        </w:rPr>
        <w:t>Frontiers in pain research</w:t>
      </w:r>
      <w:r>
        <w:t xml:space="preserve">, </w:t>
      </w:r>
      <w:r>
        <w:rPr>
          <w:i/>
        </w:rPr>
        <w:t>3</w:t>
      </w:r>
      <w:r>
        <w:t xml:space="preserve">, 966034. </w:t>
      </w:r>
      <w:hyperlink r:id="rId25">
        <w:r>
          <w:rPr>
            <w:color w:val="1155CC"/>
            <w:u w:val="single"/>
          </w:rPr>
          <w:t>https://doi.org/10.3389/fp</w:t>
        </w:r>
        <w:r>
          <w:rPr>
            <w:color w:val="1155CC"/>
            <w:u w:val="single"/>
          </w:rPr>
          <w:t>ain.2022.966034</w:t>
        </w:r>
      </w:hyperlink>
      <w:r>
        <w:t xml:space="preserve"> </w:t>
      </w:r>
    </w:p>
    <w:p w:rsidR="00F562EB" w:rsidRDefault="00932784" w:rsidP="002E5FFF">
      <w:pPr>
        <w:ind w:left="709" w:hanging="709"/>
      </w:pPr>
      <w:r>
        <w:t>Endres, D., Pollak, T. A., Bechter, K., Denzel, D., Pitsch, K., Nickel, K., Runge, K., Pankratz, B., Klatzmann, D., Tamouza, R., Mallet, L., Leboyer, M., Prüss, H., Voderholzer, U., Cunningham, J. L., ECNP Network Immuno-NeuroPsychiatry, D</w:t>
      </w:r>
      <w:r>
        <w:t xml:space="preserve">omschke, K., Elst, L. T., &amp; Schiele, M.A. (2022). Immunological causes of obsessive-compulsive disorder: is it time for the concept of an “autoimmune OCD” subtype? </w:t>
      </w:r>
      <w:r>
        <w:rPr>
          <w:i/>
        </w:rPr>
        <w:t>Translational psychiatry</w:t>
      </w:r>
      <w:r>
        <w:t xml:space="preserve">, </w:t>
      </w:r>
      <w:r>
        <w:rPr>
          <w:i/>
        </w:rPr>
        <w:t>12</w:t>
      </w:r>
      <w:r>
        <w:t xml:space="preserve">(1), 1-14. </w:t>
      </w:r>
      <w:hyperlink r:id="rId26">
        <w:r>
          <w:rPr>
            <w:color w:val="1155CC"/>
            <w:u w:val="single"/>
          </w:rPr>
          <w:t>https://doi.org/10.1038/s41398-021-01700-4</w:t>
        </w:r>
      </w:hyperlink>
      <w:r>
        <w:t xml:space="preserve"> </w:t>
      </w:r>
    </w:p>
    <w:p w:rsidR="00F562EB" w:rsidRDefault="00932784" w:rsidP="002E5FFF">
      <w:pPr>
        <w:ind w:left="709" w:hanging="709"/>
      </w:pPr>
      <w:r>
        <w:t xml:space="preserve">Fernández de la Cruz, L., Isomura, K., Lichtenstein, P., Rück, C., &amp; Mataix-Cols, D. (2022). Morbidity and mortality in obsessive-compulsive disorder: A narrative review. </w:t>
      </w:r>
      <w:r>
        <w:rPr>
          <w:i/>
        </w:rPr>
        <w:t>Neuroscience &amp; Biobehavioral Rev</w:t>
      </w:r>
      <w:r>
        <w:rPr>
          <w:i/>
        </w:rPr>
        <w:t>iews</w:t>
      </w:r>
      <w:r>
        <w:t xml:space="preserve">, </w:t>
      </w:r>
      <w:r>
        <w:rPr>
          <w:i/>
        </w:rPr>
        <w:t>136</w:t>
      </w:r>
      <w:r>
        <w:t xml:space="preserve">, 1-8. </w:t>
      </w:r>
      <w:hyperlink r:id="rId27">
        <w:r>
          <w:rPr>
            <w:color w:val="1155CC"/>
            <w:u w:val="single"/>
          </w:rPr>
          <w:t>https://doi.org/10.1016/j.neubiorev.2022.104602</w:t>
        </w:r>
      </w:hyperlink>
      <w:r>
        <w:t xml:space="preserve"> </w:t>
      </w:r>
    </w:p>
    <w:p w:rsidR="00F562EB" w:rsidRDefault="00932784" w:rsidP="002E5FFF">
      <w:pPr>
        <w:widowControl w:val="0"/>
        <w:ind w:left="709" w:hanging="709"/>
      </w:pPr>
      <w:r>
        <w:t>Finnmann Munk, A. S., Petersen, K. K., Bødtker, S., Walther-Larsen, S., Aagaard, G. B., Arendt-Nielsen, L., &amp; Wong, C. (2022</w:t>
      </w:r>
      <w:r>
        <w:t xml:space="preserve">). Long-term biopsychosocial issues and health-related quality of life in young adolescents and adults treated for childhood Complex Regional Pain Syndrome, type 1. </w:t>
      </w:r>
      <w:r>
        <w:rPr>
          <w:i/>
        </w:rPr>
        <w:t>Scandinavian journal of pain</w:t>
      </w:r>
      <w:r>
        <w:t>,</w:t>
      </w:r>
      <w:r>
        <w:rPr>
          <w:i/>
        </w:rPr>
        <w:t xml:space="preserve"> 22</w:t>
      </w:r>
      <w:r>
        <w:t xml:space="preserve">(3), 473-482. </w:t>
      </w:r>
      <w:hyperlink r:id="rId28">
        <w:r>
          <w:rPr>
            <w:color w:val="1155CC"/>
            <w:u w:val="single"/>
          </w:rPr>
          <w:t>https://doi.org/10.1515/sjpain-2021-0217</w:t>
        </w:r>
      </w:hyperlink>
      <w:r>
        <w:t xml:space="preserve"> </w:t>
      </w:r>
    </w:p>
    <w:p w:rsidR="00F562EB" w:rsidRDefault="00932784" w:rsidP="002E5FFF">
      <w:pPr>
        <w:ind w:left="709" w:hanging="709"/>
      </w:pPr>
      <w:r>
        <w:t xml:space="preserve">Fukusawa, L., Alaiti, R. K., Hotta, G. H., &amp; Custódio, G. A. P. (2023). Avaliação multidimensional da dor. Em Avila, M. A., Gomes, C. A. F. P., &amp; Filho, A. V. D. </w:t>
      </w:r>
      <w:r>
        <w:rPr>
          <w:i/>
        </w:rPr>
        <w:t>Métodos e técnicas de avaliação da do</w:t>
      </w:r>
      <w:r>
        <w:rPr>
          <w:i/>
        </w:rPr>
        <w:t>r crônica: abordagem prática</w:t>
      </w:r>
      <w:r>
        <w:t xml:space="preserve"> (pp. 87-94). Editora Manole.</w:t>
      </w:r>
    </w:p>
    <w:p w:rsidR="00F562EB" w:rsidRDefault="00932784" w:rsidP="002E5FFF">
      <w:pPr>
        <w:ind w:left="709" w:hanging="709"/>
      </w:pPr>
      <w:r>
        <w:t xml:space="preserve">Hezel, D. M., Riemann, B. C., &amp; McNally, R. J. (2012). Emotional distress and pain tolerance in obsessive-compulsive disorder. </w:t>
      </w:r>
      <w:r>
        <w:rPr>
          <w:i/>
        </w:rPr>
        <w:t>Journal of Behavior Therapy and Experimental Psychiatry</w:t>
      </w:r>
      <w:r>
        <w:t xml:space="preserve">, </w:t>
      </w:r>
      <w:r>
        <w:rPr>
          <w:i/>
        </w:rPr>
        <w:t>43</w:t>
      </w:r>
      <w:r>
        <w:t>(4), 981-987</w:t>
      </w:r>
      <w:r>
        <w:t xml:space="preserve">. </w:t>
      </w:r>
      <w:hyperlink r:id="rId29">
        <w:r>
          <w:rPr>
            <w:color w:val="1155CC"/>
            <w:u w:val="single"/>
          </w:rPr>
          <w:t>https://doi.org/10.1016/j.jbtep.2012.03.005</w:t>
        </w:r>
      </w:hyperlink>
    </w:p>
    <w:p w:rsidR="00F562EB" w:rsidRDefault="00932784" w:rsidP="002E5FFF">
      <w:pPr>
        <w:ind w:left="709" w:hanging="709"/>
      </w:pPr>
      <w:r>
        <w:t xml:space="preserve">Hooley, J. M., Ho, D. T., Slater, J., &amp; Lockshin, A. (2010). Pain perception and nonsuicidal self-injury: a laboratory investigation. </w:t>
      </w:r>
      <w:r>
        <w:rPr>
          <w:i/>
        </w:rPr>
        <w:t>Personality D</w:t>
      </w:r>
      <w:r>
        <w:rPr>
          <w:i/>
        </w:rPr>
        <w:t>isorders: Theory, Research, and Treatment</w:t>
      </w:r>
      <w:r>
        <w:t xml:space="preserve">, </w:t>
      </w:r>
      <w:r>
        <w:rPr>
          <w:i/>
        </w:rPr>
        <w:t>1</w:t>
      </w:r>
      <w:r>
        <w:t xml:space="preserve">(3), 170-179. </w:t>
      </w:r>
      <w:hyperlink r:id="rId30">
        <w:r>
          <w:rPr>
            <w:color w:val="1155CC"/>
            <w:u w:val="single"/>
          </w:rPr>
          <w:t>https://doi.org/10.1037/a0020106</w:t>
        </w:r>
      </w:hyperlink>
      <w:r>
        <w:t xml:space="preserve"> </w:t>
      </w:r>
    </w:p>
    <w:p w:rsidR="00F562EB" w:rsidRDefault="00932784" w:rsidP="002E5FFF">
      <w:pPr>
        <w:ind w:left="709" w:hanging="709"/>
      </w:pPr>
      <w:r>
        <w:t xml:space="preserve">Ishiguro, H., Yagasaki, H., &amp; Horiuchi, Y. (2022). Ehlers-Danlos Syndrome in the Field of Psychiatry: A Review. </w:t>
      </w:r>
      <w:r>
        <w:rPr>
          <w:i/>
        </w:rPr>
        <w:t>Frontiers in Psychiatry</w:t>
      </w:r>
      <w:r>
        <w:t xml:space="preserve">, </w:t>
      </w:r>
      <w:r>
        <w:rPr>
          <w:i/>
        </w:rPr>
        <w:t>13</w:t>
      </w:r>
      <w:r>
        <w:t xml:space="preserve">, 1-6. </w:t>
      </w:r>
      <w:hyperlink r:id="rId31">
        <w:r>
          <w:rPr>
            <w:color w:val="1155CC"/>
            <w:u w:val="single"/>
          </w:rPr>
          <w:t>https://doi.org/10.3389/fpsyt.2021.803898</w:t>
        </w:r>
      </w:hyperlink>
      <w:r>
        <w:t xml:space="preserve"> </w:t>
      </w:r>
    </w:p>
    <w:p w:rsidR="00F562EB" w:rsidRDefault="00932784" w:rsidP="002E5FFF">
      <w:pPr>
        <w:widowControl w:val="0"/>
        <w:ind w:left="709" w:hanging="709"/>
      </w:pPr>
      <w:r>
        <w:t>Janssen, L. P., Medeiros, L. F., Souza, A., &amp; Silva, J. D. (2021). Fibromyalgia: A Review of Related Polymorphisms and</w:t>
      </w:r>
      <w:r>
        <w:t xml:space="preserve"> Clinical Relevance. </w:t>
      </w:r>
      <w:r>
        <w:rPr>
          <w:i/>
        </w:rPr>
        <w:t>Anais da Academia Brasileira de Ciencias</w:t>
      </w:r>
      <w:r>
        <w:t xml:space="preserve">, </w:t>
      </w:r>
      <w:r>
        <w:rPr>
          <w:i/>
        </w:rPr>
        <w:t>93</w:t>
      </w:r>
      <w:r>
        <w:t xml:space="preserve">(4), e20210618. </w:t>
      </w:r>
      <w:hyperlink r:id="rId32">
        <w:r>
          <w:rPr>
            <w:color w:val="1155CC"/>
            <w:u w:val="single"/>
          </w:rPr>
          <w:t>https://doi.org/10.1590/0001-3765202120210618</w:t>
        </w:r>
      </w:hyperlink>
      <w:r>
        <w:t xml:space="preserve"> </w:t>
      </w:r>
    </w:p>
    <w:p w:rsidR="00F562EB" w:rsidRDefault="00932784" w:rsidP="002E5FFF">
      <w:pPr>
        <w:ind w:left="709" w:hanging="709"/>
      </w:pPr>
      <w:r>
        <w:t>Kleykamp, B. A., Ferguson, M. C., McNicol, E., Bixho, I., Arnold, L. M., Edwards, R. R., Fillingim, R., Grol-Prokopczyk, H., Turk, D. C., &amp; Dworkin, R. H. (2021). The Prevalence of Psychiatric and Chronic Pain Comorbidities in Fibromyalgia: an ACTTION syst</w:t>
      </w:r>
      <w:r>
        <w:t xml:space="preserve">ematic review. </w:t>
      </w:r>
      <w:r>
        <w:rPr>
          <w:i/>
        </w:rPr>
        <w:t>Seminars in Arthritis &amp; Rheumatism</w:t>
      </w:r>
      <w:r>
        <w:t xml:space="preserve">, </w:t>
      </w:r>
      <w:r>
        <w:rPr>
          <w:i/>
        </w:rPr>
        <w:t>51</w:t>
      </w:r>
      <w:r>
        <w:t xml:space="preserve">(1), 166-174. </w:t>
      </w:r>
      <w:hyperlink r:id="rId33">
        <w:r>
          <w:rPr>
            <w:color w:val="1155CC"/>
            <w:u w:val="single"/>
          </w:rPr>
          <w:t>https://doi.org/10.1016/j.semarthrit.2020.10.006</w:t>
        </w:r>
      </w:hyperlink>
      <w:r>
        <w:t xml:space="preserve"> </w:t>
      </w:r>
    </w:p>
    <w:p w:rsidR="00F562EB" w:rsidRDefault="00932784" w:rsidP="002E5FFF">
      <w:pPr>
        <w:ind w:left="709" w:hanging="709"/>
      </w:pPr>
      <w:r>
        <w:t>Knebel, J., &amp; Kennedy, M. L. H. (2024). Prescribing patterns in patient</w:t>
      </w:r>
      <w:r>
        <w:t xml:space="preserve">s with obsessive-compulsive disorder: Retrospective, single-center study. </w:t>
      </w:r>
      <w:r>
        <w:rPr>
          <w:i/>
        </w:rPr>
        <w:t>Human Psychopharmacology: Clinical and Experimental</w:t>
      </w:r>
      <w:r>
        <w:t xml:space="preserve">, </w:t>
      </w:r>
      <w:r>
        <w:rPr>
          <w:i/>
        </w:rPr>
        <w:t>39</w:t>
      </w:r>
      <w:r>
        <w:t xml:space="preserve">(5), e2900. </w:t>
      </w:r>
      <w:hyperlink r:id="rId34">
        <w:r>
          <w:rPr>
            <w:color w:val="1155CC"/>
            <w:u w:val="single"/>
          </w:rPr>
          <w:t>https://doi.org/10.1002/hup.2900</w:t>
        </w:r>
      </w:hyperlink>
      <w:r>
        <w:t xml:space="preserve"> </w:t>
      </w:r>
    </w:p>
    <w:p w:rsidR="00F562EB" w:rsidRDefault="00932784" w:rsidP="002E5FFF">
      <w:pPr>
        <w:ind w:left="709" w:hanging="709"/>
      </w:pPr>
      <w:r>
        <w:t>Mataix-Cols, D., Frans, E., P</w:t>
      </w:r>
      <w:r>
        <w:t>érez-Vigil, A., Kuja-Halkola, R., Gromark, C., Isomura, K., Fernández de la Cruz, L., Serlachius, E., Leckman, J. F., Crowley, J. J., Rück, C., Almqvist, C., Lichtenstein, P., &amp; Larsson, H. (2018). A total-population multigenerational family clustering stu</w:t>
      </w:r>
      <w:r>
        <w:t xml:space="preserve">dy of autoimmune diseases in obsessive-compulsive disorder and Tourette's/chronic tic disorders. </w:t>
      </w:r>
      <w:r>
        <w:rPr>
          <w:i/>
        </w:rPr>
        <w:t>Molecular psychiatry</w:t>
      </w:r>
      <w:r>
        <w:t xml:space="preserve">, </w:t>
      </w:r>
      <w:r>
        <w:rPr>
          <w:i/>
        </w:rPr>
        <w:t>23</w:t>
      </w:r>
      <w:r>
        <w:t xml:space="preserve">(7), 1652-1658. </w:t>
      </w:r>
      <w:hyperlink r:id="rId35">
        <w:r>
          <w:rPr>
            <w:color w:val="1155CC"/>
            <w:u w:val="single"/>
          </w:rPr>
          <w:t>https://doi.org/10.1038/mp.2017.215</w:t>
        </w:r>
      </w:hyperlink>
      <w:r>
        <w:t xml:space="preserve"> </w:t>
      </w:r>
    </w:p>
    <w:p w:rsidR="00F562EB" w:rsidRDefault="00932784" w:rsidP="002E5FFF">
      <w:pPr>
        <w:ind w:left="709" w:hanging="709"/>
      </w:pPr>
      <w:r>
        <w:lastRenderedPageBreak/>
        <w:t xml:space="preserve">Mattos, S. M., Cestari, V. </w:t>
      </w:r>
      <w:r>
        <w:t xml:space="preserve">R. F., &amp; Moreira, T. M. M. (2023). Protocolo de revisão de escopo: aperfeiçoamento do guia PRISMA-ScR. </w:t>
      </w:r>
      <w:r>
        <w:rPr>
          <w:i/>
        </w:rPr>
        <w:t>Revista de Enfermagem da UFPI</w:t>
      </w:r>
      <w:r>
        <w:t>,</w:t>
      </w:r>
      <w:r>
        <w:rPr>
          <w:i/>
        </w:rPr>
        <w:t xml:space="preserve"> 12</w:t>
      </w:r>
      <w:r>
        <w:t xml:space="preserve">(1). </w:t>
      </w:r>
      <w:hyperlink r:id="rId36">
        <w:r>
          <w:rPr>
            <w:color w:val="1155CC"/>
            <w:u w:val="single"/>
          </w:rPr>
          <w:t>https://doi.org/10.26694/reufpi.v12i1.3062</w:t>
        </w:r>
      </w:hyperlink>
      <w:r>
        <w:t xml:space="preserve"> </w:t>
      </w:r>
    </w:p>
    <w:p w:rsidR="00F562EB" w:rsidRDefault="00932784" w:rsidP="002E5FFF">
      <w:pPr>
        <w:ind w:left="709" w:hanging="709"/>
      </w:pPr>
      <w:r>
        <w:t xml:space="preserve">Melzack, </w:t>
      </w:r>
      <w:r>
        <w:t xml:space="preserve">R. (1999). From the gate to the neuromatrix. </w:t>
      </w:r>
      <w:r>
        <w:rPr>
          <w:i/>
        </w:rPr>
        <w:t>Pain Supplement</w:t>
      </w:r>
      <w:r>
        <w:t xml:space="preserve">, </w:t>
      </w:r>
      <w:r>
        <w:rPr>
          <w:i/>
        </w:rPr>
        <w:t>6</w:t>
      </w:r>
      <w:r>
        <w:t>, S121-S126.</w:t>
      </w:r>
    </w:p>
    <w:p w:rsidR="00F562EB" w:rsidRDefault="00932784" w:rsidP="002E5FFF">
      <w:pPr>
        <w:ind w:left="709" w:hanging="709"/>
      </w:pPr>
      <w:r>
        <w:t xml:space="preserve">Otis, J. D. (2023). Terapia cognitivo-comportamental para dor crônica. Em Barlow, D. H. </w:t>
      </w:r>
      <w:r>
        <w:rPr>
          <w:i/>
        </w:rPr>
        <w:t>Manual clínico dos transtornos psicológicos: tratamento passo a passo</w:t>
      </w:r>
      <w:r>
        <w:t xml:space="preserve"> (6a ed., pp. 624-655).</w:t>
      </w:r>
      <w:r>
        <w:t xml:space="preserve"> Artmed.</w:t>
      </w:r>
    </w:p>
    <w:p w:rsidR="00F562EB" w:rsidRDefault="00932784" w:rsidP="002E5FFF">
      <w:pPr>
        <w:ind w:left="709" w:hanging="709"/>
      </w:pPr>
      <w:r>
        <w:t xml:space="preserve">Patra, J., Bhatia, M., Suraweera, W., Morris, S. K., Patra, C., Gupta, P. C., &amp; Jha, P. (2015). Exposure to second-hand smoke and the risk of tuberculosis in children and adults: a systematic review and meta-analysis of 18 observational studies. </w:t>
      </w:r>
      <w:r>
        <w:rPr>
          <w:i/>
        </w:rPr>
        <w:t>P</w:t>
      </w:r>
      <w:r>
        <w:rPr>
          <w:i/>
        </w:rPr>
        <w:t>LoS medicine</w:t>
      </w:r>
      <w:r>
        <w:t xml:space="preserve">, </w:t>
      </w:r>
      <w:r>
        <w:rPr>
          <w:i/>
        </w:rPr>
        <w:t>12</w:t>
      </w:r>
      <w:r>
        <w:t xml:space="preserve">(6), e1001835. </w:t>
      </w:r>
      <w:hyperlink r:id="rId37">
        <w:r>
          <w:rPr>
            <w:color w:val="1155CC"/>
            <w:u w:val="single"/>
          </w:rPr>
          <w:t>https://doi.org/10.1371/journal.pmed.1001835</w:t>
        </w:r>
      </w:hyperlink>
      <w:r>
        <w:t xml:space="preserve"> </w:t>
      </w:r>
    </w:p>
    <w:p w:rsidR="00F562EB" w:rsidRDefault="00932784" w:rsidP="002E5FFF">
      <w:pPr>
        <w:ind w:left="709" w:hanging="709"/>
        <w:rPr>
          <w:color w:val="9900FF"/>
        </w:rPr>
      </w:pPr>
      <w:r>
        <w:t xml:space="preserve">Peters, M. D. J., Godfrey, C. M., McInerney, P., Soares, C. B., Khalil, H., &amp; Parker, D. (2015). The Joanna Briggs </w:t>
      </w:r>
      <w:r>
        <w:t xml:space="preserve">Institute reviewers' manual 2015: methodology for JBI scoping reviews. Adelaide: </w:t>
      </w:r>
      <w:r>
        <w:rPr>
          <w:i/>
        </w:rPr>
        <w:t>The Joanna Briggs Institute</w:t>
      </w:r>
      <w:r>
        <w:t xml:space="preserve">. </w:t>
      </w:r>
      <w:hyperlink r:id="rId38">
        <w:r>
          <w:rPr>
            <w:color w:val="1155CC"/>
            <w:u w:val="single"/>
          </w:rPr>
          <w:t>https://repositorio.usp.br/item/002775594</w:t>
        </w:r>
      </w:hyperlink>
    </w:p>
    <w:p w:rsidR="00F562EB" w:rsidRDefault="00932784" w:rsidP="002E5FFF">
      <w:pPr>
        <w:ind w:left="709" w:hanging="709"/>
      </w:pPr>
      <w:r>
        <w:t>Pozza, A., Ragucci, F., Angelo, N. L., Pugi</w:t>
      </w:r>
      <w:r>
        <w:t xml:space="preserve">, D., Cuomo, A., Garcia-Hernandez, M. D., Rosa-Alcazar, A. I., Fagiolini, A., &amp; Starcevic, V. (2024). Worldwide prevalence of obsessive-compulsive symptoms during the COVID-19 pandemic: A systematic review and meta-analysis. </w:t>
      </w:r>
      <w:r>
        <w:rPr>
          <w:i/>
        </w:rPr>
        <w:t>Journal of psychiatric research</w:t>
      </w:r>
      <w:r>
        <w:t xml:space="preserve">, </w:t>
      </w:r>
      <w:r>
        <w:rPr>
          <w:i/>
        </w:rPr>
        <w:t>172</w:t>
      </w:r>
      <w:r>
        <w:t xml:space="preserve">, 360–381. </w:t>
      </w:r>
      <w:hyperlink r:id="rId39">
        <w:r>
          <w:rPr>
            <w:color w:val="1155CC"/>
            <w:u w:val="single"/>
          </w:rPr>
          <w:t>https://doi.org/10.1016/j.jpsychires.2024.02.031</w:t>
        </w:r>
      </w:hyperlink>
      <w:r>
        <w:t xml:space="preserve"> </w:t>
      </w:r>
    </w:p>
    <w:p w:rsidR="00F562EB" w:rsidRDefault="00932784" w:rsidP="002E5FFF">
      <w:pPr>
        <w:ind w:left="709" w:hanging="709"/>
        <w:rPr>
          <w:color w:val="9900FF"/>
        </w:rPr>
      </w:pPr>
      <w:r>
        <w:t>Sadrzadeh-Afshar, M.-S., Salari, B., Shobeiri, A., &amp;</w:t>
      </w:r>
      <w:r>
        <w:t xml:space="preserve"> HafeziMotlagh, K. (2023). Investigating the effect of obsessive-compulsive disorder on clinical symptoms of temporomandibular joint disorders.</w:t>
      </w:r>
      <w:r>
        <w:rPr>
          <w:i/>
        </w:rPr>
        <w:t xml:space="preserve"> Clinical and Experimental Dental Research</w:t>
      </w:r>
      <w:r>
        <w:t xml:space="preserve">, </w:t>
      </w:r>
      <w:r>
        <w:rPr>
          <w:i/>
        </w:rPr>
        <w:t>9</w:t>
      </w:r>
      <w:r>
        <w:t xml:space="preserve">(6), 1191-1199. </w:t>
      </w:r>
      <w:hyperlink r:id="rId40">
        <w:r>
          <w:rPr>
            <w:color w:val="1155CC"/>
            <w:u w:val="single"/>
          </w:rPr>
          <w:t>https://doi.org/10.1002/cre2.798</w:t>
        </w:r>
      </w:hyperlink>
    </w:p>
    <w:p w:rsidR="00F562EB" w:rsidRDefault="00932784" w:rsidP="002E5FFF">
      <w:pPr>
        <w:ind w:left="709" w:hanging="709"/>
      </w:pPr>
      <w:r>
        <w:t>Shea, B. J., Reeves, B. C., Wells, G., Thuku, M., Hamel, C., Moran, J., Moher, D., Tugwell, P., Welch, V., Kristjansson, E., &amp; Henry, D. A. (2017). AMSTAR 2: a critical appraisal tool for systematic reviews that include ran</w:t>
      </w:r>
      <w:r>
        <w:t xml:space="preserve">domised or non-randomised studies of healthcare interventions, or both. </w:t>
      </w:r>
      <w:r>
        <w:rPr>
          <w:i/>
        </w:rPr>
        <w:t>BMJ</w:t>
      </w:r>
      <w:r>
        <w:t xml:space="preserve">, 358. </w:t>
      </w:r>
      <w:hyperlink r:id="rId41">
        <w:r>
          <w:rPr>
            <w:color w:val="1155CC"/>
            <w:u w:val="single"/>
          </w:rPr>
          <w:t>https://doi.org/10.1136/bmj.j4008</w:t>
        </w:r>
      </w:hyperlink>
    </w:p>
    <w:p w:rsidR="00F562EB" w:rsidRDefault="00932784" w:rsidP="002E5FFF">
      <w:pPr>
        <w:ind w:left="709" w:hanging="709"/>
      </w:pPr>
      <w:r>
        <w:t>Sloley, C., Bell, C., Shipton, E. A., Williman, J., &amp; Jarvis, J. L. (2025). Chronic Pai</w:t>
      </w:r>
      <w:r>
        <w:t xml:space="preserve">n and Obsessive-Compulsive Disorder: A Scoping Review. </w:t>
      </w:r>
      <w:r>
        <w:rPr>
          <w:i/>
        </w:rPr>
        <w:t>Pain and Therapy</w:t>
      </w:r>
      <w:r>
        <w:t xml:space="preserve">, </w:t>
      </w:r>
      <w:r>
        <w:rPr>
          <w:i/>
        </w:rPr>
        <w:t>14</w:t>
      </w:r>
      <w:r>
        <w:t xml:space="preserve">, 513-587. </w:t>
      </w:r>
      <w:hyperlink r:id="rId42">
        <w:r>
          <w:rPr>
            <w:color w:val="1155CC"/>
            <w:u w:val="single"/>
          </w:rPr>
          <w:t>https://doi.org/10.1007/s40122-024-00704-4</w:t>
        </w:r>
      </w:hyperlink>
      <w:r>
        <w:t xml:space="preserve"> </w:t>
      </w:r>
    </w:p>
    <w:p w:rsidR="00F562EB" w:rsidRDefault="00932784" w:rsidP="002E5FFF">
      <w:pPr>
        <w:ind w:left="709" w:hanging="709"/>
      </w:pPr>
      <w:r>
        <w:t>Sloley, C., Shipton, E. A., Bell, C., &amp; Williman, J. (2021). Pro</w:t>
      </w:r>
      <w:r>
        <w:t xml:space="preserve">tocol for a mixed-method cohort study investigating the prevalence and impact of obsessive-compulsive disorder (OCD) in chronic pain rehabilitation. </w:t>
      </w:r>
      <w:r>
        <w:rPr>
          <w:i/>
        </w:rPr>
        <w:t>BMJ open</w:t>
      </w:r>
      <w:r>
        <w:t xml:space="preserve">, </w:t>
      </w:r>
      <w:r>
        <w:rPr>
          <w:i/>
        </w:rPr>
        <w:t>11</w:t>
      </w:r>
      <w:r>
        <w:t xml:space="preserve">(8), e052288. </w:t>
      </w:r>
      <w:hyperlink r:id="rId43">
        <w:r>
          <w:rPr>
            <w:color w:val="1155CC"/>
            <w:u w:val="single"/>
          </w:rPr>
          <w:t>https://bmjopen.b</w:t>
        </w:r>
        <w:r>
          <w:rPr>
            <w:color w:val="1155CC"/>
            <w:u w:val="single"/>
          </w:rPr>
          <w:t>mj.com/content/11/8/e052288</w:t>
        </w:r>
      </w:hyperlink>
      <w:r>
        <w:t xml:space="preserve"> </w:t>
      </w:r>
    </w:p>
    <w:p w:rsidR="00F562EB" w:rsidRDefault="00932784" w:rsidP="002E5FFF">
      <w:pPr>
        <w:ind w:left="709" w:hanging="709"/>
      </w:pPr>
      <w:r>
        <w:t xml:space="preserve">Sousa, M. B., &amp; Cordioli, A. V. (2014). Quando o tratamento não funciona. Em Cordioli, A. V. (Org.). </w:t>
      </w:r>
      <w:r>
        <w:rPr>
          <w:i/>
        </w:rPr>
        <w:t>TOC: manual de terapia cognitivo-comportamental para o transtorno obsessivo-compulsivo</w:t>
      </w:r>
      <w:r>
        <w:t xml:space="preserve"> (2a ed., pp. 309-328). Grupo A.</w:t>
      </w:r>
    </w:p>
    <w:p w:rsidR="00F562EB" w:rsidRDefault="00932784" w:rsidP="002E5FFF">
      <w:pPr>
        <w:widowControl w:val="0"/>
        <w:ind w:left="709" w:hanging="709"/>
      </w:pPr>
      <w:r>
        <w:t>Subram</w:t>
      </w:r>
      <w:r>
        <w:t xml:space="preserve">aniam, M., Abdin, E., Vaingankar, J., Shafie, S., Chang, S., Seow, E., Chua, B. Y., Jeyagurunathan, A., Heng, D., Kwok, K. W., &amp; Chong, S. A. (2020). Obsessive-Compulsive Disorder in Singapore: Prevalence, Comorbidity, Quality of Life and Social Support. </w:t>
      </w:r>
      <w:r>
        <w:rPr>
          <w:i/>
        </w:rPr>
        <w:t>A</w:t>
      </w:r>
      <w:r>
        <w:rPr>
          <w:i/>
        </w:rPr>
        <w:t>nnals of the Academy of Medicine, Singapore</w:t>
      </w:r>
      <w:r>
        <w:t>,</w:t>
      </w:r>
      <w:r>
        <w:rPr>
          <w:i/>
        </w:rPr>
        <w:t xml:space="preserve"> 49</w:t>
      </w:r>
      <w:r>
        <w:t xml:space="preserve">(1), 15-25. </w:t>
      </w:r>
      <w:hyperlink r:id="rId44">
        <w:r>
          <w:rPr>
            <w:color w:val="1155CC"/>
            <w:u w:val="single"/>
          </w:rPr>
          <w:t>http://doi.org/10.47102/annals-acadmedsg.2019185</w:t>
        </w:r>
      </w:hyperlink>
      <w:r>
        <w:t xml:space="preserve"> </w:t>
      </w:r>
    </w:p>
    <w:p w:rsidR="00F562EB" w:rsidRDefault="00932784" w:rsidP="002E5FFF">
      <w:pPr>
        <w:widowControl w:val="0"/>
        <w:ind w:left="709" w:hanging="709"/>
      </w:pPr>
      <w:r>
        <w:t>Tavares, H. O., Martins, L. S., Ribeiro, T. M., &amp;</w:t>
      </w:r>
      <w:r>
        <w:t xml:space="preserve"> Taques, C. R. M. (2023). Hábitos parafuncionais - sucção não-nutritiva e onicofagia - em crianças na primeira infância. </w:t>
      </w:r>
      <w:r>
        <w:rPr>
          <w:i/>
        </w:rPr>
        <w:t>Revista Científica do Tocantins</w:t>
      </w:r>
      <w:r>
        <w:t xml:space="preserve">, </w:t>
      </w:r>
      <w:r>
        <w:rPr>
          <w:i/>
        </w:rPr>
        <w:t>3</w:t>
      </w:r>
      <w:r>
        <w:t xml:space="preserve">(1), 1-8. Recuperado de </w:t>
      </w:r>
      <w:hyperlink r:id="rId45">
        <w:r>
          <w:rPr>
            <w:color w:val="1155CC"/>
            <w:u w:val="single"/>
          </w:rPr>
          <w:t>https://itpacporto.emnuvens.com.br/revista/article/view/145</w:t>
        </w:r>
      </w:hyperlink>
      <w:r>
        <w:rPr>
          <w:color w:val="AD0EAD"/>
        </w:rPr>
        <w:t xml:space="preserve"> </w:t>
      </w:r>
    </w:p>
    <w:p w:rsidR="00F562EB" w:rsidRDefault="00932784" w:rsidP="002E5FFF">
      <w:pPr>
        <w:widowControl w:val="0"/>
        <w:ind w:left="709" w:hanging="709"/>
      </w:pPr>
      <w:r>
        <w:t xml:space="preserve">Torun, F., Koç, G., Ocak Serin, S., &amp; Dilek Torun, S. (2020). Psychiatric symptoms and relationship of disease with stress and traumatic experiences in patients with irritable </w:t>
      </w:r>
      <w:r>
        <w:lastRenderedPageBreak/>
        <w:t xml:space="preserve">bowel syndrome. </w:t>
      </w:r>
      <w:r>
        <w:rPr>
          <w:i/>
        </w:rPr>
        <w:t>R</w:t>
      </w:r>
      <w:r>
        <w:rPr>
          <w:i/>
        </w:rPr>
        <w:t>ivista di psichiatria</w:t>
      </w:r>
      <w:r>
        <w:t xml:space="preserve">, </w:t>
      </w:r>
      <w:r>
        <w:rPr>
          <w:i/>
        </w:rPr>
        <w:t>55</w:t>
      </w:r>
      <w:r>
        <w:t xml:space="preserve">(5), 292-296. </w:t>
      </w:r>
      <w:hyperlink r:id="rId46">
        <w:r>
          <w:rPr>
            <w:color w:val="1155CC"/>
            <w:u w:val="single"/>
          </w:rPr>
          <w:t>https://doi.org/10.1708/3457.34461</w:t>
        </w:r>
      </w:hyperlink>
      <w:r>
        <w:t xml:space="preserve"> </w:t>
      </w:r>
    </w:p>
    <w:p w:rsidR="00F562EB" w:rsidRDefault="00932784" w:rsidP="002E5FFF">
      <w:pPr>
        <w:ind w:left="709" w:hanging="709"/>
      </w:pPr>
      <w:r>
        <w:t xml:space="preserve">Wang, L. Y., Chen, S. F., Chiang, J. H., Hsu, C. Y., &amp; Shen, Y. C. (2019). Systemic autoimmune diseases are associated with an </w:t>
      </w:r>
      <w:r>
        <w:t xml:space="preserve">increased risk of obsessive-compulsive disorder: a nationwide population-based cohort study. </w:t>
      </w:r>
      <w:r>
        <w:rPr>
          <w:i/>
        </w:rPr>
        <w:t xml:space="preserve">Social psychiatry and </w:t>
      </w:r>
      <w:proofErr w:type="gramStart"/>
      <w:r>
        <w:rPr>
          <w:i/>
        </w:rPr>
        <w:t>psychiatric</w:t>
      </w:r>
      <w:proofErr w:type="gramEnd"/>
      <w:r>
        <w:rPr>
          <w:i/>
        </w:rPr>
        <w:t xml:space="preserve"> epidemiology</w:t>
      </w:r>
      <w:r>
        <w:t xml:space="preserve">, </w:t>
      </w:r>
      <w:r>
        <w:rPr>
          <w:i/>
        </w:rPr>
        <w:t>54</w:t>
      </w:r>
      <w:r>
        <w:t xml:space="preserve">(4), 507-516. </w:t>
      </w:r>
      <w:hyperlink r:id="rId47">
        <w:r>
          <w:rPr>
            <w:color w:val="1155CC"/>
            <w:u w:val="single"/>
          </w:rPr>
          <w:t>https://doi.org/10.1007/s00127-018-162</w:t>
        </w:r>
        <w:r>
          <w:rPr>
            <w:color w:val="1155CC"/>
            <w:u w:val="single"/>
          </w:rPr>
          <w:t>2-y</w:t>
        </w:r>
      </w:hyperlink>
      <w:r>
        <w:t xml:space="preserve"> </w:t>
      </w:r>
    </w:p>
    <w:p w:rsidR="00F562EB" w:rsidRDefault="00932784" w:rsidP="002E5FFF">
      <w:pPr>
        <w:ind w:left="709" w:hanging="709"/>
      </w:pPr>
      <w:r>
        <w:t xml:space="preserve">Wells, G. A., Shea, B., O’Connell, D., Peterson, J., Welch, V., Losos, M., &amp; Tugwell, P. (2021). The Newcastle-Ottawa Scale (NOS) for assessing the quality of nonrandomised studies in meta-analyses. </w:t>
      </w:r>
      <w:r>
        <w:rPr>
          <w:i/>
        </w:rPr>
        <w:t>Ottawa Hospital Research Institute</w:t>
      </w:r>
      <w:r>
        <w:t xml:space="preserve">. </w:t>
      </w:r>
      <w:hyperlink r:id="rId48">
        <w:r>
          <w:rPr>
            <w:color w:val="1155CC"/>
            <w:u w:val="single"/>
          </w:rPr>
          <w:t>https://www.ohri.ca/programs/clinical_epidemiology/oxford.asp</w:t>
        </w:r>
      </w:hyperlink>
      <w:r>
        <w:t xml:space="preserve"> </w:t>
      </w:r>
    </w:p>
    <w:p w:rsidR="00F562EB" w:rsidRDefault="00932784" w:rsidP="002E5FFF">
      <w:pPr>
        <w:ind w:left="709" w:hanging="709"/>
      </w:pPr>
      <w:r>
        <w:t xml:space="preserve">World Health Organization (WHO). (2019). </w:t>
      </w:r>
      <w:r>
        <w:rPr>
          <w:i/>
        </w:rPr>
        <w:t>International statistical classification of diseases and related health p</w:t>
      </w:r>
      <w:r>
        <w:rPr>
          <w:i/>
        </w:rPr>
        <w:t>roblems</w:t>
      </w:r>
      <w:r>
        <w:t xml:space="preserve"> (11a ed.). </w:t>
      </w:r>
      <w:hyperlink r:id="rId49">
        <w:r>
          <w:rPr>
            <w:color w:val="1155CC"/>
            <w:u w:val="single"/>
          </w:rPr>
          <w:t>https://icd.who.int/</w:t>
        </w:r>
      </w:hyperlink>
    </w:p>
    <w:sectPr w:rsidR="00F562EB" w:rsidSect="002E5FFF">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784" w:rsidRDefault="00932784">
      <w:r>
        <w:separator/>
      </w:r>
    </w:p>
  </w:endnote>
  <w:endnote w:type="continuationSeparator" w:id="0">
    <w:p w:rsidR="00932784" w:rsidRDefault="0093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2EB" w:rsidRDefault="00932784">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sidR="00B86D76">
      <w:rPr>
        <w:rFonts w:ascii="Times" w:eastAsia="Times" w:hAnsi="Times" w:cs="Times"/>
        <w:color w:val="000000"/>
        <w:sz w:val="16"/>
        <w:szCs w:val="16"/>
      </w:rPr>
      <w:fldChar w:fldCharType="separate"/>
    </w:r>
    <w:r w:rsidR="00225FCA">
      <w:rPr>
        <w:rFonts w:ascii="Times" w:eastAsia="Times" w:hAnsi="Times" w:cs="Times"/>
        <w:noProof/>
        <w:color w:val="000000"/>
        <w:sz w:val="16"/>
        <w:szCs w:val="16"/>
      </w:rPr>
      <w:t>2</w:t>
    </w:r>
    <w:r>
      <w:rPr>
        <w:rFonts w:ascii="Times" w:eastAsia="Times" w:hAnsi="Times" w:cs="Times"/>
        <w:color w:val="000000"/>
        <w:sz w:val="16"/>
        <w:szCs w:val="16"/>
      </w:rPr>
      <w:fldChar w:fldCharType="end"/>
    </w:r>
  </w:p>
  <w:p w:rsidR="00F562EB" w:rsidRDefault="00F562EB">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2EB" w:rsidRDefault="00932784">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sidR="00B86D76">
      <w:rPr>
        <w:rFonts w:ascii="Times" w:eastAsia="Times" w:hAnsi="Times" w:cs="Times"/>
        <w:color w:val="000000"/>
        <w:sz w:val="16"/>
        <w:szCs w:val="16"/>
      </w:rPr>
      <w:fldChar w:fldCharType="separate"/>
    </w:r>
    <w:r w:rsidR="00225FCA">
      <w:rPr>
        <w:rFonts w:ascii="Times" w:eastAsia="Times" w:hAnsi="Times" w:cs="Times"/>
        <w:noProof/>
        <w:color w:val="000000"/>
        <w:sz w:val="16"/>
        <w:szCs w:val="16"/>
      </w:rPr>
      <w:t>1</w:t>
    </w:r>
    <w:r>
      <w:rPr>
        <w:rFonts w:ascii="Times" w:eastAsia="Times" w:hAnsi="Times" w:cs="Times"/>
        <w:color w:val="000000"/>
        <w:sz w:val="16"/>
        <w:szCs w:val="16"/>
      </w:rPr>
      <w:fldChar w:fldCharType="end"/>
    </w:r>
  </w:p>
  <w:p w:rsidR="00F562EB" w:rsidRDefault="00F562EB">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784" w:rsidRDefault="00932784">
      <w:r>
        <w:separator/>
      </w:r>
    </w:p>
  </w:footnote>
  <w:footnote w:type="continuationSeparator" w:id="0">
    <w:p w:rsidR="00932784" w:rsidRDefault="00932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2EB" w:rsidRDefault="00932784">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submissão de manuscritos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2EB" w:rsidRDefault="00932784">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lang w:val="pt-BR" w:eastAsia="pt-BR"/>
      </w:rPr>
      <w:drawing>
        <wp:anchor distT="0" distB="0" distL="114300" distR="114300" simplePos="0" relativeHeight="251658240" behindDoc="0" locked="0" layoutInCell="1" hidden="0" allowOverlap="1" wp14:anchorId="28812FFB" wp14:editId="7F1A6DC5">
          <wp:simplePos x="0" y="0"/>
          <wp:positionH relativeFrom="column">
            <wp:posOffset>64657</wp:posOffset>
          </wp:positionH>
          <wp:positionV relativeFrom="paragraph">
            <wp:posOffset>-253535</wp:posOffset>
          </wp:positionV>
          <wp:extent cx="681164" cy="628073"/>
          <wp:effectExtent l="0" t="0" r="0" b="0"/>
          <wp:wrapNone/>
          <wp:docPr id="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rsidR="00F562EB" w:rsidRDefault="00932784">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submissão de manuscritos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F562EB"/>
    <w:rsid w:val="001403E6"/>
    <w:rsid w:val="00225FCA"/>
    <w:rsid w:val="002E5FFF"/>
    <w:rsid w:val="00932784"/>
    <w:rsid w:val="00B86D76"/>
    <w:rsid w:val="00F562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_tradnl"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lang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PlainTable2">
    <w:name w:val="Plain Table 2"/>
    <w:basedOn w:val="Tabe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3">
    <w:name w:val="List Table 6 Colorful Accent 3"/>
    <w:basedOn w:val="Tabe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
    <w:name w:val="Grid Table 1 Light"/>
    <w:basedOn w:val="Tabe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
    <w:name w:val="Plain Table 4"/>
    <w:basedOn w:val="Tabe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e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1">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a0">
    <w:basedOn w:val="TableNormal1"/>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_tradnl"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lang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PlainTable2">
    <w:name w:val="Plain Table 2"/>
    <w:basedOn w:val="Tabe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3">
    <w:name w:val="List Table 6 Colorful Accent 3"/>
    <w:basedOn w:val="Tabe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
    <w:name w:val="Grid Table 1 Light"/>
    <w:basedOn w:val="Tabe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
    <w:name w:val="Plain Table 4"/>
    <w:basedOn w:val="Tabe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e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1">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a0">
    <w:basedOn w:val="TableNormal1"/>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iv12.org/treatment/exposure-and-response-prevention-for-obsessive-compulsive-disorder/" TargetMode="External"/><Relationship Id="rId26" Type="http://schemas.openxmlformats.org/officeDocument/2006/relationships/hyperlink" Target="https://doi.org/10.1038/s41398-021-01700-4" TargetMode="External"/><Relationship Id="rId39" Type="http://schemas.openxmlformats.org/officeDocument/2006/relationships/hyperlink" Target="https://doi.org/10.1016/j.jpsychires.2024.02.031" TargetMode="External"/><Relationship Id="rId3" Type="http://schemas.openxmlformats.org/officeDocument/2006/relationships/styles" Target="styles.xml"/><Relationship Id="rId21" Type="http://schemas.openxmlformats.org/officeDocument/2006/relationships/hyperlink" Target="https://doi.org/10.3389/fpain.2024.1398442" TargetMode="External"/><Relationship Id="rId34" Type="http://schemas.openxmlformats.org/officeDocument/2006/relationships/hyperlink" Target="https://doi.org/10.1002/hup.2900" TargetMode="External"/><Relationship Id="rId42" Type="http://schemas.openxmlformats.org/officeDocument/2006/relationships/hyperlink" Target="https://doi.org/10.1007/s40122-024-00704-4" TargetMode="External"/><Relationship Id="rId47" Type="http://schemas.openxmlformats.org/officeDocument/2006/relationships/hyperlink" Target="https://doi.org/10.1007/s00127-018-1622-y"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div12.org/treatment/cognitive-behavioral-therapy-for-chronic-headache" TargetMode="External"/><Relationship Id="rId25" Type="http://schemas.openxmlformats.org/officeDocument/2006/relationships/hyperlink" Target="https://doi.org/10.3389/fpain.2022.966034" TargetMode="External"/><Relationship Id="rId33" Type="http://schemas.openxmlformats.org/officeDocument/2006/relationships/hyperlink" Target="https://doi.org/10.1016/j.semarthrit.2020.10.006" TargetMode="External"/><Relationship Id="rId38" Type="http://schemas.openxmlformats.org/officeDocument/2006/relationships/hyperlink" Target="https://repositorio.usp.br/item/002775594" TargetMode="External"/><Relationship Id="rId46" Type="http://schemas.openxmlformats.org/officeDocument/2006/relationships/hyperlink" Target="https://doi.org/10.1708/3457.34461" TargetMode="External"/><Relationship Id="rId2" Type="http://schemas.openxmlformats.org/officeDocument/2006/relationships/customXml" Target="../customXml/item2.xml"/><Relationship Id="rId16" Type="http://schemas.openxmlformats.org/officeDocument/2006/relationships/hyperlink" Target="https://div12.org/treatment/behavioral-and-cognitive-behavioral-therapy-for-chronic-low-back-pain" TargetMode="External"/><Relationship Id="rId20" Type="http://schemas.openxmlformats.org/officeDocument/2006/relationships/hyperlink" Target="https://doi.org/10.1080/1364557032000119616" TargetMode="External"/><Relationship Id="rId29" Type="http://schemas.openxmlformats.org/officeDocument/2006/relationships/hyperlink" Target="https://doi.org/10.1016/j.jbtep.2012.03.005" TargetMode="External"/><Relationship Id="rId41" Type="http://schemas.openxmlformats.org/officeDocument/2006/relationships/hyperlink" Target="https://doi.org/10.1136/bmj.j40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doi.org/10.3389/fpsyt.2023.1120250" TargetMode="External"/><Relationship Id="rId32" Type="http://schemas.openxmlformats.org/officeDocument/2006/relationships/hyperlink" Target="https://doi.org/10.1590/0001-3765202120210618" TargetMode="External"/><Relationship Id="rId37" Type="http://schemas.openxmlformats.org/officeDocument/2006/relationships/hyperlink" Target="https://doi.org/10.1371/journal.pmed.1001835" TargetMode="External"/><Relationship Id="rId40" Type="http://schemas.openxmlformats.org/officeDocument/2006/relationships/hyperlink" Target="https://doi.org/10.1002/cre2.798" TargetMode="External"/><Relationship Id="rId45" Type="http://schemas.openxmlformats.org/officeDocument/2006/relationships/hyperlink" Target="https://itpacporto.emnuvens.com.br/revista/article/view/145" TargetMode="External"/><Relationship Id="rId5" Type="http://schemas.openxmlformats.org/officeDocument/2006/relationships/settings" Target="settings.xml"/><Relationship Id="rId15" Type="http://schemas.openxmlformats.org/officeDocument/2006/relationships/hyperlink" Target="https://doi.org/10.1177/2473011421S00553" TargetMode="External"/><Relationship Id="rId23" Type="http://schemas.openxmlformats.org/officeDocument/2006/relationships/hyperlink" Target="https://doi.org/10.1016/j.psc.2022.10.006" TargetMode="External"/><Relationship Id="rId28" Type="http://schemas.openxmlformats.org/officeDocument/2006/relationships/hyperlink" Target="https://doi.org/10.1515/sjpain-2021-0217" TargetMode="External"/><Relationship Id="rId36" Type="http://schemas.openxmlformats.org/officeDocument/2006/relationships/hyperlink" Target="https://doi.org/10.26694/reufpi.v12i1.3062" TargetMode="External"/><Relationship Id="rId49" Type="http://schemas.openxmlformats.org/officeDocument/2006/relationships/hyperlink" Target="https://icd.who.int/" TargetMode="External"/><Relationship Id="rId10" Type="http://schemas.openxmlformats.org/officeDocument/2006/relationships/image" Target="media/image1.png"/><Relationship Id="rId19" Type="http://schemas.openxmlformats.org/officeDocument/2006/relationships/hyperlink" Target="https://div12.org/treatment/multi-component-cognitive-behavioral-therapy-for-rheumatologic-pain" TargetMode="External"/><Relationship Id="rId31" Type="http://schemas.openxmlformats.org/officeDocument/2006/relationships/hyperlink" Target="https://doi.org/10.3389/fpsyt.2021.803898" TargetMode="External"/><Relationship Id="rId44" Type="http://schemas.openxmlformats.org/officeDocument/2006/relationships/hyperlink" Target="http://dx.doi.org/10.47102/annals-acadmedsg.2019185" TargetMode="External"/><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footer" Target="footer2.xml"/><Relationship Id="rId22" Type="http://schemas.openxmlformats.org/officeDocument/2006/relationships/hyperlink" Target="https://doi.org/10.1186/s41073-019-0064-8" TargetMode="External"/><Relationship Id="rId27" Type="http://schemas.openxmlformats.org/officeDocument/2006/relationships/hyperlink" Target="https://doi.org/10.1016/j.neubiorev.2022.104602" TargetMode="External"/><Relationship Id="rId30" Type="http://schemas.openxmlformats.org/officeDocument/2006/relationships/hyperlink" Target="https://doi.org/10.1037/a0020106" TargetMode="External"/><Relationship Id="rId35" Type="http://schemas.openxmlformats.org/officeDocument/2006/relationships/hyperlink" Target="https://doi.org/10.1038/mp.2017.215" TargetMode="External"/><Relationship Id="rId43" Type="http://schemas.openxmlformats.org/officeDocument/2006/relationships/hyperlink" Target="https://bmjopen.bmj.com/content/11/8/e052288" TargetMode="External"/><Relationship Id="rId48" Type="http://schemas.openxmlformats.org/officeDocument/2006/relationships/hyperlink" Target="https://www.ohri.ca/programs/clinical_epidemiology/oxford.asp" TargetMode="External"/><Relationship Id="rId8" Type="http://schemas.openxmlformats.org/officeDocument/2006/relationships/endnotes" Target="endnotes.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35BAaMCazw4NFF3IDGwog51pkQ==">CgMxLjAaHwoBMBIaChgICVIUChJ0YWJsZS43dDJkZnp4M2M5dG84AHIhMVRpOTgzMER1bkZlemg1ZWJpbmNGV0N2RElUTWljTlBj</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D062DF-CFCD-4253-B585-E9E9B85F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8194</Words>
  <Characters>44250</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2025-04-28T17:02:00Z</dcterms:created>
  <dcterms:modified xsi:type="dcterms:W3CDTF">2025-04-28T17:12:00Z</dcterms:modified>
</cp:coreProperties>
</file>