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8B" w:rsidRDefault="002B631A">
      <w:pPr>
        <w:pStyle w:val="Ttulo1"/>
        <w:spacing w:before="0" w:after="0" w:line="240" w:lineRule="auto"/>
        <w:ind w:firstLine="720"/>
        <w:jc w:val="center"/>
        <w:rPr>
          <w:rFonts w:ascii="Times New Roman" w:eastAsia="Times New Roman" w:hAnsi="Times New Roman" w:cs="Times New Roman"/>
          <w:b/>
          <w:sz w:val="24"/>
          <w:szCs w:val="24"/>
        </w:rPr>
      </w:pPr>
      <w:bookmarkStart w:id="0" w:name="_y5n96twl1fiq" w:colFirst="0" w:colLast="0"/>
      <w:bookmarkEnd w:id="0"/>
      <w:r>
        <w:rPr>
          <w:rFonts w:ascii="Times New Roman" w:eastAsia="Times New Roman" w:hAnsi="Times New Roman" w:cs="Times New Roman"/>
          <w:b/>
          <w:sz w:val="24"/>
          <w:szCs w:val="24"/>
        </w:rPr>
        <w:t>Affordances e Internalización de la Opresión: Decolonización de la Discapacidad en Comunidades Sordas</w:t>
      </w:r>
    </w:p>
    <w:p w:rsidR="0039168B" w:rsidRDefault="0039168B">
      <w:pPr>
        <w:rPr>
          <w:rFonts w:ascii="Times New Roman" w:eastAsia="Times New Roman" w:hAnsi="Times New Roman" w:cs="Times New Roman"/>
        </w:rPr>
      </w:pPr>
    </w:p>
    <w:p w:rsidR="0039168B" w:rsidRDefault="0039168B">
      <w:pPr>
        <w:spacing w:line="240" w:lineRule="auto"/>
        <w:rPr>
          <w:rFonts w:ascii="Times New Roman" w:eastAsia="Times New Roman" w:hAnsi="Times New Roman" w:cs="Times New Roman"/>
          <w:sz w:val="24"/>
          <w:szCs w:val="24"/>
        </w:rPr>
      </w:pPr>
    </w:p>
    <w:p w:rsidR="00124DC7" w:rsidRDefault="00124DC7">
      <w:pPr>
        <w:spacing w:line="240" w:lineRule="auto"/>
        <w:rPr>
          <w:rFonts w:ascii="Times New Roman" w:eastAsia="Times New Roman" w:hAnsi="Times New Roman" w:cs="Times New Roman"/>
          <w:sz w:val="24"/>
          <w:szCs w:val="24"/>
        </w:rPr>
      </w:pPr>
    </w:p>
    <w:p w:rsidR="0039168B" w:rsidRDefault="002B631A">
      <w:pPr>
        <w:pStyle w:val="Ttulo2"/>
        <w:spacing w:before="0" w:after="0" w:line="240" w:lineRule="auto"/>
        <w:jc w:val="both"/>
        <w:rPr>
          <w:rFonts w:ascii="Times New Roman" w:eastAsia="Times New Roman" w:hAnsi="Times New Roman" w:cs="Times New Roman"/>
          <w:sz w:val="24"/>
          <w:szCs w:val="24"/>
        </w:rPr>
      </w:pPr>
      <w:bookmarkStart w:id="1" w:name="_vplwhcgyhdm" w:colFirst="0" w:colLast="0"/>
      <w:bookmarkEnd w:id="1"/>
      <w:r>
        <w:rPr>
          <w:rFonts w:ascii="Times New Roman" w:eastAsia="Times New Roman" w:hAnsi="Times New Roman" w:cs="Times New Roman"/>
          <w:b/>
          <w:sz w:val="24"/>
          <w:szCs w:val="24"/>
        </w:rPr>
        <w:t xml:space="preserve">Resumen. </w:t>
      </w:r>
      <w:r>
        <w:rPr>
          <w:rFonts w:ascii="Times New Roman" w:eastAsia="Times New Roman" w:hAnsi="Times New Roman" w:cs="Times New Roman"/>
          <w:sz w:val="24"/>
          <w:szCs w:val="24"/>
        </w:rPr>
        <w:t>Este estudio introduce el concepto de "dis-affordance" en el marco de la Psicología Ecológica y la Epistemología Decolonial p</w:t>
      </w:r>
      <w:r>
        <w:rPr>
          <w:rFonts w:ascii="Times New Roman" w:eastAsia="Times New Roman" w:hAnsi="Times New Roman" w:cs="Times New Roman"/>
          <w:sz w:val="24"/>
          <w:szCs w:val="24"/>
        </w:rPr>
        <w:t>ara analizar cómo surgen restricciones sistemáticas sobre las posibilidades de acción en las experiencias educativas de las comunidades sordas. Mediante análisis cualitativo de entrevistas semiestructuradas con personas sordas usuarias de lengua de señas y</w:t>
      </w:r>
      <w:r>
        <w:rPr>
          <w:rFonts w:ascii="Times New Roman" w:eastAsia="Times New Roman" w:hAnsi="Times New Roman" w:cs="Times New Roman"/>
          <w:sz w:val="24"/>
          <w:szCs w:val="24"/>
        </w:rPr>
        <w:t xml:space="preserve"> datos cuantitativos de la Escala de Actitudes hacia la Cultura Sorda (EACS), identificamos patrones de opresión internalizada y discriminación intragrupal que constriñen la percepción enactiva. Los resultados revelan una correlación inversa entre la famil</w:t>
      </w:r>
      <w:r>
        <w:rPr>
          <w:rFonts w:ascii="Times New Roman" w:eastAsia="Times New Roman" w:hAnsi="Times New Roman" w:cs="Times New Roman"/>
          <w:sz w:val="24"/>
          <w:szCs w:val="24"/>
        </w:rPr>
        <w:t>iaridad con las comunidades sordas y la manifestación de dis-affordances, con los contextos educativos institucionales reforzando restricciones perceptuales. Emergieron cuatro dimensiones clave: inferiorización lingüístico-cultural, normalización de prácti</w:t>
      </w:r>
      <w:r>
        <w:rPr>
          <w:rFonts w:ascii="Times New Roman" w:eastAsia="Times New Roman" w:hAnsi="Times New Roman" w:cs="Times New Roman"/>
          <w:sz w:val="24"/>
          <w:szCs w:val="24"/>
        </w:rPr>
        <w:t>cas exclusivas, asimilacionismo y sesgo hacia modelos comunicativos orales. Esta conceptualización contribuye a reconceptualizar la discapacidad más allá de modelos de déficit, posicionando a las comunidades sordas como minorías culturales-lingüísticas que</w:t>
      </w:r>
      <w:r>
        <w:rPr>
          <w:rFonts w:ascii="Times New Roman" w:eastAsia="Times New Roman" w:hAnsi="Times New Roman" w:cs="Times New Roman"/>
          <w:sz w:val="24"/>
          <w:szCs w:val="24"/>
        </w:rPr>
        <w:t xml:space="preserve"> experimentan campos de affordances colonizados, en lugar de individuos patologizados.</w:t>
      </w:r>
    </w:p>
    <w:p w:rsidR="0039168B" w:rsidRDefault="0039168B">
      <w:pPr>
        <w:rPr>
          <w:rFonts w:ascii="Times New Roman" w:eastAsia="Times New Roman" w:hAnsi="Times New Roman" w:cs="Times New Roman"/>
        </w:rPr>
      </w:pPr>
    </w:p>
    <w:p w:rsidR="0039168B" w:rsidRDefault="002B631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psicología ecológica, epistemología decolonial, estudios sobre sordera, opresión internalizada, dis-affordances</w:t>
      </w:r>
    </w:p>
    <w:p w:rsidR="0039168B" w:rsidRDefault="0039168B">
      <w:pPr>
        <w:pStyle w:val="Ttulo2"/>
        <w:spacing w:before="0" w:after="0" w:line="360" w:lineRule="auto"/>
        <w:jc w:val="both"/>
        <w:rPr>
          <w:rFonts w:ascii="Times New Roman" w:eastAsia="Times New Roman" w:hAnsi="Times New Roman" w:cs="Times New Roman"/>
          <w:b/>
          <w:sz w:val="24"/>
          <w:szCs w:val="24"/>
        </w:rPr>
      </w:pPr>
      <w:bookmarkStart w:id="2" w:name="_s2s552m0iai" w:colFirst="0" w:colLast="0"/>
      <w:bookmarkEnd w:id="2"/>
    </w:p>
    <w:p w:rsidR="0039168B" w:rsidRDefault="002B631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This study introduces the con</w:t>
      </w:r>
      <w:r>
        <w:rPr>
          <w:rFonts w:ascii="Times New Roman" w:eastAsia="Times New Roman" w:hAnsi="Times New Roman" w:cs="Times New Roman"/>
          <w:sz w:val="24"/>
          <w:szCs w:val="24"/>
        </w:rPr>
        <w:t>cept of "dis-affordance" within the framework of Ecological Psychology and Decolonial Epistemology to analyze how systematic restrictions on action possibilities emerge in deaf communities' educational experiences. Through qualitative analysis of semi-stru</w:t>
      </w:r>
      <w:r>
        <w:rPr>
          <w:rFonts w:ascii="Times New Roman" w:eastAsia="Times New Roman" w:hAnsi="Times New Roman" w:cs="Times New Roman"/>
          <w:sz w:val="24"/>
          <w:szCs w:val="24"/>
        </w:rPr>
        <w:t xml:space="preserve">ctured interviews with deaf sign language users and quantitative data from the Attitudes Toward Deaf Culture Scale (ATDCS), we identified patterns of internalized oppression and intra-group discrimination that constrain enactive perception. Results reveal </w:t>
      </w:r>
      <w:r>
        <w:rPr>
          <w:rFonts w:ascii="Times New Roman" w:eastAsia="Times New Roman" w:hAnsi="Times New Roman" w:cs="Times New Roman"/>
          <w:sz w:val="24"/>
          <w:szCs w:val="24"/>
        </w:rPr>
        <w:t>an inverse correlation between familiarity with deaf communities and manifestation of dis-affordances, with institutional educational contexts reinforcing perceptual restrictions. Four key dimensions emerged: language-culture inferiorization, normalization</w:t>
      </w:r>
      <w:r>
        <w:rPr>
          <w:rFonts w:ascii="Times New Roman" w:eastAsia="Times New Roman" w:hAnsi="Times New Roman" w:cs="Times New Roman"/>
          <w:sz w:val="24"/>
          <w:szCs w:val="24"/>
        </w:rPr>
        <w:t xml:space="preserve"> of exclusive practices, assimilationism, and bias toward oral communication models. This conceptualization contributes to reconceptualizing disability beyond deficit models, positioning deaf communities as cultural-linguistic minorities experiencing colon</w:t>
      </w:r>
      <w:r>
        <w:rPr>
          <w:rFonts w:ascii="Times New Roman" w:eastAsia="Times New Roman" w:hAnsi="Times New Roman" w:cs="Times New Roman"/>
          <w:sz w:val="24"/>
          <w:szCs w:val="24"/>
        </w:rPr>
        <w:t>ized affordance fields rather than pathologized individuals.</w:t>
      </w:r>
    </w:p>
    <w:p w:rsidR="0039168B" w:rsidRDefault="0039168B">
      <w:pPr>
        <w:spacing w:line="240" w:lineRule="auto"/>
        <w:jc w:val="both"/>
        <w:rPr>
          <w:rFonts w:ascii="Times New Roman" w:eastAsia="Times New Roman" w:hAnsi="Times New Roman" w:cs="Times New Roman"/>
          <w:sz w:val="24"/>
          <w:szCs w:val="24"/>
        </w:rPr>
      </w:pPr>
    </w:p>
    <w:p w:rsidR="0039168B" w:rsidRDefault="002B631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ecological psychology, decolonial epistemology, deaf studies, internalized oppression, dis-affordances</w:t>
      </w:r>
    </w:p>
    <w:p w:rsidR="0039168B" w:rsidRDefault="0039168B">
      <w:pPr>
        <w:spacing w:line="240" w:lineRule="auto"/>
        <w:ind w:firstLine="720"/>
        <w:jc w:val="both"/>
        <w:rPr>
          <w:rFonts w:ascii="Times New Roman" w:eastAsia="Times New Roman" w:hAnsi="Times New Roman" w:cs="Times New Roman"/>
          <w:sz w:val="24"/>
          <w:szCs w:val="24"/>
        </w:rPr>
      </w:pP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pPr>
        <w:spacing w:line="360" w:lineRule="auto"/>
        <w:ind w:firstLine="720"/>
        <w:jc w:val="both"/>
        <w:rPr>
          <w:rFonts w:ascii="Times New Roman" w:eastAsia="Times New Roman" w:hAnsi="Times New Roman" w:cs="Times New Roman"/>
          <w:sz w:val="24"/>
          <w:szCs w:val="24"/>
        </w:rPr>
      </w:pPr>
    </w:p>
    <w:p w:rsidR="00124DC7" w:rsidRDefault="00124DC7">
      <w:pPr>
        <w:spacing w:line="360" w:lineRule="auto"/>
        <w:ind w:firstLine="720"/>
        <w:jc w:val="both"/>
        <w:rPr>
          <w:rFonts w:ascii="Times New Roman" w:eastAsia="Times New Roman" w:hAnsi="Times New Roman" w:cs="Times New Roman"/>
          <w:sz w:val="24"/>
          <w:szCs w:val="24"/>
        </w:rPr>
      </w:pPr>
    </w:p>
    <w:p w:rsidR="00124DC7" w:rsidRDefault="00124DC7">
      <w:pPr>
        <w:spacing w:line="360" w:lineRule="auto"/>
        <w:ind w:firstLine="720"/>
        <w:jc w:val="both"/>
        <w:rPr>
          <w:rFonts w:ascii="Times New Roman" w:eastAsia="Times New Roman" w:hAnsi="Times New Roman" w:cs="Times New Roman"/>
          <w:sz w:val="24"/>
          <w:szCs w:val="24"/>
        </w:rPr>
      </w:pPr>
    </w:p>
    <w:p w:rsidR="00124DC7" w:rsidRDefault="00124DC7">
      <w:pPr>
        <w:spacing w:line="360" w:lineRule="auto"/>
        <w:ind w:firstLine="720"/>
        <w:jc w:val="both"/>
        <w:rPr>
          <w:rFonts w:ascii="Times New Roman" w:eastAsia="Times New Roman" w:hAnsi="Times New Roman" w:cs="Times New Roman"/>
          <w:sz w:val="24"/>
          <w:szCs w:val="24"/>
        </w:rPr>
      </w:pPr>
    </w:p>
    <w:p w:rsidR="00124DC7" w:rsidRDefault="00124DC7" w:rsidP="009D2870">
      <w:pPr>
        <w:spacing w:line="360" w:lineRule="auto"/>
        <w:ind w:left="1440" w:hanging="720"/>
        <w:jc w:val="both"/>
        <w:rPr>
          <w:rFonts w:ascii="Times New Roman" w:eastAsia="Times New Roman" w:hAnsi="Times New Roman" w:cs="Times New Roman"/>
          <w:sz w:val="24"/>
          <w:szCs w:val="24"/>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3" w:name="_oxi4osjjk6op" w:colFirst="0" w:colLast="0"/>
      <w:bookmarkEnd w:id="3"/>
      <w:r>
        <w:rPr>
          <w:rFonts w:ascii="Times New Roman" w:eastAsia="Times New Roman" w:hAnsi="Times New Roman" w:cs="Times New Roman"/>
          <w:b/>
          <w:sz w:val="24"/>
          <w:szCs w:val="24"/>
        </w:rPr>
        <w:lastRenderedPageBreak/>
        <w:t>Introducción</w:t>
      </w:r>
    </w:p>
    <w:p w:rsidR="0039168B" w:rsidRDefault="0039168B">
      <w:pPr>
        <w:rPr>
          <w:rFonts w:ascii="Times New Roman" w:eastAsia="Times New Roman" w:hAnsi="Times New Roman" w:cs="Times New Roman"/>
          <w:b/>
        </w:rPr>
      </w:pPr>
    </w:p>
    <w:p w:rsidR="0039168B" w:rsidRDefault="002B631A">
      <w:pPr>
        <w:pStyle w:val="Ttulo3"/>
        <w:spacing w:before="0" w:after="0" w:line="360" w:lineRule="auto"/>
        <w:jc w:val="both"/>
        <w:rPr>
          <w:rFonts w:ascii="Times New Roman" w:eastAsia="Times New Roman" w:hAnsi="Times New Roman" w:cs="Times New Roman"/>
          <w:b/>
          <w:color w:val="000000"/>
          <w:sz w:val="24"/>
          <w:szCs w:val="24"/>
        </w:rPr>
      </w:pPr>
      <w:bookmarkStart w:id="4" w:name="_9e65d8ct4xm4" w:colFirst="0" w:colLast="0"/>
      <w:bookmarkEnd w:id="4"/>
      <w:r>
        <w:rPr>
          <w:rFonts w:ascii="Times New Roman" w:eastAsia="Times New Roman" w:hAnsi="Times New Roman" w:cs="Times New Roman"/>
          <w:b/>
          <w:color w:val="000000"/>
          <w:sz w:val="24"/>
          <w:szCs w:val="24"/>
        </w:rPr>
        <w:t>Contextualizando el problema: Discapacidad, Dis-affordance y Justicia Epistémica</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concepción de la discapacidad desde los distintos modelos educativos, de intervención y política pública han avanzado poco a poco hacia perspectivas más holistas e integra</w:t>
      </w:r>
      <w:r>
        <w:rPr>
          <w:rFonts w:ascii="Times New Roman" w:eastAsia="Times New Roman" w:hAnsi="Times New Roman" w:cs="Times New Roman"/>
          <w:sz w:val="24"/>
          <w:szCs w:val="24"/>
        </w:rPr>
        <w:t>doras en comparación con las más tradicionales metáforas médicas del cuerpo, el cerebro y el medioambiente como componentes separados. Estas divisiones cartesianas han mostrado sus limitaciones descriptivas y explicativas cuando se observan más de cerca la</w:t>
      </w:r>
      <w:r>
        <w:rPr>
          <w:rFonts w:ascii="Times New Roman" w:eastAsia="Times New Roman" w:hAnsi="Times New Roman" w:cs="Times New Roman"/>
          <w:sz w:val="24"/>
          <w:szCs w:val="24"/>
        </w:rPr>
        <w:t xml:space="preserve"> marginación, el desplazamiento forzado, la diversidad cognitivo-funcional y la internalización de la opresión. El discurso contemporáneo sobre la discapacidad cada vez más frecuentemente la ubica terminológicamente como "algo para deconstruir críticamente</w:t>
      </w:r>
      <w:r>
        <w:rPr>
          <w:rFonts w:ascii="Times New Roman" w:eastAsia="Times New Roman" w:hAnsi="Times New Roman" w:cs="Times New Roman"/>
          <w:sz w:val="24"/>
          <w:szCs w:val="24"/>
        </w:rPr>
        <w:t>"—un modelo que el consenso científico considera superado.</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Psicología Ecológica </w:t>
      </w:r>
      <w:hyperlink r:id="rId7">
        <w:r>
          <w:rPr>
            <w:rFonts w:ascii="Times New Roman" w:eastAsia="Times New Roman" w:hAnsi="Times New Roman" w:cs="Times New Roman"/>
            <w:sz w:val="24"/>
            <w:szCs w:val="24"/>
          </w:rPr>
          <w:t>(Gibson, 1979; Lobo et al., 2018)</w:t>
        </w:r>
      </w:hyperlink>
      <w:r>
        <w:rPr>
          <w:rFonts w:ascii="Times New Roman" w:eastAsia="Times New Roman" w:hAnsi="Times New Roman" w:cs="Times New Roman"/>
          <w:sz w:val="24"/>
          <w:szCs w:val="24"/>
        </w:rPr>
        <w:t xml:space="preserve"> y el Enactivismo </w:t>
      </w:r>
      <w:hyperlink r:id="rId8">
        <w:r>
          <w:rPr>
            <w:rFonts w:ascii="Times New Roman" w:eastAsia="Times New Roman" w:hAnsi="Times New Roman" w:cs="Times New Roman"/>
            <w:sz w:val="24"/>
            <w:szCs w:val="24"/>
          </w:rPr>
          <w:t>(Di Paolo et al., 2018)</w:t>
        </w:r>
      </w:hyperlink>
      <w:r>
        <w:rPr>
          <w:rFonts w:ascii="Times New Roman" w:eastAsia="Times New Roman" w:hAnsi="Times New Roman" w:cs="Times New Roman"/>
          <w:sz w:val="24"/>
          <w:szCs w:val="24"/>
        </w:rPr>
        <w:t xml:space="preserve"> han coincidido en diversos espacios en la literatura académica donde explícitamente se ha desvinculado la discapacidad de la patología </w:t>
      </w:r>
      <w:hyperlink r:id="rId9">
        <w:r>
          <w:rPr>
            <w:rFonts w:ascii="Times New Roman" w:eastAsia="Times New Roman" w:hAnsi="Times New Roman" w:cs="Times New Roman"/>
            <w:sz w:val="24"/>
            <w:szCs w:val="24"/>
          </w:rPr>
          <w:t>(Toro et al., 2020)</w:t>
        </w:r>
      </w:hyperlink>
      <w:r>
        <w:rPr>
          <w:rFonts w:ascii="Times New Roman" w:eastAsia="Times New Roman" w:hAnsi="Times New Roman" w:cs="Times New Roman"/>
          <w:sz w:val="24"/>
          <w:szCs w:val="24"/>
        </w:rPr>
        <w:t xml:space="preserve">. El concepto de </w:t>
      </w:r>
      <w:r>
        <w:rPr>
          <w:rFonts w:ascii="Times New Roman" w:eastAsia="Times New Roman" w:hAnsi="Times New Roman" w:cs="Times New Roman"/>
          <w:i/>
          <w:sz w:val="24"/>
          <w:szCs w:val="24"/>
        </w:rPr>
        <w:t>affordances</w:t>
      </w:r>
      <w:r>
        <w:rPr>
          <w:rFonts w:ascii="Times New Roman" w:eastAsia="Times New Roman" w:hAnsi="Times New Roman" w:cs="Times New Roman"/>
          <w:sz w:val="24"/>
          <w:szCs w:val="24"/>
        </w:rPr>
        <w:t>—posibilidades de acción que el entorno ofrece al sujeto—ha sido central en la comprensión del concepto de discapacidad y su emergencia, no de un déficit inherente, sino de constreñimi</w:t>
      </w:r>
      <w:r>
        <w:rPr>
          <w:rFonts w:ascii="Times New Roman" w:eastAsia="Times New Roman" w:hAnsi="Times New Roman" w:cs="Times New Roman"/>
          <w:sz w:val="24"/>
          <w:szCs w:val="24"/>
        </w:rPr>
        <w:t>entos arbitrarios a las posibilidades de la experiencia subjetiva creadas en discursos culturales, sociales y agenciales manifiestos en la arquitectura del entorno, las categorías oficiales o las barreras lingüísticas. Esto ha llevado a una toma de conscie</w:t>
      </w:r>
      <w:r>
        <w:rPr>
          <w:rFonts w:ascii="Times New Roman" w:eastAsia="Times New Roman" w:hAnsi="Times New Roman" w:cs="Times New Roman"/>
          <w:sz w:val="24"/>
          <w:szCs w:val="24"/>
        </w:rPr>
        <w:t xml:space="preserve">ncia de su continuidad teórica entre los entornos físicos y los entornos simbólico-discursivos, extendiendo la denominación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affordances sociales</w:t>
      </w:r>
      <w:r>
        <w:rPr>
          <w:rFonts w:ascii="Times New Roman" w:eastAsia="Times New Roman" w:hAnsi="Times New Roman" w:cs="Times New Roman"/>
          <w:sz w:val="24"/>
          <w:szCs w:val="24"/>
        </w:rPr>
        <w:t xml:space="preserve"> (Gallagher &amp; Ransom, 2016), </w:t>
      </w:r>
      <w:r>
        <w:rPr>
          <w:rFonts w:ascii="Times New Roman" w:eastAsia="Times New Roman" w:hAnsi="Times New Roman" w:cs="Times New Roman"/>
          <w:i/>
          <w:sz w:val="24"/>
          <w:szCs w:val="24"/>
        </w:rPr>
        <w:t>affordances culturales</w:t>
      </w:r>
      <w:r>
        <w:rPr>
          <w:rFonts w:ascii="Times New Roman" w:eastAsia="Times New Roman" w:hAnsi="Times New Roman" w:cs="Times New Roman"/>
          <w:sz w:val="24"/>
          <w:szCs w:val="24"/>
        </w:rPr>
        <w:t xml:space="preserve"> (Ramstead et al., 2016) y </w:t>
      </w:r>
      <w:r>
        <w:rPr>
          <w:rFonts w:ascii="Times New Roman" w:eastAsia="Times New Roman" w:hAnsi="Times New Roman" w:cs="Times New Roman"/>
          <w:i/>
          <w:sz w:val="24"/>
          <w:szCs w:val="24"/>
        </w:rPr>
        <w:t>affordances discursivas</w:t>
      </w:r>
      <w:r>
        <w:rPr>
          <w:rFonts w:ascii="Times New Roman" w:eastAsia="Times New Roman" w:hAnsi="Times New Roman" w:cs="Times New Roman"/>
          <w:sz w:val="24"/>
          <w:szCs w:val="24"/>
        </w:rPr>
        <w:t xml:space="preserve"> (Ayala, </w:t>
      </w:r>
      <w:r>
        <w:rPr>
          <w:rFonts w:ascii="Times New Roman" w:eastAsia="Times New Roman" w:hAnsi="Times New Roman" w:cs="Times New Roman"/>
          <w:sz w:val="24"/>
          <w:szCs w:val="24"/>
        </w:rPr>
        <w:t>2016).</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dos vacíos críticos persisten en el discurso analítico sobre el tema. Primero, las comunidades de personas sordas, aunque oficialmente conjuntadas bajo el concepto de discapacidad—y no de diversidad cultural, por ejemplo—han recibido po</w:t>
      </w:r>
      <w:r>
        <w:rPr>
          <w:rFonts w:ascii="Times New Roman" w:eastAsia="Times New Roman" w:hAnsi="Times New Roman" w:cs="Times New Roman"/>
          <w:sz w:val="24"/>
          <w:szCs w:val="24"/>
        </w:rPr>
        <w:t xml:space="preserve">ca atención desde las perspectivas ecológicas-enactivas. La crítica contemporánea de los estudios sobre las personas de estas comunidades se ha centrado principalmente en la desconstrucción de nociones </w:t>
      </w:r>
      <w:r>
        <w:rPr>
          <w:rFonts w:ascii="Times New Roman" w:eastAsia="Times New Roman" w:hAnsi="Times New Roman" w:cs="Times New Roman"/>
          <w:i/>
          <w:sz w:val="24"/>
          <w:szCs w:val="24"/>
        </w:rPr>
        <w:t>capacitistas</w:t>
      </w:r>
      <w:r>
        <w:rPr>
          <w:rFonts w:ascii="Times New Roman" w:eastAsia="Times New Roman" w:hAnsi="Times New Roman" w:cs="Times New Roman"/>
          <w:sz w:val="24"/>
          <w:szCs w:val="24"/>
        </w:rPr>
        <w:t xml:space="preserve"> y derivadas del </w:t>
      </w:r>
      <w:r>
        <w:rPr>
          <w:rFonts w:ascii="Times New Roman" w:eastAsia="Times New Roman" w:hAnsi="Times New Roman" w:cs="Times New Roman"/>
          <w:i/>
          <w:sz w:val="24"/>
          <w:szCs w:val="24"/>
        </w:rPr>
        <w:t>racionalismo cultural</w:t>
      </w:r>
      <w:r>
        <w:rPr>
          <w:rFonts w:ascii="Times New Roman" w:eastAsia="Times New Roman" w:hAnsi="Times New Roman" w:cs="Times New Roman"/>
          <w:sz w:val="24"/>
          <w:szCs w:val="24"/>
        </w:rPr>
        <w:t xml:space="preserve"> sob</w:t>
      </w:r>
      <w:r>
        <w:rPr>
          <w:rFonts w:ascii="Times New Roman" w:eastAsia="Times New Roman" w:hAnsi="Times New Roman" w:cs="Times New Roman"/>
          <w:sz w:val="24"/>
          <w:szCs w:val="24"/>
        </w:rPr>
        <w:t xml:space="preserve">re todo cuando la "posibilidad normalizante"—el </w:t>
      </w:r>
      <w:r>
        <w:rPr>
          <w:rFonts w:ascii="Times New Roman" w:eastAsia="Times New Roman" w:hAnsi="Times New Roman" w:cs="Times New Roman"/>
          <w:i/>
          <w:sz w:val="24"/>
          <w:szCs w:val="24"/>
        </w:rPr>
        <w:t>poder hacer</w:t>
      </w:r>
      <w:r>
        <w:rPr>
          <w:rFonts w:ascii="Times New Roman" w:eastAsia="Times New Roman" w:hAnsi="Times New Roman" w:cs="Times New Roman"/>
          <w:sz w:val="24"/>
          <w:szCs w:val="24"/>
        </w:rPr>
        <w:t xml:space="preserve"> como propiedad de un estereotipo—se nota como un discurso del mercado laboral, los estándares de las institucionales educativas o las expectativas de la movilidad social </w:t>
      </w:r>
      <w:hyperlink r:id="rId10">
        <w:r>
          <w:rPr>
            <w:rFonts w:ascii="Times New Roman" w:eastAsia="Times New Roman" w:hAnsi="Times New Roman" w:cs="Times New Roman"/>
            <w:sz w:val="24"/>
            <w:szCs w:val="24"/>
          </w:rPr>
          <w:t>(Aldalur et al., 2021; Aljedaani et al., 2022; Anglin-Jaffe, 2020)</w:t>
        </w:r>
      </w:hyperlink>
      <w:r>
        <w:rPr>
          <w:rFonts w:ascii="Times New Roman" w:eastAsia="Times New Roman" w:hAnsi="Times New Roman" w:cs="Times New Roman"/>
          <w:sz w:val="24"/>
          <w:szCs w:val="24"/>
        </w:rPr>
        <w:t>.</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segundo lugar, las extensiones de la noción de </w:t>
      </w:r>
      <w:r>
        <w:rPr>
          <w:rFonts w:ascii="Times New Roman" w:eastAsia="Times New Roman" w:hAnsi="Times New Roman" w:cs="Times New Roman"/>
          <w:i/>
          <w:sz w:val="24"/>
          <w:szCs w:val="24"/>
        </w:rPr>
        <w:t>affordance</w:t>
      </w:r>
      <w:r>
        <w:rPr>
          <w:rFonts w:ascii="Times New Roman" w:eastAsia="Times New Roman" w:hAnsi="Times New Roman" w:cs="Times New Roman"/>
          <w:sz w:val="24"/>
          <w:szCs w:val="24"/>
        </w:rPr>
        <w:t xml:space="preserve"> han procedido frecuentemente con formulaciones componenciales sobre los rieles tradicionale</w:t>
      </w:r>
      <w:r>
        <w:rPr>
          <w:rFonts w:ascii="Times New Roman" w:eastAsia="Times New Roman" w:hAnsi="Times New Roman" w:cs="Times New Roman"/>
          <w:sz w:val="24"/>
          <w:szCs w:val="24"/>
        </w:rPr>
        <w:t>s de interacciones físicas, sociales, culturales o discursivas, perpetuando así la fragmentación epistémica que contradice el potencial transformador de la perspectiva ecológica-enactiva. Esta fragmentación o formulación componencial contradice el profundo</w:t>
      </w:r>
      <w:r>
        <w:rPr>
          <w:rFonts w:ascii="Times New Roman" w:eastAsia="Times New Roman" w:hAnsi="Times New Roman" w:cs="Times New Roman"/>
          <w:sz w:val="24"/>
          <w:szCs w:val="24"/>
        </w:rPr>
        <w:t xml:space="preserve"> potencial de transformación que alcanza—como lo demuestran los trabajos citados—a la concepción misma de la personalidad, la significación y el lenguaje.</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caso de las comunidades formadas por personas sordas—en particular, aquellas hablantes de una leng</w:t>
      </w:r>
      <w:r>
        <w:rPr>
          <w:rFonts w:ascii="Times New Roman" w:eastAsia="Times New Roman" w:hAnsi="Times New Roman" w:cs="Times New Roman"/>
          <w:sz w:val="24"/>
          <w:szCs w:val="24"/>
        </w:rPr>
        <w:t xml:space="preserve">ua de señas—presenta una ruptura paradigmática en el discurso sobre la discapacidad. A diferencia de sus concepciones clásicas basadas en un déficit físico o biológico, la sordera se vive como una identidad cultural y lingüística </w:t>
      </w:r>
      <w:hyperlink r:id="rId11">
        <w:r>
          <w:rPr>
            <w:rFonts w:ascii="Times New Roman" w:eastAsia="Times New Roman" w:hAnsi="Times New Roman" w:cs="Times New Roman"/>
            <w:sz w:val="24"/>
            <w:szCs w:val="24"/>
          </w:rPr>
          <w:t>(Cardinale, 2004; Johnson &amp; Erting, 1989)</w:t>
        </w:r>
      </w:hyperlink>
      <w:r>
        <w:rPr>
          <w:rFonts w:ascii="Times New Roman" w:eastAsia="Times New Roman" w:hAnsi="Times New Roman" w:cs="Times New Roman"/>
          <w:sz w:val="24"/>
          <w:szCs w:val="24"/>
        </w:rPr>
        <w:t>. Las personas sordas se enfrentan con limitadas posibilidades no a cuenta de sus características físicas o perceptuales, cognitivas o de movilidad, sino por los entornos diseñado</w:t>
      </w:r>
      <w:r>
        <w:rPr>
          <w:rFonts w:ascii="Times New Roman" w:eastAsia="Times New Roman" w:hAnsi="Times New Roman" w:cs="Times New Roman"/>
          <w:sz w:val="24"/>
          <w:szCs w:val="24"/>
        </w:rPr>
        <w:t>s exclusivamente para la oralidad y la comunicación escrita.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tanto, este trabajo introduce la noción de </w:t>
      </w:r>
      <w:r>
        <w:rPr>
          <w:rFonts w:ascii="Times New Roman" w:eastAsia="Times New Roman" w:hAnsi="Times New Roman" w:cs="Times New Roman"/>
          <w:i/>
          <w:sz w:val="24"/>
          <w:szCs w:val="24"/>
        </w:rPr>
        <w:t>dis-affordance</w:t>
      </w:r>
      <w:r>
        <w:rPr>
          <w:rFonts w:ascii="Times New Roman" w:eastAsia="Times New Roman" w:hAnsi="Times New Roman" w:cs="Times New Roman"/>
          <w:sz w:val="24"/>
          <w:szCs w:val="24"/>
        </w:rPr>
        <w:t xml:space="preserve"> para atender estos vacíos críticos. A diferencia de las extensiones fragmentarias o componenciales a la teoría ecológica Gibsoniana, </w:t>
      </w:r>
      <w:r>
        <w:rPr>
          <w:rFonts w:ascii="Times New Roman" w:eastAsia="Times New Roman" w:hAnsi="Times New Roman" w:cs="Times New Roman"/>
          <w:sz w:val="24"/>
          <w:szCs w:val="24"/>
        </w:rPr>
        <w:t>esta noción emerge de la crítica decolonial que honra la potencial elaboración no-dualista del pensamiento psicológico ecológico y reconoce que las barreras de la "posibilidad" son discursos provenientes de un posicionamiento valorativo culturalmente supre</w:t>
      </w:r>
      <w:r>
        <w:rPr>
          <w:rFonts w:ascii="Times New Roman" w:eastAsia="Times New Roman" w:hAnsi="Times New Roman" w:cs="Times New Roman"/>
          <w:sz w:val="24"/>
          <w:szCs w:val="24"/>
        </w:rPr>
        <w:t xml:space="preserve">macista </w:t>
      </w:r>
      <w:hyperlink r:id="rId12">
        <w:r>
          <w:rPr>
            <w:rFonts w:ascii="Times New Roman" w:eastAsia="Times New Roman" w:hAnsi="Times New Roman" w:cs="Times New Roman"/>
            <w:sz w:val="24"/>
            <w:szCs w:val="24"/>
          </w:rPr>
          <w:t>(Posholi, 2020)</w:t>
        </w:r>
      </w:hyperlink>
      <w:r>
        <w:rPr>
          <w:rFonts w:ascii="Times New Roman" w:eastAsia="Times New Roman" w:hAnsi="Times New Roman" w:cs="Times New Roman"/>
          <w:sz w:val="24"/>
          <w:szCs w:val="24"/>
        </w:rPr>
        <w:t xml:space="preserve">. </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trata esencialmente de una </w:t>
      </w:r>
      <w:r>
        <w:rPr>
          <w:rFonts w:ascii="Times New Roman" w:eastAsia="Times New Roman" w:hAnsi="Times New Roman" w:cs="Times New Roman"/>
          <w:i/>
          <w:sz w:val="24"/>
          <w:szCs w:val="24"/>
        </w:rPr>
        <w:t>affordance</w:t>
      </w:r>
      <w:r>
        <w:rPr>
          <w:rFonts w:ascii="Times New Roman" w:eastAsia="Times New Roman" w:hAnsi="Times New Roman" w:cs="Times New Roman"/>
          <w:sz w:val="24"/>
          <w:szCs w:val="24"/>
        </w:rPr>
        <w:t xml:space="preserve"> minorizada que refleja epistémicamente el mecanismo con el que se limita la capacidad de las personas, según las expectativas n</w:t>
      </w:r>
      <w:r>
        <w:rPr>
          <w:rFonts w:ascii="Times New Roman" w:eastAsia="Times New Roman" w:hAnsi="Times New Roman" w:cs="Times New Roman"/>
          <w:sz w:val="24"/>
          <w:szCs w:val="24"/>
        </w:rPr>
        <w:t xml:space="preserve">ormalizantes, en la construcción de sujetos dis-capacitados. Es decir, el </w:t>
      </w:r>
      <w:r>
        <w:rPr>
          <w:rFonts w:ascii="Times New Roman" w:eastAsia="Times New Roman" w:hAnsi="Times New Roman" w:cs="Times New Roman"/>
          <w:i/>
          <w:sz w:val="24"/>
          <w:szCs w:val="24"/>
        </w:rPr>
        <w:t>poder hacer, decir, ser</w:t>
      </w:r>
      <w:r>
        <w:rPr>
          <w:rFonts w:ascii="Times New Roman" w:eastAsia="Times New Roman" w:hAnsi="Times New Roman" w:cs="Times New Roman"/>
          <w:sz w:val="24"/>
          <w:szCs w:val="24"/>
        </w:rPr>
        <w:t xml:space="preserve"> no se confunde más con propiedades inherentes de la experiencia subjetiva ni de un entorno separado de ella. En cambio, entendemos que es el discurso y la arq</w:t>
      </w:r>
      <w:r>
        <w:rPr>
          <w:rFonts w:ascii="Times New Roman" w:eastAsia="Times New Roman" w:hAnsi="Times New Roman" w:cs="Times New Roman"/>
          <w:sz w:val="24"/>
          <w:szCs w:val="24"/>
        </w:rPr>
        <w:t>uitectura de los espacios donde se ejerce el constreñimiento de las posibilidades del otro para maximizar la dominación de las propias, de las que refuerzan el estereotipo dominante de normalidad capacitista.</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3"/>
        <w:spacing w:before="0" w:after="0" w:line="360" w:lineRule="auto"/>
        <w:rPr>
          <w:rFonts w:ascii="Times New Roman" w:eastAsia="Times New Roman" w:hAnsi="Times New Roman" w:cs="Times New Roman"/>
          <w:b/>
          <w:color w:val="000000"/>
          <w:sz w:val="24"/>
          <w:szCs w:val="24"/>
        </w:rPr>
      </w:pPr>
      <w:bookmarkStart w:id="5" w:name="_gbj0sag1ogwq" w:colFirst="0" w:colLast="0"/>
      <w:bookmarkEnd w:id="5"/>
      <w:r>
        <w:rPr>
          <w:rFonts w:ascii="Times New Roman" w:eastAsia="Times New Roman" w:hAnsi="Times New Roman" w:cs="Times New Roman"/>
          <w:b/>
          <w:color w:val="000000"/>
          <w:sz w:val="24"/>
          <w:szCs w:val="24"/>
        </w:rPr>
        <w:t>Objetivos del estudio</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analiza las manifestaciones dis-afordancistas en el discurso y las experiencias vividas de las personas sordas en los contextos educativos formales. Se atiende particularmente a la forma en la que la opresión internalizada </w:t>
      </w:r>
      <w:hyperlink r:id="rId13">
        <w:r>
          <w:rPr>
            <w:rFonts w:ascii="Times New Roman" w:eastAsia="Times New Roman" w:hAnsi="Times New Roman" w:cs="Times New Roman"/>
            <w:sz w:val="24"/>
            <w:szCs w:val="24"/>
          </w:rPr>
          <w:t>(David, 2014)</w:t>
        </w:r>
      </w:hyperlink>
      <w:r>
        <w:rPr>
          <w:rFonts w:ascii="Times New Roman" w:eastAsia="Times New Roman" w:hAnsi="Times New Roman" w:cs="Times New Roman"/>
          <w:sz w:val="24"/>
          <w:szCs w:val="24"/>
        </w:rPr>
        <w:t xml:space="preserve"> delimita sus percepciones de "posibilidad de acción". Al examinar estas experiencias a través de una lente </w:t>
      </w:r>
      <w:r>
        <w:rPr>
          <w:rFonts w:ascii="Times New Roman" w:eastAsia="Times New Roman" w:hAnsi="Times New Roman" w:cs="Times New Roman"/>
          <w:sz w:val="24"/>
          <w:szCs w:val="24"/>
        </w:rPr>
        <w:lastRenderedPageBreak/>
        <w:t>ecológica-enactiva, se busca contribuir a la decolonización del discurso de la discapacidad y</w:t>
      </w:r>
      <w:r>
        <w:rPr>
          <w:rFonts w:ascii="Times New Roman" w:eastAsia="Times New Roman" w:hAnsi="Times New Roman" w:cs="Times New Roman"/>
          <w:sz w:val="24"/>
          <w:szCs w:val="24"/>
        </w:rPr>
        <w:t xml:space="preserve"> las prácticas educativas. Nuestros objetivos específicos incluyen:</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Analizar las manifestaciones discursivas de las dis-affordances en las narrativas de las personas sordas sobre sus experiencias educativas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Identificar patrones de internalización </w:t>
      </w:r>
      <w:r>
        <w:rPr>
          <w:rFonts w:ascii="Times New Roman" w:eastAsia="Times New Roman" w:hAnsi="Times New Roman" w:cs="Times New Roman"/>
          <w:sz w:val="24"/>
          <w:szCs w:val="24"/>
        </w:rPr>
        <w:t>de la opresión que constriñen las percepciones de posibilidad enactiva en los estudiantes sordos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Examinar cómo la discriminación intra-grupal refleja la reproducción de las dis-affordances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Proponer condiciones preliminares para consolidar la crítica decolonial hacia la autonomía enactiva y la justicia epistémica</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valor teórico y práctico de este estudio proviene de su contribución crítica a la reconceptualización de la discapacidad má</w:t>
      </w:r>
      <w:r>
        <w:rPr>
          <w:rFonts w:ascii="Times New Roman" w:eastAsia="Times New Roman" w:hAnsi="Times New Roman" w:cs="Times New Roman"/>
          <w:sz w:val="24"/>
          <w:szCs w:val="24"/>
        </w:rPr>
        <w:t>s allá de modelos de déficit o anormalidad y la argumentación a favor de la condición cultural y lingüística de las comunidades sordas que no comparten las mismas condiciones epistémicas de otras comunidades minorizadas a partir de paradigmas capacitistas.</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6" w:name="_leh45owcy6yo" w:colFirst="0" w:colLast="0"/>
      <w:bookmarkEnd w:id="6"/>
      <w:r>
        <w:rPr>
          <w:rFonts w:ascii="Times New Roman" w:eastAsia="Times New Roman" w:hAnsi="Times New Roman" w:cs="Times New Roman"/>
          <w:b/>
          <w:sz w:val="24"/>
          <w:szCs w:val="24"/>
        </w:rPr>
        <w:t>Marco Teórico</w:t>
      </w:r>
    </w:p>
    <w:p w:rsidR="0039168B" w:rsidRDefault="0039168B">
      <w:pPr>
        <w:rPr>
          <w:rFonts w:ascii="Times New Roman" w:eastAsia="Times New Roman" w:hAnsi="Times New Roman" w:cs="Times New Roman"/>
        </w:rPr>
      </w:pPr>
    </w:p>
    <w:p w:rsidR="0039168B" w:rsidRDefault="002B631A">
      <w:pPr>
        <w:pStyle w:val="Ttulo3"/>
        <w:spacing w:before="0" w:after="0" w:line="360" w:lineRule="auto"/>
        <w:jc w:val="both"/>
        <w:rPr>
          <w:rFonts w:ascii="Times New Roman" w:eastAsia="Times New Roman" w:hAnsi="Times New Roman" w:cs="Times New Roman"/>
          <w:b/>
          <w:color w:val="000000"/>
          <w:sz w:val="24"/>
          <w:szCs w:val="24"/>
        </w:rPr>
      </w:pPr>
      <w:bookmarkStart w:id="7" w:name="_vyfnlxcsutub" w:colFirst="0" w:colLast="0"/>
      <w:bookmarkEnd w:id="7"/>
      <w:r>
        <w:rPr>
          <w:rFonts w:ascii="Times New Roman" w:eastAsia="Times New Roman" w:hAnsi="Times New Roman" w:cs="Times New Roman"/>
          <w:b/>
          <w:color w:val="000000"/>
          <w:sz w:val="24"/>
          <w:szCs w:val="24"/>
        </w:rPr>
        <w:t>La Psicología Ecológica y la Decolonialidad: perspectivas convergentes</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Psicología Ecológica y la Teoría Decolonial, aunque provenientes de distintas tradiciones teóricas, convergen en su crítica al dualismo cartesiano y al representaci</w:t>
      </w:r>
      <w:r>
        <w:rPr>
          <w:rFonts w:ascii="Times New Roman" w:eastAsia="Times New Roman" w:hAnsi="Times New Roman" w:cs="Times New Roman"/>
          <w:sz w:val="24"/>
          <w:szCs w:val="24"/>
        </w:rPr>
        <w:t xml:space="preserve">onalismo cognitivo en sus versiones más cercanas al llamado </w:t>
      </w:r>
      <w:r>
        <w:rPr>
          <w:rFonts w:ascii="Times New Roman" w:eastAsia="Times New Roman" w:hAnsi="Times New Roman" w:cs="Times New Roman"/>
          <w:i/>
          <w:sz w:val="24"/>
          <w:szCs w:val="24"/>
        </w:rPr>
        <w:t>postcognitivismo</w:t>
      </w:r>
      <w:r>
        <w:rPr>
          <w:rFonts w:ascii="Times New Roman" w:eastAsia="Times New Roman" w:hAnsi="Times New Roman" w:cs="Times New Roman"/>
          <w:sz w:val="24"/>
          <w:szCs w:val="24"/>
        </w:rPr>
        <w:t xml:space="preserve"> o </w:t>
      </w:r>
      <w:r>
        <w:rPr>
          <w:rFonts w:ascii="Times New Roman" w:eastAsia="Times New Roman" w:hAnsi="Times New Roman" w:cs="Times New Roman"/>
          <w:i/>
          <w:sz w:val="24"/>
          <w:szCs w:val="24"/>
        </w:rPr>
        <w:t>cognición 4E</w:t>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rPr>
          <w:t>(Newen et al., 2018)</w:t>
        </w:r>
      </w:hyperlink>
      <w:r>
        <w:rPr>
          <w:rFonts w:ascii="Times New Roman" w:eastAsia="Times New Roman" w:hAnsi="Times New Roman" w:cs="Times New Roman"/>
          <w:sz w:val="24"/>
          <w:szCs w:val="24"/>
        </w:rPr>
        <w:t>. Ambas perspectivas cuestionan fundamentalmente la separación conceptual entre la</w:t>
      </w:r>
      <w:r>
        <w:rPr>
          <w:rFonts w:ascii="Times New Roman" w:eastAsia="Times New Roman" w:hAnsi="Times New Roman" w:cs="Times New Roman"/>
          <w:sz w:val="24"/>
          <w:szCs w:val="24"/>
        </w:rPr>
        <w:t xml:space="preserve"> experiencia subjetiva, el cuerpo y el entorno, proponiendo en cambio una comprensión integradora de estos fenómenos.</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Psicología Ecológica, fundada en la obra de James J. Gibson (1979) y desarrollada por investigadores contemporáneos </w:t>
      </w:r>
      <w:hyperlink r:id="rId15">
        <w:r>
          <w:rPr>
            <w:rFonts w:ascii="Times New Roman" w:eastAsia="Times New Roman" w:hAnsi="Times New Roman" w:cs="Times New Roman"/>
            <w:sz w:val="24"/>
            <w:szCs w:val="24"/>
          </w:rPr>
          <w:t>(Carvalho &amp; Rolla, 2020; de Pinedo García, 2020)</w:t>
        </w:r>
      </w:hyperlink>
      <w:r>
        <w:rPr>
          <w:rFonts w:ascii="Times New Roman" w:eastAsia="Times New Roman" w:hAnsi="Times New Roman" w:cs="Times New Roman"/>
          <w:sz w:val="24"/>
          <w:szCs w:val="24"/>
        </w:rPr>
        <w:t xml:space="preserve">, redefine la percepción como un acto dinámico y no una recepción pasiva de información del </w:t>
      </w:r>
      <w:r>
        <w:rPr>
          <w:rFonts w:ascii="Times New Roman" w:eastAsia="Times New Roman" w:hAnsi="Times New Roman" w:cs="Times New Roman"/>
          <w:sz w:val="24"/>
          <w:szCs w:val="24"/>
        </w:rPr>
        <w:lastRenderedPageBreak/>
        <w:t>"allá afuera". De manera similar, la Teoría Decolonial i</w:t>
      </w:r>
      <w:r>
        <w:rPr>
          <w:rFonts w:ascii="Times New Roman" w:eastAsia="Times New Roman" w:hAnsi="Times New Roman" w:cs="Times New Roman"/>
          <w:sz w:val="24"/>
          <w:szCs w:val="24"/>
        </w:rPr>
        <w:t xml:space="preserve">nterroga las consecuencias epistémicas de la imposición del racionalismo eurocéntrico que se caracteriza, precisamente, por la visión dualista que separa las nociones de mente y cuerpo de manera que se convierten en territorios mecánicos y desprovistos de </w:t>
      </w:r>
      <w:r>
        <w:rPr>
          <w:rFonts w:ascii="Times New Roman" w:eastAsia="Times New Roman" w:hAnsi="Times New Roman" w:cs="Times New Roman"/>
          <w:sz w:val="24"/>
          <w:szCs w:val="24"/>
        </w:rPr>
        <w:t xml:space="preserve">las cualidades de la experiencia </w:t>
      </w:r>
      <w:hyperlink r:id="rId16">
        <w:r>
          <w:rPr>
            <w:rFonts w:ascii="Times New Roman" w:eastAsia="Times New Roman" w:hAnsi="Times New Roman" w:cs="Times New Roman"/>
            <w:sz w:val="24"/>
            <w:szCs w:val="24"/>
          </w:rPr>
          <w:t>(Mignolo &amp; Walsh, 2018)</w:t>
        </w:r>
      </w:hyperlink>
      <w:r>
        <w:rPr>
          <w:rFonts w:ascii="Times New Roman" w:eastAsia="Times New Roman" w:hAnsi="Times New Roman" w:cs="Times New Roman"/>
          <w:sz w:val="24"/>
          <w:szCs w:val="24"/>
        </w:rPr>
        <w:t>.</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caso de los hablantes de lenguas de señas provee un ejemplo paradigmático sobre cómo los constreñimientos simbólicos—el discurso de l</w:t>
      </w:r>
      <w:r>
        <w:rPr>
          <w:rFonts w:ascii="Times New Roman" w:eastAsia="Times New Roman" w:hAnsi="Times New Roman" w:cs="Times New Roman"/>
          <w:sz w:val="24"/>
          <w:szCs w:val="24"/>
        </w:rPr>
        <w:t>o posible/accesible/alcanzable—opera precisamente al nivel de la creación del significado en íntima relación con la representación de nuestra realidad trascendiendo las distinciones convencionales entre los dominios material o físico y discursivo. Sólo así</w:t>
      </w:r>
      <w:r>
        <w:rPr>
          <w:rFonts w:ascii="Times New Roman" w:eastAsia="Times New Roman" w:hAnsi="Times New Roman" w:cs="Times New Roman"/>
          <w:sz w:val="24"/>
          <w:szCs w:val="24"/>
        </w:rPr>
        <w:t xml:space="preserve"> podemos realmente desproveer a la perspectiva médica o neurológica sobre la discapacidad de su base autoritaria en el discurso científico desde la que ejerce su violencia epistémica </w:t>
      </w:r>
      <w:hyperlink r:id="rId17">
        <w:r>
          <w:rPr>
            <w:rFonts w:ascii="Times New Roman" w:eastAsia="Times New Roman" w:hAnsi="Times New Roman" w:cs="Times New Roman"/>
            <w:sz w:val="24"/>
            <w:szCs w:val="24"/>
          </w:rPr>
          <w:t>(Peña-Guzmá</w:t>
        </w:r>
        <w:r>
          <w:rPr>
            <w:rFonts w:ascii="Times New Roman" w:eastAsia="Times New Roman" w:hAnsi="Times New Roman" w:cs="Times New Roman"/>
            <w:sz w:val="24"/>
            <w:szCs w:val="24"/>
          </w:rPr>
          <w:t>n &amp; Reynolds, 2019)</w:t>
        </w:r>
      </w:hyperlink>
      <w:r>
        <w:rPr>
          <w:rFonts w:ascii="Times New Roman" w:eastAsia="Times New Roman" w:hAnsi="Times New Roman" w:cs="Times New Roman"/>
          <w:sz w:val="24"/>
          <w:szCs w:val="24"/>
        </w:rPr>
        <w:t>.</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naturaleza excluyente de la superficialidad racionalista y lógico-verbal </w:t>
      </w:r>
      <w:hyperlink r:id="rId18">
        <w:r>
          <w:rPr>
            <w:rFonts w:ascii="Times New Roman" w:eastAsia="Times New Roman" w:hAnsi="Times New Roman" w:cs="Times New Roman"/>
            <w:sz w:val="24"/>
            <w:szCs w:val="24"/>
          </w:rPr>
          <w:t>(Allard-Tremblay, 2021; Phyak, 2021)</w:t>
        </w:r>
      </w:hyperlink>
      <w:r>
        <w:rPr>
          <w:rFonts w:ascii="Times New Roman" w:eastAsia="Times New Roman" w:hAnsi="Times New Roman" w:cs="Times New Roman"/>
          <w:sz w:val="24"/>
          <w:szCs w:val="24"/>
        </w:rPr>
        <w:t xml:space="preserve"> se manifiesta en la sub-representación de los investigadores</w:t>
      </w:r>
      <w:r>
        <w:rPr>
          <w:rFonts w:ascii="Times New Roman" w:eastAsia="Times New Roman" w:hAnsi="Times New Roman" w:cs="Times New Roman"/>
          <w:sz w:val="24"/>
          <w:szCs w:val="24"/>
        </w:rPr>
        <w:t xml:space="preserve"> sordos, la imposición de herramientas conceptuales tradicionales a la modalidad viso-espacial donde se desarrolla el discurso en lengua de señas y la violencia epistémica de forzar sus procesos significantes y comunicativos a los formatos lineales de la l</w:t>
      </w:r>
      <w:r>
        <w:rPr>
          <w:rFonts w:ascii="Times New Roman" w:eastAsia="Times New Roman" w:hAnsi="Times New Roman" w:cs="Times New Roman"/>
          <w:sz w:val="24"/>
          <w:szCs w:val="24"/>
        </w:rPr>
        <w:t xml:space="preserve">engua escrita </w:t>
      </w:r>
      <w:hyperlink r:id="rId19">
        <w:r>
          <w:rPr>
            <w:rFonts w:ascii="Times New Roman" w:eastAsia="Times New Roman" w:hAnsi="Times New Roman" w:cs="Times New Roman"/>
            <w:sz w:val="24"/>
            <w:szCs w:val="24"/>
          </w:rPr>
          <w:t>(Baynton, 1996)</w:t>
        </w:r>
      </w:hyperlink>
      <w:r>
        <w:rPr>
          <w:rFonts w:ascii="Times New Roman" w:eastAsia="Times New Roman" w:hAnsi="Times New Roman" w:cs="Times New Roman"/>
          <w:sz w:val="24"/>
          <w:szCs w:val="24"/>
        </w:rPr>
        <w:t>. Estas no son sólo barreras comunicativas o lingüísticas sino que representan continuos procesos coloniales de dominación sobre la significación de las realidades a</w:t>
      </w:r>
      <w:r>
        <w:rPr>
          <w:rFonts w:ascii="Times New Roman" w:eastAsia="Times New Roman" w:hAnsi="Times New Roman" w:cs="Times New Roman"/>
          <w:sz w:val="24"/>
          <w:szCs w:val="24"/>
        </w:rPr>
        <w:t>lternativas y la discriminación contra formas distintas de conocimiento.</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rsidP="009D2870">
      <w:pPr>
        <w:spacing w:line="360" w:lineRule="auto"/>
        <w:ind w:left="720"/>
        <w:jc w:val="both"/>
        <w:rPr>
          <w:rFonts w:ascii="Times New Roman" w:eastAsia="Times New Roman" w:hAnsi="Times New Roman" w:cs="Times New Roman"/>
          <w:sz w:val="24"/>
          <w:szCs w:val="24"/>
        </w:rPr>
      </w:pPr>
      <w:bookmarkStart w:id="8" w:name="_GoBack"/>
      <w:bookmarkEnd w:id="8"/>
    </w:p>
    <w:p w:rsidR="0039168B" w:rsidRDefault="002B631A">
      <w:pPr>
        <w:pStyle w:val="Ttulo3"/>
        <w:spacing w:before="0" w:after="0" w:line="360" w:lineRule="auto"/>
        <w:jc w:val="both"/>
        <w:rPr>
          <w:rFonts w:ascii="Times New Roman" w:eastAsia="Times New Roman" w:hAnsi="Times New Roman" w:cs="Times New Roman"/>
          <w:b/>
          <w:color w:val="000000"/>
          <w:sz w:val="24"/>
          <w:szCs w:val="24"/>
        </w:rPr>
      </w:pPr>
      <w:bookmarkStart w:id="9" w:name="_gmeom55uj0zl" w:colFirst="0" w:colLast="0"/>
      <w:bookmarkEnd w:id="9"/>
      <w:r>
        <w:rPr>
          <w:rFonts w:ascii="Times New Roman" w:eastAsia="Times New Roman" w:hAnsi="Times New Roman" w:cs="Times New Roman"/>
          <w:b/>
          <w:color w:val="000000"/>
          <w:sz w:val="24"/>
          <w:szCs w:val="24"/>
        </w:rPr>
        <w:t>Hacia una teoría de las Dis-Affordances</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Introducimos el concepto de </w:t>
      </w:r>
      <w:r>
        <w:rPr>
          <w:rFonts w:ascii="Times New Roman" w:eastAsia="Times New Roman" w:hAnsi="Times New Roman" w:cs="Times New Roman"/>
          <w:i/>
          <w:sz w:val="24"/>
          <w:szCs w:val="24"/>
        </w:rPr>
        <w:t>dis-affordance</w:t>
      </w:r>
      <w:r>
        <w:rPr>
          <w:rFonts w:ascii="Times New Roman" w:eastAsia="Times New Roman" w:hAnsi="Times New Roman" w:cs="Times New Roman"/>
          <w:sz w:val="24"/>
          <w:szCs w:val="24"/>
        </w:rPr>
        <w:t xml:space="preserve"> como una innovación terminológica que captura tanto la resistencia a la fragmentación componencia</w:t>
      </w:r>
      <w:r>
        <w:rPr>
          <w:rFonts w:ascii="Times New Roman" w:eastAsia="Times New Roman" w:hAnsi="Times New Roman" w:cs="Times New Roman"/>
          <w:sz w:val="24"/>
          <w:szCs w:val="24"/>
        </w:rPr>
        <w:t xml:space="preserve">l del modelo de análisis como las limitaciones que se asumen al utilizar las nociones tradicionales del discurso capacitista (sus atascos epistémicos, </w:t>
      </w:r>
      <w:hyperlink r:id="rId20">
        <w:r>
          <w:rPr>
            <w:rFonts w:ascii="Times New Roman" w:eastAsia="Times New Roman" w:hAnsi="Times New Roman" w:cs="Times New Roman"/>
            <w:sz w:val="24"/>
            <w:szCs w:val="24"/>
          </w:rPr>
          <w:t>Escobar L.-Dellamary, 2025</w:t>
        </w:r>
      </w:hyperlink>
      <w:r>
        <w:rPr>
          <w:rFonts w:ascii="Times New Roman" w:eastAsia="Times New Roman" w:hAnsi="Times New Roman" w:cs="Times New Roman"/>
          <w:sz w:val="24"/>
          <w:szCs w:val="24"/>
        </w:rPr>
        <w:t>). Esta noción pr</w:t>
      </w:r>
      <w:r>
        <w:rPr>
          <w:rFonts w:ascii="Times New Roman" w:eastAsia="Times New Roman" w:hAnsi="Times New Roman" w:cs="Times New Roman"/>
          <w:sz w:val="24"/>
          <w:szCs w:val="24"/>
        </w:rPr>
        <w:t xml:space="preserve">opuesta refleja el compromiso con la reformulación profunda elaborada en las tradiciones convergentes mencionadas </w:t>
      </w:r>
      <w:hyperlink r:id="rId21">
        <w:r>
          <w:rPr>
            <w:rFonts w:ascii="Times New Roman" w:eastAsia="Times New Roman" w:hAnsi="Times New Roman" w:cs="Times New Roman"/>
            <w:sz w:val="24"/>
            <w:szCs w:val="24"/>
          </w:rPr>
          <w:t>(Hutto &amp; Myin, 2013; Varela et al., 1991)</w:t>
        </w:r>
      </w:hyperlink>
      <w:r>
        <w:rPr>
          <w:rFonts w:ascii="Times New Roman" w:eastAsia="Times New Roman" w:hAnsi="Times New Roman" w:cs="Times New Roman"/>
          <w:sz w:val="24"/>
          <w:szCs w:val="24"/>
        </w:rPr>
        <w:t>. Reconoce, esencialmente, que las rest</w:t>
      </w:r>
      <w:r>
        <w:rPr>
          <w:rFonts w:ascii="Times New Roman" w:eastAsia="Times New Roman" w:hAnsi="Times New Roman" w:cs="Times New Roman"/>
          <w:sz w:val="24"/>
          <w:szCs w:val="24"/>
        </w:rPr>
        <w:t xml:space="preserve">ricciones a las posibilidades de </w:t>
      </w:r>
      <w:r>
        <w:rPr>
          <w:rFonts w:ascii="Times New Roman" w:eastAsia="Times New Roman" w:hAnsi="Times New Roman" w:cs="Times New Roman"/>
          <w:i/>
          <w:sz w:val="24"/>
          <w:szCs w:val="24"/>
        </w:rPr>
        <w:t>enacción</w:t>
      </w:r>
      <w:r>
        <w:rPr>
          <w:rFonts w:ascii="Times New Roman" w:eastAsia="Times New Roman" w:hAnsi="Times New Roman" w:cs="Times New Roman"/>
          <w:sz w:val="24"/>
          <w:szCs w:val="24"/>
        </w:rPr>
        <w:t xml:space="preserve"> están al nivel de la imposición de barreras de significación de la realidad y no en su materialidad o sus manifestaciones estructurales; es decir, en el desconocimiento y borramiento de la pluralidad epistémica.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crítica fenomenológica ofrece una base fundamental para nuestra conceptualización al desafiar directamente la separación ontológica entre el cuerpo biológico y la experiencia </w:t>
      </w:r>
      <w:r>
        <w:rPr>
          <w:rFonts w:ascii="Times New Roman" w:eastAsia="Times New Roman" w:hAnsi="Times New Roman" w:cs="Times New Roman"/>
          <w:sz w:val="24"/>
          <w:szCs w:val="24"/>
        </w:rPr>
        <w:lastRenderedPageBreak/>
        <w:t xml:space="preserve">subjetiva que sustenta el modelo médico de la discapacidad. Como señala Marra </w:t>
      </w:r>
      <w:hyperlink r:id="rId22">
        <w:r>
          <w:rPr>
            <w:rFonts w:ascii="Times New Roman" w:eastAsia="Times New Roman" w:hAnsi="Times New Roman" w:cs="Times New Roman"/>
            <w:sz w:val="24"/>
            <w:szCs w:val="24"/>
          </w:rPr>
          <w:t>(2020)</w:t>
        </w:r>
      </w:hyperlink>
      <w:r>
        <w:rPr>
          <w:rFonts w:ascii="Times New Roman" w:eastAsia="Times New Roman" w:hAnsi="Times New Roman" w:cs="Times New Roman"/>
          <w:sz w:val="24"/>
          <w:szCs w:val="24"/>
        </w:rPr>
        <w:t>, esta disociación no es un mero postulado descriptivo, sino la operación constitutiva que posibilita la patologización de la diferencia corporal al extraer el cuerpo de su contexto experi</w:t>
      </w:r>
      <w:r>
        <w:rPr>
          <w:rFonts w:ascii="Times New Roman" w:eastAsia="Times New Roman" w:hAnsi="Times New Roman" w:cs="Times New Roman"/>
          <w:sz w:val="24"/>
          <w:szCs w:val="24"/>
        </w:rPr>
        <w:t>encial. La fenomenología introduce la crucial distinción entre el cuerpo objetivo (</w:t>
      </w:r>
      <w:r>
        <w:rPr>
          <w:rFonts w:ascii="Times New Roman" w:eastAsia="Times New Roman" w:hAnsi="Times New Roman" w:cs="Times New Roman"/>
          <w:i/>
          <w:sz w:val="24"/>
          <w:szCs w:val="24"/>
        </w:rPr>
        <w:t>Körper</w:t>
      </w:r>
      <w:r>
        <w:rPr>
          <w:rFonts w:ascii="Times New Roman" w:eastAsia="Times New Roman" w:hAnsi="Times New Roman" w:cs="Times New Roman"/>
          <w:sz w:val="24"/>
          <w:szCs w:val="24"/>
        </w:rPr>
        <w:t>)—el cuerpo como objeto de la ciencia médica— y el cuerpo vivido (</w:t>
      </w:r>
      <w:r>
        <w:rPr>
          <w:rFonts w:ascii="Times New Roman" w:eastAsia="Times New Roman" w:hAnsi="Times New Roman" w:cs="Times New Roman"/>
          <w:i/>
          <w:sz w:val="24"/>
          <w:szCs w:val="24"/>
        </w:rPr>
        <w:t>Leib</w:t>
      </w:r>
      <w:r>
        <w:rPr>
          <w:rFonts w:ascii="Times New Roman" w:eastAsia="Times New Roman" w:hAnsi="Times New Roman" w:cs="Times New Roman"/>
          <w:sz w:val="24"/>
          <w:szCs w:val="24"/>
        </w:rPr>
        <w:t xml:space="preserve">), el cuerpo tal como es experimentado subjetivamente por la persona que lo habita </w:t>
      </w:r>
      <w:hyperlink r:id="rId23">
        <w:r>
          <w:rPr>
            <w:rFonts w:ascii="Times New Roman" w:eastAsia="Times New Roman" w:hAnsi="Times New Roman" w:cs="Times New Roman"/>
            <w:sz w:val="24"/>
            <w:szCs w:val="24"/>
          </w:rPr>
          <w:t>(Husserl, 1983)</w:t>
        </w:r>
      </w:hyperlink>
      <w:r>
        <w:rPr>
          <w:rFonts w:ascii="Times New Roman" w:eastAsia="Times New Roman" w:hAnsi="Times New Roman" w:cs="Times New Roman"/>
          <w:sz w:val="24"/>
          <w:szCs w:val="24"/>
        </w:rPr>
        <w:t>.</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noción de dis-affordance difiere de la simple ausencia de affordances en varios aspectos cruciales. Primero, son impuestas de forma sistemática, escalar y recursiva desde y para las estruc</w:t>
      </w:r>
      <w:r>
        <w:rPr>
          <w:rFonts w:ascii="Times New Roman" w:eastAsia="Times New Roman" w:hAnsi="Times New Roman" w:cs="Times New Roman"/>
          <w:sz w:val="24"/>
          <w:szCs w:val="24"/>
        </w:rPr>
        <w:t xml:space="preserve">turas del poder. Sus procesos paralelos de imposición, reproducción e internalización resultan en diversas </w:t>
      </w:r>
      <w:r>
        <w:rPr>
          <w:rFonts w:ascii="Times New Roman" w:eastAsia="Times New Roman" w:hAnsi="Times New Roman" w:cs="Times New Roman"/>
          <w:i/>
          <w:sz w:val="24"/>
          <w:szCs w:val="24"/>
        </w:rPr>
        <w:t>invisibilizaciones</w:t>
      </w:r>
      <w:r>
        <w:rPr>
          <w:rFonts w:ascii="Times New Roman" w:eastAsia="Times New Roman" w:hAnsi="Times New Roman" w:cs="Times New Roman"/>
          <w:sz w:val="24"/>
          <w:szCs w:val="24"/>
        </w:rPr>
        <w:t xml:space="preserve"> del entorno incluso para las personas que viven sin el estigma discapacitante explícito. Segundo, operan condicionando la percepci</w:t>
      </w:r>
      <w:r>
        <w:rPr>
          <w:rFonts w:ascii="Times New Roman" w:eastAsia="Times New Roman" w:hAnsi="Times New Roman" w:cs="Times New Roman"/>
          <w:sz w:val="24"/>
          <w:szCs w:val="24"/>
        </w:rPr>
        <w:t xml:space="preserve">ón </w:t>
      </w:r>
      <w:r>
        <w:rPr>
          <w:rFonts w:ascii="Times New Roman" w:eastAsia="Times New Roman" w:hAnsi="Times New Roman" w:cs="Times New Roman"/>
          <w:i/>
          <w:sz w:val="24"/>
          <w:szCs w:val="24"/>
        </w:rPr>
        <w:t>en sí</w:t>
      </w:r>
      <w:r>
        <w:rPr>
          <w:rFonts w:ascii="Times New Roman" w:eastAsia="Times New Roman" w:hAnsi="Times New Roman" w:cs="Times New Roman"/>
          <w:sz w:val="24"/>
          <w:szCs w:val="24"/>
        </w:rPr>
        <w:t>, constriñendo no sólo las acciones físicamente posibles sino el reconocimiento mismo de las posibilidades. Tercero, funcionan en la misma auto-concepción de las personas a través de la internalización histórica de la opresión agregando otra capa d</w:t>
      </w:r>
      <w:r>
        <w:rPr>
          <w:rFonts w:ascii="Times New Roman" w:eastAsia="Times New Roman" w:hAnsi="Times New Roman" w:cs="Times New Roman"/>
          <w:sz w:val="24"/>
          <w:szCs w:val="24"/>
        </w:rPr>
        <w:t>e invisibilidad de las posibilidades.</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evidencia transcultural demuestra que numerosas sociedades no categorizan las variaciones corporales o cognitivas a través del dualismo capacidad/discapacidad. Keck </w:t>
      </w:r>
      <w:hyperlink r:id="rId24">
        <w:r>
          <w:rPr>
            <w:rFonts w:ascii="Times New Roman" w:eastAsia="Times New Roman" w:hAnsi="Times New Roman" w:cs="Times New Roman"/>
            <w:sz w:val="24"/>
            <w:szCs w:val="24"/>
          </w:rPr>
          <w:t>(1999)</w:t>
        </w:r>
      </w:hyperlink>
      <w:r>
        <w:rPr>
          <w:rFonts w:ascii="Times New Roman" w:eastAsia="Times New Roman" w:hAnsi="Times New Roman" w:cs="Times New Roman"/>
          <w:sz w:val="24"/>
          <w:szCs w:val="24"/>
        </w:rPr>
        <w:t xml:space="preserve"> documenta cómo los Yupno en Papua Nueva Guinea utilizan categorías que no son isomórficas con las comprensiones biomédicas occidentales ni se conceptualizan como deficiencias permanentes. Buckingham </w:t>
      </w:r>
      <w:hyperlink r:id="rId25">
        <w:r>
          <w:rPr>
            <w:rFonts w:ascii="Times New Roman" w:eastAsia="Times New Roman" w:hAnsi="Times New Roman" w:cs="Times New Roman"/>
            <w:sz w:val="24"/>
            <w:szCs w:val="24"/>
          </w:rPr>
          <w:t>(2018)</w:t>
        </w:r>
      </w:hyperlink>
      <w:r>
        <w:rPr>
          <w:rFonts w:ascii="Times New Roman" w:eastAsia="Times New Roman" w:hAnsi="Times New Roman" w:cs="Times New Roman"/>
          <w:sz w:val="24"/>
          <w:szCs w:val="24"/>
        </w:rPr>
        <w:t xml:space="preserve"> muestra que incluso en contextos como India, las diferencias corporales históricamente se vinculaban a roles sociales específicos, no como una categoría médica unificada. La revisión histórica revela que la "discapacidad" com</w:t>
      </w:r>
      <w:r>
        <w:rPr>
          <w:rFonts w:ascii="Times New Roman" w:eastAsia="Times New Roman" w:hAnsi="Times New Roman" w:cs="Times New Roman"/>
          <w:sz w:val="24"/>
          <w:szCs w:val="24"/>
        </w:rPr>
        <w:t>o categoría emergió específicamente durante el siglo XIX en sociedades occidentales industrializadas, cuando los sistemas capitalistas de producción, la medicalización y la eugenesia reconfiguraron ciertos cuerpos como "defectuosos" y económicamente "impro</w:t>
      </w:r>
      <w:r>
        <w:rPr>
          <w:rFonts w:ascii="Times New Roman" w:eastAsia="Times New Roman" w:hAnsi="Times New Roman" w:cs="Times New Roman"/>
          <w:sz w:val="24"/>
          <w:szCs w:val="24"/>
        </w:rPr>
        <w:t xml:space="preserve">ductivos"  </w:t>
      </w:r>
      <w:hyperlink r:id="rId26">
        <w:r>
          <w:rPr>
            <w:rFonts w:ascii="Times New Roman" w:eastAsia="Times New Roman" w:hAnsi="Times New Roman" w:cs="Times New Roman"/>
            <w:sz w:val="24"/>
            <w:szCs w:val="24"/>
          </w:rPr>
          <w:t>(Barnes, 2003; Turner &amp; Blackie, 2018)</w:t>
        </w:r>
      </w:hyperlink>
      <w:r>
        <w:rPr>
          <w:rFonts w:ascii="Times New Roman" w:eastAsia="Times New Roman" w:hAnsi="Times New Roman" w:cs="Times New Roman"/>
          <w:sz w:val="24"/>
          <w:szCs w:val="24"/>
        </w:rPr>
        <w:t>.</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3"/>
        <w:spacing w:before="0" w:after="0" w:line="360" w:lineRule="auto"/>
        <w:jc w:val="both"/>
        <w:rPr>
          <w:rFonts w:ascii="Times New Roman" w:eastAsia="Times New Roman" w:hAnsi="Times New Roman" w:cs="Times New Roman"/>
          <w:b/>
          <w:color w:val="000000"/>
          <w:sz w:val="24"/>
          <w:szCs w:val="24"/>
          <w:highlight w:val="yellow"/>
        </w:rPr>
      </w:pPr>
      <w:bookmarkStart w:id="10" w:name="_lr7y8hji2are" w:colFirst="0" w:colLast="0"/>
      <w:bookmarkEnd w:id="10"/>
      <w:r>
        <w:rPr>
          <w:rFonts w:ascii="Times New Roman" w:eastAsia="Times New Roman" w:hAnsi="Times New Roman" w:cs="Times New Roman"/>
          <w:b/>
          <w:i/>
          <w:color w:val="000000"/>
          <w:sz w:val="24"/>
          <w:szCs w:val="24"/>
        </w:rPr>
        <w:t>Internalización de la opresión</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Internalización de la Opresión—el efecto de la marginación prolongada e inter-generacional que las personas</w:t>
      </w:r>
      <w:r>
        <w:rPr>
          <w:rFonts w:ascii="Times New Roman" w:eastAsia="Times New Roman" w:hAnsi="Times New Roman" w:cs="Times New Roman"/>
          <w:sz w:val="24"/>
          <w:szCs w:val="24"/>
        </w:rPr>
        <w:t xml:space="preserve"> asumen y reproducen de forma recursiva—puede ser reconceptualizada desde la Psicología Ecológica como la formación de dis-affordances, en el sentido expresado anteriormente, como la disminución, hasta la invisibilización, de </w:t>
      </w:r>
      <w:r>
        <w:rPr>
          <w:rFonts w:ascii="Times New Roman" w:eastAsia="Times New Roman" w:hAnsi="Times New Roman" w:cs="Times New Roman"/>
          <w:sz w:val="24"/>
          <w:szCs w:val="24"/>
        </w:rPr>
        <w:lastRenderedPageBreak/>
        <w:t xml:space="preserve">posibilidades de </w:t>
      </w:r>
      <w:r>
        <w:rPr>
          <w:rFonts w:ascii="Times New Roman" w:eastAsia="Times New Roman" w:hAnsi="Times New Roman" w:cs="Times New Roman"/>
          <w:i/>
          <w:sz w:val="24"/>
          <w:szCs w:val="24"/>
        </w:rPr>
        <w:t>enacción</w:t>
      </w:r>
      <w:r>
        <w:rPr>
          <w:rFonts w:ascii="Times New Roman" w:eastAsia="Times New Roman" w:hAnsi="Times New Roman" w:cs="Times New Roman"/>
          <w:sz w:val="24"/>
          <w:szCs w:val="24"/>
        </w:rPr>
        <w:t xml:space="preserve"> a pa</w:t>
      </w:r>
      <w:r>
        <w:rPr>
          <w:rFonts w:ascii="Times New Roman" w:eastAsia="Times New Roman" w:hAnsi="Times New Roman" w:cs="Times New Roman"/>
          <w:sz w:val="24"/>
          <w:szCs w:val="24"/>
        </w:rPr>
        <w:t xml:space="preserve">rtir de asumir una narrativa personal estereotipada por el discurso dominante </w:t>
      </w:r>
      <w:hyperlink r:id="rId27">
        <w:r>
          <w:rPr>
            <w:rFonts w:ascii="Times New Roman" w:eastAsia="Times New Roman" w:hAnsi="Times New Roman" w:cs="Times New Roman"/>
            <w:sz w:val="24"/>
            <w:szCs w:val="24"/>
          </w:rPr>
          <w:t>(David, 2018)</w:t>
        </w:r>
      </w:hyperlink>
      <w:r>
        <w:rPr>
          <w:rFonts w:ascii="Times New Roman" w:eastAsia="Times New Roman" w:hAnsi="Times New Roman" w:cs="Times New Roman"/>
          <w:sz w:val="24"/>
          <w:szCs w:val="24"/>
        </w:rPr>
        <w:t>.</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investigación ha documentado los efectos de la internalización del racismo y la marginación en diversas comunidades, incluyendo grupos cultural y lingüísticamente racializados </w:t>
      </w:r>
      <w:hyperlink r:id="rId28">
        <w:r>
          <w:rPr>
            <w:rFonts w:ascii="Times New Roman" w:eastAsia="Times New Roman" w:hAnsi="Times New Roman" w:cs="Times New Roman"/>
            <w:sz w:val="24"/>
            <w:szCs w:val="24"/>
          </w:rPr>
          <w:t>(Alim et al., 2</w:t>
        </w:r>
        <w:r>
          <w:rPr>
            <w:rFonts w:ascii="Times New Roman" w:eastAsia="Times New Roman" w:hAnsi="Times New Roman" w:cs="Times New Roman"/>
            <w:sz w:val="24"/>
            <w:szCs w:val="24"/>
          </w:rPr>
          <w:t>020)</w:t>
        </w:r>
      </w:hyperlink>
      <w:r>
        <w:rPr>
          <w:rFonts w:ascii="Times New Roman" w:eastAsia="Times New Roman" w:hAnsi="Times New Roman" w:cs="Times New Roman"/>
          <w:sz w:val="24"/>
          <w:szCs w:val="24"/>
        </w:rPr>
        <w:t xml:space="preserve">, personas LGBTQ+ y poblaciones dis-capacitadas </w:t>
      </w:r>
      <w:hyperlink r:id="rId29">
        <w:r>
          <w:rPr>
            <w:rFonts w:ascii="Times New Roman" w:eastAsia="Times New Roman" w:hAnsi="Times New Roman" w:cs="Times New Roman"/>
            <w:sz w:val="24"/>
            <w:szCs w:val="24"/>
          </w:rPr>
          <w:t>(Gill, 1997; Szymanski &amp; Gupta, 2009)</w:t>
        </w:r>
      </w:hyperlink>
      <w:r>
        <w:rPr>
          <w:rFonts w:ascii="Times New Roman" w:eastAsia="Times New Roman" w:hAnsi="Times New Roman" w:cs="Times New Roman"/>
          <w:sz w:val="24"/>
          <w:szCs w:val="24"/>
        </w:rPr>
        <w:t xml:space="preserve">. Entre las comunidades sordas, el audismo internalizado—y la imposición de la lengua escrita </w:t>
      </w:r>
      <w:hyperlink r:id="rId30">
        <w:r>
          <w:rPr>
            <w:rFonts w:ascii="Times New Roman" w:eastAsia="Times New Roman" w:hAnsi="Times New Roman" w:cs="Times New Roman"/>
            <w:sz w:val="24"/>
            <w:szCs w:val="24"/>
          </w:rPr>
          <w:t>(Flores, 2020)</w:t>
        </w:r>
      </w:hyperlink>
      <w:r>
        <w:rPr>
          <w:rFonts w:ascii="Times New Roman" w:eastAsia="Times New Roman" w:hAnsi="Times New Roman" w:cs="Times New Roman"/>
          <w:sz w:val="24"/>
          <w:szCs w:val="24"/>
        </w:rPr>
        <w:t>—representa una versión particularmente violenta. Las personas sordas son educadas en entornos formales para percibir su comunicación viso-gestual como inherentemente limitada, dis-minuida, e</w:t>
      </w:r>
      <w:r>
        <w:rPr>
          <w:rFonts w:ascii="Times New Roman" w:eastAsia="Times New Roman" w:hAnsi="Times New Roman" w:cs="Times New Roman"/>
          <w:sz w:val="24"/>
          <w:szCs w:val="24"/>
        </w:rPr>
        <w:t xml:space="preserve">n lugar de dignificarla como una identidad lingüística en equidad valorativa con la lengua oral circundante </w:t>
      </w:r>
      <w:hyperlink r:id="rId31">
        <w:r>
          <w:rPr>
            <w:rFonts w:ascii="Times New Roman" w:eastAsia="Times New Roman" w:hAnsi="Times New Roman" w:cs="Times New Roman"/>
            <w:sz w:val="24"/>
            <w:szCs w:val="24"/>
          </w:rPr>
          <w:t>(Bauman, 2004)</w:t>
        </w:r>
      </w:hyperlink>
      <w:r>
        <w:rPr>
          <w:rFonts w:ascii="Times New Roman" w:eastAsia="Times New Roman" w:hAnsi="Times New Roman" w:cs="Times New Roman"/>
          <w:sz w:val="24"/>
          <w:szCs w:val="24"/>
        </w:rPr>
        <w:t>.</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11" w:name="_gjej07oga9hm" w:colFirst="0" w:colLast="0"/>
      <w:bookmarkEnd w:id="11"/>
      <w:r>
        <w:rPr>
          <w:rFonts w:ascii="Times New Roman" w:eastAsia="Times New Roman" w:hAnsi="Times New Roman" w:cs="Times New Roman"/>
          <w:b/>
          <w:sz w:val="24"/>
          <w:szCs w:val="24"/>
        </w:rPr>
        <w:t>Evidencia Ilustrativa</w:t>
      </w:r>
    </w:p>
    <w:p w:rsidR="0039168B" w:rsidRDefault="0039168B">
      <w:pPr>
        <w:rPr>
          <w:rFonts w:ascii="Times New Roman" w:eastAsia="Times New Roman" w:hAnsi="Times New Roman" w:cs="Times New Roman"/>
        </w:rPr>
      </w:pPr>
    </w:p>
    <w:p w:rsidR="0039168B" w:rsidRDefault="002B631A">
      <w:pPr>
        <w:pStyle w:val="Ttulo3"/>
        <w:spacing w:before="0" w:after="0" w:line="360" w:lineRule="auto"/>
        <w:jc w:val="both"/>
        <w:rPr>
          <w:rFonts w:ascii="Times New Roman" w:eastAsia="Times New Roman" w:hAnsi="Times New Roman" w:cs="Times New Roman"/>
          <w:b/>
          <w:color w:val="000000"/>
          <w:sz w:val="24"/>
          <w:szCs w:val="24"/>
        </w:rPr>
      </w:pPr>
      <w:bookmarkStart w:id="12" w:name="_af2kikwstnfa" w:colFirst="0" w:colLast="0"/>
      <w:bookmarkEnd w:id="12"/>
      <w:r>
        <w:rPr>
          <w:rFonts w:ascii="Times New Roman" w:eastAsia="Times New Roman" w:hAnsi="Times New Roman" w:cs="Times New Roman"/>
          <w:b/>
          <w:color w:val="000000"/>
          <w:sz w:val="24"/>
          <w:szCs w:val="24"/>
        </w:rPr>
        <w:t>Diseño y Participantes</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sustentar la ela</w:t>
      </w:r>
      <w:r>
        <w:rPr>
          <w:rFonts w:ascii="Times New Roman" w:eastAsia="Times New Roman" w:hAnsi="Times New Roman" w:cs="Times New Roman"/>
          <w:sz w:val="24"/>
          <w:szCs w:val="24"/>
        </w:rPr>
        <w:t>boración teórica que ocupa el núcleo de este trabajo, empleamos una aproximación cualitativa mediante el análisis multimodal visto desde la Psicología Ecológica y la Epistemología Decolonial. El estudio incluyó entrevistas semi-estructuradas con 8 personas</w:t>
      </w:r>
      <w:r>
        <w:rPr>
          <w:rFonts w:ascii="Times New Roman" w:eastAsia="Times New Roman" w:hAnsi="Times New Roman" w:cs="Times New Roman"/>
          <w:sz w:val="24"/>
          <w:szCs w:val="24"/>
        </w:rPr>
        <w:t xml:space="preserve"> sordas hablantes de LSM+ (5 hombres y 3 mujeres) de Sinaloa, con edades entre los 23 y los 47 años, así como 4 personas oyentes (1 hombre y 3 mujeres) con extensa experiencia en la educación de personas Sordas en Culiacán. Adicionalmente, 54 personas comp</w:t>
      </w:r>
      <w:r>
        <w:rPr>
          <w:rFonts w:ascii="Times New Roman" w:eastAsia="Times New Roman" w:hAnsi="Times New Roman" w:cs="Times New Roman"/>
          <w:sz w:val="24"/>
          <w:szCs w:val="24"/>
        </w:rPr>
        <w:t xml:space="preserve">letaron la Escala de Actitudes hacia la Cultura Sorda (EACS), adaptada de la Escala de Mentalidad Colonial </w:t>
      </w:r>
      <w:hyperlink r:id="rId32">
        <w:r>
          <w:rPr>
            <w:rFonts w:ascii="Times New Roman" w:eastAsia="Times New Roman" w:hAnsi="Times New Roman" w:cs="Times New Roman"/>
            <w:sz w:val="24"/>
            <w:szCs w:val="24"/>
          </w:rPr>
          <w:t>(David &amp; Okazaki, 2006)</w:t>
        </w:r>
      </w:hyperlink>
      <w:r>
        <w:rPr>
          <w:rFonts w:ascii="Times New Roman" w:eastAsia="Times New Roman" w:hAnsi="Times New Roman" w:cs="Times New Roman"/>
          <w:sz w:val="24"/>
          <w:szCs w:val="24"/>
        </w:rPr>
        <w:t>, como herramienta heurística para identificar dis-affordances.</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análisis de la EACS, los participantes fueron clasificados según su nivel de familiaridad con la comunidad sorda (familiaridad alta/moderada: 40.7%; familiaridad baja/muy baja: 59.3%), conocimiento de lengua de señas (sin conocimiento: 20.4%; conoc</w:t>
      </w:r>
      <w:r>
        <w:rPr>
          <w:rFonts w:ascii="Times New Roman" w:eastAsia="Times New Roman" w:hAnsi="Times New Roman" w:cs="Times New Roman"/>
          <w:sz w:val="24"/>
          <w:szCs w:val="24"/>
        </w:rPr>
        <w:t>imiento básico: 66.7%; nivel conversacional: 12.9%), y tipo de relación con la comunidad sorda (familiar: 9.3%; amistosa: 7.4%; profesional: 11.1%; sin relación directa: 72.2%).</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3"/>
        <w:spacing w:before="0" w:after="0" w:line="360" w:lineRule="auto"/>
        <w:rPr>
          <w:rFonts w:ascii="Times New Roman" w:eastAsia="Times New Roman" w:hAnsi="Times New Roman" w:cs="Times New Roman"/>
          <w:b/>
          <w:color w:val="000000"/>
          <w:sz w:val="24"/>
          <w:szCs w:val="24"/>
        </w:rPr>
      </w:pPr>
      <w:bookmarkStart w:id="13" w:name="_oky0nat6z9zi" w:colFirst="0" w:colLast="0"/>
      <w:bookmarkEnd w:id="13"/>
      <w:r>
        <w:rPr>
          <w:rFonts w:ascii="Times New Roman" w:eastAsia="Times New Roman" w:hAnsi="Times New Roman" w:cs="Times New Roman"/>
          <w:b/>
          <w:color w:val="000000"/>
          <w:sz w:val="24"/>
          <w:szCs w:val="24"/>
        </w:rPr>
        <w:t>Instrumentos y Análisis</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entrevistas fueron realizadas en la lengua de preferencia del entrevistado y abordaron temas como ideologías lingüísticas, experiencias educativas, relaciones comunitarias y posibilidades de acción percibidas. La EACS consistió en 25 ítems distribuidos</w:t>
      </w:r>
      <w:r>
        <w:rPr>
          <w:rFonts w:ascii="Times New Roman" w:eastAsia="Times New Roman" w:hAnsi="Times New Roman" w:cs="Times New Roman"/>
          <w:sz w:val="24"/>
          <w:szCs w:val="24"/>
        </w:rPr>
        <w:t xml:space="preserve"> en cuatro dimensiones: Inferiorización de la Lengua y Cultura Sorda (α = .82), Normalización de Prácticas Exclusivas (α = .78), Asimilacionismo (α = .81), y Sesgo hacia Modelos Comunicativos Orales (α = .75).</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siguió un enfoque ecológico centra</w:t>
      </w:r>
      <w:r>
        <w:rPr>
          <w:rFonts w:ascii="Times New Roman" w:eastAsia="Times New Roman" w:hAnsi="Times New Roman" w:cs="Times New Roman"/>
          <w:sz w:val="24"/>
          <w:szCs w:val="24"/>
        </w:rPr>
        <w:t xml:space="preserve">do en identificar patrones de affordances y sus restricciones a través de diferentes posicionalidades, mediante análisis multimodal del discurso, identificación de patrones en las respuestas a la EACS, y mapeo de relaciones entre ambos conjuntos de datos. </w:t>
      </w:r>
      <w:r>
        <w:rPr>
          <w:rFonts w:ascii="Times New Roman" w:eastAsia="Times New Roman" w:hAnsi="Times New Roman" w:cs="Times New Roman"/>
          <w:sz w:val="24"/>
          <w:szCs w:val="24"/>
        </w:rPr>
        <w:t>Mantuvimos una orientación decolonial que privilegió las experiencias vividas de los participantes mientras examinábamos críticamente cómo los procesos coloniales de creación de significado moldeaban esas experiencias.</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Nota metodológica</w:t>
      </w:r>
    </w:p>
    <w:p w:rsidR="0039168B" w:rsidRDefault="0039168B">
      <w:pPr>
        <w:spacing w:line="360" w:lineRule="auto"/>
        <w:jc w:val="both"/>
        <w:rPr>
          <w:rFonts w:ascii="Times New Roman" w:eastAsia="Times New Roman" w:hAnsi="Times New Roman" w:cs="Times New Roman"/>
          <w:b/>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medidas descriptivas (promedios, DE, α, ρ) se reportan únicamente como mapas provisionales de la estructura empírica y como ilustración de sus posibles interpretaciones. Desde una perspectiva fenomenológico-enactiva, las “muestras” son organismos signi</w:t>
      </w:r>
      <w:r>
        <w:rPr>
          <w:rFonts w:ascii="Times New Roman" w:eastAsia="Times New Roman" w:hAnsi="Times New Roman" w:cs="Times New Roman"/>
          <w:sz w:val="24"/>
          <w:szCs w:val="24"/>
        </w:rPr>
        <w:t>ficantes situados; por tanto, las propiedades derivadas de la EASC no se asumen cuantificables ni generalizables más allá de este contexto. Las cifras sirven, pues, como apoyo heurístico que se triangula con el análisis cualitativo, sin pretensión estocást</w:t>
      </w:r>
      <w:r>
        <w:rPr>
          <w:rFonts w:ascii="Times New Roman" w:eastAsia="Times New Roman" w:hAnsi="Times New Roman" w:cs="Times New Roman"/>
          <w:sz w:val="24"/>
          <w:szCs w:val="24"/>
        </w:rPr>
        <w:t>ica alguna.</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14" w:name="_epsvyx5o4d3l" w:colFirst="0" w:colLast="0"/>
      <w:bookmarkEnd w:id="14"/>
      <w:r>
        <w:rPr>
          <w:rFonts w:ascii="Times New Roman" w:eastAsia="Times New Roman" w:hAnsi="Times New Roman" w:cs="Times New Roman"/>
          <w:b/>
          <w:sz w:val="24"/>
          <w:szCs w:val="24"/>
        </w:rPr>
        <w:t>Resultados</w:t>
      </w:r>
    </w:p>
    <w:p w:rsidR="0039168B" w:rsidRDefault="0039168B">
      <w:pPr>
        <w:rPr>
          <w:rFonts w:ascii="Times New Roman" w:eastAsia="Times New Roman" w:hAnsi="Times New Roman" w:cs="Times New Roman"/>
          <w:b/>
        </w:rPr>
      </w:pPr>
    </w:p>
    <w:p w:rsidR="0039168B" w:rsidRDefault="002B631A">
      <w:pPr>
        <w:pStyle w:val="Ttulo3"/>
        <w:spacing w:before="0" w:after="0" w:line="360" w:lineRule="auto"/>
        <w:jc w:val="both"/>
        <w:rPr>
          <w:rFonts w:ascii="Times New Roman" w:eastAsia="Times New Roman" w:hAnsi="Times New Roman" w:cs="Times New Roman"/>
          <w:b/>
          <w:color w:val="000000"/>
          <w:sz w:val="24"/>
          <w:szCs w:val="24"/>
        </w:rPr>
      </w:pPr>
      <w:bookmarkStart w:id="15" w:name="_bup0avwp34uv" w:colFirst="0" w:colLast="0"/>
      <w:bookmarkEnd w:id="15"/>
      <w:r>
        <w:rPr>
          <w:rFonts w:ascii="Times New Roman" w:eastAsia="Times New Roman" w:hAnsi="Times New Roman" w:cs="Times New Roman"/>
          <w:b/>
          <w:color w:val="000000"/>
          <w:sz w:val="24"/>
          <w:szCs w:val="24"/>
        </w:rPr>
        <w:t>Mapeo de las dis-affordances en las Narrativas sobre la Identidad</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análisis revela cómo las imposiciones coloniales sobre el proceso </w:t>
      </w:r>
      <w:r>
        <w:rPr>
          <w:rFonts w:ascii="Times New Roman" w:eastAsia="Times New Roman" w:hAnsi="Times New Roman" w:cs="Times New Roman"/>
          <w:i/>
          <w:sz w:val="24"/>
          <w:szCs w:val="24"/>
        </w:rPr>
        <w:t>enactivo</w:t>
      </w:r>
      <w:r>
        <w:rPr>
          <w:rFonts w:ascii="Times New Roman" w:eastAsia="Times New Roman" w:hAnsi="Times New Roman" w:cs="Times New Roman"/>
          <w:sz w:val="24"/>
          <w:szCs w:val="24"/>
        </w:rPr>
        <w:t xml:space="preserve"> de creación de significado se internalizan y se reproducen en el discurso. Examinamos </w:t>
      </w:r>
      <w:r>
        <w:rPr>
          <w:rFonts w:ascii="Times New Roman" w:eastAsia="Times New Roman" w:hAnsi="Times New Roman" w:cs="Times New Roman"/>
          <w:sz w:val="24"/>
          <w:szCs w:val="24"/>
        </w:rPr>
        <w:t>dos casos ilustrativos que muestran las restricciones sistemáticas sobre las posibilidades percibidas y la pertinencia de la noción de trabajo propuesta.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convención lingüística </w:t>
      </w:r>
      <w:hyperlink r:id="rId33">
        <w:r>
          <w:rPr>
            <w:rFonts w:ascii="Times New Roman" w:eastAsia="Times New Roman" w:hAnsi="Times New Roman" w:cs="Times New Roman"/>
            <w:sz w:val="24"/>
            <w:szCs w:val="24"/>
          </w:rPr>
          <w:t>(Pfau et al.,</w:t>
        </w:r>
        <w:r>
          <w:rPr>
            <w:rFonts w:ascii="Times New Roman" w:eastAsia="Times New Roman" w:hAnsi="Times New Roman" w:cs="Times New Roman"/>
            <w:sz w:val="24"/>
            <w:szCs w:val="24"/>
          </w:rPr>
          <w:t xml:space="preserve"> 2012)</w:t>
        </w:r>
      </w:hyperlink>
      <w:r>
        <w:rPr>
          <w:rFonts w:ascii="Times New Roman" w:eastAsia="Times New Roman" w:hAnsi="Times New Roman" w:cs="Times New Roman"/>
          <w:sz w:val="24"/>
          <w:szCs w:val="24"/>
        </w:rPr>
        <w:t>, transcribo las expresiones de la lengua de señas en GLOSAS en mayúscula. En estos ejemplos, presento una versión simplificada de la transcripción dado que el objetivo no es un análisis estructural. En adelante, los corchetes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indican las parte</w:t>
      </w:r>
      <w:r>
        <w:rPr>
          <w:rFonts w:ascii="Times New Roman" w:eastAsia="Times New Roman" w:hAnsi="Times New Roman" w:cs="Times New Roman"/>
          <w:sz w:val="24"/>
          <w:szCs w:val="24"/>
        </w:rPr>
        <w:t xml:space="preserve">s del discurso que son inferidas, y corroboradas con el participante, pero no </w:t>
      </w:r>
      <w:r>
        <w:rPr>
          <w:rFonts w:ascii="Times New Roman" w:eastAsia="Times New Roman" w:hAnsi="Times New Roman" w:cs="Times New Roman"/>
          <w:sz w:val="24"/>
          <w:szCs w:val="24"/>
        </w:rPr>
        <w:lastRenderedPageBreak/>
        <w:t>son explícitas mediante las expresiones de la lengua. Adicionalmente, sigo la convención de nombrar a la práctica lingüística en plural inclusivo, Lenguas de Señas Mexicanas (LSM</w:t>
      </w:r>
      <w:r>
        <w:rPr>
          <w:rFonts w:ascii="Times New Roman" w:eastAsia="Times New Roman" w:hAnsi="Times New Roman" w:cs="Times New Roman"/>
          <w:sz w:val="24"/>
          <w:szCs w:val="24"/>
        </w:rPr>
        <w:t xml:space="preserve">+), siguiendo a Escobar L.-Dellamary y Barajas </w:t>
      </w:r>
      <w:hyperlink r:id="rId34">
        <w:r>
          <w:rPr>
            <w:rFonts w:ascii="Times New Roman" w:eastAsia="Times New Roman" w:hAnsi="Times New Roman" w:cs="Times New Roman"/>
            <w:sz w:val="24"/>
            <w:szCs w:val="24"/>
          </w:rPr>
          <w:t>(2024)</w:t>
        </w:r>
      </w:hyperlink>
      <w:r>
        <w:rPr>
          <w:rFonts w:ascii="Times New Roman" w:eastAsia="Times New Roman" w:hAnsi="Times New Roman" w:cs="Times New Roman"/>
          <w:sz w:val="24"/>
          <w:szCs w:val="24"/>
        </w:rPr>
        <w:t>. No obstante, en la transcripción, se respeta la denominación de autodeterminación identitaria en singular, como corresponde al nombre oficial de la lengua “LSM”.</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Miguel, un sordo hablante de LSM+ en Culiacán, expresa indignación sobre formas "incorrecta</w:t>
      </w:r>
      <w:r>
        <w:rPr>
          <w:rFonts w:ascii="Times New Roman" w:eastAsia="Times New Roman" w:hAnsi="Times New Roman" w:cs="Times New Roman"/>
          <w:sz w:val="24"/>
          <w:szCs w:val="24"/>
        </w:rPr>
        <w:t>s" de señar los meses del año:</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 NORMAL LSM CHECHO NORMAL "Yo estaba, como acostumbro, [viendo videos sobre] LSM…”</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LEY LSM MISMA SEÑA “[Debemos obedecer] la ley de la LSM [que dice que debemos utilizar] las mismas señas."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Miguel invoca la "Ley de la LSM</w:t>
      </w:r>
      <w:r>
        <w:rPr>
          <w:rFonts w:ascii="Times New Roman" w:eastAsia="Times New Roman" w:hAnsi="Times New Roman" w:cs="Times New Roman"/>
          <w:sz w:val="24"/>
          <w:szCs w:val="24"/>
        </w:rPr>
        <w:t>" como un constructo regulatorio abstracto, ejemplificando una dis-affordance central en la identidad lingüística que se enmarca como una transgresión al estándar. Este estándar se refuerza al asociarse con la identidad nacionalista:</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JURAMENTO BANDERA LSM</w:t>
      </w:r>
      <w:r>
        <w:rPr>
          <w:rFonts w:ascii="Times New Roman" w:eastAsia="Times New Roman" w:hAnsi="Times New Roman" w:cs="Times New Roman"/>
          <w:sz w:val="24"/>
          <w:szCs w:val="24"/>
        </w:rPr>
        <w:t xml:space="preserve"> MEXICO VINCULA BANDERA CORAZON "Es bajo el juramento a la bandera [que existe una identidad nacional mexicana] vinculada a la identidad de la LSM... [un] vínculo con la bandera [y el] corazón."</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invocar este nacionalismo, Miguel inadvertidamente reproduce la lógica unificacionista que ha históricamente marginado a las lenguas de señas. Esta manera de representar la variación lingüística como una "discriminación contra las personas sordas" es ot</w:t>
      </w:r>
      <w:r>
        <w:rPr>
          <w:rFonts w:ascii="Times New Roman" w:eastAsia="Times New Roman" w:hAnsi="Times New Roman" w:cs="Times New Roman"/>
          <w:sz w:val="24"/>
          <w:szCs w:val="24"/>
        </w:rPr>
        <w:t>ra capa de dis-affordance que constriñe las posibilidades percibidas de lidiar con la diferencia lingüística.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Isabel, una persona oyente involucrada con la educación de personas sordas y hablante bilingüe de LSM+, presenta distintas manifesta</w:t>
      </w:r>
      <w:r>
        <w:rPr>
          <w:rFonts w:ascii="Times New Roman" w:eastAsia="Times New Roman" w:hAnsi="Times New Roman" w:cs="Times New Roman"/>
          <w:sz w:val="24"/>
          <w:szCs w:val="24"/>
        </w:rPr>
        <w:t>ciones de estas dis-affordances: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debería haber ninguna diferencia [comenta en su entrevista], sin embargo la hay porque el proceso de comunicación se trunca al momento de si uno no conoce la LSM."</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formulación presenta la barrera comunicativa com</w:t>
      </w:r>
      <w:r>
        <w:rPr>
          <w:rFonts w:ascii="Times New Roman" w:eastAsia="Times New Roman" w:hAnsi="Times New Roman" w:cs="Times New Roman"/>
          <w:sz w:val="24"/>
          <w:szCs w:val="24"/>
        </w:rPr>
        <w:t>o residiendo en "el desconocimiento de la LSM" y no en la negativa de la perspectiva audista de reconocer la exclusión de sus espacios. Sus afirmaciones sobre las capacidades de las personas sordas revelan condiciones adicionales de integración de dis-affo</w:t>
      </w:r>
      <w:r>
        <w:rPr>
          <w:rFonts w:ascii="Times New Roman" w:eastAsia="Times New Roman" w:hAnsi="Times New Roman" w:cs="Times New Roman"/>
          <w:sz w:val="24"/>
          <w:szCs w:val="24"/>
        </w:rPr>
        <w:t>rdances: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son gentes muy capaces, tan capaces como un oyente que tiene su lengua aunque no sea oral pero ellos tienen su propia manera de comunicarse."</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afirmación reproduce el marco comparativo que "mide" las capacidades de las personas sordas con</w:t>
      </w:r>
      <w:r>
        <w:rPr>
          <w:rFonts w:ascii="Times New Roman" w:eastAsia="Times New Roman" w:hAnsi="Times New Roman" w:cs="Times New Roman"/>
          <w:sz w:val="24"/>
          <w:szCs w:val="24"/>
        </w:rPr>
        <w:t xml:space="preserve"> referencia a las normas audistas. La frase "aunque no sea oral" revela una ideología supremacista persistente que limita la posibilidad de valorar a la lengua de señas en sus propios términos.</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3"/>
        <w:spacing w:before="0" w:after="0" w:line="360" w:lineRule="auto"/>
        <w:rPr>
          <w:rFonts w:ascii="Times New Roman" w:eastAsia="Times New Roman" w:hAnsi="Times New Roman" w:cs="Times New Roman"/>
          <w:b/>
          <w:color w:val="000000"/>
          <w:sz w:val="24"/>
          <w:szCs w:val="24"/>
        </w:rPr>
      </w:pPr>
      <w:bookmarkStart w:id="16" w:name="_eh4ruul2obf9" w:colFirst="0" w:colLast="0"/>
      <w:bookmarkEnd w:id="16"/>
      <w:r>
        <w:rPr>
          <w:rFonts w:ascii="Times New Roman" w:eastAsia="Times New Roman" w:hAnsi="Times New Roman" w:cs="Times New Roman"/>
          <w:b/>
          <w:color w:val="000000"/>
          <w:sz w:val="24"/>
          <w:szCs w:val="24"/>
        </w:rPr>
        <w:t>Patrones en las respuestas a la EACS</w:t>
      </w: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descriptivo</w:t>
      </w:r>
      <w:r>
        <w:rPr>
          <w:rFonts w:ascii="Times New Roman" w:eastAsia="Times New Roman" w:hAnsi="Times New Roman" w:cs="Times New Roman"/>
          <w:sz w:val="24"/>
          <w:szCs w:val="24"/>
        </w:rPr>
        <w:t xml:space="preserve"> e interpretativo de la escala revela una </w:t>
      </w:r>
      <w:r>
        <w:rPr>
          <w:rFonts w:ascii="Times New Roman" w:eastAsia="Times New Roman" w:hAnsi="Times New Roman" w:cs="Times New Roman"/>
          <w:i/>
          <w:sz w:val="24"/>
          <w:szCs w:val="24"/>
        </w:rPr>
        <w:t>correlación inversa</w:t>
      </w:r>
      <w:r>
        <w:rPr>
          <w:rFonts w:ascii="Times New Roman" w:eastAsia="Times New Roman" w:hAnsi="Times New Roman" w:cs="Times New Roman"/>
          <w:sz w:val="24"/>
          <w:szCs w:val="24"/>
        </w:rPr>
        <w:t xml:space="preserve"> (estadísticamente moderada ρ(</w:t>
      </w:r>
      <w:r>
        <w:rPr>
          <w:rFonts w:ascii="Times New Roman" w:eastAsia="Times New Roman" w:hAnsi="Times New Roman" w:cs="Times New Roman"/>
          <w:i/>
          <w:sz w:val="24"/>
          <w:szCs w:val="24"/>
        </w:rPr>
        <w:t>Spearman</w:t>
      </w:r>
      <w:r>
        <w:rPr>
          <w:rFonts w:ascii="Times New Roman" w:eastAsia="Times New Roman" w:hAnsi="Times New Roman" w:cs="Times New Roman"/>
          <w:sz w:val="24"/>
          <w:szCs w:val="24"/>
        </w:rPr>
        <w:t>)</w:t>
      </w:r>
      <w:r>
        <w:rPr>
          <w:rFonts w:ascii="Gungsuh" w:eastAsia="Gungsuh" w:hAnsi="Gungsuh" w:cs="Gungsuh"/>
          <w:sz w:val="24"/>
          <w:szCs w:val="24"/>
        </w:rPr>
        <w:t xml:space="preserve"> = −.48, p &lt; .001) entre la familiaridad con la comunidad sorda y la manifestación de disminuciones o constreñimientos de su identidad y sus posibilidades d</w:t>
      </w:r>
      <w:r>
        <w:rPr>
          <w:rFonts w:ascii="Gungsuh" w:eastAsia="Gungsuh" w:hAnsi="Gungsuh" w:cs="Gungsuh"/>
          <w:sz w:val="24"/>
          <w:szCs w:val="24"/>
        </w:rPr>
        <w:t>e acción. Los participantes con familiaridad baja (59.3%) mostraron una tendencia mayor a valorar la asimilación (promedio 4.2), mayor coincidencia con afirmaciones de inferiorización de la cultura sorda (promedio 3.8) y mayor normalización de barreras ins</w:t>
      </w:r>
      <w:r>
        <w:rPr>
          <w:rFonts w:ascii="Gungsuh" w:eastAsia="Gungsuh" w:hAnsi="Gungsuh" w:cs="Gungsuh"/>
          <w:sz w:val="24"/>
          <w:szCs w:val="24"/>
        </w:rPr>
        <w:t>titucionales (promedio 3.4). Por el contrario, los participantes con familiaridad moderada a alta (40.7%) mostraron una resistencia significativamente mayor a la minorización (promedio 2.6), menos tendencias asimilacionistas (promedio 2.8) y cuestionaron c</w:t>
      </w:r>
      <w:r>
        <w:rPr>
          <w:rFonts w:ascii="Gungsuh" w:eastAsia="Gungsuh" w:hAnsi="Gungsuh" w:cs="Gungsuh"/>
          <w:sz w:val="24"/>
          <w:szCs w:val="24"/>
        </w:rPr>
        <w:t>on mayor frecuencia las barreras institucionales (promedio 2.3).</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posición en la jerarquía social, determinada por factores como el conocimiento de la lengua de señas, el rol profesional, y el tipo de relaciones con las personas sordas, correlaciona sign</w:t>
      </w:r>
      <w:r>
        <w:rPr>
          <w:rFonts w:ascii="Times New Roman" w:eastAsia="Times New Roman" w:hAnsi="Times New Roman" w:cs="Times New Roman"/>
          <w:sz w:val="24"/>
          <w:szCs w:val="24"/>
        </w:rPr>
        <w:t>ificativamente con patrones de dis-affordance específicos: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numPr>
          <w:ilvl w:val="0"/>
          <w:numId w:val="1"/>
        </w:numPr>
        <w:spacing w:line="360" w:lineRule="auto"/>
        <w:ind w:left="0" w:firstLine="720"/>
        <w:jc w:val="both"/>
        <w:rPr>
          <w:color w:val="000000"/>
          <w:sz w:val="24"/>
          <w:szCs w:val="24"/>
        </w:rPr>
      </w:pPr>
      <w:r>
        <w:rPr>
          <w:rFonts w:ascii="Times New Roman" w:eastAsia="Times New Roman" w:hAnsi="Times New Roman" w:cs="Times New Roman"/>
          <w:b/>
          <w:sz w:val="24"/>
          <w:szCs w:val="24"/>
        </w:rPr>
        <w:t>Conocimiento de la lengua de señas</w:t>
      </w:r>
      <w:r>
        <w:rPr>
          <w:rFonts w:ascii="Times New Roman" w:eastAsia="Times New Roman" w:hAnsi="Times New Roman" w:cs="Times New Roman"/>
          <w:sz w:val="24"/>
          <w:szCs w:val="24"/>
        </w:rPr>
        <w:t>: Personas sin conocimiento mostraron mayor tendencia a la minorización (promedio 4.1); personas con conocimiento básico mostraron tendencia moderada (promedio 3.3); mientras que personas con uso conversacional mostraron la tendencia más baja (promedio 2.1</w:t>
      </w:r>
      <w:r>
        <w:rPr>
          <w:rFonts w:ascii="Times New Roman" w:eastAsia="Times New Roman" w:hAnsi="Times New Roman" w:cs="Times New Roman"/>
          <w:sz w:val="24"/>
          <w:szCs w:val="24"/>
        </w:rPr>
        <w:t>).</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numPr>
          <w:ilvl w:val="0"/>
          <w:numId w:val="1"/>
        </w:numPr>
        <w:spacing w:line="360" w:lineRule="auto"/>
        <w:ind w:left="0" w:firstLine="720"/>
        <w:jc w:val="both"/>
        <w:rPr>
          <w:color w:val="000000"/>
          <w:sz w:val="24"/>
          <w:szCs w:val="24"/>
        </w:rPr>
      </w:pPr>
      <w:r>
        <w:rPr>
          <w:rFonts w:ascii="Times New Roman" w:eastAsia="Times New Roman" w:hAnsi="Times New Roman" w:cs="Times New Roman"/>
          <w:b/>
          <w:sz w:val="24"/>
          <w:szCs w:val="24"/>
        </w:rPr>
        <w:lastRenderedPageBreak/>
        <w:t>Posición institucional</w:t>
      </w:r>
      <w:r>
        <w:rPr>
          <w:rFonts w:ascii="Times New Roman" w:eastAsia="Times New Roman" w:hAnsi="Times New Roman" w:cs="Times New Roman"/>
          <w:sz w:val="24"/>
          <w:szCs w:val="24"/>
        </w:rPr>
        <w:t>: En contextos educativos, los participantes mostraron mayor tendencia a normalizar limitaciones impuestas (promedio 3.8); en contextos familiares, mostraron tendencias menores (promedio 2.5).</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numPr>
          <w:ilvl w:val="0"/>
          <w:numId w:val="1"/>
        </w:numPr>
        <w:spacing w:line="360" w:lineRule="auto"/>
        <w:ind w:left="0" w:firstLine="720"/>
        <w:jc w:val="both"/>
        <w:rPr>
          <w:color w:val="000000"/>
          <w:sz w:val="24"/>
          <w:szCs w:val="24"/>
        </w:rPr>
      </w:pPr>
      <w:r>
        <w:rPr>
          <w:rFonts w:ascii="Times New Roman" w:eastAsia="Times New Roman" w:hAnsi="Times New Roman" w:cs="Times New Roman"/>
          <w:b/>
          <w:sz w:val="24"/>
          <w:szCs w:val="24"/>
        </w:rPr>
        <w:t>Relaciones intra-grupales</w:t>
      </w:r>
      <w:r>
        <w:rPr>
          <w:rFonts w:ascii="Times New Roman" w:eastAsia="Times New Roman" w:hAnsi="Times New Roman" w:cs="Times New Roman"/>
          <w:sz w:val="24"/>
          <w:szCs w:val="24"/>
        </w:rPr>
        <w:t>: Participantes sin relación directa mostraron mayores niveles de asimilación (promedio 3.9); participantes con relaciones de familiaridad/amistad mostraron tendencias significativamente más bajas (promedio 2.7).</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i/>
          <w:sz w:val="24"/>
          <w:szCs w:val="24"/>
        </w:rPr>
        <w:t>análisis factorial</w:t>
      </w:r>
      <w:r>
        <w:rPr>
          <w:rFonts w:ascii="Times New Roman" w:eastAsia="Times New Roman" w:hAnsi="Times New Roman" w:cs="Times New Roman"/>
          <w:sz w:val="24"/>
          <w:szCs w:val="24"/>
        </w:rPr>
        <w:t xml:space="preserve"> reveló cuatro dimens</w:t>
      </w:r>
      <w:r>
        <w:rPr>
          <w:rFonts w:ascii="Times New Roman" w:eastAsia="Times New Roman" w:hAnsi="Times New Roman" w:cs="Times New Roman"/>
          <w:sz w:val="24"/>
          <w:szCs w:val="24"/>
        </w:rPr>
        <w:t>iones que capturan distintos tipos de dis-affordances: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rPr>
        <w:t>Minorización de la lengua de señas y la cultura sorda</w:t>
      </w:r>
      <w:r>
        <w:rPr>
          <w:rFonts w:ascii="Times New Roman" w:eastAsia="Times New Roman" w:hAnsi="Times New Roman" w:cs="Times New Roman"/>
          <w:sz w:val="24"/>
          <w:szCs w:val="24"/>
        </w:rPr>
        <w:t xml:space="preserve"> (α = .82): El reconocimiento de la jerarquía lingüística es amplio, mientras que las percepciones de riqueza cultural mostraron polarización se</w:t>
      </w:r>
      <w:r>
        <w:rPr>
          <w:rFonts w:ascii="Times New Roman" w:eastAsia="Times New Roman" w:hAnsi="Times New Roman" w:cs="Times New Roman"/>
          <w:sz w:val="24"/>
          <w:szCs w:val="24"/>
        </w:rPr>
        <w:t>gún nivel de familiaridad.</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b/>
          <w:sz w:val="24"/>
          <w:szCs w:val="24"/>
        </w:rPr>
        <w:t>Normalización de prácticas excluyentes</w:t>
      </w:r>
      <w:r>
        <w:rPr>
          <w:rFonts w:ascii="Times New Roman" w:eastAsia="Times New Roman" w:hAnsi="Times New Roman" w:cs="Times New Roman"/>
          <w:sz w:val="24"/>
          <w:szCs w:val="24"/>
        </w:rPr>
        <w:t xml:space="preserve"> (α = .78): La correlación entre percepción de adaptaciones como "carga" y creencia en adecuación de sistemas actuales (r=.64, p&lt;.01) ilustra cómo las barreras institucionales se refuerz</w:t>
      </w:r>
      <w:r>
        <w:rPr>
          <w:rFonts w:ascii="Times New Roman" w:eastAsia="Times New Roman" w:hAnsi="Times New Roman" w:cs="Times New Roman"/>
          <w:sz w:val="24"/>
          <w:szCs w:val="24"/>
        </w:rPr>
        <w:t>an como dis-affordances.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b/>
          <w:sz w:val="24"/>
          <w:szCs w:val="24"/>
        </w:rPr>
        <w:t>Asimilacionismo</w:t>
      </w:r>
      <w:r>
        <w:rPr>
          <w:rFonts w:ascii="Times New Roman" w:eastAsia="Times New Roman" w:hAnsi="Times New Roman" w:cs="Times New Roman"/>
          <w:sz w:val="24"/>
          <w:szCs w:val="24"/>
        </w:rPr>
        <w:t xml:space="preserve"> (α = .81): Las expectativas asimilacionistas mostraron la diferencia más pronunciada según cercanía con la cultura sorda, aunque incluso participantes familiarizados mostraron tendencias asimilacionistas.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Sesgos hacia modelos de comunicación oral</w:t>
      </w:r>
      <w:r>
        <w:rPr>
          <w:rFonts w:ascii="Times New Roman" w:eastAsia="Times New Roman" w:hAnsi="Times New Roman" w:cs="Times New Roman"/>
          <w:sz w:val="24"/>
          <w:szCs w:val="24"/>
        </w:rPr>
        <w:t xml:space="preserve"> (α = .75): Los ítems que favorecen la lectura labial y la oralización correlacionaron significativamente con nivel educativo y contexto profesional.</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1</w:t>
      </w:r>
    </w:p>
    <w:p w:rsidR="0039168B" w:rsidRDefault="002B631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Estadísticos descriptivos y fiabilidad de las dimension</w:t>
      </w:r>
      <w:r>
        <w:rPr>
          <w:rFonts w:ascii="Times New Roman" w:eastAsia="Times New Roman" w:hAnsi="Times New Roman" w:cs="Times New Roman"/>
          <w:i/>
          <w:sz w:val="24"/>
          <w:szCs w:val="24"/>
        </w:rPr>
        <w:t>es de dis-affordances según el nivel de familiaridad</w:t>
      </w:r>
    </w:p>
    <w:p w:rsidR="0039168B" w:rsidRDefault="0039168B">
      <w:pPr>
        <w:spacing w:line="360" w:lineRule="auto"/>
        <w:jc w:val="center"/>
        <w:rPr>
          <w:rFonts w:ascii="Times New Roman" w:eastAsia="Times New Roman" w:hAnsi="Times New Roman" w:cs="Times New Roman"/>
          <w:i/>
          <w:sz w:val="24"/>
          <w:szCs w:val="24"/>
        </w:rPr>
      </w:pPr>
    </w:p>
    <w:tbl>
      <w:tblPr>
        <w:tblStyle w:val="a"/>
        <w:tblpPr w:leftFromText="180" w:rightFromText="180" w:topFromText="180" w:bottomFromText="180" w:vertAnchor="text"/>
        <w:tblW w:w="8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71"/>
        <w:gridCol w:w="1324"/>
        <w:gridCol w:w="2100"/>
        <w:gridCol w:w="2430"/>
      </w:tblGrid>
      <w:tr w:rsidR="0039168B">
        <w:trPr>
          <w:trHeight w:val="94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Dimensión</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α de Cronbach</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Familiaridad baja/muy baja</w:t>
            </w:r>
          </w:p>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(n = 32; media ± DE)</w:t>
            </w:r>
          </w:p>
        </w:tc>
        <w:tc>
          <w:tcPr>
            <w:tcW w:w="243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center"/>
          </w:tcPr>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Familiaridad moderada/alta</w:t>
            </w:r>
          </w:p>
          <w:p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(n = 22; media ± DE)</w:t>
            </w:r>
          </w:p>
        </w:tc>
      </w:tr>
      <w:tr w:rsidR="0039168B">
        <w:trPr>
          <w:trHeight w:val="73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39168B" w:rsidRDefault="002B631A">
            <w:pPr>
              <w:spacing w:line="240" w:lineRule="auto"/>
              <w:rPr>
                <w:rFonts w:ascii="Times New Roman" w:eastAsia="Times New Roman" w:hAnsi="Times New Roman" w:cs="Times New Roman"/>
              </w:rPr>
            </w:pPr>
            <w:r>
              <w:rPr>
                <w:rFonts w:ascii="Times New Roman" w:eastAsia="Times New Roman" w:hAnsi="Times New Roman" w:cs="Times New Roman"/>
              </w:rPr>
              <w:t>Inferiorización de la lengua y cultura sorda</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0.82</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3.8 ± 0.70</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2.6 ± 0.60</w:t>
            </w:r>
          </w:p>
        </w:tc>
      </w:tr>
      <w:tr w:rsidR="0039168B">
        <w:trPr>
          <w:trHeight w:val="503"/>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39168B" w:rsidRDefault="002B631A">
            <w:pPr>
              <w:spacing w:line="240" w:lineRule="auto"/>
              <w:rPr>
                <w:rFonts w:ascii="Times New Roman" w:eastAsia="Times New Roman" w:hAnsi="Times New Roman" w:cs="Times New Roman"/>
              </w:rPr>
            </w:pPr>
            <w:r>
              <w:rPr>
                <w:rFonts w:ascii="Times New Roman" w:eastAsia="Times New Roman" w:hAnsi="Times New Roman" w:cs="Times New Roman"/>
              </w:rPr>
              <w:t>Normalización de prácticas excluyentes</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0.78</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3.4 ± 0.65</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2.3 ± 0.55</w:t>
            </w:r>
          </w:p>
        </w:tc>
      </w:tr>
      <w:tr w:rsidR="0039168B">
        <w:trPr>
          <w:trHeight w:val="31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39168B" w:rsidRDefault="002B631A">
            <w:pPr>
              <w:spacing w:line="240" w:lineRule="auto"/>
              <w:rPr>
                <w:rFonts w:ascii="Times New Roman" w:eastAsia="Times New Roman" w:hAnsi="Times New Roman" w:cs="Times New Roman"/>
              </w:rPr>
            </w:pPr>
            <w:r>
              <w:rPr>
                <w:rFonts w:ascii="Times New Roman" w:eastAsia="Times New Roman" w:hAnsi="Times New Roman" w:cs="Times New Roman"/>
              </w:rPr>
              <w:t>Asimilacionismo</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0.81</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4.2 ± 0.80</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2.8 ± 0.62</w:t>
            </w:r>
          </w:p>
        </w:tc>
      </w:tr>
      <w:tr w:rsidR="0039168B">
        <w:trPr>
          <w:trHeight w:val="617"/>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39168B" w:rsidRDefault="002B631A">
            <w:pPr>
              <w:spacing w:line="240" w:lineRule="auto"/>
              <w:rPr>
                <w:rFonts w:ascii="Times New Roman" w:eastAsia="Times New Roman" w:hAnsi="Times New Roman" w:cs="Times New Roman"/>
              </w:rPr>
            </w:pPr>
            <w:r>
              <w:rPr>
                <w:rFonts w:ascii="Times New Roman" w:eastAsia="Times New Roman" w:hAnsi="Times New Roman" w:cs="Times New Roman"/>
              </w:rPr>
              <w:t>Sesgo hacia modelos comunicativos orales</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0.75</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3.8 ± 0.72</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2.3 ± 0.58</w:t>
            </w:r>
          </w:p>
        </w:tc>
      </w:tr>
    </w:tbl>
    <w:p w:rsidR="0039168B" w:rsidRDefault="0039168B">
      <w:pPr>
        <w:spacing w:line="360" w:lineRule="auto"/>
        <w:jc w:val="center"/>
        <w:rPr>
          <w:rFonts w:ascii="Times New Roman" w:eastAsia="Times New Roman" w:hAnsi="Times New Roman" w:cs="Times New Roman"/>
          <w:sz w:val="24"/>
          <w:szCs w:val="24"/>
        </w:rPr>
      </w:pP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pPr>
        <w:pStyle w:val="Ttulo3"/>
        <w:spacing w:before="0" w:after="0" w:line="360" w:lineRule="auto"/>
        <w:jc w:val="both"/>
        <w:rPr>
          <w:rFonts w:ascii="Times New Roman" w:eastAsia="Times New Roman" w:hAnsi="Times New Roman" w:cs="Times New Roman"/>
          <w:b/>
          <w:color w:val="000000"/>
          <w:sz w:val="24"/>
          <w:szCs w:val="24"/>
        </w:rPr>
      </w:pPr>
      <w:bookmarkStart w:id="17" w:name="_nmsavxkfns4w" w:colFirst="0" w:colLast="0"/>
      <w:bookmarkEnd w:id="17"/>
    </w:p>
    <w:p w:rsidR="0039168B" w:rsidRDefault="002B631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MX"/>
        </w:rPr>
        <w:drawing>
          <wp:inline distT="114300" distB="114300" distL="114300" distR="114300">
            <wp:extent cx="4810125" cy="29593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4810125" cy="2959309"/>
                    </a:xfrm>
                    <a:prstGeom prst="rect">
                      <a:avLst/>
                    </a:prstGeom>
                    <a:ln/>
                  </pic:spPr>
                </pic:pic>
              </a:graphicData>
            </a:graphic>
          </wp:inline>
        </w:drawing>
      </w:r>
    </w:p>
    <w:p w:rsidR="0039168B" w:rsidRDefault="002B631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Promedios de dis-affordances en las cuatro dimensiones en función del nivel de familiaridad con la comunidad sorda</w:t>
      </w:r>
    </w:p>
    <w:p w:rsidR="0039168B" w:rsidRDefault="0039168B">
      <w:pPr>
        <w:spacing w:line="240" w:lineRule="auto"/>
        <w:rPr>
          <w:rFonts w:ascii="Times New Roman" w:eastAsia="Times New Roman" w:hAnsi="Times New Roman" w:cs="Times New Roman"/>
          <w:sz w:val="24"/>
          <w:szCs w:val="24"/>
        </w:rPr>
      </w:pPr>
    </w:p>
    <w:p w:rsidR="0039168B" w:rsidRDefault="0039168B">
      <w:pPr>
        <w:spacing w:line="240" w:lineRule="auto"/>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suma, los resultados confirman descriptivamente la correlación mencionada anteriormente: en las cuatro dimensiones las personas con </w:t>
      </w:r>
      <w:r>
        <w:rPr>
          <w:rFonts w:ascii="Times New Roman" w:eastAsia="Times New Roman" w:hAnsi="Times New Roman" w:cs="Times New Roman"/>
          <w:i/>
          <w:sz w:val="24"/>
          <w:szCs w:val="24"/>
        </w:rPr>
        <w:t>fam</w:t>
      </w:r>
      <w:r>
        <w:rPr>
          <w:rFonts w:ascii="Times New Roman" w:eastAsia="Times New Roman" w:hAnsi="Times New Roman" w:cs="Times New Roman"/>
          <w:i/>
          <w:sz w:val="24"/>
          <w:szCs w:val="24"/>
        </w:rPr>
        <w:t>iliaridad baja/muy baja</w:t>
      </w:r>
      <w:r>
        <w:rPr>
          <w:rFonts w:ascii="Times New Roman" w:eastAsia="Times New Roman" w:hAnsi="Times New Roman" w:cs="Times New Roman"/>
          <w:sz w:val="24"/>
          <w:szCs w:val="24"/>
        </w:rPr>
        <w:t xml:space="preserve"> puntúan entre </w:t>
      </w:r>
      <w:r>
        <w:rPr>
          <w:rFonts w:ascii="Times New Roman" w:eastAsia="Times New Roman" w:hAnsi="Times New Roman" w:cs="Times New Roman"/>
          <w:i/>
          <w:sz w:val="24"/>
          <w:szCs w:val="24"/>
        </w:rPr>
        <w:t>1.1 y 1.6 unidades</w:t>
      </w:r>
      <w:r>
        <w:rPr>
          <w:rFonts w:ascii="Times New Roman" w:eastAsia="Times New Roman" w:hAnsi="Times New Roman" w:cs="Times New Roman"/>
          <w:sz w:val="24"/>
          <w:szCs w:val="24"/>
        </w:rPr>
        <w:t xml:space="preserve"> por encima de quienes reportan </w:t>
      </w:r>
      <w:r>
        <w:rPr>
          <w:rFonts w:ascii="Times New Roman" w:eastAsia="Times New Roman" w:hAnsi="Times New Roman" w:cs="Times New Roman"/>
          <w:i/>
          <w:sz w:val="24"/>
          <w:szCs w:val="24"/>
        </w:rPr>
        <w:t>familiaridad moderada/alta</w:t>
      </w:r>
      <w:r>
        <w:rPr>
          <w:rFonts w:ascii="Times New Roman" w:eastAsia="Times New Roman" w:hAnsi="Times New Roman" w:cs="Times New Roman"/>
          <w:sz w:val="24"/>
          <w:szCs w:val="24"/>
        </w:rPr>
        <w:t xml:space="preserve"> (véase Tabla 1, Figura 1). El contraste más marcado aparece en </w:t>
      </w:r>
      <w:r>
        <w:rPr>
          <w:rFonts w:ascii="Times New Roman" w:eastAsia="Times New Roman" w:hAnsi="Times New Roman" w:cs="Times New Roman"/>
          <w:i/>
          <w:sz w:val="24"/>
          <w:szCs w:val="24"/>
        </w:rPr>
        <w:t>Asimilacionismo</w:t>
      </w:r>
      <w:r>
        <w:rPr>
          <w:rFonts w:ascii="Cardo" w:eastAsia="Cardo" w:hAnsi="Cardo" w:cs="Cardo"/>
          <w:sz w:val="24"/>
          <w:szCs w:val="24"/>
        </w:rPr>
        <w:t xml:space="preserve"> (Δ ≈ 1.4), seguido de </w:t>
      </w:r>
      <w:r>
        <w:rPr>
          <w:rFonts w:ascii="Times New Roman" w:eastAsia="Times New Roman" w:hAnsi="Times New Roman" w:cs="Times New Roman"/>
          <w:i/>
          <w:sz w:val="24"/>
          <w:szCs w:val="24"/>
        </w:rPr>
        <w:t>Inferiorización</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Sesgo oralista</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Normalización de prácticas excluyentes</w:t>
      </w:r>
      <w:r>
        <w:rPr>
          <w:rFonts w:ascii="Times New Roman" w:eastAsia="Times New Roman" w:hAnsi="Times New Roman" w:cs="Times New Roman"/>
          <w:sz w:val="24"/>
          <w:szCs w:val="24"/>
        </w:rPr>
        <w:t xml:space="preserve"> exhibe la diferencia menor pero mantiene la misma tendencia. La consistencia interna de cada subescala </w:t>
      </w:r>
      <w:r>
        <w:rPr>
          <w:rFonts w:ascii="Times New Roman" w:eastAsia="Times New Roman" w:hAnsi="Times New Roman" w:cs="Times New Roman"/>
          <w:sz w:val="24"/>
          <w:szCs w:val="24"/>
        </w:rPr>
        <w:lastRenderedPageBreak/>
        <w:t xml:space="preserve">es adecuada (α =.75–.82). En conjunto, estos datos refuerzan la correlación inversa entre cercanía a la comunidad </w:t>
      </w:r>
      <w:r>
        <w:rPr>
          <w:rFonts w:ascii="Times New Roman" w:eastAsia="Times New Roman" w:hAnsi="Times New Roman" w:cs="Times New Roman"/>
          <w:sz w:val="24"/>
          <w:szCs w:val="24"/>
        </w:rPr>
        <w:t>sorda y la internalización de dis-affordances, respaldando la interpretación cualitativa presentada líneas arriba.</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39168B">
      <w:pPr>
        <w:spacing w:line="240" w:lineRule="auto"/>
        <w:rPr>
          <w:rFonts w:ascii="Times New Roman" w:eastAsia="Times New Roman" w:hAnsi="Times New Roman" w:cs="Times New Roman"/>
          <w:b/>
          <w:sz w:val="24"/>
          <w:szCs w:val="24"/>
        </w:rPr>
      </w:pPr>
    </w:p>
    <w:p w:rsidR="0039168B" w:rsidRDefault="002B631A">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Mecanismos de Dis-affordance</w:t>
      </w:r>
    </w:p>
    <w:p w:rsidR="0039168B" w:rsidRDefault="0039168B">
      <w:pPr>
        <w:spacing w:line="240" w:lineRule="auto"/>
        <w:rPr>
          <w:rFonts w:ascii="Times New Roman" w:eastAsia="Times New Roman" w:hAnsi="Times New Roman" w:cs="Times New Roman"/>
          <w:b/>
          <w:sz w:val="24"/>
          <w:szCs w:val="24"/>
        </w:rPr>
      </w:pP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identificó dos mecanismos principales a través de los cuales las dis-affordances son sistemáticamente reproducidas: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Discriminación intra-grupal</w:t>
      </w:r>
      <w:r>
        <w:rPr>
          <w:rFonts w:ascii="Times New Roman" w:eastAsia="Times New Roman" w:hAnsi="Times New Roman" w:cs="Times New Roman"/>
          <w:sz w:val="24"/>
          <w:szCs w:val="24"/>
        </w:rPr>
        <w:t>: Esta emerge como mecanismo significativo en la reproducción de limitaciones invisibilizadas. El ca</w:t>
      </w:r>
      <w:r>
        <w:rPr>
          <w:rFonts w:ascii="Times New Roman" w:eastAsia="Times New Roman" w:hAnsi="Times New Roman" w:cs="Times New Roman"/>
          <w:sz w:val="24"/>
          <w:szCs w:val="24"/>
        </w:rPr>
        <w:t>so de Miguel ejemplifica cómo las personas sordas internalizan normatividades lingüísticas que constriñen la percepción enactiva. Esta discriminación se manifiesta particularmente entorno a la "pureza" del lenguaje y la preferencia por modalidades de prest</w:t>
      </w:r>
      <w:r>
        <w:rPr>
          <w:rFonts w:ascii="Times New Roman" w:eastAsia="Times New Roman" w:hAnsi="Times New Roman" w:cs="Times New Roman"/>
          <w:sz w:val="24"/>
          <w:szCs w:val="24"/>
        </w:rPr>
        <w:t>igio. Como señala un participante sordo:</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ALGUNO SORDO CRITICA SEÑA DIFERENTE "Algunas personas sordas critican mis señas [por ser] diferentes."</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Sistemas educativos y reproducción institucional</w:t>
      </w:r>
      <w:r>
        <w:rPr>
          <w:rFonts w:ascii="Times New Roman" w:eastAsia="Times New Roman" w:hAnsi="Times New Roman" w:cs="Times New Roman"/>
          <w:sz w:val="24"/>
          <w:szCs w:val="24"/>
        </w:rPr>
        <w:t>: Las instituciones educativas son espacios donde se ejerce de</w:t>
      </w:r>
      <w:r>
        <w:rPr>
          <w:rFonts w:ascii="Times New Roman" w:eastAsia="Times New Roman" w:hAnsi="Times New Roman" w:cs="Times New Roman"/>
          <w:sz w:val="24"/>
          <w:szCs w:val="24"/>
        </w:rPr>
        <w:t xml:space="preserve"> forma aumentada el poder del discurso que reproduce las dis-affordances. Los entornos formales posicionan consistentemente a las lenguas de señas como académicamente inferiores. El 87% de profesionales educativos indicó que la LSM era permitida principalm</w:t>
      </w:r>
      <w:r>
        <w:rPr>
          <w:rFonts w:ascii="Times New Roman" w:eastAsia="Times New Roman" w:hAnsi="Times New Roman" w:cs="Times New Roman"/>
          <w:sz w:val="24"/>
          <w:szCs w:val="24"/>
        </w:rPr>
        <w:t xml:space="preserve">ente como "puente" al español en lugar de como lengua académicamente legítima. Esta dis-affordance </w:t>
      </w:r>
      <w:r>
        <w:rPr>
          <w:rFonts w:ascii="Times New Roman" w:eastAsia="Times New Roman" w:hAnsi="Times New Roman" w:cs="Times New Roman"/>
          <w:i/>
          <w:sz w:val="24"/>
          <w:szCs w:val="24"/>
        </w:rPr>
        <w:t>instrumentalista</w:t>
      </w:r>
      <w:r>
        <w:rPr>
          <w:rFonts w:ascii="Times New Roman" w:eastAsia="Times New Roman" w:hAnsi="Times New Roman" w:cs="Times New Roman"/>
          <w:sz w:val="24"/>
          <w:szCs w:val="24"/>
        </w:rPr>
        <w:t xml:space="preserve"> aparenta inclusión mientras mantiene la subordinación lingüística:</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"LSM es una herramienta importante para que eventualmente puedan integra</w:t>
      </w:r>
      <w:r>
        <w:rPr>
          <w:rFonts w:ascii="Times New Roman" w:eastAsia="Times New Roman" w:hAnsi="Times New Roman" w:cs="Times New Roman"/>
          <w:sz w:val="24"/>
          <w:szCs w:val="24"/>
        </w:rPr>
        <w:t>rse al sistema regular."</w:t>
      </w:r>
    </w:p>
    <w:p w:rsidR="0039168B"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conceptualización de la lengua deja fuera posibilidades enactivas relacionadas con el territorio simbólico propio, autónomo e igualitario.</w:t>
      </w:r>
    </w:p>
    <w:p w:rsidR="0039168B" w:rsidRDefault="0039168B">
      <w:pPr>
        <w:rPr>
          <w:rFonts w:ascii="Times New Roman" w:eastAsia="Times New Roman" w:hAnsi="Times New Roman" w:cs="Times New Roman"/>
        </w:rPr>
      </w:pPr>
    </w:p>
    <w:p w:rsidR="0039168B" w:rsidRDefault="0039168B">
      <w:pPr>
        <w:rPr>
          <w:rFonts w:ascii="Times New Roman" w:eastAsia="Times New Roman" w:hAnsi="Times New Roman" w:cs="Times New Roman"/>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18" w:name="_672exromst5l" w:colFirst="0" w:colLast="0"/>
      <w:bookmarkEnd w:id="18"/>
      <w:r>
        <w:rPr>
          <w:rFonts w:ascii="Times New Roman" w:eastAsia="Times New Roman" w:hAnsi="Times New Roman" w:cs="Times New Roman"/>
          <w:b/>
          <w:sz w:val="24"/>
          <w:szCs w:val="24"/>
        </w:rPr>
        <w:lastRenderedPageBreak/>
        <w:t>Discusión y Conclusiones</w:t>
      </w:r>
    </w:p>
    <w:p w:rsidR="0039168B" w:rsidRDefault="0039168B">
      <w:pPr>
        <w:rPr>
          <w:rFonts w:ascii="Times New Roman" w:eastAsia="Times New Roman" w:hAnsi="Times New Roman" w:cs="Times New Roman"/>
        </w:rPr>
      </w:pPr>
    </w:p>
    <w:p w:rsidR="0039168B" w:rsidRDefault="0039168B">
      <w:pPr>
        <w:rPr>
          <w:rFonts w:ascii="Times New Roman" w:eastAsia="Times New Roman" w:hAnsi="Times New Roman" w:cs="Times New Roman"/>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dis-affordances operan como un dispositivo psicológic</w:t>
      </w:r>
      <w:r>
        <w:rPr>
          <w:rFonts w:ascii="Times New Roman" w:eastAsia="Times New Roman" w:hAnsi="Times New Roman" w:cs="Times New Roman"/>
          <w:sz w:val="24"/>
          <w:szCs w:val="24"/>
        </w:rPr>
        <w:t>o de dominación a nivel de la creación de significado. Este concepto nos permite superar las limitaciones de los marcos tradicionales sobre discapacidad, incluyendo la necesidad constante de "reformular" o "criticar" el capacitismo sin realmente reemplazar</w:t>
      </w:r>
      <w:r>
        <w:rPr>
          <w:rFonts w:ascii="Times New Roman" w:eastAsia="Times New Roman" w:hAnsi="Times New Roman" w:cs="Times New Roman"/>
          <w:sz w:val="24"/>
          <w:szCs w:val="24"/>
        </w:rPr>
        <w:t>lo con un paradigma alternativo. Al conceptualizar las dis-affordances como constreñimientos impuestos sistemáticamente sobre las posibilidades de enacción, podemos reconocer su naturaleza fundamentalmente colonial—operan invisibilizando y deslegitimando f</w:t>
      </w:r>
      <w:r>
        <w:rPr>
          <w:rFonts w:ascii="Times New Roman" w:eastAsia="Times New Roman" w:hAnsi="Times New Roman" w:cs="Times New Roman"/>
          <w:sz w:val="24"/>
          <w:szCs w:val="24"/>
        </w:rPr>
        <w:t>ormas alternativas de habitar y significar el mundo.</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caso de las comunidades sordas ilustra con particular claridad este mecanismo. La imposición de normas audistas no se limita a barreras físicas de accesibilidad, sino que penetra en la constitución misma de las posibilidades percibidas por las personas </w:t>
      </w:r>
      <w:r>
        <w:rPr>
          <w:rFonts w:ascii="Times New Roman" w:eastAsia="Times New Roman" w:hAnsi="Times New Roman" w:cs="Times New Roman"/>
          <w:sz w:val="24"/>
          <w:szCs w:val="24"/>
        </w:rPr>
        <w:t xml:space="preserve">sordas. La internalización de estas normas—evidenciada en nuestros hallazgos sobre discriminación intra-grupal y reproducción de jerarquías lingüísticas—revela cómo las dis-affordances operan recursivamente, limitando no solo las acciones posibles sino la </w:t>
      </w:r>
      <w:r>
        <w:rPr>
          <w:rFonts w:ascii="Times New Roman" w:eastAsia="Times New Roman" w:hAnsi="Times New Roman" w:cs="Times New Roman"/>
          <w:sz w:val="24"/>
          <w:szCs w:val="24"/>
        </w:rPr>
        <w:t>percepción misma de qué es posible.</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contribución central de este trabajo es la reformulación de la discapacidad desde la perspectiva ecológica-enactiva. En lugar de concebirla como déficit individual o construcción social, la entendemos como la imposic</w:t>
      </w:r>
      <w:r>
        <w:rPr>
          <w:rFonts w:ascii="Times New Roman" w:eastAsia="Times New Roman" w:hAnsi="Times New Roman" w:cs="Times New Roman"/>
          <w:sz w:val="24"/>
          <w:szCs w:val="24"/>
        </w:rPr>
        <w:t>ión sistemática de dis-affordances que constriñen el campo de posibilidades enactivas. Esta reconceptualización tiene implicaciones profundas para la teoría y práctica en psicología.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Primero, desplaza la atención desde la "corrección" o "inclusión" de indi</w:t>
      </w:r>
      <w:r>
        <w:rPr>
          <w:rFonts w:ascii="Times New Roman" w:eastAsia="Times New Roman" w:hAnsi="Times New Roman" w:cs="Times New Roman"/>
          <w:sz w:val="24"/>
          <w:szCs w:val="24"/>
        </w:rPr>
        <w:t>viduos hacia la identificación y desmantelamiento de las dis-affordances que estructuran los entornos educativos, laborales y sociales. Segundo, reconoce la diversidad perceptual como expresión legítima de diferentes formas de habitar el mundo, no como des</w:t>
      </w:r>
      <w:r>
        <w:rPr>
          <w:rFonts w:ascii="Times New Roman" w:eastAsia="Times New Roman" w:hAnsi="Times New Roman" w:cs="Times New Roman"/>
          <w:sz w:val="24"/>
          <w:szCs w:val="24"/>
        </w:rPr>
        <w:t>viación de una norma predefinida. Tercero, sitúa a las comunidades sordas no como grupo "discapacitado" sino como minoría cultural y lingüística cuya experiencia ha sido colonizada mediante la imposición de dis-affordances audistas.</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 nuest</w:t>
      </w:r>
      <w:r>
        <w:rPr>
          <w:rFonts w:ascii="Times New Roman" w:eastAsia="Times New Roman" w:hAnsi="Times New Roman" w:cs="Times New Roman"/>
          <w:sz w:val="24"/>
          <w:szCs w:val="24"/>
        </w:rPr>
        <w:t>ro análisis de la EACS demuestran cómo la familiaridad con la comunidad sorda y el conocimiento de lengua de señas correlacionan negativamente con tendencias asimilacionistas y minorizantes. Esto sugiere que la exposición directa a comunidades sordas puede</w:t>
      </w:r>
      <w:r>
        <w:rPr>
          <w:rFonts w:ascii="Times New Roman" w:eastAsia="Times New Roman" w:hAnsi="Times New Roman" w:cs="Times New Roman"/>
          <w:sz w:val="24"/>
          <w:szCs w:val="24"/>
        </w:rPr>
        <w:t xml:space="preserve"> funcionar como resistencia a la internalización de dis-affordances, </w:t>
      </w:r>
      <w:r>
        <w:rPr>
          <w:rFonts w:ascii="Times New Roman" w:eastAsia="Times New Roman" w:hAnsi="Times New Roman" w:cs="Times New Roman"/>
          <w:sz w:val="24"/>
          <w:szCs w:val="24"/>
        </w:rPr>
        <w:lastRenderedPageBreak/>
        <w:t>al hacer visibles posibilidades enactivas que permanecen ocultas dentro del marco conceptual dominante.</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decolonización de la discapacidad implica necesariamente la recuperación de la a</w:t>
      </w:r>
      <w:r>
        <w:rPr>
          <w:rFonts w:ascii="Times New Roman" w:eastAsia="Times New Roman" w:hAnsi="Times New Roman" w:cs="Times New Roman"/>
          <w:sz w:val="24"/>
          <w:szCs w:val="24"/>
        </w:rPr>
        <w:t>utonomía perceptual—la capacidad de percibir y actuar sobre affordances propias, no impuestas por marcos coloniales. Nuestro análisis identifica estrategias de resistencia a las dis-affordances en las narrativas de personas sordas, incluyendo la reivindica</w:t>
      </w:r>
      <w:r>
        <w:rPr>
          <w:rFonts w:ascii="Times New Roman" w:eastAsia="Times New Roman" w:hAnsi="Times New Roman" w:cs="Times New Roman"/>
          <w:sz w:val="24"/>
          <w:szCs w:val="24"/>
        </w:rPr>
        <w:t>ción de la lengua de señas como sistema lingüístico completo y la formación de comunidades donde las normas perceptuales audistas no determinan las posibilidades de interacción.</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comunidades sordas funcionan potencialmente como sistemas affordanciales a</w:t>
      </w:r>
      <w:r>
        <w:rPr>
          <w:rFonts w:ascii="Times New Roman" w:eastAsia="Times New Roman" w:hAnsi="Times New Roman" w:cs="Times New Roman"/>
          <w:sz w:val="24"/>
          <w:szCs w:val="24"/>
        </w:rPr>
        <w:t xml:space="preserve">lternativos donde emergen posibilidades enactivas invisibilizadas por el marco capacitista dominante. Sin embargo, como muestra la evidencia de este trabajo y de la literatura sobre el etema existe una fuerte discriminación intra-grupal, estas comunidades </w:t>
      </w:r>
      <w:r>
        <w:rPr>
          <w:rFonts w:ascii="Times New Roman" w:eastAsia="Times New Roman" w:hAnsi="Times New Roman" w:cs="Times New Roman"/>
          <w:sz w:val="24"/>
          <w:szCs w:val="24"/>
        </w:rPr>
        <w:t>no están exentas de la reproducción de dis-affordances internalizadas. La decolonización requiere, por tanto, un proceso reflexivo continuado que identifique y desafíe las dis-affordances incluso dentro de espacios aparentemente emancipatorios.</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concepto</w:t>
      </w:r>
      <w:r>
        <w:rPr>
          <w:rFonts w:ascii="Times New Roman" w:eastAsia="Times New Roman" w:hAnsi="Times New Roman" w:cs="Times New Roman"/>
          <w:sz w:val="24"/>
          <w:szCs w:val="24"/>
        </w:rPr>
        <w:t xml:space="preserve"> de dis-affordances ofrece una contribución significativa a la psicología decolonial al proporcionar un marco teórico que integra las dimensiones corpóreas, experienciales y socio-políticas de la opresión. Al reconocer que las restricciones coloniales oper</w:t>
      </w:r>
      <w:r>
        <w:rPr>
          <w:rFonts w:ascii="Times New Roman" w:eastAsia="Times New Roman" w:hAnsi="Times New Roman" w:cs="Times New Roman"/>
          <w:sz w:val="24"/>
          <w:szCs w:val="24"/>
        </w:rPr>
        <w:t>an no solo en el nivel de las representaciones sociales sino en el nivel fundamental de la percepción y la enacción de posibilidades, esta perspectiva responde al llamado por una psicología que supere el dualismo cartesiano y reconozca la naturaleza situad</w:t>
      </w:r>
      <w:r>
        <w:rPr>
          <w:rFonts w:ascii="Times New Roman" w:eastAsia="Times New Roman" w:hAnsi="Times New Roman" w:cs="Times New Roman"/>
          <w:sz w:val="24"/>
          <w:szCs w:val="24"/>
        </w:rPr>
        <w:t>a y encarnada de la experiencia humana.</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Futuras investigaciones deberían profundizar en la aplicabilidad del concepto de dis-affordances a otras formas de opresión colonial, así como desarrollar metodologías colaborativas que centren las epistemologías de </w:t>
      </w:r>
      <w:r>
        <w:rPr>
          <w:rFonts w:ascii="Times New Roman" w:eastAsia="Times New Roman" w:hAnsi="Times New Roman" w:cs="Times New Roman"/>
          <w:sz w:val="24"/>
          <w:szCs w:val="24"/>
        </w:rPr>
        <w:t>comunidades marginadas. Particularmente crucial es la inclusión de investigadores sordos y el desarrollo de métodos que respeten la modalidad viso-espacial de las lenguas de señas, evitando reproducir las mismas dis-affordances que pretendemos analizar.</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conclusión, el concepto de dis-affordances permite repensar la discapacidad no como una condición individual o una construcción social abstracta, sino como el resultado de constreñimientos sistemáticos sobre las posibilidades de enacción. Al revelar la na</w:t>
      </w:r>
      <w:r>
        <w:rPr>
          <w:rFonts w:ascii="Times New Roman" w:eastAsia="Times New Roman" w:hAnsi="Times New Roman" w:cs="Times New Roman"/>
          <w:sz w:val="24"/>
          <w:szCs w:val="24"/>
        </w:rPr>
        <w:t>turaleza colonial de estos constreñimientos, abrimos camino hacia una comprensión más justa y emancipatoria de la diversidad humana, que reconozca la legitimidad de múltiples formas de habitar y significar el mundo.</w:t>
      </w:r>
    </w:p>
    <w:p w:rsidR="0039168B" w:rsidRDefault="0039168B">
      <w:pPr>
        <w:spacing w:line="360" w:lineRule="auto"/>
        <w:ind w:firstLine="720"/>
        <w:jc w:val="both"/>
        <w:rPr>
          <w:rFonts w:ascii="Times New Roman" w:eastAsia="Times New Roman" w:hAnsi="Times New Roman" w:cs="Times New Roman"/>
          <w:sz w:val="24"/>
          <w:szCs w:val="24"/>
        </w:rPr>
      </w:pP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19" w:name="_kdza6nfhvpye" w:colFirst="0" w:colLast="0"/>
      <w:bookmarkEnd w:id="19"/>
      <w:r>
        <w:rPr>
          <w:rFonts w:ascii="Times New Roman" w:eastAsia="Times New Roman" w:hAnsi="Times New Roman" w:cs="Times New Roman"/>
          <w:b/>
          <w:sz w:val="24"/>
          <w:szCs w:val="24"/>
        </w:rPr>
        <w:t>Declaración Ética</w:t>
      </w:r>
    </w:p>
    <w:p w:rsidR="0039168B" w:rsidRDefault="0039168B">
      <w:pPr>
        <w:rPr>
          <w:rFonts w:ascii="Times New Roman" w:eastAsia="Times New Roman" w:hAnsi="Times New Roman" w:cs="Times New Roman"/>
          <w:sz w:val="24"/>
          <w:szCs w:val="24"/>
        </w:rPr>
      </w:pP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s</w:t>
      </w:r>
      <w:r>
        <w:rPr>
          <w:rFonts w:ascii="Times New Roman" w:eastAsia="Times New Roman" w:hAnsi="Times New Roman" w:cs="Times New Roman"/>
          <w:sz w:val="24"/>
          <w:szCs w:val="24"/>
        </w:rPr>
        <w:t>e realizó siguiendo los estándares éticos establecidos en la Declaración Universal de Principios Éticos para Psicólogos (IAAP &amp; IUPsyS, 2008) y las declaraciones de la SIP vigentes (SIP, 1978, 2008a, 2008b, 2014, 2016, 2018, 2019). Los procedimientos fuero</w:t>
      </w:r>
      <w:r>
        <w:rPr>
          <w:rFonts w:ascii="Times New Roman" w:eastAsia="Times New Roman" w:hAnsi="Times New Roman" w:cs="Times New Roman"/>
          <w:sz w:val="24"/>
          <w:szCs w:val="24"/>
        </w:rPr>
        <w:t>n aprobados por el Comité Ético Científico de la Facultad de Psicología de la Universidad Autónoma de Sinaloa. Previo a la obtención del consentimiento y asentimiento informado, se implementó un acercamiento que respeta los protocolos culturales basados en</w:t>
      </w:r>
      <w:r>
        <w:rPr>
          <w:rFonts w:ascii="Times New Roman" w:eastAsia="Times New Roman" w:hAnsi="Times New Roman" w:cs="Times New Roman"/>
          <w:sz w:val="24"/>
          <w:szCs w:val="24"/>
        </w:rPr>
        <w:t xml:space="preserve"> los principios de respeto y reciprocidad. Los participantes fueron informados sobre los objetivos del estudio, la confidencialidad de los datos y su derecho a retirarse en cualquier momento. </w:t>
      </w:r>
    </w:p>
    <w:p w:rsidR="0039168B" w:rsidRDefault="002B63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se desarrolló con pleno respeto hacia la comun</w:t>
      </w:r>
      <w:r>
        <w:rPr>
          <w:rFonts w:ascii="Times New Roman" w:eastAsia="Times New Roman" w:hAnsi="Times New Roman" w:cs="Times New Roman"/>
          <w:sz w:val="24"/>
          <w:szCs w:val="24"/>
        </w:rPr>
        <w:t>idad Sorda, reconociendo su estatus como grupo cultural y lingüístico. Se siguieron las convenciones nacionales e internacionales para el trato ético del registro, tratamiento y retribución social de la Lengua de Señas Mexicana y la cultura Sorda de México</w:t>
      </w:r>
      <w:r>
        <w:rPr>
          <w:rFonts w:ascii="Times New Roman" w:eastAsia="Times New Roman" w:hAnsi="Times New Roman" w:cs="Times New Roman"/>
          <w:sz w:val="24"/>
          <w:szCs w:val="24"/>
        </w:rPr>
        <w:t>, incluyendo los lineamientos de la Federación Mundial de Sordos (WFD) y las directrices del Consejo Nacional para el Desarrollo y la Inclusión de las Personas con Discapacidad (CONADIS).</w:t>
      </w:r>
    </w:p>
    <w:p w:rsidR="0039168B" w:rsidRDefault="002B631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autores declaran no tener conflictos de interés relacionados con</w:t>
      </w:r>
      <w:r>
        <w:rPr>
          <w:rFonts w:ascii="Times New Roman" w:eastAsia="Times New Roman" w:hAnsi="Times New Roman" w:cs="Times New Roman"/>
          <w:sz w:val="24"/>
          <w:szCs w:val="24"/>
        </w:rPr>
        <w:t xml:space="preserve"> esta investigación.</w:t>
      </w: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20" w:name="_ydn4f6hfpv15" w:colFirst="0" w:colLast="0"/>
      <w:bookmarkEnd w:id="20"/>
      <w:r>
        <w:br w:type="page"/>
      </w:r>
    </w:p>
    <w:p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21" w:name="_6q9mhp173t03" w:colFirst="0" w:colLast="0"/>
      <w:bookmarkEnd w:id="21"/>
      <w:r>
        <w:rPr>
          <w:rFonts w:ascii="Times New Roman" w:eastAsia="Times New Roman" w:hAnsi="Times New Roman" w:cs="Times New Roman"/>
          <w:b/>
          <w:sz w:val="24"/>
          <w:szCs w:val="24"/>
        </w:rPr>
        <w:lastRenderedPageBreak/>
        <w:t>Referencias</w:t>
      </w:r>
    </w:p>
    <w:p w:rsidR="0039168B" w:rsidRDefault="0039168B">
      <w:pPr>
        <w:rPr>
          <w:rFonts w:ascii="Times New Roman" w:eastAsia="Times New Roman" w:hAnsi="Times New Roman" w:cs="Times New Roman"/>
        </w:rPr>
      </w:pPr>
    </w:p>
    <w:p w:rsidR="0039168B" w:rsidRDefault="0039168B">
      <w:pPr>
        <w:spacing w:line="360" w:lineRule="auto"/>
        <w:jc w:val="both"/>
        <w:rPr>
          <w:rFonts w:ascii="Times New Roman" w:eastAsia="Times New Roman" w:hAnsi="Times New Roman" w:cs="Times New Roman"/>
        </w:rPr>
      </w:pPr>
    </w:p>
    <w:p w:rsidR="0039168B" w:rsidRDefault="002B631A">
      <w:pPr>
        <w:spacing w:line="360" w:lineRule="auto"/>
        <w:ind w:left="720" w:hanging="720"/>
        <w:jc w:val="both"/>
        <w:rPr>
          <w:rFonts w:ascii="Times New Roman" w:eastAsia="Times New Roman" w:hAnsi="Times New Roman" w:cs="Times New Roman"/>
          <w:sz w:val="24"/>
          <w:szCs w:val="24"/>
        </w:rPr>
      </w:pPr>
      <w:hyperlink r:id="rId36">
        <w:r>
          <w:rPr>
            <w:rFonts w:ascii="Times New Roman" w:eastAsia="Times New Roman" w:hAnsi="Times New Roman" w:cs="Times New Roman"/>
            <w:sz w:val="24"/>
            <w:szCs w:val="24"/>
          </w:rPr>
          <w:t xml:space="preserve">Aldalur, A., Pick, L. H., &amp; Schooler, D. (2021). Navigating Deaf and Hearing Cultures: An Exploration of Deaf Acculturative Stress. </w:t>
        </w:r>
      </w:hyperlink>
      <w:hyperlink r:id="rId37">
        <w:r>
          <w:rPr>
            <w:rFonts w:ascii="Times New Roman" w:eastAsia="Times New Roman" w:hAnsi="Times New Roman" w:cs="Times New Roman"/>
            <w:i/>
            <w:sz w:val="24"/>
            <w:szCs w:val="24"/>
          </w:rPr>
          <w:t>The Journal of Deaf Studies and Deaf Education</w:t>
        </w:r>
      </w:hyperlink>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i/>
            <w:sz w:val="24"/>
            <w:szCs w:val="24"/>
          </w:rPr>
          <w:t>26</w:t>
        </w:r>
      </w:hyperlink>
      <w:hyperlink r:id="rId40">
        <w:r>
          <w:rPr>
            <w:rFonts w:ascii="Times New Roman" w:eastAsia="Times New Roman" w:hAnsi="Times New Roman" w:cs="Times New Roman"/>
            <w:sz w:val="24"/>
            <w:szCs w:val="24"/>
          </w:rPr>
          <w:t>(3), 299–313. https://doi.org/10.1093/deafed/enab014</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41">
        <w:r>
          <w:rPr>
            <w:rFonts w:ascii="Times New Roman" w:eastAsia="Times New Roman" w:hAnsi="Times New Roman" w:cs="Times New Roman"/>
            <w:sz w:val="24"/>
            <w:szCs w:val="24"/>
          </w:rPr>
          <w:t xml:space="preserve">Alim, H. S., Rickford, J. R., &amp; Ball, A. F. (Eds.). (2020). </w:t>
        </w:r>
      </w:hyperlink>
      <w:hyperlink r:id="rId42">
        <w:r>
          <w:rPr>
            <w:rFonts w:ascii="Times New Roman" w:eastAsia="Times New Roman" w:hAnsi="Times New Roman" w:cs="Times New Roman"/>
            <w:i/>
            <w:sz w:val="24"/>
            <w:szCs w:val="24"/>
          </w:rPr>
          <w:t>Raciolinguistics: How Language Shapes Our Ideas about Race</w:t>
        </w:r>
      </w:hyperlink>
      <w:hyperlink r:id="rId43">
        <w:r>
          <w:rPr>
            <w:rFonts w:ascii="Times New Roman" w:eastAsia="Times New Roman" w:hAnsi="Times New Roman" w:cs="Times New Roman"/>
            <w:sz w:val="24"/>
            <w:szCs w:val="24"/>
          </w:rPr>
          <w:t>.</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44">
        <w:r>
          <w:rPr>
            <w:rFonts w:ascii="Times New Roman" w:eastAsia="Times New Roman" w:hAnsi="Times New Roman" w:cs="Times New Roman"/>
            <w:sz w:val="24"/>
            <w:szCs w:val="24"/>
          </w:rPr>
          <w:t xml:space="preserve">Aljedaani, W., Krasniqi, R., Aljedaani, S., Mkaouer, M. W., Ludi, S., &amp; </w:t>
        </w:r>
        <w:r>
          <w:rPr>
            <w:rFonts w:ascii="Times New Roman" w:eastAsia="Times New Roman" w:hAnsi="Times New Roman" w:cs="Times New Roman"/>
            <w:sz w:val="24"/>
            <w:szCs w:val="24"/>
          </w:rPr>
          <w:t xml:space="preserve">Al-Raddah, K. (2022). If online learning works for you, what about deaf students? Emerging challenges of online learning for deaf and hearing-impaired students during COVID-19: a literature review. </w:t>
        </w:r>
      </w:hyperlink>
      <w:hyperlink r:id="rId45">
        <w:r>
          <w:rPr>
            <w:rFonts w:ascii="Times New Roman" w:eastAsia="Times New Roman" w:hAnsi="Times New Roman" w:cs="Times New Roman"/>
            <w:i/>
            <w:sz w:val="24"/>
            <w:szCs w:val="24"/>
          </w:rPr>
          <w:t>Universal Access in the Information Society</w:t>
        </w:r>
      </w:hyperlink>
      <w:hyperlink r:id="rId46">
        <w:r>
          <w:rPr>
            <w:rFonts w:ascii="Times New Roman" w:eastAsia="Times New Roman" w:hAnsi="Times New Roman" w:cs="Times New Roman"/>
            <w:sz w:val="24"/>
            <w:szCs w:val="24"/>
          </w:rPr>
          <w:t>. https://doi.org/10.1007/s10209-022-00897-5</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47">
        <w:r>
          <w:rPr>
            <w:rFonts w:ascii="Times New Roman" w:eastAsia="Times New Roman" w:hAnsi="Times New Roman" w:cs="Times New Roman"/>
            <w:sz w:val="24"/>
            <w:szCs w:val="24"/>
          </w:rPr>
          <w:t xml:space="preserve">Allard-Tremblay, Y. (2021). Rationalism </w:t>
        </w:r>
        <w:r>
          <w:rPr>
            <w:rFonts w:ascii="Times New Roman" w:eastAsia="Times New Roman" w:hAnsi="Times New Roman" w:cs="Times New Roman"/>
            <w:sz w:val="24"/>
            <w:szCs w:val="24"/>
          </w:rPr>
          <w:t xml:space="preserve">and the silencing and distorting of Indigenous voices. </w:t>
        </w:r>
      </w:hyperlink>
      <w:hyperlink r:id="rId48">
        <w:r>
          <w:rPr>
            <w:rFonts w:ascii="Times New Roman" w:eastAsia="Times New Roman" w:hAnsi="Times New Roman" w:cs="Times New Roman"/>
            <w:i/>
            <w:sz w:val="24"/>
            <w:szCs w:val="24"/>
          </w:rPr>
          <w:t>Critical Review of International Social and Political Philosophy</w:t>
        </w:r>
      </w:hyperlink>
      <w:hyperlink r:id="rId49">
        <w:r>
          <w:rPr>
            <w:rFonts w:ascii="Times New Roman" w:eastAsia="Times New Roman" w:hAnsi="Times New Roman" w:cs="Times New Roman"/>
            <w:sz w:val="24"/>
            <w:szCs w:val="24"/>
          </w:rPr>
          <w:t xml:space="preserve">, </w:t>
        </w:r>
      </w:hyperlink>
      <w:hyperlink r:id="rId50">
        <w:r>
          <w:rPr>
            <w:rFonts w:ascii="Times New Roman" w:eastAsia="Times New Roman" w:hAnsi="Times New Roman" w:cs="Times New Roman"/>
            <w:i/>
            <w:sz w:val="24"/>
            <w:szCs w:val="24"/>
          </w:rPr>
          <w:t>24</w:t>
        </w:r>
      </w:hyperlink>
      <w:hyperlink r:id="rId51">
        <w:r>
          <w:rPr>
            <w:rFonts w:ascii="Times New Roman" w:eastAsia="Times New Roman" w:hAnsi="Times New Roman" w:cs="Times New Roman"/>
            <w:sz w:val="24"/>
            <w:szCs w:val="24"/>
          </w:rPr>
          <w:t>(7), 1024–1047. https://doi.org/10.1080/13698230.2019.1644581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52">
        <w:r>
          <w:rPr>
            <w:rFonts w:ascii="Times New Roman" w:eastAsia="Times New Roman" w:hAnsi="Times New Roman" w:cs="Times New Roman"/>
            <w:sz w:val="24"/>
            <w:szCs w:val="24"/>
          </w:rPr>
          <w:t xml:space="preserve">Anglin-Jaffe, H. </w:t>
        </w:r>
        <w:r>
          <w:rPr>
            <w:rFonts w:ascii="Times New Roman" w:eastAsia="Times New Roman" w:hAnsi="Times New Roman" w:cs="Times New Roman"/>
            <w:sz w:val="24"/>
            <w:szCs w:val="24"/>
          </w:rPr>
          <w:t xml:space="preserve">(2020). Isolation and aspiration: Deaf adults reflect on the educational legacy of special schooling. </w:t>
        </w:r>
      </w:hyperlink>
      <w:hyperlink r:id="rId53">
        <w:r>
          <w:rPr>
            <w:rFonts w:ascii="Times New Roman" w:eastAsia="Times New Roman" w:hAnsi="Times New Roman" w:cs="Times New Roman"/>
            <w:i/>
            <w:sz w:val="24"/>
            <w:szCs w:val="24"/>
          </w:rPr>
          <w:t>British Educational Research Journal</w:t>
        </w:r>
      </w:hyperlink>
      <w:hyperlink r:id="rId54">
        <w:r>
          <w:rPr>
            <w:rFonts w:ascii="Times New Roman" w:eastAsia="Times New Roman" w:hAnsi="Times New Roman" w:cs="Times New Roman"/>
            <w:sz w:val="24"/>
            <w:szCs w:val="24"/>
          </w:rPr>
          <w:t xml:space="preserve">, </w:t>
        </w:r>
      </w:hyperlink>
      <w:hyperlink r:id="rId55">
        <w:r>
          <w:rPr>
            <w:rFonts w:ascii="Times New Roman" w:eastAsia="Times New Roman" w:hAnsi="Times New Roman" w:cs="Times New Roman"/>
            <w:i/>
            <w:sz w:val="24"/>
            <w:szCs w:val="24"/>
          </w:rPr>
          <w:t>46</w:t>
        </w:r>
      </w:hyperlink>
      <w:hyperlink r:id="rId56">
        <w:r>
          <w:rPr>
            <w:rFonts w:ascii="Times New Roman" w:eastAsia="Times New Roman" w:hAnsi="Times New Roman" w:cs="Times New Roman"/>
            <w:sz w:val="24"/>
            <w:szCs w:val="24"/>
          </w:rPr>
          <w:t>(6), 1468–1486. https://doi.org/10.1002/berj.3658</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57">
        <w:r>
          <w:rPr>
            <w:rFonts w:ascii="Times New Roman" w:eastAsia="Times New Roman" w:hAnsi="Times New Roman" w:cs="Times New Roman"/>
            <w:sz w:val="24"/>
            <w:szCs w:val="24"/>
          </w:rPr>
          <w:t>Barnes, C.</w:t>
        </w:r>
        <w:r>
          <w:rPr>
            <w:rFonts w:ascii="Times New Roman" w:eastAsia="Times New Roman" w:hAnsi="Times New Roman" w:cs="Times New Roman"/>
            <w:sz w:val="24"/>
            <w:szCs w:val="24"/>
          </w:rPr>
          <w:t xml:space="preserve"> (2003). What a Difference a Decade Makes: Reflections on doing ‘emancipatory’ disability research. </w:t>
        </w:r>
      </w:hyperlink>
      <w:hyperlink r:id="rId58">
        <w:r>
          <w:rPr>
            <w:rFonts w:ascii="Times New Roman" w:eastAsia="Times New Roman" w:hAnsi="Times New Roman" w:cs="Times New Roman"/>
            <w:i/>
            <w:sz w:val="24"/>
            <w:szCs w:val="24"/>
          </w:rPr>
          <w:t>Disability &amp; Society</w:t>
        </w:r>
      </w:hyperlink>
      <w:hyperlink r:id="rId59">
        <w:r>
          <w:rPr>
            <w:rFonts w:ascii="Times New Roman" w:eastAsia="Times New Roman" w:hAnsi="Times New Roman" w:cs="Times New Roman"/>
            <w:sz w:val="24"/>
            <w:szCs w:val="24"/>
          </w:rPr>
          <w:t xml:space="preserve">, </w:t>
        </w:r>
      </w:hyperlink>
      <w:hyperlink r:id="rId60">
        <w:r>
          <w:rPr>
            <w:rFonts w:ascii="Times New Roman" w:eastAsia="Times New Roman" w:hAnsi="Times New Roman" w:cs="Times New Roman"/>
            <w:i/>
            <w:sz w:val="24"/>
            <w:szCs w:val="24"/>
          </w:rPr>
          <w:t>18</w:t>
        </w:r>
      </w:hyperlink>
      <w:hyperlink r:id="rId61">
        <w:r>
          <w:rPr>
            <w:rFonts w:ascii="Times New Roman" w:eastAsia="Times New Roman" w:hAnsi="Times New Roman" w:cs="Times New Roman"/>
            <w:sz w:val="24"/>
            <w:szCs w:val="24"/>
          </w:rPr>
          <w:t>(1), 3–17. https://doi.org/10.1080/713662197</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62">
        <w:r>
          <w:rPr>
            <w:rFonts w:ascii="Times New Roman" w:eastAsia="Times New Roman" w:hAnsi="Times New Roman" w:cs="Times New Roman"/>
            <w:sz w:val="24"/>
            <w:szCs w:val="24"/>
          </w:rPr>
          <w:t xml:space="preserve">Bauman, H.-D. L. (2004). </w:t>
        </w:r>
        <w:r>
          <w:rPr>
            <w:rFonts w:ascii="Times New Roman" w:eastAsia="Times New Roman" w:hAnsi="Times New Roman" w:cs="Times New Roman"/>
            <w:sz w:val="24"/>
            <w:szCs w:val="24"/>
          </w:rPr>
          <w:t xml:space="preserve">Audism: Exploring the metaphysics of oppression. </w:t>
        </w:r>
      </w:hyperlink>
      <w:hyperlink r:id="rId63">
        <w:r>
          <w:rPr>
            <w:rFonts w:ascii="Times New Roman" w:eastAsia="Times New Roman" w:hAnsi="Times New Roman" w:cs="Times New Roman"/>
            <w:i/>
            <w:sz w:val="24"/>
            <w:szCs w:val="24"/>
          </w:rPr>
          <w:t>Journal of Deaf Studies and Deaf Education</w:t>
        </w:r>
      </w:hyperlink>
      <w:hyperlink r:id="rId64">
        <w:r>
          <w:rPr>
            <w:rFonts w:ascii="Times New Roman" w:eastAsia="Times New Roman" w:hAnsi="Times New Roman" w:cs="Times New Roman"/>
            <w:sz w:val="24"/>
            <w:szCs w:val="24"/>
          </w:rPr>
          <w:t xml:space="preserve">, </w:t>
        </w:r>
      </w:hyperlink>
      <w:hyperlink r:id="rId65">
        <w:r>
          <w:rPr>
            <w:rFonts w:ascii="Times New Roman" w:eastAsia="Times New Roman" w:hAnsi="Times New Roman" w:cs="Times New Roman"/>
            <w:i/>
            <w:sz w:val="24"/>
            <w:szCs w:val="24"/>
          </w:rPr>
          <w:t>9</w:t>
        </w:r>
      </w:hyperlink>
      <w:hyperlink r:id="rId66">
        <w:r>
          <w:rPr>
            <w:rFonts w:ascii="Times New Roman" w:eastAsia="Times New Roman" w:hAnsi="Times New Roman" w:cs="Times New Roman"/>
            <w:sz w:val="24"/>
            <w:szCs w:val="24"/>
          </w:rPr>
          <w:t>(2), 239–246. https://doi.org/10.1093/deafed/enh025</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67">
        <w:r>
          <w:rPr>
            <w:rFonts w:ascii="Times New Roman" w:eastAsia="Times New Roman" w:hAnsi="Times New Roman" w:cs="Times New Roman"/>
            <w:sz w:val="24"/>
            <w:szCs w:val="24"/>
          </w:rPr>
          <w:t xml:space="preserve">Baynton, D. C. (1996). </w:t>
        </w:r>
      </w:hyperlink>
      <w:hyperlink r:id="rId68">
        <w:r>
          <w:rPr>
            <w:rFonts w:ascii="Times New Roman" w:eastAsia="Times New Roman" w:hAnsi="Times New Roman" w:cs="Times New Roman"/>
            <w:i/>
            <w:sz w:val="24"/>
            <w:szCs w:val="24"/>
          </w:rPr>
          <w:t>Forbidden Signs: American Culture and the Campaign Against Sign Language</w:t>
        </w:r>
      </w:hyperlink>
      <w:hyperlink r:id="rId69">
        <w:r>
          <w:rPr>
            <w:rFonts w:ascii="Times New Roman" w:eastAsia="Times New Roman" w:hAnsi="Times New Roman" w:cs="Times New Roman"/>
            <w:sz w:val="24"/>
            <w:szCs w:val="24"/>
          </w:rPr>
          <w:t>. University of Chicago Press.</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0">
        <w:r>
          <w:rPr>
            <w:rFonts w:ascii="Times New Roman" w:eastAsia="Times New Roman" w:hAnsi="Times New Roman" w:cs="Times New Roman"/>
            <w:sz w:val="24"/>
            <w:szCs w:val="24"/>
          </w:rPr>
          <w:t xml:space="preserve">Buckingham, J. (2018). Disability and work in South Asia and the United Kingdom. </w:t>
        </w:r>
      </w:hyperlink>
      <w:hyperlink r:id="rId71">
        <w:r>
          <w:rPr>
            <w:rFonts w:ascii="Times New Roman" w:eastAsia="Times New Roman" w:hAnsi="Times New Roman" w:cs="Times New Roman"/>
            <w:i/>
            <w:sz w:val="24"/>
            <w:szCs w:val="24"/>
          </w:rPr>
          <w:t>Oxford Handbooks Online</w:t>
        </w:r>
      </w:hyperlink>
      <w:hyperlink r:id="rId72">
        <w:r>
          <w:rPr>
            <w:rFonts w:ascii="Times New Roman" w:eastAsia="Times New Roman" w:hAnsi="Times New Roman" w:cs="Times New Roman"/>
            <w:sz w:val="24"/>
            <w:szCs w:val="24"/>
          </w:rPr>
          <w:t>. https://doi.org/10.1093/ox</w:t>
        </w:r>
        <w:r>
          <w:rPr>
            <w:rFonts w:ascii="Times New Roman" w:eastAsia="Times New Roman" w:hAnsi="Times New Roman" w:cs="Times New Roman"/>
            <w:sz w:val="24"/>
            <w:szCs w:val="24"/>
          </w:rPr>
          <w:t>fordhb/9780199935291.013.30</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3">
        <w:r>
          <w:rPr>
            <w:rFonts w:ascii="Times New Roman" w:eastAsia="Times New Roman" w:hAnsi="Times New Roman" w:cs="Times New Roman"/>
            <w:sz w:val="24"/>
            <w:szCs w:val="24"/>
          </w:rPr>
          <w:t xml:space="preserve">Cardinale, C. L. (2004). Understanding Deaf Culture: In Search of Deafhood. </w:t>
        </w:r>
      </w:hyperlink>
      <w:hyperlink r:id="rId74">
        <w:r>
          <w:rPr>
            <w:rFonts w:ascii="Times New Roman" w:eastAsia="Times New Roman" w:hAnsi="Times New Roman" w:cs="Times New Roman"/>
            <w:i/>
            <w:sz w:val="24"/>
            <w:szCs w:val="24"/>
          </w:rPr>
          <w:t>Disability Studies Quarterly</w:t>
        </w:r>
      </w:hyperlink>
      <w:hyperlink r:id="rId75">
        <w:r>
          <w:rPr>
            <w:rFonts w:ascii="Times New Roman" w:eastAsia="Times New Roman" w:hAnsi="Times New Roman" w:cs="Times New Roman"/>
            <w:sz w:val="24"/>
            <w:szCs w:val="24"/>
          </w:rPr>
          <w:t xml:space="preserve">, </w:t>
        </w:r>
      </w:hyperlink>
      <w:hyperlink r:id="rId76">
        <w:r>
          <w:rPr>
            <w:rFonts w:ascii="Times New Roman" w:eastAsia="Times New Roman" w:hAnsi="Times New Roman" w:cs="Times New Roman"/>
            <w:i/>
            <w:sz w:val="24"/>
            <w:szCs w:val="24"/>
          </w:rPr>
          <w:t>24</w:t>
        </w:r>
      </w:hyperlink>
      <w:hyperlink r:id="rId77">
        <w:r>
          <w:rPr>
            <w:rFonts w:ascii="Times New Roman" w:eastAsia="Times New Roman" w:hAnsi="Times New Roman" w:cs="Times New Roman"/>
            <w:sz w:val="24"/>
            <w:szCs w:val="24"/>
          </w:rPr>
          <w:t>(4). https://doi.org/10.18061/dsq.v24i4.907</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8">
        <w:r>
          <w:rPr>
            <w:rFonts w:ascii="Times New Roman" w:eastAsia="Times New Roman" w:hAnsi="Times New Roman" w:cs="Times New Roman"/>
            <w:sz w:val="24"/>
            <w:szCs w:val="24"/>
          </w:rPr>
          <w:t xml:space="preserve">Carvalho, E. M. de, &amp; Rolla, G. (2020). An Enactive-Ecological Approach to Information and Uncertainty. </w:t>
        </w:r>
      </w:hyperlink>
      <w:hyperlink r:id="rId79">
        <w:r>
          <w:rPr>
            <w:rFonts w:ascii="Times New Roman" w:eastAsia="Times New Roman" w:hAnsi="Times New Roman" w:cs="Times New Roman"/>
            <w:i/>
            <w:sz w:val="24"/>
            <w:szCs w:val="24"/>
          </w:rPr>
          <w:t>Frontiers in Psychology</w:t>
        </w:r>
      </w:hyperlink>
      <w:hyperlink r:id="rId80">
        <w:r>
          <w:rPr>
            <w:rFonts w:ascii="Times New Roman" w:eastAsia="Times New Roman" w:hAnsi="Times New Roman" w:cs="Times New Roman"/>
            <w:sz w:val="24"/>
            <w:szCs w:val="24"/>
          </w:rPr>
          <w:t xml:space="preserve">, </w:t>
        </w:r>
      </w:hyperlink>
      <w:hyperlink r:id="rId81">
        <w:r>
          <w:rPr>
            <w:rFonts w:ascii="Times New Roman" w:eastAsia="Times New Roman" w:hAnsi="Times New Roman" w:cs="Times New Roman"/>
            <w:i/>
            <w:sz w:val="24"/>
            <w:szCs w:val="24"/>
          </w:rPr>
          <w:t>11</w:t>
        </w:r>
      </w:hyperlink>
      <w:hyperlink r:id="rId82">
        <w:r>
          <w:rPr>
            <w:rFonts w:ascii="Times New Roman" w:eastAsia="Times New Roman" w:hAnsi="Times New Roman" w:cs="Times New Roman"/>
            <w:sz w:val="24"/>
            <w:szCs w:val="24"/>
          </w:rPr>
          <w:t>. https://www.frontiersin.org/articles/10.3389/fpsyg.2020.00588</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83">
        <w:r>
          <w:rPr>
            <w:rFonts w:ascii="Times New Roman" w:eastAsia="Times New Roman" w:hAnsi="Times New Roman" w:cs="Times New Roman"/>
            <w:sz w:val="24"/>
            <w:szCs w:val="24"/>
          </w:rPr>
          <w:t xml:space="preserve">David, E. J. R. (Ed.). (2014). </w:t>
        </w:r>
      </w:hyperlink>
      <w:hyperlink r:id="rId84">
        <w:r>
          <w:rPr>
            <w:rFonts w:ascii="Times New Roman" w:eastAsia="Times New Roman" w:hAnsi="Times New Roman" w:cs="Times New Roman"/>
            <w:i/>
            <w:sz w:val="24"/>
            <w:szCs w:val="24"/>
          </w:rPr>
          <w:t>Internalized oppression: The psychology of marginalized groups</w:t>
        </w:r>
      </w:hyperlink>
      <w:hyperlink r:id="rId85">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(pp. xxvi, 301). Springer Publishing Company.</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86">
        <w:r>
          <w:rPr>
            <w:rFonts w:ascii="Times New Roman" w:eastAsia="Times New Roman" w:hAnsi="Times New Roman" w:cs="Times New Roman"/>
            <w:sz w:val="24"/>
            <w:szCs w:val="24"/>
          </w:rPr>
          <w:t xml:space="preserve">David, E. J. R. (2018). </w:t>
        </w:r>
      </w:hyperlink>
      <w:hyperlink r:id="rId87">
        <w:r>
          <w:rPr>
            <w:rFonts w:ascii="Times New Roman" w:eastAsia="Times New Roman" w:hAnsi="Times New Roman" w:cs="Times New Roman"/>
            <w:i/>
            <w:sz w:val="24"/>
            <w:szCs w:val="24"/>
          </w:rPr>
          <w:t>We Have Not Stopped Trembling Yet: Letters to M</w:t>
        </w:r>
        <w:r>
          <w:rPr>
            <w:rFonts w:ascii="Times New Roman" w:eastAsia="Times New Roman" w:hAnsi="Times New Roman" w:cs="Times New Roman"/>
            <w:i/>
            <w:sz w:val="24"/>
            <w:szCs w:val="24"/>
          </w:rPr>
          <w:t>y Filipino-Athabascan Family</w:t>
        </w:r>
      </w:hyperlink>
      <w:hyperlink r:id="rId88">
        <w:r>
          <w:rPr>
            <w:rFonts w:ascii="Times New Roman" w:eastAsia="Times New Roman" w:hAnsi="Times New Roman" w:cs="Times New Roman"/>
            <w:sz w:val="24"/>
            <w:szCs w:val="24"/>
          </w:rPr>
          <w:t>. State University of New York Press.</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89">
        <w:r>
          <w:rPr>
            <w:rFonts w:ascii="Times New Roman" w:eastAsia="Times New Roman" w:hAnsi="Times New Roman" w:cs="Times New Roman"/>
            <w:sz w:val="24"/>
            <w:szCs w:val="24"/>
          </w:rPr>
          <w:t>David, E. J. R., &amp; Okazaki, S. (2006). The Colonial Mentality Scal</w:t>
        </w:r>
        <w:r>
          <w:rPr>
            <w:rFonts w:ascii="Times New Roman" w:eastAsia="Times New Roman" w:hAnsi="Times New Roman" w:cs="Times New Roman"/>
            <w:sz w:val="24"/>
            <w:szCs w:val="24"/>
          </w:rPr>
          <w:t xml:space="preserve">e (CMS) for Filipino Americans: Scale Construction and Psychological Implications. </w:t>
        </w:r>
      </w:hyperlink>
      <w:hyperlink r:id="rId90">
        <w:r>
          <w:rPr>
            <w:rFonts w:ascii="Times New Roman" w:eastAsia="Times New Roman" w:hAnsi="Times New Roman" w:cs="Times New Roman"/>
            <w:i/>
            <w:sz w:val="24"/>
            <w:szCs w:val="24"/>
          </w:rPr>
          <w:t>Journal of Counseling Psychology</w:t>
        </w:r>
      </w:hyperlink>
      <w:hyperlink r:id="rId91">
        <w:r>
          <w:rPr>
            <w:rFonts w:ascii="Times New Roman" w:eastAsia="Times New Roman" w:hAnsi="Times New Roman" w:cs="Times New Roman"/>
            <w:sz w:val="24"/>
            <w:szCs w:val="24"/>
          </w:rPr>
          <w:t xml:space="preserve">, </w:t>
        </w:r>
      </w:hyperlink>
      <w:hyperlink r:id="rId92">
        <w:r>
          <w:rPr>
            <w:rFonts w:ascii="Times New Roman" w:eastAsia="Times New Roman" w:hAnsi="Times New Roman" w:cs="Times New Roman"/>
            <w:i/>
            <w:sz w:val="24"/>
            <w:szCs w:val="24"/>
          </w:rPr>
          <w:t>53</w:t>
        </w:r>
      </w:hyperlink>
      <w:hyperlink r:id="rId93">
        <w:r>
          <w:rPr>
            <w:rFonts w:ascii="Times New Roman" w:eastAsia="Times New Roman" w:hAnsi="Times New Roman" w:cs="Times New Roman"/>
            <w:sz w:val="24"/>
            <w:szCs w:val="24"/>
          </w:rPr>
          <w:t>(2), 241–252. https://doi.org/10.1037/0022-0167.53.2.241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94">
        <w:r>
          <w:rPr>
            <w:rFonts w:ascii="Times New Roman" w:eastAsia="Times New Roman" w:hAnsi="Times New Roman" w:cs="Times New Roman"/>
            <w:sz w:val="24"/>
            <w:szCs w:val="24"/>
          </w:rPr>
          <w:t xml:space="preserve">de Pinedo García, M. (2020). Ecological Psychology and Enactivism: A Normative Way Out From Ontological Dilemmas. </w:t>
        </w:r>
      </w:hyperlink>
      <w:hyperlink r:id="rId95">
        <w:r>
          <w:rPr>
            <w:rFonts w:ascii="Times New Roman" w:eastAsia="Times New Roman" w:hAnsi="Times New Roman" w:cs="Times New Roman"/>
            <w:i/>
            <w:sz w:val="24"/>
            <w:szCs w:val="24"/>
          </w:rPr>
          <w:t>Frontiers in Psychology</w:t>
        </w:r>
      </w:hyperlink>
      <w:hyperlink r:id="rId96">
        <w:r>
          <w:rPr>
            <w:rFonts w:ascii="Times New Roman" w:eastAsia="Times New Roman" w:hAnsi="Times New Roman" w:cs="Times New Roman"/>
            <w:sz w:val="24"/>
            <w:szCs w:val="24"/>
          </w:rPr>
          <w:t xml:space="preserve">, </w:t>
        </w:r>
      </w:hyperlink>
      <w:hyperlink r:id="rId97">
        <w:r>
          <w:rPr>
            <w:rFonts w:ascii="Times New Roman" w:eastAsia="Times New Roman" w:hAnsi="Times New Roman" w:cs="Times New Roman"/>
            <w:i/>
            <w:sz w:val="24"/>
            <w:szCs w:val="24"/>
          </w:rPr>
          <w:t>11</w:t>
        </w:r>
      </w:hyperlink>
      <w:hyperlink r:id="rId98">
        <w:r>
          <w:rPr>
            <w:rFonts w:ascii="Times New Roman" w:eastAsia="Times New Roman" w:hAnsi="Times New Roman" w:cs="Times New Roman"/>
            <w:sz w:val="24"/>
            <w:szCs w:val="24"/>
          </w:rPr>
          <w:t>. https://www.frontiersin.org/articles/10.3389/fpsyg.2020.01637</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99">
        <w:r>
          <w:rPr>
            <w:rFonts w:ascii="Times New Roman" w:eastAsia="Times New Roman" w:hAnsi="Times New Roman" w:cs="Times New Roman"/>
            <w:sz w:val="24"/>
            <w:szCs w:val="24"/>
          </w:rPr>
          <w:t xml:space="preserve">Di Paolo, E., Buhrmann, T., &amp; Barandiaran, X. (2018). </w:t>
        </w:r>
      </w:hyperlink>
      <w:hyperlink r:id="rId100">
        <w:r>
          <w:rPr>
            <w:rFonts w:ascii="Times New Roman" w:eastAsia="Times New Roman" w:hAnsi="Times New Roman" w:cs="Times New Roman"/>
            <w:i/>
            <w:sz w:val="24"/>
            <w:szCs w:val="24"/>
          </w:rPr>
          <w:t>Sensorimotor life: An enactive proposal</w:t>
        </w:r>
      </w:hyperlink>
      <w:hyperlink r:id="rId101">
        <w:r>
          <w:rPr>
            <w:rFonts w:ascii="Times New Roman" w:eastAsia="Times New Roman" w:hAnsi="Times New Roman" w:cs="Times New Roman"/>
            <w:sz w:val="24"/>
            <w:szCs w:val="24"/>
          </w:rPr>
          <w:t>. Oxford University Press.</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02">
        <w:r>
          <w:rPr>
            <w:rFonts w:ascii="Times New Roman" w:eastAsia="Times New Roman" w:hAnsi="Times New Roman" w:cs="Times New Roman"/>
            <w:sz w:val="24"/>
            <w:szCs w:val="24"/>
          </w:rPr>
          <w:t xml:space="preserve">Escobar L.-Dellamary, L. (2025). </w:t>
        </w:r>
      </w:hyperlink>
      <w:hyperlink r:id="rId103">
        <w:r>
          <w:rPr>
            <w:rFonts w:ascii="Times New Roman" w:eastAsia="Times New Roman" w:hAnsi="Times New Roman" w:cs="Times New Roman"/>
            <w:i/>
            <w:sz w:val="24"/>
            <w:szCs w:val="24"/>
          </w:rPr>
          <w:t>Dissipative Representations: A Non-Dualist Approach to Language and Identity</w:t>
        </w:r>
      </w:hyperlink>
      <w:hyperlink r:id="rId104">
        <w:r>
          <w:rPr>
            <w:rFonts w:ascii="Times New Roman" w:eastAsia="Times New Roman" w:hAnsi="Times New Roman" w:cs="Times New Roman"/>
            <w:sz w:val="24"/>
            <w:szCs w:val="24"/>
          </w:rPr>
          <w:t>. OSF. https://doi.org/10.31235/osf.io/asdhx_v1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05">
        <w:r>
          <w:rPr>
            <w:rFonts w:ascii="Times New Roman" w:eastAsia="Times New Roman" w:hAnsi="Times New Roman" w:cs="Times New Roman"/>
            <w:sz w:val="24"/>
            <w:szCs w:val="24"/>
          </w:rPr>
          <w:t>Escobar L.-Dellamary, L., &amp; Barajas, G. (2024). La referencia lingüística y la decolonización de los nombres propios</w:t>
        </w:r>
        <w:r>
          <w:rPr>
            <w:rFonts w:ascii="Times New Roman" w:eastAsia="Times New Roman" w:hAnsi="Times New Roman" w:cs="Times New Roman"/>
            <w:sz w:val="24"/>
            <w:szCs w:val="24"/>
          </w:rPr>
          <w:t xml:space="preserve"> en las lenguas de señas. </w:t>
        </w:r>
      </w:hyperlink>
      <w:hyperlink r:id="rId106">
        <w:r>
          <w:rPr>
            <w:rFonts w:ascii="Times New Roman" w:eastAsia="Times New Roman" w:hAnsi="Times New Roman" w:cs="Times New Roman"/>
            <w:i/>
            <w:sz w:val="24"/>
            <w:szCs w:val="24"/>
          </w:rPr>
          <w:t>Lengua y Sociedad</w:t>
        </w:r>
      </w:hyperlink>
      <w:hyperlink r:id="rId107">
        <w:r>
          <w:rPr>
            <w:rFonts w:ascii="Times New Roman" w:eastAsia="Times New Roman" w:hAnsi="Times New Roman" w:cs="Times New Roman"/>
            <w:sz w:val="24"/>
            <w:szCs w:val="24"/>
          </w:rPr>
          <w:t xml:space="preserve">, </w:t>
        </w:r>
      </w:hyperlink>
      <w:hyperlink r:id="rId108">
        <w:r>
          <w:rPr>
            <w:rFonts w:ascii="Times New Roman" w:eastAsia="Times New Roman" w:hAnsi="Times New Roman" w:cs="Times New Roman"/>
            <w:i/>
            <w:sz w:val="24"/>
            <w:szCs w:val="24"/>
          </w:rPr>
          <w:t>23</w:t>
        </w:r>
      </w:hyperlink>
      <w:hyperlink r:id="rId109">
        <w:r>
          <w:rPr>
            <w:rFonts w:ascii="Times New Roman" w:eastAsia="Times New Roman" w:hAnsi="Times New Roman" w:cs="Times New Roman"/>
            <w:sz w:val="24"/>
            <w:szCs w:val="24"/>
          </w:rPr>
          <w:t>(1), 579–607. https://doi.org/10.15381/lengsoc.v23i1.27501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10">
        <w:r>
          <w:rPr>
            <w:rFonts w:ascii="Times New Roman" w:eastAsia="Times New Roman" w:hAnsi="Times New Roman" w:cs="Times New Roman"/>
            <w:sz w:val="24"/>
            <w:szCs w:val="24"/>
          </w:rPr>
          <w:t xml:space="preserve">Flores, N. (2020). From academic language to language architecture: Challenging raciolinguistic ideologies in research and practice. </w:t>
        </w:r>
      </w:hyperlink>
      <w:hyperlink r:id="rId111">
        <w:r>
          <w:rPr>
            <w:rFonts w:ascii="Times New Roman" w:eastAsia="Times New Roman" w:hAnsi="Times New Roman" w:cs="Times New Roman"/>
            <w:i/>
            <w:sz w:val="24"/>
            <w:szCs w:val="24"/>
          </w:rPr>
          <w:t>Theory Into Practice</w:t>
        </w:r>
      </w:hyperlink>
      <w:hyperlink r:id="rId112">
        <w:r>
          <w:rPr>
            <w:rFonts w:ascii="Times New Roman" w:eastAsia="Times New Roman" w:hAnsi="Times New Roman" w:cs="Times New Roman"/>
            <w:sz w:val="24"/>
            <w:szCs w:val="24"/>
          </w:rPr>
          <w:t xml:space="preserve">, </w:t>
        </w:r>
      </w:hyperlink>
      <w:hyperlink r:id="rId113">
        <w:r>
          <w:rPr>
            <w:rFonts w:ascii="Times New Roman" w:eastAsia="Times New Roman" w:hAnsi="Times New Roman" w:cs="Times New Roman"/>
            <w:i/>
            <w:sz w:val="24"/>
            <w:szCs w:val="24"/>
          </w:rPr>
          <w:t>59</w:t>
        </w:r>
      </w:hyperlink>
      <w:hyperlink r:id="rId114">
        <w:r>
          <w:rPr>
            <w:rFonts w:ascii="Times New Roman" w:eastAsia="Times New Roman" w:hAnsi="Times New Roman" w:cs="Times New Roman"/>
            <w:sz w:val="24"/>
            <w:szCs w:val="24"/>
          </w:rPr>
          <w:t>(1), 22–31. https://doi.org/10.1080/00405841.2019.1665411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15">
        <w:r>
          <w:rPr>
            <w:rFonts w:ascii="Times New Roman" w:eastAsia="Times New Roman" w:hAnsi="Times New Roman" w:cs="Times New Roman"/>
            <w:sz w:val="24"/>
            <w:szCs w:val="24"/>
          </w:rPr>
          <w:t xml:space="preserve">Gibson, J. J. (1979). </w:t>
        </w:r>
      </w:hyperlink>
      <w:hyperlink r:id="rId116">
        <w:r>
          <w:rPr>
            <w:rFonts w:ascii="Times New Roman" w:eastAsia="Times New Roman" w:hAnsi="Times New Roman" w:cs="Times New Roman"/>
            <w:i/>
            <w:sz w:val="24"/>
            <w:szCs w:val="24"/>
          </w:rPr>
          <w:t>The ecological approach to visual perception</w:t>
        </w:r>
      </w:hyperlink>
      <w:hyperlink r:id="rId117">
        <w:r>
          <w:rPr>
            <w:rFonts w:ascii="Times New Roman" w:eastAsia="Times New Roman" w:hAnsi="Times New Roman" w:cs="Times New Roman"/>
            <w:sz w:val="24"/>
            <w:szCs w:val="24"/>
          </w:rPr>
          <w:t>. Houghton Mifflin.</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18">
        <w:r>
          <w:rPr>
            <w:rFonts w:ascii="Times New Roman" w:eastAsia="Times New Roman" w:hAnsi="Times New Roman" w:cs="Times New Roman"/>
            <w:sz w:val="24"/>
            <w:szCs w:val="24"/>
          </w:rPr>
          <w:t xml:space="preserve">Gill, C. J. (1997). Four types of integration in disability identity development. </w:t>
        </w:r>
      </w:hyperlink>
      <w:hyperlink r:id="rId119">
        <w:r>
          <w:rPr>
            <w:rFonts w:ascii="Times New Roman" w:eastAsia="Times New Roman" w:hAnsi="Times New Roman" w:cs="Times New Roman"/>
            <w:i/>
            <w:sz w:val="24"/>
            <w:szCs w:val="24"/>
          </w:rPr>
          <w:t>Journal of Vocational Rehabilitation</w:t>
        </w:r>
      </w:hyperlink>
      <w:hyperlink r:id="rId120">
        <w:r>
          <w:rPr>
            <w:rFonts w:ascii="Times New Roman" w:eastAsia="Times New Roman" w:hAnsi="Times New Roman" w:cs="Times New Roman"/>
            <w:sz w:val="24"/>
            <w:szCs w:val="24"/>
          </w:rPr>
          <w:t xml:space="preserve">, </w:t>
        </w:r>
      </w:hyperlink>
      <w:hyperlink r:id="rId121">
        <w:r>
          <w:rPr>
            <w:rFonts w:ascii="Times New Roman" w:eastAsia="Times New Roman" w:hAnsi="Times New Roman" w:cs="Times New Roman"/>
            <w:i/>
            <w:sz w:val="24"/>
            <w:szCs w:val="24"/>
          </w:rPr>
          <w:t>9</w:t>
        </w:r>
      </w:hyperlink>
      <w:hyperlink r:id="rId122">
        <w:r>
          <w:rPr>
            <w:rFonts w:ascii="Times New Roman" w:eastAsia="Times New Roman" w:hAnsi="Times New Roman" w:cs="Times New Roman"/>
            <w:sz w:val="24"/>
            <w:szCs w:val="24"/>
          </w:rPr>
          <w:t>(1), 39–46. https://doi.org/10.1016/S1052-2263(97)00020-2</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23">
        <w:r>
          <w:rPr>
            <w:rFonts w:ascii="Times New Roman" w:eastAsia="Times New Roman" w:hAnsi="Times New Roman" w:cs="Times New Roman"/>
            <w:sz w:val="24"/>
            <w:szCs w:val="24"/>
          </w:rPr>
          <w:t xml:space="preserve">Husserl, E. (1983). </w:t>
        </w:r>
      </w:hyperlink>
      <w:hyperlink r:id="rId124">
        <w:r>
          <w:rPr>
            <w:rFonts w:ascii="Times New Roman" w:eastAsia="Times New Roman" w:hAnsi="Times New Roman" w:cs="Times New Roman"/>
            <w:i/>
            <w:sz w:val="24"/>
            <w:szCs w:val="24"/>
          </w:rPr>
          <w:t>Ideas pertaining to a pure phenomenology and to phenomenological philosophy: First book</w:t>
        </w:r>
      </w:hyperlink>
      <w:hyperlink r:id="rId125">
        <w:r>
          <w:rPr>
            <w:rFonts w:ascii="Times New Roman" w:eastAsia="Times New Roman" w:hAnsi="Times New Roman" w:cs="Times New Roman"/>
            <w:sz w:val="24"/>
            <w:szCs w:val="24"/>
          </w:rPr>
          <w:t xml:space="preserve"> (F. Kersten, Trad.</w:t>
        </w:r>
        <w:r>
          <w:rPr>
            <w:rFonts w:ascii="Times New Roman" w:eastAsia="Times New Roman" w:hAnsi="Times New Roman" w:cs="Times New Roman"/>
            <w:sz w:val="24"/>
            <w:szCs w:val="24"/>
          </w:rPr>
          <w:t>). Martinus Nijhoﬀ.</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26">
        <w:r>
          <w:rPr>
            <w:rFonts w:ascii="Times New Roman" w:eastAsia="Times New Roman" w:hAnsi="Times New Roman" w:cs="Times New Roman"/>
            <w:sz w:val="24"/>
            <w:szCs w:val="24"/>
          </w:rPr>
          <w:t xml:space="preserve">Hutto, D. D., &amp; Myin, E. (2013). </w:t>
        </w:r>
      </w:hyperlink>
      <w:hyperlink r:id="rId127">
        <w:r>
          <w:rPr>
            <w:rFonts w:ascii="Times New Roman" w:eastAsia="Times New Roman" w:hAnsi="Times New Roman" w:cs="Times New Roman"/>
            <w:i/>
            <w:sz w:val="24"/>
            <w:szCs w:val="24"/>
          </w:rPr>
          <w:t>Radicalizing enactivism: Basic minds without content</w:t>
        </w:r>
      </w:hyperlink>
      <w:hyperlink r:id="rId128">
        <w:r>
          <w:rPr>
            <w:rFonts w:ascii="Times New Roman" w:eastAsia="Times New Roman" w:hAnsi="Times New Roman" w:cs="Times New Roman"/>
            <w:sz w:val="24"/>
            <w:szCs w:val="24"/>
          </w:rPr>
          <w:t>. MIT Press.</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29">
        <w:r>
          <w:rPr>
            <w:rFonts w:ascii="Times New Roman" w:eastAsia="Times New Roman" w:hAnsi="Times New Roman" w:cs="Times New Roman"/>
            <w:sz w:val="24"/>
            <w:szCs w:val="24"/>
          </w:rPr>
          <w:t xml:space="preserve">Johnson, R. E., &amp; Erting, C. J. (1989). Cultural and linguistic roots of the Deaf community. En S. Wilcox (Ed.), </w:t>
        </w:r>
      </w:hyperlink>
      <w:hyperlink r:id="rId130">
        <w:r>
          <w:rPr>
            <w:rFonts w:ascii="Times New Roman" w:eastAsia="Times New Roman" w:hAnsi="Times New Roman" w:cs="Times New Roman"/>
            <w:i/>
            <w:sz w:val="24"/>
            <w:szCs w:val="24"/>
          </w:rPr>
          <w:t>American deaf culture: An anthology</w:t>
        </w:r>
      </w:hyperlink>
      <w:hyperlink r:id="rId131">
        <w:r>
          <w:rPr>
            <w:rFonts w:ascii="Times New Roman" w:eastAsia="Times New Roman" w:hAnsi="Times New Roman" w:cs="Times New Roman"/>
            <w:sz w:val="24"/>
            <w:szCs w:val="24"/>
          </w:rPr>
          <w:t xml:space="preserve"> (pp. 1–36). Gallaudet University Press.</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32">
        <w:r>
          <w:rPr>
            <w:rFonts w:ascii="Times New Roman" w:eastAsia="Times New Roman" w:hAnsi="Times New Roman" w:cs="Times New Roman"/>
            <w:sz w:val="24"/>
            <w:szCs w:val="24"/>
          </w:rPr>
          <w:t xml:space="preserve">Keck, V. (1999). Colder than cool: Disability and personhood among the Yupno in Papua New Guinea. </w:t>
        </w:r>
      </w:hyperlink>
      <w:hyperlink r:id="rId133">
        <w:r>
          <w:rPr>
            <w:rFonts w:ascii="Times New Roman" w:eastAsia="Times New Roman" w:hAnsi="Times New Roman" w:cs="Times New Roman"/>
            <w:i/>
            <w:sz w:val="24"/>
            <w:szCs w:val="24"/>
          </w:rPr>
          <w:t>Anthropology &amp; Medicine</w:t>
        </w:r>
      </w:hyperlink>
      <w:hyperlink r:id="rId134">
        <w:r>
          <w:rPr>
            <w:rFonts w:ascii="Times New Roman" w:eastAsia="Times New Roman" w:hAnsi="Times New Roman" w:cs="Times New Roman"/>
            <w:sz w:val="24"/>
            <w:szCs w:val="24"/>
          </w:rPr>
          <w:t xml:space="preserve">, </w:t>
        </w:r>
      </w:hyperlink>
      <w:hyperlink r:id="rId135">
        <w:r>
          <w:rPr>
            <w:rFonts w:ascii="Times New Roman" w:eastAsia="Times New Roman" w:hAnsi="Times New Roman" w:cs="Times New Roman"/>
            <w:i/>
            <w:sz w:val="24"/>
            <w:szCs w:val="24"/>
          </w:rPr>
          <w:t>6</w:t>
        </w:r>
      </w:hyperlink>
      <w:hyperlink r:id="rId136">
        <w:r>
          <w:rPr>
            <w:rFonts w:ascii="Times New Roman" w:eastAsia="Times New Roman" w:hAnsi="Times New Roman" w:cs="Times New Roman"/>
            <w:sz w:val="24"/>
            <w:szCs w:val="24"/>
          </w:rPr>
          <w:t>(3), 261–283. https://doi.org/10.1080/13648470.1999.9964591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37">
        <w:r>
          <w:rPr>
            <w:rFonts w:ascii="Times New Roman" w:eastAsia="Times New Roman" w:hAnsi="Times New Roman" w:cs="Times New Roman"/>
            <w:sz w:val="24"/>
            <w:szCs w:val="24"/>
          </w:rPr>
          <w:t>Lobo, L., Hera</w:t>
        </w:r>
        <w:r>
          <w:rPr>
            <w:rFonts w:ascii="Times New Roman" w:eastAsia="Times New Roman" w:hAnsi="Times New Roman" w:cs="Times New Roman"/>
            <w:sz w:val="24"/>
            <w:szCs w:val="24"/>
          </w:rPr>
          <w:t xml:space="preserve">s-Escribano, M., &amp; Travieso, D. (2018). The History and Philosophy of </w:t>
        </w:r>
        <w:r>
          <w:rPr>
            <w:rFonts w:ascii="Times New Roman" w:eastAsia="Times New Roman" w:hAnsi="Times New Roman" w:cs="Times New Roman"/>
            <w:sz w:val="24"/>
            <w:szCs w:val="24"/>
          </w:rPr>
          <w:lastRenderedPageBreak/>
          <w:t xml:space="preserve">Ecological Psychology. </w:t>
        </w:r>
      </w:hyperlink>
      <w:hyperlink r:id="rId138">
        <w:r>
          <w:rPr>
            <w:rFonts w:ascii="Times New Roman" w:eastAsia="Times New Roman" w:hAnsi="Times New Roman" w:cs="Times New Roman"/>
            <w:i/>
            <w:sz w:val="24"/>
            <w:szCs w:val="24"/>
          </w:rPr>
          <w:t>Frontiers in Psychology</w:t>
        </w:r>
      </w:hyperlink>
      <w:hyperlink r:id="rId139">
        <w:r>
          <w:rPr>
            <w:rFonts w:ascii="Times New Roman" w:eastAsia="Times New Roman" w:hAnsi="Times New Roman" w:cs="Times New Roman"/>
            <w:sz w:val="24"/>
            <w:szCs w:val="24"/>
          </w:rPr>
          <w:t xml:space="preserve">, </w:t>
        </w:r>
      </w:hyperlink>
      <w:hyperlink r:id="rId140">
        <w:r>
          <w:rPr>
            <w:rFonts w:ascii="Times New Roman" w:eastAsia="Times New Roman" w:hAnsi="Times New Roman" w:cs="Times New Roman"/>
            <w:i/>
            <w:sz w:val="24"/>
            <w:szCs w:val="24"/>
          </w:rPr>
          <w:t>9</w:t>
        </w:r>
      </w:hyperlink>
      <w:hyperlink r:id="rId141">
        <w:r>
          <w:rPr>
            <w:rFonts w:ascii="Times New Roman" w:eastAsia="Times New Roman" w:hAnsi="Times New Roman" w:cs="Times New Roman"/>
            <w:sz w:val="24"/>
            <w:szCs w:val="24"/>
          </w:rPr>
          <w:t>, 2228. https://doi.org/10.3389/fpsyg.2018.02228</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42">
        <w:r>
          <w:rPr>
            <w:rFonts w:ascii="Times New Roman" w:eastAsia="Times New Roman" w:hAnsi="Times New Roman" w:cs="Times New Roman"/>
            <w:sz w:val="24"/>
            <w:szCs w:val="24"/>
          </w:rPr>
          <w:t>Marra, A. (2020). The disappearanc</w:t>
        </w:r>
        <w:r>
          <w:rPr>
            <w:rFonts w:ascii="Times New Roman" w:eastAsia="Times New Roman" w:hAnsi="Times New Roman" w:cs="Times New Roman"/>
            <w:sz w:val="24"/>
            <w:szCs w:val="24"/>
          </w:rPr>
          <w:t xml:space="preserve">e of the body: Phenomenology and physical disability. </w:t>
        </w:r>
      </w:hyperlink>
      <w:hyperlink r:id="rId143">
        <w:r>
          <w:rPr>
            <w:rFonts w:ascii="Times New Roman" w:eastAsia="Times New Roman" w:hAnsi="Times New Roman" w:cs="Times New Roman"/>
            <w:i/>
            <w:sz w:val="24"/>
            <w:szCs w:val="24"/>
          </w:rPr>
          <w:t>Encyclopaideia</w:t>
        </w:r>
      </w:hyperlink>
      <w:hyperlink r:id="rId144">
        <w:r>
          <w:rPr>
            <w:rFonts w:ascii="Times New Roman" w:eastAsia="Times New Roman" w:hAnsi="Times New Roman" w:cs="Times New Roman"/>
            <w:sz w:val="24"/>
            <w:szCs w:val="24"/>
          </w:rPr>
          <w:t xml:space="preserve">, </w:t>
        </w:r>
      </w:hyperlink>
      <w:hyperlink r:id="rId145">
        <w:r>
          <w:rPr>
            <w:rFonts w:ascii="Times New Roman" w:eastAsia="Times New Roman" w:hAnsi="Times New Roman" w:cs="Times New Roman"/>
            <w:i/>
            <w:sz w:val="24"/>
            <w:szCs w:val="24"/>
          </w:rPr>
          <w:t>24</w:t>
        </w:r>
      </w:hyperlink>
      <w:hyperlink r:id="rId146">
        <w:r>
          <w:rPr>
            <w:rFonts w:ascii="Times New Roman" w:eastAsia="Times New Roman" w:hAnsi="Times New Roman" w:cs="Times New Roman"/>
            <w:sz w:val="24"/>
            <w:szCs w:val="24"/>
          </w:rPr>
          <w:t>(56), 101–116. https://doi.org/10.6092/issn.1825-8670/10620</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47">
        <w:r>
          <w:rPr>
            <w:rFonts w:ascii="Times New Roman" w:eastAsia="Times New Roman" w:hAnsi="Times New Roman" w:cs="Times New Roman"/>
            <w:sz w:val="24"/>
            <w:szCs w:val="24"/>
          </w:rPr>
          <w:t xml:space="preserve">Mignolo, W. D., &amp; Walsh, C. E. (2018). Introduction. En </w:t>
        </w:r>
      </w:hyperlink>
      <w:hyperlink r:id="rId148">
        <w:r>
          <w:rPr>
            <w:rFonts w:ascii="Times New Roman" w:eastAsia="Times New Roman" w:hAnsi="Times New Roman" w:cs="Times New Roman"/>
            <w:i/>
            <w:sz w:val="24"/>
            <w:szCs w:val="24"/>
          </w:rPr>
          <w:t>On Decoloniality: Concepts, Analytics, Praxis</w:t>
        </w:r>
      </w:hyperlink>
      <w:hyperlink r:id="rId149">
        <w:r>
          <w:rPr>
            <w:rFonts w:ascii="Times New Roman" w:eastAsia="Times New Roman" w:hAnsi="Times New Roman" w:cs="Times New Roman"/>
            <w:sz w:val="24"/>
            <w:szCs w:val="24"/>
          </w:rPr>
          <w:t xml:space="preserve"> (pp. 1–12). Duke University Press. https://doi.org/10.2307/j.ctv11g9616</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0">
        <w:r>
          <w:rPr>
            <w:rFonts w:ascii="Times New Roman" w:eastAsia="Times New Roman" w:hAnsi="Times New Roman" w:cs="Times New Roman"/>
            <w:sz w:val="24"/>
            <w:szCs w:val="24"/>
          </w:rPr>
          <w:t xml:space="preserve">Newen, A., De Bruin, L., &amp; Gallagher, S. (2018). 4E Cognition: Historical Roots, Key Concepts, and Central Issues. En A. Newen, L. De Bruin, &amp; S. Gallagher (Eds.), </w:t>
        </w:r>
      </w:hyperlink>
      <w:hyperlink r:id="rId151">
        <w:r>
          <w:rPr>
            <w:rFonts w:ascii="Times New Roman" w:eastAsia="Times New Roman" w:hAnsi="Times New Roman" w:cs="Times New Roman"/>
            <w:i/>
            <w:sz w:val="24"/>
            <w:szCs w:val="24"/>
          </w:rPr>
          <w:t>The Oxford Handbook of 4E Cognition</w:t>
        </w:r>
      </w:hyperlink>
      <w:hyperlink r:id="rId152">
        <w:r>
          <w:rPr>
            <w:rFonts w:ascii="Times New Roman" w:eastAsia="Times New Roman" w:hAnsi="Times New Roman" w:cs="Times New Roman"/>
            <w:sz w:val="24"/>
            <w:szCs w:val="24"/>
          </w:rPr>
          <w:t xml:space="preserve"> (pp. 1–16). Oxford University Press. https://doi.org/10.1093/oxfordhb/9780198735410.001.0001</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3">
        <w:r>
          <w:rPr>
            <w:rFonts w:ascii="Times New Roman" w:eastAsia="Times New Roman" w:hAnsi="Times New Roman" w:cs="Times New Roman"/>
            <w:sz w:val="24"/>
            <w:szCs w:val="24"/>
          </w:rPr>
          <w:t xml:space="preserve">Peña-Guzmán, D. M., &amp; Reynolds, J. M. (2019). The Harm of Ableism: Medical Error and Epistemic Injustice. </w:t>
        </w:r>
      </w:hyperlink>
      <w:hyperlink r:id="rId154">
        <w:r>
          <w:rPr>
            <w:rFonts w:ascii="Times New Roman" w:eastAsia="Times New Roman" w:hAnsi="Times New Roman" w:cs="Times New Roman"/>
            <w:i/>
            <w:sz w:val="24"/>
            <w:szCs w:val="24"/>
          </w:rPr>
          <w:t>Kennedy Institute of Ethics Journal</w:t>
        </w:r>
      </w:hyperlink>
      <w:hyperlink r:id="rId155">
        <w:r>
          <w:rPr>
            <w:rFonts w:ascii="Times New Roman" w:eastAsia="Times New Roman" w:hAnsi="Times New Roman" w:cs="Times New Roman"/>
            <w:sz w:val="24"/>
            <w:szCs w:val="24"/>
          </w:rPr>
          <w:t xml:space="preserve">, </w:t>
        </w:r>
      </w:hyperlink>
      <w:hyperlink r:id="rId156">
        <w:r>
          <w:rPr>
            <w:rFonts w:ascii="Times New Roman" w:eastAsia="Times New Roman" w:hAnsi="Times New Roman" w:cs="Times New Roman"/>
            <w:i/>
            <w:sz w:val="24"/>
            <w:szCs w:val="24"/>
          </w:rPr>
          <w:t>29</w:t>
        </w:r>
      </w:hyperlink>
      <w:hyperlink r:id="rId157">
        <w:r>
          <w:rPr>
            <w:rFonts w:ascii="Times New Roman" w:eastAsia="Times New Roman" w:hAnsi="Times New Roman" w:cs="Times New Roman"/>
            <w:sz w:val="24"/>
            <w:szCs w:val="24"/>
          </w:rPr>
          <w:t>(3), 205–242.</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8">
        <w:r>
          <w:rPr>
            <w:rFonts w:ascii="Times New Roman" w:eastAsia="Times New Roman" w:hAnsi="Times New Roman" w:cs="Times New Roman"/>
            <w:sz w:val="24"/>
            <w:szCs w:val="24"/>
          </w:rPr>
          <w:t>Pfau, R., Steinbach, M., &amp; Woll, B. (Eds.)</w:t>
        </w:r>
        <w:r>
          <w:rPr>
            <w:rFonts w:ascii="Times New Roman" w:eastAsia="Times New Roman" w:hAnsi="Times New Roman" w:cs="Times New Roman"/>
            <w:sz w:val="24"/>
            <w:szCs w:val="24"/>
          </w:rPr>
          <w:t xml:space="preserve">. (2012). </w:t>
        </w:r>
      </w:hyperlink>
      <w:hyperlink r:id="rId159">
        <w:r>
          <w:rPr>
            <w:rFonts w:ascii="Times New Roman" w:eastAsia="Times New Roman" w:hAnsi="Times New Roman" w:cs="Times New Roman"/>
            <w:i/>
            <w:sz w:val="24"/>
            <w:szCs w:val="24"/>
          </w:rPr>
          <w:t>Sign Language: An International Handbook</w:t>
        </w:r>
      </w:hyperlink>
      <w:hyperlink r:id="rId160">
        <w:r>
          <w:rPr>
            <w:rFonts w:ascii="Times New Roman" w:eastAsia="Times New Roman" w:hAnsi="Times New Roman" w:cs="Times New Roman"/>
            <w:sz w:val="24"/>
            <w:szCs w:val="24"/>
          </w:rPr>
          <w:t>. Mounton de Gruyter.</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61">
        <w:r>
          <w:rPr>
            <w:rFonts w:ascii="Times New Roman" w:eastAsia="Times New Roman" w:hAnsi="Times New Roman" w:cs="Times New Roman"/>
            <w:sz w:val="24"/>
            <w:szCs w:val="24"/>
          </w:rPr>
          <w:t xml:space="preserve">Phyak, P. (2021). Epistemicide, deficit language ideology, and (de)coloniality in language education policy. </w:t>
        </w:r>
      </w:hyperlink>
      <w:hyperlink r:id="rId162">
        <w:r>
          <w:rPr>
            <w:rFonts w:ascii="Times New Roman" w:eastAsia="Times New Roman" w:hAnsi="Times New Roman" w:cs="Times New Roman"/>
            <w:i/>
            <w:sz w:val="24"/>
            <w:szCs w:val="24"/>
          </w:rPr>
          <w:t>International Journal of the Sociology of Language</w:t>
        </w:r>
      </w:hyperlink>
      <w:hyperlink r:id="rId163">
        <w:r>
          <w:rPr>
            <w:rFonts w:ascii="Times New Roman" w:eastAsia="Times New Roman" w:hAnsi="Times New Roman" w:cs="Times New Roman"/>
            <w:sz w:val="24"/>
            <w:szCs w:val="24"/>
          </w:rPr>
          <w:t xml:space="preserve">, </w:t>
        </w:r>
      </w:hyperlink>
      <w:hyperlink r:id="rId164">
        <w:r>
          <w:rPr>
            <w:rFonts w:ascii="Times New Roman" w:eastAsia="Times New Roman" w:hAnsi="Times New Roman" w:cs="Times New Roman"/>
            <w:i/>
            <w:sz w:val="24"/>
            <w:szCs w:val="24"/>
          </w:rPr>
          <w:t>2021</w:t>
        </w:r>
      </w:hyperlink>
      <w:hyperlink r:id="rId165">
        <w:r>
          <w:rPr>
            <w:rFonts w:ascii="Times New Roman" w:eastAsia="Times New Roman" w:hAnsi="Times New Roman" w:cs="Times New Roman"/>
            <w:sz w:val="24"/>
            <w:szCs w:val="24"/>
          </w:rPr>
          <w:t>, 219–233. https://doi.org/10.1515/ijsl-2020-0104</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66">
        <w:r>
          <w:rPr>
            <w:rFonts w:ascii="Times New Roman" w:eastAsia="Times New Roman" w:hAnsi="Times New Roman" w:cs="Times New Roman"/>
            <w:sz w:val="24"/>
            <w:szCs w:val="24"/>
          </w:rPr>
          <w:t xml:space="preserve">Posholi, L. (2020). Epistemic Decolonization as Overcoming the Hermeneutical Injustice of Eurocentrism. </w:t>
        </w:r>
      </w:hyperlink>
      <w:hyperlink r:id="rId167">
        <w:r>
          <w:rPr>
            <w:rFonts w:ascii="Times New Roman" w:eastAsia="Times New Roman" w:hAnsi="Times New Roman" w:cs="Times New Roman"/>
            <w:i/>
            <w:sz w:val="24"/>
            <w:szCs w:val="24"/>
          </w:rPr>
          <w:t>Philosophical Papers</w:t>
        </w:r>
      </w:hyperlink>
      <w:hyperlink r:id="rId168">
        <w:r>
          <w:rPr>
            <w:rFonts w:ascii="Times New Roman" w:eastAsia="Times New Roman" w:hAnsi="Times New Roman" w:cs="Times New Roman"/>
            <w:sz w:val="24"/>
            <w:szCs w:val="24"/>
          </w:rPr>
          <w:t xml:space="preserve">, </w:t>
        </w:r>
      </w:hyperlink>
      <w:hyperlink r:id="rId169">
        <w:r>
          <w:rPr>
            <w:rFonts w:ascii="Times New Roman" w:eastAsia="Times New Roman" w:hAnsi="Times New Roman" w:cs="Times New Roman"/>
            <w:i/>
            <w:sz w:val="24"/>
            <w:szCs w:val="24"/>
          </w:rPr>
          <w:t>49</w:t>
        </w:r>
      </w:hyperlink>
      <w:hyperlink r:id="rId170">
        <w:r>
          <w:rPr>
            <w:rFonts w:ascii="Times New Roman" w:eastAsia="Times New Roman" w:hAnsi="Times New Roman" w:cs="Times New Roman"/>
            <w:sz w:val="24"/>
            <w:szCs w:val="24"/>
          </w:rPr>
          <w:t>(2), 279–304. https://doi.org/10.1080/05568641.2020.1779604</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71">
        <w:r>
          <w:rPr>
            <w:rFonts w:ascii="Times New Roman" w:eastAsia="Times New Roman" w:hAnsi="Times New Roman" w:cs="Times New Roman"/>
            <w:sz w:val="24"/>
            <w:szCs w:val="24"/>
          </w:rPr>
          <w:t xml:space="preserve">Szymanski, D. M., &amp; Gupta, A. R. (2009). Examining the Relationship Between Multiple Internalized Oppressions and African American Lesbian, Gay, Bisexual, and Questioning Persons’ Self-Esteem and Psychological Distress. </w:t>
        </w:r>
      </w:hyperlink>
      <w:hyperlink r:id="rId172">
        <w:r>
          <w:rPr>
            <w:rFonts w:ascii="Times New Roman" w:eastAsia="Times New Roman" w:hAnsi="Times New Roman" w:cs="Times New Roman"/>
            <w:i/>
            <w:sz w:val="24"/>
            <w:szCs w:val="24"/>
          </w:rPr>
          <w:t>Journal of Counseling Psychology</w:t>
        </w:r>
      </w:hyperlink>
      <w:hyperlink r:id="rId173">
        <w:r>
          <w:rPr>
            <w:rFonts w:ascii="Times New Roman" w:eastAsia="Times New Roman" w:hAnsi="Times New Roman" w:cs="Times New Roman"/>
            <w:sz w:val="24"/>
            <w:szCs w:val="24"/>
          </w:rPr>
          <w:t xml:space="preserve">, </w:t>
        </w:r>
      </w:hyperlink>
      <w:hyperlink r:id="rId174">
        <w:r>
          <w:rPr>
            <w:rFonts w:ascii="Times New Roman" w:eastAsia="Times New Roman" w:hAnsi="Times New Roman" w:cs="Times New Roman"/>
            <w:i/>
            <w:sz w:val="24"/>
            <w:szCs w:val="24"/>
          </w:rPr>
          <w:t>56</w:t>
        </w:r>
      </w:hyperlink>
      <w:hyperlink r:id="rId175">
        <w:r>
          <w:rPr>
            <w:rFonts w:ascii="Times New Roman" w:eastAsia="Times New Roman" w:hAnsi="Times New Roman" w:cs="Times New Roman"/>
            <w:sz w:val="24"/>
            <w:szCs w:val="24"/>
          </w:rPr>
          <w:t>(1), 110–118. https://doi.org/10.1037/a0013317</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76">
        <w:r>
          <w:rPr>
            <w:rFonts w:ascii="Times New Roman" w:eastAsia="Times New Roman" w:hAnsi="Times New Roman" w:cs="Times New Roman"/>
            <w:sz w:val="24"/>
            <w:szCs w:val="24"/>
          </w:rPr>
          <w:t>Toro, J., Kiverstein, J., &amp; Rietveld, E. (2020). The Ecological-Enactive Model of Disability: Why Disability Does Not Entai</w:t>
        </w:r>
        <w:r>
          <w:rPr>
            <w:rFonts w:ascii="Times New Roman" w:eastAsia="Times New Roman" w:hAnsi="Times New Roman" w:cs="Times New Roman"/>
            <w:sz w:val="24"/>
            <w:szCs w:val="24"/>
          </w:rPr>
          <w:t xml:space="preserve">l Pathological Embodiment. </w:t>
        </w:r>
      </w:hyperlink>
      <w:hyperlink r:id="rId177">
        <w:r>
          <w:rPr>
            <w:rFonts w:ascii="Times New Roman" w:eastAsia="Times New Roman" w:hAnsi="Times New Roman" w:cs="Times New Roman"/>
            <w:i/>
            <w:sz w:val="24"/>
            <w:szCs w:val="24"/>
          </w:rPr>
          <w:t>Frontiers in Psychology</w:t>
        </w:r>
      </w:hyperlink>
      <w:hyperlink r:id="rId178">
        <w:r>
          <w:rPr>
            <w:rFonts w:ascii="Times New Roman" w:eastAsia="Times New Roman" w:hAnsi="Times New Roman" w:cs="Times New Roman"/>
            <w:sz w:val="24"/>
            <w:szCs w:val="24"/>
          </w:rPr>
          <w:t xml:space="preserve">, </w:t>
        </w:r>
      </w:hyperlink>
      <w:hyperlink r:id="rId179">
        <w:r>
          <w:rPr>
            <w:rFonts w:ascii="Times New Roman" w:eastAsia="Times New Roman" w:hAnsi="Times New Roman" w:cs="Times New Roman"/>
            <w:i/>
            <w:sz w:val="24"/>
            <w:szCs w:val="24"/>
          </w:rPr>
          <w:t>11</w:t>
        </w:r>
      </w:hyperlink>
      <w:hyperlink r:id="rId180">
        <w:r>
          <w:rPr>
            <w:rFonts w:ascii="Times New Roman" w:eastAsia="Times New Roman" w:hAnsi="Times New Roman" w:cs="Times New Roman"/>
            <w:sz w:val="24"/>
            <w:szCs w:val="24"/>
          </w:rPr>
          <w:t>. https://www.frontiersin.org/articles/10.3389/fpsyg.2020.01162</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81">
        <w:r>
          <w:rPr>
            <w:rFonts w:ascii="Times New Roman" w:eastAsia="Times New Roman" w:hAnsi="Times New Roman" w:cs="Times New Roman"/>
            <w:sz w:val="24"/>
            <w:szCs w:val="24"/>
          </w:rPr>
          <w:t xml:space="preserve">Turner, D. M., &amp; Blackie, D. (2018). </w:t>
        </w:r>
      </w:hyperlink>
      <w:hyperlink r:id="rId182">
        <w:r>
          <w:rPr>
            <w:rFonts w:ascii="Times New Roman" w:eastAsia="Times New Roman" w:hAnsi="Times New Roman" w:cs="Times New Roman"/>
            <w:i/>
            <w:sz w:val="24"/>
            <w:szCs w:val="24"/>
          </w:rPr>
          <w:t>Disability in the Industrial Revolution: Physical impairment in British coalmining, 1780-1880</w:t>
        </w:r>
      </w:hyperlink>
      <w:hyperlink r:id="rId183">
        <w:r>
          <w:rPr>
            <w:rFonts w:ascii="Times New Roman" w:eastAsia="Times New Roman" w:hAnsi="Times New Roman" w:cs="Times New Roman"/>
            <w:sz w:val="24"/>
            <w:szCs w:val="24"/>
          </w:rPr>
          <w:t>. Manchester University Press. http://www.ncbi.nlm.nih.gov/books/NBK5131</w:t>
        </w:r>
        <w:r>
          <w:rPr>
            <w:rFonts w:ascii="Times New Roman" w:eastAsia="Times New Roman" w:hAnsi="Times New Roman" w:cs="Times New Roman"/>
            <w:sz w:val="24"/>
            <w:szCs w:val="24"/>
          </w:rPr>
          <w:t>98/</w:t>
        </w:r>
      </w:hyperlink>
    </w:p>
    <w:p w:rsidR="0039168B" w:rsidRDefault="002B631A">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84">
        <w:r>
          <w:rPr>
            <w:rFonts w:ascii="Times New Roman" w:eastAsia="Times New Roman" w:hAnsi="Times New Roman" w:cs="Times New Roman"/>
            <w:sz w:val="24"/>
            <w:szCs w:val="24"/>
          </w:rPr>
          <w:t xml:space="preserve">Varela, F., Thompson, E., &amp; Rosch, E. (1991). </w:t>
        </w:r>
      </w:hyperlink>
      <w:hyperlink r:id="rId185">
        <w:r>
          <w:rPr>
            <w:rFonts w:ascii="Times New Roman" w:eastAsia="Times New Roman" w:hAnsi="Times New Roman" w:cs="Times New Roman"/>
            <w:i/>
            <w:sz w:val="24"/>
            <w:szCs w:val="24"/>
          </w:rPr>
          <w:t>The Embodied Mind: Cognitive Science and Human Experience</w:t>
        </w:r>
      </w:hyperlink>
      <w:hyperlink r:id="rId186">
        <w:r>
          <w:rPr>
            <w:rFonts w:ascii="Times New Roman" w:eastAsia="Times New Roman" w:hAnsi="Times New Roman" w:cs="Times New Roman"/>
            <w:sz w:val="24"/>
            <w:szCs w:val="24"/>
          </w:rPr>
          <w:t>. The MIT Press.</w:t>
        </w:r>
      </w:hyperlink>
    </w:p>
    <w:sectPr w:rsidR="0039168B" w:rsidSect="005F0B3A">
      <w:footerReference w:type="default" r:id="rId18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31A" w:rsidRDefault="002B631A">
      <w:pPr>
        <w:spacing w:line="240" w:lineRule="auto"/>
      </w:pPr>
      <w:r>
        <w:separator/>
      </w:r>
    </w:p>
  </w:endnote>
  <w:endnote w:type="continuationSeparator" w:id="0">
    <w:p w:rsidR="002B631A" w:rsidRDefault="002B6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ungsuh">
    <w:altName w:val="Times New Roman"/>
    <w:charset w:val="00"/>
    <w:family w:val="auto"/>
    <w:pitch w:val="default"/>
  </w:font>
  <w:font w:name="Card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B" w:rsidRDefault="002B631A">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5F0B3A">
      <w:rPr>
        <w:rFonts w:ascii="Times New Roman" w:eastAsia="Times New Roman" w:hAnsi="Times New Roman" w:cs="Times New Roman"/>
        <w:sz w:val="24"/>
        <w:szCs w:val="24"/>
      </w:rPr>
      <w:fldChar w:fldCharType="separate"/>
    </w:r>
    <w:r w:rsidR="009D2870">
      <w:rPr>
        <w:rFonts w:ascii="Times New Roman" w:eastAsia="Times New Roman" w:hAnsi="Times New Roman" w:cs="Times New Roman"/>
        <w:noProof/>
        <w:sz w:val="24"/>
        <w:szCs w:val="24"/>
      </w:rPr>
      <w:t>19</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31A" w:rsidRDefault="002B631A">
      <w:pPr>
        <w:spacing w:line="240" w:lineRule="auto"/>
      </w:pPr>
      <w:r>
        <w:separator/>
      </w:r>
    </w:p>
  </w:footnote>
  <w:footnote w:type="continuationSeparator" w:id="0">
    <w:p w:rsidR="002B631A" w:rsidRDefault="002B63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B34"/>
    <w:multiLevelType w:val="multilevel"/>
    <w:tmpl w:val="9B301C7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8B"/>
    <w:rsid w:val="00124DC7"/>
    <w:rsid w:val="002B631A"/>
    <w:rsid w:val="0039168B"/>
    <w:rsid w:val="005F0B3A"/>
    <w:rsid w:val="009D28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1653F"/>
  <w15:docId w15:val="{75D5DD35-7940-4C3D-8C2E-AEBC50F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Y1EAQ4" TargetMode="External"/><Relationship Id="rId21" Type="http://schemas.openxmlformats.org/officeDocument/2006/relationships/hyperlink" Target="https://www.zotero.org/google-docs/?LaIAG6" TargetMode="External"/><Relationship Id="rId42" Type="http://schemas.openxmlformats.org/officeDocument/2006/relationships/hyperlink" Target="https://www.zotero.org/google-docs/?Y1EAQ4" TargetMode="External"/><Relationship Id="rId63" Type="http://schemas.openxmlformats.org/officeDocument/2006/relationships/hyperlink" Target="https://www.zotero.org/google-docs/?Y1EAQ4" TargetMode="External"/><Relationship Id="rId84" Type="http://schemas.openxmlformats.org/officeDocument/2006/relationships/hyperlink" Target="https://www.zotero.org/google-docs/?Y1EAQ4" TargetMode="External"/><Relationship Id="rId138" Type="http://schemas.openxmlformats.org/officeDocument/2006/relationships/hyperlink" Target="https://www.zotero.org/google-docs/?Y1EAQ4" TargetMode="External"/><Relationship Id="rId159" Type="http://schemas.openxmlformats.org/officeDocument/2006/relationships/hyperlink" Target="https://www.zotero.org/google-docs/?Y1EAQ4" TargetMode="External"/><Relationship Id="rId170" Type="http://schemas.openxmlformats.org/officeDocument/2006/relationships/hyperlink" Target="https://www.zotero.org/google-docs/?Y1EAQ4" TargetMode="External"/><Relationship Id="rId107" Type="http://schemas.openxmlformats.org/officeDocument/2006/relationships/hyperlink" Target="https://www.zotero.org/google-docs/?Y1EAQ4" TargetMode="External"/><Relationship Id="rId11" Type="http://schemas.openxmlformats.org/officeDocument/2006/relationships/hyperlink" Target="https://www.zotero.org/google-docs/?3K3Ixi" TargetMode="External"/><Relationship Id="rId32" Type="http://schemas.openxmlformats.org/officeDocument/2006/relationships/hyperlink" Target="https://www.zotero.org/google-docs/?wREkOX" TargetMode="External"/><Relationship Id="rId53" Type="http://schemas.openxmlformats.org/officeDocument/2006/relationships/hyperlink" Target="https://www.zotero.org/google-docs/?Y1EAQ4" TargetMode="External"/><Relationship Id="rId74" Type="http://schemas.openxmlformats.org/officeDocument/2006/relationships/hyperlink" Target="https://www.zotero.org/google-docs/?Y1EAQ4" TargetMode="External"/><Relationship Id="rId128" Type="http://schemas.openxmlformats.org/officeDocument/2006/relationships/hyperlink" Target="https://www.zotero.org/google-docs/?Y1EAQ4" TargetMode="External"/><Relationship Id="rId149" Type="http://schemas.openxmlformats.org/officeDocument/2006/relationships/hyperlink" Target="https://www.zotero.org/google-docs/?Y1EAQ4" TargetMode="External"/><Relationship Id="rId5" Type="http://schemas.openxmlformats.org/officeDocument/2006/relationships/footnotes" Target="footnotes.xml"/><Relationship Id="rId95" Type="http://schemas.openxmlformats.org/officeDocument/2006/relationships/hyperlink" Target="https://www.zotero.org/google-docs/?Y1EAQ4" TargetMode="External"/><Relationship Id="rId160" Type="http://schemas.openxmlformats.org/officeDocument/2006/relationships/hyperlink" Target="https://www.zotero.org/google-docs/?Y1EAQ4" TargetMode="External"/><Relationship Id="rId181" Type="http://schemas.openxmlformats.org/officeDocument/2006/relationships/hyperlink" Target="https://www.zotero.org/google-docs/?Y1EAQ4" TargetMode="External"/><Relationship Id="rId22" Type="http://schemas.openxmlformats.org/officeDocument/2006/relationships/hyperlink" Target="https://www.zotero.org/google-docs/?FVgmya" TargetMode="External"/><Relationship Id="rId43" Type="http://schemas.openxmlformats.org/officeDocument/2006/relationships/hyperlink" Target="https://www.zotero.org/google-docs/?Y1EAQ4" TargetMode="External"/><Relationship Id="rId64" Type="http://schemas.openxmlformats.org/officeDocument/2006/relationships/hyperlink" Target="https://www.zotero.org/google-docs/?Y1EAQ4" TargetMode="External"/><Relationship Id="rId118" Type="http://schemas.openxmlformats.org/officeDocument/2006/relationships/hyperlink" Target="https://www.zotero.org/google-docs/?Y1EAQ4" TargetMode="External"/><Relationship Id="rId139" Type="http://schemas.openxmlformats.org/officeDocument/2006/relationships/hyperlink" Target="https://www.zotero.org/google-docs/?Y1EAQ4" TargetMode="External"/><Relationship Id="rId85" Type="http://schemas.openxmlformats.org/officeDocument/2006/relationships/hyperlink" Target="https://www.zotero.org/google-docs/?Y1EAQ4" TargetMode="External"/><Relationship Id="rId150" Type="http://schemas.openxmlformats.org/officeDocument/2006/relationships/hyperlink" Target="https://www.zotero.org/google-docs/?Y1EAQ4" TargetMode="External"/><Relationship Id="rId171" Type="http://schemas.openxmlformats.org/officeDocument/2006/relationships/hyperlink" Target="https://www.zotero.org/google-docs/?Y1EAQ4" TargetMode="External"/><Relationship Id="rId12" Type="http://schemas.openxmlformats.org/officeDocument/2006/relationships/hyperlink" Target="https://www.zotero.org/google-docs/?w9xksO" TargetMode="External"/><Relationship Id="rId33" Type="http://schemas.openxmlformats.org/officeDocument/2006/relationships/hyperlink" Target="https://www.zotero.org/google-docs/?UNSOky" TargetMode="External"/><Relationship Id="rId108" Type="http://schemas.openxmlformats.org/officeDocument/2006/relationships/hyperlink" Target="https://www.zotero.org/google-docs/?Y1EAQ4" TargetMode="External"/><Relationship Id="rId129" Type="http://schemas.openxmlformats.org/officeDocument/2006/relationships/hyperlink" Target="https://www.zotero.org/google-docs/?Y1EAQ4" TargetMode="External"/><Relationship Id="rId54" Type="http://schemas.openxmlformats.org/officeDocument/2006/relationships/hyperlink" Target="https://www.zotero.org/google-docs/?Y1EAQ4" TargetMode="External"/><Relationship Id="rId75" Type="http://schemas.openxmlformats.org/officeDocument/2006/relationships/hyperlink" Target="https://www.zotero.org/google-docs/?Y1EAQ4" TargetMode="External"/><Relationship Id="rId96" Type="http://schemas.openxmlformats.org/officeDocument/2006/relationships/hyperlink" Target="https://www.zotero.org/google-docs/?Y1EAQ4" TargetMode="External"/><Relationship Id="rId140" Type="http://schemas.openxmlformats.org/officeDocument/2006/relationships/hyperlink" Target="https://www.zotero.org/google-docs/?Y1EAQ4" TargetMode="External"/><Relationship Id="rId161" Type="http://schemas.openxmlformats.org/officeDocument/2006/relationships/hyperlink" Target="https://www.zotero.org/google-docs/?Y1EAQ4" TargetMode="External"/><Relationship Id="rId182" Type="http://schemas.openxmlformats.org/officeDocument/2006/relationships/hyperlink" Target="https://www.zotero.org/google-docs/?Y1EAQ4" TargetMode="External"/><Relationship Id="rId6" Type="http://schemas.openxmlformats.org/officeDocument/2006/relationships/endnotes" Target="endnotes.xml"/><Relationship Id="rId23" Type="http://schemas.openxmlformats.org/officeDocument/2006/relationships/hyperlink" Target="https://www.zotero.org/google-docs/?4V24dB" TargetMode="External"/><Relationship Id="rId119" Type="http://schemas.openxmlformats.org/officeDocument/2006/relationships/hyperlink" Target="https://www.zotero.org/google-docs/?Y1EAQ4" TargetMode="External"/><Relationship Id="rId44" Type="http://schemas.openxmlformats.org/officeDocument/2006/relationships/hyperlink" Target="https://www.zotero.org/google-docs/?Y1EAQ4" TargetMode="External"/><Relationship Id="rId65" Type="http://schemas.openxmlformats.org/officeDocument/2006/relationships/hyperlink" Target="https://www.zotero.org/google-docs/?Y1EAQ4" TargetMode="External"/><Relationship Id="rId86" Type="http://schemas.openxmlformats.org/officeDocument/2006/relationships/hyperlink" Target="https://www.zotero.org/google-docs/?Y1EAQ4" TargetMode="External"/><Relationship Id="rId130" Type="http://schemas.openxmlformats.org/officeDocument/2006/relationships/hyperlink" Target="https://www.zotero.org/google-docs/?Y1EAQ4" TargetMode="External"/><Relationship Id="rId151" Type="http://schemas.openxmlformats.org/officeDocument/2006/relationships/hyperlink" Target="https://www.zotero.org/google-docs/?Y1EAQ4" TargetMode="External"/><Relationship Id="rId172" Type="http://schemas.openxmlformats.org/officeDocument/2006/relationships/hyperlink" Target="https://www.zotero.org/google-docs/?Y1EAQ4" TargetMode="External"/><Relationship Id="rId13" Type="http://schemas.openxmlformats.org/officeDocument/2006/relationships/hyperlink" Target="https://www.zotero.org/google-docs/?QCZ7FV" TargetMode="External"/><Relationship Id="rId18" Type="http://schemas.openxmlformats.org/officeDocument/2006/relationships/hyperlink" Target="https://www.zotero.org/google-docs/?ESpiQ8" TargetMode="External"/><Relationship Id="rId39" Type="http://schemas.openxmlformats.org/officeDocument/2006/relationships/hyperlink" Target="https://www.zotero.org/google-docs/?Y1EAQ4" TargetMode="External"/><Relationship Id="rId109" Type="http://schemas.openxmlformats.org/officeDocument/2006/relationships/hyperlink" Target="https://www.zotero.org/google-docs/?Y1EAQ4" TargetMode="External"/><Relationship Id="rId34" Type="http://schemas.openxmlformats.org/officeDocument/2006/relationships/hyperlink" Target="https://www.zotero.org/google-docs/?XCROYe" TargetMode="External"/><Relationship Id="rId50" Type="http://schemas.openxmlformats.org/officeDocument/2006/relationships/hyperlink" Target="https://www.zotero.org/google-docs/?Y1EAQ4" TargetMode="External"/><Relationship Id="rId55" Type="http://schemas.openxmlformats.org/officeDocument/2006/relationships/hyperlink" Target="https://www.zotero.org/google-docs/?Y1EAQ4" TargetMode="External"/><Relationship Id="rId76" Type="http://schemas.openxmlformats.org/officeDocument/2006/relationships/hyperlink" Target="https://www.zotero.org/google-docs/?Y1EAQ4" TargetMode="External"/><Relationship Id="rId97" Type="http://schemas.openxmlformats.org/officeDocument/2006/relationships/hyperlink" Target="https://www.zotero.org/google-docs/?Y1EAQ4" TargetMode="External"/><Relationship Id="rId104" Type="http://schemas.openxmlformats.org/officeDocument/2006/relationships/hyperlink" Target="https://www.zotero.org/google-docs/?Y1EAQ4" TargetMode="External"/><Relationship Id="rId120" Type="http://schemas.openxmlformats.org/officeDocument/2006/relationships/hyperlink" Target="https://www.zotero.org/google-docs/?Y1EAQ4" TargetMode="External"/><Relationship Id="rId125" Type="http://schemas.openxmlformats.org/officeDocument/2006/relationships/hyperlink" Target="https://www.zotero.org/google-docs/?Y1EAQ4" TargetMode="External"/><Relationship Id="rId141" Type="http://schemas.openxmlformats.org/officeDocument/2006/relationships/hyperlink" Target="https://www.zotero.org/google-docs/?Y1EAQ4" TargetMode="External"/><Relationship Id="rId146" Type="http://schemas.openxmlformats.org/officeDocument/2006/relationships/hyperlink" Target="https://www.zotero.org/google-docs/?Y1EAQ4" TargetMode="External"/><Relationship Id="rId167" Type="http://schemas.openxmlformats.org/officeDocument/2006/relationships/hyperlink" Target="https://www.zotero.org/google-docs/?Y1EAQ4" TargetMode="External"/><Relationship Id="rId188" Type="http://schemas.openxmlformats.org/officeDocument/2006/relationships/fontTable" Target="fontTable.xml"/><Relationship Id="rId7" Type="http://schemas.openxmlformats.org/officeDocument/2006/relationships/hyperlink" Target="https://www.zotero.org/google-docs/?FXgeww" TargetMode="External"/><Relationship Id="rId71" Type="http://schemas.openxmlformats.org/officeDocument/2006/relationships/hyperlink" Target="https://www.zotero.org/google-docs/?Y1EAQ4" TargetMode="External"/><Relationship Id="rId92" Type="http://schemas.openxmlformats.org/officeDocument/2006/relationships/hyperlink" Target="https://www.zotero.org/google-docs/?Y1EAQ4" TargetMode="External"/><Relationship Id="rId162" Type="http://schemas.openxmlformats.org/officeDocument/2006/relationships/hyperlink" Target="https://www.zotero.org/google-docs/?Y1EAQ4" TargetMode="External"/><Relationship Id="rId183" Type="http://schemas.openxmlformats.org/officeDocument/2006/relationships/hyperlink" Target="https://www.zotero.org/google-docs/?Y1EAQ4" TargetMode="External"/><Relationship Id="rId2" Type="http://schemas.openxmlformats.org/officeDocument/2006/relationships/styles" Target="styles.xml"/><Relationship Id="rId29" Type="http://schemas.openxmlformats.org/officeDocument/2006/relationships/hyperlink" Target="https://www.zotero.org/google-docs/?X0RAA9" TargetMode="External"/><Relationship Id="rId24" Type="http://schemas.openxmlformats.org/officeDocument/2006/relationships/hyperlink" Target="https://www.zotero.org/google-docs/?kJa8ML" TargetMode="External"/><Relationship Id="rId40" Type="http://schemas.openxmlformats.org/officeDocument/2006/relationships/hyperlink" Target="https://www.zotero.org/google-docs/?Y1EAQ4" TargetMode="External"/><Relationship Id="rId45" Type="http://schemas.openxmlformats.org/officeDocument/2006/relationships/hyperlink" Target="https://www.zotero.org/google-docs/?Y1EAQ4" TargetMode="External"/><Relationship Id="rId66" Type="http://schemas.openxmlformats.org/officeDocument/2006/relationships/hyperlink" Target="https://www.zotero.org/google-docs/?Y1EAQ4" TargetMode="External"/><Relationship Id="rId87" Type="http://schemas.openxmlformats.org/officeDocument/2006/relationships/hyperlink" Target="https://www.zotero.org/google-docs/?Y1EAQ4" TargetMode="External"/><Relationship Id="rId110" Type="http://schemas.openxmlformats.org/officeDocument/2006/relationships/hyperlink" Target="https://www.zotero.org/google-docs/?Y1EAQ4" TargetMode="External"/><Relationship Id="rId115" Type="http://schemas.openxmlformats.org/officeDocument/2006/relationships/hyperlink" Target="https://www.zotero.org/google-docs/?Y1EAQ4" TargetMode="External"/><Relationship Id="rId131" Type="http://schemas.openxmlformats.org/officeDocument/2006/relationships/hyperlink" Target="https://www.zotero.org/google-docs/?Y1EAQ4" TargetMode="External"/><Relationship Id="rId136" Type="http://schemas.openxmlformats.org/officeDocument/2006/relationships/hyperlink" Target="https://www.zotero.org/google-docs/?Y1EAQ4" TargetMode="External"/><Relationship Id="rId157" Type="http://schemas.openxmlformats.org/officeDocument/2006/relationships/hyperlink" Target="https://www.zotero.org/google-docs/?Y1EAQ4" TargetMode="External"/><Relationship Id="rId178" Type="http://schemas.openxmlformats.org/officeDocument/2006/relationships/hyperlink" Target="https://www.zotero.org/google-docs/?Y1EAQ4" TargetMode="External"/><Relationship Id="rId61" Type="http://schemas.openxmlformats.org/officeDocument/2006/relationships/hyperlink" Target="https://www.zotero.org/google-docs/?Y1EAQ4" TargetMode="External"/><Relationship Id="rId82" Type="http://schemas.openxmlformats.org/officeDocument/2006/relationships/hyperlink" Target="https://www.zotero.org/google-docs/?Y1EAQ4" TargetMode="External"/><Relationship Id="rId152" Type="http://schemas.openxmlformats.org/officeDocument/2006/relationships/hyperlink" Target="https://www.zotero.org/google-docs/?Y1EAQ4" TargetMode="External"/><Relationship Id="rId173" Type="http://schemas.openxmlformats.org/officeDocument/2006/relationships/hyperlink" Target="https://www.zotero.org/google-docs/?Y1EAQ4" TargetMode="External"/><Relationship Id="rId19" Type="http://schemas.openxmlformats.org/officeDocument/2006/relationships/hyperlink" Target="https://www.zotero.org/google-docs/?iW9hWS" TargetMode="External"/><Relationship Id="rId14" Type="http://schemas.openxmlformats.org/officeDocument/2006/relationships/hyperlink" Target="https://www.zotero.org/google-docs/?f8A78U" TargetMode="External"/><Relationship Id="rId30" Type="http://schemas.openxmlformats.org/officeDocument/2006/relationships/hyperlink" Target="https://www.zotero.org/google-docs/?BJtxqs" TargetMode="External"/><Relationship Id="rId35" Type="http://schemas.openxmlformats.org/officeDocument/2006/relationships/image" Target="media/image1.png"/><Relationship Id="rId56" Type="http://schemas.openxmlformats.org/officeDocument/2006/relationships/hyperlink" Target="https://www.zotero.org/google-docs/?Y1EAQ4" TargetMode="External"/><Relationship Id="rId77" Type="http://schemas.openxmlformats.org/officeDocument/2006/relationships/hyperlink" Target="https://www.zotero.org/google-docs/?Y1EAQ4" TargetMode="External"/><Relationship Id="rId100" Type="http://schemas.openxmlformats.org/officeDocument/2006/relationships/hyperlink" Target="https://www.zotero.org/google-docs/?Y1EAQ4" TargetMode="External"/><Relationship Id="rId105" Type="http://schemas.openxmlformats.org/officeDocument/2006/relationships/hyperlink" Target="https://www.zotero.org/google-docs/?Y1EAQ4" TargetMode="External"/><Relationship Id="rId126" Type="http://schemas.openxmlformats.org/officeDocument/2006/relationships/hyperlink" Target="https://www.zotero.org/google-docs/?Y1EAQ4" TargetMode="External"/><Relationship Id="rId147" Type="http://schemas.openxmlformats.org/officeDocument/2006/relationships/hyperlink" Target="https://www.zotero.org/google-docs/?Y1EAQ4" TargetMode="External"/><Relationship Id="rId168" Type="http://schemas.openxmlformats.org/officeDocument/2006/relationships/hyperlink" Target="https://www.zotero.org/google-docs/?Y1EAQ4" TargetMode="External"/><Relationship Id="rId8" Type="http://schemas.openxmlformats.org/officeDocument/2006/relationships/hyperlink" Target="https://www.zotero.org/google-docs/?F9yYdP" TargetMode="External"/><Relationship Id="rId51" Type="http://schemas.openxmlformats.org/officeDocument/2006/relationships/hyperlink" Target="https://www.zotero.org/google-docs/?Y1EAQ4" TargetMode="External"/><Relationship Id="rId72" Type="http://schemas.openxmlformats.org/officeDocument/2006/relationships/hyperlink" Target="https://www.zotero.org/google-docs/?Y1EAQ4" TargetMode="External"/><Relationship Id="rId93" Type="http://schemas.openxmlformats.org/officeDocument/2006/relationships/hyperlink" Target="https://www.zotero.org/google-docs/?Y1EAQ4" TargetMode="External"/><Relationship Id="rId98" Type="http://schemas.openxmlformats.org/officeDocument/2006/relationships/hyperlink" Target="https://www.zotero.org/google-docs/?Y1EAQ4" TargetMode="External"/><Relationship Id="rId121" Type="http://schemas.openxmlformats.org/officeDocument/2006/relationships/hyperlink" Target="https://www.zotero.org/google-docs/?Y1EAQ4" TargetMode="External"/><Relationship Id="rId142" Type="http://schemas.openxmlformats.org/officeDocument/2006/relationships/hyperlink" Target="https://www.zotero.org/google-docs/?Y1EAQ4" TargetMode="External"/><Relationship Id="rId163" Type="http://schemas.openxmlformats.org/officeDocument/2006/relationships/hyperlink" Target="https://www.zotero.org/google-docs/?Y1EAQ4" TargetMode="External"/><Relationship Id="rId184" Type="http://schemas.openxmlformats.org/officeDocument/2006/relationships/hyperlink" Target="https://www.zotero.org/google-docs/?Y1EAQ4"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zotero.org/google-docs/?b0C2Zg" TargetMode="External"/><Relationship Id="rId46" Type="http://schemas.openxmlformats.org/officeDocument/2006/relationships/hyperlink" Target="https://www.zotero.org/google-docs/?Y1EAQ4" TargetMode="External"/><Relationship Id="rId67" Type="http://schemas.openxmlformats.org/officeDocument/2006/relationships/hyperlink" Target="https://www.zotero.org/google-docs/?Y1EAQ4" TargetMode="External"/><Relationship Id="rId116" Type="http://schemas.openxmlformats.org/officeDocument/2006/relationships/hyperlink" Target="https://www.zotero.org/google-docs/?Y1EAQ4" TargetMode="External"/><Relationship Id="rId137" Type="http://schemas.openxmlformats.org/officeDocument/2006/relationships/hyperlink" Target="https://www.zotero.org/google-docs/?Y1EAQ4" TargetMode="External"/><Relationship Id="rId158" Type="http://schemas.openxmlformats.org/officeDocument/2006/relationships/hyperlink" Target="https://www.zotero.org/google-docs/?Y1EAQ4" TargetMode="External"/><Relationship Id="rId20" Type="http://schemas.openxmlformats.org/officeDocument/2006/relationships/hyperlink" Target="https://www.zotero.org/google-docs/?CqCuy1" TargetMode="External"/><Relationship Id="rId41" Type="http://schemas.openxmlformats.org/officeDocument/2006/relationships/hyperlink" Target="https://www.zotero.org/google-docs/?Y1EAQ4" TargetMode="External"/><Relationship Id="rId62" Type="http://schemas.openxmlformats.org/officeDocument/2006/relationships/hyperlink" Target="https://www.zotero.org/google-docs/?Y1EAQ4" TargetMode="External"/><Relationship Id="rId83" Type="http://schemas.openxmlformats.org/officeDocument/2006/relationships/hyperlink" Target="https://www.zotero.org/google-docs/?Y1EAQ4" TargetMode="External"/><Relationship Id="rId88" Type="http://schemas.openxmlformats.org/officeDocument/2006/relationships/hyperlink" Target="https://www.zotero.org/google-docs/?Y1EAQ4" TargetMode="External"/><Relationship Id="rId111" Type="http://schemas.openxmlformats.org/officeDocument/2006/relationships/hyperlink" Target="https://www.zotero.org/google-docs/?Y1EAQ4" TargetMode="External"/><Relationship Id="rId132" Type="http://schemas.openxmlformats.org/officeDocument/2006/relationships/hyperlink" Target="https://www.zotero.org/google-docs/?Y1EAQ4" TargetMode="External"/><Relationship Id="rId153" Type="http://schemas.openxmlformats.org/officeDocument/2006/relationships/hyperlink" Target="https://www.zotero.org/google-docs/?Y1EAQ4" TargetMode="External"/><Relationship Id="rId174" Type="http://schemas.openxmlformats.org/officeDocument/2006/relationships/hyperlink" Target="https://www.zotero.org/google-docs/?Y1EAQ4" TargetMode="External"/><Relationship Id="rId179" Type="http://schemas.openxmlformats.org/officeDocument/2006/relationships/hyperlink" Target="https://www.zotero.org/google-docs/?Y1EAQ4" TargetMode="External"/><Relationship Id="rId15" Type="http://schemas.openxmlformats.org/officeDocument/2006/relationships/hyperlink" Target="https://www.zotero.org/google-docs/?nzRy6v" TargetMode="External"/><Relationship Id="rId36" Type="http://schemas.openxmlformats.org/officeDocument/2006/relationships/hyperlink" Target="https://www.zotero.org/google-docs/?Y1EAQ4" TargetMode="External"/><Relationship Id="rId57" Type="http://schemas.openxmlformats.org/officeDocument/2006/relationships/hyperlink" Target="https://www.zotero.org/google-docs/?Y1EAQ4" TargetMode="External"/><Relationship Id="rId106" Type="http://schemas.openxmlformats.org/officeDocument/2006/relationships/hyperlink" Target="https://www.zotero.org/google-docs/?Y1EAQ4" TargetMode="External"/><Relationship Id="rId127" Type="http://schemas.openxmlformats.org/officeDocument/2006/relationships/hyperlink" Target="https://www.zotero.org/google-docs/?Y1EAQ4" TargetMode="External"/><Relationship Id="rId10" Type="http://schemas.openxmlformats.org/officeDocument/2006/relationships/hyperlink" Target="https://www.zotero.org/google-docs/?BsGfOU" TargetMode="External"/><Relationship Id="rId31" Type="http://schemas.openxmlformats.org/officeDocument/2006/relationships/hyperlink" Target="https://www.zotero.org/google-docs/?RgLz5Q" TargetMode="External"/><Relationship Id="rId52" Type="http://schemas.openxmlformats.org/officeDocument/2006/relationships/hyperlink" Target="https://www.zotero.org/google-docs/?Y1EAQ4" TargetMode="External"/><Relationship Id="rId73" Type="http://schemas.openxmlformats.org/officeDocument/2006/relationships/hyperlink" Target="https://www.zotero.org/google-docs/?Y1EAQ4" TargetMode="External"/><Relationship Id="rId78" Type="http://schemas.openxmlformats.org/officeDocument/2006/relationships/hyperlink" Target="https://www.zotero.org/google-docs/?Y1EAQ4" TargetMode="External"/><Relationship Id="rId94" Type="http://schemas.openxmlformats.org/officeDocument/2006/relationships/hyperlink" Target="https://www.zotero.org/google-docs/?Y1EAQ4" TargetMode="External"/><Relationship Id="rId99" Type="http://schemas.openxmlformats.org/officeDocument/2006/relationships/hyperlink" Target="https://www.zotero.org/google-docs/?Y1EAQ4" TargetMode="External"/><Relationship Id="rId101" Type="http://schemas.openxmlformats.org/officeDocument/2006/relationships/hyperlink" Target="https://www.zotero.org/google-docs/?Y1EAQ4" TargetMode="External"/><Relationship Id="rId122" Type="http://schemas.openxmlformats.org/officeDocument/2006/relationships/hyperlink" Target="https://www.zotero.org/google-docs/?Y1EAQ4" TargetMode="External"/><Relationship Id="rId143" Type="http://schemas.openxmlformats.org/officeDocument/2006/relationships/hyperlink" Target="https://www.zotero.org/google-docs/?Y1EAQ4" TargetMode="External"/><Relationship Id="rId148" Type="http://schemas.openxmlformats.org/officeDocument/2006/relationships/hyperlink" Target="https://www.zotero.org/google-docs/?Y1EAQ4" TargetMode="External"/><Relationship Id="rId164" Type="http://schemas.openxmlformats.org/officeDocument/2006/relationships/hyperlink" Target="https://www.zotero.org/google-docs/?Y1EAQ4" TargetMode="External"/><Relationship Id="rId169" Type="http://schemas.openxmlformats.org/officeDocument/2006/relationships/hyperlink" Target="https://www.zotero.org/google-docs/?Y1EAQ4" TargetMode="External"/><Relationship Id="rId185" Type="http://schemas.openxmlformats.org/officeDocument/2006/relationships/hyperlink" Target="https://www.zotero.org/google-docs/?Y1EAQ4" TargetMode="External"/><Relationship Id="rId4" Type="http://schemas.openxmlformats.org/officeDocument/2006/relationships/webSettings" Target="webSettings.xml"/><Relationship Id="rId9" Type="http://schemas.openxmlformats.org/officeDocument/2006/relationships/hyperlink" Target="https://www.zotero.org/google-docs/?4YwVyJ" TargetMode="External"/><Relationship Id="rId180" Type="http://schemas.openxmlformats.org/officeDocument/2006/relationships/hyperlink" Target="https://www.zotero.org/google-docs/?Y1EAQ4" TargetMode="External"/><Relationship Id="rId26" Type="http://schemas.openxmlformats.org/officeDocument/2006/relationships/hyperlink" Target="https://www.zotero.org/google-docs/?BvFcoj" TargetMode="External"/><Relationship Id="rId47" Type="http://schemas.openxmlformats.org/officeDocument/2006/relationships/hyperlink" Target="https://www.zotero.org/google-docs/?Y1EAQ4" TargetMode="External"/><Relationship Id="rId68" Type="http://schemas.openxmlformats.org/officeDocument/2006/relationships/hyperlink" Target="https://www.zotero.org/google-docs/?Y1EAQ4" TargetMode="External"/><Relationship Id="rId89" Type="http://schemas.openxmlformats.org/officeDocument/2006/relationships/hyperlink" Target="https://www.zotero.org/google-docs/?Y1EAQ4" TargetMode="External"/><Relationship Id="rId112" Type="http://schemas.openxmlformats.org/officeDocument/2006/relationships/hyperlink" Target="https://www.zotero.org/google-docs/?Y1EAQ4" TargetMode="External"/><Relationship Id="rId133" Type="http://schemas.openxmlformats.org/officeDocument/2006/relationships/hyperlink" Target="https://www.zotero.org/google-docs/?Y1EAQ4" TargetMode="External"/><Relationship Id="rId154" Type="http://schemas.openxmlformats.org/officeDocument/2006/relationships/hyperlink" Target="https://www.zotero.org/google-docs/?Y1EAQ4" TargetMode="External"/><Relationship Id="rId175" Type="http://schemas.openxmlformats.org/officeDocument/2006/relationships/hyperlink" Target="https://www.zotero.org/google-docs/?Y1EAQ4" TargetMode="External"/><Relationship Id="rId16" Type="http://schemas.openxmlformats.org/officeDocument/2006/relationships/hyperlink" Target="https://www.zotero.org/google-docs/?0I8a9z" TargetMode="External"/><Relationship Id="rId37" Type="http://schemas.openxmlformats.org/officeDocument/2006/relationships/hyperlink" Target="https://www.zotero.org/google-docs/?Y1EAQ4" TargetMode="External"/><Relationship Id="rId58" Type="http://schemas.openxmlformats.org/officeDocument/2006/relationships/hyperlink" Target="https://www.zotero.org/google-docs/?Y1EAQ4" TargetMode="External"/><Relationship Id="rId79" Type="http://schemas.openxmlformats.org/officeDocument/2006/relationships/hyperlink" Target="https://www.zotero.org/google-docs/?Y1EAQ4" TargetMode="External"/><Relationship Id="rId102" Type="http://schemas.openxmlformats.org/officeDocument/2006/relationships/hyperlink" Target="https://www.zotero.org/google-docs/?Y1EAQ4" TargetMode="External"/><Relationship Id="rId123" Type="http://schemas.openxmlformats.org/officeDocument/2006/relationships/hyperlink" Target="https://www.zotero.org/google-docs/?Y1EAQ4" TargetMode="External"/><Relationship Id="rId144" Type="http://schemas.openxmlformats.org/officeDocument/2006/relationships/hyperlink" Target="https://www.zotero.org/google-docs/?Y1EAQ4" TargetMode="External"/><Relationship Id="rId90" Type="http://schemas.openxmlformats.org/officeDocument/2006/relationships/hyperlink" Target="https://www.zotero.org/google-docs/?Y1EAQ4" TargetMode="External"/><Relationship Id="rId165" Type="http://schemas.openxmlformats.org/officeDocument/2006/relationships/hyperlink" Target="https://www.zotero.org/google-docs/?Y1EAQ4" TargetMode="External"/><Relationship Id="rId186" Type="http://schemas.openxmlformats.org/officeDocument/2006/relationships/hyperlink" Target="https://www.zotero.org/google-docs/?Y1EAQ4" TargetMode="External"/><Relationship Id="rId27" Type="http://schemas.openxmlformats.org/officeDocument/2006/relationships/hyperlink" Target="https://www.zotero.org/google-docs/?WDU7Yw" TargetMode="External"/><Relationship Id="rId48" Type="http://schemas.openxmlformats.org/officeDocument/2006/relationships/hyperlink" Target="https://www.zotero.org/google-docs/?Y1EAQ4" TargetMode="External"/><Relationship Id="rId69" Type="http://schemas.openxmlformats.org/officeDocument/2006/relationships/hyperlink" Target="https://www.zotero.org/google-docs/?Y1EAQ4" TargetMode="External"/><Relationship Id="rId113" Type="http://schemas.openxmlformats.org/officeDocument/2006/relationships/hyperlink" Target="https://www.zotero.org/google-docs/?Y1EAQ4" TargetMode="External"/><Relationship Id="rId134" Type="http://schemas.openxmlformats.org/officeDocument/2006/relationships/hyperlink" Target="https://www.zotero.org/google-docs/?Y1EAQ4" TargetMode="External"/><Relationship Id="rId80" Type="http://schemas.openxmlformats.org/officeDocument/2006/relationships/hyperlink" Target="https://www.zotero.org/google-docs/?Y1EAQ4" TargetMode="External"/><Relationship Id="rId155" Type="http://schemas.openxmlformats.org/officeDocument/2006/relationships/hyperlink" Target="https://www.zotero.org/google-docs/?Y1EAQ4" TargetMode="External"/><Relationship Id="rId176" Type="http://schemas.openxmlformats.org/officeDocument/2006/relationships/hyperlink" Target="https://www.zotero.org/google-docs/?Y1EAQ4" TargetMode="External"/><Relationship Id="rId17" Type="http://schemas.openxmlformats.org/officeDocument/2006/relationships/hyperlink" Target="https://www.zotero.org/google-docs/?DIPUpu" TargetMode="External"/><Relationship Id="rId38" Type="http://schemas.openxmlformats.org/officeDocument/2006/relationships/hyperlink" Target="https://www.zotero.org/google-docs/?Y1EAQ4" TargetMode="External"/><Relationship Id="rId59" Type="http://schemas.openxmlformats.org/officeDocument/2006/relationships/hyperlink" Target="https://www.zotero.org/google-docs/?Y1EAQ4" TargetMode="External"/><Relationship Id="rId103" Type="http://schemas.openxmlformats.org/officeDocument/2006/relationships/hyperlink" Target="https://www.zotero.org/google-docs/?Y1EAQ4" TargetMode="External"/><Relationship Id="rId124" Type="http://schemas.openxmlformats.org/officeDocument/2006/relationships/hyperlink" Target="https://www.zotero.org/google-docs/?Y1EAQ4" TargetMode="External"/><Relationship Id="rId70" Type="http://schemas.openxmlformats.org/officeDocument/2006/relationships/hyperlink" Target="https://www.zotero.org/google-docs/?Y1EAQ4" TargetMode="External"/><Relationship Id="rId91" Type="http://schemas.openxmlformats.org/officeDocument/2006/relationships/hyperlink" Target="https://www.zotero.org/google-docs/?Y1EAQ4" TargetMode="External"/><Relationship Id="rId145" Type="http://schemas.openxmlformats.org/officeDocument/2006/relationships/hyperlink" Target="https://www.zotero.org/google-docs/?Y1EAQ4" TargetMode="External"/><Relationship Id="rId166" Type="http://schemas.openxmlformats.org/officeDocument/2006/relationships/hyperlink" Target="https://www.zotero.org/google-docs/?Y1EAQ4" TargetMode="External"/><Relationship Id="rId187" Type="http://schemas.openxmlformats.org/officeDocument/2006/relationships/footer" Target="footer1.xml"/><Relationship Id="rId1" Type="http://schemas.openxmlformats.org/officeDocument/2006/relationships/numbering" Target="numbering.xml"/><Relationship Id="rId28" Type="http://schemas.openxmlformats.org/officeDocument/2006/relationships/hyperlink" Target="https://www.zotero.org/google-docs/?r6wS0F" TargetMode="External"/><Relationship Id="rId49" Type="http://schemas.openxmlformats.org/officeDocument/2006/relationships/hyperlink" Target="https://www.zotero.org/google-docs/?Y1EAQ4" TargetMode="External"/><Relationship Id="rId114" Type="http://schemas.openxmlformats.org/officeDocument/2006/relationships/hyperlink" Target="https://www.zotero.org/google-docs/?Y1EAQ4" TargetMode="External"/><Relationship Id="rId60" Type="http://schemas.openxmlformats.org/officeDocument/2006/relationships/hyperlink" Target="https://www.zotero.org/google-docs/?Y1EAQ4" TargetMode="External"/><Relationship Id="rId81" Type="http://schemas.openxmlformats.org/officeDocument/2006/relationships/hyperlink" Target="https://www.zotero.org/google-docs/?Y1EAQ4" TargetMode="External"/><Relationship Id="rId135" Type="http://schemas.openxmlformats.org/officeDocument/2006/relationships/hyperlink" Target="https://www.zotero.org/google-docs/?Y1EAQ4" TargetMode="External"/><Relationship Id="rId156" Type="http://schemas.openxmlformats.org/officeDocument/2006/relationships/hyperlink" Target="https://www.zotero.org/google-docs/?Y1EAQ4" TargetMode="External"/><Relationship Id="rId177" Type="http://schemas.openxmlformats.org/officeDocument/2006/relationships/hyperlink" Target="https://www.zotero.org/google-docs/?Y1EA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7036</Words>
  <Characters>45386</Characters>
  <DocSecurity>0</DocSecurity>
  <Lines>825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2025-04-28T16:46:00Z</dcterms:created>
  <dcterms:modified xsi:type="dcterms:W3CDTF">2025-04-28T19:29:00Z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7980a242616fad5d2937257c4cc5ba218519c560e7f4b9e956b1daa673889144</vt:lpwstr>
  </property>
</Properties>
</file>