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2D97" w14:textId="77777777" w:rsidR="00C913F3" w:rsidRPr="00000CC8" w:rsidRDefault="00C913F3" w:rsidP="00C913F3">
      <w:pPr>
        <w:pBdr>
          <w:top w:val="nil"/>
          <w:left w:val="nil"/>
          <w:bottom w:val="nil"/>
          <w:right w:val="nil"/>
          <w:between w:val="nil"/>
        </w:pBdr>
        <w:jc w:val="center"/>
        <w:rPr>
          <w:b/>
          <w:sz w:val="36"/>
          <w:szCs w:val="36"/>
          <w:lang w:val="en-US"/>
        </w:rPr>
      </w:pPr>
      <w:r w:rsidRPr="00000CC8">
        <w:rPr>
          <w:b/>
          <w:sz w:val="36"/>
          <w:szCs w:val="36"/>
          <w:lang w:val="en"/>
        </w:rPr>
        <w:t xml:space="preserve">Contributions of Cognitive Psychology to the </w:t>
      </w:r>
      <w:r>
        <w:rPr>
          <w:b/>
          <w:sz w:val="36"/>
          <w:szCs w:val="36"/>
          <w:lang w:val="en"/>
        </w:rPr>
        <w:t>A</w:t>
      </w:r>
      <w:r w:rsidRPr="00000CC8">
        <w:rPr>
          <w:b/>
          <w:sz w:val="36"/>
          <w:szCs w:val="36"/>
          <w:lang w:val="en"/>
        </w:rPr>
        <w:t xml:space="preserve">pplication of Comprehensive Sexual Education as a </w:t>
      </w:r>
      <w:r>
        <w:rPr>
          <w:b/>
          <w:sz w:val="36"/>
          <w:szCs w:val="36"/>
          <w:lang w:val="en"/>
        </w:rPr>
        <w:t>H</w:t>
      </w:r>
      <w:r w:rsidRPr="00000CC8">
        <w:rPr>
          <w:b/>
          <w:sz w:val="36"/>
          <w:szCs w:val="36"/>
          <w:lang w:val="en"/>
        </w:rPr>
        <w:t xml:space="preserve">uman </w:t>
      </w:r>
      <w:r>
        <w:rPr>
          <w:b/>
          <w:sz w:val="36"/>
          <w:szCs w:val="36"/>
          <w:lang w:val="en"/>
        </w:rPr>
        <w:t>R</w:t>
      </w:r>
      <w:r w:rsidRPr="00000CC8">
        <w:rPr>
          <w:b/>
          <w:sz w:val="36"/>
          <w:szCs w:val="36"/>
          <w:lang w:val="en"/>
        </w:rPr>
        <w:t>ight</w:t>
      </w:r>
    </w:p>
    <w:p w14:paraId="3C0CD412" w14:textId="77777777" w:rsidR="00C913F3" w:rsidRPr="00000CC8" w:rsidRDefault="00C913F3" w:rsidP="00C913F3">
      <w:pPr>
        <w:pBdr>
          <w:top w:val="nil"/>
          <w:left w:val="nil"/>
          <w:bottom w:val="nil"/>
          <w:right w:val="nil"/>
          <w:between w:val="nil"/>
        </w:pBdr>
        <w:jc w:val="center"/>
        <w:rPr>
          <w:b/>
          <w:color w:val="FF0000"/>
          <w:sz w:val="36"/>
          <w:szCs w:val="36"/>
          <w:lang w:val="en-US"/>
        </w:rPr>
      </w:pPr>
    </w:p>
    <w:p w14:paraId="533084B0" w14:textId="77777777" w:rsidR="00C913F3" w:rsidRPr="00000CC8" w:rsidRDefault="00C913F3" w:rsidP="00C913F3">
      <w:pPr>
        <w:rPr>
          <w:b/>
          <w:color w:val="FF0000"/>
          <w:lang w:val="en-US"/>
        </w:rPr>
      </w:pPr>
    </w:p>
    <w:p w14:paraId="075F3F17" w14:textId="77777777" w:rsidR="00C913F3" w:rsidRPr="00000CC8" w:rsidRDefault="00C913F3" w:rsidP="00C913F3">
      <w:pPr>
        <w:rPr>
          <w:i/>
          <w:color w:val="FF0000"/>
          <w:sz w:val="28"/>
          <w:szCs w:val="28"/>
          <w:lang w:val="en-US"/>
        </w:rPr>
      </w:pPr>
    </w:p>
    <w:p w14:paraId="6C03FF17" w14:textId="77777777" w:rsidR="00C913F3" w:rsidRPr="00000CC8" w:rsidRDefault="00C913F3" w:rsidP="00C913F3">
      <w:pPr>
        <w:rPr>
          <w:rFonts w:ascii="Times" w:eastAsia="Times" w:hAnsi="Times" w:cs="Times"/>
          <w:i/>
          <w:color w:val="FF0000"/>
          <w:sz w:val="28"/>
          <w:szCs w:val="28"/>
          <w:lang w:val="en-US"/>
        </w:rPr>
      </w:pPr>
      <w:r w:rsidRPr="00636433">
        <w:rPr>
          <w:noProof/>
          <w:color w:val="FF0000"/>
        </w:rPr>
        <mc:AlternateContent>
          <mc:Choice Requires="wps">
            <w:drawing>
              <wp:anchor distT="4294967295" distB="4294967295" distL="114300" distR="114300" simplePos="0" relativeHeight="251659264" behindDoc="0" locked="0" layoutInCell="1" hidden="0" allowOverlap="1" wp14:anchorId="6644EFDE" wp14:editId="7DB2F53B">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74D8AE09"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705DF5DC" w14:textId="77777777" w:rsidR="00C913F3" w:rsidRPr="00000CC8" w:rsidRDefault="00C913F3" w:rsidP="00C913F3">
      <w:pPr>
        <w:rPr>
          <w:b/>
          <w:color w:val="FF0000"/>
          <w:sz w:val="20"/>
          <w:szCs w:val="20"/>
          <w:lang w:val="en-US"/>
        </w:rPr>
      </w:pPr>
    </w:p>
    <w:p w14:paraId="5FADF753" w14:textId="77777777" w:rsidR="00C913F3" w:rsidRPr="00A55D51" w:rsidRDefault="00C913F3" w:rsidP="00C913F3">
      <w:pPr>
        <w:pBdr>
          <w:top w:val="nil"/>
          <w:left w:val="nil"/>
          <w:bottom w:val="nil"/>
          <w:right w:val="nil"/>
          <w:between w:val="nil"/>
        </w:pBdr>
        <w:spacing w:after="120"/>
        <w:jc w:val="center"/>
        <w:rPr>
          <w:b/>
          <w:smallCaps/>
          <w:sz w:val="20"/>
          <w:szCs w:val="20"/>
          <w:lang w:val="en-US"/>
        </w:rPr>
      </w:pPr>
      <w:r w:rsidRPr="00A55D51">
        <w:rPr>
          <w:b/>
          <w:smallCaps/>
          <w:sz w:val="20"/>
          <w:szCs w:val="20"/>
          <w:lang w:val="en-US"/>
        </w:rPr>
        <w:t>Abstract</w:t>
      </w:r>
    </w:p>
    <w:p w14:paraId="2FF6157A" w14:textId="77777777" w:rsidR="00C913F3" w:rsidRPr="00C913F3" w:rsidRDefault="00C913F3" w:rsidP="00C913F3">
      <w:pPr>
        <w:pBdr>
          <w:top w:val="nil"/>
          <w:left w:val="nil"/>
          <w:bottom w:val="nil"/>
          <w:right w:val="nil"/>
          <w:between w:val="nil"/>
        </w:pBdr>
        <w:spacing w:after="120"/>
        <w:jc w:val="both"/>
        <w:rPr>
          <w:b/>
          <w:smallCaps/>
          <w:sz w:val="20"/>
          <w:szCs w:val="20"/>
          <w:lang w:val="en-US"/>
        </w:rPr>
      </w:pPr>
      <w:r w:rsidRPr="00A55D51">
        <w:rPr>
          <w:sz w:val="20"/>
          <w:szCs w:val="20"/>
          <w:lang w:val="en"/>
        </w:rPr>
        <w:t xml:space="preserve">Access to CSE is a right that has encountered limitations in its implementation. The purpose of this paper is to contribute to the application of CSE by examining the impact of three discursive elements derived from Cognitive Psychology—causal connectivity, presentation mode, and note-taking—on the comprehension of CSE material intended for preservice teachers. Fifty-six advanced students from the Psychology Teaching Program at the University of Buenos Aires (UBA) participated. The material was segmented into statements and classified according to their causal connectivity: high, medium, or low. Each participant was assigned to a presentation mode (oral or written) and a note-taking condition (focused on the listener's emotions or on key ideas). Participants were then asked to answer the following questions: What content do they consider they learned about CSE? A three-way analysis of variance was conducted. The results indicated a significant effect on the high causal connectivity of the statements. Therefore, </w:t>
      </w:r>
      <w:proofErr w:type="gramStart"/>
      <w:r w:rsidRPr="00A55D51">
        <w:rPr>
          <w:sz w:val="20"/>
          <w:szCs w:val="20"/>
          <w:lang w:val="en"/>
        </w:rPr>
        <w:t>taking into account</w:t>
      </w:r>
      <w:proofErr w:type="gramEnd"/>
      <w:r w:rsidRPr="00A55D51">
        <w:rPr>
          <w:sz w:val="20"/>
          <w:szCs w:val="20"/>
          <w:lang w:val="en"/>
        </w:rPr>
        <w:t xml:space="preserve"> causal connectivity in ESI materials presented to student teachers could foster their understanding and facilitate their implementation by restoring the rights that comprise it.</w:t>
      </w:r>
    </w:p>
    <w:p w14:paraId="0EA2B97F" w14:textId="77777777" w:rsidR="00C913F3" w:rsidRPr="00A55D51" w:rsidRDefault="00C913F3" w:rsidP="00C913F3">
      <w:pPr>
        <w:rPr>
          <w:sz w:val="20"/>
          <w:szCs w:val="20"/>
          <w:lang w:val="en-US"/>
        </w:rPr>
      </w:pPr>
    </w:p>
    <w:p w14:paraId="13B2FE41" w14:textId="77777777" w:rsidR="00C913F3" w:rsidRPr="00A55D51" w:rsidRDefault="00C913F3" w:rsidP="00C913F3">
      <w:pPr>
        <w:rPr>
          <w:b/>
          <w:sz w:val="20"/>
          <w:szCs w:val="20"/>
          <w:lang w:val="en-US"/>
        </w:rPr>
      </w:pPr>
      <w:r w:rsidRPr="00A55D51">
        <w:rPr>
          <w:b/>
          <w:sz w:val="20"/>
          <w:szCs w:val="20"/>
          <w:lang w:val="en-US"/>
        </w:rPr>
        <w:t>Keywords</w:t>
      </w:r>
    </w:p>
    <w:p w14:paraId="54D0B12B" w14:textId="77777777" w:rsidR="00C913F3" w:rsidRPr="00A55D51" w:rsidRDefault="00C913F3" w:rsidP="00C913F3">
      <w:pPr>
        <w:jc w:val="both"/>
        <w:rPr>
          <w:sz w:val="20"/>
          <w:szCs w:val="20"/>
          <w:lang w:val="en-US"/>
        </w:rPr>
      </w:pPr>
      <w:r w:rsidRPr="00215CD8">
        <w:rPr>
          <w:sz w:val="20"/>
          <w:szCs w:val="20"/>
          <w:lang w:val="en-US"/>
        </w:rPr>
        <w:t>Comprehensive Sexual Education, Teacher Training, Cognitive Psychology, Human Rights, Discourse Analysis</w:t>
      </w:r>
    </w:p>
    <w:p w14:paraId="6529A93E" w14:textId="77777777" w:rsidR="00C913F3" w:rsidRPr="00A55D51" w:rsidRDefault="00C913F3" w:rsidP="00C913F3">
      <w:pPr>
        <w:jc w:val="both"/>
        <w:rPr>
          <w:sz w:val="20"/>
          <w:szCs w:val="20"/>
          <w:lang w:val="en-US"/>
        </w:rPr>
      </w:pPr>
    </w:p>
    <w:p w14:paraId="0A4E9B93" w14:textId="77777777" w:rsidR="00C913F3" w:rsidRPr="00A55D51" w:rsidRDefault="00C913F3" w:rsidP="00C913F3">
      <w:pPr>
        <w:pBdr>
          <w:top w:val="nil"/>
          <w:left w:val="nil"/>
          <w:bottom w:val="nil"/>
          <w:right w:val="nil"/>
          <w:between w:val="nil"/>
        </w:pBdr>
        <w:spacing w:after="120"/>
        <w:jc w:val="center"/>
        <w:rPr>
          <w:b/>
          <w:smallCaps/>
          <w:sz w:val="20"/>
          <w:szCs w:val="20"/>
        </w:rPr>
      </w:pPr>
      <w:r w:rsidRPr="00A55D51">
        <w:rPr>
          <w:b/>
          <w:smallCaps/>
          <w:sz w:val="20"/>
          <w:szCs w:val="20"/>
        </w:rPr>
        <w:t>Resumen</w:t>
      </w:r>
    </w:p>
    <w:p w14:paraId="04B30709" w14:textId="77777777" w:rsidR="00C913F3" w:rsidRPr="00A55D51" w:rsidRDefault="00C913F3" w:rsidP="00C913F3">
      <w:pPr>
        <w:widowControl w:val="0"/>
        <w:pBdr>
          <w:top w:val="nil"/>
          <w:left w:val="nil"/>
          <w:bottom w:val="nil"/>
          <w:right w:val="nil"/>
          <w:between w:val="nil"/>
        </w:pBdr>
        <w:jc w:val="both"/>
        <w:rPr>
          <w:rFonts w:eastAsia="Arial"/>
          <w:sz w:val="20"/>
          <w:szCs w:val="20"/>
        </w:rPr>
      </w:pPr>
      <w:r w:rsidRPr="00A55D51">
        <w:rPr>
          <w:rFonts w:eastAsia="Arial"/>
          <w:sz w:val="20"/>
          <w:szCs w:val="20"/>
        </w:rPr>
        <w:t xml:space="preserve">El acceso a la ESI es un derecho que ha encontrado limitaciones en su implementación. El propósito de este trabajo es contribuir con la aplicación de la ESI a partir de examinar la incidencia de tres elementos discursivos provenientes de la Psicología Cognitiva—conectividad causal, modalidad de presentación y toma de notas— en la comprensión de un material sobre ESI destinado a docentes en formación. Participaron 56 estudiantes avanzados del Profesorado de Psicología de la UBA. El material utilizado fue segmentado en enunciados y clasificado según su conectividad causal: alta, media o baja. Cada participante fue asignado a una modalidad de presentación del material (oral o escrita) y a una condición de toma de notas (enfocada en emociones del comprendedor o en ideas claves) y luego a responder: </w:t>
      </w:r>
      <w:r w:rsidRPr="00A55D51">
        <w:rPr>
          <w:rFonts w:eastAsia="Arial"/>
          <w:i/>
          <w:iCs/>
          <w:sz w:val="20"/>
          <w:szCs w:val="20"/>
        </w:rPr>
        <w:t>¿qué contenidos considera que aprendió sobre ESI?</w:t>
      </w:r>
      <w:r w:rsidRPr="00A55D51">
        <w:rPr>
          <w:rFonts w:eastAsia="Arial"/>
          <w:sz w:val="20"/>
          <w:szCs w:val="20"/>
        </w:rPr>
        <w:t xml:space="preserve"> Se llevó a cabo un análisis de varianza con tres factores. Los resultados indicaron un efecto significativo para la conectividad causal alta de los enunciados. Por lo cual, tener en cuenta la conectividad causal en los materiales de ESI presentados a estudiantes del profesorado podría fomentar su comprensión y favorecer su implementación restituyendo los derechos que la componen. </w:t>
      </w:r>
    </w:p>
    <w:p w14:paraId="63219353" w14:textId="77777777" w:rsidR="00C913F3" w:rsidRPr="00A55D51" w:rsidRDefault="00C913F3" w:rsidP="00C913F3">
      <w:pPr>
        <w:rPr>
          <w:sz w:val="20"/>
          <w:szCs w:val="20"/>
        </w:rPr>
      </w:pPr>
    </w:p>
    <w:p w14:paraId="1A1DB3B1" w14:textId="77777777" w:rsidR="00C913F3" w:rsidRPr="00A55D51" w:rsidRDefault="00C913F3" w:rsidP="00C913F3">
      <w:pPr>
        <w:jc w:val="both"/>
        <w:rPr>
          <w:b/>
          <w:sz w:val="20"/>
          <w:szCs w:val="20"/>
        </w:rPr>
      </w:pPr>
      <w:r w:rsidRPr="00A55D51">
        <w:rPr>
          <w:b/>
          <w:sz w:val="20"/>
          <w:szCs w:val="20"/>
        </w:rPr>
        <w:t>Palabras clave</w:t>
      </w:r>
    </w:p>
    <w:p w14:paraId="00834D4B" w14:textId="77777777" w:rsidR="00C913F3" w:rsidRPr="00A55D51" w:rsidRDefault="00C913F3" w:rsidP="00C913F3">
      <w:pPr>
        <w:jc w:val="both"/>
        <w:rPr>
          <w:sz w:val="20"/>
          <w:szCs w:val="20"/>
        </w:rPr>
      </w:pPr>
      <w:r w:rsidRPr="00A55D51">
        <w:rPr>
          <w:sz w:val="20"/>
          <w:szCs w:val="20"/>
        </w:rPr>
        <w:t>Educación Sexual Integral, Formación Docente, Psicología Cognitiva, Derechos Humanos</w:t>
      </w:r>
      <w:r>
        <w:rPr>
          <w:sz w:val="20"/>
          <w:szCs w:val="20"/>
        </w:rPr>
        <w:t>, Análisis del Discurso</w:t>
      </w:r>
    </w:p>
    <w:p w14:paraId="4838EE5E" w14:textId="77777777" w:rsidR="00C913F3" w:rsidRDefault="00C913F3" w:rsidP="00C913F3">
      <w:pPr>
        <w:jc w:val="both"/>
        <w:rPr>
          <w:sz w:val="20"/>
          <w:szCs w:val="20"/>
        </w:rPr>
      </w:pPr>
      <w:r>
        <w:rPr>
          <w:noProof/>
        </w:rPr>
        <w:drawing>
          <wp:anchor distT="0" distB="0" distL="114300" distR="114300" simplePos="0" relativeHeight="251660288" behindDoc="0" locked="0" layoutInCell="1" hidden="0" allowOverlap="1" wp14:anchorId="5576D39D" wp14:editId="4AA11F8D">
            <wp:simplePos x="0" y="0"/>
            <wp:positionH relativeFrom="column">
              <wp:posOffset>5400675</wp:posOffset>
            </wp:positionH>
            <wp:positionV relativeFrom="paragraph">
              <wp:posOffset>0</wp:posOffset>
            </wp:positionV>
            <wp:extent cx="396000" cy="259200"/>
            <wp:effectExtent l="0" t="0" r="0" b="0"/>
            <wp:wrapNone/>
            <wp:docPr id="12414757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6000" cy="259200"/>
                    </a:xfrm>
                    <a:prstGeom prst="rect">
                      <a:avLst/>
                    </a:prstGeom>
                    <a:ln/>
                  </pic:spPr>
                </pic:pic>
              </a:graphicData>
            </a:graphic>
          </wp:anchor>
        </w:drawing>
      </w:r>
    </w:p>
    <w:p w14:paraId="7CE61635" w14:textId="77777777" w:rsidR="00C913F3" w:rsidRDefault="00C913F3" w:rsidP="00C913F3">
      <w:pPr>
        <w:pBdr>
          <w:top w:val="nil"/>
          <w:left w:val="nil"/>
          <w:bottom w:val="nil"/>
          <w:right w:val="nil"/>
          <w:between w:val="nil"/>
        </w:pBdr>
        <w:spacing w:line="360" w:lineRule="auto"/>
        <w:ind w:firstLine="708"/>
        <w:jc w:val="center"/>
        <w:rPr>
          <w:sz w:val="20"/>
          <w:szCs w:val="20"/>
        </w:rPr>
      </w:pPr>
      <w:bookmarkStart w:id="0" w:name="_Hlk196743047"/>
    </w:p>
    <w:p w14:paraId="66459A2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366E91D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164C3F2E"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6BE16A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A2E2C7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688A1AB7"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5BCE547F" w14:textId="486BBEF8" w:rsidR="00C913F3" w:rsidRDefault="00C913F3" w:rsidP="00C913F3">
      <w:pPr>
        <w:pBdr>
          <w:top w:val="nil"/>
          <w:left w:val="nil"/>
          <w:bottom w:val="nil"/>
          <w:right w:val="nil"/>
          <w:between w:val="nil"/>
        </w:pBdr>
        <w:spacing w:line="360" w:lineRule="auto"/>
        <w:ind w:firstLine="708"/>
        <w:jc w:val="center"/>
        <w:rPr>
          <w:color w:val="000000"/>
        </w:rPr>
      </w:pPr>
      <w:r w:rsidRPr="00647635">
        <w:rPr>
          <w:color w:val="000000"/>
          <w:lang w:val="es-AR"/>
        </w:rPr>
        <w:lastRenderedPageBreak/>
        <w:t>Contribuciones</w:t>
      </w:r>
      <w:r w:rsidRPr="00647635">
        <w:rPr>
          <w:color w:val="000000"/>
        </w:rPr>
        <w:t xml:space="preserve"> de la Psicología Cognitiva en la </w:t>
      </w:r>
      <w:r>
        <w:rPr>
          <w:color w:val="000000"/>
        </w:rPr>
        <w:t>A</w:t>
      </w:r>
      <w:r w:rsidRPr="00647635">
        <w:rPr>
          <w:color w:val="000000"/>
        </w:rPr>
        <w:t xml:space="preserve">plicación de la Educación Sexual Integral como </w:t>
      </w:r>
      <w:r>
        <w:rPr>
          <w:color w:val="000000"/>
        </w:rPr>
        <w:t>D</w:t>
      </w:r>
      <w:r w:rsidRPr="00647635">
        <w:rPr>
          <w:color w:val="000000"/>
        </w:rPr>
        <w:t xml:space="preserve">erecho </w:t>
      </w:r>
      <w:r>
        <w:rPr>
          <w:color w:val="000000"/>
        </w:rPr>
        <w:t>H</w:t>
      </w:r>
      <w:r w:rsidRPr="00647635">
        <w:rPr>
          <w:color w:val="000000"/>
        </w:rPr>
        <w:t>umano</w:t>
      </w:r>
    </w:p>
    <w:p w14:paraId="158C6C6C" w14:textId="77777777" w:rsidR="00C913F3" w:rsidRPr="006430C4" w:rsidRDefault="00C913F3" w:rsidP="00C913F3">
      <w:pPr>
        <w:pBdr>
          <w:top w:val="nil"/>
          <w:left w:val="nil"/>
          <w:bottom w:val="nil"/>
          <w:right w:val="nil"/>
          <w:between w:val="nil"/>
        </w:pBdr>
        <w:jc w:val="center"/>
        <w:rPr>
          <w:b/>
          <w:color w:val="000000"/>
        </w:rPr>
      </w:pPr>
      <w:r>
        <w:rPr>
          <w:b/>
          <w:color w:val="000000"/>
        </w:rPr>
        <w:t>Introducción</w:t>
      </w:r>
    </w:p>
    <w:p w14:paraId="47282E5F" w14:textId="77777777" w:rsidR="00C913F3" w:rsidRDefault="00C913F3" w:rsidP="00C913F3">
      <w:pPr>
        <w:widowControl w:val="0"/>
        <w:rPr>
          <w:rFonts w:eastAsia="Arial"/>
          <w:b/>
          <w:i/>
          <w:iCs/>
        </w:rPr>
      </w:pPr>
      <w:r>
        <w:rPr>
          <w:rFonts w:eastAsia="Arial"/>
          <w:b/>
          <w:i/>
          <w:iCs/>
        </w:rPr>
        <w:t>Aplicación de la ESI: Una cuestión de derechos humanos que afecta la salud física y mental</w:t>
      </w:r>
    </w:p>
    <w:p w14:paraId="6B87C2C2" w14:textId="77777777" w:rsidR="00C913F3" w:rsidRDefault="00C913F3" w:rsidP="00C913F3">
      <w:pPr>
        <w:pBdr>
          <w:top w:val="nil"/>
          <w:left w:val="nil"/>
          <w:bottom w:val="nil"/>
          <w:right w:val="nil"/>
          <w:between w:val="nil"/>
        </w:pBdr>
        <w:spacing w:line="360" w:lineRule="auto"/>
        <w:ind w:firstLine="708"/>
        <w:jc w:val="both"/>
        <w:rPr>
          <w:color w:val="000000"/>
        </w:rPr>
      </w:pPr>
      <w:r w:rsidRPr="00C81074">
        <w:rPr>
          <w:color w:val="000000"/>
        </w:rPr>
        <w:t xml:space="preserve">La Educación Sexual Integral (ESI) es una disciplina que incluye contenidos </w:t>
      </w:r>
      <w:r>
        <w:rPr>
          <w:color w:val="000000"/>
        </w:rPr>
        <w:t>educativos</w:t>
      </w:r>
      <w:r w:rsidRPr="00C81074">
        <w:rPr>
          <w:color w:val="000000"/>
        </w:rPr>
        <w:t xml:space="preserve"> </w:t>
      </w:r>
      <w:r>
        <w:rPr>
          <w:color w:val="000000"/>
        </w:rPr>
        <w:t>sobre la salud</w:t>
      </w:r>
      <w:r w:rsidRPr="00C81074">
        <w:rPr>
          <w:color w:val="000000"/>
        </w:rPr>
        <w:t xml:space="preserve"> física, psíquica y social de las person</w:t>
      </w:r>
      <w:r>
        <w:rPr>
          <w:color w:val="000000"/>
        </w:rPr>
        <w:t>as. Esta o</w:t>
      </w:r>
      <w:r w:rsidRPr="00C81074">
        <w:rPr>
          <w:color w:val="000000"/>
        </w:rPr>
        <w:t xml:space="preserve">torga información sobre el cuidado de las relaciones interpersonales, </w:t>
      </w:r>
      <w:r w:rsidRPr="002F6828">
        <w:rPr>
          <w:color w:val="000000"/>
        </w:rPr>
        <w:t>la salud sexual (reproductiva y no reproductiva), la aplicación de medidas preventivas y de acción sobre abusos sexuales y violencias, entre otras (Beltrán et al., 2021). Asimismo, la ESI se considera un mecanismo esencial para la integración social dado que sus contenidos contribuyen a la disminución de estigmas y discriminación hacia diversas orientaciones sexuales, identidades de género y diversidad corporal, promoviendo un ambiente inclusivo y equitativo que contribuye con el crecimiento personal (Hernández-Ramírez, 2017; Reinoso Castillo et al., 2011).</w:t>
      </w:r>
      <w:r>
        <w:rPr>
          <w:color w:val="000000"/>
        </w:rPr>
        <w:t xml:space="preserve"> </w:t>
      </w:r>
    </w:p>
    <w:p w14:paraId="52477AEC"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t xml:space="preserve">En efecto, la ESI tiene un rol en la promoción, protección y restitución de diversos derechos como el derecho a la información, salud, igualdad, integridad, autonomía, expresión y a vivir sin violencia. Consecuentemente, contribuye con la constitución de espacios educativos inclusivos y democráticos (Marina, 2023). Además, el abordaje de la ESI promueve habilidades para la toma de decisiones responsables sobre el cuidado del cuerpo propio y </w:t>
      </w:r>
      <w:r w:rsidRPr="000F0C85">
        <w:rPr>
          <w:color w:val="000000"/>
        </w:rPr>
        <w:t>ajeno</w:t>
      </w:r>
      <w:r>
        <w:rPr>
          <w:color w:val="000000"/>
        </w:rPr>
        <w:t>,</w:t>
      </w:r>
      <w:r w:rsidRPr="000F0C85">
        <w:rPr>
          <w:color w:val="000000"/>
        </w:rPr>
        <w:t xml:space="preserve"> </w:t>
      </w:r>
      <w:r>
        <w:rPr>
          <w:color w:val="000000"/>
        </w:rPr>
        <w:t xml:space="preserve">por lo cual, representa un derecho de acceso a la información sobre la salud desde una perspectiva biopsicosocial </w:t>
      </w:r>
      <w:r w:rsidRPr="000F0C85">
        <w:rPr>
          <w:color w:val="000000"/>
        </w:rPr>
        <w:t>(Pérez, 2025)</w:t>
      </w:r>
      <w:r>
        <w:rPr>
          <w:color w:val="000000"/>
        </w:rPr>
        <w:t xml:space="preserve">. Diversos organismos internacionales enfocados en los derechos y la promoción de la salud han avalado la implementación de la ESI </w:t>
      </w:r>
      <w:r w:rsidRPr="002F6828">
        <w:rPr>
          <w:color w:val="000000"/>
        </w:rPr>
        <w:t>(UNESCO, 2019; UNFPA, 2014; WHO, 2015). Así</w:t>
      </w:r>
      <w:r>
        <w:rPr>
          <w:color w:val="000000"/>
        </w:rPr>
        <w:t xml:space="preserve"> como también, en lo que respecta a Argentina, se han sancionado diversas leyes que legitimaron el acceso a la ESI, algunas de </w:t>
      </w:r>
      <w:r w:rsidRPr="007C1CE6">
        <w:rPr>
          <w:color w:val="000000"/>
        </w:rPr>
        <w:t xml:space="preserve">ellas son: la ley 26.061 de Protección Integral de los Derechos de Niños, Niñas y Adolescentes (2005), la ley 26.206 de Educación Nacional (2006), la ley 26.150 de Educación Sexual Integral (2006) y la ley 27.610 de Interrupción Voluntaria del Embarazo (2021). </w:t>
      </w:r>
      <w:r>
        <w:rPr>
          <w:color w:val="000000"/>
        </w:rPr>
        <w:t xml:space="preserve">El desarrollo de esta normativa surgió como resultado de reclamos colectivos de la sociedad argentina que evidenciaron la relevancia de la ESI y las temáticas que contempla, y las dificultades que enfrentaba su implementación. Cabe destacar que la brecha etaria entre la sanción de la ley de ESI (2006) y la ley de IVE (2021) evidencia una distancia de dieciséis años, lo cual demuestra que la lucha por la implementación de la ESI y por los derechos de las personas gestantes no concluyó con la sanción de la ley ESI (2006) sino que perduró durante quince años y continúa en la actualidad. </w:t>
      </w:r>
    </w:p>
    <w:p w14:paraId="1B437FAF"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lastRenderedPageBreak/>
        <w:t>Los derechos de las personas son considerados derechos frente al Estado Nacional, es decir que, son otorgados y garantizados por el mismo (</w:t>
      </w:r>
      <w:proofErr w:type="spellStart"/>
      <w:r>
        <w:rPr>
          <w:color w:val="000000"/>
        </w:rPr>
        <w:t>Nikken</w:t>
      </w:r>
      <w:proofErr w:type="spellEnd"/>
      <w:r>
        <w:rPr>
          <w:color w:val="000000"/>
        </w:rPr>
        <w:t xml:space="preserve">, 1994). En este sentido, si la legislación sobre ESI establece un abordaje integral, obligatorio y transversal a todas las áreas curriculares, es importante destacar cuáles son los esfuerzos del Estado para garantizar su cumplimiento. En el año 2008 surgen los </w:t>
      </w:r>
      <w:r w:rsidRPr="007F05B3">
        <w:rPr>
          <w:i/>
          <w:iCs/>
          <w:color w:val="000000"/>
        </w:rPr>
        <w:t>Lineamientos Curriculares para ESI</w:t>
      </w:r>
      <w:r>
        <w:rPr>
          <w:color w:val="000000"/>
        </w:rPr>
        <w:t xml:space="preserve"> compuestos por pautas para asegurar un acceso equitativo a la información, posteriormente durante los años 2009 al 2012 se publicaron y divulgaron la </w:t>
      </w:r>
      <w:r w:rsidRPr="007F05B3">
        <w:rPr>
          <w:i/>
          <w:iCs/>
          <w:color w:val="000000"/>
        </w:rPr>
        <w:t>Serie de Cuadernos ESI</w:t>
      </w:r>
      <w:r>
        <w:rPr>
          <w:color w:val="000000"/>
        </w:rPr>
        <w:t xml:space="preserve"> que proveen herramientas didácticas destinadas a docentes de nivel inicial, primario y secundario. La última contribución estatal a la confección de materiales sobre ESI fue en el año 2022 con la publicación de Cuadernillos para Referentes Escolares ESI y Cuadernillos de la colección Derechos Humanos, Género y ESI en la escuela (</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Los materiales publicados están compuestos de sugerencias de actividades prácticas y teóricas para que docentes implementen en el aula.</w:t>
      </w:r>
      <w:r w:rsidRPr="004F0722">
        <w:rPr>
          <w:color w:val="000000"/>
        </w:rPr>
        <w:t xml:space="preserve"> </w:t>
      </w:r>
      <w:r>
        <w:rPr>
          <w:color w:val="000000"/>
        </w:rPr>
        <w:t xml:space="preserve">Sin embargo, en la actualidad no sólo se ha detenido la producción y divulgación de contenidos de ESI, sino que el Gobierno Nacional del presidente Milei ha desfinanciado los programas sobre aplicación de ESI. De hecho, </w:t>
      </w:r>
      <w:r>
        <w:t>el Proyecto de Ley de Presupuesto General de la Administración Pública Nacional para el Ejercicio Fiscal del año 2025 no incluye el financiamiento de programas de ESI (</w:t>
      </w:r>
      <w:r w:rsidRPr="000174E0">
        <w:rPr>
          <w:color w:val="000000"/>
        </w:rPr>
        <w:t>República Argentina - Poder Ejecutivo Nacional</w:t>
      </w:r>
      <w:r>
        <w:rPr>
          <w:color w:val="000000"/>
        </w:rPr>
        <w:t xml:space="preserve">, </w:t>
      </w:r>
      <w:r w:rsidRPr="000174E0">
        <w:rPr>
          <w:color w:val="000000"/>
        </w:rPr>
        <w:t>2024</w:t>
      </w:r>
      <w:r>
        <w:rPr>
          <w:color w:val="000000"/>
        </w:rPr>
        <w:t>). Por otro lado, también se ha limitado y restringido el acceso a materiales sobre el tema (</w:t>
      </w:r>
      <w:proofErr w:type="spellStart"/>
      <w:r>
        <w:rPr>
          <w:color w:val="000000"/>
        </w:rPr>
        <w:t>Unidiversidad</w:t>
      </w:r>
      <w:proofErr w:type="spellEnd"/>
      <w:r>
        <w:rPr>
          <w:color w:val="000000"/>
        </w:rPr>
        <w:t xml:space="preserve">, 2025). Por lo cual, la falta de contribuciones estatales y la restricción que el mismo está haciendo sobre la ESI representa una vulneración de derechos que ubica a la aplicación de la ESI en situación de emergencia. Debido a lo anterior, surge la necesidad de desarrollar aportes interdisciplinarios que contrarresten las dificultades de su implementación. </w:t>
      </w:r>
    </w:p>
    <w:p w14:paraId="07862F26" w14:textId="77777777" w:rsidR="00C913F3" w:rsidRPr="002F6828" w:rsidRDefault="00C913F3" w:rsidP="00C913F3">
      <w:pPr>
        <w:pBdr>
          <w:top w:val="nil"/>
          <w:left w:val="nil"/>
          <w:bottom w:val="nil"/>
          <w:right w:val="nil"/>
          <w:between w:val="nil"/>
        </w:pBdr>
        <w:spacing w:line="360" w:lineRule="auto"/>
        <w:ind w:firstLine="708"/>
        <w:jc w:val="both"/>
      </w:pPr>
      <w:r>
        <w:rPr>
          <w:color w:val="000000"/>
        </w:rPr>
        <w:t xml:space="preserve">La relevancia de la aplicación de la ESI se basa en que su implementación tiene un impacto positivo en la salud física y mental de la población destinataria y de la sociedad en sí misma. Esto se debe a que ha demostrado incidir en la reducción de embarazos no deseados, enfermedades de transmisión sexual y violencia de género, entre otras. Sin </w:t>
      </w:r>
      <w:r w:rsidRPr="00A51245">
        <w:t>embargo, persisten obstáculos que dificultan su implementación tales como la falta de formación docente (Campo &amp; Cuesta, 2025). De hecho, la ausencia de contenidos de ESI en los planes de estudio de los profesorados universitarios es evidentemente significativa (</w:t>
      </w:r>
      <w:proofErr w:type="spellStart"/>
      <w:r w:rsidRPr="00A51245">
        <w:t>Copolechio</w:t>
      </w:r>
      <w:proofErr w:type="spellEnd"/>
      <w:r w:rsidRPr="00A51245">
        <w:t xml:space="preserve"> </w:t>
      </w:r>
      <w:proofErr w:type="spellStart"/>
      <w:r w:rsidRPr="00A51245">
        <w:t>Morand</w:t>
      </w:r>
      <w:proofErr w:type="spellEnd"/>
      <w:r w:rsidRPr="00A51245">
        <w:t xml:space="preserve"> et al., 2025). El </w:t>
      </w:r>
      <w:r>
        <w:t xml:space="preserve">alumnado de diversos profesorados ha manifestado no recibir suficiente </w:t>
      </w:r>
      <w:r w:rsidRPr="002F6828">
        <w:t xml:space="preserve">información sobre ESI en su formación e identificaron atravesar desigualdades de género en su trascurso por el profesorado (Klein, 2021). De hecho, la falta de enfoque de género es una de las cuestiones predominantes entre las </w:t>
      </w:r>
      <w:r w:rsidRPr="002F6828">
        <w:lastRenderedPageBreak/>
        <w:t>dificultades de la formación docente en ESI (</w:t>
      </w:r>
      <w:proofErr w:type="spellStart"/>
      <w:r w:rsidRPr="002F6828">
        <w:t>Marozzi</w:t>
      </w:r>
      <w:proofErr w:type="spellEnd"/>
      <w:r w:rsidRPr="002F6828">
        <w:t xml:space="preserve"> et al., 2020; Páez, 2021). Asumir y responder ante los desafíos pedagógicos de la formación docente en ESI en un contexto complejo</w:t>
      </w:r>
      <w:r>
        <w:t xml:space="preserve">, en el cual el Estado Nacional no contribuye con su implementación, es importante para defender los derechos que han costado víctimas fatales poder conquistar y que convierten a la ESI en una política pública que representa justicia </w:t>
      </w:r>
      <w:r w:rsidRPr="00A51245">
        <w:t>social (</w:t>
      </w:r>
      <w:proofErr w:type="spellStart"/>
      <w:r w:rsidRPr="00A51245">
        <w:t>Copolechio</w:t>
      </w:r>
      <w:proofErr w:type="spellEnd"/>
      <w:r w:rsidRPr="00A51245">
        <w:t xml:space="preserve"> </w:t>
      </w:r>
      <w:proofErr w:type="spellStart"/>
      <w:r w:rsidRPr="00A51245">
        <w:t>Morand</w:t>
      </w:r>
      <w:proofErr w:type="spellEnd"/>
      <w:r w:rsidRPr="00A51245">
        <w:t xml:space="preserve"> et al., 2025).</w:t>
      </w:r>
    </w:p>
    <w:p w14:paraId="41CB7EB9"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A51245">
        <w:t xml:space="preserve">Ahora bien, ¿qué aportes podrían realizarse desde el área de la Psicología a la implementación de la ESI desde una perspectiva de derechos? </w:t>
      </w:r>
      <w:r w:rsidRPr="00A51245">
        <w:rPr>
          <w:rFonts w:eastAsia="Arial"/>
          <w:lang w:val="es-AR"/>
        </w:rPr>
        <w:t xml:space="preserve">La Psicología </w:t>
      </w:r>
      <w:r>
        <w:rPr>
          <w:rFonts w:eastAsia="Arial"/>
          <w:lang w:val="es-AR"/>
        </w:rPr>
        <w:t xml:space="preserve">guarda especial relación con la aplicación de la ESI porque se ha demostrado que tiene incidencia en la salud mental, el desarrollo y la identidad de las personas (Castillo, </w:t>
      </w:r>
      <w:r w:rsidRPr="0011019A">
        <w:rPr>
          <w:rFonts w:eastAsia="Arial"/>
          <w:lang w:val="es-AR"/>
        </w:rPr>
        <w:t>2019).</w:t>
      </w:r>
      <w:r>
        <w:rPr>
          <w:rFonts w:eastAsia="Arial"/>
          <w:lang w:val="es-AR"/>
        </w:rPr>
        <w:t xml:space="preserve"> En efecto, están íntimamente relacionadas porque, por ejemplo, la Psicología se complementa con la aplicación de la ESI desde una perspectiva de acción en términos de asistencia psicoterapéutica al responder ante las consecuencias que la implementación o la falta de esta puede generar. Por ejemplo, cuando se efectúa el acompañamiento psicoterapéutico de personas que debido a la ESI han podido comunicar situaciones de abusos y violencias o que han identificado el padecimiento de una enfermedad de transmisión sexual o que han llevado a cabo la interrupción voluntaria del embarazo, entre otras. Por otra parte, la Psicología realiza aportes a la promoción de la ESI desde una perspectiva de prevención con la contribución de conocimiento y análisis de contenidos para aportar al diseño de los programas de implementación que promueven la comprensión desde una </w:t>
      </w:r>
      <w:r w:rsidRPr="006430C4">
        <w:rPr>
          <w:rFonts w:eastAsia="Arial"/>
          <w:lang w:val="es-AR"/>
        </w:rPr>
        <w:t xml:space="preserve">perspectiva que contemple las características psicológicas de las personas destinatarias (Gómez, 2018). </w:t>
      </w:r>
    </w:p>
    <w:p w14:paraId="36C968B5"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6430C4">
        <w:rPr>
          <w:rFonts w:eastAsia="Arial"/>
          <w:lang w:val="es-AR"/>
        </w:rPr>
        <w:t>En el presente estudio se tuvo en cuenta la optimización del segundo aporte mencionado sobre Psicología y ESI, el cual enfatiza en el aprendizaje y la confección de materiales</w:t>
      </w:r>
      <w:r>
        <w:rPr>
          <w:rFonts w:eastAsia="Arial"/>
          <w:lang w:val="es-AR"/>
        </w:rPr>
        <w:t xml:space="preserve"> para su implementación</w:t>
      </w:r>
      <w:r w:rsidRPr="006430C4">
        <w:rPr>
          <w:rFonts w:eastAsia="Arial"/>
          <w:lang w:val="es-AR"/>
        </w:rPr>
        <w:t xml:space="preserve">. </w:t>
      </w:r>
      <w:r>
        <w:rPr>
          <w:rFonts w:eastAsia="Arial"/>
          <w:lang w:val="es-AR"/>
        </w:rPr>
        <w:t xml:space="preserve">Particularmente, se intentó articular la Psicología Cognitiva con los derechos humanos a partir de la optimización de la aplicación de la ESI. En este </w:t>
      </w:r>
      <w:r w:rsidRPr="000F1D6F">
        <w:rPr>
          <w:rFonts w:eastAsia="Arial"/>
          <w:lang w:val="es-AR"/>
        </w:rPr>
        <w:t xml:space="preserve">sentido, </w:t>
      </w:r>
      <w:r w:rsidRPr="000F1D6F">
        <w:rPr>
          <w:rFonts w:eastAsia="Arial"/>
        </w:rPr>
        <w:t>t</w:t>
      </w:r>
      <w:proofErr w:type="spellStart"/>
      <w:r w:rsidRPr="000F1D6F">
        <w:rPr>
          <w:rFonts w:eastAsia="Arial"/>
          <w:lang w:val="es-AR"/>
        </w:rPr>
        <w:t>odas</w:t>
      </w:r>
      <w:proofErr w:type="spellEnd"/>
      <w:r w:rsidRPr="000F1D6F">
        <w:rPr>
          <w:rFonts w:eastAsia="Arial"/>
          <w:lang w:val="es-AR"/>
        </w:rPr>
        <w:t xml:space="preserve"> las áreas de la Psicología pueden guardar relación con los derechos humanos porque el desarrollo psíquico es social, contextual y comunitario, por ende, la incidencia cultural y la influencia de los derechos humanos influyen en el desarrollo psicológico y este en el aprendizaje (Blanco, 2004). Con este estudio, se pretendió contribuir desde la Psicología Cognitiva a la comprensión de materiales de ESI en estudiantes del Profesorado de Psicología de la Universidad de Buenos Aires. De esta manera</w:t>
      </w:r>
      <w:r w:rsidRPr="006430C4">
        <w:rPr>
          <w:rFonts w:eastAsia="Arial"/>
          <w:lang w:val="es-AR"/>
        </w:rPr>
        <w:t xml:space="preserve">, </w:t>
      </w:r>
      <w:r>
        <w:rPr>
          <w:rFonts w:eastAsia="Arial"/>
          <w:lang w:val="es-AR"/>
        </w:rPr>
        <w:t>s</w:t>
      </w:r>
      <w:r w:rsidRPr="006430C4">
        <w:rPr>
          <w:rFonts w:eastAsia="Arial"/>
          <w:lang w:val="es-AR"/>
        </w:rPr>
        <w:t xml:space="preserve">e </w:t>
      </w:r>
      <w:r>
        <w:rPr>
          <w:rFonts w:eastAsia="Arial"/>
          <w:lang w:val="es-AR"/>
        </w:rPr>
        <w:t>intentó</w:t>
      </w:r>
      <w:r w:rsidRPr="006430C4">
        <w:rPr>
          <w:rFonts w:eastAsia="Arial"/>
          <w:lang w:val="es-AR"/>
        </w:rPr>
        <w:t xml:space="preserve"> realizar un aporte que intent</w:t>
      </w:r>
      <w:r>
        <w:rPr>
          <w:rFonts w:eastAsia="Arial"/>
          <w:lang w:val="es-AR"/>
        </w:rPr>
        <w:t>e</w:t>
      </w:r>
      <w:r w:rsidRPr="006430C4">
        <w:rPr>
          <w:rFonts w:eastAsia="Arial"/>
          <w:lang w:val="es-AR"/>
        </w:rPr>
        <w:t xml:space="preserve"> contrarrestar las limitaciones de la formación docente sobre el tema, así como también las restricciones estatales del acceso a materiales de ESI. </w:t>
      </w:r>
      <w:r w:rsidRPr="006430C4">
        <w:rPr>
          <w:rFonts w:eastAsia="Arial"/>
          <w:lang w:val="es-AR"/>
        </w:rPr>
        <w:lastRenderedPageBreak/>
        <w:t xml:space="preserve">Además, </w:t>
      </w:r>
      <w:r>
        <w:rPr>
          <w:rFonts w:eastAsia="Arial"/>
          <w:lang w:val="es-AR"/>
        </w:rPr>
        <w:t>se pretendi</w:t>
      </w:r>
      <w:r w:rsidRPr="006430C4">
        <w:rPr>
          <w:rFonts w:eastAsia="Arial"/>
          <w:lang w:val="es-AR"/>
        </w:rPr>
        <w:t xml:space="preserve">ó </w:t>
      </w:r>
      <w:r>
        <w:rPr>
          <w:rFonts w:eastAsia="Arial"/>
          <w:lang w:val="es-AR"/>
        </w:rPr>
        <w:t xml:space="preserve">poder </w:t>
      </w:r>
      <w:r w:rsidRPr="006430C4">
        <w:rPr>
          <w:rFonts w:eastAsia="Arial"/>
          <w:lang w:val="es-AR"/>
        </w:rPr>
        <w:t>responder ante la escasez de materiales y actividades basadas en evidencia que se enfoquen en las características del aprendizaje de docentes en formación y no en una guía de recomendaciones para implementar la ESI en las aulas</w:t>
      </w:r>
      <w:r>
        <w:rPr>
          <w:rFonts w:eastAsia="Arial"/>
          <w:lang w:val="es-AR"/>
        </w:rPr>
        <w:t xml:space="preserve"> como la mayor parte de los materiales disponibles. </w:t>
      </w:r>
    </w:p>
    <w:p w14:paraId="67C2B800" w14:textId="77777777" w:rsidR="00C913F3" w:rsidRPr="003009E9" w:rsidRDefault="00C913F3" w:rsidP="00C913F3">
      <w:pPr>
        <w:widowControl w:val="0"/>
        <w:ind w:right="-214"/>
        <w:rPr>
          <w:rFonts w:eastAsia="Arial"/>
          <w:b/>
          <w:bCs/>
          <w:i/>
          <w:iCs/>
        </w:rPr>
      </w:pPr>
      <w:r w:rsidRPr="003009E9">
        <w:rPr>
          <w:rFonts w:eastAsia="Arial"/>
          <w:b/>
          <w:bCs/>
          <w:i/>
          <w:iCs/>
        </w:rPr>
        <w:t xml:space="preserve">Aportes de la Psicología Cognitiva para </w:t>
      </w:r>
      <w:r>
        <w:rPr>
          <w:rFonts w:eastAsia="Arial"/>
          <w:b/>
          <w:bCs/>
          <w:i/>
          <w:iCs/>
        </w:rPr>
        <w:t>f</w:t>
      </w:r>
      <w:r w:rsidRPr="003009E9">
        <w:rPr>
          <w:rFonts w:eastAsia="Arial"/>
          <w:b/>
          <w:bCs/>
          <w:i/>
          <w:iCs/>
        </w:rPr>
        <w:t xml:space="preserve">avorecer la </w:t>
      </w:r>
      <w:r>
        <w:rPr>
          <w:rFonts w:eastAsia="Arial"/>
          <w:b/>
          <w:bCs/>
          <w:i/>
          <w:iCs/>
        </w:rPr>
        <w:t>c</w:t>
      </w:r>
      <w:r w:rsidRPr="003009E9">
        <w:rPr>
          <w:rFonts w:eastAsia="Arial"/>
          <w:b/>
          <w:bCs/>
          <w:i/>
          <w:iCs/>
        </w:rPr>
        <w:t xml:space="preserve">omprensión </w:t>
      </w:r>
    </w:p>
    <w:p w14:paraId="3419C67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La Psicología Cognitiva es una de las disciplinas que se encarga</w:t>
      </w:r>
      <w:r>
        <w:rPr>
          <w:rFonts w:eastAsia="Arial"/>
        </w:rPr>
        <w:t>, entre otros intereses,</w:t>
      </w:r>
      <w:r w:rsidRPr="003009E9">
        <w:rPr>
          <w:rFonts w:eastAsia="Arial"/>
        </w:rPr>
        <w:t xml:space="preserve"> de investigar </w:t>
      </w:r>
      <w:r>
        <w:rPr>
          <w:rFonts w:eastAsia="Arial"/>
        </w:rPr>
        <w:t xml:space="preserve">el aprendizaje y </w:t>
      </w:r>
      <w:r w:rsidRPr="003009E9">
        <w:rPr>
          <w:rFonts w:eastAsia="Arial"/>
        </w:rPr>
        <w:t>la comprensión del discurso</w:t>
      </w:r>
      <w:r>
        <w:rPr>
          <w:rFonts w:eastAsia="Arial"/>
        </w:rPr>
        <w:t xml:space="preserve"> (Palmero, 2008). D</w:t>
      </w:r>
      <w:r w:rsidRPr="003009E9">
        <w:rPr>
          <w:rFonts w:eastAsia="Arial"/>
        </w:rPr>
        <w:t>iversas investigaciones han utilizado esta área de la Psicología para favorecer la comprensión de materiales de ESI. Estudios recientes evidencian que la metacognición promueve la reflexión como estrategia para trabajar las creencias sobre sexualidad y género en el currículum oculto escolar (Plaza &amp;</w:t>
      </w:r>
      <w:r>
        <w:rPr>
          <w:rFonts w:eastAsia="Arial"/>
        </w:rPr>
        <w:t xml:space="preserve"> </w:t>
      </w:r>
      <w:proofErr w:type="spellStart"/>
      <w:r w:rsidRPr="003009E9">
        <w:rPr>
          <w:rFonts w:eastAsia="Arial"/>
        </w:rPr>
        <w:t>Meinardi</w:t>
      </w:r>
      <w:proofErr w:type="spellEnd"/>
      <w:r w:rsidRPr="003009E9">
        <w:rPr>
          <w:rFonts w:eastAsia="Arial"/>
        </w:rPr>
        <w:t>, 2021). Además, la implementación de estrategias didácticas alineadas con principios cognitivos, como el uso de producciones artísticas</w:t>
      </w:r>
      <w:r>
        <w:rPr>
          <w:rFonts w:eastAsia="Arial"/>
        </w:rPr>
        <w:t>,</w:t>
      </w:r>
      <w:r w:rsidRPr="003009E9">
        <w:rPr>
          <w:rFonts w:eastAsia="Arial"/>
        </w:rPr>
        <w:t xml:space="preserve"> facilita la retención de información y promueve la fijación de los conocimientos construidos sobre ESI en docentes en formación (</w:t>
      </w:r>
      <w:proofErr w:type="spellStart"/>
      <w:r w:rsidRPr="003009E9">
        <w:rPr>
          <w:rFonts w:eastAsia="Arial"/>
        </w:rPr>
        <w:t>Augello</w:t>
      </w:r>
      <w:proofErr w:type="spellEnd"/>
      <w:r w:rsidRPr="003009E9">
        <w:rPr>
          <w:rFonts w:eastAsia="Arial"/>
        </w:rPr>
        <w:t>, 2023). Así como también</w:t>
      </w:r>
      <w:r>
        <w:rPr>
          <w:rFonts w:eastAsia="Arial"/>
        </w:rPr>
        <w:t>,</w:t>
      </w:r>
      <w:r w:rsidRPr="003009E9">
        <w:rPr>
          <w:rFonts w:eastAsia="Arial"/>
        </w:rPr>
        <w:t xml:space="preserve"> la aplicación de juegos de dinámicas participativas sobre ESI </w:t>
      </w:r>
      <w:r>
        <w:rPr>
          <w:rFonts w:eastAsia="Arial"/>
        </w:rPr>
        <w:t>es una</w:t>
      </w:r>
      <w:r w:rsidRPr="003009E9">
        <w:rPr>
          <w:rFonts w:eastAsia="Arial"/>
        </w:rPr>
        <w:t xml:space="preserve"> estrategia didáctica que guarda relación con estrategias cognitiva</w:t>
      </w:r>
      <w:r>
        <w:rPr>
          <w:rFonts w:eastAsia="Arial"/>
        </w:rPr>
        <w:t>s</w:t>
      </w:r>
      <w:r w:rsidRPr="003009E9">
        <w:rPr>
          <w:rFonts w:eastAsia="Arial"/>
        </w:rPr>
        <w:t xml:space="preserve"> ya que involucra procesos mentales que facilitan el aprendizaje y la comprensión (</w:t>
      </w:r>
      <w:proofErr w:type="spellStart"/>
      <w:r w:rsidRPr="003009E9">
        <w:rPr>
          <w:rFonts w:eastAsia="Arial"/>
        </w:rPr>
        <w:t>Jungberg</w:t>
      </w:r>
      <w:proofErr w:type="spellEnd"/>
      <w:r>
        <w:rPr>
          <w:rFonts w:eastAsia="Arial"/>
        </w:rPr>
        <w:t xml:space="preserve"> </w:t>
      </w:r>
      <w:r w:rsidRPr="003009E9">
        <w:rPr>
          <w:rFonts w:eastAsia="Arial"/>
        </w:rPr>
        <w:t xml:space="preserve">&amp; Pombo, 2022). Estos hallazgos subrayan la necesidad de incorporar enfoques basados en la </w:t>
      </w:r>
      <w:r>
        <w:rPr>
          <w:rFonts w:eastAsia="Arial"/>
        </w:rPr>
        <w:t>P</w:t>
      </w:r>
      <w:r w:rsidRPr="003009E9">
        <w:rPr>
          <w:rFonts w:eastAsia="Arial"/>
        </w:rPr>
        <w:t xml:space="preserve">sicología </w:t>
      </w:r>
      <w:r>
        <w:rPr>
          <w:rFonts w:eastAsia="Arial"/>
        </w:rPr>
        <w:t>C</w:t>
      </w:r>
      <w:r w:rsidRPr="003009E9">
        <w:rPr>
          <w:rFonts w:eastAsia="Arial"/>
        </w:rPr>
        <w:t xml:space="preserve">ognitiva en la </w:t>
      </w:r>
      <w:r>
        <w:rPr>
          <w:rFonts w:eastAsia="Arial"/>
        </w:rPr>
        <w:t>formación</w:t>
      </w:r>
      <w:r w:rsidRPr="003009E9">
        <w:rPr>
          <w:rFonts w:eastAsia="Arial"/>
        </w:rPr>
        <w:t xml:space="preserve"> docente para optimizar la enseñanza de la </w:t>
      </w:r>
      <w:r>
        <w:rPr>
          <w:rFonts w:eastAsia="Arial"/>
        </w:rPr>
        <w:t>ESI</w:t>
      </w:r>
      <w:r w:rsidRPr="003009E9">
        <w:rPr>
          <w:rFonts w:eastAsia="Arial"/>
        </w:rPr>
        <w:t>.</w:t>
      </w:r>
    </w:p>
    <w:p w14:paraId="5BDED336" w14:textId="77777777" w:rsidR="00C913F3" w:rsidRPr="00393645" w:rsidRDefault="00C913F3" w:rsidP="00C913F3">
      <w:pPr>
        <w:pBdr>
          <w:top w:val="nil"/>
          <w:left w:val="nil"/>
          <w:bottom w:val="nil"/>
          <w:right w:val="nil"/>
          <w:between w:val="nil"/>
        </w:pBdr>
        <w:spacing w:line="360" w:lineRule="auto"/>
        <w:ind w:firstLine="708"/>
        <w:jc w:val="both"/>
        <w:rPr>
          <w:rFonts w:eastAsia="Arial"/>
          <w:color w:val="FF0000"/>
        </w:rPr>
      </w:pPr>
      <w:r w:rsidRPr="003009E9">
        <w:rPr>
          <w:rFonts w:eastAsia="Arial"/>
        </w:rPr>
        <w:t xml:space="preserve">Sin embargo, estos estudios no han tendido a examinar herramientas discursivas provenientes de la </w:t>
      </w:r>
      <w:r>
        <w:rPr>
          <w:rFonts w:eastAsia="Arial"/>
        </w:rPr>
        <w:t>P</w:t>
      </w:r>
      <w:r w:rsidRPr="003009E9">
        <w:rPr>
          <w:rFonts w:eastAsia="Arial"/>
        </w:rPr>
        <w:t xml:space="preserve">sicología </w:t>
      </w:r>
      <w:r>
        <w:rPr>
          <w:rFonts w:eastAsia="Arial"/>
        </w:rPr>
        <w:t>C</w:t>
      </w:r>
      <w:r w:rsidRPr="003009E9">
        <w:rPr>
          <w:rFonts w:eastAsia="Arial"/>
        </w:rPr>
        <w:t xml:space="preserve">ognitiva tales como la modalidad de presentación del material, la conectividad causal de los enunciados y la toma de notas </w:t>
      </w:r>
      <w:r>
        <w:rPr>
          <w:rFonts w:eastAsia="Arial"/>
        </w:rPr>
        <w:t xml:space="preserve">digitales </w:t>
      </w:r>
      <w:r w:rsidRPr="003009E9">
        <w:rPr>
          <w:rFonts w:eastAsia="Arial"/>
        </w:rPr>
        <w:t xml:space="preserve">enfocada en metas específicas para fomentar la comprensión de materiales de ESI en docentes en formación. </w:t>
      </w:r>
    </w:p>
    <w:p w14:paraId="0E59A99E"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La conectividad causal de los enunciados es un </w:t>
      </w:r>
      <w:r>
        <w:rPr>
          <w:rFonts w:eastAsia="Arial"/>
        </w:rPr>
        <w:t>área</w:t>
      </w:r>
      <w:r w:rsidRPr="003009E9">
        <w:rPr>
          <w:rFonts w:eastAsia="Arial"/>
        </w:rPr>
        <w:t xml:space="preserve"> esencial en la comprensión del texto, ya que permite a</w:t>
      </w:r>
      <w:r>
        <w:rPr>
          <w:rFonts w:eastAsia="Arial"/>
        </w:rPr>
        <w:t xml:space="preserve"> las personas</w:t>
      </w:r>
      <w:r w:rsidRPr="003009E9">
        <w:rPr>
          <w:rFonts w:eastAsia="Arial"/>
        </w:rPr>
        <w:t xml:space="preserve"> establecer relaciones lógicas entre ideas y eventos. Según </w:t>
      </w:r>
      <w:proofErr w:type="spellStart"/>
      <w:r w:rsidRPr="003009E9">
        <w:rPr>
          <w:rFonts w:eastAsia="Arial"/>
        </w:rPr>
        <w:t>Trabasso</w:t>
      </w:r>
      <w:proofErr w:type="spellEnd"/>
      <w:r w:rsidRPr="003009E9">
        <w:rPr>
          <w:rFonts w:eastAsia="Arial"/>
        </w:rPr>
        <w:t xml:space="preserve"> y Sperry (1985), la comprensión se hace más efectiva cuando los enunciados están conectados causalmente, lo que facilita la construcción de una representación mental coherente del contenido. Los autores mencionados proponen que la estructura causal de una narrativa se organiza en forma de red, en la cual los eventos resultan de una combinación de antecedentes causales, y pueden tener múltiples consecuencias. El modelo propuesto establece una serie de </w:t>
      </w:r>
      <w:r>
        <w:rPr>
          <w:rFonts w:eastAsia="Arial"/>
        </w:rPr>
        <w:t>características a cumplir</w:t>
      </w:r>
      <w:r w:rsidRPr="003009E9">
        <w:rPr>
          <w:rFonts w:eastAsia="Arial"/>
        </w:rPr>
        <w:t xml:space="preserve"> para determinar la existencia de una conexión causal entre dos enunciados. Entre ellos, se encuentran los </w:t>
      </w:r>
      <w:r>
        <w:rPr>
          <w:rFonts w:eastAsia="Arial"/>
        </w:rPr>
        <w:t xml:space="preserve">criterios </w:t>
      </w:r>
      <w:r w:rsidRPr="003009E9">
        <w:rPr>
          <w:rFonts w:eastAsia="Arial"/>
        </w:rPr>
        <w:t>de</w:t>
      </w:r>
      <w:r>
        <w:rPr>
          <w:rFonts w:eastAsia="Arial"/>
        </w:rPr>
        <w:t>:</w:t>
      </w:r>
      <w:r w:rsidRPr="003009E9">
        <w:rPr>
          <w:rFonts w:eastAsia="Arial"/>
        </w:rPr>
        <w:t xml:space="preserve"> prioridad temporal (es decir, la causa debe ser temporalmente previa a la </w:t>
      </w:r>
      <w:r w:rsidRPr="003009E9">
        <w:rPr>
          <w:rFonts w:eastAsia="Arial"/>
        </w:rPr>
        <w:lastRenderedPageBreak/>
        <w:t xml:space="preserve">consecuencia), operatividad (la causa debe estar activa u operante cuando ocurre la consecuencia), y necesidad (se debe poder afirmar que, si no se hubiera producido la causa, tampoco se habría producido la consecuencia, dadas las circunstancias del discurso, </w:t>
      </w:r>
      <w:proofErr w:type="spellStart"/>
      <w:r w:rsidRPr="003009E9">
        <w:rPr>
          <w:rFonts w:eastAsia="Arial"/>
        </w:rPr>
        <w:t>Mackie</w:t>
      </w:r>
      <w:proofErr w:type="spellEnd"/>
      <w:r w:rsidRPr="003009E9">
        <w:rPr>
          <w:rFonts w:eastAsia="Arial"/>
        </w:rPr>
        <w:t>, 1980). Estudios previos indican que los enunciados con alta conectividad causal tienden a ser juzgados como más importantes, se consideran como ideas principales (</w:t>
      </w:r>
      <w:proofErr w:type="spellStart"/>
      <w:r w:rsidRPr="003009E9">
        <w:rPr>
          <w:rFonts w:eastAsia="Arial"/>
        </w:rPr>
        <w:t>Cevasco</w:t>
      </w:r>
      <w:proofErr w:type="spellEnd"/>
      <w:r w:rsidRPr="003009E9">
        <w:rPr>
          <w:rFonts w:eastAsia="Arial"/>
        </w:rPr>
        <w:t xml:space="preserve"> et al., 2020), y son más recordados (</w:t>
      </w:r>
      <w:proofErr w:type="spellStart"/>
      <w:r w:rsidRPr="003009E9">
        <w:rPr>
          <w:rFonts w:eastAsia="Arial"/>
        </w:rPr>
        <w:t>Radvansky</w:t>
      </w:r>
      <w:proofErr w:type="spellEnd"/>
      <w:r w:rsidRPr="003009E9">
        <w:rPr>
          <w:rFonts w:eastAsia="Arial"/>
        </w:rPr>
        <w:t xml:space="preserve"> et al., 2014). </w:t>
      </w:r>
    </w:p>
    <w:p w14:paraId="20CCD490" w14:textId="77777777" w:rsidR="00C913F3" w:rsidRPr="00864F1A" w:rsidRDefault="00C913F3" w:rsidP="00C913F3">
      <w:pPr>
        <w:spacing w:line="360" w:lineRule="auto"/>
        <w:ind w:firstLine="720"/>
      </w:pPr>
      <w:r w:rsidRPr="003009E9">
        <w:rPr>
          <w:rFonts w:eastAsia="Arial"/>
        </w:rPr>
        <w:t xml:space="preserve">Si bien se ha examinado </w:t>
      </w:r>
      <w:r>
        <w:rPr>
          <w:rFonts w:eastAsia="Arial"/>
        </w:rPr>
        <w:t xml:space="preserve">en mayor medida </w:t>
      </w:r>
      <w:r w:rsidRPr="003009E9">
        <w:rPr>
          <w:rFonts w:eastAsia="Arial"/>
        </w:rPr>
        <w:t>la influencia de la conectividad causal en la comprensión de textos en modalidad escrita, también resulta importante examinar la modalidad oral por las diferencias en sus modos de procesamiento de información (</w:t>
      </w:r>
      <w:proofErr w:type="spellStart"/>
      <w:r w:rsidRPr="003009E9">
        <w:rPr>
          <w:rFonts w:eastAsia="Arial"/>
        </w:rPr>
        <w:t>Fraundorf</w:t>
      </w:r>
      <w:proofErr w:type="spellEnd"/>
      <w:r w:rsidRPr="003009E9">
        <w:rPr>
          <w:rFonts w:eastAsia="Arial"/>
        </w:rPr>
        <w:t xml:space="preserve"> &amp; Watson, 2011).</w:t>
      </w:r>
      <w:r>
        <w:rPr>
          <w:rFonts w:eastAsia="Arial"/>
        </w:rPr>
        <w:t xml:space="preserve"> Por ejemplo, </w:t>
      </w:r>
      <w:r>
        <w:rPr>
          <w:color w:val="000000" w:themeColor="text1"/>
        </w:rPr>
        <w:t xml:space="preserve">la modalidad escrita permite a las personas procesar enunciados a su propio ritmo de lectura, lo cual resulta beneficioso para identificar ideas </w:t>
      </w:r>
      <w:r w:rsidRPr="006430C4">
        <w:rPr>
          <w:color w:val="000000" w:themeColor="text1"/>
        </w:rPr>
        <w:t>principales (</w:t>
      </w:r>
      <w:proofErr w:type="spellStart"/>
      <w:r w:rsidRPr="006430C4">
        <w:rPr>
          <w:color w:val="000000" w:themeColor="text1"/>
        </w:rPr>
        <w:t>Cevasco</w:t>
      </w:r>
      <w:proofErr w:type="spellEnd"/>
      <w:r w:rsidRPr="006430C4">
        <w:rPr>
          <w:color w:val="000000" w:themeColor="text1"/>
        </w:rPr>
        <w:t xml:space="preserve"> &amp; van den </w:t>
      </w:r>
      <w:proofErr w:type="spellStart"/>
      <w:r w:rsidRPr="006430C4">
        <w:rPr>
          <w:color w:val="000000" w:themeColor="text1"/>
        </w:rPr>
        <w:t>Broek</w:t>
      </w:r>
      <w:proofErr w:type="spellEnd"/>
      <w:r w:rsidRPr="006430C4">
        <w:rPr>
          <w:color w:val="000000" w:themeColor="text1"/>
        </w:rPr>
        <w:t>, 2013)</w:t>
      </w:r>
      <w:r w:rsidRPr="006430C4">
        <w:rPr>
          <w:rFonts w:eastAsia="Arial"/>
        </w:rPr>
        <w:t>.</w:t>
      </w:r>
      <w:r w:rsidRPr="006430C4">
        <w:rPr>
          <w:color w:val="000000" w:themeColor="text1"/>
        </w:rPr>
        <w:t xml:space="preserve"> Mientras que</w:t>
      </w:r>
      <w:r w:rsidRPr="006430C4">
        <w:rPr>
          <w:rFonts w:eastAsia="Arial"/>
        </w:rPr>
        <w:t xml:space="preserve"> la modalidad oral tiene la característica de poder transmitir información no verbal a partir del tono de voz de quienes emiten en el mensaje, lo cual ha favorecido la identificación de las emociones de protagonistas (</w:t>
      </w:r>
      <w:proofErr w:type="spellStart"/>
      <w:r w:rsidRPr="006430C4">
        <w:rPr>
          <w:color w:val="000000" w:themeColor="text1"/>
        </w:rPr>
        <w:t>Pell</w:t>
      </w:r>
      <w:proofErr w:type="spellEnd"/>
      <w:r w:rsidRPr="006430C4">
        <w:rPr>
          <w:color w:val="000000" w:themeColor="text1"/>
        </w:rPr>
        <w:t xml:space="preserve"> &amp; </w:t>
      </w:r>
      <w:proofErr w:type="spellStart"/>
      <w:r w:rsidRPr="006430C4">
        <w:rPr>
          <w:color w:val="000000" w:themeColor="text1"/>
        </w:rPr>
        <w:t>Kotz</w:t>
      </w:r>
      <w:proofErr w:type="spellEnd"/>
      <w:r w:rsidRPr="006430C4">
        <w:rPr>
          <w:color w:val="000000" w:themeColor="text1"/>
        </w:rPr>
        <w:t>, 2011). La</w:t>
      </w:r>
      <w:r>
        <w:rPr>
          <w:color w:val="000000" w:themeColor="text1"/>
        </w:rPr>
        <w:t xml:space="preserve"> articulación entre modalidad de presentación, emociones y conectividad causal ha sido investigada por de Simone y </w:t>
      </w:r>
      <w:proofErr w:type="spellStart"/>
      <w:r>
        <w:rPr>
          <w:color w:val="000000" w:themeColor="text1"/>
        </w:rPr>
        <w:t>Cevasco</w:t>
      </w:r>
      <w:proofErr w:type="spellEnd"/>
      <w:r>
        <w:rPr>
          <w:color w:val="000000" w:themeColor="text1"/>
        </w:rPr>
        <w:t xml:space="preserve"> (2020). En su estudio, las autoras </w:t>
      </w:r>
      <w:r>
        <w:t xml:space="preserve">solicitaron a un grupo de estudiantes universitarios argentinos que escucharan o leyeran un fragmento de una entrevista de radio, y luego realizaran una tarea de recuerdo de emociones. Los resultados indicaron que </w:t>
      </w:r>
      <w:r>
        <w:rPr>
          <w:lang w:eastAsia="es-ES"/>
        </w:rPr>
        <w:t xml:space="preserve">aquellos </w:t>
      </w:r>
      <w:bookmarkStart w:id="1" w:name="_Hlk75715422"/>
      <w:r>
        <w:rPr>
          <w:lang w:eastAsia="es-ES"/>
        </w:rPr>
        <w:t>enunciados que tenían un alto número de conexiones causales y que habían sido presentados en modalidad hablada dieron lugar a un mejor recuerdo de enunciados emocionales en comparación con aquellos que tenían baja conectividad causal y habían sido presentados en modalidad escrita</w:t>
      </w:r>
      <w:bookmarkEnd w:id="1"/>
      <w:r>
        <w:rPr>
          <w:lang w:eastAsia="es-ES"/>
        </w:rPr>
        <w:t xml:space="preserve">. </w:t>
      </w:r>
      <w:r w:rsidRPr="003009E9">
        <w:rPr>
          <w:rFonts w:eastAsia="Arial"/>
        </w:rPr>
        <w:t xml:space="preserve">Estos </w:t>
      </w:r>
      <w:r>
        <w:rPr>
          <w:rFonts w:eastAsia="Arial"/>
        </w:rPr>
        <w:t>resultados</w:t>
      </w:r>
      <w:r w:rsidRPr="003009E9">
        <w:rPr>
          <w:rFonts w:eastAsia="Arial"/>
        </w:rPr>
        <w:t xml:space="preserve"> sugieren que la modalidad de presentación puede </w:t>
      </w:r>
      <w:r>
        <w:rPr>
          <w:rFonts w:eastAsia="Arial"/>
        </w:rPr>
        <w:t>afectar</w:t>
      </w:r>
      <w:r w:rsidRPr="003009E9">
        <w:rPr>
          <w:rFonts w:eastAsia="Arial"/>
        </w:rPr>
        <w:t xml:space="preserve"> la efectividad de la conectividad causal en la comprensión de textos, destacando la necesidad de considerar estas variables al desarrollar estrategias educativas que optimicen el aprendizaje. A su vez, este estudio subraya la relevancia de las conexiones causales como un factor crítico para mejorar la comprensión textual en diversas modalidades de presentación.</w:t>
      </w:r>
      <w:r>
        <w:rPr>
          <w:rFonts w:eastAsia="Arial"/>
        </w:rPr>
        <w:t xml:space="preserve"> </w:t>
      </w:r>
    </w:p>
    <w:p w14:paraId="6D035AB2"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Por otro lado, la toma de notas se ha identificado como un factor determinante en la comprensión del discurso, ya que permite </w:t>
      </w:r>
      <w:r>
        <w:rPr>
          <w:rFonts w:eastAsia="Arial"/>
        </w:rPr>
        <w:t>que</w:t>
      </w:r>
      <w:r w:rsidRPr="003009E9">
        <w:rPr>
          <w:rFonts w:eastAsia="Arial"/>
        </w:rPr>
        <w:t xml:space="preserve"> estudiantes proce</w:t>
      </w:r>
      <w:r>
        <w:rPr>
          <w:rFonts w:eastAsia="Arial"/>
        </w:rPr>
        <w:t>sen</w:t>
      </w:r>
      <w:r w:rsidRPr="003009E9">
        <w:rPr>
          <w:rFonts w:eastAsia="Arial"/>
        </w:rPr>
        <w:t xml:space="preserve"> y organi</w:t>
      </w:r>
      <w:r>
        <w:rPr>
          <w:rFonts w:eastAsia="Arial"/>
        </w:rPr>
        <w:t>cen</w:t>
      </w:r>
      <w:r w:rsidRPr="003009E9">
        <w:rPr>
          <w:rFonts w:eastAsia="Arial"/>
        </w:rPr>
        <w:t xml:space="preserve"> la información de manera más efectiva (Mueller &amp; Oppenheimer, 2014). Existen investigaciones que han evidenciado diferencias significativas en la eficacia de la toma de notas en materiales orales y escritos. Por ejemplo, el estudio de Quintero Medina (2023) comparó la modalidad de toma de </w:t>
      </w:r>
      <w:r w:rsidRPr="003009E9">
        <w:rPr>
          <w:rFonts w:eastAsia="Arial"/>
        </w:rPr>
        <w:lastRenderedPageBreak/>
        <w:t>notas de material</w:t>
      </w:r>
      <w:r>
        <w:rPr>
          <w:rFonts w:eastAsia="Arial"/>
        </w:rPr>
        <w:t xml:space="preserve"> </w:t>
      </w:r>
      <w:r w:rsidRPr="003009E9">
        <w:rPr>
          <w:rFonts w:eastAsia="Arial"/>
        </w:rPr>
        <w:t>oral o escrito en una actividad de recuerdo, los resultados demostraron una mejor actividad de recuerdo en aquellos que leyeron el material debido a la demanda cognitiva extra de aquellos que debían escuchar y tomar notas por sobre quienes tenían que leer y tomar notas. Por lo tanto, la toma de notas y la modalidad de presentación son variables que se han investigado previamente y han demostrado un efecto en la comprensión del discurso.</w:t>
      </w:r>
    </w:p>
    <w:p w14:paraId="34BB5C5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Pr>
          <w:rFonts w:eastAsia="Arial"/>
        </w:rPr>
        <w:t>Cabe destacar que l</w:t>
      </w:r>
      <w:r w:rsidRPr="003009E9">
        <w:rPr>
          <w:rFonts w:eastAsia="Arial"/>
        </w:rPr>
        <w:t>a evolución tecnológica ha llevado a un interés creciente en la comparación entre la toma de notas digital y manual. Investigaciones sugieren que, aunque ambas modalidades tienen beneficios, la toma de notas manual a menudo promueve una mayor reflexión y retención a largo plazo (Mueller &amp; Oppenheimer, 2014). Sin embargo, la toma de notas digital puede o</w:t>
      </w:r>
      <w:r>
        <w:rPr>
          <w:rFonts w:eastAsia="Arial"/>
        </w:rPr>
        <w:t>torgar beneficios</w:t>
      </w:r>
      <w:r w:rsidRPr="003009E9">
        <w:rPr>
          <w:rFonts w:eastAsia="Arial"/>
        </w:rPr>
        <w:t xml:space="preserve"> en términos de organización y accesibilidad, por ser más rápida y permitir captar una mayor cantidad de ideas (</w:t>
      </w:r>
      <w:proofErr w:type="spellStart"/>
      <w:r w:rsidRPr="003009E9">
        <w:rPr>
          <w:rFonts w:eastAsia="Arial"/>
        </w:rPr>
        <w:t>Luo</w:t>
      </w:r>
      <w:proofErr w:type="spellEnd"/>
      <w:r w:rsidRPr="003009E9">
        <w:rPr>
          <w:rFonts w:eastAsia="Arial"/>
        </w:rPr>
        <w:t xml:space="preserve"> et al., 2018). </w:t>
      </w:r>
      <w:r>
        <w:rPr>
          <w:rFonts w:eastAsia="Arial"/>
        </w:rPr>
        <w:t xml:space="preserve">No obstante, también </w:t>
      </w:r>
      <w:r w:rsidRPr="003009E9">
        <w:rPr>
          <w:rFonts w:eastAsia="Arial"/>
        </w:rPr>
        <w:t xml:space="preserve">los dispositivos digitales pueden ser distractores </w:t>
      </w:r>
      <w:r>
        <w:rPr>
          <w:rFonts w:eastAsia="Arial"/>
        </w:rPr>
        <w:t>dado que</w:t>
      </w:r>
      <w:r w:rsidRPr="003009E9">
        <w:rPr>
          <w:rFonts w:eastAsia="Arial"/>
        </w:rPr>
        <w:t xml:space="preserve"> los estudiantes tienden a tomar notas de ideas literales (</w:t>
      </w:r>
      <w:proofErr w:type="spellStart"/>
      <w:r w:rsidRPr="003009E9">
        <w:rPr>
          <w:rFonts w:eastAsia="Arial"/>
        </w:rPr>
        <w:t>Flanigan</w:t>
      </w:r>
      <w:proofErr w:type="spellEnd"/>
      <w:r w:rsidRPr="003009E9">
        <w:rPr>
          <w:rFonts w:eastAsia="Arial"/>
        </w:rPr>
        <w:t xml:space="preserve"> &amp; </w:t>
      </w:r>
      <w:proofErr w:type="spellStart"/>
      <w:r w:rsidRPr="003009E9">
        <w:rPr>
          <w:rFonts w:eastAsia="Arial"/>
        </w:rPr>
        <w:t>Titsworth</w:t>
      </w:r>
      <w:proofErr w:type="spellEnd"/>
      <w:r w:rsidRPr="003009E9">
        <w:rPr>
          <w:rFonts w:eastAsia="Arial"/>
        </w:rPr>
        <w:t>, 2020). En síntesis, ambas modalidades de toma</w:t>
      </w:r>
      <w:r>
        <w:rPr>
          <w:rFonts w:eastAsia="Arial"/>
        </w:rPr>
        <w:t>s de</w:t>
      </w:r>
      <w:r w:rsidRPr="003009E9">
        <w:rPr>
          <w:rFonts w:eastAsia="Arial"/>
        </w:rPr>
        <w:t xml:space="preserve"> notas resultan </w:t>
      </w:r>
      <w:r>
        <w:rPr>
          <w:rFonts w:eastAsia="Arial"/>
        </w:rPr>
        <w:t>significativas</w:t>
      </w:r>
      <w:r w:rsidRPr="003009E9">
        <w:rPr>
          <w:rFonts w:eastAsia="Arial"/>
        </w:rPr>
        <w:t xml:space="preserve"> para el aprendizaje y el medio </w:t>
      </w:r>
      <w:r>
        <w:rPr>
          <w:rFonts w:eastAsia="Arial"/>
        </w:rPr>
        <w:t>más adecuado</w:t>
      </w:r>
      <w:r w:rsidRPr="003009E9">
        <w:rPr>
          <w:rFonts w:eastAsia="Arial"/>
        </w:rPr>
        <w:t xml:space="preserve"> para tomar notas depende del estilo d</w:t>
      </w:r>
      <w:r>
        <w:rPr>
          <w:rFonts w:eastAsia="Arial"/>
        </w:rPr>
        <w:t>ocente</w:t>
      </w:r>
      <w:r w:rsidRPr="003009E9">
        <w:rPr>
          <w:rFonts w:eastAsia="Arial"/>
        </w:rPr>
        <w:t>, de la presentación de la clase</w:t>
      </w:r>
      <w:r>
        <w:rPr>
          <w:rFonts w:eastAsia="Arial"/>
        </w:rPr>
        <w:t>, de los contenidos</w:t>
      </w:r>
      <w:r w:rsidRPr="003009E9">
        <w:rPr>
          <w:rFonts w:eastAsia="Arial"/>
        </w:rPr>
        <w:t xml:space="preserve"> y de si se revisan las notas</w:t>
      </w:r>
      <w:r>
        <w:rPr>
          <w:rFonts w:eastAsia="Arial"/>
        </w:rPr>
        <w:t xml:space="preserve"> posteriormente</w:t>
      </w:r>
      <w:r w:rsidRPr="003009E9">
        <w:rPr>
          <w:rFonts w:eastAsia="Arial"/>
        </w:rPr>
        <w:t xml:space="preserve"> (</w:t>
      </w:r>
      <w:proofErr w:type="spellStart"/>
      <w:r w:rsidRPr="003009E9">
        <w:rPr>
          <w:rFonts w:eastAsia="Arial"/>
        </w:rPr>
        <w:t>Luo</w:t>
      </w:r>
      <w:proofErr w:type="spellEnd"/>
      <w:r w:rsidRPr="003009E9">
        <w:rPr>
          <w:rFonts w:eastAsia="Arial"/>
        </w:rPr>
        <w:t xml:space="preserve"> et al., 2018).</w:t>
      </w:r>
    </w:p>
    <w:p w14:paraId="12D180CC" w14:textId="77777777" w:rsidR="00C913F3" w:rsidRDefault="00C913F3" w:rsidP="00C913F3">
      <w:pPr>
        <w:pBdr>
          <w:top w:val="nil"/>
          <w:left w:val="nil"/>
          <w:bottom w:val="nil"/>
          <w:right w:val="nil"/>
          <w:between w:val="nil"/>
        </w:pBdr>
        <w:spacing w:line="360" w:lineRule="auto"/>
        <w:ind w:firstLine="708"/>
        <w:jc w:val="both"/>
      </w:pPr>
      <w:r w:rsidRPr="003009E9">
        <w:rPr>
          <w:rFonts w:eastAsia="Arial"/>
        </w:rPr>
        <w:t xml:space="preserve">Además de la condición digital o manual para clasificar el tipo de toma de notas, estas también pueden clasificarse si tienen una orientación a metas específicas o no. </w:t>
      </w:r>
      <w:r>
        <w:rPr>
          <w:rFonts w:eastAsia="Arial"/>
        </w:rPr>
        <w:t xml:space="preserve">La elección de la meta específica enfocada en las emociones del comprendedor en este estudio se debe a que estas han demostrado tener incidencia en la comprensión. Las emociones del comprendedor hacen referencia a aquellos estados emocionales que emergen en la persona que recibe el material. Con frecuencia, las personas no sólo comprenden, sino que se involucran emocionalmente con el material, alineando sus emociones con las de protagonistas de este, lo cual ayuda a sostener la atención y promueve la </w:t>
      </w:r>
      <w:r w:rsidRPr="00BD6207">
        <w:rPr>
          <w:rFonts w:eastAsia="Arial"/>
        </w:rPr>
        <w:t xml:space="preserve">comprensión </w:t>
      </w:r>
      <w:r w:rsidRPr="00BD6207">
        <w:t>(</w:t>
      </w:r>
      <w:proofErr w:type="spellStart"/>
      <w:r w:rsidRPr="00BD6207">
        <w:t>Gerrig</w:t>
      </w:r>
      <w:proofErr w:type="spellEnd"/>
      <w:r w:rsidRPr="00BD6207">
        <w:t xml:space="preserve"> y Foy, 2013; </w:t>
      </w:r>
      <w:proofErr w:type="spellStart"/>
      <w:r w:rsidRPr="00BD6207">
        <w:t>Gygax</w:t>
      </w:r>
      <w:proofErr w:type="spellEnd"/>
      <w:r w:rsidRPr="00BD6207">
        <w:t xml:space="preserve"> &amp; </w:t>
      </w:r>
      <w:proofErr w:type="spellStart"/>
      <w:r w:rsidRPr="00BD6207">
        <w:t>Gillioz</w:t>
      </w:r>
      <w:proofErr w:type="spellEnd"/>
      <w:r w:rsidRPr="00BD6207">
        <w:t>, 2015). Por lo cual, involucrarse emocionalmente contribuye a la construcción de un modelo mental que fomenta la comprensión (</w:t>
      </w:r>
      <w:proofErr w:type="spellStart"/>
      <w:r w:rsidRPr="00BD6207">
        <w:t>Elfenbein</w:t>
      </w:r>
      <w:proofErr w:type="spellEnd"/>
      <w:r w:rsidRPr="00BD6207">
        <w:t xml:space="preserve"> &amp; </w:t>
      </w:r>
      <w:proofErr w:type="spellStart"/>
      <w:r w:rsidRPr="00BD6207">
        <w:t>Bohn-Gettler</w:t>
      </w:r>
      <w:proofErr w:type="spellEnd"/>
      <w:r w:rsidRPr="00BD6207">
        <w:t xml:space="preserve">, 2016; Rapp &amp; </w:t>
      </w:r>
      <w:proofErr w:type="spellStart"/>
      <w:r w:rsidRPr="00BD6207">
        <w:t>Gerrig</w:t>
      </w:r>
      <w:proofErr w:type="spellEnd"/>
      <w:r w:rsidRPr="00BD6207">
        <w:t xml:space="preserve">, 2002; </w:t>
      </w:r>
      <w:proofErr w:type="spellStart"/>
      <w:r w:rsidRPr="00BD6207">
        <w:t>Zwaan</w:t>
      </w:r>
      <w:proofErr w:type="spellEnd"/>
      <w:r w:rsidRPr="00BD6207">
        <w:t xml:space="preserve"> &amp; </w:t>
      </w:r>
      <w:proofErr w:type="spellStart"/>
      <w:r w:rsidRPr="00BD6207">
        <w:t>Radvansky</w:t>
      </w:r>
      <w:proofErr w:type="spellEnd"/>
      <w:r w:rsidRPr="00BD6207">
        <w:t>, 1998). Cabe destacar que las emociones que cada persona sienta van a depender de sus experiencias previas y permitirán otorgar sentido a las situaciones descritas en el material (</w:t>
      </w:r>
      <w:r w:rsidRPr="00BD6207">
        <w:rPr>
          <w:rStyle w:val="apple-converted-space"/>
        </w:rPr>
        <w:t xml:space="preserve">Bourg et al., 1993; </w:t>
      </w:r>
      <w:r w:rsidRPr="00BD6207">
        <w:t xml:space="preserve">Jacobs, 2015; </w:t>
      </w:r>
      <w:proofErr w:type="spellStart"/>
      <w:r w:rsidRPr="00BD6207">
        <w:t>Komeda</w:t>
      </w:r>
      <w:proofErr w:type="spellEnd"/>
      <w:r w:rsidRPr="00BD6207">
        <w:t xml:space="preserve"> et al., 2009). </w:t>
      </w:r>
    </w:p>
    <w:p w14:paraId="0A46BEC5" w14:textId="77777777" w:rsidR="00C913F3" w:rsidRDefault="00C913F3" w:rsidP="00C913F3">
      <w:pPr>
        <w:pBdr>
          <w:top w:val="nil"/>
          <w:left w:val="nil"/>
          <w:bottom w:val="nil"/>
          <w:right w:val="nil"/>
          <w:between w:val="nil"/>
        </w:pBdr>
        <w:spacing w:line="360" w:lineRule="auto"/>
        <w:ind w:firstLine="708"/>
        <w:jc w:val="both"/>
      </w:pPr>
      <w:r w:rsidRPr="00BD6207">
        <w:t>En efecto, parte de la complejidad intrínseca de los contenidos de ESI se relaciona con el involucramiento</w:t>
      </w:r>
      <w:r w:rsidRPr="00857B25">
        <w:t xml:space="preserve"> emocional que pueden generar, lo cual puede potenciar u obstaculizar su </w:t>
      </w:r>
      <w:r w:rsidRPr="00857B25">
        <w:lastRenderedPageBreak/>
        <w:t>implementación dependiendo de la experiencia personal del docente</w:t>
      </w:r>
      <w:r>
        <w:t xml:space="preserve"> (</w:t>
      </w:r>
      <w:r w:rsidRPr="009C7150">
        <w:rPr>
          <w:rFonts w:eastAsia="Arial"/>
        </w:rPr>
        <w:t>Sorondo</w:t>
      </w:r>
      <w:r>
        <w:rPr>
          <w:rFonts w:eastAsia="Arial"/>
        </w:rPr>
        <w:t xml:space="preserve"> &amp;</w:t>
      </w:r>
      <w:r w:rsidRPr="009C7150">
        <w:rPr>
          <w:rFonts w:eastAsia="Arial"/>
        </w:rPr>
        <w:t xml:space="preserve"> </w:t>
      </w:r>
      <w:proofErr w:type="spellStart"/>
      <w:r w:rsidRPr="009C7150">
        <w:rPr>
          <w:rFonts w:eastAsia="Arial"/>
        </w:rPr>
        <w:t>Abramowski</w:t>
      </w:r>
      <w:proofErr w:type="spellEnd"/>
      <w:r w:rsidRPr="009C7150">
        <w:rPr>
          <w:rFonts w:eastAsia="Arial"/>
        </w:rPr>
        <w:t>, 2022)</w:t>
      </w:r>
      <w:r w:rsidRPr="00857B25">
        <w:t>. En efecto, la trayectoria de vida de los profesores incide en las prácticas pedagógicas sobre ESI (Montoya Puerta et al., 2024). Por ende, es importante tener en cuenta la influencia de las emociones al momento de estudiar la comprensión de materiales de ESI en docentes en formación.</w:t>
      </w:r>
    </w:p>
    <w:p w14:paraId="571148EE" w14:textId="77777777" w:rsidR="00C913F3" w:rsidRPr="000F1D6F" w:rsidRDefault="00C913F3" w:rsidP="00C913F3">
      <w:pPr>
        <w:pBdr>
          <w:top w:val="nil"/>
          <w:left w:val="nil"/>
          <w:bottom w:val="nil"/>
          <w:right w:val="nil"/>
          <w:between w:val="nil"/>
        </w:pBdr>
        <w:spacing w:line="360" w:lineRule="auto"/>
        <w:ind w:firstLine="708"/>
        <w:jc w:val="both"/>
        <w:rPr>
          <w:rFonts w:eastAsia="Arial"/>
        </w:rPr>
      </w:pPr>
      <w:r>
        <w:rPr>
          <w:rFonts w:eastAsia="Arial"/>
        </w:rPr>
        <w:t xml:space="preserve">A </w:t>
      </w:r>
      <w:r w:rsidRPr="009B7119">
        <w:rPr>
          <w:rFonts w:eastAsia="Arial"/>
        </w:rPr>
        <w:t>partir de lo expuesto, el objetivo del presente trabajo fue examinar la incidencia de tres elementos discursivos —conectividad causal (baja, media, alta), modalidad de presentación (oral y escrita) y toma de notas (enfocada en las emociones que les generaron las emociones de los hablantes o de las ideas que considera claves para implementar ESI)— en la comprensión de un material sobre ESI presentado a estudiantes avanzados del profesorado de Psicología de la Universidad de Buenos Aires.</w:t>
      </w:r>
      <w:r>
        <w:rPr>
          <w:rFonts w:eastAsia="Arial"/>
        </w:rPr>
        <w:t xml:space="preserve"> Siguiendo los criterios </w:t>
      </w:r>
      <w:r w:rsidRPr="00BA6E71">
        <w:rPr>
          <w:rFonts w:eastAsia="Arial"/>
        </w:rPr>
        <w:t>de Montero y León (2007)</w:t>
      </w:r>
      <w:r>
        <w:rPr>
          <w:rFonts w:eastAsia="Arial"/>
        </w:rPr>
        <w:t xml:space="preserve"> podría establecerse que este es un estudio empírico experimental con metodología cuantitativa</w:t>
      </w:r>
      <w:r>
        <w:rPr>
          <w:rFonts w:eastAsia="Arial"/>
          <w:color w:val="FF0000"/>
        </w:rPr>
        <w:t xml:space="preserve">. </w:t>
      </w:r>
      <w:r w:rsidRPr="000F1D6F">
        <w:rPr>
          <w:rFonts w:eastAsia="Arial"/>
        </w:rPr>
        <w:t xml:space="preserve">Esta investigación empleó un diseño experimental mixto con un enfoque factorial 2 × 2 × 3, que combinó dos factores entre sujetos —modalidad de presentación del material (oral vs. escrita) y tipo de toma de notas (emociones vs. ideas clave)—, y un factor intra-sujeto —nivel de conectividad causal (baja, media, alta) evaluado en las respuestas de comprensión. </w:t>
      </w:r>
      <w:r>
        <w:rPr>
          <w:rFonts w:eastAsia="Arial"/>
        </w:rPr>
        <w:t>El conjunto de participantes fue</w:t>
      </w:r>
      <w:r w:rsidRPr="000F1D6F">
        <w:rPr>
          <w:rFonts w:eastAsia="Arial"/>
        </w:rPr>
        <w:t xml:space="preserve"> asignad</w:t>
      </w:r>
      <w:r>
        <w:rPr>
          <w:rFonts w:eastAsia="Arial"/>
        </w:rPr>
        <w:t>o</w:t>
      </w:r>
      <w:r w:rsidRPr="000F1D6F">
        <w:rPr>
          <w:rFonts w:eastAsia="Arial"/>
        </w:rPr>
        <w:t xml:space="preserve"> aleatoriamente a una de las cuatro combinaciones posibles entre modalidad y tipo de notas. Posteriormente,</w:t>
      </w:r>
      <w:r>
        <w:rPr>
          <w:rFonts w:eastAsia="Arial"/>
        </w:rPr>
        <w:t xml:space="preserve"> todas las personas que participaron debieron</w:t>
      </w:r>
      <w:r w:rsidRPr="000F1D6F">
        <w:rPr>
          <w:rFonts w:eastAsia="Arial"/>
        </w:rPr>
        <w:t xml:space="preserve"> respond</w:t>
      </w:r>
      <w:r>
        <w:rPr>
          <w:rFonts w:eastAsia="Arial"/>
        </w:rPr>
        <w:t>er a</w:t>
      </w:r>
      <w:r w:rsidRPr="000F1D6F">
        <w:rPr>
          <w:rFonts w:eastAsia="Arial"/>
        </w:rPr>
        <w:t xml:space="preserve"> una misma pregunta de comprensión</w:t>
      </w:r>
      <w:r>
        <w:rPr>
          <w:rFonts w:eastAsia="Arial"/>
        </w:rPr>
        <w:t xml:space="preserve">: </w:t>
      </w:r>
      <w:r w:rsidRPr="00120C4B">
        <w:rPr>
          <w:i/>
          <w:iCs/>
        </w:rPr>
        <w:t>¿Qué contenidos considera que aprendió acerca de la ESI?</w:t>
      </w:r>
      <w:r w:rsidRPr="000F1D6F">
        <w:rPr>
          <w:rFonts w:eastAsia="Arial"/>
        </w:rPr>
        <w:t xml:space="preserve">, y sus producciones fueron analizadas según la cantidad de enunciados con distintos niveles de conectividad causal. La variable dependiente fue la comprensión del material, medida a través de la cantidad de enunciados </w:t>
      </w:r>
      <w:r>
        <w:rPr>
          <w:rFonts w:eastAsia="Arial"/>
        </w:rPr>
        <w:t>con conectividad causal incluidos en las respuestas</w:t>
      </w:r>
      <w:r w:rsidRPr="000F1D6F">
        <w:rPr>
          <w:rFonts w:eastAsia="Arial"/>
        </w:rPr>
        <w:t xml:space="preserve">. </w:t>
      </w:r>
    </w:p>
    <w:p w14:paraId="4D27C999" w14:textId="77777777" w:rsidR="00C913F3" w:rsidRPr="00643EA8" w:rsidRDefault="00C913F3" w:rsidP="00C913F3">
      <w:pPr>
        <w:pBdr>
          <w:top w:val="nil"/>
          <w:left w:val="nil"/>
          <w:bottom w:val="nil"/>
          <w:right w:val="nil"/>
          <w:between w:val="nil"/>
        </w:pBdr>
        <w:spacing w:line="360" w:lineRule="auto"/>
        <w:ind w:firstLine="708"/>
        <w:jc w:val="both"/>
      </w:pPr>
      <w:r w:rsidRPr="009B7119">
        <w:rPr>
          <w:rFonts w:eastAsia="Arial"/>
        </w:rPr>
        <w:t xml:space="preserve">Considerando los antecedentes presentados, se esperó que los enunciados con alta conectividad causal sean más recordados e incluidos en las respuestas </w:t>
      </w:r>
      <w:r>
        <w:rPr>
          <w:rFonts w:eastAsia="Arial"/>
        </w:rPr>
        <w:t xml:space="preserve">a la pregunta de comprensión </w:t>
      </w:r>
      <w:r w:rsidRPr="009B7119">
        <w:rPr>
          <w:rFonts w:eastAsia="Arial"/>
        </w:rPr>
        <w:t xml:space="preserve">en mayor </w:t>
      </w:r>
      <w:r w:rsidRPr="00370F3E">
        <w:rPr>
          <w:rFonts w:eastAsia="Arial"/>
        </w:rPr>
        <w:t>medida que aquellos con conectividad causal media o baja (</w:t>
      </w:r>
      <w:proofErr w:type="spellStart"/>
      <w:r w:rsidRPr="00370F3E">
        <w:rPr>
          <w:rFonts w:eastAsia="Arial"/>
        </w:rPr>
        <w:t>Cevasco</w:t>
      </w:r>
      <w:proofErr w:type="spellEnd"/>
      <w:r w:rsidRPr="00370F3E">
        <w:rPr>
          <w:rFonts w:eastAsia="Arial"/>
        </w:rPr>
        <w:t xml:space="preserve"> et al., 2020; </w:t>
      </w:r>
      <w:proofErr w:type="spellStart"/>
      <w:r w:rsidRPr="00370F3E">
        <w:rPr>
          <w:rFonts w:eastAsia="Arial"/>
        </w:rPr>
        <w:t>Radvansky</w:t>
      </w:r>
      <w:proofErr w:type="spellEnd"/>
      <w:r w:rsidRPr="00370F3E">
        <w:rPr>
          <w:rFonts w:eastAsia="Arial"/>
        </w:rPr>
        <w:t xml:space="preserve"> et al., 2014). Además, teniendo en cuenta que estudios previos destacaron que la modalidad oral permite transmitir información no verbal que favorece la identificación de las emociones y como estas se relacionan positivamente con la conectividad causal (de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xml:space="preserve">, 2011). </w:t>
      </w:r>
      <w:r w:rsidRPr="00370F3E">
        <w:rPr>
          <w:rFonts w:eastAsia="Arial"/>
        </w:rPr>
        <w:t>Se esperó que</w:t>
      </w:r>
      <w:r>
        <w:rPr>
          <w:rFonts w:eastAsia="Arial"/>
        </w:rPr>
        <w:t>,</w:t>
      </w:r>
      <w:r w:rsidRPr="00370F3E">
        <w:rPr>
          <w:rFonts w:eastAsia="Arial"/>
        </w:rPr>
        <w:t xml:space="preserve"> las personas que recibieran el material oral y tom</w:t>
      </w:r>
      <w:r>
        <w:rPr>
          <w:rFonts w:eastAsia="Arial"/>
        </w:rPr>
        <w:t>as</w:t>
      </w:r>
      <w:r w:rsidRPr="00370F3E">
        <w:rPr>
          <w:rFonts w:eastAsia="Arial"/>
        </w:rPr>
        <w:t xml:space="preserve">en notas de las emociones que </w:t>
      </w:r>
      <w:r w:rsidRPr="009B7119">
        <w:rPr>
          <w:rFonts w:eastAsia="Arial"/>
        </w:rPr>
        <w:t>les generaron las emociones de los hablantes</w:t>
      </w:r>
      <w:r>
        <w:rPr>
          <w:rFonts w:eastAsia="Arial"/>
        </w:rPr>
        <w:t xml:space="preserve"> incluyeran mayor cantidad de enunciados con alta conectividad causal en sus respuestas, que aquellos que recibieran el material escrito y realizaran el mismo tipo de toma de notas. Mientras que se supuso </w:t>
      </w:r>
      <w:r>
        <w:rPr>
          <w:rFonts w:eastAsia="Arial"/>
        </w:rPr>
        <w:lastRenderedPageBreak/>
        <w:t xml:space="preserve">que las personas que recibieran el material escrito y tomasen notas de las ideas que consideraran claves para implementar ESI incluyeran una mayor cantidad de enunciados con alta conectividad causal en sus respuestas. Lo hipotetizado anteriormente se debe a que investigaciones previas postularon que la modalidad escrita permite que las </w:t>
      </w:r>
      <w:r w:rsidRPr="00370F3E">
        <w:rPr>
          <w:rFonts w:eastAsia="Arial"/>
        </w:rPr>
        <w:t xml:space="preserve">personas procesen los enunciados a su propio ritmo, lo cual favorece la identificación de ideas principales </w:t>
      </w:r>
      <w:r w:rsidRPr="00370F3E">
        <w:t>(</w:t>
      </w:r>
      <w:proofErr w:type="spellStart"/>
      <w:r w:rsidRPr="00370F3E">
        <w:t>Cevasco</w:t>
      </w:r>
      <w:proofErr w:type="spellEnd"/>
      <w:r w:rsidRPr="00370F3E">
        <w:t xml:space="preserve"> &amp; van den </w:t>
      </w:r>
      <w:proofErr w:type="spellStart"/>
      <w:r w:rsidRPr="00370F3E">
        <w:t>Broek</w:t>
      </w:r>
      <w:proofErr w:type="spellEnd"/>
      <w:r w:rsidRPr="00370F3E">
        <w:t>, 2013)</w:t>
      </w:r>
      <w:r w:rsidRPr="00370F3E">
        <w:rPr>
          <w:rFonts w:eastAsia="Arial"/>
        </w:rPr>
        <w:t>.</w:t>
      </w:r>
      <w:r>
        <w:t xml:space="preserve"> </w:t>
      </w:r>
    </w:p>
    <w:p w14:paraId="0A6DC515" w14:textId="5E8FB1ED" w:rsidR="00C913F3" w:rsidRDefault="00C913F3" w:rsidP="00C913F3">
      <w:pPr>
        <w:pBdr>
          <w:top w:val="nil"/>
          <w:left w:val="nil"/>
          <w:bottom w:val="nil"/>
          <w:right w:val="nil"/>
          <w:between w:val="nil"/>
        </w:pBdr>
        <w:spacing w:line="360" w:lineRule="auto"/>
        <w:ind w:firstLine="708"/>
        <w:jc w:val="both"/>
        <w:rPr>
          <w:rFonts w:eastAsia="Arial"/>
        </w:rPr>
      </w:pPr>
      <w:r w:rsidRPr="009B7119">
        <w:rPr>
          <w:rFonts w:eastAsia="Arial"/>
        </w:rPr>
        <w:t>En términos generales se esperó que la incidencia de elementos discursivos que han demostrado tener un efecto en la comprensión de materiales de otra índole tengan incidencia en la comprensión de materiales de ESI presentados a docentes en formación. Si bien hemos realizado investigaciones previas sobre la aplicación de estas variables en materiales de ESI presentados a estudiantes del Profesorado de Educación Física (</w:t>
      </w:r>
      <w:r w:rsidR="000908A7">
        <w:rPr>
          <w:rFonts w:eastAsia="Arial"/>
        </w:rPr>
        <w:t>cita de autores no especificada para conservar anonimato en la revisión doble ciego</w:t>
      </w:r>
      <w:r w:rsidRPr="009B7119">
        <w:rPr>
          <w:rFonts w:eastAsia="Arial"/>
        </w:rPr>
        <w:t xml:space="preserve">), en este caso se modificó la población para </w:t>
      </w:r>
      <w:r>
        <w:rPr>
          <w:rFonts w:eastAsia="Arial"/>
        </w:rPr>
        <w:t>determinar</w:t>
      </w:r>
      <w:r w:rsidRPr="009B7119">
        <w:rPr>
          <w:rFonts w:eastAsia="Arial"/>
        </w:rPr>
        <w:t xml:space="preserve"> si surg</w:t>
      </w:r>
      <w:r>
        <w:rPr>
          <w:rFonts w:eastAsia="Arial"/>
        </w:rPr>
        <w:t>ía</w:t>
      </w:r>
      <w:r w:rsidRPr="009B7119">
        <w:rPr>
          <w:rFonts w:eastAsia="Arial"/>
        </w:rPr>
        <w:t xml:space="preserve"> el mismo efecto en estudiantes del Profesorado de Psicología. Además, se modificaron brevemente las tareas, pero se mantuvo el material. </w:t>
      </w:r>
      <w:r>
        <w:rPr>
          <w:rFonts w:eastAsia="Arial"/>
        </w:rPr>
        <w:t>Cabe señalar que</w:t>
      </w:r>
      <w:r w:rsidRPr="009B7119">
        <w:rPr>
          <w:rFonts w:eastAsia="Arial"/>
        </w:rPr>
        <w:t xml:space="preserve"> la recolección de datos previos se llevó a cabo en el año 2020 durante la pandemia por COVID-19 que modificó los sistemas de enseñanza y las vidas de las personas. En este caso la recolección de datos se llevó a cabo en una etapa posterior a la pandemia </w:t>
      </w:r>
      <w:r>
        <w:rPr>
          <w:rFonts w:eastAsia="Arial"/>
        </w:rPr>
        <w:t xml:space="preserve">en la cual docentes en formación volvieron a la educación presencial. </w:t>
      </w:r>
    </w:p>
    <w:p w14:paraId="302E6995" w14:textId="77777777" w:rsidR="00C913F3" w:rsidRPr="00BA6E71" w:rsidRDefault="00C913F3" w:rsidP="00C913F3">
      <w:pPr>
        <w:pBdr>
          <w:top w:val="nil"/>
          <w:left w:val="nil"/>
          <w:bottom w:val="nil"/>
          <w:right w:val="nil"/>
          <w:between w:val="nil"/>
        </w:pBdr>
        <w:spacing w:line="360" w:lineRule="auto"/>
        <w:ind w:firstLine="708"/>
        <w:jc w:val="center"/>
        <w:rPr>
          <w:rFonts w:eastAsia="Arial"/>
        </w:rPr>
      </w:pPr>
      <w:r>
        <w:rPr>
          <w:b/>
          <w:color w:val="000000"/>
        </w:rPr>
        <w:t>Método</w:t>
      </w:r>
    </w:p>
    <w:p w14:paraId="7F954062"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Participantes</w:t>
      </w:r>
    </w:p>
    <w:p w14:paraId="1BD3E5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Participaron del estudio 56 (cincuenta y seis) estudiantes del Profesorado de Psicología de la Universidad de Buenos Aires. Sus edades estaban comprendidas entre 25 y 50 años. </w:t>
      </w:r>
      <w:r>
        <w:t>F</w:t>
      </w:r>
      <w:r w:rsidRPr="003E2CD2">
        <w:t>ueron seleccionados en base a un muestreo por conveniencia siguiendo los siguientes criterios de inclusión: a) Ser estudiante del último año del Profesorado de Psicología de la Universidad de Buenos Aires</w:t>
      </w:r>
      <w:r>
        <w:t>;</w:t>
      </w:r>
      <w:r w:rsidRPr="003E2CD2">
        <w:t xml:space="preserve"> b) </w:t>
      </w:r>
      <w:r>
        <w:t>t</w:t>
      </w:r>
      <w:r w:rsidRPr="003E2CD2">
        <w:t>ener entre 25 y 50 años</w:t>
      </w:r>
      <w:r>
        <w:t>; y</w:t>
      </w:r>
      <w:r w:rsidRPr="003E2CD2">
        <w:t xml:space="preserve"> c) </w:t>
      </w:r>
      <w:r>
        <w:t>s</w:t>
      </w:r>
      <w:r w:rsidRPr="003E2CD2">
        <w:t xml:space="preserve">er </w:t>
      </w:r>
      <w:r>
        <w:t>de nacionalidad argentina</w:t>
      </w:r>
      <w:r w:rsidRPr="003E2CD2">
        <w:t xml:space="preserve">. Las personas que no cumplieron estos criterios fueron excluidas de la participación en el estudio. </w:t>
      </w:r>
      <w:r>
        <w:t xml:space="preserve">Quienes </w:t>
      </w:r>
      <w:r w:rsidRPr="003E2CD2">
        <w:t>participa</w:t>
      </w:r>
      <w:r>
        <w:t>ron</w:t>
      </w:r>
      <w:r w:rsidRPr="003E2CD2">
        <w:t xml:space="preserve"> </w:t>
      </w:r>
      <w:r>
        <w:t xml:space="preserve">recibieron una advertencia sobre </w:t>
      </w:r>
      <w:r w:rsidRPr="003E2CD2">
        <w:t xml:space="preserve">el carácter anónimo y voluntario de la investigación, y prestaron consentimiento escrito. Además, se les informó de la posibilidad de interrumpir o abandonar la evaluación en cualquier momento. </w:t>
      </w:r>
      <w:r>
        <w:t>No recibieron una compensación a cambio de su participación. Se conformaron cuatro grupos de catorce participantes. A continuación, en el diseño de investigación, se explicitarán las condiciones de cada grupo.</w:t>
      </w:r>
    </w:p>
    <w:p w14:paraId="2B2534D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Diseño</w:t>
      </w:r>
    </w:p>
    <w:p w14:paraId="4D69A7E6"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lastRenderedPageBreak/>
        <w:t>El presente estudio adoptó un diseño experimental mixto con un enfoque factorial 2 × 2 × 3, que combina factores entre sujetos e intra sujetos. Los factores entre sujetos fueron: (1) la modalidad de presentación del material (oral vs. escrita) y (2) el tipo de toma de notas (enfocada en las emociones del comprendedor vs. enfocada en ideas consideradas claves para implementar la ESI). Estos factores dieron lugar a cuatro condiciones experimentales, conformadas por la combinación de ambos niveles: (a) oral + emociones, (b) oral + ideas clave, (c) escrita + emociones, y (d) escrita + ideas clave. Cada participante fue asignado aleatoriamente a una de estas condiciones y expuesto a una única combinación de factores.</w:t>
      </w:r>
    </w:p>
    <w:p w14:paraId="695B036F" w14:textId="77777777" w:rsidR="00C913F3" w:rsidRPr="00120C4B" w:rsidRDefault="00C913F3" w:rsidP="00C913F3">
      <w:pPr>
        <w:pBdr>
          <w:top w:val="nil"/>
          <w:left w:val="nil"/>
          <w:bottom w:val="nil"/>
          <w:right w:val="nil"/>
          <w:between w:val="nil"/>
        </w:pBdr>
        <w:spacing w:line="360" w:lineRule="auto"/>
        <w:ind w:firstLine="708"/>
        <w:jc w:val="both"/>
      </w:pPr>
      <w:r w:rsidRPr="00120C4B">
        <w:rPr>
          <w:lang w:val="es-AR"/>
        </w:rPr>
        <w:t>Por otro lado, se incluyó un factor intra-sujeto correspondiente al nivel de conectividad causal de los enunciados producidos por cada participante en una tarea de comprensión posterior a la exposición al material. Este factor presentó tres niveles: conectividad baja, media y alta. A todas las personas que participaron se les solicitó responder una misma pregunta de comprensión</w:t>
      </w:r>
      <w:r>
        <w:rPr>
          <w:lang w:val="es-AR"/>
        </w:rPr>
        <w:t xml:space="preserve">: </w:t>
      </w:r>
      <w:r w:rsidRPr="00120C4B">
        <w:rPr>
          <w:i/>
          <w:iCs/>
        </w:rPr>
        <w:t>¿Qué contenidos considera que aprendió acerca de la ESI?</w:t>
      </w:r>
      <w:r w:rsidRPr="00120C4B">
        <w:rPr>
          <w:lang w:val="es-AR"/>
        </w:rPr>
        <w:t>, y sus producciones fueron analizadas en función de la cantidad de enunciados emitidos que reflejaran cada uno de los niveles de conectividad causal.</w:t>
      </w:r>
    </w:p>
    <w:p w14:paraId="639FB434"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t>La variable dependiente fue, entonces, la cantidad de enunciados con conectividad causal baja, media y alta producidos por cada participante en su respuesta, entendida como un indicador del nivel de comprensión del material.</w:t>
      </w:r>
      <w:r>
        <w:rPr>
          <w:lang w:val="es-AR"/>
        </w:rPr>
        <w:t xml:space="preserve"> Mientras que las variables independientes fueron toma de notas (enfocada en emociones del comprendedor y en ideas principales) y modalidad de presentación (oral-escrita).</w:t>
      </w:r>
    </w:p>
    <w:p w14:paraId="00D12AE7" w14:textId="77777777" w:rsidR="00C913F3" w:rsidRPr="00E41224" w:rsidRDefault="00C913F3" w:rsidP="00C913F3">
      <w:pPr>
        <w:pBdr>
          <w:top w:val="nil"/>
          <w:left w:val="nil"/>
          <w:bottom w:val="nil"/>
          <w:right w:val="nil"/>
          <w:between w:val="nil"/>
        </w:pBdr>
        <w:spacing w:line="360" w:lineRule="auto"/>
        <w:ind w:firstLine="708"/>
        <w:jc w:val="both"/>
        <w:rPr>
          <w:lang w:val="es-AR"/>
        </w:rPr>
      </w:pPr>
      <w:r w:rsidRPr="00120C4B">
        <w:rPr>
          <w:lang w:val="es-AR"/>
        </w:rPr>
        <w:t>Este diseño mixto permit</w:t>
      </w:r>
      <w:r>
        <w:rPr>
          <w:lang w:val="es-AR"/>
        </w:rPr>
        <w:t>ió</w:t>
      </w:r>
      <w:r w:rsidRPr="00120C4B">
        <w:rPr>
          <w:lang w:val="es-AR"/>
        </w:rPr>
        <w:t xml:space="preserve"> analizar no solo los efectos principales de cada uno de los factores (modalidad</w:t>
      </w:r>
      <w:r>
        <w:rPr>
          <w:lang w:val="es-AR"/>
        </w:rPr>
        <w:t xml:space="preserve"> de presentación</w:t>
      </w:r>
      <w:r w:rsidRPr="00120C4B">
        <w:rPr>
          <w:lang w:val="es-AR"/>
        </w:rPr>
        <w:t xml:space="preserve">, tipo de toma de notas y nivel de conectividad causal), sino también las interacciones entre ellos, brindando información acerca de cómo distintas formas de presentación del contenido y estrategias de toma de notas pueden favorecer la comprensión de </w:t>
      </w:r>
      <w:r>
        <w:rPr>
          <w:lang w:val="es-AR"/>
        </w:rPr>
        <w:t xml:space="preserve">materiales de ESI en docentes en formación. </w:t>
      </w:r>
    </w:p>
    <w:p w14:paraId="736784A1"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Materiales</w:t>
      </w:r>
    </w:p>
    <w:p w14:paraId="655814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El material utilizado fue un fragmento oral de 5,20 minutos de una entrevista sobre Educación Sexual Integral (ESI) donde </w:t>
      </w:r>
      <w:r>
        <w:t>estudiantes</w:t>
      </w:r>
      <w:r w:rsidRPr="003E2CD2">
        <w:t xml:space="preserve"> y docentes de una escuela secundaria de la Provincia de Neuquén, Argentina, comentan a través de narraciones personales la experiencia de la implementación de la ESI en la institución escolar a la que pertenecen. El fragmento oral fue transcripto y segmentado en enunciados teniendo en cuenta los criterios de </w:t>
      </w:r>
      <w:proofErr w:type="spellStart"/>
      <w:r w:rsidRPr="003E2CD2">
        <w:t>Trabasso</w:t>
      </w:r>
      <w:proofErr w:type="spellEnd"/>
      <w:r w:rsidRPr="003E2CD2">
        <w:t xml:space="preserve"> y Sperry </w:t>
      </w:r>
      <w:r w:rsidRPr="003E2CD2">
        <w:lastRenderedPageBreak/>
        <w:t xml:space="preserve">(1985), quienes establecen que un enunciado es una unidad que contiene suficiente información para ser identificado como una causa o consecuencia de otro enunciado. Dicha segmentación dio como resultado 84 enunciados que componían el material. Siguiendo nuevamente el procedimiento de </w:t>
      </w:r>
      <w:proofErr w:type="spellStart"/>
      <w:r w:rsidRPr="003E2CD2">
        <w:t>Trabasso</w:t>
      </w:r>
      <w:proofErr w:type="spellEnd"/>
      <w:r w:rsidRPr="003E2CD2">
        <w:t xml:space="preserve"> y Sperry (1985) se llevó a cabo una red causal para determinar el número de conexiones causales de cada uno de los enunciados. La existencia de una conexión causal entre dos enunciados se determinó considerando si se podía establecer que el evento que se consideraba causa era necesario para que ocurriera el evento que se consideraba consecuencia. Es decir, si se podía determinar que, si el evento descrito en el enunciado que se consideraba causa no se hubiera producido, el evento descrito en el enunciado que se consideraba consecuencia, tampoco se hubiera producido. A su vez, el evento descrito en el enunciado que se consideraba causa debía ser temporalmente previo al que se consideraba consecuencia, y estar operante o activo cuando ocurría el evento que se consideró consecuencia. A partir de estos criterios, dos jueces independientes derivaron una red causal individual, y luego compararon sus puntuaciones. Estuvieron de acuerdo en un 79% de los casos.</w:t>
      </w:r>
    </w:p>
    <w:p w14:paraId="7F246753"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Procedimientos</w:t>
      </w:r>
    </w:p>
    <w:p w14:paraId="329CD895" w14:textId="77777777" w:rsidR="00C913F3" w:rsidRPr="003E2CD2" w:rsidRDefault="00C913F3" w:rsidP="00C913F3">
      <w:pPr>
        <w:pBdr>
          <w:top w:val="nil"/>
          <w:left w:val="nil"/>
          <w:bottom w:val="nil"/>
          <w:right w:val="nil"/>
          <w:between w:val="nil"/>
        </w:pBdr>
        <w:spacing w:line="360" w:lineRule="auto"/>
        <w:ind w:firstLine="708"/>
        <w:jc w:val="both"/>
      </w:pPr>
      <w:r w:rsidRPr="003E2CD2">
        <w:t>L</w:t>
      </w:r>
      <w:r>
        <w:t>as personas que participaron</w:t>
      </w:r>
      <w:r w:rsidRPr="003E2CD2">
        <w:t xml:space="preserve"> asistieron presencialmente para realizar el experimento, recibieron indicaciones orales de parte de la investigadora, leyeron y brindaron su consentimiento en una copia física y finalmente quienes decidieron participar escanearon un código </w:t>
      </w:r>
      <w:r>
        <w:t>QR</w:t>
      </w:r>
      <w:r w:rsidRPr="003E2CD2">
        <w:t xml:space="preserve"> que les permitió acceder a un formulario de Google con sus dispositivos móviles a partir del cual accederían al material, a las consignas y donde podrían responder. La investigadora estuvo presente durante todo el proceso.</w:t>
      </w:r>
    </w:p>
    <w:p w14:paraId="462DA8AA"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Al escanear el código </w:t>
      </w:r>
      <w:r>
        <w:t>QR</w:t>
      </w:r>
      <w:r w:rsidRPr="003E2CD2">
        <w:t xml:space="preserve"> los participantes recibieron el material sobre ESI de forma oral o escrita, según la modalidad a la que fueran asignados aleatoriamente. Además, reci</w:t>
      </w:r>
      <w:r>
        <w:t>bieron</w:t>
      </w:r>
      <w:r w:rsidRPr="003E2CD2">
        <w:t xml:space="preserve"> una consigna de toma de notas que podía ser enfocada en las emociones que le generaban al participante las emociones de los protagonistas del material, es decir, emociones del comprendedor, o enfocada en las ideas claves para implementar ESI. La asignación del tipo de toma de notas </w:t>
      </w:r>
      <w:r>
        <w:t xml:space="preserve">también </w:t>
      </w:r>
      <w:r w:rsidRPr="003E2CD2">
        <w:t>fue aleatoria. La toma de notas fue digital y tomada con el dispositivo celular de cada participante. Finalmente, tod</w:t>
      </w:r>
      <w:r>
        <w:t>as las personas que participaron</w:t>
      </w:r>
      <w:r w:rsidRPr="003E2CD2">
        <w:t xml:space="preserve"> debían responder la siguiente pregunta de comprensión: ¿Qué contenidos considera que aprendió acerca de la ESI?</w:t>
      </w:r>
    </w:p>
    <w:p w14:paraId="60AC681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Análisis de los datos</w:t>
      </w:r>
    </w:p>
    <w:p w14:paraId="5122D8A8" w14:textId="77777777" w:rsidR="00C913F3" w:rsidRPr="00E41224" w:rsidRDefault="00C913F3" w:rsidP="00C913F3">
      <w:pPr>
        <w:pBdr>
          <w:top w:val="nil"/>
          <w:left w:val="nil"/>
          <w:bottom w:val="nil"/>
          <w:right w:val="nil"/>
          <w:between w:val="nil"/>
        </w:pBdr>
        <w:spacing w:line="360" w:lineRule="auto"/>
        <w:ind w:firstLine="708"/>
        <w:jc w:val="both"/>
      </w:pPr>
      <w:r w:rsidRPr="006D5EC5">
        <w:lastRenderedPageBreak/>
        <w:t>Para el análisis se t</w:t>
      </w:r>
      <w:r>
        <w:t>uviero</w:t>
      </w:r>
      <w:r w:rsidRPr="006D5EC5">
        <w:t>n en cuenta las respuestas de los participantes a la pregunta de comprensión</w:t>
      </w:r>
      <w:r>
        <w:t>:</w:t>
      </w:r>
      <w:r w:rsidRPr="003E2CD2">
        <w:t xml:space="preserve"> ¿Qué contenidos considera que aprendió acerca de la ESI?</w:t>
      </w:r>
      <w:r w:rsidRPr="006D5EC5">
        <w:t xml:space="preserve"> y estas se segmentar</w:t>
      </w:r>
      <w:r>
        <w:t>o</w:t>
      </w:r>
      <w:r w:rsidRPr="006D5EC5">
        <w:t>n en enunciados a fin de examinar la cantidad de enunciados con conectividad causal (alta, media o baja) provenientes del material presentado que fueron incluidos para justificar su respuesta. Se llevar</w:t>
      </w:r>
      <w:r>
        <w:t>o</w:t>
      </w:r>
      <w:r w:rsidRPr="006D5EC5">
        <w:t>n a cabo análisis de varianza (ANOVA) de un factor fijo de medidas repetidas para el primer factor (conectividad causal) e independientes para el segundo (modalidad de presentación), el tercero (condición de toma de notas) y el cuarto (conocimiento previo)</w:t>
      </w:r>
      <w:r>
        <w:t>. Se utilizaron</w:t>
      </w:r>
      <w:r w:rsidRPr="00E41224">
        <w:t xml:space="preserve"> dos factores entre sujetos: modalidad de presentación del material (oral vs escrita) y tipo de toma de notas (emociones vs ideas clave); y un factor intra-sujeto: nivel de conectividad causal de los enunciados producidos (baja, media, alta). La variable dependiente fue la cantidad de enunciados correspondientes a cada nivel de conectividad causal presentes en las respuestas de comprensión. Esta estrategia analítica permit</w:t>
      </w:r>
      <w:r>
        <w:t>ió</w:t>
      </w:r>
      <w:r w:rsidRPr="00E41224">
        <w:t xml:space="preserve"> examinar</w:t>
      </w:r>
      <w:r>
        <w:t xml:space="preserve"> las relaciones entre variables. </w:t>
      </w:r>
      <w:r w:rsidRPr="006D5EC5">
        <w:t xml:space="preserve">Los datos registrados </w:t>
      </w:r>
      <w:r>
        <w:t>fueron</w:t>
      </w:r>
      <w:r w:rsidRPr="006D5EC5">
        <w:t xml:space="preserve"> procesa</w:t>
      </w:r>
      <w:r>
        <w:t xml:space="preserve">dos </w:t>
      </w:r>
      <w:r w:rsidRPr="006D5EC5">
        <w:t>a través del programa estadístico SPSS.</w:t>
      </w:r>
    </w:p>
    <w:p w14:paraId="40DE80BE"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Consideraciones éticas</w:t>
      </w:r>
    </w:p>
    <w:p w14:paraId="32FDDF74" w14:textId="77777777" w:rsidR="00C913F3" w:rsidRPr="00CD6614" w:rsidRDefault="00C913F3" w:rsidP="00C913F3">
      <w:pPr>
        <w:pBdr>
          <w:top w:val="nil"/>
          <w:left w:val="nil"/>
          <w:bottom w:val="nil"/>
          <w:right w:val="nil"/>
          <w:between w:val="nil"/>
        </w:pBdr>
        <w:spacing w:line="360" w:lineRule="auto"/>
        <w:ind w:firstLine="708"/>
        <w:jc w:val="both"/>
      </w:pPr>
      <w:r>
        <w:t>El presente estudio cumple con las normas éticas generales y específicas nacionales e internacionales que establecen la necesidad de un dictamen evaluativo de un Comité de Ética que evalúe los posibles riesgos que la investigación podría generarle a sus participantes</w:t>
      </w:r>
      <w:r w:rsidRPr="00CD6614">
        <w:rPr>
          <w:lang w:val="es-AR"/>
        </w:rPr>
        <w:t xml:space="preserve"> </w:t>
      </w:r>
      <w:r>
        <w:rPr>
          <w:lang w:val="es-AR"/>
        </w:rPr>
        <w:t>(</w:t>
      </w:r>
      <w:r w:rsidRPr="00CD6614">
        <w:rPr>
          <w:lang w:val="es-AR"/>
        </w:rPr>
        <w:t xml:space="preserve">IAAP &amp; </w:t>
      </w:r>
      <w:proofErr w:type="spellStart"/>
      <w:r w:rsidRPr="00CD6614">
        <w:rPr>
          <w:lang w:val="es-AR"/>
        </w:rPr>
        <w:t>IUPsyS</w:t>
      </w:r>
      <w:proofErr w:type="spellEnd"/>
      <w:r>
        <w:rPr>
          <w:lang w:val="es-AR"/>
        </w:rPr>
        <w:t xml:space="preserve">, </w:t>
      </w:r>
      <w:r w:rsidRPr="00CD6614">
        <w:rPr>
          <w:lang w:val="es-AR"/>
        </w:rPr>
        <w:t>2008)</w:t>
      </w:r>
      <w:r>
        <w:t xml:space="preserve">. En este caso, el presente estudio posee la revisión y aprobación del Comité de Ética del </w:t>
      </w:r>
      <w:r w:rsidRPr="00B43F94">
        <w:t>Hospital General de Agudos J. M. Ramos Mejía</w:t>
      </w:r>
      <w:r>
        <w:t>, Buenos Aires, Argentina. Dicho C</w:t>
      </w:r>
      <w:r w:rsidRPr="002B3314">
        <w:t xml:space="preserve">omité de ética en Investigación (CEI) </w:t>
      </w:r>
      <w:r>
        <w:t xml:space="preserve">se encuentra </w:t>
      </w:r>
      <w:r w:rsidRPr="002B3314">
        <w:t xml:space="preserve">registrado en OHRP del NIH </w:t>
      </w:r>
      <w:proofErr w:type="gramStart"/>
      <w:r w:rsidRPr="002B3314">
        <w:t>EE.UU.</w:t>
      </w:r>
      <w:proofErr w:type="gramEnd"/>
      <w:r w:rsidRPr="002B3314">
        <w:t xml:space="preserve"> Código FWA 00001767</w:t>
      </w:r>
      <w:r>
        <w:t xml:space="preserve">. Su dictamen fue realizado </w:t>
      </w:r>
      <w:r w:rsidRPr="00CD6614">
        <w:t xml:space="preserve">el 15 de noviembre de 2023, el código de registro del proyecto es 11063. El medio por el cual el proyecto fue revisado por el comité fue la Plataforma de Registro Informatizado de Investigaciones en Salud de Buenos Aires (PRIISA.BA). El título del protocolo es Comprensión y Aprendizaje de Contenidos sobre Educación Sexual Integral: Incidencia del Establecimiento de Conexiones Causales, la Modalidad de Presentación, el Conocimiento Previo del Aprendiz y el Tipo de Toma de Notas. Dicho protocolo pertenece a un proyecto de Beca Doctoral aprobado por CONICET en el cual se enmarca el presente trabajo. La institución habilitante para llevar a cabo la investigación </w:t>
      </w:r>
      <w:r>
        <w:t>fue</w:t>
      </w:r>
      <w:r w:rsidRPr="00CD6614">
        <w:t xml:space="preserve"> la Facultad de Psicología de la Universidad de Buenos Aires. </w:t>
      </w:r>
    </w:p>
    <w:p w14:paraId="5072243B" w14:textId="77777777" w:rsidR="00C913F3" w:rsidRDefault="00C913F3" w:rsidP="00C913F3">
      <w:pPr>
        <w:pBdr>
          <w:top w:val="nil"/>
          <w:left w:val="nil"/>
          <w:bottom w:val="nil"/>
          <w:right w:val="nil"/>
          <w:between w:val="nil"/>
        </w:pBdr>
        <w:jc w:val="center"/>
        <w:rPr>
          <w:b/>
          <w:color w:val="000000"/>
        </w:rPr>
      </w:pPr>
      <w:r>
        <w:rPr>
          <w:b/>
          <w:color w:val="000000"/>
        </w:rPr>
        <w:t>Resultados</w:t>
      </w:r>
    </w:p>
    <w:p w14:paraId="45E4C306"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Pr>
          <w:color w:val="000000"/>
          <w:lang w:val="es-AR"/>
        </w:rPr>
        <w:lastRenderedPageBreak/>
        <w:t>En primer lugar, s</w:t>
      </w:r>
      <w:r w:rsidRPr="003E2CD2">
        <w:rPr>
          <w:color w:val="000000"/>
          <w:lang w:val="es-AR"/>
        </w:rPr>
        <w:t>e procedió a analizar las respuestas de la pregunta ¿Qué contenidos considera que aprendió acerca de la ESI?, la cual respondieron el total de los participantes. Para ello, las respuestas de cada participante a la pregunta de comprensión</w:t>
      </w:r>
      <w:r>
        <w:rPr>
          <w:color w:val="000000"/>
          <w:lang w:val="es-AR"/>
        </w:rPr>
        <w:t xml:space="preserve"> </w:t>
      </w:r>
      <w:r w:rsidRPr="003E2CD2">
        <w:rPr>
          <w:color w:val="000000"/>
          <w:lang w:val="es-AR"/>
        </w:rPr>
        <w:t xml:space="preserve">fueron segmentadas en enunciados de la misma forma que el material sobre ESI. Posteriormente, se identificaron aquellos enunciados del material presentado que habían sido incluidos por los participantes en la respuesta y se les otorgó un puntaje en función de la información que contenían y su relación con los enunciados del material presentado. Los puntajes </w:t>
      </w:r>
      <w:r>
        <w:rPr>
          <w:color w:val="000000"/>
          <w:lang w:val="es-AR"/>
        </w:rPr>
        <w:t>fueron</w:t>
      </w:r>
      <w:r w:rsidRPr="003E2CD2">
        <w:rPr>
          <w:color w:val="000000"/>
          <w:lang w:val="es-AR"/>
        </w:rPr>
        <w:t>:</w:t>
      </w:r>
    </w:p>
    <w:p w14:paraId="741AA3FA"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- 1 si </w:t>
      </w:r>
      <w:r>
        <w:rPr>
          <w:color w:val="000000"/>
          <w:lang w:val="es-AR"/>
        </w:rPr>
        <w:t>la persona que participó</w:t>
      </w:r>
      <w:r w:rsidRPr="003E2CD2">
        <w:rPr>
          <w:color w:val="000000"/>
          <w:lang w:val="es-AR"/>
        </w:rPr>
        <w:t xml:space="preserve"> </w:t>
      </w:r>
      <w:r>
        <w:rPr>
          <w:color w:val="000000"/>
          <w:lang w:val="es-AR"/>
        </w:rPr>
        <w:t xml:space="preserve">incluyó </w:t>
      </w:r>
      <w:r w:rsidRPr="003E2CD2">
        <w:rPr>
          <w:color w:val="000000"/>
          <w:lang w:val="es-AR"/>
        </w:rPr>
        <w:t>toda la información de un enunciado que había sido presentado en el material o la idea central del mismo.</w:t>
      </w:r>
    </w:p>
    <w:p w14:paraId="3D11B61E"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-0,5 si incl</w:t>
      </w:r>
      <w:r>
        <w:rPr>
          <w:color w:val="000000"/>
          <w:lang w:val="es-AR"/>
        </w:rPr>
        <w:t>uyó</w:t>
      </w:r>
      <w:r w:rsidRPr="003E2CD2">
        <w:rPr>
          <w:color w:val="000000"/>
          <w:lang w:val="es-AR"/>
        </w:rPr>
        <w:t xml:space="preserve"> parte de la información de un enunciado del material, pero ésta era correcta. </w:t>
      </w:r>
    </w:p>
    <w:p w14:paraId="6B845FF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 si el enunciado no tenía relación con los enunciados del material (</w:t>
      </w:r>
      <w:proofErr w:type="spellStart"/>
      <w:r w:rsidRPr="003E2CD2">
        <w:rPr>
          <w:color w:val="000000"/>
          <w:lang w:val="es-AR"/>
        </w:rPr>
        <w:t>Cevasco</w:t>
      </w:r>
      <w:proofErr w:type="spellEnd"/>
      <w:r w:rsidRPr="003E2CD2">
        <w:rPr>
          <w:color w:val="000000"/>
          <w:lang w:val="es-AR"/>
        </w:rPr>
        <w:t xml:space="preserve"> et al. 2020; </w:t>
      </w:r>
      <w:proofErr w:type="spellStart"/>
      <w:r w:rsidRPr="003E2CD2">
        <w:rPr>
          <w:color w:val="000000"/>
          <w:lang w:val="es-AR"/>
        </w:rPr>
        <w:t>Trabasso</w:t>
      </w:r>
      <w:proofErr w:type="spellEnd"/>
      <w:r w:rsidRPr="003E2CD2">
        <w:rPr>
          <w:color w:val="000000"/>
          <w:lang w:val="es-AR"/>
        </w:rPr>
        <w:t xml:space="preserve"> &amp; Sperry, 1985).</w:t>
      </w:r>
    </w:p>
    <w:p w14:paraId="506229A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Dos jueces puntuaron de forma independiente un 34% de los protocolos de respuesta y compararon sus puntuaciones. Estuvieron de acuerdo en el 87% de los casos. En los casos que hubo desacuerdo, llegaron a un acuerdo a través de una discusión. Los protocolos restantes fueron puntuados por uno de los jueces. </w:t>
      </w:r>
    </w:p>
    <w:p w14:paraId="60E491A8"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Pr>
          <w:color w:val="000000"/>
          <w:lang w:val="es-AR"/>
        </w:rPr>
        <w:t>Posteriormente</w:t>
      </w:r>
      <w:r w:rsidRPr="003E2CD2">
        <w:rPr>
          <w:color w:val="000000"/>
          <w:lang w:val="es-AR"/>
        </w:rPr>
        <w:t>, se llevó a cabo un análisis de varianza ANOVA de tres factores fijos de medidas repetidas para el primer factor (conectividad causal: baja: 0-2 conexiones causales, media: 3-5 conexiones causales, alta: 6-15 conexiones causales), e independientes para el segundo factor (modalidad de presentación del discurso: oral - escrita) y para el tercer factor (enfocada en las emociones que les generaron las emociones de los hablantes o de las ideas que considera claves para implementar ESI).</w:t>
      </w:r>
    </w:p>
    <w:p w14:paraId="3BB4B764"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Los resultados indicaron un efecto significativo para la conectividad causal del enunciado, F(2, 3805) = 47.773, p &lt; .001, η2= .024. Mientras que no hubo un efecto significativo en la modalidad de presentación F(1, 3806) = 0.314, p = 0.575, η² = 0.000, ni en la toma de notas F(1, 3806) = 2.829, p = 0.093, η² = 0.001. </w:t>
      </w:r>
    </w:p>
    <w:p w14:paraId="1EEC5D9C"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Se realizó un segundo Análisis de varianza (ANOVA) para comparar las medias entre las tres categorías (baja, media y alta) de la variable conectividad causal. Los resultados demostraron que los enunciados con conectividad alta fueron incluidos en mayor medida en comparación con los de conectividad baja, con una diferencia de medias de -0.0632, error estándar de 0.0070 y una significación de p &lt; 0.001. Asimismo, los enunciados de conectividad alta también fueron </w:t>
      </w:r>
      <w:r w:rsidRPr="003E2CD2">
        <w:rPr>
          <w:color w:val="000000"/>
          <w:lang w:val="es-AR"/>
        </w:rPr>
        <w:lastRenderedPageBreak/>
        <w:t>recordados en mayor medida que los de conectividad media, con una diferencia de medias de -0.0517, error estándar de 0.0077 y una significación de p &lt; 0.001. De manera que, los enunciados con alta conectividad causal fueron incluidos en mayor medida que aquellos con baja y media conectividad causal en la respuesta a la pregunta de comprensión. No hubo otros efectos significativos (p &lt; .5).</w:t>
      </w:r>
    </w:p>
    <w:p w14:paraId="6CCFDAD3"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A continuación, se detallan</w:t>
      </w:r>
      <w:r>
        <w:rPr>
          <w:color w:val="000000"/>
          <w:lang w:val="es-AR"/>
        </w:rPr>
        <w:t xml:space="preserve"> </w:t>
      </w:r>
      <w:r w:rsidRPr="003E2CD2">
        <w:rPr>
          <w:color w:val="000000"/>
          <w:lang w:val="es-AR"/>
        </w:rPr>
        <w:t>en la tabla 1 los resultados de medias y desvíos estándar en la inclusión de enunciados en la pregunta acerca de contenidos aprendidos sobre ESI de acuerdo con su conectividad causal, la modalidad de presentación del discurso y el tipo de toma de notas.</w:t>
      </w:r>
    </w:p>
    <w:p w14:paraId="7D0AB07B" w14:textId="77777777" w:rsidR="00C913F3" w:rsidRPr="00F01F13" w:rsidRDefault="00C913F3" w:rsidP="00C913F3">
      <w:pPr>
        <w:pBdr>
          <w:top w:val="nil"/>
          <w:left w:val="nil"/>
          <w:bottom w:val="nil"/>
          <w:right w:val="nil"/>
          <w:between w:val="nil"/>
        </w:pBdr>
        <w:spacing w:line="360" w:lineRule="auto"/>
        <w:jc w:val="both"/>
        <w:rPr>
          <w:sz w:val="20"/>
          <w:szCs w:val="20"/>
        </w:rPr>
      </w:pPr>
      <w:r w:rsidRPr="00C80127">
        <w:rPr>
          <w:sz w:val="20"/>
          <w:szCs w:val="20"/>
        </w:rPr>
        <w:t>Tabla 1</w:t>
      </w:r>
    </w:p>
    <w:tbl>
      <w:tblPr>
        <w:tblpPr w:leftFromText="141" w:rightFromText="141" w:vertAnchor="text" w:horzAnchor="margin" w:tblpY="284"/>
        <w:tblW w:w="9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49"/>
        <w:gridCol w:w="1550"/>
        <w:gridCol w:w="1480"/>
        <w:gridCol w:w="1563"/>
        <w:gridCol w:w="1494"/>
      </w:tblGrid>
      <w:tr w:rsidR="00C913F3" w14:paraId="00915A0C" w14:textId="77777777" w:rsidTr="0082716F">
        <w:trPr>
          <w:trHeight w:val="30"/>
        </w:trPr>
        <w:tc>
          <w:tcPr>
            <w:tcW w:w="3349" w:type="dxa"/>
            <w:vMerge w:val="restart"/>
            <w:tcBorders>
              <w:top w:val="single" w:sz="4" w:space="0" w:color="auto"/>
              <w:left w:val="nil"/>
              <w:right w:val="single" w:sz="4" w:space="0" w:color="auto"/>
            </w:tcBorders>
            <w:tcMar>
              <w:top w:w="80" w:type="dxa"/>
              <w:left w:w="80" w:type="dxa"/>
              <w:bottom w:w="80" w:type="dxa"/>
              <w:right w:w="80" w:type="dxa"/>
            </w:tcMar>
          </w:tcPr>
          <w:p w14:paraId="1E216B2D" w14:textId="77777777" w:rsidR="00C913F3" w:rsidRDefault="00C913F3" w:rsidP="0082716F">
            <w:pPr>
              <w:jc w:val="center"/>
            </w:pPr>
            <w:r>
              <w:t>Conectividad Causal</w:t>
            </w:r>
          </w:p>
        </w:tc>
        <w:tc>
          <w:tcPr>
            <w:tcW w:w="6087" w:type="dxa"/>
            <w:gridSpan w:val="4"/>
            <w:tcBorders>
              <w:top w:val="single" w:sz="4" w:space="0" w:color="auto"/>
              <w:left w:val="single" w:sz="4" w:space="0" w:color="auto"/>
              <w:bottom w:val="single" w:sz="4" w:space="0" w:color="auto"/>
              <w:right w:val="nil"/>
            </w:tcBorders>
            <w:tcMar>
              <w:top w:w="80" w:type="dxa"/>
              <w:left w:w="80" w:type="dxa"/>
              <w:bottom w:w="80" w:type="dxa"/>
              <w:right w:w="80" w:type="dxa"/>
            </w:tcMar>
          </w:tcPr>
          <w:p w14:paraId="03196702" w14:textId="77777777" w:rsidR="00C913F3" w:rsidRDefault="00C913F3" w:rsidP="0082716F">
            <w:pPr>
              <w:jc w:val="center"/>
              <w:rPr>
                <w:color w:val="000000"/>
              </w:rPr>
            </w:pPr>
            <w:r>
              <w:rPr>
                <w:color w:val="000000"/>
              </w:rPr>
              <w:t>Modalidad de Presentación</w:t>
            </w:r>
          </w:p>
        </w:tc>
      </w:tr>
      <w:tr w:rsidR="00C913F3" w14:paraId="41A2585A" w14:textId="77777777" w:rsidTr="0082716F">
        <w:trPr>
          <w:trHeight w:val="202"/>
        </w:trPr>
        <w:tc>
          <w:tcPr>
            <w:tcW w:w="3349" w:type="dxa"/>
            <w:vMerge/>
            <w:tcBorders>
              <w:left w:val="nil"/>
              <w:right w:val="single" w:sz="4" w:space="0" w:color="auto"/>
            </w:tcBorders>
            <w:tcMar>
              <w:top w:w="80" w:type="dxa"/>
              <w:left w:w="80" w:type="dxa"/>
              <w:bottom w:w="80" w:type="dxa"/>
              <w:right w:w="80" w:type="dxa"/>
            </w:tcMar>
          </w:tcPr>
          <w:p w14:paraId="6338392E" w14:textId="77777777" w:rsidR="00C913F3" w:rsidRDefault="00C913F3" w:rsidP="0082716F">
            <w:pPr>
              <w:jc w:val="center"/>
            </w:pPr>
          </w:p>
        </w:tc>
        <w:tc>
          <w:tcPr>
            <w:tcW w:w="303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F67ABC" w14:textId="77777777" w:rsidR="00C913F3" w:rsidRDefault="00C913F3" w:rsidP="0082716F">
            <w:pPr>
              <w:jc w:val="center"/>
              <w:rPr>
                <w:color w:val="000000"/>
              </w:rPr>
            </w:pPr>
            <w:r>
              <w:rPr>
                <w:color w:val="000000"/>
              </w:rPr>
              <w:t>Oral</w:t>
            </w:r>
          </w:p>
        </w:tc>
        <w:tc>
          <w:tcPr>
            <w:tcW w:w="3057" w:type="dxa"/>
            <w:gridSpan w:val="2"/>
            <w:tcBorders>
              <w:top w:val="single" w:sz="4" w:space="0" w:color="auto"/>
              <w:left w:val="single" w:sz="4" w:space="0" w:color="auto"/>
              <w:bottom w:val="single" w:sz="4" w:space="0" w:color="auto"/>
              <w:right w:val="nil"/>
            </w:tcBorders>
          </w:tcPr>
          <w:p w14:paraId="50CF7402" w14:textId="77777777" w:rsidR="00C913F3" w:rsidRDefault="00C913F3" w:rsidP="0082716F">
            <w:pPr>
              <w:jc w:val="center"/>
              <w:rPr>
                <w:color w:val="000000"/>
              </w:rPr>
            </w:pPr>
            <w:r>
              <w:rPr>
                <w:color w:val="000000"/>
              </w:rPr>
              <w:t>Escrita</w:t>
            </w:r>
          </w:p>
        </w:tc>
      </w:tr>
      <w:tr w:rsidR="00C913F3" w14:paraId="31813CFA" w14:textId="77777777" w:rsidTr="0082716F">
        <w:trPr>
          <w:trHeight w:val="105"/>
        </w:trPr>
        <w:tc>
          <w:tcPr>
            <w:tcW w:w="3349" w:type="dxa"/>
            <w:vMerge/>
            <w:tcBorders>
              <w:left w:val="nil"/>
              <w:bottom w:val="single" w:sz="4" w:space="0" w:color="auto"/>
              <w:right w:val="single" w:sz="4" w:space="0" w:color="auto"/>
            </w:tcBorders>
            <w:tcMar>
              <w:top w:w="80" w:type="dxa"/>
              <w:left w:w="80" w:type="dxa"/>
              <w:bottom w:w="80" w:type="dxa"/>
              <w:right w:w="80" w:type="dxa"/>
            </w:tcMar>
          </w:tcPr>
          <w:p w14:paraId="0C24568E" w14:textId="77777777" w:rsidR="00C913F3" w:rsidRDefault="00C913F3" w:rsidP="0082716F">
            <w:pPr>
              <w:jc w:val="center"/>
            </w:pP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19419A" w14:textId="77777777" w:rsidR="00C913F3" w:rsidRDefault="00C913F3" w:rsidP="0082716F">
            <w:pPr>
              <w:jc w:val="center"/>
            </w:pPr>
            <w:r w:rsidRPr="00574B39">
              <w:t>Toma de notas de emociones</w:t>
            </w:r>
          </w:p>
        </w:tc>
        <w:tc>
          <w:tcPr>
            <w:tcW w:w="1480" w:type="dxa"/>
            <w:tcBorders>
              <w:top w:val="single" w:sz="4" w:space="0" w:color="auto"/>
              <w:left w:val="single" w:sz="4" w:space="0" w:color="auto"/>
              <w:bottom w:val="single" w:sz="4" w:space="0" w:color="auto"/>
              <w:right w:val="nil"/>
            </w:tcBorders>
          </w:tcPr>
          <w:p w14:paraId="08F69DBF" w14:textId="77777777" w:rsidR="00C913F3" w:rsidRDefault="00C913F3" w:rsidP="0082716F">
            <w:pPr>
              <w:jc w:val="center"/>
            </w:pPr>
            <w:r w:rsidRPr="00574B39">
              <w:t>Toma de notas de ideas principales</w:t>
            </w:r>
          </w:p>
        </w:tc>
        <w:tc>
          <w:tcPr>
            <w:tcW w:w="1563" w:type="dxa"/>
            <w:tcBorders>
              <w:top w:val="single" w:sz="4" w:space="0" w:color="auto"/>
              <w:left w:val="single" w:sz="4" w:space="0" w:color="auto"/>
              <w:bottom w:val="single" w:sz="4" w:space="0" w:color="auto"/>
              <w:right w:val="nil"/>
            </w:tcBorders>
          </w:tcPr>
          <w:p w14:paraId="780E51F8" w14:textId="77777777" w:rsidR="00C913F3" w:rsidRDefault="00C913F3" w:rsidP="0082716F">
            <w:pPr>
              <w:jc w:val="center"/>
            </w:pPr>
            <w:r w:rsidRPr="00574B39">
              <w:t>Toma de notas de emociones</w:t>
            </w:r>
          </w:p>
        </w:tc>
        <w:tc>
          <w:tcPr>
            <w:tcW w:w="1494" w:type="dxa"/>
            <w:tcBorders>
              <w:top w:val="single" w:sz="4" w:space="0" w:color="auto"/>
              <w:left w:val="single" w:sz="4" w:space="0" w:color="auto"/>
              <w:bottom w:val="single" w:sz="4" w:space="0" w:color="auto"/>
              <w:right w:val="nil"/>
            </w:tcBorders>
          </w:tcPr>
          <w:p w14:paraId="586B9007" w14:textId="77777777" w:rsidR="00C913F3" w:rsidRDefault="00C913F3" w:rsidP="0082716F">
            <w:pPr>
              <w:jc w:val="center"/>
            </w:pPr>
            <w:r w:rsidRPr="00574B39">
              <w:t>Toma de notas de ideas principales</w:t>
            </w:r>
          </w:p>
        </w:tc>
      </w:tr>
      <w:tr w:rsidR="00C913F3" w14:paraId="25AD058F" w14:textId="77777777" w:rsidTr="0082716F">
        <w:trPr>
          <w:trHeight w:val="20"/>
        </w:trPr>
        <w:tc>
          <w:tcPr>
            <w:tcW w:w="3349" w:type="dxa"/>
            <w:tcBorders>
              <w:top w:val="single" w:sz="4" w:space="0" w:color="auto"/>
              <w:left w:val="nil"/>
              <w:bottom w:val="nil"/>
              <w:right w:val="single" w:sz="4" w:space="0" w:color="auto"/>
            </w:tcBorders>
            <w:tcMar>
              <w:top w:w="80" w:type="dxa"/>
              <w:left w:w="80" w:type="dxa"/>
              <w:bottom w:w="80" w:type="dxa"/>
              <w:right w:w="80" w:type="dxa"/>
            </w:tcMar>
          </w:tcPr>
          <w:p w14:paraId="460D13E5" w14:textId="77777777" w:rsidR="00C913F3" w:rsidRDefault="00C913F3" w:rsidP="0082716F">
            <w:pPr>
              <w:jc w:val="center"/>
            </w:pPr>
            <w:r>
              <w:t>Baja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C10032" w14:textId="77777777" w:rsidR="00C913F3" w:rsidRPr="008C7D10" w:rsidRDefault="00C913F3" w:rsidP="0082716F">
            <w:pPr>
              <w:jc w:val="center"/>
              <w:rPr>
                <w:i/>
                <w:color w:val="000000"/>
              </w:rPr>
            </w:pPr>
            <w:r w:rsidRPr="008C7D10">
              <w:t>.002(.02)</w:t>
            </w:r>
          </w:p>
        </w:tc>
        <w:tc>
          <w:tcPr>
            <w:tcW w:w="1480" w:type="dxa"/>
            <w:tcBorders>
              <w:top w:val="single" w:sz="4" w:space="0" w:color="auto"/>
              <w:left w:val="single" w:sz="4" w:space="0" w:color="auto"/>
              <w:bottom w:val="single" w:sz="4" w:space="0" w:color="auto"/>
              <w:right w:val="nil"/>
            </w:tcBorders>
          </w:tcPr>
          <w:p w14:paraId="4D316D5B" w14:textId="77777777" w:rsidR="00C913F3" w:rsidRPr="008C7D10" w:rsidRDefault="00C913F3" w:rsidP="0082716F">
            <w:pPr>
              <w:jc w:val="center"/>
              <w:rPr>
                <w:i/>
                <w:color w:val="000000"/>
              </w:rPr>
            </w:pPr>
            <w:r w:rsidRPr="008C7D10">
              <w:t>.013(.08)</w:t>
            </w:r>
          </w:p>
        </w:tc>
        <w:tc>
          <w:tcPr>
            <w:tcW w:w="1563" w:type="dxa"/>
            <w:tcBorders>
              <w:top w:val="single" w:sz="4" w:space="0" w:color="auto"/>
              <w:left w:val="single" w:sz="4" w:space="0" w:color="auto"/>
              <w:bottom w:val="single" w:sz="4" w:space="0" w:color="auto"/>
              <w:right w:val="nil"/>
            </w:tcBorders>
          </w:tcPr>
          <w:p w14:paraId="7C3D2B2D" w14:textId="77777777" w:rsidR="00C913F3" w:rsidRPr="008C7D10" w:rsidRDefault="00C913F3" w:rsidP="0082716F">
            <w:pPr>
              <w:jc w:val="center"/>
              <w:rPr>
                <w:i/>
                <w:color w:val="000000"/>
              </w:rPr>
            </w:pPr>
            <w:r w:rsidRPr="008C7D10">
              <w:t>.004(.04)</w:t>
            </w:r>
          </w:p>
        </w:tc>
        <w:tc>
          <w:tcPr>
            <w:tcW w:w="1494" w:type="dxa"/>
            <w:tcBorders>
              <w:top w:val="single" w:sz="4" w:space="0" w:color="auto"/>
              <w:left w:val="single" w:sz="4" w:space="0" w:color="auto"/>
              <w:bottom w:val="single" w:sz="4" w:space="0" w:color="auto"/>
              <w:right w:val="nil"/>
            </w:tcBorders>
          </w:tcPr>
          <w:p w14:paraId="51AE457F" w14:textId="77777777" w:rsidR="00C913F3" w:rsidRPr="008C7D10" w:rsidRDefault="00C913F3" w:rsidP="0082716F">
            <w:pPr>
              <w:jc w:val="center"/>
              <w:rPr>
                <w:i/>
                <w:color w:val="000000"/>
              </w:rPr>
            </w:pPr>
            <w:r w:rsidRPr="008C7D10">
              <w:t>.005(.05)</w:t>
            </w:r>
          </w:p>
        </w:tc>
      </w:tr>
      <w:tr w:rsidR="00C913F3" w14:paraId="126A592C" w14:textId="77777777" w:rsidTr="0082716F">
        <w:trPr>
          <w:trHeight w:val="213"/>
        </w:trPr>
        <w:tc>
          <w:tcPr>
            <w:tcW w:w="3349" w:type="dxa"/>
            <w:tcBorders>
              <w:top w:val="single" w:sz="4" w:space="0" w:color="auto"/>
              <w:left w:val="nil"/>
              <w:bottom w:val="single" w:sz="4" w:space="0" w:color="auto"/>
              <w:right w:val="single" w:sz="4" w:space="0" w:color="auto"/>
            </w:tcBorders>
            <w:tcMar>
              <w:top w:w="80" w:type="dxa"/>
              <w:left w:w="80" w:type="dxa"/>
              <w:bottom w:w="80" w:type="dxa"/>
              <w:right w:w="80" w:type="dxa"/>
            </w:tcMar>
          </w:tcPr>
          <w:p w14:paraId="79BB126B" w14:textId="77777777" w:rsidR="00C913F3" w:rsidRDefault="00C913F3" w:rsidP="0082716F">
            <w:pPr>
              <w:jc w:val="center"/>
            </w:pPr>
            <w:r>
              <w:t>Media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BE7A0D" w14:textId="77777777" w:rsidR="00C913F3" w:rsidRPr="008C7D10" w:rsidRDefault="00C913F3" w:rsidP="0082716F">
            <w:pPr>
              <w:jc w:val="center"/>
              <w:rPr>
                <w:color w:val="000000"/>
              </w:rPr>
            </w:pPr>
            <w:r w:rsidRPr="008C7D10">
              <w:t>.019(.13)</w:t>
            </w:r>
          </w:p>
        </w:tc>
        <w:tc>
          <w:tcPr>
            <w:tcW w:w="1480" w:type="dxa"/>
            <w:tcBorders>
              <w:top w:val="single" w:sz="4" w:space="0" w:color="auto"/>
              <w:left w:val="single" w:sz="4" w:space="0" w:color="auto"/>
              <w:bottom w:val="single" w:sz="4" w:space="0" w:color="auto"/>
              <w:right w:val="nil"/>
            </w:tcBorders>
          </w:tcPr>
          <w:p w14:paraId="5E5CFCD8" w14:textId="77777777" w:rsidR="00C913F3" w:rsidRPr="008C7D10" w:rsidRDefault="00C913F3" w:rsidP="0082716F">
            <w:pPr>
              <w:widowControl w:val="0"/>
              <w:spacing w:line="276" w:lineRule="auto"/>
              <w:jc w:val="center"/>
              <w:rPr>
                <w:color w:val="000000"/>
              </w:rPr>
            </w:pPr>
            <w:r w:rsidRPr="008C7D10">
              <w:t>.012(.10)</w:t>
            </w:r>
          </w:p>
        </w:tc>
        <w:tc>
          <w:tcPr>
            <w:tcW w:w="1563" w:type="dxa"/>
            <w:tcBorders>
              <w:top w:val="single" w:sz="4" w:space="0" w:color="auto"/>
              <w:left w:val="single" w:sz="4" w:space="0" w:color="auto"/>
              <w:bottom w:val="single" w:sz="4" w:space="0" w:color="auto"/>
              <w:right w:val="nil"/>
            </w:tcBorders>
          </w:tcPr>
          <w:p w14:paraId="305CC62F" w14:textId="77777777" w:rsidR="00C913F3" w:rsidRPr="008C7D10" w:rsidRDefault="00C913F3" w:rsidP="0082716F">
            <w:pPr>
              <w:widowControl w:val="0"/>
              <w:spacing w:line="276" w:lineRule="auto"/>
              <w:jc w:val="center"/>
              <w:rPr>
                <w:color w:val="000000"/>
              </w:rPr>
            </w:pPr>
            <w:r w:rsidRPr="008C7D10">
              <w:t>.024(.15)</w:t>
            </w:r>
          </w:p>
        </w:tc>
        <w:tc>
          <w:tcPr>
            <w:tcW w:w="1494" w:type="dxa"/>
            <w:tcBorders>
              <w:top w:val="single" w:sz="4" w:space="0" w:color="auto"/>
              <w:left w:val="single" w:sz="4" w:space="0" w:color="auto"/>
              <w:bottom w:val="single" w:sz="4" w:space="0" w:color="auto"/>
              <w:right w:val="nil"/>
            </w:tcBorders>
          </w:tcPr>
          <w:p w14:paraId="722BB923" w14:textId="77777777" w:rsidR="00C913F3" w:rsidRPr="008C7D10" w:rsidRDefault="00C913F3" w:rsidP="0082716F">
            <w:pPr>
              <w:widowControl w:val="0"/>
              <w:spacing w:line="276" w:lineRule="auto"/>
              <w:jc w:val="center"/>
              <w:rPr>
                <w:color w:val="000000"/>
              </w:rPr>
            </w:pPr>
            <w:r w:rsidRPr="008C7D10">
              <w:t>.014(.11)</w:t>
            </w:r>
          </w:p>
        </w:tc>
      </w:tr>
      <w:tr w:rsidR="00C913F3" w14:paraId="605AD8DD" w14:textId="77777777" w:rsidTr="0082716F">
        <w:trPr>
          <w:trHeight w:val="285"/>
        </w:trPr>
        <w:tc>
          <w:tcPr>
            <w:tcW w:w="3349" w:type="dxa"/>
            <w:tcBorders>
              <w:top w:val="single" w:sz="4" w:space="0" w:color="auto"/>
              <w:left w:val="nil"/>
              <w:bottom w:val="single" w:sz="4" w:space="0" w:color="auto"/>
              <w:right w:val="single" w:sz="4" w:space="0" w:color="auto"/>
            </w:tcBorders>
            <w:tcMar>
              <w:top w:w="80" w:type="dxa"/>
              <w:left w:w="80" w:type="dxa"/>
              <w:bottom w:w="80" w:type="dxa"/>
              <w:right w:w="80" w:type="dxa"/>
            </w:tcMar>
          </w:tcPr>
          <w:p w14:paraId="14EB9E5D" w14:textId="77777777" w:rsidR="00C913F3" w:rsidRDefault="00C913F3" w:rsidP="0082716F">
            <w:pPr>
              <w:jc w:val="center"/>
            </w:pPr>
            <w:r>
              <w:t>Alta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272429" w14:textId="77777777" w:rsidR="00C913F3" w:rsidRPr="008C7D10" w:rsidRDefault="00C913F3" w:rsidP="0082716F">
            <w:pPr>
              <w:jc w:val="center"/>
              <w:rPr>
                <w:color w:val="000000"/>
              </w:rPr>
            </w:pPr>
            <w:r w:rsidRPr="008C7D10">
              <w:t>.079(.25)</w:t>
            </w:r>
          </w:p>
        </w:tc>
        <w:tc>
          <w:tcPr>
            <w:tcW w:w="1480" w:type="dxa"/>
            <w:tcBorders>
              <w:top w:val="single" w:sz="4" w:space="0" w:color="auto"/>
              <w:left w:val="single" w:sz="4" w:space="0" w:color="auto"/>
              <w:bottom w:val="single" w:sz="4" w:space="0" w:color="auto"/>
              <w:right w:val="nil"/>
            </w:tcBorders>
          </w:tcPr>
          <w:p w14:paraId="2EA31296" w14:textId="77777777" w:rsidR="00C913F3" w:rsidRPr="008C7D10" w:rsidRDefault="00C913F3" w:rsidP="0082716F">
            <w:pPr>
              <w:widowControl w:val="0"/>
              <w:spacing w:line="276" w:lineRule="auto"/>
              <w:jc w:val="center"/>
              <w:rPr>
                <w:color w:val="000000"/>
              </w:rPr>
            </w:pPr>
            <w:r w:rsidRPr="008C7D10">
              <w:t>.066(.24)</w:t>
            </w:r>
          </w:p>
        </w:tc>
        <w:tc>
          <w:tcPr>
            <w:tcW w:w="1563" w:type="dxa"/>
            <w:tcBorders>
              <w:top w:val="single" w:sz="4" w:space="0" w:color="auto"/>
              <w:left w:val="single" w:sz="4" w:space="0" w:color="auto"/>
              <w:bottom w:val="single" w:sz="4" w:space="0" w:color="auto"/>
              <w:right w:val="nil"/>
            </w:tcBorders>
          </w:tcPr>
          <w:p w14:paraId="410CC83A" w14:textId="77777777" w:rsidR="00C913F3" w:rsidRPr="008C7D10" w:rsidRDefault="00C913F3" w:rsidP="0082716F">
            <w:pPr>
              <w:widowControl w:val="0"/>
              <w:spacing w:line="276" w:lineRule="auto"/>
              <w:jc w:val="center"/>
              <w:rPr>
                <w:color w:val="000000"/>
              </w:rPr>
            </w:pPr>
            <w:r w:rsidRPr="008C7D10">
              <w:t>.080(.26)</w:t>
            </w:r>
          </w:p>
        </w:tc>
        <w:tc>
          <w:tcPr>
            <w:tcW w:w="1494" w:type="dxa"/>
            <w:tcBorders>
              <w:top w:val="single" w:sz="4" w:space="0" w:color="auto"/>
              <w:left w:val="single" w:sz="4" w:space="0" w:color="auto"/>
              <w:bottom w:val="single" w:sz="4" w:space="0" w:color="auto"/>
              <w:right w:val="nil"/>
            </w:tcBorders>
          </w:tcPr>
          <w:p w14:paraId="226A3AB4" w14:textId="77777777" w:rsidR="00C913F3" w:rsidRPr="008C7D10" w:rsidRDefault="00C913F3" w:rsidP="0082716F">
            <w:pPr>
              <w:widowControl w:val="0"/>
              <w:spacing w:line="276" w:lineRule="auto"/>
              <w:jc w:val="center"/>
              <w:rPr>
                <w:color w:val="000000"/>
              </w:rPr>
            </w:pPr>
            <w:r w:rsidRPr="008C7D10">
              <w:t>.051(</w:t>
            </w:r>
            <w:r>
              <w:t>.</w:t>
            </w:r>
            <w:r w:rsidRPr="008C7D10">
              <w:t>21)</w:t>
            </w:r>
          </w:p>
        </w:tc>
      </w:tr>
      <w:tr w:rsidR="00C913F3" w14:paraId="3311D73D" w14:textId="77777777" w:rsidTr="0082716F">
        <w:trPr>
          <w:trHeight w:val="239"/>
        </w:trPr>
        <w:tc>
          <w:tcPr>
            <w:tcW w:w="9436" w:type="dxa"/>
            <w:gridSpan w:val="5"/>
            <w:tcBorders>
              <w:top w:val="single" w:sz="4" w:space="0" w:color="000000"/>
              <w:left w:val="nil"/>
              <w:bottom w:val="nil"/>
              <w:right w:val="nil"/>
            </w:tcBorders>
            <w:tcMar>
              <w:top w:w="80" w:type="dxa"/>
              <w:left w:w="80" w:type="dxa"/>
              <w:bottom w:w="80" w:type="dxa"/>
              <w:right w:w="80" w:type="dxa"/>
            </w:tcMar>
          </w:tcPr>
          <w:p w14:paraId="183E8F72" w14:textId="77777777" w:rsidR="00C913F3" w:rsidRDefault="00C913F3" w:rsidP="0082716F"/>
        </w:tc>
      </w:tr>
    </w:tbl>
    <w:p w14:paraId="4E7B1C4C" w14:textId="77777777" w:rsidR="00C913F3" w:rsidRDefault="00C913F3" w:rsidP="00C913F3">
      <w:pPr>
        <w:pBdr>
          <w:top w:val="nil"/>
          <w:left w:val="nil"/>
          <w:bottom w:val="nil"/>
          <w:right w:val="nil"/>
          <w:between w:val="nil"/>
        </w:pBdr>
        <w:jc w:val="center"/>
        <w:rPr>
          <w:b/>
          <w:color w:val="000000"/>
        </w:rPr>
      </w:pPr>
    </w:p>
    <w:bookmarkEnd w:id="0"/>
    <w:p w14:paraId="63F960FB" w14:textId="77777777" w:rsidR="00C913F3" w:rsidRPr="00270639" w:rsidRDefault="00C913F3" w:rsidP="00C913F3">
      <w:pPr>
        <w:pBdr>
          <w:top w:val="nil"/>
          <w:left w:val="nil"/>
          <w:bottom w:val="nil"/>
          <w:right w:val="nil"/>
          <w:between w:val="nil"/>
        </w:pBdr>
        <w:jc w:val="center"/>
        <w:rPr>
          <w:b/>
          <w:color w:val="000000"/>
        </w:rPr>
      </w:pPr>
      <w:r>
        <w:rPr>
          <w:b/>
          <w:color w:val="000000"/>
        </w:rPr>
        <w:t>Discusión</w:t>
      </w:r>
    </w:p>
    <w:p w14:paraId="710A610F" w14:textId="0A087B3C" w:rsidR="00C913F3" w:rsidRDefault="00C913F3" w:rsidP="00C913F3">
      <w:pPr>
        <w:widowControl w:val="0"/>
        <w:spacing w:line="360" w:lineRule="auto"/>
        <w:ind w:right="-214"/>
        <w:rPr>
          <w:rFonts w:eastAsia="Arial"/>
        </w:rPr>
      </w:pPr>
      <w:r>
        <w:rPr>
          <w:rFonts w:eastAsia="Arial"/>
        </w:rPr>
        <w:t>El presente trabajo</w:t>
      </w:r>
      <w:r w:rsidRPr="0035438E">
        <w:rPr>
          <w:rFonts w:eastAsia="Arial"/>
        </w:rPr>
        <w:t xml:space="preserve"> intentó aplicar herramientas discursivas de la </w:t>
      </w:r>
      <w:r>
        <w:rPr>
          <w:rFonts w:eastAsia="Arial"/>
        </w:rPr>
        <w:t>P</w:t>
      </w:r>
      <w:r w:rsidRPr="0035438E">
        <w:rPr>
          <w:rFonts w:eastAsia="Arial"/>
        </w:rPr>
        <w:t xml:space="preserve">sicología </w:t>
      </w:r>
      <w:r>
        <w:rPr>
          <w:rFonts w:eastAsia="Arial"/>
        </w:rPr>
        <w:t>Co</w:t>
      </w:r>
      <w:r w:rsidRPr="0035438E">
        <w:rPr>
          <w:rFonts w:eastAsia="Arial"/>
        </w:rPr>
        <w:t xml:space="preserve">gnitiva </w:t>
      </w:r>
      <w:r>
        <w:rPr>
          <w:rFonts w:eastAsia="Arial"/>
        </w:rPr>
        <w:t>para contribuir con l</w:t>
      </w:r>
      <w:r w:rsidRPr="0035438E">
        <w:rPr>
          <w:rFonts w:eastAsia="Arial"/>
        </w:rPr>
        <w:t>a comprensión de materiales de ESI en la formación docente</w:t>
      </w:r>
      <w:r>
        <w:rPr>
          <w:rFonts w:eastAsia="Arial"/>
        </w:rPr>
        <w:t>. L</w:t>
      </w:r>
      <w:r w:rsidRPr="0035438E">
        <w:rPr>
          <w:rFonts w:eastAsia="Arial"/>
        </w:rPr>
        <w:t>os resultados demostraron que, la conectividad causal tiene un rol en la comprensión de materiales de ESI en docentes en formación. Particularmente, los enunciados con conectividad causal alta del material fueron más recordados por los participantes</w:t>
      </w:r>
      <w:r>
        <w:rPr>
          <w:rFonts w:eastAsia="Arial"/>
        </w:rPr>
        <w:t>,</w:t>
      </w:r>
      <w:r w:rsidRPr="0035438E">
        <w:rPr>
          <w:rFonts w:eastAsia="Arial"/>
        </w:rPr>
        <w:t xml:space="preserve"> independientemente de la modalidad de presentación o la condición de toma de notas. Estos resultados evidencian que, la conectividad causal no sólo tiene un rol en la comprensión de materiales de índole académica no social como lo demostraron investigaciones previas </w:t>
      </w:r>
      <w:r w:rsidRPr="0035438E">
        <w:t>(</w:t>
      </w:r>
      <w:proofErr w:type="spellStart"/>
      <w:r w:rsidRPr="0035438E">
        <w:t>Radvansky</w:t>
      </w:r>
      <w:proofErr w:type="spellEnd"/>
      <w:r w:rsidRPr="0035438E">
        <w:t xml:space="preserve"> et al., 2014; </w:t>
      </w:r>
      <w:proofErr w:type="spellStart"/>
      <w:r w:rsidRPr="0035438E">
        <w:t>Trabasso</w:t>
      </w:r>
      <w:proofErr w:type="spellEnd"/>
      <w:r w:rsidRPr="0035438E">
        <w:t xml:space="preserve"> y Sperry, 1985)</w:t>
      </w:r>
      <w:r w:rsidRPr="0035438E">
        <w:rPr>
          <w:rFonts w:eastAsia="Arial"/>
        </w:rPr>
        <w:t>, sino que también incide en la comprensión y el recuerdo de materiales que podrían tener un efecto psicosocial y generar cambios positivos en la población favoreciendo la integración social a partir de la implementación de la educación sexual integral.</w:t>
      </w:r>
      <w:r>
        <w:rPr>
          <w:rFonts w:eastAsia="Arial"/>
        </w:rPr>
        <w:t xml:space="preserve"> Además, estos resultados son consistentes con los obtenidos en una </w:t>
      </w:r>
      <w:r>
        <w:rPr>
          <w:rFonts w:eastAsia="Arial"/>
        </w:rPr>
        <w:lastRenderedPageBreak/>
        <w:t xml:space="preserve">investigación que hemos realizado previamente con una población de estudiantes del Profesorado de Educación Física </w:t>
      </w:r>
      <w:r w:rsidR="000908A7" w:rsidRPr="009B7119">
        <w:rPr>
          <w:rFonts w:eastAsia="Arial"/>
        </w:rPr>
        <w:t>(</w:t>
      </w:r>
      <w:r w:rsidR="000908A7">
        <w:rPr>
          <w:rFonts w:eastAsia="Arial"/>
        </w:rPr>
        <w:t>cita de autores no especificada para conservar anonimato en la revisión doble ciego</w:t>
      </w:r>
      <w:r w:rsidRPr="009B7119">
        <w:rPr>
          <w:rFonts w:eastAsia="Arial"/>
        </w:rPr>
        <w:t>)</w:t>
      </w:r>
      <w:r>
        <w:rPr>
          <w:rFonts w:eastAsia="Arial"/>
        </w:rPr>
        <w:t xml:space="preserve">. Lo cual evidencia que, independientemente del área específica de cada profesorado, las personas que participaron pudieron incluir una mayor cantidad de enunciados con alta conectividad causal en sus respuestas a una pregunta de monitoreo de la comprensión. </w:t>
      </w:r>
    </w:p>
    <w:p w14:paraId="363A8186"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Por otra parte, si bien estudios previos han demostrado un efecto para la modalidad de presentación del material y para el tipo de toma de notas de materiales de diversa índole </w:t>
      </w:r>
      <w:r w:rsidRPr="00370F3E">
        <w:rPr>
          <w:rFonts w:eastAsia="Arial"/>
        </w:rPr>
        <w:t>(</w:t>
      </w:r>
      <w:proofErr w:type="spellStart"/>
      <w:r w:rsidRPr="00370F3E">
        <w:t>Cevasco</w:t>
      </w:r>
      <w:proofErr w:type="spellEnd"/>
      <w:r w:rsidRPr="00370F3E">
        <w:t xml:space="preserve"> &amp; van den </w:t>
      </w:r>
      <w:proofErr w:type="spellStart"/>
      <w:r w:rsidRPr="00370F3E">
        <w:t>Broek</w:t>
      </w:r>
      <w:proofErr w:type="spellEnd"/>
      <w:r w:rsidRPr="00370F3E">
        <w:t>, 2013</w:t>
      </w:r>
      <w:r>
        <w:t xml:space="preserve">; </w:t>
      </w:r>
      <w:r w:rsidRPr="00370F3E">
        <w:rPr>
          <w:rFonts w:eastAsia="Arial"/>
        </w:rPr>
        <w:t xml:space="preserve">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2011)</w:t>
      </w:r>
      <w:r>
        <w:rPr>
          <w:rFonts w:eastAsia="Arial"/>
        </w:rPr>
        <w:t xml:space="preserve">, el presente estudio no ha demostrado resultados significativos al respecto. Esto podría deberse a la modificación en el tipo de material, que en este caso es sobre ESI, o podría deberse a la población, estudiantes del profesorado de Psicología. Debido a ello, sería importante continuar investigando al respecto para poder determinar el motivo por el cual estas variables no tuvieron efecto en el presente estudio. </w:t>
      </w:r>
    </w:p>
    <w:p w14:paraId="7D87BBEE"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Nuestra investigación intentó enfocarse en docentes en formación para contribuir con la falta de abordaje de la ESI en los profesorados que se observó en estudios previos </w:t>
      </w:r>
      <w:r w:rsidRPr="00A51245">
        <w:t>(Campo &amp; Cuesta, 2025)</w:t>
      </w:r>
      <w:r>
        <w:rPr>
          <w:rFonts w:eastAsia="Arial"/>
        </w:rPr>
        <w:t xml:space="preserve">. A su vez, tuvo la intención de contribuir a la confección de materiales, consignas y modalidad de presentación de los contenidos ofrecidos a la población docente desde una perspectiva basada en sus necesidades y habilidades sobre la comprensión. Esto, para no limitarse a sugerir actividades áulicas prácticas y teóricas como la mayor parte de los materiales oficiales publicados previamente </w:t>
      </w:r>
      <w:r>
        <w:rPr>
          <w:color w:val="000000"/>
        </w:rPr>
        <w:t>(</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De esta manera, se intenta lograr promover la confección y divulgación de materiales basados en evidencia. </w:t>
      </w:r>
    </w:p>
    <w:p w14:paraId="0D4B064B" w14:textId="7D3ECBB0" w:rsidR="00F57650" w:rsidRDefault="00C913F3" w:rsidP="002339E9">
      <w:pPr>
        <w:pBdr>
          <w:top w:val="nil"/>
          <w:left w:val="nil"/>
          <w:bottom w:val="nil"/>
          <w:right w:val="nil"/>
          <w:between w:val="nil"/>
        </w:pBdr>
        <w:spacing w:line="360" w:lineRule="auto"/>
        <w:ind w:firstLine="708"/>
        <w:jc w:val="both"/>
        <w:rPr>
          <w:lang w:val="es-AR"/>
        </w:rPr>
      </w:pPr>
      <w:r>
        <w:rPr>
          <w:lang w:val="es-AR"/>
        </w:rPr>
        <w:t>Las limitaciones del presente estudio se basan en que l</w:t>
      </w:r>
      <w:r w:rsidRPr="0035438E">
        <w:rPr>
          <w:lang w:val="es-AR"/>
        </w:rPr>
        <w:t xml:space="preserve">as respuestas analizadas se limitaron a una sola pregunta de comprensión, </w:t>
      </w:r>
      <w:r>
        <w:rPr>
          <w:lang w:val="es-AR"/>
        </w:rPr>
        <w:t xml:space="preserve">lo cual pudo no haber sido representativo de la comprensión. Además, la cantidad de participantes también es limitada como para realizar generalizaciones. Por lo cual, sería oportuno que próximas investigaciones consideren utilizar más preguntas de comprensión, inclusive teniendo en cuenta una modalidad de respuesta extensa la cual podría analizarse también cualitativamente para obtener más información sobre la comprensión de materiales de ESI desde el punto de vista de estudiantes del profesorado como protagonistas. Así como también, teniendo en cuenta la diversidad de discursos actuales sobre la ESI, futuras investigaciones podrían incluir una mayor cantidad de participantes y una variación en el contenido, con el fin de indagar si las entrevistas de personas que en lugar de manifestarse a favor de la ESI se expresen en contra de esta y observar los efectos de esto en la comprensión. </w:t>
      </w:r>
      <w:r>
        <w:rPr>
          <w:lang w:val="es-AR"/>
        </w:rPr>
        <w:lastRenderedPageBreak/>
        <w:t xml:space="preserve">Finalmente, </w:t>
      </w:r>
      <w:r w:rsidR="002339E9">
        <w:rPr>
          <w:lang w:val="es-AR"/>
        </w:rPr>
        <w:t xml:space="preserve">existen otras herramientas discursivas que no se han indagado en el presente estudio tales como, los sesgos cognitivos, que podrían resultar otro relevante aporte de la Psicología Cognitiva al aprendizaje de materiales de ESI en la formación docente. Un ejemplo de sesgo cognitivo que podría asociarse con el aprendizaje de la ESI es </w:t>
      </w:r>
      <w:r w:rsidR="00F57650">
        <w:rPr>
          <w:lang w:val="es-AR"/>
        </w:rPr>
        <w:t>el sesgo de anclaje</w:t>
      </w:r>
      <w:r w:rsidR="0070319A">
        <w:rPr>
          <w:lang w:val="es-AR"/>
        </w:rPr>
        <w:t>,</w:t>
      </w:r>
      <w:r w:rsidR="002339E9">
        <w:rPr>
          <w:lang w:val="es-AR"/>
        </w:rPr>
        <w:t xml:space="preserve"> a partir del </w:t>
      </w:r>
      <w:r w:rsidR="004D23DC">
        <w:rPr>
          <w:lang w:val="es-AR"/>
        </w:rPr>
        <w:t>cual muchas</w:t>
      </w:r>
      <w:r w:rsidR="00F57650">
        <w:rPr>
          <w:lang w:val="es-AR"/>
        </w:rPr>
        <w:t xml:space="preserve"> personas fijan su</w:t>
      </w:r>
      <w:r w:rsidR="002339E9">
        <w:rPr>
          <w:lang w:val="es-AR"/>
        </w:rPr>
        <w:t>s creencias</w:t>
      </w:r>
      <w:r w:rsidR="00F57650">
        <w:rPr>
          <w:lang w:val="es-AR"/>
        </w:rPr>
        <w:t xml:space="preserve"> en </w:t>
      </w:r>
      <w:r w:rsidR="002339E9">
        <w:rPr>
          <w:lang w:val="es-AR"/>
        </w:rPr>
        <w:t>el</w:t>
      </w:r>
      <w:r w:rsidR="00F57650">
        <w:rPr>
          <w:lang w:val="es-AR"/>
        </w:rPr>
        <w:t xml:space="preserve"> prime</w:t>
      </w:r>
      <w:r w:rsidR="002339E9">
        <w:rPr>
          <w:lang w:val="es-AR"/>
        </w:rPr>
        <w:t>r aprendizaje</w:t>
      </w:r>
      <w:r w:rsidR="00F57650">
        <w:rPr>
          <w:lang w:val="es-AR"/>
        </w:rPr>
        <w:t xml:space="preserve"> que tienen </w:t>
      </w:r>
      <w:r w:rsidR="002339E9">
        <w:rPr>
          <w:lang w:val="es-AR"/>
        </w:rPr>
        <w:t xml:space="preserve">sobre </w:t>
      </w:r>
      <w:r w:rsidR="00F57650">
        <w:rPr>
          <w:lang w:val="es-AR"/>
        </w:rPr>
        <w:t>el tema</w:t>
      </w:r>
      <w:r w:rsidR="0070319A">
        <w:rPr>
          <w:lang w:val="es-AR"/>
        </w:rPr>
        <w:t>, aunque sea erróneo y afecte</w:t>
      </w:r>
      <w:r w:rsidR="002339E9">
        <w:rPr>
          <w:lang w:val="es-AR"/>
        </w:rPr>
        <w:t xml:space="preserve"> sus decisiones</w:t>
      </w:r>
      <w:r w:rsidR="0070319A">
        <w:rPr>
          <w:lang w:val="es-AR"/>
        </w:rPr>
        <w:t xml:space="preserve"> de cuidado (de Wilde et al., 2018)</w:t>
      </w:r>
      <w:r w:rsidR="002339E9">
        <w:rPr>
          <w:lang w:val="es-AR"/>
        </w:rPr>
        <w:t>. Particularmente, en el caso</w:t>
      </w:r>
      <w:r w:rsidR="00F57650">
        <w:rPr>
          <w:lang w:val="es-AR"/>
        </w:rPr>
        <w:t xml:space="preserve"> de la educación sexua</w:t>
      </w:r>
      <w:r w:rsidR="002339E9">
        <w:rPr>
          <w:lang w:val="es-AR"/>
        </w:rPr>
        <w:t>l</w:t>
      </w:r>
      <w:r w:rsidR="00F57650">
        <w:rPr>
          <w:lang w:val="es-AR"/>
        </w:rPr>
        <w:t xml:space="preserve"> a</w:t>
      </w:r>
      <w:r w:rsidR="0070319A">
        <w:rPr>
          <w:lang w:val="es-AR"/>
        </w:rPr>
        <w:t>l</w:t>
      </w:r>
      <w:r w:rsidR="00F57650">
        <w:rPr>
          <w:lang w:val="es-AR"/>
        </w:rPr>
        <w:t xml:space="preserve"> ser un fenómeno considerado tabú del que en épocas previas se ha comunicado poco</w:t>
      </w:r>
      <w:r w:rsidR="0070319A">
        <w:rPr>
          <w:lang w:val="es-AR"/>
        </w:rPr>
        <w:t xml:space="preserve"> o difundido información inadecuada</w:t>
      </w:r>
      <w:r w:rsidR="00F57650">
        <w:rPr>
          <w:lang w:val="es-AR"/>
        </w:rPr>
        <w:t xml:space="preserve">, podría provocar que las personas se aferren a sus </w:t>
      </w:r>
      <w:r w:rsidR="0070319A">
        <w:rPr>
          <w:lang w:val="es-AR"/>
        </w:rPr>
        <w:t>primeros aprendizajes</w:t>
      </w:r>
      <w:r w:rsidR="00F57650">
        <w:rPr>
          <w:lang w:val="es-AR"/>
        </w:rPr>
        <w:t xml:space="preserve"> </w:t>
      </w:r>
      <w:r w:rsidR="002339E9">
        <w:rPr>
          <w:lang w:val="es-AR"/>
        </w:rPr>
        <w:t>y que est</w:t>
      </w:r>
      <w:r w:rsidR="0070319A">
        <w:rPr>
          <w:lang w:val="es-AR"/>
        </w:rPr>
        <w:t>o</w:t>
      </w:r>
      <w:r w:rsidR="002339E9">
        <w:rPr>
          <w:lang w:val="es-AR"/>
        </w:rPr>
        <w:t>s sean fals</w:t>
      </w:r>
      <w:r w:rsidR="0070319A">
        <w:rPr>
          <w:lang w:val="es-AR"/>
        </w:rPr>
        <w:t>o</w:t>
      </w:r>
      <w:r w:rsidR="002339E9">
        <w:rPr>
          <w:lang w:val="es-AR"/>
        </w:rPr>
        <w:t>s</w:t>
      </w:r>
      <w:r w:rsidR="0070319A">
        <w:rPr>
          <w:lang w:val="es-AR"/>
        </w:rPr>
        <w:t xml:space="preserve">. </w:t>
      </w:r>
      <w:r w:rsidR="00F57650">
        <w:rPr>
          <w:lang w:val="es-AR"/>
        </w:rPr>
        <w:t>Sería relevante estudiar la influencia de los sesgos cognitivos en relación con la ESI para diseñar intervenciones en políticas públicas (</w:t>
      </w:r>
      <w:proofErr w:type="spellStart"/>
      <w:r w:rsidR="00F57650">
        <w:rPr>
          <w:lang w:val="es-AR"/>
        </w:rPr>
        <w:t>Caccia</w:t>
      </w:r>
      <w:proofErr w:type="spellEnd"/>
      <w:r w:rsidR="00F57650">
        <w:rPr>
          <w:lang w:val="es-AR"/>
        </w:rPr>
        <w:t xml:space="preserve">, 2024) que favorezcan la formación docente sobre ESI y, por ende, la implementación de la misma. </w:t>
      </w:r>
      <w:r w:rsidR="004D23DC">
        <w:rPr>
          <w:lang w:val="es-AR"/>
        </w:rPr>
        <w:t xml:space="preserve">A su vez, la adecuada formación docente permitiría impartir la información adecuada sobre ESI en las primeras etapas de las vidas de la población estudiantil, lo cual podría evitar que se efectúen sesgos de anclaje relacionados con información falsa que conduzca a decisiones riesgosas sobre la salud biopsicosocial de las personas. </w:t>
      </w:r>
    </w:p>
    <w:p w14:paraId="7EB98030" w14:textId="77777777" w:rsidR="00C913F3" w:rsidRPr="00270639" w:rsidRDefault="00C913F3" w:rsidP="00C913F3">
      <w:pPr>
        <w:pBdr>
          <w:top w:val="nil"/>
          <w:left w:val="nil"/>
          <w:bottom w:val="nil"/>
          <w:right w:val="nil"/>
          <w:between w:val="nil"/>
        </w:pBdr>
        <w:spacing w:line="360" w:lineRule="auto"/>
        <w:ind w:firstLine="708"/>
        <w:jc w:val="both"/>
      </w:pPr>
      <w:r w:rsidRPr="0035438E">
        <w:rPr>
          <w:lang w:val="es-AR"/>
        </w:rPr>
        <w:t xml:space="preserve">En resumen, esta investigación </w:t>
      </w:r>
      <w:r>
        <w:rPr>
          <w:lang w:val="es-AR"/>
        </w:rPr>
        <w:t>intentó contribuir a la comprensión de la ESI en la formación docente con el fin de potenciar el abordaje de esta, y empoderar y preparar adecuadamente a la población docente que posteriormente deberá impartir estos contenidos. A su vez, se intentó indirectamente promover el cumplimiento los derechos que componen el abordaje de la ESI en un contexto en el cual la formación docente se encuentra con limitaciones y el aporte del Estado Nacional es escaso e incluso obstaculizador de la misma. T</w:t>
      </w:r>
      <w:r w:rsidRPr="0035438E">
        <w:rPr>
          <w:lang w:val="es-AR"/>
        </w:rPr>
        <w:t>odavía queda mucho camino por recorrer en el área de investigaciones</w:t>
      </w:r>
      <w:r>
        <w:rPr>
          <w:lang w:val="es-AR"/>
        </w:rPr>
        <w:t>, desde la Psicología Cognitiva y otras</w:t>
      </w:r>
      <w:r w:rsidRPr="0035438E">
        <w:rPr>
          <w:lang w:val="es-AR"/>
        </w:rPr>
        <w:t xml:space="preserve"> </w:t>
      </w:r>
      <w:r>
        <w:rPr>
          <w:lang w:val="es-AR"/>
        </w:rPr>
        <w:t>d</w:t>
      </w:r>
      <w:r w:rsidRPr="0035438E">
        <w:rPr>
          <w:lang w:val="es-AR"/>
        </w:rPr>
        <w:t>isciplinas</w:t>
      </w:r>
      <w:r>
        <w:rPr>
          <w:lang w:val="es-AR"/>
        </w:rPr>
        <w:t xml:space="preserve"> afines, </w:t>
      </w:r>
      <w:r w:rsidRPr="0035438E">
        <w:rPr>
          <w:lang w:val="es-AR"/>
        </w:rPr>
        <w:t>que aporten a la implementación de una educación sexual integral de calidad que mejor</w:t>
      </w:r>
      <w:r>
        <w:rPr>
          <w:lang w:val="es-AR"/>
        </w:rPr>
        <w:t>e</w:t>
      </w:r>
      <w:r w:rsidRPr="0035438E">
        <w:rPr>
          <w:lang w:val="es-AR"/>
        </w:rPr>
        <w:t xml:space="preserve"> la calidad de vida psicosocial individual y colectiva de las generaciones futuras</w:t>
      </w:r>
      <w:r>
        <w:rPr>
          <w:lang w:val="es-AR"/>
        </w:rPr>
        <w:t xml:space="preserve">. </w:t>
      </w:r>
    </w:p>
    <w:p w14:paraId="2D77B2C4" w14:textId="77777777" w:rsidR="00C913F3" w:rsidRDefault="00C913F3" w:rsidP="00C913F3">
      <w:pPr>
        <w:spacing w:line="360" w:lineRule="auto"/>
        <w:rPr>
          <w:lang w:val="es-AR"/>
        </w:rPr>
      </w:pPr>
    </w:p>
    <w:p w14:paraId="6411D075" w14:textId="77777777" w:rsidR="00C913F3" w:rsidRDefault="00C913F3" w:rsidP="00C913F3">
      <w:pPr>
        <w:rPr>
          <w:lang w:val="es-AR"/>
        </w:rPr>
      </w:pPr>
    </w:p>
    <w:p w14:paraId="1A770EBE" w14:textId="77777777" w:rsidR="00C913F3" w:rsidRDefault="00C913F3" w:rsidP="00C913F3">
      <w:pPr>
        <w:rPr>
          <w:lang w:val="es-AR"/>
        </w:rPr>
      </w:pPr>
    </w:p>
    <w:p w14:paraId="647D5AA0" w14:textId="77777777" w:rsidR="00C913F3" w:rsidRDefault="00C913F3" w:rsidP="00C913F3">
      <w:pPr>
        <w:rPr>
          <w:lang w:val="es-AR"/>
        </w:rPr>
      </w:pPr>
    </w:p>
    <w:p w14:paraId="380A9088" w14:textId="77777777" w:rsidR="00C913F3" w:rsidRDefault="00C913F3" w:rsidP="00C913F3">
      <w:pPr>
        <w:rPr>
          <w:lang w:val="es-AR"/>
        </w:rPr>
      </w:pPr>
    </w:p>
    <w:p w14:paraId="0857742C" w14:textId="77777777" w:rsidR="00C913F3" w:rsidRDefault="00C913F3" w:rsidP="00C913F3">
      <w:pPr>
        <w:rPr>
          <w:lang w:val="es-AR"/>
        </w:rPr>
      </w:pPr>
    </w:p>
    <w:p w14:paraId="1E106965" w14:textId="77777777" w:rsidR="00C913F3" w:rsidRDefault="00C913F3" w:rsidP="00C913F3">
      <w:pPr>
        <w:rPr>
          <w:lang w:val="es-AR"/>
        </w:rPr>
      </w:pPr>
    </w:p>
    <w:p w14:paraId="76A7FE03" w14:textId="77777777" w:rsidR="00C913F3" w:rsidRDefault="00C913F3" w:rsidP="00C913F3">
      <w:pPr>
        <w:rPr>
          <w:lang w:val="es-AR"/>
        </w:rPr>
      </w:pPr>
    </w:p>
    <w:p w14:paraId="6732B553" w14:textId="77777777" w:rsidR="00C913F3" w:rsidRDefault="00C913F3" w:rsidP="00C913F3">
      <w:pPr>
        <w:rPr>
          <w:lang w:val="es-AR"/>
        </w:rPr>
      </w:pPr>
    </w:p>
    <w:p w14:paraId="090DB817" w14:textId="77777777" w:rsidR="00C913F3" w:rsidRDefault="00C913F3" w:rsidP="00C913F3">
      <w:pPr>
        <w:rPr>
          <w:lang w:val="es-AR"/>
        </w:rPr>
      </w:pPr>
    </w:p>
    <w:p w14:paraId="6E5BFEA7" w14:textId="77777777" w:rsidR="00C913F3" w:rsidRDefault="00C913F3" w:rsidP="00C913F3">
      <w:pPr>
        <w:rPr>
          <w:lang w:val="es-AR"/>
        </w:rPr>
      </w:pPr>
    </w:p>
    <w:p w14:paraId="5A4544A0" w14:textId="77777777" w:rsidR="00C913F3" w:rsidRPr="00C913F3" w:rsidRDefault="00C913F3" w:rsidP="00C913F3">
      <w:pPr>
        <w:pBdr>
          <w:top w:val="nil"/>
          <w:left w:val="nil"/>
          <w:bottom w:val="nil"/>
          <w:right w:val="nil"/>
          <w:between w:val="nil"/>
        </w:pBdr>
        <w:jc w:val="center"/>
        <w:rPr>
          <w:b/>
          <w:color w:val="000000"/>
          <w:lang w:val="es-AR"/>
        </w:rPr>
      </w:pPr>
      <w:r w:rsidRPr="00C913F3">
        <w:rPr>
          <w:b/>
          <w:color w:val="000000"/>
          <w:lang w:val="es-AR"/>
        </w:rPr>
        <w:t>Referencias</w:t>
      </w:r>
    </w:p>
    <w:p w14:paraId="5903C894" w14:textId="5AD87E21" w:rsidR="000908A7" w:rsidRDefault="000908A7" w:rsidP="00C913F3">
      <w:pPr>
        <w:pBdr>
          <w:top w:val="nil"/>
          <w:left w:val="nil"/>
          <w:bottom w:val="nil"/>
          <w:right w:val="nil"/>
          <w:between w:val="nil"/>
        </w:pBdr>
        <w:ind w:hanging="720"/>
        <w:jc w:val="both"/>
        <w:rPr>
          <w:rFonts w:eastAsia="Arial"/>
        </w:rPr>
      </w:pPr>
      <w:r>
        <w:rPr>
          <w:rFonts w:eastAsia="Arial"/>
          <w:lang w:val="es-AR"/>
        </w:rPr>
        <w:t xml:space="preserve">(Referencia </w:t>
      </w:r>
      <w:r>
        <w:rPr>
          <w:rFonts w:eastAsia="Arial"/>
        </w:rPr>
        <w:t>de autores no especificada para conservar anonimato en la revisión doble ciego</w:t>
      </w:r>
      <w:r w:rsidRPr="009B7119">
        <w:rPr>
          <w:rFonts w:eastAsia="Arial"/>
        </w:rPr>
        <w:t>)</w:t>
      </w:r>
    </w:p>
    <w:p w14:paraId="3320EADD" w14:textId="10604A01" w:rsidR="00C913F3" w:rsidRPr="00A10761" w:rsidRDefault="00C913F3" w:rsidP="00C913F3">
      <w:pPr>
        <w:pBdr>
          <w:top w:val="nil"/>
          <w:left w:val="nil"/>
          <w:bottom w:val="nil"/>
          <w:right w:val="nil"/>
          <w:between w:val="nil"/>
        </w:pBdr>
        <w:ind w:hanging="720"/>
        <w:jc w:val="both"/>
        <w:rPr>
          <w:color w:val="000000"/>
        </w:rPr>
      </w:pPr>
      <w:proofErr w:type="spellStart"/>
      <w:r w:rsidRPr="00A10761">
        <w:rPr>
          <w:color w:val="000000"/>
        </w:rPr>
        <w:t>Adamoli</w:t>
      </w:r>
      <w:proofErr w:type="spellEnd"/>
      <w:r w:rsidRPr="00A10761">
        <w:rPr>
          <w:color w:val="000000"/>
        </w:rPr>
        <w:t>, C. (2023). Educación, memoria y democracia: la producción de materiales educativos estatales a propósito de los 40 años de democracia. </w:t>
      </w:r>
      <w:r w:rsidRPr="00A10761">
        <w:rPr>
          <w:i/>
          <w:iCs/>
          <w:color w:val="000000"/>
        </w:rPr>
        <w:t>Historia de la educación-anuario</w:t>
      </w:r>
      <w:r w:rsidRPr="00A10761">
        <w:rPr>
          <w:color w:val="000000"/>
        </w:rPr>
        <w:t>, </w:t>
      </w:r>
      <w:r w:rsidRPr="00A10761">
        <w:rPr>
          <w:i/>
          <w:iCs/>
          <w:color w:val="000000"/>
        </w:rPr>
        <w:t>24</w:t>
      </w:r>
      <w:r w:rsidRPr="00A10761">
        <w:rPr>
          <w:color w:val="000000"/>
        </w:rPr>
        <w:t>(2), 106-122.</w:t>
      </w:r>
    </w:p>
    <w:p w14:paraId="10DEE78C" w14:textId="77777777" w:rsidR="00C913F3" w:rsidRPr="00A10761"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s-AR"/>
        </w:rPr>
        <w:t>Augello</w:t>
      </w:r>
      <w:proofErr w:type="spellEnd"/>
      <w:r w:rsidRPr="00A10761">
        <w:rPr>
          <w:color w:val="000000"/>
          <w:lang w:val="es-AR"/>
        </w:rPr>
        <w:t xml:space="preserve">, V. (2023). ESI, formación docente y artes visuales. Experiencias de una posible transversalización. Revista Tramas De La Formación Docente. </w:t>
      </w:r>
      <w:r w:rsidRPr="006E4636">
        <w:rPr>
          <w:i/>
          <w:iCs/>
          <w:color w:val="000000"/>
          <w:lang w:val="es-AR"/>
        </w:rPr>
        <w:t>Miradas Desde El Sur., 1</w:t>
      </w:r>
      <w:r w:rsidRPr="00A10761">
        <w:rPr>
          <w:color w:val="000000"/>
          <w:lang w:val="es-AR"/>
        </w:rPr>
        <w:t>(2), 25–31.</w:t>
      </w:r>
    </w:p>
    <w:p w14:paraId="52658F5E" w14:textId="77777777" w:rsidR="00C913F3" w:rsidRPr="006E4636" w:rsidRDefault="00C913F3" w:rsidP="00C913F3">
      <w:pPr>
        <w:pBdr>
          <w:top w:val="nil"/>
          <w:left w:val="nil"/>
          <w:bottom w:val="nil"/>
          <w:right w:val="nil"/>
          <w:between w:val="nil"/>
        </w:pBdr>
        <w:ind w:hanging="720"/>
        <w:jc w:val="both"/>
      </w:pPr>
      <w:r w:rsidRPr="00A10761">
        <w:rPr>
          <w:color w:val="000000"/>
        </w:rPr>
        <w:t xml:space="preserve">Beltrán, M., </w:t>
      </w:r>
      <w:proofErr w:type="spellStart"/>
      <w:r w:rsidRPr="00A10761">
        <w:rPr>
          <w:color w:val="000000"/>
        </w:rPr>
        <w:t>DáPra</w:t>
      </w:r>
      <w:proofErr w:type="spellEnd"/>
      <w:r w:rsidRPr="00A10761">
        <w:rPr>
          <w:color w:val="000000"/>
        </w:rPr>
        <w:t xml:space="preserve">, M. M., Rivero, E. M. G., Paz, M. J. M., Saracho, M. V., Villarreal, M. J., &amp; Zurita, V. E. (2021) ESI juventudes: una propuesta interseccional con perspectiva de derechos en la </w:t>
      </w:r>
      <w:r w:rsidRPr="006E4636">
        <w:t xml:space="preserve">virtualidad. </w:t>
      </w:r>
      <w:r w:rsidRPr="006E4636">
        <w:rPr>
          <w:i/>
          <w:iCs/>
        </w:rPr>
        <w:t>E+ E: Estudios de Extensión en Humanidades, 8</w:t>
      </w:r>
      <w:r w:rsidRPr="006E4636">
        <w:t>(11), 112-125.</w:t>
      </w:r>
    </w:p>
    <w:p w14:paraId="1D39FB1E" w14:textId="77777777" w:rsidR="00C913F3" w:rsidRPr="0011776F" w:rsidRDefault="00C913F3" w:rsidP="00C913F3">
      <w:pPr>
        <w:pBdr>
          <w:top w:val="nil"/>
          <w:left w:val="nil"/>
          <w:bottom w:val="nil"/>
          <w:right w:val="nil"/>
          <w:between w:val="nil"/>
        </w:pBdr>
        <w:ind w:hanging="720"/>
        <w:jc w:val="both"/>
      </w:pPr>
      <w:r w:rsidRPr="006E4636">
        <w:t xml:space="preserve">Blanco, A. (2004). </w:t>
      </w:r>
      <w:r w:rsidRPr="0011776F">
        <w:rPr>
          <w:i/>
          <w:iCs/>
        </w:rPr>
        <w:t>Psicología y derechos humanos</w:t>
      </w:r>
      <w:r w:rsidRPr="0011776F">
        <w:t xml:space="preserve"> (Vol. 202). Icaria Editorial.</w:t>
      </w:r>
    </w:p>
    <w:p w14:paraId="54636BF0" w14:textId="77777777" w:rsidR="00C913F3" w:rsidRPr="006E4636" w:rsidRDefault="00C913F3" w:rsidP="00C913F3">
      <w:pPr>
        <w:pBdr>
          <w:top w:val="nil"/>
          <w:left w:val="nil"/>
          <w:bottom w:val="nil"/>
          <w:right w:val="nil"/>
          <w:between w:val="nil"/>
        </w:pBdr>
        <w:ind w:hanging="720"/>
        <w:jc w:val="both"/>
        <w:rPr>
          <w:color w:val="FF0000"/>
        </w:rPr>
      </w:pPr>
      <w:proofErr w:type="spellStart"/>
      <w:r w:rsidRPr="0011776F">
        <w:t>Boccardi</w:t>
      </w:r>
      <w:proofErr w:type="spellEnd"/>
      <w:r w:rsidRPr="0011776F">
        <w:t xml:space="preserve">, F. (2016, </w:t>
      </w:r>
      <w:proofErr w:type="spellStart"/>
      <w:r w:rsidRPr="0011776F">
        <w:t>November</w:t>
      </w:r>
      <w:proofErr w:type="spellEnd"/>
      <w:r w:rsidRPr="0011776F">
        <w:t xml:space="preserve">). </w:t>
      </w:r>
      <w:r w:rsidRPr="0011776F">
        <w:rPr>
          <w:i/>
          <w:iCs/>
        </w:rPr>
        <w:t>Afectos y placeres en la ESI. Regulaciones de presencias y de ausencias</w:t>
      </w:r>
      <w:r w:rsidRPr="0011776F">
        <w:t xml:space="preserve">. </w:t>
      </w:r>
      <w:r w:rsidRPr="0011776F">
        <w:rPr>
          <w:i/>
          <w:iCs/>
        </w:rPr>
        <w:t>In VI Coloquio Interdisciplinario Internacional" Educación, Sexualidades y Género". IV Congreso Genero y Sociedad.</w:t>
      </w:r>
    </w:p>
    <w:p w14:paraId="0530BF51" w14:textId="77777777" w:rsidR="00C913F3" w:rsidRPr="006E4636" w:rsidRDefault="00C913F3" w:rsidP="00C913F3">
      <w:pPr>
        <w:pBdr>
          <w:top w:val="nil"/>
          <w:left w:val="nil"/>
          <w:bottom w:val="nil"/>
          <w:right w:val="nil"/>
          <w:between w:val="nil"/>
        </w:pBdr>
        <w:ind w:hanging="720"/>
        <w:jc w:val="both"/>
      </w:pPr>
      <w:proofErr w:type="spellStart"/>
      <w:r w:rsidRPr="006E4636">
        <w:t>Boccardi</w:t>
      </w:r>
      <w:proofErr w:type="spellEnd"/>
      <w:r w:rsidRPr="006E4636">
        <w:t xml:space="preserve">, F. (2023). La diversidad sexual en el discurso estatal de la Educación Sexual Integral en Argentina. Un análisis </w:t>
      </w:r>
      <w:proofErr w:type="spellStart"/>
      <w:r w:rsidRPr="006E4636">
        <w:t>sociosemiótico</w:t>
      </w:r>
      <w:proofErr w:type="spellEnd"/>
      <w:r w:rsidRPr="006E4636">
        <w:t xml:space="preserve"> de los materiales didácticos oficiales. </w:t>
      </w:r>
      <w:r w:rsidRPr="006E4636">
        <w:rPr>
          <w:i/>
          <w:iCs/>
        </w:rPr>
        <w:t>ESPACIOS EN BLANCO. Revista De Educación</w:t>
      </w:r>
      <w:r w:rsidRPr="006E4636">
        <w:t>, </w:t>
      </w:r>
      <w:r w:rsidRPr="006E4636">
        <w:rPr>
          <w:i/>
          <w:iCs/>
        </w:rPr>
        <w:t>2</w:t>
      </w:r>
      <w:r w:rsidRPr="006E4636">
        <w:t>(33). https://doi.org/10.37177/UNICEN/EB33-375</w:t>
      </w:r>
    </w:p>
    <w:p w14:paraId="0D4A45A7" w14:textId="77777777" w:rsidR="0070319A" w:rsidRDefault="00C913F3" w:rsidP="0070319A">
      <w:pPr>
        <w:pBdr>
          <w:top w:val="nil"/>
          <w:left w:val="nil"/>
          <w:bottom w:val="nil"/>
          <w:right w:val="nil"/>
          <w:between w:val="nil"/>
        </w:pBdr>
        <w:ind w:hanging="720"/>
        <w:jc w:val="both"/>
        <w:rPr>
          <w:lang w:val="es-AR"/>
        </w:rPr>
      </w:pPr>
      <w:r w:rsidRPr="006E4636">
        <w:rPr>
          <w:lang w:val="es-AR"/>
        </w:rPr>
        <w:t xml:space="preserve">Bourg, T., </w:t>
      </w:r>
      <w:proofErr w:type="spellStart"/>
      <w:r w:rsidRPr="006E4636">
        <w:rPr>
          <w:lang w:val="es-AR"/>
        </w:rPr>
        <w:t>Risden</w:t>
      </w:r>
      <w:proofErr w:type="spellEnd"/>
      <w:r w:rsidRPr="006E4636">
        <w:rPr>
          <w:lang w:val="es-AR"/>
        </w:rPr>
        <w:t xml:space="preserve">, K., Thompson, S. &amp; Davis, E. C. (1993). </w:t>
      </w:r>
      <w:r w:rsidRPr="006E4636">
        <w:rPr>
          <w:lang w:val="en-US"/>
        </w:rPr>
        <w:t xml:space="preserve">The effects of an empathy-building strategy on 6th graders’ causal inferencing in narrative text comprehension. </w:t>
      </w:r>
      <w:proofErr w:type="spellStart"/>
      <w:r w:rsidRPr="006E4636">
        <w:rPr>
          <w:i/>
          <w:iCs/>
          <w:lang w:val="es-AR"/>
        </w:rPr>
        <w:t>Poetics</w:t>
      </w:r>
      <w:proofErr w:type="spellEnd"/>
      <w:r w:rsidRPr="006E4636">
        <w:rPr>
          <w:i/>
          <w:iCs/>
          <w:lang w:val="es-AR"/>
        </w:rPr>
        <w:t>, 22</w:t>
      </w:r>
      <w:r w:rsidRPr="006E4636">
        <w:rPr>
          <w:lang w:val="es-AR"/>
        </w:rPr>
        <w:t>, 117–133.</w:t>
      </w:r>
    </w:p>
    <w:p w14:paraId="0D529A48" w14:textId="523969E1" w:rsidR="0070319A" w:rsidRPr="006E4636" w:rsidRDefault="0070319A" w:rsidP="0070319A">
      <w:pPr>
        <w:pBdr>
          <w:top w:val="nil"/>
          <w:left w:val="nil"/>
          <w:bottom w:val="nil"/>
          <w:right w:val="nil"/>
          <w:between w:val="nil"/>
        </w:pBdr>
        <w:ind w:hanging="720"/>
        <w:jc w:val="both"/>
        <w:rPr>
          <w:lang w:val="es-AR"/>
        </w:rPr>
      </w:pPr>
      <w:proofErr w:type="spellStart"/>
      <w:r w:rsidRPr="00F57650">
        <w:t>Caccia</w:t>
      </w:r>
      <w:proofErr w:type="spellEnd"/>
      <w:r w:rsidRPr="00F57650">
        <w:t>, P. A. (2024). La importancia de identificar sesgos cognitivos para diseñar intervenciones en políticas públicas. </w:t>
      </w:r>
      <w:r w:rsidRPr="00F57650">
        <w:rPr>
          <w:i/>
          <w:iCs/>
        </w:rPr>
        <w:t>Revista Argentina de Ciencias del Comportamiento (RACC)</w:t>
      </w:r>
      <w:r w:rsidRPr="00F57650">
        <w:t>, </w:t>
      </w:r>
      <w:r w:rsidRPr="00F57650">
        <w:rPr>
          <w:i/>
          <w:iCs/>
        </w:rPr>
        <w:t>16</w:t>
      </w:r>
      <w:r w:rsidRPr="00F57650">
        <w:t>(3), 56-57.</w:t>
      </w:r>
    </w:p>
    <w:p w14:paraId="33594F11" w14:textId="77777777" w:rsidR="00C913F3" w:rsidRPr="006E4636" w:rsidRDefault="00C913F3" w:rsidP="00C913F3">
      <w:pPr>
        <w:pBdr>
          <w:top w:val="nil"/>
          <w:left w:val="nil"/>
          <w:bottom w:val="nil"/>
          <w:right w:val="nil"/>
          <w:between w:val="nil"/>
        </w:pBdr>
        <w:ind w:hanging="720"/>
        <w:jc w:val="both"/>
      </w:pPr>
      <w:r w:rsidRPr="006E4636">
        <w:t>Campo, C. C. C., &amp; Cuesta, Y. P. (2025). La Educación Sexual Integral en la Adolescencia: Un Análisis de su Impacto y Eficacia en la Formación de Jóvenes. </w:t>
      </w:r>
      <w:r w:rsidRPr="006E4636">
        <w:rPr>
          <w:i/>
          <w:iCs/>
        </w:rPr>
        <w:t>Ciencia Latina Revista Científica Multidisciplinar</w:t>
      </w:r>
      <w:r w:rsidRPr="006E4636">
        <w:t>, </w:t>
      </w:r>
      <w:r w:rsidRPr="006E4636">
        <w:rPr>
          <w:i/>
          <w:iCs/>
        </w:rPr>
        <w:t>9</w:t>
      </w:r>
      <w:r w:rsidRPr="006E4636">
        <w:t>(1), 6149-6165.</w:t>
      </w:r>
    </w:p>
    <w:p w14:paraId="043B0D1B" w14:textId="77777777" w:rsidR="00C913F3" w:rsidRPr="006E4636" w:rsidRDefault="00C913F3" w:rsidP="00C913F3">
      <w:pPr>
        <w:pBdr>
          <w:top w:val="nil"/>
          <w:left w:val="nil"/>
          <w:bottom w:val="nil"/>
          <w:right w:val="nil"/>
          <w:between w:val="nil"/>
        </w:pBdr>
        <w:ind w:hanging="720"/>
        <w:jc w:val="both"/>
      </w:pPr>
      <w:r w:rsidRPr="006E4636">
        <w:t>Castillo, J. I. M. (2019). Posibles abordajes de terapia ocupacional en la educación sexual de niños, adolescentes y jóvenes lesbianas, gay, bisexuales y transgéneros. </w:t>
      </w:r>
      <w:r w:rsidRPr="006E4636">
        <w:rPr>
          <w:i/>
          <w:iCs/>
        </w:rPr>
        <w:t>Revista Chilena de Terapia Ocupacional</w:t>
      </w:r>
      <w:r w:rsidRPr="006E4636">
        <w:t>, </w:t>
      </w:r>
      <w:r w:rsidRPr="006E4636">
        <w:rPr>
          <w:i/>
          <w:iCs/>
        </w:rPr>
        <w:t>19</w:t>
      </w:r>
      <w:r w:rsidRPr="006E4636">
        <w:t>(2), 63-72.</w:t>
      </w:r>
    </w:p>
    <w:p w14:paraId="687274B0" w14:textId="77777777" w:rsidR="00C913F3" w:rsidRPr="00A134B9" w:rsidRDefault="00C913F3" w:rsidP="00C913F3">
      <w:pPr>
        <w:pBdr>
          <w:top w:val="nil"/>
          <w:left w:val="nil"/>
          <w:bottom w:val="nil"/>
          <w:right w:val="nil"/>
          <w:between w:val="nil"/>
        </w:pBdr>
        <w:ind w:hanging="720"/>
        <w:jc w:val="both"/>
        <w:rPr>
          <w:lang w:val="en-US"/>
        </w:rPr>
      </w:pPr>
      <w:proofErr w:type="spellStart"/>
      <w:r w:rsidRPr="006E4636">
        <w:t>Cevasco</w:t>
      </w:r>
      <w:proofErr w:type="spellEnd"/>
      <w:r w:rsidRPr="006E4636">
        <w:t xml:space="preserve">, J. &amp; van den </w:t>
      </w:r>
      <w:proofErr w:type="spellStart"/>
      <w:r w:rsidRPr="006E4636">
        <w:t>Broek</w:t>
      </w:r>
      <w:proofErr w:type="spellEnd"/>
      <w:r w:rsidRPr="006E4636">
        <w:t xml:space="preserve">, P. (2013). </w:t>
      </w:r>
      <w:r w:rsidRPr="006E4636">
        <w:rPr>
          <w:lang w:val="en-US"/>
        </w:rPr>
        <w:t xml:space="preserve">Studies on the establishment of connections among spoken statements: What can they contribute to the promotion of students’ construction of a coherent discourse representation? </w:t>
      </w:r>
      <w:r w:rsidRPr="00A134B9">
        <w:rPr>
          <w:i/>
          <w:iCs/>
          <w:lang w:val="en-US"/>
        </w:rPr>
        <w:t>Psicología Educativa, 19</w:t>
      </w:r>
      <w:r w:rsidRPr="00A134B9">
        <w:rPr>
          <w:lang w:val="en-US"/>
        </w:rPr>
        <w:t>, 67-74. DOI:10.1016/S1135- 755X(13)70012-5</w:t>
      </w:r>
    </w:p>
    <w:p w14:paraId="09F36067" w14:textId="77777777" w:rsidR="00C913F3" w:rsidRPr="006E4636" w:rsidRDefault="00C913F3" w:rsidP="00C913F3">
      <w:pPr>
        <w:pBdr>
          <w:top w:val="nil"/>
          <w:left w:val="nil"/>
          <w:bottom w:val="nil"/>
          <w:right w:val="nil"/>
          <w:between w:val="nil"/>
        </w:pBdr>
        <w:ind w:hanging="720"/>
        <w:jc w:val="both"/>
        <w:rPr>
          <w:lang w:val="en-US"/>
        </w:rPr>
      </w:pPr>
      <w:r w:rsidRPr="00A134B9">
        <w:rPr>
          <w:lang w:val="en-US"/>
        </w:rPr>
        <w:t xml:space="preserve">Cevasco, J., Muller, F. &amp; Bermejo, F. (2020). </w:t>
      </w:r>
      <w:r w:rsidRPr="006E4636">
        <w:rPr>
          <w:lang w:val="en-US"/>
        </w:rPr>
        <w:t xml:space="preserve">The role of discourse marker presence, causal </w:t>
      </w:r>
      <w:proofErr w:type="spellStart"/>
      <w:r w:rsidRPr="006E4636">
        <w:rPr>
          <w:lang w:val="en-US"/>
        </w:rPr>
        <w:t>connnectivity</w:t>
      </w:r>
      <w:proofErr w:type="spellEnd"/>
      <w:r w:rsidRPr="006E4636">
        <w:rPr>
          <w:lang w:val="en-US"/>
        </w:rPr>
        <w:t xml:space="preserve"> and prior knowledge in the comprehension of topic shifts. </w:t>
      </w:r>
      <w:r w:rsidRPr="006E4636">
        <w:rPr>
          <w:i/>
          <w:iCs/>
          <w:lang w:val="en-US"/>
        </w:rPr>
        <w:t>Current Psychology, 39</w:t>
      </w:r>
      <w:r w:rsidRPr="006E4636">
        <w:rPr>
          <w:lang w:val="en-US"/>
        </w:rPr>
        <w:t>, 1072-1085. https://doi.org/10.1007/s12144-018-9828-4</w:t>
      </w:r>
    </w:p>
    <w:p w14:paraId="58C60870" w14:textId="77777777" w:rsidR="00C913F3" w:rsidRPr="006E4636" w:rsidRDefault="00C913F3" w:rsidP="00C913F3">
      <w:pPr>
        <w:pBdr>
          <w:top w:val="nil"/>
          <w:left w:val="nil"/>
          <w:bottom w:val="nil"/>
          <w:right w:val="nil"/>
          <w:between w:val="nil"/>
        </w:pBdr>
        <w:ind w:hanging="720"/>
        <w:jc w:val="both"/>
      </w:pPr>
      <w:proofErr w:type="spellStart"/>
      <w:r w:rsidRPr="006E4636">
        <w:rPr>
          <w:lang w:val="en-US"/>
        </w:rPr>
        <w:t>Copolechio</w:t>
      </w:r>
      <w:proofErr w:type="spellEnd"/>
      <w:r w:rsidRPr="006E4636">
        <w:rPr>
          <w:lang w:val="en-US"/>
        </w:rPr>
        <w:t xml:space="preserve"> Morand, M., Talani Zuvela, P., &amp; Miori, G. S. (2025). </w:t>
      </w:r>
      <w:r w:rsidRPr="006E4636">
        <w:t>Educación política y ESI en el contexto libertario. Miradas críticas de estudiantes de formación docente. </w:t>
      </w:r>
      <w:r w:rsidRPr="006E4636">
        <w:rPr>
          <w:i/>
          <w:iCs/>
        </w:rPr>
        <w:t>Revista De La Escuela De Ciencias De La Educación</w:t>
      </w:r>
      <w:r w:rsidRPr="006E4636">
        <w:t>, </w:t>
      </w:r>
      <w:r w:rsidRPr="006E4636">
        <w:rPr>
          <w:i/>
          <w:iCs/>
        </w:rPr>
        <w:t>1</w:t>
      </w:r>
      <w:r w:rsidRPr="006E4636">
        <w:t xml:space="preserve">(20). Recuperado a partir de </w:t>
      </w:r>
      <w:hyperlink r:id="rId8" w:history="1">
        <w:r w:rsidRPr="006E4636">
          <w:rPr>
            <w:rStyle w:val="Hipervnculo"/>
          </w:rPr>
          <w:t>https://revistacseducacion.unr.edu.ar/index.php/educacion/article/view/879</w:t>
        </w:r>
      </w:hyperlink>
    </w:p>
    <w:p w14:paraId="48709EF3" w14:textId="77777777" w:rsidR="0070319A" w:rsidRDefault="00C913F3" w:rsidP="0070319A">
      <w:pPr>
        <w:pBdr>
          <w:top w:val="nil"/>
          <w:left w:val="nil"/>
          <w:bottom w:val="nil"/>
          <w:right w:val="nil"/>
          <w:between w:val="nil"/>
        </w:pBdr>
        <w:ind w:hanging="720"/>
        <w:jc w:val="both"/>
        <w:rPr>
          <w:lang w:val="en-US"/>
        </w:rPr>
      </w:pPr>
      <w:r w:rsidRPr="006E4636">
        <w:t xml:space="preserve">de Simone, J., &amp; </w:t>
      </w:r>
      <w:proofErr w:type="spellStart"/>
      <w:r w:rsidRPr="006E4636">
        <w:t>Cevasco</w:t>
      </w:r>
      <w:proofErr w:type="spellEnd"/>
      <w:r w:rsidRPr="006E4636">
        <w:t xml:space="preserve">, J. (2020). </w:t>
      </w:r>
      <w:r w:rsidRPr="006E4636">
        <w:rPr>
          <w:lang w:val="en-US"/>
        </w:rPr>
        <w:t>The role of the establishment of causal connections and the modality of presentation of discourse in the generation of emotion inferences by Argentine college students. </w:t>
      </w:r>
      <w:r w:rsidRPr="006E4636">
        <w:rPr>
          <w:i/>
          <w:iCs/>
          <w:lang w:val="en-US"/>
        </w:rPr>
        <w:t>Reading Psychology</w:t>
      </w:r>
      <w:r w:rsidRPr="006E4636">
        <w:rPr>
          <w:lang w:val="en-US"/>
        </w:rPr>
        <w:t>, </w:t>
      </w:r>
      <w:r w:rsidRPr="006E4636">
        <w:rPr>
          <w:i/>
          <w:iCs/>
          <w:lang w:val="en-US"/>
        </w:rPr>
        <w:t>42</w:t>
      </w:r>
      <w:r w:rsidRPr="006E4636">
        <w:rPr>
          <w:lang w:val="en-US"/>
        </w:rPr>
        <w:t>(1), 22-41.</w:t>
      </w:r>
    </w:p>
    <w:p w14:paraId="2C4627C9" w14:textId="618863FC" w:rsidR="0070319A" w:rsidRPr="0070319A" w:rsidRDefault="0070319A" w:rsidP="0070319A">
      <w:pPr>
        <w:pBdr>
          <w:top w:val="nil"/>
          <w:left w:val="nil"/>
          <w:bottom w:val="nil"/>
          <w:right w:val="nil"/>
          <w:between w:val="nil"/>
        </w:pBdr>
        <w:ind w:hanging="720"/>
        <w:jc w:val="both"/>
        <w:rPr>
          <w:lang w:val="en-US"/>
        </w:rPr>
      </w:pPr>
      <w:r w:rsidRPr="0070319A">
        <w:rPr>
          <w:lang w:val="en-US"/>
        </w:rPr>
        <w:t xml:space="preserve">de Wilde, T. R., Ten Velden, F. S., &amp; De Dreu, C. K. (2018). </w:t>
      </w:r>
      <w:r w:rsidRPr="004D23DC">
        <w:rPr>
          <w:lang w:val="en-US"/>
        </w:rPr>
        <w:t>The anchoring-bias in groups. </w:t>
      </w:r>
      <w:r w:rsidRPr="00A134B9">
        <w:rPr>
          <w:i/>
          <w:iCs/>
          <w:lang w:val="pt-BR"/>
        </w:rPr>
        <w:t>Journal of Experimental Social Psychology</w:t>
      </w:r>
      <w:r w:rsidRPr="00A134B9">
        <w:rPr>
          <w:lang w:val="pt-BR"/>
        </w:rPr>
        <w:t>, </w:t>
      </w:r>
      <w:r w:rsidRPr="00A134B9">
        <w:rPr>
          <w:i/>
          <w:iCs/>
          <w:lang w:val="pt-BR"/>
        </w:rPr>
        <w:t>76</w:t>
      </w:r>
      <w:r w:rsidRPr="00A134B9">
        <w:rPr>
          <w:lang w:val="pt-BR"/>
        </w:rPr>
        <w:t>, 116-126.</w:t>
      </w:r>
    </w:p>
    <w:p w14:paraId="3BA57F96"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lastRenderedPageBreak/>
        <w:t xml:space="preserve">Elfenbein, A. &amp; Bohn-Gettler, C. M. (2016). </w:t>
      </w:r>
      <w:r w:rsidRPr="0011776F">
        <w:rPr>
          <w:i/>
          <w:iCs/>
          <w:lang w:val="en-US"/>
        </w:rPr>
        <w:t>Online effects of personality and need for cognition while reading stories with differing emotions</w:t>
      </w:r>
      <w:r w:rsidRPr="0011776F">
        <w:rPr>
          <w:lang w:val="en-US"/>
        </w:rPr>
        <w:t>. Annual Meeting of the Society for Text and Discourse, Kassel, Germany.</w:t>
      </w:r>
    </w:p>
    <w:p w14:paraId="571C6114"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Flanigan, A. &amp; Titsworth, S. (2020) The impact of digital distraction on lecture note taking and student learning. </w:t>
      </w:r>
      <w:r w:rsidRPr="006E4636">
        <w:rPr>
          <w:i/>
          <w:iCs/>
          <w:color w:val="000000"/>
          <w:lang w:val="en-US"/>
        </w:rPr>
        <w:t>Instructional Science, 48</w:t>
      </w:r>
      <w:r w:rsidRPr="00A10761">
        <w:rPr>
          <w:color w:val="000000"/>
          <w:lang w:val="en-US"/>
        </w:rPr>
        <w:t>,1-30. DOI:10.1007/s11251-020-09517-2</w:t>
      </w:r>
    </w:p>
    <w:p w14:paraId="76C50FF5"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Fraundorf</w:t>
      </w:r>
      <w:proofErr w:type="spellEnd"/>
      <w:r w:rsidRPr="00A10761">
        <w:rPr>
          <w:color w:val="000000"/>
          <w:lang w:val="en-US"/>
        </w:rPr>
        <w:t xml:space="preserve">, S. H. &amp; Watson, D. G. (2011). The diffluent discourse: Effects of filled pauses on recall. </w:t>
      </w:r>
      <w:r w:rsidRPr="006E4636">
        <w:rPr>
          <w:i/>
          <w:iCs/>
          <w:color w:val="000000"/>
          <w:lang w:val="en-US"/>
        </w:rPr>
        <w:t>Journal of Memory and Language, 65</w:t>
      </w:r>
      <w:r w:rsidRPr="00A10761">
        <w:rPr>
          <w:color w:val="000000"/>
          <w:lang w:val="en-US"/>
        </w:rPr>
        <w:t xml:space="preserve">, 161-175. </w:t>
      </w:r>
      <w:proofErr w:type="spellStart"/>
      <w:r w:rsidRPr="00A10761">
        <w:rPr>
          <w:color w:val="000000"/>
          <w:lang w:val="en-US"/>
        </w:rPr>
        <w:t>doi</w:t>
      </w:r>
      <w:proofErr w:type="spellEnd"/>
      <w:r w:rsidRPr="00A10761">
        <w:rPr>
          <w:color w:val="000000"/>
          <w:lang w:val="en-US"/>
        </w:rPr>
        <w:t>: 10.1016/j.jml.2011.03.004</w:t>
      </w:r>
    </w:p>
    <w:p w14:paraId="01022617"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n-US"/>
        </w:rPr>
        <w:t>Gerrig</w:t>
      </w:r>
      <w:proofErr w:type="spellEnd"/>
      <w:r w:rsidRPr="00A10761">
        <w:rPr>
          <w:color w:val="000000"/>
          <w:lang w:val="en-US"/>
        </w:rPr>
        <w:t xml:space="preserve">, R. J. &amp; Foy, J. E. (2013). A participatory perspective on readers’ narrative experiences. </w:t>
      </w:r>
      <w:r w:rsidRPr="006E4636">
        <w:rPr>
          <w:i/>
          <w:iCs/>
          <w:color w:val="000000"/>
          <w:lang w:val="es-AR"/>
        </w:rPr>
        <w:t xml:space="preserve">SDV: </w:t>
      </w:r>
      <w:proofErr w:type="spellStart"/>
      <w:r w:rsidRPr="006E4636">
        <w:rPr>
          <w:i/>
          <w:iCs/>
          <w:color w:val="000000"/>
          <w:lang w:val="es-AR"/>
        </w:rPr>
        <w:t>Sprache</w:t>
      </w:r>
      <w:proofErr w:type="spellEnd"/>
      <w:r w:rsidRPr="006E4636">
        <w:rPr>
          <w:i/>
          <w:iCs/>
          <w:color w:val="000000"/>
          <w:lang w:val="es-AR"/>
        </w:rPr>
        <w:t xml:space="preserve"> </w:t>
      </w:r>
      <w:proofErr w:type="spellStart"/>
      <w:r w:rsidRPr="006E4636">
        <w:rPr>
          <w:i/>
          <w:iCs/>
          <w:color w:val="000000"/>
          <w:lang w:val="es-AR"/>
        </w:rPr>
        <w:t>und</w:t>
      </w:r>
      <w:proofErr w:type="spellEnd"/>
      <w:r w:rsidRPr="006E4636">
        <w:rPr>
          <w:i/>
          <w:iCs/>
          <w:color w:val="000000"/>
          <w:lang w:val="es-AR"/>
        </w:rPr>
        <w:t xml:space="preserve"> </w:t>
      </w:r>
      <w:proofErr w:type="spellStart"/>
      <w:r w:rsidRPr="006E4636">
        <w:rPr>
          <w:i/>
          <w:iCs/>
          <w:color w:val="000000"/>
          <w:lang w:val="es-AR"/>
        </w:rPr>
        <w:t>Datenverarbeitung</w:t>
      </w:r>
      <w:proofErr w:type="spellEnd"/>
      <w:r w:rsidRPr="006E4636">
        <w:rPr>
          <w:i/>
          <w:iCs/>
          <w:color w:val="000000"/>
          <w:lang w:val="es-AR"/>
        </w:rPr>
        <w:t>, 37</w:t>
      </w:r>
      <w:r w:rsidRPr="006E4636">
        <w:rPr>
          <w:color w:val="000000"/>
          <w:lang w:val="es-AR"/>
        </w:rPr>
        <w:t xml:space="preserve">, 89–112. </w:t>
      </w:r>
      <w:proofErr w:type="spellStart"/>
      <w:r w:rsidRPr="006E4636">
        <w:rPr>
          <w:color w:val="000000"/>
          <w:lang w:val="es-AR"/>
        </w:rPr>
        <w:t>Doi</w:t>
      </w:r>
      <w:proofErr w:type="spellEnd"/>
      <w:r w:rsidRPr="006E4636">
        <w:rPr>
          <w:color w:val="000000"/>
          <w:lang w:val="es-AR"/>
        </w:rPr>
        <w:t>: 10.4230/OASIcs.CMN.2013.1</w:t>
      </w:r>
    </w:p>
    <w:p w14:paraId="4A7BEC0A" w14:textId="77777777" w:rsidR="00C913F3" w:rsidRPr="0011776F" w:rsidRDefault="00C913F3" w:rsidP="00C913F3">
      <w:pPr>
        <w:pBdr>
          <w:top w:val="nil"/>
          <w:left w:val="nil"/>
          <w:bottom w:val="nil"/>
          <w:right w:val="nil"/>
          <w:between w:val="nil"/>
        </w:pBdr>
        <w:ind w:hanging="720"/>
        <w:jc w:val="both"/>
      </w:pPr>
      <w:r w:rsidRPr="0011776F">
        <w:t xml:space="preserve">Gómez, N. (2018). </w:t>
      </w:r>
      <w:r w:rsidRPr="0011776F">
        <w:rPr>
          <w:i/>
          <w:iCs/>
        </w:rPr>
        <w:t>Apropiación Participativa e Interpelación de la Experiencia en ESI Nivel Inicial y su reelaboración por psicólogos en formación en Investigación</w:t>
      </w:r>
      <w:r w:rsidRPr="0011776F">
        <w:t>. X Congreso Internacional de Investigación y Práctica Profesional en Psicología. Facultad de Psicología, Universidad de Buenos Aires.</w:t>
      </w:r>
    </w:p>
    <w:p w14:paraId="0F1B1181"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6E4636">
        <w:rPr>
          <w:color w:val="000000"/>
          <w:lang w:val="es-AR"/>
        </w:rPr>
        <w:t>Gygax</w:t>
      </w:r>
      <w:proofErr w:type="spellEnd"/>
      <w:r w:rsidRPr="006E4636">
        <w:rPr>
          <w:color w:val="000000"/>
          <w:lang w:val="es-AR"/>
        </w:rPr>
        <w:t>, P. &amp;</w:t>
      </w:r>
      <w:proofErr w:type="spellStart"/>
      <w:r w:rsidRPr="006E4636">
        <w:rPr>
          <w:color w:val="000000"/>
          <w:lang w:val="es-AR"/>
        </w:rPr>
        <w:t>Gillioz</w:t>
      </w:r>
      <w:proofErr w:type="spellEnd"/>
      <w:r w:rsidRPr="006E4636">
        <w:rPr>
          <w:color w:val="000000"/>
          <w:lang w:val="es-AR"/>
        </w:rPr>
        <w:t xml:space="preserve">, C. (2015). </w:t>
      </w:r>
      <w:r w:rsidRPr="00A10761">
        <w:rPr>
          <w:color w:val="000000"/>
          <w:lang w:val="en-US"/>
        </w:rPr>
        <w:t xml:space="preserve">Emotion inferences during reading: Going beyond the tip of the iceberg. In E. J. O’Brien, A. E. Cook, &amp; R. F. Lorch (Ed). </w:t>
      </w:r>
      <w:proofErr w:type="spellStart"/>
      <w:r w:rsidRPr="006E4636">
        <w:rPr>
          <w:i/>
          <w:iCs/>
          <w:color w:val="000000"/>
          <w:lang w:val="es-AR"/>
        </w:rPr>
        <w:t>Inferences</w:t>
      </w:r>
      <w:proofErr w:type="spellEnd"/>
      <w:r w:rsidRPr="006E4636">
        <w:rPr>
          <w:i/>
          <w:iCs/>
          <w:color w:val="000000"/>
          <w:lang w:val="es-AR"/>
        </w:rPr>
        <w:t xml:space="preserve"> </w:t>
      </w:r>
      <w:proofErr w:type="spellStart"/>
      <w:r w:rsidRPr="006E4636">
        <w:rPr>
          <w:i/>
          <w:iCs/>
          <w:color w:val="000000"/>
          <w:lang w:val="es-AR"/>
        </w:rPr>
        <w:t>During</w:t>
      </w:r>
      <w:proofErr w:type="spellEnd"/>
      <w:r w:rsidRPr="006E4636">
        <w:rPr>
          <w:i/>
          <w:iCs/>
          <w:color w:val="000000"/>
          <w:lang w:val="es-AR"/>
        </w:rPr>
        <w:t xml:space="preserve"> Reading</w:t>
      </w:r>
      <w:r w:rsidRPr="006E4636">
        <w:rPr>
          <w:color w:val="000000"/>
          <w:lang w:val="es-AR"/>
        </w:rPr>
        <w:t xml:space="preserve">, 122-139. Cambridge: Cambridge </w:t>
      </w:r>
      <w:proofErr w:type="spellStart"/>
      <w:r w:rsidRPr="006E4636">
        <w:rPr>
          <w:color w:val="000000"/>
          <w:lang w:val="es-AR"/>
        </w:rPr>
        <w:t>UniversityPress</w:t>
      </w:r>
      <w:proofErr w:type="spellEnd"/>
      <w:r w:rsidRPr="006E4636">
        <w:rPr>
          <w:color w:val="000000"/>
          <w:lang w:val="es-AR"/>
        </w:rPr>
        <w:t>. doi:10.1017/9781107279186.007</w:t>
      </w:r>
    </w:p>
    <w:p w14:paraId="1C7B46F3" w14:textId="77777777" w:rsidR="00C913F3" w:rsidRDefault="00C913F3" w:rsidP="00C913F3">
      <w:pPr>
        <w:pBdr>
          <w:top w:val="nil"/>
          <w:left w:val="nil"/>
          <w:bottom w:val="nil"/>
          <w:right w:val="nil"/>
          <w:between w:val="nil"/>
        </w:pBdr>
        <w:ind w:hanging="720"/>
        <w:jc w:val="both"/>
        <w:rPr>
          <w:color w:val="000000"/>
          <w:lang w:val="en-US"/>
        </w:rPr>
      </w:pPr>
      <w:r w:rsidRPr="00A10761">
        <w:rPr>
          <w:color w:val="000000"/>
        </w:rPr>
        <w:t xml:space="preserve">Hernández-Ramírez, C. (2017) Reseña del libro Género en la Educación Física: propuestas didácticas. </w:t>
      </w:r>
      <w:proofErr w:type="spellStart"/>
      <w:r w:rsidRPr="006E4636">
        <w:rPr>
          <w:i/>
          <w:iCs/>
          <w:color w:val="000000"/>
          <w:lang w:val="en-US"/>
        </w:rPr>
        <w:t>Contribuciones</w:t>
      </w:r>
      <w:proofErr w:type="spellEnd"/>
      <w:r w:rsidRPr="006E4636">
        <w:rPr>
          <w:i/>
          <w:iCs/>
          <w:color w:val="000000"/>
          <w:lang w:val="en-US"/>
        </w:rPr>
        <w:t xml:space="preserve"> </w:t>
      </w:r>
      <w:proofErr w:type="spellStart"/>
      <w:r w:rsidRPr="006E4636">
        <w:rPr>
          <w:i/>
          <w:iCs/>
          <w:color w:val="000000"/>
          <w:lang w:val="en-US"/>
        </w:rPr>
        <w:t>desde</w:t>
      </w:r>
      <w:proofErr w:type="spellEnd"/>
      <w:r w:rsidRPr="006E4636">
        <w:rPr>
          <w:i/>
          <w:iCs/>
          <w:color w:val="000000"/>
          <w:lang w:val="en-US"/>
        </w:rPr>
        <w:t xml:space="preserve"> </w:t>
      </w:r>
      <w:proofErr w:type="spellStart"/>
      <w:r w:rsidRPr="006E4636">
        <w:rPr>
          <w:i/>
          <w:iCs/>
          <w:color w:val="000000"/>
          <w:lang w:val="en-US"/>
        </w:rPr>
        <w:t>Coatepec</w:t>
      </w:r>
      <w:proofErr w:type="spellEnd"/>
      <w:r w:rsidRPr="006E4636">
        <w:rPr>
          <w:i/>
          <w:iCs/>
          <w:color w:val="000000"/>
          <w:lang w:val="en-US"/>
        </w:rPr>
        <w:t>, 33</w:t>
      </w:r>
      <w:r w:rsidRPr="006E4636">
        <w:rPr>
          <w:color w:val="000000"/>
          <w:lang w:val="en-US"/>
        </w:rPr>
        <w:t>,171-173.</w:t>
      </w:r>
    </w:p>
    <w:p w14:paraId="405D9DE3" w14:textId="77777777" w:rsidR="00C913F3" w:rsidRPr="006E4636" w:rsidRDefault="00C913F3" w:rsidP="00C913F3">
      <w:pPr>
        <w:pBdr>
          <w:top w:val="nil"/>
          <w:left w:val="nil"/>
          <w:bottom w:val="nil"/>
          <w:right w:val="nil"/>
          <w:between w:val="nil"/>
        </w:pBdr>
        <w:ind w:hanging="720"/>
        <w:jc w:val="both"/>
        <w:rPr>
          <w:color w:val="000000"/>
          <w:lang w:val="en-US"/>
        </w:rPr>
      </w:pPr>
      <w:r w:rsidRPr="00CD6614">
        <w:rPr>
          <w:color w:val="000000"/>
          <w:lang w:val="en-US"/>
        </w:rPr>
        <w:t xml:space="preserve">IAAP &amp; </w:t>
      </w:r>
      <w:proofErr w:type="spellStart"/>
      <w:r w:rsidRPr="00CD6614">
        <w:rPr>
          <w:color w:val="000000"/>
          <w:lang w:val="en-US"/>
        </w:rPr>
        <w:t>IUPsyS</w:t>
      </w:r>
      <w:proofErr w:type="spellEnd"/>
      <w:r w:rsidRPr="00CD6614">
        <w:rPr>
          <w:color w:val="000000"/>
          <w:lang w:val="en-US"/>
        </w:rPr>
        <w:t xml:space="preserve"> (2008). Universal Declaration of Ethical Principles for Psychologists. Available from the International Union of Psychological Science Web site: https://www.iupsys.net/about/governance/universal-declaration-of-ethical-principles-for-psychologists.html</w:t>
      </w:r>
    </w:p>
    <w:p w14:paraId="627EDD7D"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Jacobs, A. M. (2015). Neurocognitive poetics: Methods and models for investigating the neuronal and cognitive-affective bases of literature reception. </w:t>
      </w:r>
      <w:r w:rsidRPr="006E4636">
        <w:rPr>
          <w:i/>
          <w:iCs/>
          <w:color w:val="000000"/>
          <w:lang w:val="en-US"/>
        </w:rPr>
        <w:t>Frontiers in Human Neuroscience, 9</w:t>
      </w:r>
      <w:r w:rsidRPr="00A10761">
        <w:rPr>
          <w:color w:val="000000"/>
          <w:lang w:val="en-US"/>
        </w:rPr>
        <w:t>, 186. https://doi.org/10.3389/fnhum.2015.0018</w:t>
      </w:r>
    </w:p>
    <w:p w14:paraId="3803DDF3" w14:textId="77777777" w:rsidR="00C913F3" w:rsidRPr="006E4636" w:rsidRDefault="00C913F3" w:rsidP="00C913F3">
      <w:pPr>
        <w:pBdr>
          <w:top w:val="nil"/>
          <w:left w:val="nil"/>
          <w:bottom w:val="nil"/>
          <w:right w:val="nil"/>
          <w:between w:val="nil"/>
        </w:pBdr>
        <w:ind w:hanging="720"/>
        <w:jc w:val="both"/>
        <w:rPr>
          <w:color w:val="000000"/>
          <w:lang w:val="es-AR"/>
        </w:rPr>
      </w:pPr>
      <w:r w:rsidRPr="006E4636">
        <w:rPr>
          <w:color w:val="000000"/>
          <w:lang w:val="en-US"/>
        </w:rPr>
        <w:t xml:space="preserve">Jungberg, M., &amp; Pombo, V. (2022). </w:t>
      </w:r>
      <w:r w:rsidRPr="006E4636">
        <w:rPr>
          <w:i/>
          <w:iCs/>
          <w:color w:val="000000"/>
          <w:lang w:val="es-AR"/>
        </w:rPr>
        <w:t xml:space="preserve">Sexualidades y géneros a través de dinámicas participativas: 30 juegos y actividades para la ESI con adolescentes, jóvenes y </w:t>
      </w:r>
      <w:proofErr w:type="spellStart"/>
      <w:r w:rsidRPr="006E4636">
        <w:rPr>
          <w:i/>
          <w:iCs/>
          <w:color w:val="000000"/>
          <w:lang w:val="es-AR"/>
        </w:rPr>
        <w:t>adultxs</w:t>
      </w:r>
      <w:proofErr w:type="spellEnd"/>
      <w:r w:rsidRPr="00A10761">
        <w:rPr>
          <w:color w:val="000000"/>
          <w:lang w:val="es-AR"/>
        </w:rPr>
        <w:t xml:space="preserve">. </w:t>
      </w:r>
      <w:proofErr w:type="spellStart"/>
      <w:r w:rsidRPr="006E4636">
        <w:rPr>
          <w:color w:val="000000"/>
          <w:lang w:val="es-AR"/>
        </w:rPr>
        <w:t>Noveduc</w:t>
      </w:r>
      <w:proofErr w:type="spellEnd"/>
    </w:p>
    <w:p w14:paraId="07668F71"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 xml:space="preserve">Klein, S. (2021) Diálogos entre Formación Docente en Educación Física y Educación Sexual Integral: acerca de tensiones, discusiones, continuidades y discontinuidades desde la perspectiva de graduados y graduadas en el ISEF N°2 Federico W. Dickens, Buenos Aires. </w:t>
      </w:r>
      <w:r w:rsidRPr="006E4636">
        <w:rPr>
          <w:i/>
          <w:iCs/>
          <w:color w:val="000000"/>
        </w:rPr>
        <w:t>Educación Física y Ciencia,23</w:t>
      </w:r>
      <w:r w:rsidRPr="00A10761">
        <w:rPr>
          <w:color w:val="000000"/>
        </w:rPr>
        <w:t>(1), 1-14. DOI: https://doi.org/10.24215/23142561e157</w:t>
      </w:r>
    </w:p>
    <w:p w14:paraId="0499A591" w14:textId="77777777" w:rsidR="00C913F3" w:rsidRPr="0045227B" w:rsidRDefault="00C913F3" w:rsidP="00C913F3">
      <w:pPr>
        <w:pBdr>
          <w:top w:val="nil"/>
          <w:left w:val="nil"/>
          <w:bottom w:val="nil"/>
          <w:right w:val="nil"/>
          <w:between w:val="nil"/>
        </w:pBdr>
        <w:ind w:hanging="720"/>
        <w:jc w:val="both"/>
        <w:rPr>
          <w:lang w:val="es-AR"/>
        </w:rPr>
      </w:pPr>
      <w:proofErr w:type="spellStart"/>
      <w:r w:rsidRPr="00A10761">
        <w:rPr>
          <w:color w:val="000000"/>
        </w:rPr>
        <w:t>Komeda</w:t>
      </w:r>
      <w:proofErr w:type="spellEnd"/>
      <w:r w:rsidRPr="00A10761">
        <w:rPr>
          <w:color w:val="000000"/>
        </w:rPr>
        <w:t xml:space="preserve">, H., Kawasaki, M., </w:t>
      </w:r>
      <w:proofErr w:type="spellStart"/>
      <w:r w:rsidRPr="00A10761">
        <w:rPr>
          <w:color w:val="000000"/>
        </w:rPr>
        <w:t>Tsunemi</w:t>
      </w:r>
      <w:proofErr w:type="spellEnd"/>
      <w:r w:rsidRPr="00A10761">
        <w:rPr>
          <w:color w:val="000000"/>
        </w:rPr>
        <w:t xml:space="preserve">, K. &amp; </w:t>
      </w:r>
      <w:proofErr w:type="spellStart"/>
      <w:r w:rsidRPr="00A10761">
        <w:rPr>
          <w:color w:val="000000"/>
        </w:rPr>
        <w:t>Kusumi</w:t>
      </w:r>
      <w:proofErr w:type="spellEnd"/>
      <w:r w:rsidRPr="00A10761">
        <w:rPr>
          <w:color w:val="000000"/>
        </w:rPr>
        <w:t xml:space="preserve">, T. (2009). </w:t>
      </w:r>
      <w:r w:rsidRPr="00A10761">
        <w:rPr>
          <w:color w:val="000000"/>
          <w:lang w:val="en-US"/>
        </w:rPr>
        <w:t>Differences between estimating protagonists’ emotions and evaluating readers’ emotions in narrative comprehension</w:t>
      </w:r>
      <w:r w:rsidRPr="006E4636">
        <w:rPr>
          <w:i/>
          <w:iCs/>
          <w:color w:val="000000"/>
          <w:lang w:val="en-US"/>
        </w:rPr>
        <w:t xml:space="preserve">. </w:t>
      </w:r>
      <w:proofErr w:type="spellStart"/>
      <w:r w:rsidRPr="006E4636">
        <w:rPr>
          <w:i/>
          <w:iCs/>
          <w:color w:val="000000"/>
          <w:lang w:val="es-AR"/>
        </w:rPr>
        <w:t>Cognition</w:t>
      </w:r>
      <w:proofErr w:type="spellEnd"/>
      <w:r w:rsidRPr="006E4636">
        <w:rPr>
          <w:i/>
          <w:iCs/>
          <w:color w:val="000000"/>
          <w:lang w:val="es-AR"/>
        </w:rPr>
        <w:t xml:space="preserve"> </w:t>
      </w:r>
      <w:r w:rsidRPr="0045227B">
        <w:rPr>
          <w:i/>
          <w:iCs/>
          <w:lang w:val="es-AR"/>
        </w:rPr>
        <w:t xml:space="preserve">and </w:t>
      </w:r>
      <w:proofErr w:type="spellStart"/>
      <w:r w:rsidRPr="0045227B">
        <w:rPr>
          <w:i/>
          <w:iCs/>
          <w:lang w:val="es-AR"/>
        </w:rPr>
        <w:t>Emotion</w:t>
      </w:r>
      <w:proofErr w:type="spellEnd"/>
      <w:r w:rsidRPr="0045227B">
        <w:rPr>
          <w:i/>
          <w:iCs/>
          <w:lang w:val="es-AR"/>
        </w:rPr>
        <w:t>, 23</w:t>
      </w:r>
      <w:r w:rsidRPr="0045227B">
        <w:rPr>
          <w:lang w:val="es-AR"/>
        </w:rPr>
        <w:t xml:space="preserve">(1), 135-151. https://doi.org/10.1080/02699930801949116 </w:t>
      </w:r>
    </w:p>
    <w:p w14:paraId="1571520B"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26.150 de Educación Sexual Integral (2006). Boletín oficial de la República Argentina, promulgada el 27 de octubre de 2006. Recuperado de: </w:t>
      </w:r>
      <w:hyperlink r:id="rId9" w:history="1">
        <w:r w:rsidRPr="0045227B">
          <w:rPr>
            <w:rStyle w:val="Hipervnculo"/>
          </w:rPr>
          <w:t>https://www.argentina.gob.ar/normativa/nacional/ley-26150-121222/texto</w:t>
        </w:r>
      </w:hyperlink>
      <w:r w:rsidRPr="0045227B">
        <w:t xml:space="preserve"> </w:t>
      </w:r>
    </w:p>
    <w:p w14:paraId="37652379"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27.610 de Acceso a la interrupción voluntaria del embarazo (2021). </w:t>
      </w:r>
      <w:r w:rsidRPr="0045227B">
        <w:rPr>
          <w:lang w:val="es-AR"/>
        </w:rPr>
        <w:t xml:space="preserve">Boletín oficial de la República Argentina, promulgada 14 de enero de 2021. Recuperado de: </w:t>
      </w:r>
      <w:hyperlink r:id="rId10" w:anchor=":~:text=Toda%20persona%20gestante%20tiene%20derecho,leyes%2026.485%2C%2026.529%20y%20concordantes" w:history="1">
        <w:r w:rsidRPr="0045227B">
          <w:rPr>
            <w:rStyle w:val="Hipervnculo"/>
            <w:lang w:val="es-AR"/>
          </w:rPr>
          <w:t>https://www.boletinoficial.gob.ar/detalleAviso/primera/239807/20210115#:~:text=Toda%20persona%20gestante%20tiene%20derecho,leyes%2026.485%2C%2026.529%20y%20concordantes</w:t>
        </w:r>
      </w:hyperlink>
      <w:r w:rsidRPr="0045227B">
        <w:rPr>
          <w:lang w:val="es-AR"/>
        </w:rPr>
        <w:t xml:space="preserve">. </w:t>
      </w:r>
    </w:p>
    <w:p w14:paraId="3E0EAAA1"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Nº</w:t>
      </w:r>
      <w:proofErr w:type="spellEnd"/>
      <w:r w:rsidRPr="0045227B">
        <w:t xml:space="preserve"> 26.061 de Protección Integral de los Derechos de las niñas, niños y adolescentes (2005). Ministerio de Justicia y Derechos Humanos de la Nación Argentina, promulgada el 21 de octubre de 2005. Recuperado de:  </w:t>
      </w:r>
      <w:hyperlink r:id="rId11" w:history="1">
        <w:r w:rsidRPr="0045227B">
          <w:rPr>
            <w:rStyle w:val="Hipervnculo"/>
          </w:rPr>
          <w:t>http://servicios.infoleg.gob.ar/infolegInternet/anexos/110000-114999/110778/norma.htm</w:t>
        </w:r>
      </w:hyperlink>
      <w:r w:rsidRPr="0045227B">
        <w:t xml:space="preserve"> </w:t>
      </w:r>
    </w:p>
    <w:p w14:paraId="53B4BBE0" w14:textId="77777777" w:rsidR="00C913F3" w:rsidRPr="0045227B" w:rsidRDefault="00C913F3" w:rsidP="00C913F3">
      <w:pPr>
        <w:pBdr>
          <w:top w:val="nil"/>
          <w:left w:val="nil"/>
          <w:bottom w:val="nil"/>
          <w:right w:val="nil"/>
          <w:between w:val="nil"/>
        </w:pBdr>
        <w:ind w:hanging="720"/>
        <w:jc w:val="both"/>
        <w:rPr>
          <w:lang w:val="es-AR"/>
        </w:rPr>
      </w:pPr>
      <w:r w:rsidRPr="0045227B">
        <w:lastRenderedPageBreak/>
        <w:t xml:space="preserve">Ley </w:t>
      </w:r>
      <w:proofErr w:type="spellStart"/>
      <w:r w:rsidRPr="0045227B">
        <w:t>Nº</w:t>
      </w:r>
      <w:proofErr w:type="spellEnd"/>
      <w:r w:rsidRPr="0045227B">
        <w:t xml:space="preserve"> 26.206 de Educación Nacional (2006). Boletín Oficial de la República Argentina, promulgada el 28 de diciembre de 2006. Recuperado de:  </w:t>
      </w:r>
      <w:hyperlink r:id="rId12" w:history="1">
        <w:r w:rsidRPr="0045227B">
          <w:rPr>
            <w:rStyle w:val="Hipervnculo"/>
          </w:rPr>
          <w:t>https://www.argentina.gob.ar/sites/default/files/ley-de-educ-nac-58ac89392ea4c.pdf</w:t>
        </w:r>
      </w:hyperlink>
      <w:r w:rsidRPr="0045227B">
        <w:t xml:space="preserve"> </w:t>
      </w:r>
    </w:p>
    <w:p w14:paraId="117B9388" w14:textId="1BA9DB5E" w:rsidR="00C913F3"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s-AR"/>
        </w:rPr>
        <w:t>Luo</w:t>
      </w:r>
      <w:proofErr w:type="spellEnd"/>
      <w:r w:rsidRPr="00A10761">
        <w:rPr>
          <w:color w:val="000000"/>
          <w:lang w:val="es-AR"/>
        </w:rPr>
        <w:t xml:space="preserve">, K., </w:t>
      </w:r>
      <w:proofErr w:type="spellStart"/>
      <w:r w:rsidRPr="00A10761">
        <w:rPr>
          <w:color w:val="000000"/>
          <w:lang w:val="es-AR"/>
        </w:rPr>
        <w:t>Kiewra</w:t>
      </w:r>
      <w:proofErr w:type="spellEnd"/>
      <w:r w:rsidRPr="00A10761">
        <w:rPr>
          <w:color w:val="000000"/>
          <w:lang w:val="es-AR"/>
        </w:rPr>
        <w:t xml:space="preserve">, K., </w:t>
      </w:r>
      <w:proofErr w:type="spellStart"/>
      <w:r w:rsidRPr="00A10761">
        <w:rPr>
          <w:color w:val="000000"/>
          <w:lang w:val="es-AR"/>
        </w:rPr>
        <w:t>Flanigan</w:t>
      </w:r>
      <w:proofErr w:type="spellEnd"/>
      <w:r w:rsidRPr="00A10761">
        <w:rPr>
          <w:color w:val="000000"/>
          <w:lang w:val="es-AR"/>
        </w:rPr>
        <w:t>, A. &amp;</w:t>
      </w:r>
      <w:r>
        <w:rPr>
          <w:color w:val="000000"/>
          <w:lang w:val="es-AR"/>
        </w:rPr>
        <w:t xml:space="preserve"> </w:t>
      </w:r>
      <w:proofErr w:type="spellStart"/>
      <w:r w:rsidRPr="00A10761">
        <w:rPr>
          <w:color w:val="000000"/>
          <w:lang w:val="es-AR"/>
        </w:rPr>
        <w:t>Peteranetz</w:t>
      </w:r>
      <w:proofErr w:type="spellEnd"/>
      <w:r w:rsidRPr="00A10761">
        <w:rPr>
          <w:color w:val="000000"/>
          <w:lang w:val="es-AR"/>
        </w:rPr>
        <w:t xml:space="preserve">, M. (2018). </w:t>
      </w:r>
      <w:r w:rsidRPr="00A10761">
        <w:rPr>
          <w:color w:val="000000"/>
          <w:lang w:val="en-US"/>
        </w:rPr>
        <w:t>Laptop versus longhand note taking effects on lecture notes and achievement.</w:t>
      </w:r>
      <w:r w:rsidRPr="006E4636">
        <w:rPr>
          <w:i/>
          <w:iCs/>
          <w:color w:val="000000"/>
          <w:lang w:val="en-US"/>
        </w:rPr>
        <w:t xml:space="preserve"> Instructional Science and International Journal of the Learning Sciences,46</w:t>
      </w:r>
      <w:r w:rsidRPr="00A10761">
        <w:rPr>
          <w:color w:val="000000"/>
          <w:lang w:val="en-US"/>
        </w:rPr>
        <w:t>(6), 947-971. DOI:10.1007/s11251-018-9458-0</w:t>
      </w:r>
      <w:bookmarkStart w:id="2" w:name="_Hlk81486670"/>
    </w:p>
    <w:p w14:paraId="3724F2E0" w14:textId="6D4F4033" w:rsidR="00C913F3" w:rsidRPr="00A10761" w:rsidRDefault="00C913F3" w:rsidP="00C913F3">
      <w:pPr>
        <w:pBdr>
          <w:top w:val="nil"/>
          <w:left w:val="nil"/>
          <w:bottom w:val="nil"/>
          <w:right w:val="nil"/>
          <w:between w:val="nil"/>
        </w:pBdr>
        <w:ind w:hanging="720"/>
        <w:jc w:val="both"/>
        <w:rPr>
          <w:color w:val="000000"/>
          <w:lang w:val="en-US"/>
        </w:rPr>
      </w:pPr>
      <w:r>
        <w:rPr>
          <w:lang w:val="en-US"/>
        </w:rPr>
        <w:t xml:space="preserve">Mackie, J.L. (1980). </w:t>
      </w:r>
      <w:r w:rsidRPr="00C913F3">
        <w:rPr>
          <w:i/>
          <w:iCs/>
          <w:lang w:val="en-US"/>
        </w:rPr>
        <w:t>The Cement of the Universe</w:t>
      </w:r>
      <w:r>
        <w:rPr>
          <w:lang w:val="en-US"/>
        </w:rPr>
        <w:t>. Oxford: Clarendon Press. DOI:10.1093/0198246420.001.0001</w:t>
      </w:r>
      <w:bookmarkEnd w:id="2"/>
    </w:p>
    <w:p w14:paraId="0ECBF37C"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Marina, M. (2023). Con perspectiva de ESI democratizamos las aulas. </w:t>
      </w:r>
      <w:r w:rsidRPr="00A10761">
        <w:rPr>
          <w:i/>
          <w:iCs/>
          <w:color w:val="000000"/>
        </w:rPr>
        <w:t>Anales de la Educación Común</w:t>
      </w:r>
      <w:r w:rsidRPr="00A10761">
        <w:rPr>
          <w:color w:val="000000"/>
        </w:rPr>
        <w:t>, </w:t>
      </w:r>
      <w:r w:rsidRPr="00A10761">
        <w:rPr>
          <w:i/>
          <w:iCs/>
          <w:color w:val="000000"/>
        </w:rPr>
        <w:t>4</w:t>
      </w:r>
      <w:r w:rsidRPr="00A10761">
        <w:rPr>
          <w:color w:val="000000"/>
        </w:rPr>
        <w:t>(1-2), 230-242.</w:t>
      </w:r>
    </w:p>
    <w:p w14:paraId="4148A806" w14:textId="77777777" w:rsidR="00C913F3" w:rsidRDefault="00C913F3" w:rsidP="00C913F3">
      <w:pPr>
        <w:pBdr>
          <w:top w:val="nil"/>
          <w:left w:val="nil"/>
          <w:bottom w:val="nil"/>
          <w:right w:val="nil"/>
          <w:between w:val="nil"/>
        </w:pBdr>
        <w:ind w:hanging="720"/>
        <w:jc w:val="both"/>
        <w:rPr>
          <w:color w:val="000000"/>
        </w:rPr>
      </w:pPr>
      <w:proofErr w:type="spellStart"/>
      <w:r w:rsidRPr="00A10761">
        <w:rPr>
          <w:color w:val="000000"/>
        </w:rPr>
        <w:t>Marozzi</w:t>
      </w:r>
      <w:proofErr w:type="spellEnd"/>
      <w:r w:rsidRPr="00A10761">
        <w:rPr>
          <w:color w:val="000000"/>
        </w:rPr>
        <w:t xml:space="preserve">, J., </w:t>
      </w:r>
      <w:proofErr w:type="spellStart"/>
      <w:r w:rsidRPr="00A10761">
        <w:rPr>
          <w:color w:val="000000"/>
        </w:rPr>
        <w:t>Boccardi</w:t>
      </w:r>
      <w:proofErr w:type="spellEnd"/>
      <w:r w:rsidRPr="00A10761">
        <w:rPr>
          <w:color w:val="000000"/>
        </w:rPr>
        <w:t>, F., &amp;</w:t>
      </w:r>
      <w:r>
        <w:rPr>
          <w:color w:val="000000"/>
        </w:rPr>
        <w:t xml:space="preserve"> </w:t>
      </w:r>
      <w:proofErr w:type="spellStart"/>
      <w:r w:rsidRPr="00A10761">
        <w:rPr>
          <w:color w:val="000000"/>
        </w:rPr>
        <w:t>Raviolo</w:t>
      </w:r>
      <w:proofErr w:type="spellEnd"/>
      <w:r w:rsidRPr="00A10761">
        <w:rPr>
          <w:color w:val="000000"/>
        </w:rPr>
        <w:t xml:space="preserve">, A. (2020) Malestares y resistencias frente a las interpelaciones de la Educación Sexual Integral. Un análisis del posicionamiento de docentes de educación física. </w:t>
      </w:r>
      <w:r w:rsidRPr="006E4636">
        <w:rPr>
          <w:i/>
          <w:iCs/>
          <w:color w:val="000000"/>
        </w:rPr>
        <w:t>Educación Física y Ciencia,</w:t>
      </w:r>
      <w:r>
        <w:rPr>
          <w:i/>
          <w:iCs/>
          <w:color w:val="000000"/>
        </w:rPr>
        <w:t xml:space="preserve"> </w:t>
      </w:r>
      <w:r w:rsidRPr="006E4636">
        <w:rPr>
          <w:i/>
          <w:iCs/>
          <w:color w:val="000000"/>
        </w:rPr>
        <w:t>22</w:t>
      </w:r>
      <w:r w:rsidRPr="00A10761">
        <w:rPr>
          <w:color w:val="000000"/>
        </w:rPr>
        <w:t>(4), 1-18.</w:t>
      </w:r>
    </w:p>
    <w:p w14:paraId="1B62CF11" w14:textId="77777777" w:rsidR="00C913F3" w:rsidRPr="006E4636" w:rsidRDefault="00C913F3" w:rsidP="00C913F3">
      <w:pPr>
        <w:pBdr>
          <w:top w:val="nil"/>
          <w:left w:val="nil"/>
          <w:bottom w:val="nil"/>
          <w:right w:val="nil"/>
          <w:between w:val="nil"/>
        </w:pBdr>
        <w:ind w:hanging="720"/>
        <w:jc w:val="both"/>
        <w:rPr>
          <w:color w:val="000000"/>
          <w:lang w:val="en-US"/>
        </w:rPr>
      </w:pPr>
      <w:r w:rsidRPr="00BA6E71">
        <w:rPr>
          <w:color w:val="000000"/>
        </w:rPr>
        <w:t xml:space="preserve">Montero, I., &amp; León, O. G. (2007). </w:t>
      </w:r>
      <w:r w:rsidRPr="00BA6E71">
        <w:rPr>
          <w:color w:val="000000"/>
          <w:lang w:val="en-US"/>
        </w:rPr>
        <w:t>A guide for naming research studies in Psychology. </w:t>
      </w:r>
      <w:r w:rsidRPr="006E4636">
        <w:rPr>
          <w:i/>
          <w:iCs/>
          <w:color w:val="000000"/>
          <w:lang w:val="en-US"/>
        </w:rPr>
        <w:t>International Journal of clinical and Health psychology</w:t>
      </w:r>
      <w:r w:rsidRPr="006E4636">
        <w:rPr>
          <w:color w:val="000000"/>
          <w:lang w:val="en-US"/>
        </w:rPr>
        <w:t>, </w:t>
      </w:r>
      <w:r w:rsidRPr="006E4636">
        <w:rPr>
          <w:i/>
          <w:iCs/>
          <w:color w:val="000000"/>
          <w:lang w:val="en-US"/>
        </w:rPr>
        <w:t>7</w:t>
      </w:r>
      <w:r w:rsidRPr="006E4636">
        <w:rPr>
          <w:color w:val="000000"/>
          <w:lang w:val="en-US"/>
        </w:rPr>
        <w:t>(3), 847-862.</w:t>
      </w:r>
    </w:p>
    <w:p w14:paraId="38AE6D55" w14:textId="77777777" w:rsidR="00C913F3" w:rsidRPr="007B44BC" w:rsidRDefault="00C913F3" w:rsidP="00C913F3">
      <w:pPr>
        <w:pBdr>
          <w:top w:val="nil"/>
          <w:left w:val="nil"/>
          <w:bottom w:val="nil"/>
          <w:right w:val="nil"/>
          <w:between w:val="nil"/>
        </w:pBdr>
        <w:ind w:hanging="720"/>
        <w:jc w:val="both"/>
      </w:pPr>
      <w:r w:rsidRPr="00C913F3">
        <w:rPr>
          <w:lang w:val="es-AR"/>
        </w:rPr>
        <w:t xml:space="preserve">Montoya Puerta, A. F., Campo </w:t>
      </w:r>
      <w:proofErr w:type="spellStart"/>
      <w:r w:rsidRPr="00C913F3">
        <w:rPr>
          <w:lang w:val="es-AR"/>
        </w:rPr>
        <w:t>Guapacha</w:t>
      </w:r>
      <w:proofErr w:type="spellEnd"/>
      <w:r w:rsidRPr="00C913F3">
        <w:rPr>
          <w:lang w:val="es-AR"/>
        </w:rPr>
        <w:t xml:space="preserve">, V., Quitian López, Y. L., &amp; Alayón Cardozo, I. C. (2024). </w:t>
      </w:r>
      <w:r w:rsidRPr="007B44BC">
        <w:t>Pensarse en diversidad sexual y de género desde la práctica docente. [Tesis de Maestría en Educación Inclusiva e Intercultural, Universidad El Bosque, Colombia</w:t>
      </w:r>
      <w:r w:rsidRPr="007B44BC">
        <w:rPr>
          <w:lang w:val="es-AR"/>
        </w:rPr>
        <w:t>.</w:t>
      </w:r>
      <w:r w:rsidRPr="007B44BC">
        <w:t>]</w:t>
      </w:r>
      <w:r w:rsidRPr="007B44BC">
        <w:rPr>
          <w:lang w:val="es-AR"/>
        </w:rPr>
        <w:t xml:space="preserve"> Repositorio institucional</w:t>
      </w:r>
      <w:r w:rsidRPr="007B44BC">
        <w:t xml:space="preserve"> https://hdl.handle.net/20.500.12495/12363</w:t>
      </w:r>
    </w:p>
    <w:p w14:paraId="16A52B86" w14:textId="77777777" w:rsidR="00C913F3" w:rsidRPr="006E4636" w:rsidRDefault="00C913F3" w:rsidP="00C913F3">
      <w:pPr>
        <w:pBdr>
          <w:top w:val="nil"/>
          <w:left w:val="nil"/>
          <w:bottom w:val="nil"/>
          <w:right w:val="nil"/>
          <w:between w:val="nil"/>
        </w:pBdr>
        <w:ind w:hanging="720"/>
        <w:jc w:val="both"/>
        <w:rPr>
          <w:lang w:val="es-AR"/>
        </w:rPr>
      </w:pPr>
      <w:r w:rsidRPr="00C913F3">
        <w:rPr>
          <w:color w:val="000000"/>
          <w:lang w:val="es-AR"/>
        </w:rPr>
        <w:t xml:space="preserve">Mueller, P. A., &amp; Oppenheimer, D. M. (2014). </w:t>
      </w:r>
      <w:r w:rsidRPr="00A10761">
        <w:rPr>
          <w:color w:val="000000"/>
          <w:lang w:val="en-US"/>
        </w:rPr>
        <w:t xml:space="preserve">The pen is mightier than the keyboard: Advantages of longhand </w:t>
      </w:r>
      <w:r w:rsidRPr="006E4636">
        <w:rPr>
          <w:lang w:val="en-US"/>
        </w:rPr>
        <w:t xml:space="preserve">over laptop note taking. </w:t>
      </w:r>
      <w:proofErr w:type="spellStart"/>
      <w:r w:rsidRPr="006E4636">
        <w:rPr>
          <w:i/>
          <w:iCs/>
          <w:lang w:val="es-AR"/>
        </w:rPr>
        <w:t>Psychological</w:t>
      </w:r>
      <w:proofErr w:type="spellEnd"/>
      <w:r w:rsidRPr="006E4636">
        <w:rPr>
          <w:i/>
          <w:iCs/>
          <w:lang w:val="es-AR"/>
        </w:rPr>
        <w:t xml:space="preserve"> </w:t>
      </w:r>
      <w:proofErr w:type="spellStart"/>
      <w:r w:rsidRPr="006E4636">
        <w:rPr>
          <w:i/>
          <w:iCs/>
          <w:lang w:val="es-AR"/>
        </w:rPr>
        <w:t>Science</w:t>
      </w:r>
      <w:proofErr w:type="spellEnd"/>
      <w:r w:rsidRPr="006E4636">
        <w:rPr>
          <w:i/>
          <w:iCs/>
          <w:lang w:val="es-AR"/>
        </w:rPr>
        <w:t>, 25</w:t>
      </w:r>
      <w:r w:rsidRPr="006E4636">
        <w:rPr>
          <w:lang w:val="es-AR"/>
        </w:rPr>
        <w:t xml:space="preserve">(6), 1159-1168. </w:t>
      </w:r>
    </w:p>
    <w:p w14:paraId="59837EC2" w14:textId="77777777" w:rsidR="00C913F3" w:rsidRPr="006E4636" w:rsidRDefault="00C913F3" w:rsidP="00C913F3">
      <w:pPr>
        <w:pBdr>
          <w:top w:val="nil"/>
          <w:left w:val="nil"/>
          <w:bottom w:val="nil"/>
          <w:right w:val="nil"/>
          <w:between w:val="nil"/>
        </w:pBdr>
        <w:ind w:hanging="720"/>
        <w:jc w:val="both"/>
      </w:pPr>
      <w:proofErr w:type="spellStart"/>
      <w:r w:rsidRPr="006E4636">
        <w:t>Nikken</w:t>
      </w:r>
      <w:proofErr w:type="spellEnd"/>
      <w:r w:rsidRPr="006E4636">
        <w:t>, P. (1994). El concepto de derechos humanos. </w:t>
      </w:r>
      <w:r w:rsidRPr="006E4636">
        <w:rPr>
          <w:i/>
          <w:iCs/>
        </w:rPr>
        <w:t>Estudios básicos de derechos humanos</w:t>
      </w:r>
      <w:r w:rsidRPr="006E4636">
        <w:t>, </w:t>
      </w:r>
      <w:r w:rsidRPr="006E4636">
        <w:rPr>
          <w:i/>
          <w:iCs/>
        </w:rPr>
        <w:t>1</w:t>
      </w:r>
      <w:r w:rsidRPr="006E4636">
        <w:t>(2), 15-37.</w:t>
      </w:r>
    </w:p>
    <w:p w14:paraId="24A2B278" w14:textId="77777777" w:rsidR="00C913F3" w:rsidRPr="00A10761" w:rsidRDefault="00C913F3" w:rsidP="00C913F3">
      <w:pPr>
        <w:pBdr>
          <w:top w:val="nil"/>
          <w:left w:val="nil"/>
          <w:bottom w:val="nil"/>
          <w:right w:val="nil"/>
          <w:between w:val="nil"/>
        </w:pBdr>
        <w:ind w:hanging="720"/>
        <w:jc w:val="both"/>
        <w:rPr>
          <w:color w:val="000000"/>
        </w:rPr>
      </w:pPr>
      <w:r w:rsidRPr="006E4636">
        <w:t xml:space="preserve">Páez, F. M. (2021). </w:t>
      </w:r>
      <w:r w:rsidRPr="00A10761">
        <w:rPr>
          <w:color w:val="000000"/>
        </w:rPr>
        <w:t xml:space="preserve">Perspectiva de género y formación docente en tiempos de cambios (Córdoba, Argentina). </w:t>
      </w:r>
      <w:r w:rsidRPr="006E4636">
        <w:rPr>
          <w:i/>
          <w:iCs/>
          <w:color w:val="000000"/>
        </w:rPr>
        <w:t>Cuadernos Intercambio sobre Centroamérica y el Caribe,</w:t>
      </w:r>
      <w:r>
        <w:rPr>
          <w:i/>
          <w:iCs/>
          <w:color w:val="000000"/>
        </w:rPr>
        <w:t xml:space="preserve"> </w:t>
      </w:r>
      <w:r w:rsidRPr="006E4636">
        <w:rPr>
          <w:i/>
          <w:iCs/>
          <w:color w:val="000000"/>
        </w:rPr>
        <w:t>18</w:t>
      </w:r>
      <w:r w:rsidRPr="00A10761">
        <w:rPr>
          <w:color w:val="000000"/>
        </w:rPr>
        <w:t>(1),</w:t>
      </w:r>
      <w:r>
        <w:rPr>
          <w:color w:val="000000"/>
        </w:rPr>
        <w:t xml:space="preserve"> </w:t>
      </w:r>
      <w:r w:rsidRPr="00A10761">
        <w:rPr>
          <w:color w:val="000000"/>
        </w:rPr>
        <w:t>1-26. https://dx.doi.org/10.15517/ca.v18i1.45576</w:t>
      </w:r>
    </w:p>
    <w:p w14:paraId="10A55ED8" w14:textId="77777777" w:rsidR="00C913F3" w:rsidRPr="00515FC7" w:rsidRDefault="00C913F3" w:rsidP="00C913F3">
      <w:pPr>
        <w:pBdr>
          <w:top w:val="nil"/>
          <w:left w:val="nil"/>
          <w:bottom w:val="nil"/>
          <w:right w:val="nil"/>
          <w:between w:val="nil"/>
        </w:pBdr>
        <w:ind w:hanging="720"/>
        <w:jc w:val="both"/>
        <w:rPr>
          <w:lang w:val="es-AR"/>
        </w:rPr>
      </w:pPr>
      <w:r w:rsidRPr="00A10761">
        <w:rPr>
          <w:color w:val="000000"/>
          <w:lang w:val="es-AR"/>
        </w:rPr>
        <w:t>Palmero, M. L. R. (2008) La teoría del aprendizaje significativo. En Palmero, M. L. R.. (</w:t>
      </w:r>
      <w:proofErr w:type="spellStart"/>
      <w:r w:rsidRPr="00A10761">
        <w:rPr>
          <w:color w:val="000000"/>
          <w:lang w:val="es-AR"/>
        </w:rPr>
        <w:t>Eds</w:t>
      </w:r>
      <w:proofErr w:type="spellEnd"/>
      <w:r w:rsidRPr="00A10761">
        <w:rPr>
          <w:color w:val="000000"/>
          <w:lang w:val="es-AR"/>
        </w:rPr>
        <w:t xml:space="preserve">) </w:t>
      </w:r>
      <w:r w:rsidRPr="00A10761">
        <w:rPr>
          <w:i/>
          <w:iCs/>
          <w:color w:val="000000"/>
          <w:lang w:val="es-AR"/>
        </w:rPr>
        <w:t xml:space="preserve">La teoría del </w:t>
      </w:r>
      <w:r w:rsidRPr="00515FC7">
        <w:rPr>
          <w:i/>
          <w:iCs/>
          <w:lang w:val="es-AR"/>
        </w:rPr>
        <w:t>aprendizaje significativo en la perspectiva de la psicología cognitiva</w:t>
      </w:r>
      <w:r w:rsidRPr="00515FC7">
        <w:rPr>
          <w:lang w:val="es-AR"/>
        </w:rPr>
        <w:t xml:space="preserve"> (pp. 7-45). Editorial Octaedro. </w:t>
      </w:r>
      <w:hyperlink r:id="rId13" w:history="1">
        <w:r w:rsidRPr="00515FC7">
          <w:rPr>
            <w:rStyle w:val="Hipervnculo"/>
            <w:lang w:val="es-AR"/>
          </w:rPr>
          <w:t>https://trabajosocialunam.wordpress.com/wp-content/uploads/2015/01/la-teorc3ada-del-aprendizaje-siginificativo.pdf</w:t>
        </w:r>
      </w:hyperlink>
      <w:r w:rsidRPr="00515FC7">
        <w:rPr>
          <w:lang w:val="es-AR"/>
        </w:rPr>
        <w:t xml:space="preserve"> </w:t>
      </w:r>
    </w:p>
    <w:p w14:paraId="33342F41" w14:textId="77777777" w:rsidR="00C913F3" w:rsidRPr="00515FC7" w:rsidRDefault="00C913F3" w:rsidP="00C913F3">
      <w:pPr>
        <w:pBdr>
          <w:top w:val="nil"/>
          <w:left w:val="nil"/>
          <w:bottom w:val="nil"/>
          <w:right w:val="nil"/>
          <w:between w:val="nil"/>
        </w:pBdr>
        <w:ind w:hanging="720"/>
        <w:jc w:val="both"/>
        <w:rPr>
          <w:lang w:val="en-US"/>
        </w:rPr>
      </w:pPr>
      <w:proofErr w:type="spellStart"/>
      <w:r w:rsidRPr="00515FC7">
        <w:rPr>
          <w:lang w:val="es-AR"/>
        </w:rPr>
        <w:t>Pell</w:t>
      </w:r>
      <w:proofErr w:type="spellEnd"/>
      <w:r w:rsidRPr="00515FC7">
        <w:rPr>
          <w:lang w:val="es-AR"/>
        </w:rPr>
        <w:t xml:space="preserve">, M. D. &amp; </w:t>
      </w:r>
      <w:proofErr w:type="spellStart"/>
      <w:r w:rsidRPr="00515FC7">
        <w:rPr>
          <w:lang w:val="es-AR"/>
        </w:rPr>
        <w:t>Kotz</w:t>
      </w:r>
      <w:proofErr w:type="spellEnd"/>
      <w:r w:rsidRPr="00515FC7">
        <w:rPr>
          <w:lang w:val="es-AR"/>
        </w:rPr>
        <w:t xml:space="preserve">, S. A. (2011). </w:t>
      </w:r>
      <w:r w:rsidRPr="00515FC7">
        <w:rPr>
          <w:lang w:val="en-US"/>
        </w:rPr>
        <w:t xml:space="preserve">On the time course of vocal emotion recognition. </w:t>
      </w:r>
      <w:proofErr w:type="spellStart"/>
      <w:r w:rsidRPr="00515FC7">
        <w:rPr>
          <w:i/>
          <w:iCs/>
          <w:lang w:val="en-US"/>
        </w:rPr>
        <w:t>PLoS</w:t>
      </w:r>
      <w:proofErr w:type="spellEnd"/>
      <w:r w:rsidRPr="00515FC7">
        <w:rPr>
          <w:i/>
          <w:iCs/>
          <w:lang w:val="en-US"/>
        </w:rPr>
        <w:t xml:space="preserve"> One, 6</w:t>
      </w:r>
      <w:r w:rsidRPr="00515FC7">
        <w:rPr>
          <w:lang w:val="en-US"/>
        </w:rPr>
        <w:t>(11) https://doi.org/10.1371/journal.pone.0027256</w:t>
      </w:r>
    </w:p>
    <w:p w14:paraId="74059F96" w14:textId="77777777" w:rsidR="00C913F3" w:rsidRPr="00515FC7" w:rsidRDefault="00C913F3" w:rsidP="00C913F3">
      <w:pPr>
        <w:pBdr>
          <w:top w:val="nil"/>
          <w:left w:val="nil"/>
          <w:bottom w:val="nil"/>
          <w:right w:val="nil"/>
          <w:between w:val="nil"/>
        </w:pBdr>
        <w:ind w:hanging="720"/>
        <w:jc w:val="both"/>
        <w:rPr>
          <w:rFonts w:eastAsia="Arial"/>
          <w:lang w:val="es-AR"/>
        </w:rPr>
      </w:pPr>
      <w:r w:rsidRPr="00515FC7">
        <w:rPr>
          <w:rFonts w:eastAsia="Arial"/>
          <w:lang w:val="en-US"/>
        </w:rPr>
        <w:t xml:space="preserve">Pérez, V. M. O. (2025). </w:t>
      </w:r>
      <w:r w:rsidRPr="00515FC7">
        <w:rPr>
          <w:rFonts w:eastAsia="Arial"/>
        </w:rPr>
        <w:t>Educación de la sexualidad en la adolescencia. </w:t>
      </w:r>
      <w:r w:rsidRPr="00515FC7">
        <w:rPr>
          <w:rFonts w:eastAsia="Arial"/>
          <w:i/>
          <w:iCs/>
        </w:rPr>
        <w:t>Cuadernos de RES PUBLICA en derecho y criminología</w:t>
      </w:r>
      <w:r w:rsidRPr="00515FC7">
        <w:rPr>
          <w:rFonts w:eastAsia="Arial"/>
        </w:rPr>
        <w:t>, 5, 1-11.</w:t>
      </w:r>
    </w:p>
    <w:p w14:paraId="16C82891"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Plaza, M. V., &amp; </w:t>
      </w:r>
      <w:proofErr w:type="spellStart"/>
      <w:r w:rsidRPr="00515FC7">
        <w:rPr>
          <w:lang w:val="es-AR"/>
        </w:rPr>
        <w:t>Meinardi</w:t>
      </w:r>
      <w:proofErr w:type="spellEnd"/>
      <w:r w:rsidRPr="00515FC7">
        <w:rPr>
          <w:lang w:val="es-AR"/>
        </w:rPr>
        <w:t xml:space="preserve">, E. (2021). La reflexión metacognitiva como estrategia para trabajar las creencias sobre sexualidad y género en el currículo oculto escolar. </w:t>
      </w:r>
      <w:r w:rsidRPr="00515FC7">
        <w:rPr>
          <w:i/>
          <w:iCs/>
          <w:lang w:val="es-AR"/>
        </w:rPr>
        <w:t>Revista Bio-grafía: Escritos sobre la Biología y su enseñanza, (Número Extraordinario)</w:t>
      </w:r>
      <w:r w:rsidRPr="00515FC7">
        <w:rPr>
          <w:lang w:val="es-AR"/>
        </w:rPr>
        <w:t xml:space="preserve">. ISSN 2619-3531. </w:t>
      </w:r>
    </w:p>
    <w:p w14:paraId="17C90BE2"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Quintero Medina, S. A. (2023). </w:t>
      </w:r>
      <w:r w:rsidRPr="00515FC7">
        <w:rPr>
          <w:i/>
          <w:iCs/>
          <w:lang w:val="es-AR"/>
        </w:rPr>
        <w:t>Impacto de la modalidad de presentación de la información (oral o escrita) en el recuerdo del material presentado durante la actividad de toma de notas</w:t>
      </w:r>
      <w:r w:rsidRPr="00515FC7">
        <w:rPr>
          <w:lang w:val="es-AR"/>
        </w:rPr>
        <w:t xml:space="preserve"> </w:t>
      </w:r>
      <w:r w:rsidRPr="00515FC7">
        <w:t xml:space="preserve">[Tesis de Maestría, </w:t>
      </w:r>
      <w:r w:rsidRPr="00515FC7">
        <w:rPr>
          <w:lang w:val="es-AR"/>
        </w:rPr>
        <w:t>Universidad de Antioquia.</w:t>
      </w:r>
      <w:r w:rsidRPr="00515FC7">
        <w:t>]</w:t>
      </w:r>
      <w:r w:rsidRPr="00515FC7">
        <w:rPr>
          <w:lang w:val="es-AR"/>
        </w:rPr>
        <w:t xml:space="preserve"> Repositorio institucional </w:t>
      </w:r>
      <w:hyperlink r:id="rId14" w:history="1">
        <w:r w:rsidRPr="00515FC7">
          <w:rPr>
            <w:rStyle w:val="Hipervnculo"/>
            <w:lang w:val="es-AR"/>
          </w:rPr>
          <w:t>https://bibliotecadigital.udea.edu.co/entities/publication/04714af9-e016-4340-8b21-b8a30df326da</w:t>
        </w:r>
      </w:hyperlink>
      <w:r w:rsidRPr="00515FC7">
        <w:rPr>
          <w:lang w:val="es-AR"/>
        </w:rPr>
        <w:t xml:space="preserve"> </w:t>
      </w:r>
    </w:p>
    <w:p w14:paraId="16D9A257" w14:textId="77777777" w:rsidR="00C913F3" w:rsidRPr="00A10761" w:rsidRDefault="00C913F3" w:rsidP="00C913F3">
      <w:pPr>
        <w:pBdr>
          <w:top w:val="nil"/>
          <w:left w:val="nil"/>
          <w:bottom w:val="nil"/>
          <w:right w:val="nil"/>
          <w:between w:val="nil"/>
        </w:pBdr>
        <w:ind w:hanging="720"/>
        <w:jc w:val="both"/>
        <w:rPr>
          <w:color w:val="000000"/>
          <w:lang w:val="en-US"/>
        </w:rPr>
      </w:pPr>
      <w:r w:rsidRPr="00C913F3">
        <w:rPr>
          <w:lang w:val="en-US"/>
        </w:rPr>
        <w:t xml:space="preserve">Radvansky, G., Tamplin, A., Armendarez, </w:t>
      </w:r>
      <w:r w:rsidRPr="00C913F3">
        <w:rPr>
          <w:color w:val="000000"/>
          <w:lang w:val="en-US"/>
        </w:rPr>
        <w:t xml:space="preserve">J. &amp; Thompson, A. (2014). </w:t>
      </w:r>
      <w:r w:rsidRPr="00A10761">
        <w:rPr>
          <w:color w:val="000000"/>
          <w:lang w:val="en-US"/>
        </w:rPr>
        <w:t xml:space="preserve">Different kinds of causality in event cognition. </w:t>
      </w:r>
      <w:r w:rsidRPr="0045227B">
        <w:rPr>
          <w:i/>
          <w:iCs/>
          <w:color w:val="000000"/>
          <w:lang w:val="en-US"/>
        </w:rPr>
        <w:t>Discourse Processes, 51</w:t>
      </w:r>
      <w:r w:rsidRPr="00A10761">
        <w:rPr>
          <w:color w:val="000000"/>
          <w:lang w:val="en-US"/>
        </w:rPr>
        <w:t>, 601-618. DOI: 10.1080/0163853X.2014.903366</w:t>
      </w:r>
    </w:p>
    <w:p w14:paraId="363590C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lang w:val="en-US"/>
        </w:rPr>
        <w:t xml:space="preserve">Rapp, D. N. &amp; </w:t>
      </w:r>
      <w:proofErr w:type="spellStart"/>
      <w:r w:rsidRPr="00A10761">
        <w:rPr>
          <w:color w:val="000000"/>
          <w:lang w:val="en-US"/>
        </w:rPr>
        <w:t>Gerrig</w:t>
      </w:r>
      <w:proofErr w:type="spellEnd"/>
      <w:r w:rsidRPr="00A10761">
        <w:rPr>
          <w:color w:val="000000"/>
          <w:lang w:val="en-US"/>
        </w:rPr>
        <w:t xml:space="preserve">, R. J. (2002). Readers’ reality-driven and plot-driven analyses in narrative comprehension. </w:t>
      </w:r>
      <w:proofErr w:type="spellStart"/>
      <w:r w:rsidRPr="0045227B">
        <w:rPr>
          <w:i/>
          <w:iCs/>
          <w:color w:val="000000"/>
          <w:lang w:val="es-AR"/>
        </w:rPr>
        <w:t>Memory</w:t>
      </w:r>
      <w:proofErr w:type="spellEnd"/>
      <w:r w:rsidRPr="0045227B">
        <w:rPr>
          <w:i/>
          <w:iCs/>
          <w:color w:val="000000"/>
          <w:lang w:val="es-AR"/>
        </w:rPr>
        <w:t xml:space="preserve"> and </w:t>
      </w:r>
      <w:proofErr w:type="spellStart"/>
      <w:r w:rsidRPr="0045227B">
        <w:rPr>
          <w:i/>
          <w:iCs/>
          <w:color w:val="000000"/>
          <w:lang w:val="es-AR"/>
        </w:rPr>
        <w:t>Cognition</w:t>
      </w:r>
      <w:proofErr w:type="spellEnd"/>
      <w:r w:rsidRPr="0045227B">
        <w:rPr>
          <w:i/>
          <w:iCs/>
          <w:color w:val="000000"/>
          <w:lang w:val="es-AR"/>
        </w:rPr>
        <w:t>, 30</w:t>
      </w:r>
      <w:r w:rsidRPr="006E4636">
        <w:rPr>
          <w:color w:val="000000"/>
          <w:lang w:val="es-AR"/>
        </w:rPr>
        <w:t>(5), 779-788.</w:t>
      </w:r>
    </w:p>
    <w:p w14:paraId="40005D2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rPr>
        <w:lastRenderedPageBreak/>
        <w:t>Reinoso Castillo, I. R., &amp;</w:t>
      </w:r>
      <w:r>
        <w:rPr>
          <w:color w:val="000000"/>
        </w:rPr>
        <w:t xml:space="preserve"> </w:t>
      </w:r>
      <w:proofErr w:type="spellStart"/>
      <w:r w:rsidRPr="00A10761">
        <w:rPr>
          <w:color w:val="000000"/>
        </w:rPr>
        <w:t>Hernandez</w:t>
      </w:r>
      <w:proofErr w:type="spellEnd"/>
      <w:r w:rsidRPr="00A10761">
        <w:rPr>
          <w:color w:val="000000"/>
        </w:rPr>
        <w:t xml:space="preserve"> Martín, J. C., (2011). La perspectiva de género en la educación. </w:t>
      </w:r>
      <w:r w:rsidRPr="0045227B">
        <w:rPr>
          <w:i/>
          <w:iCs/>
          <w:color w:val="000000"/>
          <w:lang w:val="es-AR"/>
        </w:rPr>
        <w:t>Cuadernos de Educación y Desarrollo, 3</w:t>
      </w:r>
      <w:r w:rsidRPr="006E4636">
        <w:rPr>
          <w:color w:val="000000"/>
          <w:lang w:val="es-AR"/>
        </w:rPr>
        <w:t>(27), 1-11.</w:t>
      </w:r>
    </w:p>
    <w:p w14:paraId="6902EE8B" w14:textId="77777777" w:rsidR="00C913F3" w:rsidRPr="0045227B" w:rsidRDefault="00C913F3" w:rsidP="00C913F3">
      <w:pPr>
        <w:pBdr>
          <w:top w:val="nil"/>
          <w:left w:val="nil"/>
          <w:bottom w:val="nil"/>
          <w:right w:val="nil"/>
          <w:between w:val="nil"/>
        </w:pBdr>
        <w:ind w:hanging="720"/>
        <w:jc w:val="both"/>
      </w:pPr>
      <w:r w:rsidRPr="0045227B">
        <w:t>República Argentina - Poder Ejecutivo Nacional. (2024, 15 de septiembre). </w:t>
      </w:r>
      <w:r w:rsidRPr="0045227B">
        <w:rPr>
          <w:i/>
          <w:iCs/>
        </w:rPr>
        <w:t>Proyecto de Ley de Presupuesto General de la Administración Pública Nacional para el ejercicio fiscal del año 2025</w:t>
      </w:r>
      <w:r w:rsidRPr="0045227B">
        <w:t xml:space="preserve"> </w:t>
      </w:r>
      <w:hyperlink r:id="rId15" w:history="1">
        <w:r w:rsidRPr="0045227B">
          <w:rPr>
            <w:rStyle w:val="Hipervnculo"/>
          </w:rPr>
          <w:t>https://www4.hcdn.gob.ar/dependencias/dsecretaria/Periodo2024/PDF2024/TP2024/4PROYECTODELEY.pdf</w:t>
        </w:r>
      </w:hyperlink>
    </w:p>
    <w:p w14:paraId="308645FB" w14:textId="77777777" w:rsidR="00C913F3" w:rsidRPr="006E4636" w:rsidRDefault="00C913F3" w:rsidP="00C913F3">
      <w:pPr>
        <w:pBdr>
          <w:top w:val="nil"/>
          <w:left w:val="nil"/>
          <w:bottom w:val="nil"/>
          <w:right w:val="nil"/>
          <w:between w:val="nil"/>
        </w:pBdr>
        <w:ind w:hanging="720"/>
        <w:jc w:val="both"/>
        <w:rPr>
          <w:color w:val="000000"/>
          <w:lang w:val="en-US"/>
        </w:rPr>
      </w:pPr>
      <w:r w:rsidRPr="00A10761">
        <w:rPr>
          <w:color w:val="000000"/>
        </w:rPr>
        <w:t xml:space="preserve">Sorondo, J., &amp; </w:t>
      </w:r>
      <w:proofErr w:type="spellStart"/>
      <w:r w:rsidRPr="00A10761">
        <w:rPr>
          <w:color w:val="000000"/>
        </w:rPr>
        <w:t>Abramowski</w:t>
      </w:r>
      <w:proofErr w:type="spellEnd"/>
      <w:r w:rsidRPr="00A10761">
        <w:rPr>
          <w:color w:val="000000"/>
        </w:rPr>
        <w:t xml:space="preserve">, A. L. (2022). Las emociones en la Educación Sexual Integral y la Educación Emocional. Tensiones y entrecruzamientos en el marco de un ethos </w:t>
      </w:r>
      <w:proofErr w:type="spellStart"/>
      <w:r w:rsidRPr="00A10761">
        <w:rPr>
          <w:color w:val="000000"/>
        </w:rPr>
        <w:t>epocal</w:t>
      </w:r>
      <w:proofErr w:type="spellEnd"/>
      <w:r w:rsidRPr="00A10761">
        <w:rPr>
          <w:color w:val="000000"/>
        </w:rPr>
        <w:t xml:space="preserve"> </w:t>
      </w:r>
      <w:proofErr w:type="spellStart"/>
      <w:r w:rsidRPr="00A10761">
        <w:rPr>
          <w:color w:val="000000"/>
        </w:rPr>
        <w:t>emocionalizado</w:t>
      </w:r>
      <w:proofErr w:type="spellEnd"/>
      <w:r w:rsidRPr="00A10761">
        <w:rPr>
          <w:color w:val="000000"/>
        </w:rPr>
        <w:t xml:space="preserve">. </w:t>
      </w:r>
      <w:proofErr w:type="spellStart"/>
      <w:r w:rsidRPr="0045227B">
        <w:rPr>
          <w:i/>
          <w:iCs/>
          <w:color w:val="000000"/>
          <w:lang w:val="en-US"/>
        </w:rPr>
        <w:t>Revista</w:t>
      </w:r>
      <w:proofErr w:type="spellEnd"/>
      <w:r w:rsidRPr="0045227B">
        <w:rPr>
          <w:i/>
          <w:iCs/>
          <w:color w:val="000000"/>
          <w:lang w:val="en-US"/>
        </w:rPr>
        <w:t xml:space="preserve"> de </w:t>
      </w:r>
      <w:proofErr w:type="spellStart"/>
      <w:r w:rsidRPr="0045227B">
        <w:rPr>
          <w:i/>
          <w:iCs/>
          <w:color w:val="000000"/>
          <w:lang w:val="en-US"/>
        </w:rPr>
        <w:t>Educación</w:t>
      </w:r>
      <w:proofErr w:type="spellEnd"/>
      <w:r w:rsidRPr="0045227B">
        <w:rPr>
          <w:i/>
          <w:iCs/>
          <w:color w:val="000000"/>
          <w:lang w:val="en-US"/>
        </w:rPr>
        <w:t>, 25</w:t>
      </w:r>
      <w:r>
        <w:rPr>
          <w:color w:val="000000"/>
          <w:lang w:val="en-US"/>
        </w:rPr>
        <w:t>(</w:t>
      </w:r>
      <w:r w:rsidRPr="006E4636">
        <w:rPr>
          <w:color w:val="000000"/>
          <w:lang w:val="en-US"/>
        </w:rPr>
        <w:t>1), 29-62.</w:t>
      </w:r>
    </w:p>
    <w:p w14:paraId="2A376ED9"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Trabasso</w:t>
      </w:r>
      <w:proofErr w:type="spellEnd"/>
      <w:r w:rsidRPr="00A10761">
        <w:rPr>
          <w:color w:val="000000"/>
          <w:lang w:val="en-US"/>
        </w:rPr>
        <w:t xml:space="preserve">, T. &amp; Sperry, L. L. (1985). Causal relatedness and importance of story events. Journal of </w:t>
      </w:r>
      <w:r w:rsidRPr="0045227B">
        <w:rPr>
          <w:i/>
          <w:iCs/>
          <w:color w:val="000000"/>
          <w:lang w:val="en-US"/>
        </w:rPr>
        <w:t>Memory and Language,24</w:t>
      </w:r>
      <w:r>
        <w:rPr>
          <w:color w:val="000000"/>
          <w:lang w:val="en-US"/>
        </w:rPr>
        <w:t xml:space="preserve"> </w:t>
      </w:r>
      <w:r w:rsidRPr="00A10761">
        <w:rPr>
          <w:color w:val="000000"/>
          <w:lang w:val="en-US"/>
        </w:rPr>
        <w:t>(5), 595-611.https://doi.org/10.1016/0749-596X(85)90048-8</w:t>
      </w:r>
    </w:p>
    <w:p w14:paraId="2BA44B4E"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UNESCO (2019). </w:t>
      </w:r>
      <w:r w:rsidRPr="0011776F">
        <w:rPr>
          <w:i/>
          <w:iCs/>
          <w:lang w:val="en-US"/>
        </w:rPr>
        <w:t>From ideas to action: addressing barriers to comprehensive sexuality in the classroom</w:t>
      </w:r>
      <w:r w:rsidRPr="0011776F">
        <w:rPr>
          <w:lang w:val="en-US"/>
        </w:rPr>
        <w:t>. https://unesdoc.unesco.org/ark:/48223/pf0000371091</w:t>
      </w:r>
    </w:p>
    <w:p w14:paraId="58E9CC52"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UNFPA (2014). </w:t>
      </w:r>
      <w:r w:rsidRPr="0011776F">
        <w:rPr>
          <w:i/>
          <w:iCs/>
          <w:lang w:val="en-US"/>
        </w:rPr>
        <w:t>Operational guidance for comprehensive sexuality education. A Focus on Human Rights and Gender</w:t>
      </w:r>
      <w:r w:rsidRPr="0011776F">
        <w:rPr>
          <w:lang w:val="en-US"/>
        </w:rPr>
        <w:t>. https://www.unfpa.org/sites/default/files/pub-pdf/UNFPA_OperationalGuidance_WEB3_0.pdf</w:t>
      </w:r>
    </w:p>
    <w:p w14:paraId="1C504F97" w14:textId="77777777" w:rsidR="00C913F3" w:rsidRPr="0011776F" w:rsidRDefault="00C913F3" w:rsidP="00C913F3">
      <w:pPr>
        <w:pBdr>
          <w:top w:val="nil"/>
          <w:left w:val="nil"/>
          <w:bottom w:val="nil"/>
          <w:right w:val="nil"/>
          <w:between w:val="nil"/>
        </w:pBdr>
        <w:ind w:hanging="720"/>
        <w:jc w:val="both"/>
      </w:pPr>
      <w:proofErr w:type="spellStart"/>
      <w:r w:rsidRPr="0011776F">
        <w:t>Unidiversidad</w:t>
      </w:r>
      <w:proofErr w:type="spellEnd"/>
      <w:r w:rsidRPr="0011776F">
        <w:t xml:space="preserve">. (22 de abril de 2025). </w:t>
      </w:r>
      <w:r w:rsidRPr="0011776F">
        <w:rPr>
          <w:i/>
          <w:iCs/>
        </w:rPr>
        <w:t>Una biblioteca virtual resguarda los materiales de ESI que el gobierno dio de baja</w:t>
      </w:r>
      <w:r w:rsidRPr="0011776F">
        <w:t>. </w:t>
      </w:r>
      <w:hyperlink r:id="rId16" w:history="1">
        <w:r w:rsidRPr="0011776F">
          <w:rPr>
            <w:rStyle w:val="Hipervnculo"/>
          </w:rPr>
          <w:t>https://www.unidiversidad.com.ar/una-biblioteca-virtual-resguarda-los-materiales-de-esi-que-el-gobierno-dio-de-baja</w:t>
        </w:r>
      </w:hyperlink>
    </w:p>
    <w:p w14:paraId="500A199D"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World Health Organization (2015). </w:t>
      </w:r>
      <w:r w:rsidRPr="0011776F">
        <w:rPr>
          <w:i/>
          <w:iCs/>
          <w:lang w:val="en-US"/>
        </w:rPr>
        <w:t>Sexual health, human rights and the law.</w:t>
      </w:r>
      <w:r w:rsidRPr="0011776F">
        <w:rPr>
          <w:lang w:val="en-US"/>
        </w:rPr>
        <w:t xml:space="preserve"> https://apps.who.int/iris/bitstream/handle/10665/175556/9789241564984_ eng.pdf</w:t>
      </w:r>
    </w:p>
    <w:p w14:paraId="2E8579FF"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lang w:val="en-US"/>
        </w:rPr>
        <w:t xml:space="preserve">Zwaan, R. A. &amp; Radvansky, G. A. (1998). Situation models in language comprehension and memory. </w:t>
      </w:r>
      <w:proofErr w:type="spellStart"/>
      <w:r w:rsidRPr="0045227B">
        <w:rPr>
          <w:i/>
          <w:iCs/>
          <w:color w:val="000000"/>
        </w:rPr>
        <w:t>Psychological</w:t>
      </w:r>
      <w:proofErr w:type="spellEnd"/>
      <w:r w:rsidRPr="0045227B">
        <w:rPr>
          <w:i/>
          <w:iCs/>
          <w:color w:val="000000"/>
        </w:rPr>
        <w:t xml:space="preserve"> </w:t>
      </w:r>
      <w:proofErr w:type="spellStart"/>
      <w:r w:rsidRPr="0045227B">
        <w:rPr>
          <w:i/>
          <w:iCs/>
          <w:color w:val="000000"/>
        </w:rPr>
        <w:t>Bulletin</w:t>
      </w:r>
      <w:proofErr w:type="spellEnd"/>
      <w:r w:rsidRPr="0045227B">
        <w:rPr>
          <w:i/>
          <w:iCs/>
          <w:color w:val="000000"/>
        </w:rPr>
        <w:t>, 123</w:t>
      </w:r>
      <w:r w:rsidRPr="00A10761">
        <w:rPr>
          <w:color w:val="000000"/>
        </w:rPr>
        <w:t>(2), 162. https://doi.org/10.1037/0033- 2909.123.2.16</w:t>
      </w:r>
    </w:p>
    <w:p w14:paraId="51A5FCEF" w14:textId="77777777" w:rsidR="00C913F3" w:rsidRDefault="00C913F3" w:rsidP="00C913F3">
      <w:pPr>
        <w:pBdr>
          <w:top w:val="nil"/>
          <w:left w:val="nil"/>
          <w:bottom w:val="nil"/>
          <w:right w:val="nil"/>
          <w:between w:val="nil"/>
        </w:pBdr>
        <w:spacing w:line="360" w:lineRule="auto"/>
        <w:ind w:firstLine="708"/>
        <w:jc w:val="both"/>
        <w:rPr>
          <w:color w:val="000000"/>
        </w:rPr>
      </w:pPr>
    </w:p>
    <w:p w14:paraId="67E539BC" w14:textId="77777777" w:rsidR="00C913F3" w:rsidRDefault="00C913F3" w:rsidP="00C913F3">
      <w:pPr>
        <w:pBdr>
          <w:top w:val="nil"/>
          <w:left w:val="nil"/>
          <w:bottom w:val="nil"/>
          <w:right w:val="nil"/>
          <w:between w:val="nil"/>
        </w:pBdr>
        <w:spacing w:line="360" w:lineRule="auto"/>
        <w:ind w:firstLine="708"/>
        <w:jc w:val="both"/>
        <w:rPr>
          <w:color w:val="000000"/>
        </w:rPr>
      </w:pPr>
    </w:p>
    <w:p w14:paraId="5FE4C420" w14:textId="77777777" w:rsidR="00C913F3" w:rsidRDefault="00C913F3" w:rsidP="00C913F3">
      <w:pPr>
        <w:pBdr>
          <w:top w:val="nil"/>
          <w:left w:val="nil"/>
          <w:bottom w:val="nil"/>
          <w:right w:val="nil"/>
          <w:between w:val="nil"/>
        </w:pBdr>
        <w:spacing w:line="360" w:lineRule="auto"/>
        <w:ind w:left="360"/>
        <w:jc w:val="both"/>
        <w:rPr>
          <w:color w:val="000000"/>
        </w:rPr>
      </w:pPr>
    </w:p>
    <w:p w14:paraId="44D095A3" w14:textId="77777777" w:rsidR="00C913F3" w:rsidRDefault="00C913F3"/>
    <w:sectPr w:rsidR="00C913F3" w:rsidSect="00C913F3">
      <w:headerReference w:type="even" r:id="rId17"/>
      <w:headerReference w:type="default" r:id="rId18"/>
      <w:footerReference w:type="even"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EF38" w14:textId="77777777" w:rsidR="000F31EB" w:rsidRDefault="000F31EB">
      <w:r>
        <w:separator/>
      </w:r>
    </w:p>
  </w:endnote>
  <w:endnote w:type="continuationSeparator" w:id="0">
    <w:p w14:paraId="2003E99E" w14:textId="77777777" w:rsidR="000F31EB" w:rsidRDefault="000F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3433" w14:textId="77777777" w:rsidR="000908A7" w:rsidRDefault="000908A7">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23F533B0"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7CCC"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3394691D"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02F3" w14:textId="77777777" w:rsidR="000F31EB" w:rsidRDefault="000F31EB">
      <w:r>
        <w:separator/>
      </w:r>
    </w:p>
  </w:footnote>
  <w:footnote w:type="continuationSeparator" w:id="0">
    <w:p w14:paraId="4AA0CFA5" w14:textId="77777777" w:rsidR="000F31EB" w:rsidRDefault="000F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630D" w14:textId="77777777" w:rsidR="000908A7" w:rsidRDefault="000908A7">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55D0" w14:textId="77777777" w:rsidR="000908A7" w:rsidRDefault="000908A7">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9264" behindDoc="0" locked="0" layoutInCell="1" hidden="0" allowOverlap="1" wp14:anchorId="64CC3B50" wp14:editId="0A0C6334">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0EFFE14" w14:textId="77777777" w:rsidR="000908A7" w:rsidRDefault="000908A7">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9EB"/>
    <w:multiLevelType w:val="multilevel"/>
    <w:tmpl w:val="58A0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82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F3"/>
    <w:rsid w:val="000908A7"/>
    <w:rsid w:val="000F31EB"/>
    <w:rsid w:val="002339E9"/>
    <w:rsid w:val="0049608B"/>
    <w:rsid w:val="004D23DC"/>
    <w:rsid w:val="0070319A"/>
    <w:rsid w:val="00A134B9"/>
    <w:rsid w:val="00C913F3"/>
    <w:rsid w:val="00CB4075"/>
    <w:rsid w:val="00F576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D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F3"/>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C9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13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13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13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13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13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13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13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13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13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13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13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13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13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13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13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13F3"/>
    <w:rPr>
      <w:rFonts w:eastAsiaTheme="majorEastAsia" w:cstheme="majorBidi"/>
      <w:color w:val="272727" w:themeColor="text1" w:themeTint="D8"/>
    </w:rPr>
  </w:style>
  <w:style w:type="paragraph" w:styleId="Ttulo">
    <w:name w:val="Title"/>
    <w:basedOn w:val="Normal"/>
    <w:next w:val="Normal"/>
    <w:link w:val="TtuloCar"/>
    <w:uiPriority w:val="10"/>
    <w:qFormat/>
    <w:rsid w:val="00C913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13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13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13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13F3"/>
    <w:pPr>
      <w:spacing w:before="160"/>
      <w:jc w:val="center"/>
    </w:pPr>
    <w:rPr>
      <w:i/>
      <w:iCs/>
      <w:color w:val="404040" w:themeColor="text1" w:themeTint="BF"/>
    </w:rPr>
  </w:style>
  <w:style w:type="character" w:customStyle="1" w:styleId="CitaCar">
    <w:name w:val="Cita Car"/>
    <w:basedOn w:val="Fuentedeprrafopredeter"/>
    <w:link w:val="Cita"/>
    <w:uiPriority w:val="29"/>
    <w:rsid w:val="00C913F3"/>
    <w:rPr>
      <w:i/>
      <w:iCs/>
      <w:color w:val="404040" w:themeColor="text1" w:themeTint="BF"/>
    </w:rPr>
  </w:style>
  <w:style w:type="paragraph" w:styleId="Prrafodelista">
    <w:name w:val="List Paragraph"/>
    <w:basedOn w:val="Normal"/>
    <w:uiPriority w:val="34"/>
    <w:qFormat/>
    <w:rsid w:val="00C913F3"/>
    <w:pPr>
      <w:ind w:left="720"/>
      <w:contextualSpacing/>
    </w:pPr>
  </w:style>
  <w:style w:type="character" w:styleId="nfasisintenso">
    <w:name w:val="Intense Emphasis"/>
    <w:basedOn w:val="Fuentedeprrafopredeter"/>
    <w:uiPriority w:val="21"/>
    <w:qFormat/>
    <w:rsid w:val="00C913F3"/>
    <w:rPr>
      <w:i/>
      <w:iCs/>
      <w:color w:val="0F4761" w:themeColor="accent1" w:themeShade="BF"/>
    </w:rPr>
  </w:style>
  <w:style w:type="paragraph" w:styleId="Citadestacada">
    <w:name w:val="Intense Quote"/>
    <w:basedOn w:val="Normal"/>
    <w:next w:val="Normal"/>
    <w:link w:val="CitadestacadaCar"/>
    <w:uiPriority w:val="30"/>
    <w:qFormat/>
    <w:rsid w:val="00C9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13F3"/>
    <w:rPr>
      <w:i/>
      <w:iCs/>
      <w:color w:val="0F4761" w:themeColor="accent1" w:themeShade="BF"/>
    </w:rPr>
  </w:style>
  <w:style w:type="character" w:styleId="Referenciaintensa">
    <w:name w:val="Intense Reference"/>
    <w:basedOn w:val="Fuentedeprrafopredeter"/>
    <w:uiPriority w:val="32"/>
    <w:qFormat/>
    <w:rsid w:val="00C913F3"/>
    <w:rPr>
      <w:b/>
      <w:bCs/>
      <w:smallCaps/>
      <w:color w:val="0F4761" w:themeColor="accent1" w:themeShade="BF"/>
      <w:spacing w:val="5"/>
    </w:rPr>
  </w:style>
  <w:style w:type="character" w:styleId="Hipervnculo">
    <w:name w:val="Hyperlink"/>
    <w:basedOn w:val="Fuentedeprrafopredeter"/>
    <w:uiPriority w:val="99"/>
    <w:unhideWhenUsed/>
    <w:rsid w:val="00C913F3"/>
    <w:rPr>
      <w:color w:val="0000FF"/>
      <w:u w:val="single"/>
    </w:rPr>
  </w:style>
  <w:style w:type="character" w:customStyle="1" w:styleId="apple-converted-space">
    <w:name w:val="apple-converted-space"/>
    <w:basedOn w:val="Fuentedeprrafopredeter"/>
    <w:qFormat/>
    <w:rsid w:val="00C913F3"/>
  </w:style>
  <w:style w:type="character" w:styleId="Refdecomentario">
    <w:name w:val="annotation reference"/>
    <w:basedOn w:val="Fuentedeprrafopredeter"/>
    <w:uiPriority w:val="99"/>
    <w:semiHidden/>
    <w:unhideWhenUsed/>
    <w:rsid w:val="00C913F3"/>
    <w:rPr>
      <w:sz w:val="16"/>
      <w:szCs w:val="16"/>
    </w:rPr>
  </w:style>
  <w:style w:type="paragraph" w:styleId="Textocomentario">
    <w:name w:val="annotation text"/>
    <w:basedOn w:val="Normal"/>
    <w:link w:val="TextocomentarioCar"/>
    <w:uiPriority w:val="99"/>
    <w:unhideWhenUsed/>
    <w:rsid w:val="00C913F3"/>
    <w:rPr>
      <w:sz w:val="20"/>
      <w:szCs w:val="20"/>
    </w:rPr>
  </w:style>
  <w:style w:type="character" w:customStyle="1" w:styleId="TextocomentarioCar">
    <w:name w:val="Texto comentario Car"/>
    <w:basedOn w:val="Fuentedeprrafopredeter"/>
    <w:link w:val="Textocomentario"/>
    <w:uiPriority w:val="99"/>
    <w:rsid w:val="00C913F3"/>
    <w:rPr>
      <w:rFonts w:ascii="Times New Roman" w:eastAsia="Times New Roman" w:hAnsi="Times New Roman" w:cs="Times New Roman"/>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cseducacion.unr.edu.ar/index.php/educacion/article/view/879" TargetMode="External"/><Relationship Id="rId13" Type="http://schemas.openxmlformats.org/officeDocument/2006/relationships/hyperlink" Target="https://trabajosocialunam.wordpress.com/wp-content/uploads/2015/01/la-teorc3ada-del-aprendizaje-siginificativo.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rgentina.gob.ar/sites/default/files/ley-de-educ-nac-58ac89392ea4c.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idiversidad.com.ar/una-biblioteca-virtual-resguarda-los-materiales-de-esi-que-el-gobierno-dio-de-baj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ios.infoleg.gob.ar/infolegInternet/anexos/110000-114999/110778/norma.htm" TargetMode="External"/><Relationship Id="rId5" Type="http://schemas.openxmlformats.org/officeDocument/2006/relationships/footnotes" Target="footnotes.xml"/><Relationship Id="rId15" Type="http://schemas.openxmlformats.org/officeDocument/2006/relationships/hyperlink" Target="https://www4.hcdn.gob.ar/dependencias/dsecretaria/Periodo2024/PDF2024/TP2024/4PROYECTODELEY.pdf" TargetMode="External"/><Relationship Id="rId10" Type="http://schemas.openxmlformats.org/officeDocument/2006/relationships/hyperlink" Target="https://www.boletinoficial.gob.ar/detalleAviso/primera/239807/202101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rgentina.gob.ar/normativa/nacional/ley-26150-121222/texto" TargetMode="External"/><Relationship Id="rId14" Type="http://schemas.openxmlformats.org/officeDocument/2006/relationships/hyperlink" Target="https://bibliotecadigital.udea.edu.co/entities/publication/04714af9-e016-4340-8b21-b8a30df326d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8274</Words>
  <Characters>47579</Characters>
  <Application>Microsoft Office Word</Application>
  <DocSecurity>0</DocSecurity>
  <Lines>720</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2025-04-30T00:23:00Z</dcterms:created>
  <dcterms:modified xsi:type="dcterms:W3CDTF">2025-08-21T22:00:00Z</dcterms:modified>
</cp:coreProperties>
</file>