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6E404" w14:textId="7DAAF085" w:rsidR="0010019E" w:rsidRPr="00F672AB" w:rsidRDefault="005B16EC" w:rsidP="008E1C7A">
      <w:pPr>
        <w:pBdr>
          <w:top w:val="nil"/>
          <w:left w:val="nil"/>
          <w:bottom w:val="nil"/>
          <w:right w:val="nil"/>
          <w:between w:val="nil"/>
        </w:pBdr>
        <w:jc w:val="center"/>
        <w:rPr>
          <w:b/>
          <w:lang w:val="en-US"/>
        </w:rPr>
      </w:pPr>
      <w:r w:rsidRPr="00F672AB">
        <w:rPr>
          <w:b/>
          <w:color w:val="000000"/>
          <w:sz w:val="36"/>
          <w:szCs w:val="36"/>
          <w:lang w:val="en-US"/>
        </w:rPr>
        <w:t xml:space="preserve"> </w:t>
      </w:r>
      <w:r w:rsidR="008E1C7A" w:rsidRPr="00746436">
        <w:rPr>
          <w:b/>
          <w:color w:val="000000"/>
          <w:sz w:val="36"/>
          <w:szCs w:val="36"/>
          <w:lang w:val="en-US"/>
        </w:rPr>
        <w:t>Oncology Patients and Their Caregivers Through an Intersectional Lens in Puerto Rico: An Analysis of Sociodemographic and Clinical Inequities</w:t>
      </w:r>
    </w:p>
    <w:p w14:paraId="3213216C" w14:textId="77777777" w:rsidR="0010019E" w:rsidRPr="00F672AB" w:rsidRDefault="005B16EC">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381C93D6" wp14:editId="3B6051AF">
                <wp:simplePos x="0" y="0"/>
                <wp:positionH relativeFrom="column">
                  <wp:posOffset>1</wp:posOffset>
                </wp:positionH>
                <wp:positionV relativeFrom="paragraph">
                  <wp:posOffset>55896</wp:posOffset>
                </wp:positionV>
                <wp:extent cx="6172200" cy="25400"/>
                <wp:effectExtent l="0" t="0" r="0" b="0"/>
                <wp:wrapNone/>
                <wp:docPr id="23" name="Straight Arrow Connector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4294967295" distB="4294967295" distL="114300" distR="114300" simplePos="0" relativeHeight="0" behindDoc="0" locked="0" layoutInCell="1" hidden="0" allowOverlap="1">
                <wp:simplePos x="0" y="0"/>
                <wp:positionH relativeFrom="column">
                  <wp:posOffset>1</wp:posOffset>
                </wp:positionH>
                <wp:positionV relativeFrom="paragraph">
                  <wp:posOffset>55896</wp:posOffset>
                </wp:positionV>
                <wp:extent cx="6172200" cy="25400"/>
                <wp:effectExtent l="0" t="0" r="0" b="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22F5E81B" w14:textId="77777777" w:rsidR="0010019E" w:rsidRPr="00F672AB" w:rsidRDefault="0010019E">
      <w:pPr>
        <w:rPr>
          <w:b/>
          <w:sz w:val="20"/>
          <w:szCs w:val="20"/>
          <w:lang w:val="en-US"/>
        </w:rPr>
      </w:pPr>
    </w:p>
    <w:p w14:paraId="4ED60C4E" w14:textId="77777777" w:rsidR="0010019E" w:rsidRPr="00F672AB" w:rsidRDefault="005B16EC">
      <w:pPr>
        <w:pBdr>
          <w:top w:val="nil"/>
          <w:left w:val="nil"/>
          <w:bottom w:val="nil"/>
          <w:right w:val="nil"/>
          <w:between w:val="nil"/>
        </w:pBdr>
        <w:spacing w:after="120"/>
        <w:jc w:val="center"/>
        <w:rPr>
          <w:b/>
          <w:smallCaps/>
          <w:color w:val="000000"/>
          <w:sz w:val="20"/>
          <w:szCs w:val="20"/>
          <w:lang w:val="en-US"/>
        </w:rPr>
      </w:pPr>
      <w:r w:rsidRPr="00F672AB">
        <w:rPr>
          <w:b/>
          <w:smallCaps/>
          <w:color w:val="000000"/>
          <w:sz w:val="20"/>
          <w:szCs w:val="20"/>
          <w:lang w:val="en-US"/>
        </w:rPr>
        <w:t>Abstract</w:t>
      </w:r>
    </w:p>
    <w:p w14:paraId="7825E0DD" w14:textId="64EFADBD" w:rsidR="0010019E" w:rsidRPr="00F672AB" w:rsidRDefault="00F672AB">
      <w:pPr>
        <w:rPr>
          <w:sz w:val="20"/>
          <w:szCs w:val="20"/>
          <w:lang w:val="en-US"/>
        </w:rPr>
      </w:pPr>
      <w:r w:rsidRPr="00F672AB">
        <w:rPr>
          <w:sz w:val="20"/>
          <w:szCs w:val="20"/>
          <w:lang w:val="en-US"/>
        </w:rPr>
        <w:t xml:space="preserve">Cancer represents both a medical and psychosocial challenge, with patients and caregivers facing not only the physical demands of the illness but also significant emotional distress. This study examined the association between gender, perceived income sufficiency, cancer stage, and psychological distress among cancer patients and caregivers through an intersectionality framework. We hypothesized that female participants, individuals perceiving their income as insufficient, and patients with advanced-stage cancer would report higher levels of anxiety and depression. A secondary cross-sectional analysis was conducted using 2022 data, with anxiety and depression assessed through the Hospital Anxiety and Depression Scale (HADS). Mann-Whitney U tests compared psychological distress across groups. Results indicated that women reported significantly higher anxiety and depression scores than men. Participants perceiving their income as insufficient and patients with advanced-stage cancer exhibited significantly higher anxiety, but depression differences were only significant between genders. These findings highlight the compounded impact of gender and financial vulnerability on emotional distress and support intersectionality as a guiding framework in psycho-oncology. Clinical implications include the need to integrate perceived financial hardship and gender-related risk screening into psychosocial assessments to better identify patients and caregivers at elevated risk for psychological morbidity. </w:t>
      </w:r>
    </w:p>
    <w:p w14:paraId="6030659C" w14:textId="77777777" w:rsidR="0010019E" w:rsidRPr="00F672AB" w:rsidRDefault="005B16EC">
      <w:pPr>
        <w:rPr>
          <w:b/>
          <w:sz w:val="20"/>
          <w:szCs w:val="20"/>
          <w:lang w:val="en-US"/>
        </w:rPr>
      </w:pPr>
      <w:r w:rsidRPr="00F672AB">
        <w:rPr>
          <w:b/>
          <w:sz w:val="20"/>
          <w:szCs w:val="20"/>
          <w:lang w:val="en-US"/>
        </w:rPr>
        <w:t>Keywords</w:t>
      </w:r>
    </w:p>
    <w:p w14:paraId="3BB6FE18" w14:textId="429DC3B5" w:rsidR="0010019E" w:rsidRPr="00F672AB" w:rsidRDefault="00F672AB">
      <w:pPr>
        <w:jc w:val="both"/>
        <w:rPr>
          <w:sz w:val="20"/>
          <w:szCs w:val="20"/>
          <w:lang w:val="en-US"/>
        </w:rPr>
      </w:pPr>
      <w:r>
        <w:rPr>
          <w:sz w:val="20"/>
          <w:szCs w:val="20"/>
          <w:lang w:val="en-US"/>
        </w:rPr>
        <w:t>Cancer</w:t>
      </w:r>
      <w:r w:rsidRPr="00F672AB">
        <w:rPr>
          <w:sz w:val="20"/>
          <w:szCs w:val="20"/>
          <w:lang w:val="en-US"/>
        </w:rPr>
        <w:t xml:space="preserve">; </w:t>
      </w:r>
      <w:r>
        <w:rPr>
          <w:sz w:val="20"/>
          <w:szCs w:val="20"/>
          <w:lang w:val="en-US"/>
        </w:rPr>
        <w:t>Anxiety</w:t>
      </w:r>
      <w:r w:rsidRPr="00F672AB">
        <w:rPr>
          <w:sz w:val="20"/>
          <w:szCs w:val="20"/>
          <w:lang w:val="en-US"/>
        </w:rPr>
        <w:t xml:space="preserve">; </w:t>
      </w:r>
      <w:r>
        <w:rPr>
          <w:sz w:val="20"/>
          <w:szCs w:val="20"/>
          <w:lang w:val="en-US"/>
        </w:rPr>
        <w:t>Depression</w:t>
      </w:r>
      <w:r w:rsidRPr="00F672AB">
        <w:rPr>
          <w:sz w:val="20"/>
          <w:szCs w:val="20"/>
          <w:lang w:val="en-US"/>
        </w:rPr>
        <w:t xml:space="preserve">; </w:t>
      </w:r>
      <w:r>
        <w:rPr>
          <w:sz w:val="20"/>
          <w:szCs w:val="20"/>
          <w:lang w:val="en-US"/>
        </w:rPr>
        <w:t>Intersectionality</w:t>
      </w:r>
      <w:r w:rsidRPr="00F672AB">
        <w:rPr>
          <w:sz w:val="20"/>
          <w:szCs w:val="20"/>
          <w:lang w:val="en-US"/>
        </w:rPr>
        <w:t xml:space="preserve">; </w:t>
      </w:r>
      <w:r>
        <w:rPr>
          <w:sz w:val="20"/>
          <w:szCs w:val="20"/>
          <w:lang w:val="en-US"/>
        </w:rPr>
        <w:t>Caregivers</w:t>
      </w:r>
    </w:p>
    <w:p w14:paraId="763EB230" w14:textId="77777777" w:rsidR="0010019E" w:rsidRPr="00F672AB" w:rsidRDefault="0010019E">
      <w:pPr>
        <w:jc w:val="both"/>
        <w:rPr>
          <w:sz w:val="20"/>
          <w:szCs w:val="20"/>
          <w:lang w:val="en-US"/>
        </w:rPr>
      </w:pPr>
    </w:p>
    <w:p w14:paraId="5E46C29D" w14:textId="6D6B811E" w:rsidR="0010019E" w:rsidRDefault="005B16EC">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5F1FCD07" w14:textId="2FE59C6E" w:rsidR="0010019E" w:rsidRDefault="00F672AB">
      <w:pPr>
        <w:rPr>
          <w:sz w:val="20"/>
          <w:szCs w:val="20"/>
        </w:rPr>
      </w:pPr>
      <w:r w:rsidRPr="00F672AB">
        <w:rPr>
          <w:sz w:val="20"/>
          <w:szCs w:val="20"/>
        </w:rPr>
        <w:t>El cáncer representa tanto un desafío médico como psicosocial, ya que los pacientes y cuidadores enfrentan no solo las demandas físicas de la enfermedad, sino también un importante grado de malestar emocional. Este estudio examinó la asociación entre el género, la percepción de suficiencia de ingresos, el estadio del cáncer y el malestar psicológico en pacientes oncológicos y sus cuidadores, utilizando un enfoque de interseccionalidad. Se hipotetizó que las mujeres, los participantes que percibieran sus ingresos como insuficientes y los pacientes con cáncer en estadio avanzado reportarían mayores niveles de ansiedad y depresión. Se realizó un análisis secundario de corte transversal utilizando datos recolectados en 2022, evaluando la ansiedad y la depresión mediante la Escala de Ansiedad y Depresión Hospitalaria (HADS). Se aplicaron pruebas U de Mann-Whitney para comparar los niveles de malestar psicológico entre grupos. Los resultados indicaron que las mujeres reportaron niveles significativamente mayores de ansiedad y depresión en comparación con los hombres. La percepción de ingresos insuficientes y el estadio avanzado de la enfermedad se asociaron con niveles más altos de ansiedad, aunque las diferencias en depresión solo fueron significativas por género. Estos hallazgos destacan el impacto compuesto de la vulnerabilidad de género y económica en el malestar emocional y respaldan el uso de la interseccionalidad en la psicooncología.</w:t>
      </w:r>
    </w:p>
    <w:p w14:paraId="62096BF8" w14:textId="33AADB34" w:rsidR="0010019E" w:rsidRDefault="005B16EC">
      <w:pPr>
        <w:jc w:val="both"/>
        <w:rPr>
          <w:b/>
          <w:sz w:val="20"/>
          <w:szCs w:val="20"/>
        </w:rPr>
      </w:pPr>
      <w:r>
        <w:rPr>
          <w:b/>
          <w:sz w:val="20"/>
          <w:szCs w:val="20"/>
        </w:rPr>
        <w:t>Palabras clave</w:t>
      </w:r>
    </w:p>
    <w:p w14:paraId="1E7FEE8D" w14:textId="3C5D3E0C" w:rsidR="0010019E" w:rsidRDefault="00F672AB">
      <w:pPr>
        <w:jc w:val="both"/>
        <w:rPr>
          <w:sz w:val="20"/>
          <w:szCs w:val="20"/>
        </w:rPr>
      </w:pPr>
      <w:r>
        <w:rPr>
          <w:sz w:val="20"/>
          <w:szCs w:val="20"/>
        </w:rPr>
        <w:t xml:space="preserve">Cáncer; Ansiedad; </w:t>
      </w:r>
      <w:r>
        <w:rPr>
          <w:noProof/>
        </w:rPr>
        <w:drawing>
          <wp:anchor distT="0" distB="0" distL="114300" distR="114300" simplePos="0" relativeHeight="251659264" behindDoc="0" locked="0" layoutInCell="1" hidden="0" allowOverlap="1" wp14:anchorId="792A7159" wp14:editId="6C4B6E2C">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r>
        <w:rPr>
          <w:sz w:val="20"/>
          <w:szCs w:val="20"/>
        </w:rPr>
        <w:t>Depresión; Interseccionalidad; Cuidadores</w:t>
      </w:r>
    </w:p>
    <w:p w14:paraId="2CEF4874" w14:textId="77777777" w:rsidR="0010019E" w:rsidRDefault="0010019E">
      <w:pPr>
        <w:rPr>
          <w:b/>
        </w:rPr>
      </w:pPr>
    </w:p>
    <w:p w14:paraId="72BB4A94" w14:textId="6CC81D7B" w:rsidR="0010019E" w:rsidRDefault="005B16EC">
      <w:pPr>
        <w:pBdr>
          <w:top w:val="nil"/>
          <w:left w:val="nil"/>
          <w:bottom w:val="nil"/>
          <w:right w:val="nil"/>
          <w:between w:val="nil"/>
        </w:pBdr>
        <w:jc w:val="center"/>
        <w:rPr>
          <w:color w:val="000000"/>
        </w:rPr>
      </w:pPr>
      <w:r>
        <w:br w:type="page"/>
      </w:r>
      <w:r w:rsidR="00F672AB">
        <w:rPr>
          <w:color w:val="000000"/>
        </w:rPr>
        <w:lastRenderedPageBreak/>
        <w:t xml:space="preserve"> </w:t>
      </w:r>
      <w:r w:rsidR="00D14059">
        <w:rPr>
          <w:color w:val="000000"/>
        </w:rPr>
        <w:t>P</w:t>
      </w:r>
      <w:r w:rsidR="00F672AB">
        <w:rPr>
          <w:color w:val="000000"/>
        </w:rPr>
        <w:t>acientes oncológicos y sus cuidadores</w:t>
      </w:r>
      <w:r w:rsidR="00D14059">
        <w:rPr>
          <w:color w:val="000000"/>
        </w:rPr>
        <w:t xml:space="preserve"> desde la interseccionalidad en Puerto Rico</w:t>
      </w:r>
      <w:r w:rsidR="00F672AB">
        <w:rPr>
          <w:color w:val="000000"/>
        </w:rPr>
        <w:t>: Un análisis de las inequidades sociodemográficas y clínicas</w:t>
      </w:r>
      <w:r w:rsidR="008E1C7A">
        <w:rPr>
          <w:color w:val="000000"/>
        </w:rPr>
        <w:t xml:space="preserve"> </w:t>
      </w:r>
    </w:p>
    <w:p w14:paraId="1628F1B3" w14:textId="77777777" w:rsidR="0010019E" w:rsidRPr="00F672AB" w:rsidRDefault="005B16EC" w:rsidP="00D14059">
      <w:pPr>
        <w:pBdr>
          <w:top w:val="nil"/>
          <w:left w:val="nil"/>
          <w:bottom w:val="nil"/>
          <w:right w:val="nil"/>
          <w:between w:val="nil"/>
        </w:pBdr>
        <w:spacing w:line="360" w:lineRule="auto"/>
        <w:rPr>
          <w:b/>
          <w:color w:val="000000"/>
          <w:lang w:val="en-US"/>
        </w:rPr>
      </w:pPr>
      <w:r w:rsidRPr="00F672AB">
        <w:rPr>
          <w:b/>
          <w:color w:val="000000"/>
          <w:lang w:val="en-US"/>
        </w:rPr>
        <w:t>Introduction</w:t>
      </w:r>
    </w:p>
    <w:p w14:paraId="3D8C8B30" w14:textId="77777777" w:rsidR="00D14059" w:rsidRPr="00D14059" w:rsidRDefault="00D14059" w:rsidP="00D14059">
      <w:pPr>
        <w:pBdr>
          <w:top w:val="nil"/>
          <w:left w:val="nil"/>
          <w:bottom w:val="nil"/>
          <w:right w:val="nil"/>
          <w:between w:val="nil"/>
        </w:pBdr>
        <w:spacing w:line="360" w:lineRule="auto"/>
        <w:ind w:firstLine="720"/>
        <w:rPr>
          <w:color w:val="000000" w:themeColor="text1"/>
          <w:lang w:val="en-US"/>
        </w:rPr>
      </w:pPr>
      <w:r w:rsidRPr="00D14059">
        <w:rPr>
          <w:color w:val="000000" w:themeColor="text1"/>
          <w:lang w:val="en-US"/>
        </w:rPr>
        <w:t>Cancer represents both a medical and psychosocial challenge, with patients and caregivers facing not only the physical demands of the illness but also significant emotional distress (</w:t>
      </w:r>
      <w:proofErr w:type="spellStart"/>
      <w:r w:rsidRPr="00D14059">
        <w:rPr>
          <w:color w:val="000000" w:themeColor="text1"/>
          <w:lang w:val="en-US"/>
        </w:rPr>
        <w:t>Wondimagegnehu</w:t>
      </w:r>
      <w:proofErr w:type="spellEnd"/>
      <w:r w:rsidRPr="00D14059">
        <w:rPr>
          <w:color w:val="000000" w:themeColor="text1"/>
          <w:lang w:val="en-US"/>
        </w:rPr>
        <w:t xml:space="preserve"> et al., 2024). This emotional burden can be exacerbated by various sociodemographic factors, such as gender, socioeconomic status, and race/ethnicity (</w:t>
      </w:r>
      <w:proofErr w:type="spellStart"/>
      <w:r w:rsidRPr="00D14059">
        <w:rPr>
          <w:color w:val="000000" w:themeColor="text1"/>
          <w:lang w:val="en-US"/>
        </w:rPr>
        <w:t>Shivappa</w:t>
      </w:r>
      <w:proofErr w:type="spellEnd"/>
      <w:r w:rsidRPr="00D14059">
        <w:rPr>
          <w:color w:val="000000" w:themeColor="text1"/>
          <w:lang w:val="en-US"/>
        </w:rPr>
        <w:t xml:space="preserve"> et al., 2024). The framework of intersectionality provides a valuable lens through which to understand how these multiple identities interact and contribute to health disparities (</w:t>
      </w:r>
      <w:proofErr w:type="spellStart"/>
      <w:r w:rsidRPr="00D14059">
        <w:rPr>
          <w:color w:val="000000" w:themeColor="text1"/>
          <w:lang w:val="en-US"/>
        </w:rPr>
        <w:t>Estupiñán</w:t>
      </w:r>
      <w:proofErr w:type="spellEnd"/>
      <w:r w:rsidRPr="00D14059">
        <w:rPr>
          <w:color w:val="000000" w:themeColor="text1"/>
          <w:lang w:val="en-US"/>
        </w:rPr>
        <w:t xml:space="preserve"> et al., 2025; Mosley et al., 2025). Intersectionality highlights the structural disadvantages that often amplify mental health inequities, particularly among marginalized groups (</w:t>
      </w:r>
      <w:proofErr w:type="spellStart"/>
      <w:r w:rsidRPr="00D14059">
        <w:rPr>
          <w:color w:val="000000" w:themeColor="text1"/>
          <w:lang w:val="en-US"/>
        </w:rPr>
        <w:t>Estupiñán</w:t>
      </w:r>
      <w:proofErr w:type="spellEnd"/>
      <w:r w:rsidRPr="00D14059">
        <w:rPr>
          <w:color w:val="000000" w:themeColor="text1"/>
          <w:lang w:val="en-US"/>
        </w:rPr>
        <w:t xml:space="preserve"> et al., 2025; </w:t>
      </w:r>
      <w:proofErr w:type="spellStart"/>
      <w:r w:rsidRPr="00D14059">
        <w:rPr>
          <w:color w:val="000000" w:themeColor="text1"/>
          <w:lang w:val="en-US"/>
        </w:rPr>
        <w:t>Funer</w:t>
      </w:r>
      <w:proofErr w:type="spellEnd"/>
      <w:r w:rsidRPr="00D14059">
        <w:rPr>
          <w:color w:val="000000" w:themeColor="text1"/>
          <w:lang w:val="en-US"/>
        </w:rPr>
        <w:t>, 2023). This paper examines how intersecting identities influence anxiety and depression outcomes in cancer patients and their caregivers, with an emphasis on gender, income perception, and cancer stage.</w:t>
      </w:r>
    </w:p>
    <w:p w14:paraId="53C48B06" w14:textId="77777777" w:rsidR="00D14059" w:rsidRPr="00D14059" w:rsidRDefault="00D14059" w:rsidP="00D14059">
      <w:pPr>
        <w:pBdr>
          <w:top w:val="nil"/>
          <w:left w:val="nil"/>
          <w:bottom w:val="nil"/>
          <w:right w:val="nil"/>
          <w:between w:val="nil"/>
        </w:pBdr>
        <w:spacing w:line="360" w:lineRule="auto"/>
        <w:ind w:firstLine="720"/>
        <w:rPr>
          <w:color w:val="000000" w:themeColor="text1"/>
          <w:lang w:val="en-US"/>
        </w:rPr>
      </w:pPr>
      <w:r w:rsidRPr="00D14059">
        <w:rPr>
          <w:color w:val="000000" w:themeColor="text1"/>
          <w:lang w:val="en-US"/>
        </w:rPr>
        <w:t>Prior research has consistently identified higher levels of anxiety and depression among female cancer patients (Boehmer et al., 2022). These findings suggest that gender plays a critical role in mental health outcomes, yet the intersection of gender with other factors, such as socioeconomic status and cancer stage, remains underexplored. While socioeconomic status has been shown to affect cancer survival and access to treatment (</w:t>
      </w:r>
      <w:proofErr w:type="spellStart"/>
      <w:r w:rsidRPr="00D14059">
        <w:rPr>
          <w:color w:val="000000" w:themeColor="text1"/>
          <w:lang w:val="en-US"/>
        </w:rPr>
        <w:t>Karanth</w:t>
      </w:r>
      <w:proofErr w:type="spellEnd"/>
      <w:r w:rsidRPr="00D14059">
        <w:rPr>
          <w:color w:val="000000" w:themeColor="text1"/>
          <w:lang w:val="en-US"/>
        </w:rPr>
        <w:t xml:space="preserve"> et al., 2023), less attention has been given to how perceived income insufficiency contributes to emotional distress in both patients and caregivers. There is a link between perceived financial hardship and elevated anxiety levels, but their role in shaping psychological outcomes within the context of cancer care is not fully understood.</w:t>
      </w:r>
    </w:p>
    <w:p w14:paraId="3616562C" w14:textId="77777777" w:rsidR="00D14059" w:rsidRPr="00D14059" w:rsidRDefault="00D14059" w:rsidP="00D14059">
      <w:pPr>
        <w:pBdr>
          <w:top w:val="nil"/>
          <w:left w:val="nil"/>
          <w:bottom w:val="nil"/>
          <w:right w:val="nil"/>
          <w:between w:val="nil"/>
        </w:pBdr>
        <w:spacing w:line="360" w:lineRule="auto"/>
        <w:ind w:firstLine="720"/>
        <w:rPr>
          <w:color w:val="000000" w:themeColor="text1"/>
          <w:lang w:val="en-US"/>
        </w:rPr>
      </w:pPr>
      <w:r w:rsidRPr="00D14059">
        <w:rPr>
          <w:color w:val="000000" w:themeColor="text1"/>
          <w:lang w:val="en-US"/>
        </w:rPr>
        <w:t>In addition, barriers to mental health care access, such as stigma and lack of culturally appropriate services, disproportionately affect ethnic minority populations, worsening disparities in mental health outcomes (Boehmer et al., 2022). Given these challenges, there is a pressing need to explore how intersecting identities, such as gender, socioeconomic status, and cancer stage, interact to influence anxiety and depression in cancer patients and their caregivers (</w:t>
      </w:r>
      <w:proofErr w:type="spellStart"/>
      <w:r w:rsidRPr="00D14059">
        <w:rPr>
          <w:color w:val="000000" w:themeColor="text1"/>
          <w:lang w:val="en-US"/>
        </w:rPr>
        <w:t>Estupiñán</w:t>
      </w:r>
      <w:proofErr w:type="spellEnd"/>
      <w:r w:rsidRPr="00D14059">
        <w:rPr>
          <w:color w:val="000000" w:themeColor="text1"/>
          <w:lang w:val="en-US"/>
        </w:rPr>
        <w:t xml:space="preserve"> et al., 2025; Tan et al., 2023). This study aims to fill this gap by examining the combined effects of these factors on mental health outcomes.</w:t>
      </w:r>
    </w:p>
    <w:p w14:paraId="79B1FB4B" w14:textId="77777777" w:rsidR="00D14059" w:rsidRDefault="00D14059" w:rsidP="00D14059">
      <w:pPr>
        <w:pBdr>
          <w:top w:val="nil"/>
          <w:left w:val="nil"/>
          <w:bottom w:val="nil"/>
          <w:right w:val="nil"/>
          <w:between w:val="nil"/>
        </w:pBdr>
        <w:spacing w:line="360" w:lineRule="auto"/>
        <w:ind w:firstLine="720"/>
        <w:rPr>
          <w:color w:val="000000" w:themeColor="text1"/>
          <w:lang w:val="en-US"/>
        </w:rPr>
      </w:pPr>
      <w:r w:rsidRPr="00D14059">
        <w:rPr>
          <w:color w:val="000000" w:themeColor="text1"/>
          <w:lang w:val="en-US"/>
        </w:rPr>
        <w:t xml:space="preserve">The purpose of this study is to investigate how intersectional identities, including gender, income perception, and cancer stage, influence anxiety and depression among cancer patients </w:t>
      </w:r>
      <w:r w:rsidRPr="00D14059">
        <w:rPr>
          <w:color w:val="000000" w:themeColor="text1"/>
          <w:lang w:val="en-US"/>
        </w:rPr>
        <w:lastRenderedPageBreak/>
        <w:t>and their caregivers. Specifically, this study will explore the relationship between perceived income insufficiency, gender, and cancer stage in shaping emotional distress. Based on the existing literature, we hypothesize that (a) female participants would report higher levels of anxiety, (b) female participants would report higher levels of depression than male participants, (c) participants who perceived their income as insufficient would report higher levels of anxiety (d) participants who perceived their income as insufficient would report higher levels of depression than those perceiving it as sufficient; (e) patients in advanced stages of cancer would report higher levels of anxiety; and (f) patients in advanced stages of cancer would report higher levels of depression compared to patients in early stages.</w:t>
      </w:r>
    </w:p>
    <w:p w14:paraId="44CC9680" w14:textId="2D0025AC" w:rsidR="0010019E" w:rsidRPr="00F672AB" w:rsidRDefault="005B16EC" w:rsidP="00D14059">
      <w:pPr>
        <w:pBdr>
          <w:top w:val="nil"/>
          <w:left w:val="nil"/>
          <w:bottom w:val="nil"/>
          <w:right w:val="nil"/>
          <w:between w:val="nil"/>
        </w:pBdr>
        <w:rPr>
          <w:b/>
          <w:bCs/>
          <w:color w:val="000000"/>
          <w:lang w:val="en-US"/>
        </w:rPr>
      </w:pPr>
      <w:r w:rsidRPr="4BACB0BB">
        <w:rPr>
          <w:b/>
          <w:bCs/>
          <w:color w:val="000000" w:themeColor="text1"/>
          <w:lang w:val="en-US"/>
        </w:rPr>
        <w:t>Method</w:t>
      </w:r>
    </w:p>
    <w:p w14:paraId="1E919C88" w14:textId="49EE2100" w:rsidR="00F672AB" w:rsidRPr="00746436" w:rsidRDefault="00F672AB" w:rsidP="00CD0342">
      <w:pPr>
        <w:pBdr>
          <w:top w:val="nil"/>
          <w:left w:val="nil"/>
          <w:bottom w:val="nil"/>
          <w:right w:val="nil"/>
          <w:between w:val="nil"/>
        </w:pBdr>
        <w:spacing w:line="360" w:lineRule="auto"/>
        <w:ind w:firstLine="720"/>
        <w:jc w:val="both"/>
        <w:rPr>
          <w:color w:val="000000"/>
          <w:lang w:val="en-US"/>
        </w:rPr>
      </w:pPr>
      <w:r w:rsidRPr="4BACB0BB">
        <w:rPr>
          <w:color w:val="000000" w:themeColor="text1"/>
          <w:lang w:val="en-US"/>
        </w:rPr>
        <w:t xml:space="preserve">The present study was a secondary data analysis of two primary research studies conducted by our team. The first study, conducted in 2022, assessed the importance of communication skills training and meaning-centered psychotherapy concepts among patients and caregivers coping with cancer. The second study, conducted in 2022, aimed to adapt </w:t>
      </w:r>
      <w:bookmarkStart w:id="0" w:name="_Int_B62qHKDL"/>
      <w:r w:rsidRPr="4BACB0BB">
        <w:rPr>
          <w:color w:val="000000" w:themeColor="text1"/>
          <w:lang w:val="en-US"/>
        </w:rPr>
        <w:t>a Communication</w:t>
      </w:r>
      <w:bookmarkEnd w:id="0"/>
      <w:r w:rsidRPr="4BACB0BB">
        <w:rPr>
          <w:color w:val="000000" w:themeColor="text1"/>
          <w:lang w:val="en-US"/>
        </w:rPr>
        <w:t xml:space="preserve"> Skills Training (CST) for patients and caregivers coping with cancer.</w:t>
      </w:r>
      <w:r w:rsidR="00CD0342">
        <w:rPr>
          <w:color w:val="000000" w:themeColor="text1"/>
          <w:lang w:val="en-US"/>
        </w:rPr>
        <w:t xml:space="preserve"> </w:t>
      </w:r>
      <w:r w:rsidRPr="4BACB0BB">
        <w:rPr>
          <w:color w:val="000000" w:themeColor="text1"/>
          <w:lang w:val="en-US"/>
        </w:rPr>
        <w:t xml:space="preserve">  </w:t>
      </w:r>
    </w:p>
    <w:p w14:paraId="532EE1ED" w14:textId="77777777" w:rsidR="00F672AB" w:rsidRPr="00746436" w:rsidRDefault="00F672AB" w:rsidP="00F672AB">
      <w:pPr>
        <w:pBdr>
          <w:top w:val="nil"/>
          <w:left w:val="nil"/>
          <w:bottom w:val="nil"/>
          <w:right w:val="nil"/>
          <w:between w:val="nil"/>
        </w:pBdr>
        <w:spacing w:line="360" w:lineRule="auto"/>
        <w:jc w:val="both"/>
        <w:rPr>
          <w:color w:val="000000"/>
          <w:lang w:val="en-US"/>
        </w:rPr>
      </w:pPr>
      <w:r w:rsidRPr="00F672AB">
        <w:rPr>
          <w:b/>
          <w:bCs/>
          <w:i/>
          <w:iCs/>
          <w:color w:val="000000"/>
          <w:lang w:val="en-US"/>
        </w:rPr>
        <w:t>Recruitment</w:t>
      </w:r>
      <w:r w:rsidRPr="00F672AB">
        <w:rPr>
          <w:color w:val="000000"/>
          <w:lang w:val="en-US"/>
        </w:rPr>
        <w:t xml:space="preserve"> </w:t>
      </w:r>
    </w:p>
    <w:p w14:paraId="38DB6CDC" w14:textId="77777777" w:rsidR="00D14059" w:rsidRDefault="00D14059" w:rsidP="00D14059">
      <w:pPr>
        <w:pBdr>
          <w:top w:val="nil"/>
          <w:left w:val="nil"/>
          <w:bottom w:val="nil"/>
          <w:right w:val="nil"/>
          <w:between w:val="nil"/>
        </w:pBdr>
        <w:spacing w:line="360" w:lineRule="auto"/>
        <w:ind w:firstLine="720"/>
        <w:jc w:val="both"/>
        <w:rPr>
          <w:color w:val="000000" w:themeColor="text1"/>
          <w:lang w:val="en-US"/>
        </w:rPr>
      </w:pPr>
      <w:r w:rsidRPr="00D14059">
        <w:rPr>
          <w:color w:val="000000" w:themeColor="text1"/>
          <w:lang w:val="en-US"/>
        </w:rPr>
        <w:t xml:space="preserve">We analyzed participants' data from the two studies (114 in the first study and 92 in the second) for 206 participants. The sample comprised both patients (n=109) with cancer and their primary caregivers (n=92) and patients/primary caregivers (n=5). In both primary studies, recruitment strategies encompassed snowball sampling through established networks and social media outreach on Facebook and Twitter, and local organizations, including cancer support groups and community-based care programs, partnered in recruitment efforts. Additionally, we used flyers with detailed information about the studies, distributed in person and online at community centers, oncology clinics, and nonprofit organizations. The eligibility criteria required participants to be adults aged 21 or older, Spanish-speaking, self-reported Latino, and receiving or supporting someone receiving cancer treatment in Puerto Rico. Exclusion criteria included being diagnosed with a major disabling medical or psychiatric condition, being unable to understand and provide consent, being too ill to participate, and lack of access to electronic devices. We collect data on eligible participants through self-administered online surveys. </w:t>
      </w:r>
    </w:p>
    <w:p w14:paraId="3D83B96F" w14:textId="5F075F2F" w:rsidR="00F672AB" w:rsidRPr="00746436" w:rsidRDefault="00F672AB" w:rsidP="00D14059">
      <w:pPr>
        <w:pBdr>
          <w:top w:val="nil"/>
          <w:left w:val="nil"/>
          <w:bottom w:val="nil"/>
          <w:right w:val="nil"/>
          <w:between w:val="nil"/>
        </w:pBdr>
        <w:spacing w:line="360" w:lineRule="auto"/>
        <w:jc w:val="both"/>
        <w:rPr>
          <w:color w:val="000000"/>
          <w:lang w:val="en-US"/>
        </w:rPr>
      </w:pPr>
      <w:r w:rsidRPr="00F672AB">
        <w:rPr>
          <w:b/>
          <w:bCs/>
          <w:i/>
          <w:iCs/>
          <w:color w:val="000000"/>
          <w:lang w:val="en-US"/>
        </w:rPr>
        <w:t>Measures</w:t>
      </w:r>
      <w:r w:rsidRPr="00F672AB">
        <w:rPr>
          <w:color w:val="000000"/>
          <w:lang w:val="en-US"/>
        </w:rPr>
        <w:t xml:space="preserve"> </w:t>
      </w:r>
    </w:p>
    <w:p w14:paraId="6573922F" w14:textId="77777777" w:rsidR="00F672AB" w:rsidRPr="00746436" w:rsidRDefault="00F672AB" w:rsidP="00F672AB">
      <w:pPr>
        <w:pBdr>
          <w:top w:val="nil"/>
          <w:left w:val="nil"/>
          <w:bottom w:val="nil"/>
          <w:right w:val="nil"/>
          <w:between w:val="nil"/>
        </w:pBdr>
        <w:spacing w:line="360" w:lineRule="auto"/>
        <w:jc w:val="both"/>
        <w:rPr>
          <w:i/>
          <w:iCs/>
          <w:color w:val="000000"/>
          <w:lang w:val="en-US"/>
        </w:rPr>
      </w:pPr>
      <w:r w:rsidRPr="00F672AB">
        <w:rPr>
          <w:i/>
          <w:iCs/>
          <w:color w:val="000000"/>
          <w:lang w:val="en-US"/>
        </w:rPr>
        <w:t xml:space="preserve">Sociodemographic Data </w:t>
      </w:r>
    </w:p>
    <w:p w14:paraId="321F801C" w14:textId="77777777" w:rsidR="00D14059" w:rsidRDefault="00D14059" w:rsidP="00D14059">
      <w:pPr>
        <w:pBdr>
          <w:top w:val="nil"/>
          <w:left w:val="nil"/>
          <w:bottom w:val="nil"/>
          <w:right w:val="nil"/>
          <w:between w:val="nil"/>
        </w:pBdr>
        <w:spacing w:line="360" w:lineRule="auto"/>
        <w:ind w:firstLine="720"/>
        <w:jc w:val="both"/>
        <w:rPr>
          <w:color w:val="000000"/>
          <w:lang w:val="en-US"/>
        </w:rPr>
      </w:pPr>
      <w:r w:rsidRPr="00D14059">
        <w:rPr>
          <w:color w:val="000000"/>
          <w:lang w:val="en-US"/>
        </w:rPr>
        <w:lastRenderedPageBreak/>
        <w:t xml:space="preserve">In both primary studies, we collected sociodemographic information through a sociodemographic questionnaire. The structure and content of this questionnaire were similar, with questions on gender, age, education, employment, patient or caregiving role, and income sufficiency perception. These questionnaires also included questions on relevant clinical information, specifically cancer stage and type. </w:t>
      </w:r>
    </w:p>
    <w:p w14:paraId="07FAA5A1" w14:textId="77777777" w:rsidR="00D14059" w:rsidRPr="00D14059" w:rsidRDefault="00D14059" w:rsidP="00D14059">
      <w:pPr>
        <w:pBdr>
          <w:top w:val="nil"/>
          <w:left w:val="nil"/>
          <w:bottom w:val="nil"/>
          <w:right w:val="nil"/>
          <w:between w:val="nil"/>
        </w:pBdr>
        <w:spacing w:line="360" w:lineRule="auto"/>
        <w:jc w:val="both"/>
        <w:rPr>
          <w:i/>
          <w:iCs/>
          <w:color w:val="000000"/>
          <w:lang w:val="en-US"/>
        </w:rPr>
      </w:pPr>
      <w:r w:rsidRPr="00D14059">
        <w:rPr>
          <w:i/>
          <w:iCs/>
          <w:color w:val="000000"/>
          <w:lang w:val="en-US"/>
        </w:rPr>
        <w:t>Hospital Anxiety and Depression Scale (HADS)</w:t>
      </w:r>
    </w:p>
    <w:p w14:paraId="07320302" w14:textId="35B0C916" w:rsidR="00D14059" w:rsidRDefault="00D14059" w:rsidP="00D14059">
      <w:pPr>
        <w:pBdr>
          <w:top w:val="nil"/>
          <w:left w:val="nil"/>
          <w:bottom w:val="nil"/>
          <w:right w:val="nil"/>
          <w:between w:val="nil"/>
        </w:pBdr>
        <w:spacing w:line="360" w:lineRule="auto"/>
        <w:ind w:firstLine="720"/>
        <w:jc w:val="both"/>
        <w:rPr>
          <w:color w:val="000000"/>
          <w:lang w:val="en-US"/>
        </w:rPr>
      </w:pPr>
      <w:r w:rsidRPr="00D14059">
        <w:rPr>
          <w:color w:val="000000"/>
          <w:lang w:val="en-US"/>
        </w:rPr>
        <w:t xml:space="preserve">In both primary studies, anxiety and depression symptoms were measured using the validated Spanish version of the Hospital Anxiety and Depression Scale (HADS). This 14-item scale is a self-report measure designed to evaluate psychological distress in medical populations. It consists of two subscales: HADS-A, which measures anxiety symptoms, and HADS-D, which measures depressive symptoms. The scale item is rated on a 4-point Likert scale, with scores ranging from 0 to 21. In each subscale, scores of 11 or more indicate significant symptoms, while scores 8-10 represent borderline symptoms, and 0-7 represent normal. This instrument is widely used in cancer research due to its strong psychometric properties (Hyland et al., 2019; Vilela-Estrada et al., 2025).  </w:t>
      </w:r>
    </w:p>
    <w:p w14:paraId="6B3BF06A" w14:textId="74D1DD30" w:rsidR="00F672AB" w:rsidRPr="00746436" w:rsidRDefault="00F672AB" w:rsidP="00D14059">
      <w:pPr>
        <w:pBdr>
          <w:top w:val="nil"/>
          <w:left w:val="nil"/>
          <w:bottom w:val="nil"/>
          <w:right w:val="nil"/>
          <w:between w:val="nil"/>
        </w:pBdr>
        <w:spacing w:line="360" w:lineRule="auto"/>
        <w:ind w:firstLine="720"/>
        <w:jc w:val="both"/>
        <w:rPr>
          <w:color w:val="000000"/>
          <w:lang w:val="en-US"/>
        </w:rPr>
      </w:pPr>
      <w:r w:rsidRPr="4BACB0BB">
        <w:rPr>
          <w:b/>
          <w:bCs/>
          <w:i/>
          <w:iCs/>
          <w:color w:val="000000" w:themeColor="text1"/>
          <w:lang w:val="en-US"/>
        </w:rPr>
        <w:t>Data Analysis</w:t>
      </w:r>
      <w:r w:rsidRPr="4BACB0BB">
        <w:rPr>
          <w:color w:val="000000" w:themeColor="text1"/>
          <w:lang w:val="en-US"/>
        </w:rPr>
        <w:t xml:space="preserve"> </w:t>
      </w:r>
    </w:p>
    <w:p w14:paraId="62C1944E" w14:textId="77777777" w:rsidR="00D14059" w:rsidRPr="00D14059" w:rsidRDefault="00D14059" w:rsidP="00D14059">
      <w:pPr>
        <w:pBdr>
          <w:top w:val="nil"/>
          <w:left w:val="nil"/>
          <w:bottom w:val="nil"/>
          <w:right w:val="nil"/>
          <w:between w:val="nil"/>
        </w:pBdr>
        <w:spacing w:line="360" w:lineRule="auto"/>
        <w:ind w:firstLine="720"/>
        <w:jc w:val="both"/>
        <w:rPr>
          <w:color w:val="000000"/>
          <w:lang w:val="en-US"/>
        </w:rPr>
      </w:pPr>
      <w:r w:rsidRPr="00D14059">
        <w:rPr>
          <w:color w:val="000000"/>
          <w:lang w:val="en-US"/>
        </w:rPr>
        <w:t xml:space="preserve">We performed data extraction and subsequent statistical analyses. We identified and extracted relevant variables from the primary datasets for this secondary data analysis. The homogeneity in the type of data collected across the original studies (e.g., consistency, measurement instruments, variable definitions, and participant characteristics) allowed us to merge the datasets into a single, unified database. This merging process allowed for integrating sociodemographic, clinical, and psychological variables relevant to the present research question while preserving data integrity and ensuring participant comparability. </w:t>
      </w:r>
    </w:p>
    <w:p w14:paraId="76FA1578" w14:textId="4F7C4196" w:rsidR="00746436" w:rsidRDefault="00D14059" w:rsidP="00D14059">
      <w:pPr>
        <w:pBdr>
          <w:top w:val="nil"/>
          <w:left w:val="nil"/>
          <w:bottom w:val="nil"/>
          <w:right w:val="nil"/>
          <w:between w:val="nil"/>
        </w:pBdr>
        <w:spacing w:line="360" w:lineRule="auto"/>
        <w:ind w:firstLine="720"/>
        <w:jc w:val="both"/>
        <w:rPr>
          <w:color w:val="000000"/>
          <w:lang w:val="en-US"/>
        </w:rPr>
      </w:pPr>
      <w:r w:rsidRPr="00D14059">
        <w:rPr>
          <w:color w:val="000000"/>
          <w:lang w:val="en-US"/>
        </w:rPr>
        <w:t xml:space="preserve">Data were analyzed using IBM SPSS Statistics 21. We performed descriptive statistics, including means, frequencies, and a summary of participants' sociodemographic and clinical characteristics. We conducted a series of independent-sample Mann-Whitney U tests to examine group differences in psychological distress. First, we divided the groups by patients, caregivers, and </w:t>
      </w:r>
      <w:r w:rsidR="00746436">
        <w:rPr>
          <w:color w:val="000000"/>
          <w:lang w:val="en-US"/>
        </w:rPr>
        <w:t>gender</w:t>
      </w:r>
      <w:r w:rsidRPr="00D14059">
        <w:rPr>
          <w:color w:val="000000"/>
          <w:lang w:val="en-US"/>
        </w:rPr>
        <w:t xml:space="preserve"> and compared the depression and anxiety symptoms. We divided the groups by perception of income sufficiency into two groups: 1) sufficient and 2) insufficient. We used the groups of stages and divided them into two groups: 1) Early and 2) advanced stage. We conducted </w:t>
      </w:r>
      <w:r w:rsidRPr="00D14059">
        <w:rPr>
          <w:color w:val="000000"/>
          <w:lang w:val="en-US"/>
        </w:rPr>
        <w:lastRenderedPageBreak/>
        <w:t>the Mann-Whitney U test based on a preliminary examination of the data, which indicated that the outcome variables were not normally distributed.</w:t>
      </w:r>
    </w:p>
    <w:p w14:paraId="411E8DDE" w14:textId="44419D21" w:rsidR="00746436" w:rsidRPr="00746436" w:rsidRDefault="005B16EC" w:rsidP="00746436">
      <w:pPr>
        <w:pBdr>
          <w:top w:val="nil"/>
          <w:left w:val="nil"/>
          <w:bottom w:val="nil"/>
          <w:right w:val="nil"/>
          <w:between w:val="nil"/>
        </w:pBdr>
        <w:spacing w:line="360" w:lineRule="auto"/>
        <w:jc w:val="both"/>
        <w:rPr>
          <w:b/>
          <w:i/>
          <w:color w:val="000000"/>
          <w:lang w:val="en-US"/>
        </w:rPr>
      </w:pPr>
      <w:r w:rsidRPr="00F672AB">
        <w:rPr>
          <w:b/>
          <w:i/>
          <w:color w:val="000000"/>
          <w:lang w:val="en-US"/>
        </w:rPr>
        <w:t>Ethical considerations</w:t>
      </w:r>
    </w:p>
    <w:p w14:paraId="522E512F" w14:textId="31FC8F9F" w:rsidR="00D14059" w:rsidRDefault="00D14059" w:rsidP="00D14059">
      <w:pPr>
        <w:pBdr>
          <w:top w:val="nil"/>
          <w:left w:val="nil"/>
          <w:bottom w:val="nil"/>
          <w:right w:val="nil"/>
          <w:between w:val="nil"/>
        </w:pBdr>
        <w:spacing w:line="360" w:lineRule="auto"/>
        <w:ind w:firstLine="720"/>
        <w:rPr>
          <w:rFonts w:ascii="Times" w:eastAsia="Times" w:hAnsi="Times" w:cs="Times"/>
          <w:lang w:val="en-US"/>
        </w:rPr>
      </w:pPr>
      <w:r w:rsidRPr="00D14059">
        <w:rPr>
          <w:rFonts w:ascii="Times" w:eastAsia="Times" w:hAnsi="Times" w:cs="Times"/>
          <w:lang w:val="en-US"/>
        </w:rPr>
        <w:t xml:space="preserve">The Ponce Medical School Foundation, on April 17, 2025, approved the protocol number (2503248901) title: Depression and Anxiety among Patients and Caregivers Coping with Cancer: An Intersectionality Study. The procedures were carried out by the 1964 Declaration of Helsinki, the Universal Declaration of Ethical Principles for Psychologists (IAAP &amp; </w:t>
      </w:r>
      <w:proofErr w:type="spellStart"/>
      <w:r w:rsidRPr="00D14059">
        <w:rPr>
          <w:rFonts w:ascii="Times" w:eastAsia="Times" w:hAnsi="Times" w:cs="Times"/>
          <w:lang w:val="en-US"/>
        </w:rPr>
        <w:t>IUPsyS</w:t>
      </w:r>
      <w:proofErr w:type="spellEnd"/>
      <w:r w:rsidRPr="00D14059">
        <w:rPr>
          <w:rFonts w:ascii="Times" w:eastAsia="Times" w:hAnsi="Times" w:cs="Times"/>
          <w:lang w:val="en-US"/>
        </w:rPr>
        <w:t xml:space="preserve">, 2008), the International Ethical Guidelines for Biomedical Research Involving Human Subjects (CIOMS, WHO &amp; PAHO, 2016) and the declarations of the ISP regarding ethical behavior at the time of submission (ISP, 1978, 2008a, 2008b, 2014, 2016, 2018, 2019). The study only includes de-identified data. </w:t>
      </w:r>
    </w:p>
    <w:p w14:paraId="40C22D74" w14:textId="541F5C8C" w:rsidR="0010019E" w:rsidRPr="00F672AB" w:rsidRDefault="005B16EC" w:rsidP="00D14059">
      <w:pPr>
        <w:pBdr>
          <w:top w:val="nil"/>
          <w:left w:val="nil"/>
          <w:bottom w:val="nil"/>
          <w:right w:val="nil"/>
          <w:between w:val="nil"/>
        </w:pBdr>
        <w:rPr>
          <w:b/>
          <w:color w:val="000000"/>
          <w:lang w:val="en-US"/>
        </w:rPr>
      </w:pPr>
      <w:r w:rsidRPr="00F672AB">
        <w:rPr>
          <w:b/>
          <w:color w:val="000000"/>
          <w:lang w:val="en-US"/>
        </w:rPr>
        <w:t>Results</w:t>
      </w:r>
    </w:p>
    <w:p w14:paraId="060EFD2F" w14:textId="2E7E9D88" w:rsidR="00746436" w:rsidRDefault="00D14059" w:rsidP="00CD0342">
      <w:pPr>
        <w:pBdr>
          <w:top w:val="nil"/>
          <w:left w:val="nil"/>
          <w:bottom w:val="nil"/>
          <w:right w:val="nil"/>
          <w:between w:val="nil"/>
        </w:pBdr>
        <w:spacing w:line="360" w:lineRule="auto"/>
        <w:ind w:firstLine="708"/>
        <w:jc w:val="both"/>
        <w:rPr>
          <w:color w:val="000000" w:themeColor="text1"/>
          <w:lang w:val="en-US"/>
        </w:rPr>
      </w:pPr>
      <w:r w:rsidRPr="00D14059">
        <w:rPr>
          <w:color w:val="000000" w:themeColor="text1"/>
          <w:lang w:val="en-US"/>
        </w:rPr>
        <w:t>The sociodemographic information of the participants (See Table 1) indicates that 65% were females, while 35% were males. The age range among participants was between 53-62 years. Regarding marital status, 63% of the participants were married, 20% were single, 7% were widowed, and only 6% were divorced. Reported income showed that 59% of participants earned less than USD 25,000, and 62% reported insufficient income to cover their expenses. Regarding participants' characteristics, 53% were patients (n=109), 45% were caregivers (n=92), and 2% were both patients and caregivers (n=5). Patients' cancer types included 35% breast cancer, followed by 8% colorectal cancer, 8% prostate cancer, 39% indicated being in advanced stages of cancer (Stage III or IV), and 18% were early-stage cancer (Stage I or II).</w:t>
      </w:r>
    </w:p>
    <w:p w14:paraId="4CE7AE82" w14:textId="3435F209" w:rsidR="00746436" w:rsidRDefault="00746436" w:rsidP="00746436">
      <w:pPr>
        <w:pBdr>
          <w:top w:val="nil"/>
          <w:left w:val="nil"/>
          <w:bottom w:val="nil"/>
          <w:right w:val="nil"/>
          <w:between w:val="nil"/>
        </w:pBdr>
        <w:spacing w:line="360" w:lineRule="auto"/>
        <w:jc w:val="both"/>
        <w:rPr>
          <w:color w:val="000000" w:themeColor="text1"/>
          <w:lang w:val="en-US"/>
        </w:rPr>
      </w:pPr>
      <w:r>
        <w:rPr>
          <w:color w:val="000000" w:themeColor="text1"/>
          <w:lang w:val="en-US"/>
        </w:rPr>
        <w:t>Table 1</w:t>
      </w:r>
    </w:p>
    <w:p w14:paraId="683E4A75" w14:textId="525A86F9" w:rsidR="00746436" w:rsidRPr="00746436" w:rsidRDefault="00746436" w:rsidP="00746436">
      <w:pPr>
        <w:pBdr>
          <w:top w:val="nil"/>
          <w:left w:val="nil"/>
          <w:bottom w:val="nil"/>
          <w:right w:val="nil"/>
          <w:between w:val="nil"/>
        </w:pBdr>
        <w:spacing w:line="360" w:lineRule="auto"/>
        <w:jc w:val="both"/>
        <w:rPr>
          <w:i/>
          <w:iCs/>
          <w:color w:val="000000"/>
          <w:lang w:val="en-US"/>
        </w:rPr>
      </w:pPr>
      <w:r w:rsidRPr="00746436">
        <w:rPr>
          <w:i/>
          <w:iCs/>
          <w:color w:val="000000" w:themeColor="text1"/>
          <w:lang w:val="en-US"/>
        </w:rPr>
        <w:t>Sociodemographic characteristics</w:t>
      </w:r>
    </w:p>
    <w:tbl>
      <w:tblPr>
        <w:tblStyle w:val="TableGrid"/>
        <w:tblpPr w:leftFromText="180" w:rightFromText="180" w:vertAnchor="text" w:horzAnchor="margin" w:tblpY="143"/>
        <w:tblW w:w="0" w:type="auto"/>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6420"/>
        <w:gridCol w:w="2805"/>
      </w:tblGrid>
      <w:tr w:rsidR="00746436" w14:paraId="2AEF2DBD" w14:textId="77777777" w:rsidTr="00746436">
        <w:trPr>
          <w:trHeight w:val="300"/>
        </w:trPr>
        <w:tc>
          <w:tcPr>
            <w:tcW w:w="6420" w:type="dxa"/>
            <w:tcBorders>
              <w:top w:val="single" w:sz="4" w:space="0" w:color="auto"/>
              <w:bottom w:val="single" w:sz="4" w:space="0" w:color="auto"/>
            </w:tcBorders>
          </w:tcPr>
          <w:p w14:paraId="6828C9F3" w14:textId="77777777" w:rsidR="00746436" w:rsidRDefault="00746436" w:rsidP="007E4186">
            <w:pPr>
              <w:rPr>
                <w:b/>
                <w:bCs/>
                <w:color w:val="000000" w:themeColor="text1"/>
                <w:sz w:val="24"/>
                <w:szCs w:val="24"/>
              </w:rPr>
            </w:pPr>
            <w:r w:rsidRPr="4BACB0BB">
              <w:rPr>
                <w:b/>
                <w:bCs/>
                <w:color w:val="000000" w:themeColor="text1"/>
                <w:sz w:val="24"/>
                <w:szCs w:val="24"/>
                <w:lang w:val="en-US"/>
              </w:rPr>
              <w:t>Variables</w:t>
            </w:r>
          </w:p>
        </w:tc>
        <w:tc>
          <w:tcPr>
            <w:tcW w:w="2805" w:type="dxa"/>
            <w:tcBorders>
              <w:top w:val="single" w:sz="4" w:space="0" w:color="auto"/>
              <w:bottom w:val="single" w:sz="4" w:space="0" w:color="auto"/>
            </w:tcBorders>
          </w:tcPr>
          <w:p w14:paraId="7FD86031" w14:textId="77777777" w:rsidR="00746436" w:rsidRDefault="00746436" w:rsidP="007E4186">
            <w:pPr>
              <w:jc w:val="center"/>
              <w:rPr>
                <w:b/>
                <w:bCs/>
                <w:color w:val="000000" w:themeColor="text1"/>
                <w:sz w:val="24"/>
                <w:szCs w:val="24"/>
              </w:rPr>
            </w:pPr>
            <w:r w:rsidRPr="4BACB0BB">
              <w:rPr>
                <w:b/>
                <w:bCs/>
                <w:color w:val="000000" w:themeColor="text1"/>
                <w:sz w:val="24"/>
                <w:szCs w:val="24"/>
                <w:lang w:val="en-US"/>
              </w:rPr>
              <w:t>%</w:t>
            </w:r>
          </w:p>
        </w:tc>
      </w:tr>
      <w:tr w:rsidR="00746436" w14:paraId="01962FD8" w14:textId="77777777" w:rsidTr="00746436">
        <w:trPr>
          <w:trHeight w:val="300"/>
        </w:trPr>
        <w:tc>
          <w:tcPr>
            <w:tcW w:w="6420" w:type="dxa"/>
            <w:tcBorders>
              <w:top w:val="single" w:sz="4" w:space="0" w:color="auto"/>
            </w:tcBorders>
          </w:tcPr>
          <w:p w14:paraId="34BA81C1" w14:textId="77777777" w:rsidR="00746436" w:rsidRDefault="00746436" w:rsidP="007E4186">
            <w:pPr>
              <w:rPr>
                <w:b/>
                <w:bCs/>
                <w:color w:val="000000" w:themeColor="text1"/>
                <w:sz w:val="24"/>
                <w:szCs w:val="24"/>
              </w:rPr>
            </w:pPr>
            <w:r w:rsidRPr="4BACB0BB">
              <w:rPr>
                <w:b/>
                <w:bCs/>
                <w:color w:val="000000" w:themeColor="text1"/>
                <w:sz w:val="24"/>
                <w:szCs w:val="24"/>
                <w:lang w:val="en-US"/>
              </w:rPr>
              <w:t xml:space="preserve">Participants Socio-demographics Characteristics </w:t>
            </w:r>
          </w:p>
        </w:tc>
        <w:tc>
          <w:tcPr>
            <w:tcW w:w="2805" w:type="dxa"/>
            <w:tcBorders>
              <w:top w:val="single" w:sz="4" w:space="0" w:color="auto"/>
            </w:tcBorders>
          </w:tcPr>
          <w:p w14:paraId="721097A3" w14:textId="77777777" w:rsidR="00746436" w:rsidRDefault="00746436" w:rsidP="007E4186">
            <w:pPr>
              <w:rPr>
                <w:color w:val="000000" w:themeColor="text1"/>
                <w:sz w:val="24"/>
                <w:szCs w:val="24"/>
              </w:rPr>
            </w:pPr>
          </w:p>
        </w:tc>
      </w:tr>
      <w:tr w:rsidR="00746436" w14:paraId="2F60F09D" w14:textId="77777777" w:rsidTr="00746436">
        <w:trPr>
          <w:trHeight w:val="300"/>
        </w:trPr>
        <w:tc>
          <w:tcPr>
            <w:tcW w:w="6420" w:type="dxa"/>
          </w:tcPr>
          <w:p w14:paraId="79B62D09" w14:textId="77777777" w:rsidR="00746436" w:rsidRDefault="00746436" w:rsidP="007E4186">
            <w:pPr>
              <w:rPr>
                <w:b/>
                <w:bCs/>
                <w:color w:val="000000" w:themeColor="text1"/>
                <w:sz w:val="24"/>
                <w:szCs w:val="24"/>
              </w:rPr>
            </w:pPr>
            <w:r w:rsidRPr="4BACB0BB">
              <w:rPr>
                <w:color w:val="000000" w:themeColor="text1"/>
                <w:sz w:val="24"/>
                <w:szCs w:val="24"/>
                <w:lang w:val="en-US"/>
              </w:rPr>
              <w:t>Sex</w:t>
            </w:r>
          </w:p>
        </w:tc>
        <w:tc>
          <w:tcPr>
            <w:tcW w:w="2805" w:type="dxa"/>
          </w:tcPr>
          <w:p w14:paraId="5CEA9B9E" w14:textId="77777777" w:rsidR="00746436" w:rsidRDefault="00746436" w:rsidP="007E4186">
            <w:pPr>
              <w:rPr>
                <w:color w:val="000000" w:themeColor="text1"/>
                <w:sz w:val="24"/>
                <w:szCs w:val="24"/>
              </w:rPr>
            </w:pPr>
          </w:p>
        </w:tc>
      </w:tr>
      <w:tr w:rsidR="00746436" w14:paraId="7E69168A" w14:textId="77777777" w:rsidTr="00746436">
        <w:trPr>
          <w:trHeight w:val="300"/>
        </w:trPr>
        <w:tc>
          <w:tcPr>
            <w:tcW w:w="6420" w:type="dxa"/>
          </w:tcPr>
          <w:p w14:paraId="34FB864F"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Female</w:t>
            </w:r>
          </w:p>
          <w:p w14:paraId="305C6548"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Male</w:t>
            </w:r>
          </w:p>
        </w:tc>
        <w:tc>
          <w:tcPr>
            <w:tcW w:w="2805" w:type="dxa"/>
          </w:tcPr>
          <w:p w14:paraId="63A65A2A" w14:textId="77777777" w:rsidR="00746436" w:rsidRDefault="00746436" w:rsidP="007E4186">
            <w:pPr>
              <w:jc w:val="center"/>
              <w:rPr>
                <w:color w:val="000000" w:themeColor="text1"/>
                <w:sz w:val="24"/>
                <w:szCs w:val="24"/>
              </w:rPr>
            </w:pPr>
            <w:r w:rsidRPr="4BACB0BB">
              <w:rPr>
                <w:color w:val="000000" w:themeColor="text1"/>
                <w:sz w:val="24"/>
                <w:szCs w:val="24"/>
                <w:lang w:val="en-US"/>
              </w:rPr>
              <w:t>65%</w:t>
            </w:r>
          </w:p>
          <w:p w14:paraId="7FDDE362" w14:textId="77777777" w:rsidR="00746436" w:rsidRDefault="00746436" w:rsidP="007E4186">
            <w:pPr>
              <w:jc w:val="center"/>
              <w:rPr>
                <w:color w:val="000000" w:themeColor="text1"/>
                <w:sz w:val="24"/>
                <w:szCs w:val="24"/>
              </w:rPr>
            </w:pPr>
            <w:r w:rsidRPr="4BACB0BB">
              <w:rPr>
                <w:color w:val="000000" w:themeColor="text1"/>
                <w:sz w:val="24"/>
                <w:szCs w:val="24"/>
                <w:lang w:val="en-US"/>
              </w:rPr>
              <w:t>35%</w:t>
            </w:r>
          </w:p>
        </w:tc>
      </w:tr>
      <w:tr w:rsidR="00746436" w14:paraId="4CA8D17E" w14:textId="77777777" w:rsidTr="00746436">
        <w:trPr>
          <w:trHeight w:val="300"/>
        </w:trPr>
        <w:tc>
          <w:tcPr>
            <w:tcW w:w="6420" w:type="dxa"/>
          </w:tcPr>
          <w:p w14:paraId="2092BA93" w14:textId="77777777" w:rsidR="00746436" w:rsidRDefault="00746436" w:rsidP="007E4186">
            <w:pPr>
              <w:rPr>
                <w:b/>
                <w:bCs/>
                <w:color w:val="000000" w:themeColor="text1"/>
                <w:sz w:val="24"/>
                <w:szCs w:val="24"/>
              </w:rPr>
            </w:pPr>
            <w:r w:rsidRPr="4BACB0BB">
              <w:rPr>
                <w:color w:val="000000" w:themeColor="text1"/>
                <w:sz w:val="24"/>
                <w:szCs w:val="24"/>
                <w:lang w:val="en-US"/>
              </w:rPr>
              <w:t>Age</w:t>
            </w:r>
          </w:p>
        </w:tc>
        <w:tc>
          <w:tcPr>
            <w:tcW w:w="2805" w:type="dxa"/>
          </w:tcPr>
          <w:p w14:paraId="380C586B" w14:textId="77777777" w:rsidR="00746436" w:rsidRDefault="00746436" w:rsidP="007E4186">
            <w:pPr>
              <w:jc w:val="center"/>
              <w:rPr>
                <w:color w:val="000000" w:themeColor="text1"/>
                <w:sz w:val="24"/>
                <w:szCs w:val="24"/>
              </w:rPr>
            </w:pPr>
            <w:r w:rsidRPr="4BACB0BB">
              <w:rPr>
                <w:color w:val="000000" w:themeColor="text1"/>
                <w:sz w:val="24"/>
                <w:szCs w:val="24"/>
                <w:lang w:val="en-US"/>
              </w:rPr>
              <w:t>53-62</w:t>
            </w:r>
          </w:p>
        </w:tc>
      </w:tr>
      <w:tr w:rsidR="00746436" w14:paraId="4CAE2CB5" w14:textId="77777777" w:rsidTr="00746436">
        <w:trPr>
          <w:trHeight w:val="300"/>
        </w:trPr>
        <w:tc>
          <w:tcPr>
            <w:tcW w:w="6420" w:type="dxa"/>
          </w:tcPr>
          <w:p w14:paraId="0379B9B3" w14:textId="77777777" w:rsidR="00746436" w:rsidRPr="00746436" w:rsidRDefault="00746436" w:rsidP="007E4186">
            <w:pPr>
              <w:rPr>
                <w:b/>
                <w:bCs/>
                <w:color w:val="000000" w:themeColor="text1"/>
                <w:sz w:val="24"/>
                <w:szCs w:val="24"/>
                <w:lang w:val="en-US"/>
              </w:rPr>
            </w:pPr>
            <w:r w:rsidRPr="4BACB0BB">
              <w:rPr>
                <w:color w:val="000000" w:themeColor="text1"/>
                <w:sz w:val="24"/>
                <w:szCs w:val="24"/>
                <w:lang w:val="en-US"/>
              </w:rPr>
              <w:t>Marital Status</w:t>
            </w:r>
          </w:p>
          <w:p w14:paraId="6FD5C338" w14:textId="77777777" w:rsidR="00746436" w:rsidRPr="00746436" w:rsidRDefault="00746436" w:rsidP="007E4186">
            <w:pPr>
              <w:rPr>
                <w:b/>
                <w:bCs/>
                <w:color w:val="000000" w:themeColor="text1"/>
                <w:sz w:val="24"/>
                <w:szCs w:val="24"/>
                <w:lang w:val="en-US"/>
              </w:rPr>
            </w:pPr>
            <w:r w:rsidRPr="4BACB0BB">
              <w:rPr>
                <w:color w:val="000000" w:themeColor="text1"/>
                <w:sz w:val="24"/>
                <w:szCs w:val="24"/>
                <w:lang w:val="en-US"/>
              </w:rPr>
              <w:t xml:space="preserve">   Married</w:t>
            </w:r>
          </w:p>
          <w:p w14:paraId="76AF2836" w14:textId="77777777" w:rsidR="00746436" w:rsidRPr="00746436" w:rsidRDefault="00746436" w:rsidP="007E4186">
            <w:pPr>
              <w:rPr>
                <w:b/>
                <w:bCs/>
                <w:color w:val="000000" w:themeColor="text1"/>
                <w:sz w:val="24"/>
                <w:szCs w:val="24"/>
                <w:lang w:val="en-US"/>
              </w:rPr>
            </w:pPr>
            <w:r w:rsidRPr="4BACB0BB">
              <w:rPr>
                <w:color w:val="000000" w:themeColor="text1"/>
                <w:sz w:val="24"/>
                <w:szCs w:val="24"/>
                <w:lang w:val="en-US"/>
              </w:rPr>
              <w:t xml:space="preserve">   Single</w:t>
            </w:r>
          </w:p>
          <w:p w14:paraId="38A69CF9" w14:textId="77777777" w:rsidR="00746436" w:rsidRPr="00746436" w:rsidRDefault="00746436" w:rsidP="007E4186">
            <w:pPr>
              <w:rPr>
                <w:b/>
                <w:bCs/>
                <w:color w:val="000000" w:themeColor="text1"/>
                <w:sz w:val="24"/>
                <w:szCs w:val="24"/>
                <w:lang w:val="en-US"/>
              </w:rPr>
            </w:pPr>
            <w:r w:rsidRPr="4BACB0BB">
              <w:rPr>
                <w:color w:val="000000" w:themeColor="text1"/>
                <w:sz w:val="24"/>
                <w:szCs w:val="24"/>
                <w:lang w:val="en-US"/>
              </w:rPr>
              <w:t xml:space="preserve">   Widow</w:t>
            </w:r>
          </w:p>
          <w:p w14:paraId="6AE0D1F3" w14:textId="77777777" w:rsidR="00746436" w:rsidRPr="00746436" w:rsidRDefault="00746436" w:rsidP="007E4186">
            <w:pPr>
              <w:rPr>
                <w:b/>
                <w:bCs/>
                <w:color w:val="000000" w:themeColor="text1"/>
                <w:sz w:val="24"/>
                <w:szCs w:val="24"/>
                <w:lang w:val="en-US"/>
              </w:rPr>
            </w:pPr>
            <w:r w:rsidRPr="4BACB0BB">
              <w:rPr>
                <w:color w:val="000000" w:themeColor="text1"/>
                <w:sz w:val="24"/>
                <w:szCs w:val="24"/>
                <w:lang w:val="en-US"/>
              </w:rPr>
              <w:t xml:space="preserve">   Divorced</w:t>
            </w:r>
          </w:p>
        </w:tc>
        <w:tc>
          <w:tcPr>
            <w:tcW w:w="2805" w:type="dxa"/>
          </w:tcPr>
          <w:p w14:paraId="4DE33AC8" w14:textId="77777777" w:rsidR="00746436" w:rsidRPr="00746436" w:rsidRDefault="00746436" w:rsidP="007E4186">
            <w:pPr>
              <w:jc w:val="center"/>
              <w:rPr>
                <w:color w:val="000000" w:themeColor="text1"/>
                <w:sz w:val="24"/>
                <w:szCs w:val="24"/>
                <w:lang w:val="en-US"/>
              </w:rPr>
            </w:pPr>
          </w:p>
          <w:p w14:paraId="2152ECE4" w14:textId="77777777" w:rsidR="00746436" w:rsidRDefault="00746436" w:rsidP="007E4186">
            <w:pPr>
              <w:jc w:val="center"/>
              <w:rPr>
                <w:color w:val="000000" w:themeColor="text1"/>
                <w:sz w:val="24"/>
                <w:szCs w:val="24"/>
              </w:rPr>
            </w:pPr>
            <w:r w:rsidRPr="4BACB0BB">
              <w:rPr>
                <w:color w:val="000000" w:themeColor="text1"/>
                <w:sz w:val="24"/>
                <w:szCs w:val="24"/>
                <w:lang w:val="en-US"/>
              </w:rPr>
              <w:t>63%</w:t>
            </w:r>
          </w:p>
          <w:p w14:paraId="05569F54" w14:textId="77777777" w:rsidR="00746436" w:rsidRDefault="00746436" w:rsidP="007E4186">
            <w:pPr>
              <w:jc w:val="center"/>
              <w:rPr>
                <w:color w:val="000000" w:themeColor="text1"/>
                <w:sz w:val="24"/>
                <w:szCs w:val="24"/>
              </w:rPr>
            </w:pPr>
            <w:r w:rsidRPr="4BACB0BB">
              <w:rPr>
                <w:color w:val="000000" w:themeColor="text1"/>
                <w:sz w:val="24"/>
                <w:szCs w:val="24"/>
                <w:lang w:val="en-US"/>
              </w:rPr>
              <w:t>20%</w:t>
            </w:r>
          </w:p>
          <w:p w14:paraId="672B0B57" w14:textId="77777777" w:rsidR="00746436" w:rsidRDefault="00746436" w:rsidP="007E4186">
            <w:pPr>
              <w:jc w:val="center"/>
              <w:rPr>
                <w:color w:val="000000" w:themeColor="text1"/>
                <w:sz w:val="24"/>
                <w:szCs w:val="24"/>
              </w:rPr>
            </w:pPr>
            <w:r w:rsidRPr="4BACB0BB">
              <w:rPr>
                <w:color w:val="000000" w:themeColor="text1"/>
                <w:sz w:val="24"/>
                <w:szCs w:val="24"/>
                <w:lang w:val="en-US"/>
              </w:rPr>
              <w:t>7%</w:t>
            </w:r>
          </w:p>
          <w:p w14:paraId="795F00CA" w14:textId="77777777" w:rsidR="00746436" w:rsidRDefault="00746436" w:rsidP="007E4186">
            <w:pPr>
              <w:jc w:val="center"/>
              <w:rPr>
                <w:color w:val="000000" w:themeColor="text1"/>
                <w:sz w:val="24"/>
                <w:szCs w:val="24"/>
              </w:rPr>
            </w:pPr>
            <w:r w:rsidRPr="4BACB0BB">
              <w:rPr>
                <w:color w:val="000000" w:themeColor="text1"/>
                <w:sz w:val="24"/>
                <w:szCs w:val="24"/>
                <w:lang w:val="en-US"/>
              </w:rPr>
              <w:t>6%</w:t>
            </w:r>
          </w:p>
        </w:tc>
      </w:tr>
      <w:tr w:rsidR="00746436" w14:paraId="05E22E1B" w14:textId="77777777" w:rsidTr="00746436">
        <w:trPr>
          <w:trHeight w:val="300"/>
        </w:trPr>
        <w:tc>
          <w:tcPr>
            <w:tcW w:w="6420" w:type="dxa"/>
          </w:tcPr>
          <w:p w14:paraId="50F6082D" w14:textId="77777777" w:rsidR="00746436" w:rsidRDefault="00746436" w:rsidP="007E4186">
            <w:pPr>
              <w:rPr>
                <w:b/>
                <w:bCs/>
                <w:color w:val="000000" w:themeColor="text1"/>
                <w:sz w:val="24"/>
                <w:szCs w:val="24"/>
              </w:rPr>
            </w:pPr>
            <w:r w:rsidRPr="4BACB0BB">
              <w:rPr>
                <w:color w:val="000000" w:themeColor="text1"/>
                <w:sz w:val="24"/>
                <w:szCs w:val="24"/>
                <w:lang w:val="en-US"/>
              </w:rPr>
              <w:t>Income</w:t>
            </w:r>
          </w:p>
        </w:tc>
        <w:tc>
          <w:tcPr>
            <w:tcW w:w="2805" w:type="dxa"/>
          </w:tcPr>
          <w:p w14:paraId="09A479D2" w14:textId="77777777" w:rsidR="00746436" w:rsidRDefault="00746436" w:rsidP="007E4186">
            <w:pPr>
              <w:jc w:val="center"/>
              <w:rPr>
                <w:color w:val="000000" w:themeColor="text1"/>
                <w:sz w:val="24"/>
                <w:szCs w:val="24"/>
              </w:rPr>
            </w:pPr>
            <w:r w:rsidRPr="4BACB0BB">
              <w:rPr>
                <w:color w:val="000000" w:themeColor="text1"/>
                <w:sz w:val="24"/>
                <w:szCs w:val="24"/>
                <w:lang w:val="en-US"/>
              </w:rPr>
              <w:t>Less than $25,000</w:t>
            </w:r>
          </w:p>
        </w:tc>
      </w:tr>
      <w:tr w:rsidR="00746436" w14:paraId="19CCC386" w14:textId="77777777" w:rsidTr="00746436">
        <w:trPr>
          <w:trHeight w:val="300"/>
        </w:trPr>
        <w:tc>
          <w:tcPr>
            <w:tcW w:w="6420" w:type="dxa"/>
          </w:tcPr>
          <w:p w14:paraId="510F79DB" w14:textId="77777777" w:rsidR="00746436" w:rsidRDefault="00746436" w:rsidP="007E4186">
            <w:pPr>
              <w:rPr>
                <w:b/>
                <w:bCs/>
                <w:color w:val="000000" w:themeColor="text1"/>
                <w:sz w:val="24"/>
                <w:szCs w:val="24"/>
              </w:rPr>
            </w:pPr>
            <w:r w:rsidRPr="4BACB0BB">
              <w:rPr>
                <w:b/>
                <w:bCs/>
                <w:color w:val="000000" w:themeColor="text1"/>
                <w:sz w:val="24"/>
                <w:szCs w:val="24"/>
                <w:lang w:val="en-US"/>
              </w:rPr>
              <w:lastRenderedPageBreak/>
              <w:t xml:space="preserve">Participant’s Characteristics </w:t>
            </w:r>
          </w:p>
        </w:tc>
        <w:tc>
          <w:tcPr>
            <w:tcW w:w="2805" w:type="dxa"/>
          </w:tcPr>
          <w:p w14:paraId="59C29B4D" w14:textId="77777777" w:rsidR="00746436" w:rsidRDefault="00746436" w:rsidP="007E4186">
            <w:pPr>
              <w:jc w:val="center"/>
              <w:rPr>
                <w:color w:val="000000" w:themeColor="text1"/>
                <w:sz w:val="24"/>
                <w:szCs w:val="24"/>
              </w:rPr>
            </w:pPr>
          </w:p>
        </w:tc>
      </w:tr>
      <w:tr w:rsidR="00746436" w14:paraId="43C916E1" w14:textId="77777777" w:rsidTr="00746436">
        <w:trPr>
          <w:trHeight w:val="300"/>
        </w:trPr>
        <w:tc>
          <w:tcPr>
            <w:tcW w:w="6420" w:type="dxa"/>
          </w:tcPr>
          <w:p w14:paraId="5F75AA65" w14:textId="77777777" w:rsidR="00746436" w:rsidRDefault="00746436" w:rsidP="007E4186">
            <w:pPr>
              <w:rPr>
                <w:b/>
                <w:bCs/>
                <w:color w:val="000000" w:themeColor="text1"/>
                <w:sz w:val="24"/>
                <w:szCs w:val="24"/>
              </w:rPr>
            </w:pPr>
            <w:r w:rsidRPr="4BACB0BB">
              <w:rPr>
                <w:color w:val="000000" w:themeColor="text1"/>
                <w:sz w:val="24"/>
                <w:szCs w:val="24"/>
                <w:lang w:val="en-US"/>
              </w:rPr>
              <w:t>Patients</w:t>
            </w:r>
          </w:p>
        </w:tc>
        <w:tc>
          <w:tcPr>
            <w:tcW w:w="2805" w:type="dxa"/>
          </w:tcPr>
          <w:p w14:paraId="4016BFCE" w14:textId="77777777" w:rsidR="00746436" w:rsidRDefault="00746436" w:rsidP="007E4186">
            <w:pPr>
              <w:jc w:val="center"/>
              <w:rPr>
                <w:color w:val="000000" w:themeColor="text1"/>
                <w:sz w:val="24"/>
                <w:szCs w:val="24"/>
              </w:rPr>
            </w:pPr>
            <w:r w:rsidRPr="4BACB0BB">
              <w:rPr>
                <w:color w:val="000000" w:themeColor="text1"/>
                <w:sz w:val="24"/>
                <w:szCs w:val="24"/>
                <w:lang w:val="en-US"/>
              </w:rPr>
              <w:t>109 (53%)</w:t>
            </w:r>
          </w:p>
        </w:tc>
      </w:tr>
      <w:tr w:rsidR="00746436" w14:paraId="5F3CE100" w14:textId="77777777" w:rsidTr="00746436">
        <w:trPr>
          <w:trHeight w:val="300"/>
        </w:trPr>
        <w:tc>
          <w:tcPr>
            <w:tcW w:w="6420" w:type="dxa"/>
          </w:tcPr>
          <w:p w14:paraId="147F95CD" w14:textId="77777777" w:rsidR="00746436" w:rsidRDefault="00746436" w:rsidP="007E4186">
            <w:pPr>
              <w:rPr>
                <w:b/>
                <w:bCs/>
                <w:color w:val="000000" w:themeColor="text1"/>
                <w:sz w:val="24"/>
                <w:szCs w:val="24"/>
              </w:rPr>
            </w:pPr>
            <w:r w:rsidRPr="4BACB0BB">
              <w:rPr>
                <w:color w:val="000000" w:themeColor="text1"/>
                <w:sz w:val="24"/>
                <w:szCs w:val="24"/>
                <w:lang w:val="en-US"/>
              </w:rPr>
              <w:t>Caregiver</w:t>
            </w:r>
          </w:p>
        </w:tc>
        <w:tc>
          <w:tcPr>
            <w:tcW w:w="2805" w:type="dxa"/>
          </w:tcPr>
          <w:p w14:paraId="7DA287B3" w14:textId="77777777" w:rsidR="00746436" w:rsidRDefault="00746436" w:rsidP="007E4186">
            <w:pPr>
              <w:jc w:val="center"/>
              <w:rPr>
                <w:color w:val="000000" w:themeColor="text1"/>
                <w:sz w:val="24"/>
                <w:szCs w:val="24"/>
              </w:rPr>
            </w:pPr>
            <w:r w:rsidRPr="4BACB0BB">
              <w:rPr>
                <w:color w:val="000000" w:themeColor="text1"/>
                <w:sz w:val="24"/>
                <w:szCs w:val="24"/>
                <w:lang w:val="en-US"/>
              </w:rPr>
              <w:t>92 (45%)</w:t>
            </w:r>
          </w:p>
        </w:tc>
      </w:tr>
      <w:tr w:rsidR="00746436" w14:paraId="28A44242" w14:textId="77777777" w:rsidTr="00746436">
        <w:trPr>
          <w:trHeight w:val="300"/>
        </w:trPr>
        <w:tc>
          <w:tcPr>
            <w:tcW w:w="6420" w:type="dxa"/>
          </w:tcPr>
          <w:p w14:paraId="3D90AA52" w14:textId="77777777" w:rsidR="00746436" w:rsidRDefault="00746436" w:rsidP="007E4186">
            <w:pPr>
              <w:rPr>
                <w:b/>
                <w:bCs/>
                <w:color w:val="000000" w:themeColor="text1"/>
                <w:sz w:val="24"/>
                <w:szCs w:val="24"/>
              </w:rPr>
            </w:pPr>
            <w:r w:rsidRPr="4BACB0BB">
              <w:rPr>
                <w:color w:val="000000" w:themeColor="text1"/>
                <w:sz w:val="24"/>
                <w:szCs w:val="24"/>
                <w:lang w:val="en-US"/>
              </w:rPr>
              <w:t>Patient and Caregiver</w:t>
            </w:r>
          </w:p>
        </w:tc>
        <w:tc>
          <w:tcPr>
            <w:tcW w:w="2805" w:type="dxa"/>
          </w:tcPr>
          <w:p w14:paraId="71E2E626" w14:textId="77777777" w:rsidR="00746436" w:rsidRDefault="00746436" w:rsidP="007E4186">
            <w:pPr>
              <w:jc w:val="center"/>
              <w:rPr>
                <w:color w:val="000000" w:themeColor="text1"/>
                <w:sz w:val="24"/>
                <w:szCs w:val="24"/>
              </w:rPr>
            </w:pPr>
            <w:r w:rsidRPr="4BACB0BB">
              <w:rPr>
                <w:color w:val="000000" w:themeColor="text1"/>
                <w:sz w:val="24"/>
                <w:szCs w:val="24"/>
                <w:lang w:val="en-US"/>
              </w:rPr>
              <w:t>5 (2%)</w:t>
            </w:r>
          </w:p>
        </w:tc>
      </w:tr>
      <w:tr w:rsidR="00746436" w14:paraId="1E41DB9E" w14:textId="77777777" w:rsidTr="00746436">
        <w:trPr>
          <w:trHeight w:val="300"/>
        </w:trPr>
        <w:tc>
          <w:tcPr>
            <w:tcW w:w="6420" w:type="dxa"/>
          </w:tcPr>
          <w:p w14:paraId="408E9A98" w14:textId="77777777" w:rsidR="00746436" w:rsidRDefault="00746436" w:rsidP="007E4186">
            <w:pPr>
              <w:rPr>
                <w:b/>
                <w:bCs/>
                <w:color w:val="000000" w:themeColor="text1"/>
                <w:sz w:val="24"/>
                <w:szCs w:val="24"/>
              </w:rPr>
            </w:pPr>
            <w:r w:rsidRPr="4BACB0BB">
              <w:rPr>
                <w:b/>
                <w:bCs/>
                <w:color w:val="000000" w:themeColor="text1"/>
                <w:sz w:val="24"/>
                <w:szCs w:val="24"/>
                <w:lang w:val="en-US"/>
              </w:rPr>
              <w:t>Type of cancer</w:t>
            </w:r>
          </w:p>
        </w:tc>
        <w:tc>
          <w:tcPr>
            <w:tcW w:w="2805" w:type="dxa"/>
          </w:tcPr>
          <w:p w14:paraId="39CD9109" w14:textId="77777777" w:rsidR="00746436" w:rsidRDefault="00746436" w:rsidP="007E4186">
            <w:pPr>
              <w:jc w:val="center"/>
              <w:rPr>
                <w:color w:val="000000" w:themeColor="text1"/>
                <w:sz w:val="24"/>
                <w:szCs w:val="24"/>
              </w:rPr>
            </w:pPr>
          </w:p>
        </w:tc>
      </w:tr>
      <w:tr w:rsidR="00746436" w14:paraId="25BDAFFC" w14:textId="77777777" w:rsidTr="00746436">
        <w:trPr>
          <w:trHeight w:val="300"/>
        </w:trPr>
        <w:tc>
          <w:tcPr>
            <w:tcW w:w="6420" w:type="dxa"/>
          </w:tcPr>
          <w:p w14:paraId="5F92EB9A"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Breast </w:t>
            </w:r>
          </w:p>
        </w:tc>
        <w:tc>
          <w:tcPr>
            <w:tcW w:w="2805" w:type="dxa"/>
          </w:tcPr>
          <w:p w14:paraId="22655D6C" w14:textId="77777777" w:rsidR="00746436" w:rsidRDefault="00746436" w:rsidP="007E4186">
            <w:pPr>
              <w:jc w:val="center"/>
              <w:rPr>
                <w:color w:val="000000" w:themeColor="text1"/>
                <w:sz w:val="24"/>
                <w:szCs w:val="24"/>
              </w:rPr>
            </w:pPr>
            <w:r w:rsidRPr="4BACB0BB">
              <w:rPr>
                <w:color w:val="000000" w:themeColor="text1"/>
                <w:sz w:val="24"/>
                <w:szCs w:val="24"/>
                <w:lang w:val="en-US"/>
              </w:rPr>
              <w:t>35%</w:t>
            </w:r>
          </w:p>
        </w:tc>
      </w:tr>
      <w:tr w:rsidR="00746436" w14:paraId="0C07A1B7" w14:textId="77777777" w:rsidTr="00746436">
        <w:trPr>
          <w:trHeight w:val="300"/>
        </w:trPr>
        <w:tc>
          <w:tcPr>
            <w:tcW w:w="6420" w:type="dxa"/>
          </w:tcPr>
          <w:p w14:paraId="79150F6A"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Colorectal </w:t>
            </w:r>
          </w:p>
        </w:tc>
        <w:tc>
          <w:tcPr>
            <w:tcW w:w="2805" w:type="dxa"/>
          </w:tcPr>
          <w:p w14:paraId="37FD508A" w14:textId="77777777" w:rsidR="00746436" w:rsidRDefault="00746436" w:rsidP="007E4186">
            <w:pPr>
              <w:jc w:val="center"/>
              <w:rPr>
                <w:color w:val="000000" w:themeColor="text1"/>
                <w:sz w:val="24"/>
                <w:szCs w:val="24"/>
              </w:rPr>
            </w:pPr>
            <w:r w:rsidRPr="4BACB0BB">
              <w:rPr>
                <w:color w:val="000000" w:themeColor="text1"/>
                <w:sz w:val="24"/>
                <w:szCs w:val="24"/>
                <w:lang w:val="en-US"/>
              </w:rPr>
              <w:t>8%</w:t>
            </w:r>
          </w:p>
        </w:tc>
      </w:tr>
      <w:tr w:rsidR="00746436" w14:paraId="1C0975D3" w14:textId="77777777" w:rsidTr="00746436">
        <w:trPr>
          <w:trHeight w:val="300"/>
        </w:trPr>
        <w:tc>
          <w:tcPr>
            <w:tcW w:w="6420" w:type="dxa"/>
          </w:tcPr>
          <w:p w14:paraId="1BD3AC52"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Prostate</w:t>
            </w:r>
          </w:p>
        </w:tc>
        <w:tc>
          <w:tcPr>
            <w:tcW w:w="2805" w:type="dxa"/>
          </w:tcPr>
          <w:p w14:paraId="22867A2B" w14:textId="77777777" w:rsidR="00746436" w:rsidRDefault="00746436" w:rsidP="007E4186">
            <w:pPr>
              <w:jc w:val="center"/>
              <w:rPr>
                <w:color w:val="000000" w:themeColor="text1"/>
                <w:sz w:val="24"/>
                <w:szCs w:val="24"/>
              </w:rPr>
            </w:pPr>
            <w:r w:rsidRPr="4BACB0BB">
              <w:rPr>
                <w:color w:val="000000" w:themeColor="text1"/>
                <w:sz w:val="24"/>
                <w:szCs w:val="24"/>
                <w:lang w:val="en-US"/>
              </w:rPr>
              <w:t>8%</w:t>
            </w:r>
          </w:p>
        </w:tc>
      </w:tr>
      <w:tr w:rsidR="00746436" w14:paraId="64F1C3A4" w14:textId="77777777" w:rsidTr="00746436">
        <w:trPr>
          <w:trHeight w:val="300"/>
        </w:trPr>
        <w:tc>
          <w:tcPr>
            <w:tcW w:w="6420" w:type="dxa"/>
          </w:tcPr>
          <w:p w14:paraId="31F9EDF4"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Cervical</w:t>
            </w:r>
          </w:p>
        </w:tc>
        <w:tc>
          <w:tcPr>
            <w:tcW w:w="2805" w:type="dxa"/>
          </w:tcPr>
          <w:p w14:paraId="5C2A7C5C"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6%</w:t>
            </w:r>
          </w:p>
        </w:tc>
      </w:tr>
      <w:tr w:rsidR="00746436" w14:paraId="39203710" w14:textId="77777777" w:rsidTr="00746436">
        <w:trPr>
          <w:trHeight w:val="300"/>
        </w:trPr>
        <w:tc>
          <w:tcPr>
            <w:tcW w:w="6420" w:type="dxa"/>
          </w:tcPr>
          <w:p w14:paraId="29EB4BD6"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Myeloma</w:t>
            </w:r>
          </w:p>
        </w:tc>
        <w:tc>
          <w:tcPr>
            <w:tcW w:w="2805" w:type="dxa"/>
          </w:tcPr>
          <w:p w14:paraId="42C921BD"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5.3%</w:t>
            </w:r>
          </w:p>
        </w:tc>
      </w:tr>
      <w:tr w:rsidR="00746436" w14:paraId="1DAEBFCE" w14:textId="77777777" w:rsidTr="00746436">
        <w:trPr>
          <w:trHeight w:val="300"/>
        </w:trPr>
        <w:tc>
          <w:tcPr>
            <w:tcW w:w="6420" w:type="dxa"/>
          </w:tcPr>
          <w:p w14:paraId="23ED2DC4"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Lung</w:t>
            </w:r>
          </w:p>
        </w:tc>
        <w:tc>
          <w:tcPr>
            <w:tcW w:w="2805" w:type="dxa"/>
          </w:tcPr>
          <w:p w14:paraId="5D018095"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5.3%</w:t>
            </w:r>
          </w:p>
        </w:tc>
      </w:tr>
      <w:tr w:rsidR="00746436" w14:paraId="76DAF1B3" w14:textId="77777777" w:rsidTr="00746436">
        <w:trPr>
          <w:trHeight w:val="300"/>
        </w:trPr>
        <w:tc>
          <w:tcPr>
            <w:tcW w:w="6420" w:type="dxa"/>
          </w:tcPr>
          <w:p w14:paraId="5400F5FC"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Hodgkin</w:t>
            </w:r>
          </w:p>
        </w:tc>
        <w:tc>
          <w:tcPr>
            <w:tcW w:w="2805" w:type="dxa"/>
          </w:tcPr>
          <w:p w14:paraId="43E9AE92"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5.3%</w:t>
            </w:r>
          </w:p>
        </w:tc>
      </w:tr>
      <w:tr w:rsidR="00746436" w14:paraId="6E610A18" w14:textId="77777777" w:rsidTr="00746436">
        <w:trPr>
          <w:trHeight w:val="300"/>
        </w:trPr>
        <w:tc>
          <w:tcPr>
            <w:tcW w:w="6420" w:type="dxa"/>
          </w:tcPr>
          <w:p w14:paraId="487757FD"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Uterine</w:t>
            </w:r>
          </w:p>
        </w:tc>
        <w:tc>
          <w:tcPr>
            <w:tcW w:w="2805" w:type="dxa"/>
          </w:tcPr>
          <w:p w14:paraId="25775768"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4.5%</w:t>
            </w:r>
          </w:p>
        </w:tc>
      </w:tr>
      <w:tr w:rsidR="00746436" w14:paraId="6C585728" w14:textId="77777777" w:rsidTr="00746436">
        <w:trPr>
          <w:trHeight w:val="300"/>
        </w:trPr>
        <w:tc>
          <w:tcPr>
            <w:tcW w:w="6420" w:type="dxa"/>
          </w:tcPr>
          <w:p w14:paraId="1BCD2857"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Skin</w:t>
            </w:r>
          </w:p>
        </w:tc>
        <w:tc>
          <w:tcPr>
            <w:tcW w:w="2805" w:type="dxa"/>
          </w:tcPr>
          <w:p w14:paraId="2891618E"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 xml:space="preserve">3% </w:t>
            </w:r>
          </w:p>
        </w:tc>
      </w:tr>
      <w:tr w:rsidR="00746436" w14:paraId="2D9BB7EF" w14:textId="77777777" w:rsidTr="00746436">
        <w:trPr>
          <w:trHeight w:val="300"/>
        </w:trPr>
        <w:tc>
          <w:tcPr>
            <w:tcW w:w="6420" w:type="dxa"/>
          </w:tcPr>
          <w:p w14:paraId="141479D1"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Endocrine</w:t>
            </w:r>
          </w:p>
        </w:tc>
        <w:tc>
          <w:tcPr>
            <w:tcW w:w="2805" w:type="dxa"/>
          </w:tcPr>
          <w:p w14:paraId="70920A22"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2%</w:t>
            </w:r>
          </w:p>
        </w:tc>
      </w:tr>
      <w:tr w:rsidR="00746436" w14:paraId="5B91D947" w14:textId="77777777" w:rsidTr="00746436">
        <w:trPr>
          <w:trHeight w:val="300"/>
        </w:trPr>
        <w:tc>
          <w:tcPr>
            <w:tcW w:w="6420" w:type="dxa"/>
          </w:tcPr>
          <w:p w14:paraId="49EC0FC9"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Oral</w:t>
            </w:r>
          </w:p>
        </w:tc>
        <w:tc>
          <w:tcPr>
            <w:tcW w:w="2805" w:type="dxa"/>
          </w:tcPr>
          <w:p w14:paraId="00266232"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69B341E0" w14:textId="77777777" w:rsidTr="00746436">
        <w:trPr>
          <w:trHeight w:val="300"/>
        </w:trPr>
        <w:tc>
          <w:tcPr>
            <w:tcW w:w="6420" w:type="dxa"/>
          </w:tcPr>
          <w:p w14:paraId="05494CB8"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Lobular</w:t>
            </w:r>
          </w:p>
        </w:tc>
        <w:tc>
          <w:tcPr>
            <w:tcW w:w="2805" w:type="dxa"/>
          </w:tcPr>
          <w:p w14:paraId="6810DB20"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081B4E39" w14:textId="77777777" w:rsidTr="00746436">
        <w:trPr>
          <w:trHeight w:val="300"/>
        </w:trPr>
        <w:tc>
          <w:tcPr>
            <w:tcW w:w="6420" w:type="dxa"/>
          </w:tcPr>
          <w:p w14:paraId="1CF313C1"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Kidney</w:t>
            </w:r>
          </w:p>
        </w:tc>
        <w:tc>
          <w:tcPr>
            <w:tcW w:w="2805" w:type="dxa"/>
          </w:tcPr>
          <w:p w14:paraId="3449A3BD"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3E493384" w14:textId="77777777" w:rsidTr="00746436">
        <w:trPr>
          <w:trHeight w:val="300"/>
        </w:trPr>
        <w:tc>
          <w:tcPr>
            <w:tcW w:w="6420" w:type="dxa"/>
          </w:tcPr>
          <w:p w14:paraId="1A949BE7"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Leukemia</w:t>
            </w:r>
          </w:p>
        </w:tc>
        <w:tc>
          <w:tcPr>
            <w:tcW w:w="2805" w:type="dxa"/>
          </w:tcPr>
          <w:p w14:paraId="522DB36D"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5DD293E1" w14:textId="77777777" w:rsidTr="00746436">
        <w:trPr>
          <w:trHeight w:val="300"/>
        </w:trPr>
        <w:tc>
          <w:tcPr>
            <w:tcW w:w="6420" w:type="dxa"/>
          </w:tcPr>
          <w:p w14:paraId="194A1D68"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Esophageal</w:t>
            </w:r>
          </w:p>
        </w:tc>
        <w:tc>
          <w:tcPr>
            <w:tcW w:w="2805" w:type="dxa"/>
          </w:tcPr>
          <w:p w14:paraId="4B56D913"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053B133D" w14:textId="77777777" w:rsidTr="00746436">
        <w:trPr>
          <w:trHeight w:val="300"/>
        </w:trPr>
        <w:tc>
          <w:tcPr>
            <w:tcW w:w="6420" w:type="dxa"/>
          </w:tcPr>
          <w:p w14:paraId="728000BE"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Endometrial</w:t>
            </w:r>
          </w:p>
        </w:tc>
        <w:tc>
          <w:tcPr>
            <w:tcW w:w="2805" w:type="dxa"/>
          </w:tcPr>
          <w:p w14:paraId="33A96958"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37D09307" w14:textId="77777777" w:rsidTr="00746436">
        <w:trPr>
          <w:trHeight w:val="300"/>
        </w:trPr>
        <w:tc>
          <w:tcPr>
            <w:tcW w:w="6420" w:type="dxa"/>
          </w:tcPr>
          <w:p w14:paraId="465DBC77"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Rhabdomyosarcoma</w:t>
            </w:r>
          </w:p>
        </w:tc>
        <w:tc>
          <w:tcPr>
            <w:tcW w:w="2805" w:type="dxa"/>
          </w:tcPr>
          <w:p w14:paraId="1513E8A4"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1.5%</w:t>
            </w:r>
          </w:p>
        </w:tc>
      </w:tr>
      <w:tr w:rsidR="00746436" w14:paraId="1C59919F" w14:textId="77777777" w:rsidTr="00746436">
        <w:trPr>
          <w:trHeight w:val="300"/>
        </w:trPr>
        <w:tc>
          <w:tcPr>
            <w:tcW w:w="6420" w:type="dxa"/>
          </w:tcPr>
          <w:p w14:paraId="57A536E7"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Anal</w:t>
            </w:r>
          </w:p>
        </w:tc>
        <w:tc>
          <w:tcPr>
            <w:tcW w:w="2805" w:type="dxa"/>
          </w:tcPr>
          <w:p w14:paraId="78382111"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774492B0" w14:textId="77777777" w:rsidTr="00746436">
        <w:trPr>
          <w:trHeight w:val="300"/>
        </w:trPr>
        <w:tc>
          <w:tcPr>
            <w:tcW w:w="6420" w:type="dxa"/>
          </w:tcPr>
          <w:p w14:paraId="333451C3"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Bone</w:t>
            </w:r>
          </w:p>
        </w:tc>
        <w:tc>
          <w:tcPr>
            <w:tcW w:w="2805" w:type="dxa"/>
          </w:tcPr>
          <w:p w14:paraId="793166E0"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752F6060" w14:textId="77777777" w:rsidTr="00746436">
        <w:trPr>
          <w:trHeight w:val="300"/>
        </w:trPr>
        <w:tc>
          <w:tcPr>
            <w:tcW w:w="6420" w:type="dxa"/>
          </w:tcPr>
          <w:p w14:paraId="1CBC58C2"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Liver</w:t>
            </w:r>
          </w:p>
        </w:tc>
        <w:tc>
          <w:tcPr>
            <w:tcW w:w="2805" w:type="dxa"/>
          </w:tcPr>
          <w:p w14:paraId="00A5D6D5"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09E0A9A0" w14:textId="77777777" w:rsidTr="00746436">
        <w:trPr>
          <w:trHeight w:val="300"/>
        </w:trPr>
        <w:tc>
          <w:tcPr>
            <w:tcW w:w="6420" w:type="dxa"/>
          </w:tcPr>
          <w:p w14:paraId="35912927"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Head/Neck</w:t>
            </w:r>
          </w:p>
        </w:tc>
        <w:tc>
          <w:tcPr>
            <w:tcW w:w="2805" w:type="dxa"/>
          </w:tcPr>
          <w:p w14:paraId="1CE4A027"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699C0859" w14:textId="77777777" w:rsidTr="00746436">
        <w:trPr>
          <w:trHeight w:val="300"/>
        </w:trPr>
        <w:tc>
          <w:tcPr>
            <w:tcW w:w="6420" w:type="dxa"/>
          </w:tcPr>
          <w:p w14:paraId="0AD80E1C"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Pancreatic</w:t>
            </w:r>
          </w:p>
        </w:tc>
        <w:tc>
          <w:tcPr>
            <w:tcW w:w="2805" w:type="dxa"/>
          </w:tcPr>
          <w:p w14:paraId="1DA1F761"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5BC29730" w14:textId="77777777" w:rsidTr="00746436">
        <w:trPr>
          <w:trHeight w:val="300"/>
        </w:trPr>
        <w:tc>
          <w:tcPr>
            <w:tcW w:w="6420" w:type="dxa"/>
          </w:tcPr>
          <w:p w14:paraId="21F91C72"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Thyroid</w:t>
            </w:r>
          </w:p>
        </w:tc>
        <w:tc>
          <w:tcPr>
            <w:tcW w:w="2805" w:type="dxa"/>
          </w:tcPr>
          <w:p w14:paraId="6CC4FA48"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77648B67" w14:textId="77777777" w:rsidTr="00746436">
        <w:trPr>
          <w:trHeight w:val="300"/>
        </w:trPr>
        <w:tc>
          <w:tcPr>
            <w:tcW w:w="6420" w:type="dxa"/>
          </w:tcPr>
          <w:p w14:paraId="532EF004" w14:textId="77777777" w:rsidR="00746436" w:rsidRDefault="00746436" w:rsidP="007E4186">
            <w:pPr>
              <w:rPr>
                <w:color w:val="000000" w:themeColor="text1"/>
                <w:sz w:val="24"/>
                <w:szCs w:val="24"/>
                <w:lang w:val="en-US"/>
              </w:rPr>
            </w:pPr>
            <w:r w:rsidRPr="4BACB0BB">
              <w:rPr>
                <w:color w:val="000000" w:themeColor="text1"/>
                <w:sz w:val="24"/>
                <w:szCs w:val="24"/>
                <w:lang w:val="en-US"/>
              </w:rPr>
              <w:t xml:space="preserve">   Thymoma</w:t>
            </w:r>
          </w:p>
        </w:tc>
        <w:tc>
          <w:tcPr>
            <w:tcW w:w="2805" w:type="dxa"/>
          </w:tcPr>
          <w:p w14:paraId="4ABAB2A7" w14:textId="77777777" w:rsidR="00746436" w:rsidRDefault="00746436" w:rsidP="007E4186">
            <w:pPr>
              <w:jc w:val="center"/>
              <w:rPr>
                <w:color w:val="000000" w:themeColor="text1"/>
                <w:sz w:val="24"/>
                <w:szCs w:val="24"/>
                <w:lang w:val="en-US"/>
              </w:rPr>
            </w:pPr>
            <w:r w:rsidRPr="4BACB0BB">
              <w:rPr>
                <w:color w:val="000000" w:themeColor="text1"/>
                <w:sz w:val="24"/>
                <w:szCs w:val="24"/>
                <w:lang w:val="en-US"/>
              </w:rPr>
              <w:t>.8%</w:t>
            </w:r>
          </w:p>
        </w:tc>
      </w:tr>
      <w:tr w:rsidR="00746436" w14:paraId="20134293" w14:textId="77777777" w:rsidTr="00746436">
        <w:trPr>
          <w:trHeight w:val="300"/>
        </w:trPr>
        <w:tc>
          <w:tcPr>
            <w:tcW w:w="6420" w:type="dxa"/>
          </w:tcPr>
          <w:p w14:paraId="6744ED58" w14:textId="77777777" w:rsidR="00746436" w:rsidRDefault="00746436" w:rsidP="007E4186">
            <w:pPr>
              <w:rPr>
                <w:b/>
                <w:bCs/>
                <w:color w:val="000000" w:themeColor="text1"/>
                <w:sz w:val="24"/>
                <w:szCs w:val="24"/>
              </w:rPr>
            </w:pPr>
            <w:r w:rsidRPr="4BACB0BB">
              <w:rPr>
                <w:b/>
                <w:bCs/>
                <w:color w:val="000000" w:themeColor="text1"/>
                <w:sz w:val="24"/>
                <w:szCs w:val="24"/>
                <w:lang w:val="en-US"/>
              </w:rPr>
              <w:t>Stage</w:t>
            </w:r>
          </w:p>
        </w:tc>
        <w:tc>
          <w:tcPr>
            <w:tcW w:w="2805" w:type="dxa"/>
          </w:tcPr>
          <w:p w14:paraId="5A523DA1" w14:textId="77777777" w:rsidR="00746436" w:rsidRDefault="00746436" w:rsidP="007E4186">
            <w:pPr>
              <w:jc w:val="center"/>
              <w:rPr>
                <w:color w:val="000000" w:themeColor="text1"/>
                <w:sz w:val="24"/>
                <w:szCs w:val="24"/>
              </w:rPr>
            </w:pPr>
          </w:p>
        </w:tc>
      </w:tr>
      <w:tr w:rsidR="00746436" w14:paraId="57B130CB" w14:textId="77777777" w:rsidTr="00746436">
        <w:trPr>
          <w:trHeight w:val="300"/>
        </w:trPr>
        <w:tc>
          <w:tcPr>
            <w:tcW w:w="6420" w:type="dxa"/>
          </w:tcPr>
          <w:p w14:paraId="1DEDC943"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I, II</w:t>
            </w:r>
          </w:p>
        </w:tc>
        <w:tc>
          <w:tcPr>
            <w:tcW w:w="2805" w:type="dxa"/>
          </w:tcPr>
          <w:p w14:paraId="464ECA3C" w14:textId="77777777" w:rsidR="00746436" w:rsidRDefault="00746436" w:rsidP="007E4186">
            <w:pPr>
              <w:jc w:val="center"/>
              <w:rPr>
                <w:color w:val="000000" w:themeColor="text1"/>
                <w:sz w:val="24"/>
                <w:szCs w:val="24"/>
              </w:rPr>
            </w:pPr>
            <w:r w:rsidRPr="4BACB0BB">
              <w:rPr>
                <w:color w:val="000000" w:themeColor="text1"/>
                <w:sz w:val="24"/>
                <w:szCs w:val="24"/>
                <w:lang w:val="en-US"/>
              </w:rPr>
              <w:t>18%</w:t>
            </w:r>
          </w:p>
        </w:tc>
      </w:tr>
      <w:tr w:rsidR="00746436" w14:paraId="21D6BBDC" w14:textId="77777777" w:rsidTr="00746436">
        <w:trPr>
          <w:trHeight w:val="300"/>
        </w:trPr>
        <w:tc>
          <w:tcPr>
            <w:tcW w:w="6420" w:type="dxa"/>
          </w:tcPr>
          <w:p w14:paraId="43A9C326" w14:textId="77777777" w:rsidR="00746436" w:rsidRDefault="00746436" w:rsidP="007E4186">
            <w:pPr>
              <w:rPr>
                <w:b/>
                <w:bCs/>
                <w:color w:val="000000" w:themeColor="text1"/>
                <w:sz w:val="24"/>
                <w:szCs w:val="24"/>
              </w:rPr>
            </w:pPr>
            <w:r w:rsidRPr="4BACB0BB">
              <w:rPr>
                <w:color w:val="000000" w:themeColor="text1"/>
                <w:sz w:val="24"/>
                <w:szCs w:val="24"/>
                <w:lang w:val="en-US"/>
              </w:rPr>
              <w:t xml:space="preserve">   II, IV</w:t>
            </w:r>
          </w:p>
        </w:tc>
        <w:tc>
          <w:tcPr>
            <w:tcW w:w="2805" w:type="dxa"/>
          </w:tcPr>
          <w:p w14:paraId="62B055C1" w14:textId="77777777" w:rsidR="00746436" w:rsidRDefault="00746436" w:rsidP="007E4186">
            <w:pPr>
              <w:jc w:val="center"/>
              <w:rPr>
                <w:color w:val="000000" w:themeColor="text1"/>
                <w:sz w:val="24"/>
                <w:szCs w:val="24"/>
              </w:rPr>
            </w:pPr>
            <w:r w:rsidRPr="4BACB0BB">
              <w:rPr>
                <w:color w:val="000000" w:themeColor="text1"/>
                <w:sz w:val="24"/>
                <w:szCs w:val="24"/>
                <w:lang w:val="en-US"/>
              </w:rPr>
              <w:t xml:space="preserve">39% </w:t>
            </w:r>
          </w:p>
        </w:tc>
      </w:tr>
    </w:tbl>
    <w:p w14:paraId="48E68105" w14:textId="77777777" w:rsidR="00746436" w:rsidRPr="00746436" w:rsidRDefault="00746436" w:rsidP="00CD0342">
      <w:pPr>
        <w:pBdr>
          <w:top w:val="nil"/>
          <w:left w:val="nil"/>
          <w:bottom w:val="nil"/>
          <w:right w:val="nil"/>
          <w:between w:val="nil"/>
        </w:pBdr>
        <w:spacing w:line="360" w:lineRule="auto"/>
        <w:ind w:firstLine="708"/>
        <w:jc w:val="both"/>
        <w:rPr>
          <w:color w:val="000000"/>
          <w:lang w:val="en-US"/>
        </w:rPr>
      </w:pPr>
    </w:p>
    <w:p w14:paraId="2D9EAB65" w14:textId="5D2B46F3" w:rsidR="00D14059" w:rsidRPr="00D14059" w:rsidRDefault="3AA7ECE4" w:rsidP="00CD0342">
      <w:pPr>
        <w:pBdr>
          <w:top w:val="nil"/>
          <w:left w:val="nil"/>
          <w:bottom w:val="nil"/>
          <w:right w:val="nil"/>
          <w:between w:val="nil"/>
        </w:pBdr>
        <w:spacing w:line="360" w:lineRule="auto"/>
        <w:ind w:firstLine="720"/>
        <w:jc w:val="both"/>
        <w:rPr>
          <w:color w:val="000000" w:themeColor="text1"/>
          <w:lang w:val="en-US"/>
        </w:rPr>
      </w:pPr>
      <w:r w:rsidRPr="4BACB0BB">
        <w:rPr>
          <w:color w:val="000000" w:themeColor="text1"/>
          <w:lang w:val="en-US"/>
        </w:rPr>
        <w:t xml:space="preserve"> </w:t>
      </w:r>
      <w:r w:rsidR="00D14059" w:rsidRPr="00D14059">
        <w:rPr>
          <w:color w:val="000000" w:themeColor="text1"/>
          <w:lang w:val="en-US"/>
        </w:rPr>
        <w:t xml:space="preserve">We performed a series of Mann-Whitney U tests to evaluate whether symptoms of anxiety and depression differed by gender. Two hypotheses: female participants would report higher levels of anxiety, and female participants would report higher levels of depression than male participants. The results indicated that women had significantly greater anxiety scores than men, U = </w:t>
      </w:r>
      <w:r w:rsidR="005A42E7">
        <w:rPr>
          <w:color w:val="000000" w:themeColor="text1"/>
          <w:lang w:val="en-US"/>
        </w:rPr>
        <w:t>5</w:t>
      </w:r>
      <w:r w:rsidR="00D14059" w:rsidRPr="00D14059">
        <w:rPr>
          <w:color w:val="000000" w:themeColor="text1"/>
          <w:lang w:val="en-US"/>
        </w:rPr>
        <w:t>62</w:t>
      </w:r>
      <w:r w:rsidR="005A42E7">
        <w:rPr>
          <w:color w:val="000000" w:themeColor="text1"/>
          <w:lang w:val="en-US"/>
        </w:rPr>
        <w:t>4</w:t>
      </w:r>
      <w:r w:rsidR="00D14059" w:rsidRPr="00D14059">
        <w:rPr>
          <w:color w:val="000000" w:themeColor="text1"/>
          <w:lang w:val="en-US"/>
        </w:rPr>
        <w:t xml:space="preserve">.00, p = .006, as well as significantly greater depression scores, U = </w:t>
      </w:r>
      <w:r w:rsidR="005A42E7">
        <w:rPr>
          <w:color w:val="000000" w:themeColor="text1"/>
          <w:lang w:val="en-US"/>
        </w:rPr>
        <w:t>5565</w:t>
      </w:r>
      <w:r w:rsidR="00D14059" w:rsidRPr="00D14059">
        <w:rPr>
          <w:color w:val="000000" w:themeColor="text1"/>
          <w:lang w:val="en-US"/>
        </w:rPr>
        <w:t>.</w:t>
      </w:r>
      <w:r w:rsidR="005A42E7">
        <w:rPr>
          <w:color w:val="000000" w:themeColor="text1"/>
          <w:lang w:val="en-US"/>
        </w:rPr>
        <w:t>0</w:t>
      </w:r>
      <w:r w:rsidR="00D14059" w:rsidRPr="00D14059">
        <w:rPr>
          <w:color w:val="000000" w:themeColor="text1"/>
          <w:lang w:val="en-US"/>
        </w:rPr>
        <w:t>0, p = .005.</w:t>
      </w:r>
    </w:p>
    <w:p w14:paraId="4FCC16B8" w14:textId="57EC7D2F" w:rsidR="00CD0342" w:rsidRDefault="00D14059" w:rsidP="00CD0342">
      <w:pPr>
        <w:pBdr>
          <w:top w:val="nil"/>
          <w:left w:val="nil"/>
          <w:bottom w:val="nil"/>
          <w:right w:val="nil"/>
          <w:between w:val="nil"/>
        </w:pBdr>
        <w:spacing w:line="360" w:lineRule="auto"/>
        <w:ind w:firstLine="720"/>
        <w:jc w:val="both"/>
        <w:rPr>
          <w:color w:val="000000" w:themeColor="text1"/>
          <w:lang w:val="en-US"/>
        </w:rPr>
      </w:pPr>
      <w:r w:rsidRPr="00D14059">
        <w:rPr>
          <w:color w:val="000000" w:themeColor="text1"/>
          <w:lang w:val="en-US"/>
        </w:rPr>
        <w:t xml:space="preserve">Secondly, we performed a series of Mann-Whitney U tests to evaluate whether symptoms of anxiety and depression differed by perception of income sufficiency. Two hypotheses: </w:t>
      </w:r>
      <w:r w:rsidRPr="00D14059">
        <w:rPr>
          <w:color w:val="000000" w:themeColor="text1"/>
          <w:lang w:val="en-US"/>
        </w:rPr>
        <w:lastRenderedPageBreak/>
        <w:t>Participants who perceived their income as insufficient would report higher levels of anxiety, and participants who perceived their income as insufficient would report higher levels of depression than those perceiving it as sufficient. Perception of income sufficiency was significantly associated with anxiety symptoms</w:t>
      </w:r>
      <w:r w:rsidR="00CD0342">
        <w:rPr>
          <w:color w:val="000000" w:themeColor="text1"/>
          <w:lang w:val="en-US"/>
        </w:rPr>
        <w:t xml:space="preserve"> across all subgroups. However, no statistically significant differences in depression scores were observed. See Table 2 for detailed statistical results. </w:t>
      </w:r>
    </w:p>
    <w:p w14:paraId="0F60110B" w14:textId="41DE6AAB"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Table 2</w:t>
      </w:r>
    </w:p>
    <w:p w14:paraId="6E6CA08E" w14:textId="2E4104C0"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i/>
          <w:iCs/>
          <w:color w:val="000000" w:themeColor="text1"/>
          <w:lang w:val="en-PR"/>
        </w:rPr>
        <w:t>Mann-Whitney U Test Results for Anxiety and Depression by Perception of Income Sufficiency Across Subgroups</w:t>
      </w:r>
    </w:p>
    <w:tbl>
      <w:tblPr>
        <w:tblW w:w="935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2835"/>
        <w:gridCol w:w="2551"/>
        <w:gridCol w:w="1276"/>
      </w:tblGrid>
      <w:tr w:rsidR="00CD0342" w:rsidRPr="00CD0342" w14:paraId="29DBB7C4" w14:textId="77777777" w:rsidTr="00CD0342">
        <w:trPr>
          <w:trHeight w:val="412"/>
          <w:tblHeader/>
          <w:tblCellSpacing w:w="15" w:type="dxa"/>
        </w:trPr>
        <w:tc>
          <w:tcPr>
            <w:tcW w:w="2649" w:type="dxa"/>
            <w:tcBorders>
              <w:top w:val="nil"/>
              <w:bottom w:val="single" w:sz="4" w:space="0" w:color="auto"/>
            </w:tcBorders>
            <w:vAlign w:val="center"/>
            <w:hideMark/>
          </w:tcPr>
          <w:p w14:paraId="58584C5D" w14:textId="77777777" w:rsidR="00CD0342" w:rsidRPr="00CD0342" w:rsidRDefault="00CD0342" w:rsidP="00CD0342">
            <w:pPr>
              <w:pBdr>
                <w:top w:val="nil"/>
                <w:left w:val="nil"/>
                <w:bottom w:val="nil"/>
                <w:right w:val="nil"/>
                <w:between w:val="nil"/>
              </w:pBdr>
              <w:spacing w:line="360" w:lineRule="auto"/>
              <w:jc w:val="both"/>
              <w:rPr>
                <w:b/>
                <w:bCs/>
                <w:color w:val="000000" w:themeColor="text1"/>
                <w:lang w:val="en-PR"/>
              </w:rPr>
            </w:pPr>
            <w:r w:rsidRPr="00CD0342">
              <w:rPr>
                <w:b/>
                <w:bCs/>
                <w:color w:val="000000" w:themeColor="text1"/>
                <w:lang w:val="en-PR"/>
              </w:rPr>
              <w:t>Subgroup</w:t>
            </w:r>
          </w:p>
        </w:tc>
        <w:tc>
          <w:tcPr>
            <w:tcW w:w="2805" w:type="dxa"/>
            <w:tcBorders>
              <w:top w:val="nil"/>
              <w:bottom w:val="single" w:sz="4" w:space="0" w:color="auto"/>
            </w:tcBorders>
            <w:vAlign w:val="center"/>
            <w:hideMark/>
          </w:tcPr>
          <w:p w14:paraId="4E767176" w14:textId="77777777" w:rsidR="00CD0342" w:rsidRPr="00CD0342" w:rsidRDefault="00CD0342" w:rsidP="00CD0342">
            <w:pPr>
              <w:pBdr>
                <w:top w:val="nil"/>
                <w:left w:val="nil"/>
                <w:bottom w:val="nil"/>
                <w:right w:val="nil"/>
                <w:between w:val="nil"/>
              </w:pBdr>
              <w:spacing w:line="360" w:lineRule="auto"/>
              <w:jc w:val="both"/>
              <w:rPr>
                <w:b/>
                <w:bCs/>
                <w:color w:val="000000" w:themeColor="text1"/>
                <w:lang w:val="en-PR"/>
              </w:rPr>
            </w:pPr>
            <w:r w:rsidRPr="00CD0342">
              <w:rPr>
                <w:b/>
                <w:bCs/>
                <w:color w:val="000000" w:themeColor="text1"/>
                <w:lang w:val="en-PR"/>
              </w:rPr>
              <w:t>Outcome</w:t>
            </w:r>
          </w:p>
        </w:tc>
        <w:tc>
          <w:tcPr>
            <w:tcW w:w="2521" w:type="dxa"/>
            <w:tcBorders>
              <w:top w:val="nil"/>
              <w:bottom w:val="single" w:sz="4" w:space="0" w:color="auto"/>
            </w:tcBorders>
            <w:vAlign w:val="center"/>
            <w:hideMark/>
          </w:tcPr>
          <w:p w14:paraId="30EBA85D" w14:textId="77777777" w:rsidR="00CD0342" w:rsidRPr="00CD0342" w:rsidRDefault="00CD0342" w:rsidP="00CD0342">
            <w:pPr>
              <w:pBdr>
                <w:top w:val="nil"/>
                <w:left w:val="nil"/>
                <w:bottom w:val="nil"/>
                <w:right w:val="nil"/>
                <w:between w:val="nil"/>
              </w:pBdr>
              <w:spacing w:line="360" w:lineRule="auto"/>
              <w:jc w:val="both"/>
              <w:rPr>
                <w:b/>
                <w:bCs/>
                <w:color w:val="000000" w:themeColor="text1"/>
                <w:lang w:val="en-PR"/>
              </w:rPr>
            </w:pPr>
            <w:r w:rsidRPr="00CD0342">
              <w:rPr>
                <w:b/>
                <w:bCs/>
                <w:color w:val="000000" w:themeColor="text1"/>
                <w:lang w:val="en-PR"/>
              </w:rPr>
              <w:t>U</w:t>
            </w:r>
          </w:p>
        </w:tc>
        <w:tc>
          <w:tcPr>
            <w:tcW w:w="1231" w:type="dxa"/>
            <w:tcBorders>
              <w:top w:val="nil"/>
              <w:bottom w:val="single" w:sz="4" w:space="0" w:color="auto"/>
            </w:tcBorders>
            <w:vAlign w:val="center"/>
            <w:hideMark/>
          </w:tcPr>
          <w:p w14:paraId="5BA6D239" w14:textId="77777777" w:rsidR="00CD0342" w:rsidRPr="00CD0342" w:rsidRDefault="00CD0342" w:rsidP="00CD0342">
            <w:pPr>
              <w:pBdr>
                <w:top w:val="nil"/>
                <w:left w:val="nil"/>
                <w:bottom w:val="nil"/>
                <w:right w:val="nil"/>
                <w:between w:val="nil"/>
              </w:pBdr>
              <w:spacing w:line="360" w:lineRule="auto"/>
              <w:jc w:val="both"/>
              <w:rPr>
                <w:b/>
                <w:bCs/>
                <w:color w:val="000000" w:themeColor="text1"/>
                <w:lang w:val="en-PR"/>
              </w:rPr>
            </w:pPr>
            <w:r w:rsidRPr="00CD0342">
              <w:rPr>
                <w:b/>
                <w:bCs/>
                <w:color w:val="000000" w:themeColor="text1"/>
                <w:lang w:val="en-PR"/>
              </w:rPr>
              <w:t>p-value</w:t>
            </w:r>
          </w:p>
        </w:tc>
      </w:tr>
      <w:tr w:rsidR="00CD0342" w:rsidRPr="00CD0342" w14:paraId="6A35821B" w14:textId="77777777" w:rsidTr="00CD0342">
        <w:trPr>
          <w:trHeight w:val="430"/>
          <w:tblCellSpacing w:w="15" w:type="dxa"/>
        </w:trPr>
        <w:tc>
          <w:tcPr>
            <w:tcW w:w="2649" w:type="dxa"/>
            <w:vAlign w:val="center"/>
            <w:hideMark/>
          </w:tcPr>
          <w:p w14:paraId="6D25929F"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Women</w:t>
            </w:r>
          </w:p>
        </w:tc>
        <w:tc>
          <w:tcPr>
            <w:tcW w:w="2805" w:type="dxa"/>
            <w:vAlign w:val="center"/>
            <w:hideMark/>
          </w:tcPr>
          <w:p w14:paraId="5576D559"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Anxiety</w:t>
            </w:r>
          </w:p>
        </w:tc>
        <w:tc>
          <w:tcPr>
            <w:tcW w:w="2521" w:type="dxa"/>
            <w:vAlign w:val="center"/>
            <w:hideMark/>
          </w:tcPr>
          <w:p w14:paraId="4AE38D46"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2140.00</w:t>
            </w:r>
          </w:p>
        </w:tc>
        <w:tc>
          <w:tcPr>
            <w:tcW w:w="1231" w:type="dxa"/>
            <w:vAlign w:val="center"/>
            <w:hideMark/>
          </w:tcPr>
          <w:p w14:paraId="16AF9D62"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.013*</w:t>
            </w:r>
          </w:p>
        </w:tc>
      </w:tr>
      <w:tr w:rsidR="00CD0342" w:rsidRPr="00CD0342" w14:paraId="1B388A17" w14:textId="77777777" w:rsidTr="00CD0342">
        <w:trPr>
          <w:trHeight w:val="412"/>
          <w:tblCellSpacing w:w="15" w:type="dxa"/>
        </w:trPr>
        <w:tc>
          <w:tcPr>
            <w:tcW w:w="2649" w:type="dxa"/>
            <w:vAlign w:val="center"/>
            <w:hideMark/>
          </w:tcPr>
          <w:p w14:paraId="21CD26EB"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p>
        </w:tc>
        <w:tc>
          <w:tcPr>
            <w:tcW w:w="2805" w:type="dxa"/>
            <w:vAlign w:val="center"/>
            <w:hideMark/>
          </w:tcPr>
          <w:p w14:paraId="565AC86E"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Depression</w:t>
            </w:r>
          </w:p>
        </w:tc>
        <w:tc>
          <w:tcPr>
            <w:tcW w:w="2521" w:type="dxa"/>
            <w:vAlign w:val="center"/>
            <w:hideMark/>
          </w:tcPr>
          <w:p w14:paraId="73C8139A"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1684.50</w:t>
            </w:r>
          </w:p>
        </w:tc>
        <w:tc>
          <w:tcPr>
            <w:tcW w:w="1231" w:type="dxa"/>
            <w:vAlign w:val="center"/>
            <w:hideMark/>
          </w:tcPr>
          <w:p w14:paraId="5DA4ED82"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.843</w:t>
            </w:r>
          </w:p>
        </w:tc>
      </w:tr>
      <w:tr w:rsidR="00CD0342" w:rsidRPr="00CD0342" w14:paraId="676215C0" w14:textId="77777777" w:rsidTr="00CD0342">
        <w:trPr>
          <w:trHeight w:val="412"/>
          <w:tblCellSpacing w:w="15" w:type="dxa"/>
        </w:trPr>
        <w:tc>
          <w:tcPr>
            <w:tcW w:w="2649" w:type="dxa"/>
            <w:vAlign w:val="center"/>
            <w:hideMark/>
          </w:tcPr>
          <w:p w14:paraId="6316637A"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Men</w:t>
            </w:r>
          </w:p>
        </w:tc>
        <w:tc>
          <w:tcPr>
            <w:tcW w:w="2805" w:type="dxa"/>
            <w:vAlign w:val="center"/>
            <w:hideMark/>
          </w:tcPr>
          <w:p w14:paraId="6CF33854"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Anxiety</w:t>
            </w:r>
          </w:p>
        </w:tc>
        <w:tc>
          <w:tcPr>
            <w:tcW w:w="2521" w:type="dxa"/>
            <w:vAlign w:val="center"/>
            <w:hideMark/>
          </w:tcPr>
          <w:p w14:paraId="49C4D5C4"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736.50</w:t>
            </w:r>
          </w:p>
        </w:tc>
        <w:tc>
          <w:tcPr>
            <w:tcW w:w="1231" w:type="dxa"/>
            <w:vAlign w:val="center"/>
            <w:hideMark/>
          </w:tcPr>
          <w:p w14:paraId="1F49A595"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.043*</w:t>
            </w:r>
          </w:p>
        </w:tc>
      </w:tr>
      <w:tr w:rsidR="00CD0342" w:rsidRPr="00CD0342" w14:paraId="5D5E9B1B" w14:textId="77777777" w:rsidTr="00CD0342">
        <w:trPr>
          <w:trHeight w:val="412"/>
          <w:tblCellSpacing w:w="15" w:type="dxa"/>
        </w:trPr>
        <w:tc>
          <w:tcPr>
            <w:tcW w:w="2649" w:type="dxa"/>
            <w:vAlign w:val="center"/>
            <w:hideMark/>
          </w:tcPr>
          <w:p w14:paraId="38E951AC"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p>
        </w:tc>
        <w:tc>
          <w:tcPr>
            <w:tcW w:w="2805" w:type="dxa"/>
            <w:vAlign w:val="center"/>
            <w:hideMark/>
          </w:tcPr>
          <w:p w14:paraId="69EF150A"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Depression</w:t>
            </w:r>
          </w:p>
        </w:tc>
        <w:tc>
          <w:tcPr>
            <w:tcW w:w="2521" w:type="dxa"/>
            <w:vAlign w:val="center"/>
            <w:hideMark/>
          </w:tcPr>
          <w:p w14:paraId="14070D82"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638.50</w:t>
            </w:r>
          </w:p>
        </w:tc>
        <w:tc>
          <w:tcPr>
            <w:tcW w:w="1231" w:type="dxa"/>
            <w:vAlign w:val="center"/>
            <w:hideMark/>
          </w:tcPr>
          <w:p w14:paraId="6D9DE4C7"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.419</w:t>
            </w:r>
          </w:p>
        </w:tc>
      </w:tr>
      <w:tr w:rsidR="00CD0342" w:rsidRPr="00CD0342" w14:paraId="437C7A2B" w14:textId="77777777" w:rsidTr="00CD0342">
        <w:trPr>
          <w:trHeight w:val="430"/>
          <w:tblCellSpacing w:w="15" w:type="dxa"/>
        </w:trPr>
        <w:tc>
          <w:tcPr>
            <w:tcW w:w="2649" w:type="dxa"/>
            <w:vAlign w:val="center"/>
            <w:hideMark/>
          </w:tcPr>
          <w:p w14:paraId="11713B8B"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Patients</w:t>
            </w:r>
          </w:p>
        </w:tc>
        <w:tc>
          <w:tcPr>
            <w:tcW w:w="2805" w:type="dxa"/>
            <w:vAlign w:val="center"/>
            <w:hideMark/>
          </w:tcPr>
          <w:p w14:paraId="40060A14"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Anxiety</w:t>
            </w:r>
          </w:p>
        </w:tc>
        <w:tc>
          <w:tcPr>
            <w:tcW w:w="2521" w:type="dxa"/>
            <w:vAlign w:val="center"/>
            <w:hideMark/>
          </w:tcPr>
          <w:p w14:paraId="42BD7F27"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1528.00</w:t>
            </w:r>
          </w:p>
        </w:tc>
        <w:tc>
          <w:tcPr>
            <w:tcW w:w="1231" w:type="dxa"/>
            <w:vAlign w:val="center"/>
            <w:hideMark/>
          </w:tcPr>
          <w:p w14:paraId="7AC3C57E"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.019*</w:t>
            </w:r>
          </w:p>
        </w:tc>
      </w:tr>
      <w:tr w:rsidR="00CD0342" w:rsidRPr="00CD0342" w14:paraId="08E7ECD7" w14:textId="77777777" w:rsidTr="00CD0342">
        <w:trPr>
          <w:trHeight w:val="412"/>
          <w:tblCellSpacing w:w="15" w:type="dxa"/>
        </w:trPr>
        <w:tc>
          <w:tcPr>
            <w:tcW w:w="2649" w:type="dxa"/>
            <w:vAlign w:val="center"/>
            <w:hideMark/>
          </w:tcPr>
          <w:p w14:paraId="1967A628"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p>
        </w:tc>
        <w:tc>
          <w:tcPr>
            <w:tcW w:w="2805" w:type="dxa"/>
            <w:vAlign w:val="center"/>
            <w:hideMark/>
          </w:tcPr>
          <w:p w14:paraId="385DFA8A"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Depression</w:t>
            </w:r>
          </w:p>
        </w:tc>
        <w:tc>
          <w:tcPr>
            <w:tcW w:w="2521" w:type="dxa"/>
            <w:vAlign w:val="center"/>
            <w:hideMark/>
          </w:tcPr>
          <w:p w14:paraId="086147D8"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1327.00</w:t>
            </w:r>
          </w:p>
        </w:tc>
        <w:tc>
          <w:tcPr>
            <w:tcW w:w="1231" w:type="dxa"/>
            <w:vAlign w:val="center"/>
            <w:hideMark/>
          </w:tcPr>
          <w:p w14:paraId="170DD66E"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.564</w:t>
            </w:r>
          </w:p>
        </w:tc>
      </w:tr>
      <w:tr w:rsidR="00CD0342" w:rsidRPr="00CD0342" w14:paraId="7D5EEE70" w14:textId="77777777" w:rsidTr="00CD0342">
        <w:trPr>
          <w:trHeight w:val="412"/>
          <w:tblCellSpacing w:w="15" w:type="dxa"/>
        </w:trPr>
        <w:tc>
          <w:tcPr>
            <w:tcW w:w="2649" w:type="dxa"/>
            <w:vAlign w:val="center"/>
            <w:hideMark/>
          </w:tcPr>
          <w:p w14:paraId="4475B465"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Caregivers</w:t>
            </w:r>
          </w:p>
        </w:tc>
        <w:tc>
          <w:tcPr>
            <w:tcW w:w="2805" w:type="dxa"/>
            <w:vAlign w:val="center"/>
            <w:hideMark/>
          </w:tcPr>
          <w:p w14:paraId="72965AAF"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Anxiety</w:t>
            </w:r>
          </w:p>
        </w:tc>
        <w:tc>
          <w:tcPr>
            <w:tcW w:w="2521" w:type="dxa"/>
            <w:vAlign w:val="center"/>
            <w:hideMark/>
          </w:tcPr>
          <w:p w14:paraId="0D21DD2B"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1219.00</w:t>
            </w:r>
          </w:p>
        </w:tc>
        <w:tc>
          <w:tcPr>
            <w:tcW w:w="1231" w:type="dxa"/>
            <w:vAlign w:val="center"/>
            <w:hideMark/>
          </w:tcPr>
          <w:p w14:paraId="672E7C2E" w14:textId="31C2C122"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.002*</w:t>
            </w:r>
          </w:p>
        </w:tc>
      </w:tr>
      <w:tr w:rsidR="00CD0342" w:rsidRPr="00CD0342" w14:paraId="7E5685ED" w14:textId="77777777" w:rsidTr="00CD0342">
        <w:trPr>
          <w:trHeight w:val="430"/>
          <w:tblCellSpacing w:w="15" w:type="dxa"/>
        </w:trPr>
        <w:tc>
          <w:tcPr>
            <w:tcW w:w="2649" w:type="dxa"/>
            <w:vAlign w:val="center"/>
            <w:hideMark/>
          </w:tcPr>
          <w:p w14:paraId="3DEE36F3"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p>
        </w:tc>
        <w:tc>
          <w:tcPr>
            <w:tcW w:w="2805" w:type="dxa"/>
            <w:vAlign w:val="center"/>
            <w:hideMark/>
          </w:tcPr>
          <w:p w14:paraId="76BED048"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Depression</w:t>
            </w:r>
          </w:p>
        </w:tc>
        <w:tc>
          <w:tcPr>
            <w:tcW w:w="2521" w:type="dxa"/>
            <w:vAlign w:val="center"/>
            <w:hideMark/>
          </w:tcPr>
          <w:p w14:paraId="1149495A"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931.50</w:t>
            </w:r>
          </w:p>
        </w:tc>
        <w:tc>
          <w:tcPr>
            <w:tcW w:w="1231" w:type="dxa"/>
            <w:vAlign w:val="center"/>
            <w:hideMark/>
          </w:tcPr>
          <w:p w14:paraId="438FCA73" w14:textId="77777777" w:rsidR="00CD0342" w:rsidRPr="00CD0342" w:rsidRDefault="00CD0342" w:rsidP="00CD0342">
            <w:pPr>
              <w:pBdr>
                <w:top w:val="nil"/>
                <w:left w:val="nil"/>
                <w:bottom w:val="nil"/>
                <w:right w:val="nil"/>
                <w:between w:val="nil"/>
              </w:pBdr>
              <w:spacing w:line="360" w:lineRule="auto"/>
              <w:jc w:val="both"/>
              <w:rPr>
                <w:color w:val="000000" w:themeColor="text1"/>
                <w:lang w:val="en-PR"/>
              </w:rPr>
            </w:pPr>
            <w:r w:rsidRPr="00CD0342">
              <w:rPr>
                <w:color w:val="000000" w:themeColor="text1"/>
                <w:lang w:val="en-PR"/>
              </w:rPr>
              <w:t>.673</w:t>
            </w:r>
          </w:p>
        </w:tc>
      </w:tr>
    </w:tbl>
    <w:p w14:paraId="4E3520DE" w14:textId="1825B805" w:rsidR="00CD0342" w:rsidRPr="00CD0342" w:rsidRDefault="00CD0342" w:rsidP="00CD0342">
      <w:pPr>
        <w:pBdr>
          <w:top w:val="nil"/>
          <w:left w:val="nil"/>
          <w:bottom w:val="nil"/>
          <w:right w:val="nil"/>
          <w:between w:val="nil"/>
        </w:pBdr>
        <w:spacing w:line="360" w:lineRule="auto"/>
        <w:jc w:val="both"/>
        <w:rPr>
          <w:color w:val="000000" w:themeColor="text1"/>
          <w:lang w:val="en-US"/>
        </w:rPr>
      </w:pPr>
      <w:r>
        <w:rPr>
          <w:i/>
          <w:iCs/>
          <w:color w:val="000000" w:themeColor="text1"/>
          <w:lang w:val="en-US"/>
        </w:rPr>
        <w:t>*</w:t>
      </w:r>
      <w:r w:rsidRPr="00CD0342">
        <w:rPr>
          <w:color w:val="000000" w:themeColor="text1"/>
          <w:lang w:val="en-US"/>
        </w:rPr>
        <w:t> </w:t>
      </w:r>
      <w:r w:rsidRPr="00CD0342">
        <w:rPr>
          <w:i/>
          <w:iCs/>
          <w:color w:val="000000" w:themeColor="text1"/>
          <w:lang w:val="en-US"/>
        </w:rPr>
        <w:t>p</w:t>
      </w:r>
      <w:r w:rsidRPr="00CD0342">
        <w:rPr>
          <w:color w:val="000000" w:themeColor="text1"/>
          <w:lang w:val="en-US"/>
        </w:rPr>
        <w:t xml:space="preserve"> &lt; .05  </w:t>
      </w:r>
    </w:p>
    <w:p w14:paraId="2D91784C" w14:textId="139E2DE5" w:rsidR="00D14059" w:rsidRDefault="00D14059" w:rsidP="00D14059">
      <w:pPr>
        <w:pBdr>
          <w:top w:val="nil"/>
          <w:left w:val="nil"/>
          <w:bottom w:val="nil"/>
          <w:right w:val="nil"/>
          <w:between w:val="nil"/>
        </w:pBdr>
        <w:spacing w:line="360" w:lineRule="auto"/>
        <w:ind w:firstLine="720"/>
        <w:jc w:val="both"/>
        <w:rPr>
          <w:color w:val="000000" w:themeColor="text1"/>
          <w:lang w:val="en-US"/>
        </w:rPr>
      </w:pPr>
      <w:r w:rsidRPr="00D14059">
        <w:rPr>
          <w:color w:val="000000" w:themeColor="text1"/>
          <w:lang w:val="en-US"/>
        </w:rPr>
        <w:t xml:space="preserve">Finally, we performed a series of Mann-Whitney U tests to evaluate whether symptoms of anxiety and depression differed by cancer stage. Two hypotheses: Patients in advanced stages of cancer would report higher levels of anxiety, and patients in advanced stages of cancer would report higher levels of depression compared to patients in early stages. Patients with advanced-stage cancer (Stage III-IV) had significantly higher anxiety scores than patients with early-stage cancer (Stage I–II), U = </w:t>
      </w:r>
      <w:r w:rsidR="005A42E7">
        <w:rPr>
          <w:color w:val="000000" w:themeColor="text1"/>
          <w:lang w:val="en-US"/>
        </w:rPr>
        <w:t>125</w:t>
      </w:r>
      <w:r w:rsidRPr="00D14059">
        <w:rPr>
          <w:color w:val="000000" w:themeColor="text1"/>
          <w:lang w:val="en-US"/>
        </w:rPr>
        <w:t xml:space="preserve">.00, p = .006. There was no difference between patients with advanced-stage cancer (Stage III-IV) depression scores and patients with early-stage cancer (Stage I–II), </w:t>
      </w:r>
      <w:r w:rsidRPr="005A42E7">
        <w:rPr>
          <w:color w:val="000000" w:themeColor="text1"/>
          <w:lang w:val="en-US"/>
        </w:rPr>
        <w:t xml:space="preserve">U = </w:t>
      </w:r>
      <w:r w:rsidR="005A42E7" w:rsidRPr="005A42E7">
        <w:rPr>
          <w:color w:val="000000" w:themeColor="text1"/>
          <w:lang w:val="en-US"/>
        </w:rPr>
        <w:t>206.50</w:t>
      </w:r>
      <w:r w:rsidRPr="005A42E7">
        <w:rPr>
          <w:color w:val="000000" w:themeColor="text1"/>
          <w:lang w:val="en-US"/>
        </w:rPr>
        <w:t>, p =.</w:t>
      </w:r>
      <w:r w:rsidR="005A42E7" w:rsidRPr="005A42E7">
        <w:rPr>
          <w:color w:val="000000" w:themeColor="text1"/>
          <w:lang w:val="en-US"/>
        </w:rPr>
        <w:t>109</w:t>
      </w:r>
      <w:r w:rsidRPr="005A42E7">
        <w:rPr>
          <w:color w:val="000000" w:themeColor="text1"/>
          <w:lang w:val="en-US"/>
        </w:rPr>
        <w:t>.</w:t>
      </w:r>
    </w:p>
    <w:p w14:paraId="5F220290" w14:textId="74EFC625" w:rsidR="0010019E" w:rsidRPr="00F672AB" w:rsidRDefault="005B16EC" w:rsidP="00746436">
      <w:pPr>
        <w:pBdr>
          <w:top w:val="nil"/>
          <w:left w:val="nil"/>
          <w:bottom w:val="nil"/>
          <w:right w:val="nil"/>
          <w:between w:val="nil"/>
        </w:pBdr>
        <w:spacing w:line="360" w:lineRule="auto"/>
        <w:jc w:val="both"/>
        <w:rPr>
          <w:b/>
          <w:bCs/>
          <w:color w:val="000000"/>
          <w:lang w:val="en-US"/>
        </w:rPr>
      </w:pPr>
      <w:r w:rsidRPr="4BACB0BB">
        <w:rPr>
          <w:b/>
          <w:bCs/>
          <w:color w:val="000000" w:themeColor="text1"/>
          <w:lang w:val="en-US"/>
        </w:rPr>
        <w:t>Discussion</w:t>
      </w:r>
    </w:p>
    <w:p w14:paraId="4F6B5690" w14:textId="45344B66" w:rsidR="001E5959" w:rsidRPr="001E5959" w:rsidRDefault="001E5959" w:rsidP="001E5959">
      <w:pPr>
        <w:pBdr>
          <w:top w:val="nil"/>
          <w:left w:val="nil"/>
          <w:bottom w:val="nil"/>
          <w:right w:val="nil"/>
          <w:between w:val="nil"/>
        </w:pBdr>
        <w:spacing w:line="360" w:lineRule="auto"/>
        <w:ind w:firstLine="720"/>
        <w:jc w:val="both"/>
        <w:rPr>
          <w:color w:val="000000" w:themeColor="text1"/>
          <w:lang w:val="en-US"/>
        </w:rPr>
      </w:pPr>
      <w:r w:rsidRPr="001E5959">
        <w:rPr>
          <w:color w:val="000000" w:themeColor="text1"/>
          <w:lang w:val="en-US"/>
        </w:rPr>
        <w:t xml:space="preserve">The present study aims to investigate how intersectional identities, including gender, income perception, and cancer stage, influence anxiety and depression among cancer patients and their caregivers. Guided by five hypotheses: (a) female participants would report higher levels of </w:t>
      </w:r>
      <w:r w:rsidRPr="001E5959">
        <w:rPr>
          <w:color w:val="000000" w:themeColor="text1"/>
          <w:lang w:val="en-US"/>
        </w:rPr>
        <w:lastRenderedPageBreak/>
        <w:t xml:space="preserve">anxiety (b) female participants would report higher levels depression than male participants; (c) participants who perceived their income as insufficient would report higher levels of anxiety (d) participants who perceived their income as insufficient would report higher levels of depression than those perceiving it as sufficient; (e) patients in advanced stages of cancer would report higher levels of anxiety; and (f) patients in advanced stages of cancer would report higher levels of depression compared to patients in early stages. The findings suggested a higher intersection of female gender and symptoms of depression and anxiety. Also, perception of income sufficiency was significantly associated with anxiety symptoms. Women, men, patients, and caregivers who perceived their income as insufficient demonstrated significantly higher anxiety. Also, advanced-stage cancer had significantly higher anxiety symptoms. </w:t>
      </w:r>
    </w:p>
    <w:p w14:paraId="63E4A3E8" w14:textId="77777777" w:rsidR="001E5959" w:rsidRPr="001E5959" w:rsidRDefault="001E5959" w:rsidP="00746436">
      <w:pPr>
        <w:pBdr>
          <w:top w:val="nil"/>
          <w:left w:val="nil"/>
          <w:bottom w:val="nil"/>
          <w:right w:val="nil"/>
          <w:between w:val="nil"/>
        </w:pBdr>
        <w:spacing w:line="360" w:lineRule="auto"/>
        <w:ind w:firstLine="720"/>
        <w:jc w:val="both"/>
        <w:rPr>
          <w:color w:val="000000" w:themeColor="text1"/>
          <w:lang w:val="en-US"/>
        </w:rPr>
      </w:pPr>
      <w:r w:rsidRPr="001E5959">
        <w:rPr>
          <w:color w:val="000000" w:themeColor="text1"/>
          <w:lang w:val="en-US"/>
        </w:rPr>
        <w:t>These findings highlight the critical role of the intersection between gender, perceived income sufficiency, and cancer stage in understanding emotional distress among oncology populations. Our findings demonstrating that women experience significantly greater symptoms of anxiety and depression compared to men confirm and extend prior literature on gender-based mental health disparities. This pattern is consistent with systematic reviews suggesting that gender predicts quality of life outcomes and modulates emotional resilience in oncology contexts (Bano et al., 2023). Gender remains a significant independent predictor of worse perceived quality of life and greater symptomatology among oncology patients (Bano et al., 2023)</w:t>
      </w:r>
    </w:p>
    <w:p w14:paraId="5570F411" w14:textId="77777777" w:rsidR="001E5959" w:rsidRPr="001E5959" w:rsidRDefault="001E5959" w:rsidP="001E5959">
      <w:pPr>
        <w:pBdr>
          <w:top w:val="nil"/>
          <w:left w:val="nil"/>
          <w:bottom w:val="nil"/>
          <w:right w:val="nil"/>
          <w:between w:val="nil"/>
        </w:pBdr>
        <w:spacing w:line="360" w:lineRule="auto"/>
        <w:ind w:firstLine="720"/>
        <w:jc w:val="both"/>
        <w:rPr>
          <w:color w:val="000000" w:themeColor="text1"/>
          <w:lang w:val="en-US"/>
        </w:rPr>
      </w:pPr>
      <w:r w:rsidRPr="001E5959">
        <w:rPr>
          <w:color w:val="000000" w:themeColor="text1"/>
          <w:lang w:val="en-US"/>
        </w:rPr>
        <w:t xml:space="preserve">Importantly, our findings highlighted how socioeconomic vulnerability emerged as a potent exacerbator of psychological symptoms, even among caregivers and patients diagnosed with early-stage illness. Participants' perception of financial hardship robustly predicted anxiety levels, even in the absence of objective poverty, supporting prior findings that subjective financial strain is a powerful determinant of distress (Lyon et al., 2021). These disparities persisted across cancer stages, suggesting that emotional suffering is not solely a function of disease severity (Kirsch et al., 2024). In our study, participants who perceived their income as insufficient reported higher levels of anxiety. </w:t>
      </w:r>
    </w:p>
    <w:p w14:paraId="24EEAD29" w14:textId="77777777" w:rsidR="001E5959" w:rsidRDefault="001E5959" w:rsidP="001E5959">
      <w:pPr>
        <w:pBdr>
          <w:top w:val="nil"/>
          <w:left w:val="nil"/>
          <w:bottom w:val="nil"/>
          <w:right w:val="nil"/>
          <w:between w:val="nil"/>
        </w:pBdr>
        <w:spacing w:line="360" w:lineRule="auto"/>
        <w:ind w:firstLine="720"/>
        <w:jc w:val="both"/>
        <w:rPr>
          <w:color w:val="000000" w:themeColor="text1"/>
          <w:lang w:val="en-US"/>
        </w:rPr>
      </w:pPr>
      <w:r w:rsidRPr="001E5959">
        <w:rPr>
          <w:color w:val="000000" w:themeColor="text1"/>
          <w:lang w:val="en-US"/>
        </w:rPr>
        <w:t>Patients experiencing dual vulnerabilities—namely being female and economically disadvantaged—were identified as particularly high-risk, like other studies for mental health (</w:t>
      </w:r>
      <w:proofErr w:type="spellStart"/>
      <w:r w:rsidRPr="001E5959">
        <w:rPr>
          <w:color w:val="000000" w:themeColor="text1"/>
          <w:lang w:val="en-US"/>
        </w:rPr>
        <w:t>Abuali</w:t>
      </w:r>
      <w:proofErr w:type="spellEnd"/>
      <w:r w:rsidRPr="001E5959">
        <w:rPr>
          <w:color w:val="000000" w:themeColor="text1"/>
          <w:lang w:val="en-US"/>
        </w:rPr>
        <w:t xml:space="preserve"> et al., 2022). In the context of our findings, we identified the increased risk of developing higher psychological symptoms when compared to females who perceived themselves as economically stable. Similarly, other studies on emotional distress when gender-based </w:t>
      </w:r>
      <w:r w:rsidRPr="001E5959">
        <w:rPr>
          <w:color w:val="000000" w:themeColor="text1"/>
          <w:lang w:val="en-US"/>
        </w:rPr>
        <w:lastRenderedPageBreak/>
        <w:t>vulnerability coincided with perceived poverty (Lyon et al., 2021) were significantly heightened, emphasizing the compounded effect of intersecting social identities. Socioeconomic perception heavily modulated distress, affirming that emotional burden transcends clinical staging (</w:t>
      </w:r>
      <w:proofErr w:type="spellStart"/>
      <w:r w:rsidRPr="001E5959">
        <w:rPr>
          <w:color w:val="000000" w:themeColor="text1"/>
          <w:lang w:val="en-US"/>
        </w:rPr>
        <w:t>Abuali</w:t>
      </w:r>
      <w:proofErr w:type="spellEnd"/>
      <w:r w:rsidRPr="001E5959">
        <w:rPr>
          <w:color w:val="000000" w:themeColor="text1"/>
          <w:lang w:val="en-US"/>
        </w:rPr>
        <w:t xml:space="preserve"> et al., 2022). Furthermore, the persistence of disparities across rural and urban populations (Carriere et al., 2018) and among racially and socioeconomically marginalized groups (Siegel et al., 2024) highlights broader structural inequities that continue to affect cancer incidence, mortality, and survivorship outcomes.</w:t>
      </w:r>
    </w:p>
    <w:p w14:paraId="36EAE616" w14:textId="0478AF6D" w:rsidR="00F672AB" w:rsidRPr="00746436" w:rsidRDefault="00F672AB" w:rsidP="001E5959">
      <w:pPr>
        <w:pBdr>
          <w:top w:val="nil"/>
          <w:left w:val="nil"/>
          <w:bottom w:val="nil"/>
          <w:right w:val="nil"/>
          <w:between w:val="nil"/>
        </w:pBdr>
        <w:spacing w:line="360" w:lineRule="auto"/>
        <w:jc w:val="both"/>
        <w:rPr>
          <w:i/>
          <w:iCs/>
          <w:color w:val="000000"/>
          <w:lang w:val="en-US"/>
        </w:rPr>
      </w:pPr>
      <w:r w:rsidRPr="4BACB0BB">
        <w:rPr>
          <w:b/>
          <w:bCs/>
          <w:i/>
          <w:iCs/>
          <w:color w:val="000000" w:themeColor="text1"/>
          <w:lang w:val="en-US"/>
        </w:rPr>
        <w:t>Theoretical Implications</w:t>
      </w:r>
    </w:p>
    <w:p w14:paraId="134D5A52" w14:textId="77777777" w:rsidR="001E5959" w:rsidRDefault="001E5959" w:rsidP="001E5959">
      <w:pPr>
        <w:pBdr>
          <w:top w:val="nil"/>
          <w:left w:val="nil"/>
          <w:bottom w:val="nil"/>
          <w:right w:val="nil"/>
          <w:between w:val="nil"/>
        </w:pBdr>
        <w:spacing w:line="360" w:lineRule="auto"/>
        <w:ind w:firstLine="720"/>
        <w:jc w:val="both"/>
        <w:rPr>
          <w:color w:val="000000"/>
          <w:lang w:val="en-US"/>
        </w:rPr>
      </w:pPr>
      <w:r w:rsidRPr="001E5959">
        <w:rPr>
          <w:color w:val="000000"/>
          <w:lang w:val="en-US"/>
        </w:rPr>
        <w:t>Our findings support the application of intersectionality as a valuable framework in psycho-oncology research, reiterating that combined social identities result in disproportionate psychological distress (</w:t>
      </w:r>
      <w:proofErr w:type="spellStart"/>
      <w:r w:rsidRPr="001E5959">
        <w:rPr>
          <w:color w:val="000000"/>
          <w:lang w:val="en-US"/>
        </w:rPr>
        <w:t>Abuali</w:t>
      </w:r>
      <w:proofErr w:type="spellEnd"/>
      <w:r w:rsidRPr="001E5959">
        <w:rPr>
          <w:color w:val="000000"/>
          <w:lang w:val="en-US"/>
        </w:rPr>
        <w:t xml:space="preserve"> et al., 2022). While traditional approaches focus on either gender or income separately, our findings highlight the need to move beyond single-variable distress models (Kirsch et al., 2024). New psycho-oncological frameworks must consider broader social determinants, including structural oppression and health inequities (</w:t>
      </w:r>
      <w:proofErr w:type="spellStart"/>
      <w:r w:rsidRPr="001E5959">
        <w:rPr>
          <w:color w:val="000000"/>
          <w:lang w:val="en-US"/>
        </w:rPr>
        <w:t>Abuali</w:t>
      </w:r>
      <w:proofErr w:type="spellEnd"/>
      <w:r w:rsidRPr="001E5959">
        <w:rPr>
          <w:color w:val="000000"/>
          <w:lang w:val="en-US"/>
        </w:rPr>
        <w:t xml:space="preserve"> et al., 2022; Lyon et al., 2021).</w:t>
      </w:r>
    </w:p>
    <w:p w14:paraId="79A53C79" w14:textId="71EFB05A" w:rsidR="00F672AB" w:rsidRPr="00746436" w:rsidRDefault="00F672AB" w:rsidP="00F672AB">
      <w:pPr>
        <w:pBdr>
          <w:top w:val="nil"/>
          <w:left w:val="nil"/>
          <w:bottom w:val="nil"/>
          <w:right w:val="nil"/>
          <w:between w:val="nil"/>
        </w:pBdr>
        <w:spacing w:line="360" w:lineRule="auto"/>
        <w:jc w:val="both"/>
        <w:rPr>
          <w:i/>
          <w:iCs/>
          <w:color w:val="000000"/>
          <w:lang w:val="en-US"/>
        </w:rPr>
      </w:pPr>
      <w:r w:rsidRPr="00F672AB">
        <w:rPr>
          <w:b/>
          <w:bCs/>
          <w:i/>
          <w:iCs/>
          <w:color w:val="000000"/>
          <w:lang w:val="en-US"/>
        </w:rPr>
        <w:t>Clinical Implications</w:t>
      </w:r>
    </w:p>
    <w:p w14:paraId="31A345B7" w14:textId="7E13E489" w:rsidR="001E5959" w:rsidRDefault="001E5959" w:rsidP="001E5959">
      <w:pPr>
        <w:pBdr>
          <w:top w:val="nil"/>
          <w:left w:val="nil"/>
          <w:bottom w:val="nil"/>
          <w:right w:val="nil"/>
          <w:between w:val="nil"/>
        </w:pBdr>
        <w:spacing w:line="360" w:lineRule="auto"/>
        <w:ind w:firstLine="720"/>
        <w:jc w:val="both"/>
        <w:rPr>
          <w:color w:val="000000"/>
          <w:lang w:val="en-US"/>
        </w:rPr>
      </w:pPr>
      <w:r w:rsidRPr="001E5959">
        <w:rPr>
          <w:color w:val="000000"/>
          <w:lang w:val="en-US"/>
        </w:rPr>
        <w:t>From a clinical perspective, these results underscore the need to integrate deliberate screening for financial hardship and gender-based risk factors into routine medical and psychosocial assessments. Screening protocols should be revised to incorporate income perception and gender dynamics as standard indicators of psychological morbidity risk (Lyon et al., 2021). Mental health services within oncology settings must evolve toward culturally responsive care models sensitive to patients and caregivers. Therefore, interventions should design with sensitivity to cultural identities, economic strain, and gender norms rather than "one-size-fits-all" approaches (</w:t>
      </w:r>
      <w:proofErr w:type="spellStart"/>
      <w:r w:rsidRPr="001E5959">
        <w:rPr>
          <w:color w:val="000000"/>
          <w:lang w:val="en-US"/>
        </w:rPr>
        <w:t>Abuali</w:t>
      </w:r>
      <w:proofErr w:type="spellEnd"/>
      <w:r w:rsidRPr="001E5959">
        <w:rPr>
          <w:color w:val="000000"/>
          <w:lang w:val="en-US"/>
        </w:rPr>
        <w:t xml:space="preserve"> et al., 2022). Our findings suggest greater efforts must be directed toward the provision of structural and emotional support for caregivers, especially within socioeconomically vulnerable families (Kirsch et al., 2024). Integrating financial and psychosocial assessment can improve the early detection of patients at risk for psychological morbidity (Bano et al., 2023).</w:t>
      </w:r>
    </w:p>
    <w:p w14:paraId="2CD89FA8" w14:textId="4A0B615F" w:rsidR="00F672AB" w:rsidRPr="00F672AB" w:rsidRDefault="00F672AB" w:rsidP="00F672AB">
      <w:pPr>
        <w:pBdr>
          <w:top w:val="nil"/>
          <w:left w:val="nil"/>
          <w:bottom w:val="nil"/>
          <w:right w:val="nil"/>
          <w:between w:val="nil"/>
        </w:pBdr>
        <w:spacing w:line="360" w:lineRule="auto"/>
        <w:jc w:val="both"/>
        <w:rPr>
          <w:i/>
          <w:iCs/>
          <w:color w:val="000000"/>
          <w:lang w:val="en-US"/>
        </w:rPr>
      </w:pPr>
      <w:r w:rsidRPr="00F672AB">
        <w:rPr>
          <w:b/>
          <w:bCs/>
          <w:i/>
          <w:iCs/>
          <w:color w:val="000000"/>
          <w:lang w:val="en-US"/>
        </w:rPr>
        <w:t>Limitations</w:t>
      </w:r>
    </w:p>
    <w:p w14:paraId="2BC90112" w14:textId="27D2F857" w:rsidR="001E5959" w:rsidRDefault="001E5959" w:rsidP="00746436">
      <w:pPr>
        <w:pBdr>
          <w:top w:val="nil"/>
          <w:left w:val="nil"/>
          <w:bottom w:val="nil"/>
          <w:right w:val="nil"/>
          <w:between w:val="nil"/>
        </w:pBdr>
        <w:spacing w:line="360" w:lineRule="auto"/>
        <w:ind w:firstLine="720"/>
        <w:jc w:val="both"/>
        <w:rPr>
          <w:color w:val="000000"/>
          <w:lang w:val="en-US"/>
        </w:rPr>
      </w:pPr>
      <w:r w:rsidRPr="001E5959">
        <w:rPr>
          <w:color w:val="000000"/>
          <w:lang w:val="en-US"/>
        </w:rPr>
        <w:t xml:space="preserve">Several limitations should be acknowledged. First, the use of non-random sampling may limit the generalizability of the findings, restricting their applicability to broader oncology populations. Moreover, the cross-sectional design precludes causal conclusions. Although </w:t>
      </w:r>
      <w:r w:rsidRPr="001E5959">
        <w:rPr>
          <w:color w:val="000000"/>
          <w:lang w:val="en-US"/>
        </w:rPr>
        <w:lastRenderedPageBreak/>
        <w:t>significant associations were identified, causal relationships between intersectional vulnerabilities and emotional distress cannot be firmly established (Kirsch et al., 2024). Finally, self-reported financial hardship, while informative, may introduce subjective bias affecting distress associations.</w:t>
      </w:r>
    </w:p>
    <w:p w14:paraId="2E118183" w14:textId="2309031C" w:rsidR="00F672AB" w:rsidRPr="00F672AB" w:rsidRDefault="00F672AB" w:rsidP="00F672AB">
      <w:pPr>
        <w:pBdr>
          <w:top w:val="nil"/>
          <w:left w:val="nil"/>
          <w:bottom w:val="nil"/>
          <w:right w:val="nil"/>
          <w:between w:val="nil"/>
        </w:pBdr>
        <w:spacing w:line="360" w:lineRule="auto"/>
        <w:jc w:val="both"/>
        <w:rPr>
          <w:i/>
          <w:iCs/>
          <w:color w:val="000000"/>
          <w:lang w:val="en-US"/>
        </w:rPr>
      </w:pPr>
      <w:r w:rsidRPr="00F672AB">
        <w:rPr>
          <w:b/>
          <w:bCs/>
          <w:i/>
          <w:iCs/>
          <w:color w:val="000000"/>
          <w:lang w:val="en-US"/>
        </w:rPr>
        <w:t>Future Directions</w:t>
      </w:r>
    </w:p>
    <w:p w14:paraId="7DDC4679" w14:textId="77777777" w:rsidR="001E5959" w:rsidRDefault="001E5959" w:rsidP="00746436">
      <w:pPr>
        <w:pBdr>
          <w:top w:val="nil"/>
          <w:left w:val="nil"/>
          <w:bottom w:val="nil"/>
          <w:right w:val="nil"/>
          <w:between w:val="nil"/>
        </w:pBdr>
        <w:spacing w:line="360" w:lineRule="auto"/>
        <w:ind w:firstLine="720"/>
        <w:jc w:val="both"/>
        <w:rPr>
          <w:color w:val="000000"/>
          <w:lang w:val="en-US"/>
        </w:rPr>
      </w:pPr>
      <w:r w:rsidRPr="001E5959">
        <w:rPr>
          <w:color w:val="000000"/>
          <w:lang w:val="en-US"/>
        </w:rPr>
        <w:t>Future research should employ longitudinal designs to examine mental health trajectories over time and cancer trajectories and understand whether distress patterns persist, improve, or worsen post-diagnosis (Kirsch et al., 2024). Furthermore, community-based participatory research could help tailor interventions to the lived realities of marginalized cancer patients (</w:t>
      </w:r>
      <w:proofErr w:type="spellStart"/>
      <w:r w:rsidRPr="001E5959">
        <w:rPr>
          <w:color w:val="000000"/>
          <w:lang w:val="en-US"/>
        </w:rPr>
        <w:t>Abuali</w:t>
      </w:r>
      <w:proofErr w:type="spellEnd"/>
      <w:r w:rsidRPr="001E5959">
        <w:rPr>
          <w:color w:val="000000"/>
          <w:lang w:val="en-US"/>
        </w:rPr>
        <w:t xml:space="preserve"> et al., 2022). Consequently, intervention models must target combined risk factors rather than single-variable individual vulnerabilities (</w:t>
      </w:r>
      <w:proofErr w:type="spellStart"/>
      <w:r w:rsidRPr="001E5959">
        <w:rPr>
          <w:color w:val="000000"/>
          <w:lang w:val="en-US"/>
        </w:rPr>
        <w:t>Abuali</w:t>
      </w:r>
      <w:proofErr w:type="spellEnd"/>
      <w:r w:rsidRPr="001E5959">
        <w:rPr>
          <w:color w:val="000000"/>
          <w:lang w:val="en-US"/>
        </w:rPr>
        <w:t xml:space="preserve"> et al., 2022).</w:t>
      </w:r>
    </w:p>
    <w:p w14:paraId="1F13268A" w14:textId="5AE427EB" w:rsidR="00F672AB" w:rsidRPr="00F672AB" w:rsidRDefault="00F672AB" w:rsidP="00F672AB">
      <w:pPr>
        <w:pBdr>
          <w:top w:val="nil"/>
          <w:left w:val="nil"/>
          <w:bottom w:val="nil"/>
          <w:right w:val="nil"/>
          <w:between w:val="nil"/>
        </w:pBdr>
        <w:spacing w:line="360" w:lineRule="auto"/>
        <w:jc w:val="both"/>
        <w:rPr>
          <w:i/>
          <w:iCs/>
          <w:color w:val="000000"/>
          <w:lang w:val="en-US"/>
        </w:rPr>
      </w:pPr>
      <w:r w:rsidRPr="00F672AB">
        <w:rPr>
          <w:b/>
          <w:bCs/>
          <w:i/>
          <w:iCs/>
          <w:color w:val="000000"/>
          <w:lang w:val="en-US"/>
        </w:rPr>
        <w:t>Conclusion</w:t>
      </w:r>
    </w:p>
    <w:p w14:paraId="17CED407" w14:textId="4A6E266D" w:rsidR="00CD0342" w:rsidRPr="00CD0342" w:rsidRDefault="00F672AB" w:rsidP="00CD0342">
      <w:pPr>
        <w:pBdr>
          <w:top w:val="nil"/>
          <w:left w:val="nil"/>
          <w:bottom w:val="nil"/>
          <w:right w:val="nil"/>
          <w:between w:val="nil"/>
        </w:pBdr>
        <w:spacing w:line="360" w:lineRule="auto"/>
        <w:ind w:firstLine="708"/>
        <w:jc w:val="both"/>
        <w:rPr>
          <w:color w:val="000000"/>
          <w:lang w:val="en-US"/>
        </w:rPr>
      </w:pPr>
      <w:r w:rsidRPr="4BACB0BB">
        <w:rPr>
          <w:color w:val="000000" w:themeColor="text1"/>
          <w:lang w:val="en-US"/>
        </w:rPr>
        <w:t>Applying an intersectional lens reveals nuanced patterns in cancer-related mental health disparities. Our findings underscore the urgency of advancing equitable and inclusive psychosocial care models that adequately address the complex interplay of gender, economic strain, and disease burden in oncology populations.</w:t>
      </w:r>
    </w:p>
    <w:p w14:paraId="3AE8A81F" w14:textId="5D5EC595" w:rsidR="0010019E" w:rsidRPr="00CD0342" w:rsidRDefault="00CD0342" w:rsidP="00CD0342">
      <w:pPr>
        <w:pBdr>
          <w:top w:val="nil"/>
          <w:left w:val="nil"/>
          <w:bottom w:val="nil"/>
          <w:right w:val="nil"/>
          <w:between w:val="nil"/>
        </w:pBdr>
        <w:spacing w:line="360" w:lineRule="auto"/>
        <w:jc w:val="both"/>
        <w:rPr>
          <w:sz w:val="21"/>
          <w:szCs w:val="21"/>
          <w:lang w:val="en-US"/>
        </w:rPr>
      </w:pPr>
      <w:r w:rsidRPr="00CD0342">
        <w:rPr>
          <w:b/>
          <w:bCs/>
          <w:sz w:val="21"/>
          <w:szCs w:val="21"/>
          <w:lang w:val="en-US"/>
        </w:rPr>
        <w:t>Conflict of interest:</w:t>
      </w:r>
      <w:r w:rsidRPr="00CD0342">
        <w:rPr>
          <w:sz w:val="21"/>
          <w:szCs w:val="21"/>
          <w:lang w:val="en-US"/>
        </w:rPr>
        <w:t xml:space="preserve"> The authors declare no conflict of interest.</w:t>
      </w:r>
    </w:p>
    <w:p w14:paraId="47CE8A1D" w14:textId="61003EA0" w:rsidR="4BACB0BB" w:rsidRDefault="4BACB0BB" w:rsidP="4BACB0BB">
      <w:pPr>
        <w:pBdr>
          <w:top w:val="nil"/>
          <w:left w:val="nil"/>
          <w:bottom w:val="nil"/>
          <w:right w:val="nil"/>
          <w:between w:val="nil"/>
        </w:pBdr>
        <w:spacing w:line="360" w:lineRule="auto"/>
        <w:ind w:firstLine="708"/>
        <w:jc w:val="both"/>
        <w:rPr>
          <w:lang w:val="en-US"/>
        </w:rPr>
      </w:pPr>
    </w:p>
    <w:p w14:paraId="02625BA9" w14:textId="77777777" w:rsidR="00CD0342" w:rsidRDefault="00CD0342" w:rsidP="4BACB0BB">
      <w:pPr>
        <w:pBdr>
          <w:top w:val="nil"/>
          <w:left w:val="nil"/>
          <w:bottom w:val="nil"/>
          <w:right w:val="nil"/>
          <w:between w:val="nil"/>
        </w:pBdr>
        <w:spacing w:line="360" w:lineRule="auto"/>
        <w:ind w:firstLine="708"/>
        <w:jc w:val="both"/>
        <w:rPr>
          <w:lang w:val="en-US"/>
        </w:rPr>
      </w:pPr>
    </w:p>
    <w:p w14:paraId="0098232E" w14:textId="77777777" w:rsidR="00CD0342" w:rsidRDefault="00CD0342" w:rsidP="4BACB0BB">
      <w:pPr>
        <w:pBdr>
          <w:top w:val="nil"/>
          <w:left w:val="nil"/>
          <w:bottom w:val="nil"/>
          <w:right w:val="nil"/>
          <w:between w:val="nil"/>
        </w:pBdr>
        <w:spacing w:line="360" w:lineRule="auto"/>
        <w:ind w:firstLine="708"/>
        <w:jc w:val="both"/>
        <w:rPr>
          <w:lang w:val="en-US"/>
        </w:rPr>
      </w:pPr>
    </w:p>
    <w:p w14:paraId="3D8E92D2" w14:textId="77777777" w:rsidR="00CD0342" w:rsidRDefault="00CD0342" w:rsidP="4BACB0BB">
      <w:pPr>
        <w:pBdr>
          <w:top w:val="nil"/>
          <w:left w:val="nil"/>
          <w:bottom w:val="nil"/>
          <w:right w:val="nil"/>
          <w:between w:val="nil"/>
        </w:pBdr>
        <w:spacing w:line="360" w:lineRule="auto"/>
        <w:ind w:firstLine="708"/>
        <w:jc w:val="both"/>
        <w:rPr>
          <w:lang w:val="en-US"/>
        </w:rPr>
      </w:pPr>
    </w:p>
    <w:p w14:paraId="13D886BD" w14:textId="77777777" w:rsidR="00CD0342" w:rsidRDefault="00CD0342" w:rsidP="4BACB0BB">
      <w:pPr>
        <w:pBdr>
          <w:top w:val="nil"/>
          <w:left w:val="nil"/>
          <w:bottom w:val="nil"/>
          <w:right w:val="nil"/>
          <w:between w:val="nil"/>
        </w:pBdr>
        <w:spacing w:line="360" w:lineRule="auto"/>
        <w:ind w:firstLine="708"/>
        <w:jc w:val="both"/>
        <w:rPr>
          <w:lang w:val="en-US"/>
        </w:rPr>
      </w:pPr>
    </w:p>
    <w:p w14:paraId="7D1C6E3B" w14:textId="77777777" w:rsidR="00CD0342" w:rsidRDefault="00CD0342" w:rsidP="4BACB0BB">
      <w:pPr>
        <w:pBdr>
          <w:top w:val="nil"/>
          <w:left w:val="nil"/>
          <w:bottom w:val="nil"/>
          <w:right w:val="nil"/>
          <w:between w:val="nil"/>
        </w:pBdr>
        <w:spacing w:line="360" w:lineRule="auto"/>
        <w:ind w:firstLine="708"/>
        <w:jc w:val="both"/>
        <w:rPr>
          <w:lang w:val="en-US"/>
        </w:rPr>
      </w:pPr>
    </w:p>
    <w:p w14:paraId="7C41640B" w14:textId="77777777" w:rsidR="00CD0342" w:rsidRDefault="00CD0342" w:rsidP="4BACB0BB">
      <w:pPr>
        <w:pBdr>
          <w:top w:val="nil"/>
          <w:left w:val="nil"/>
          <w:bottom w:val="nil"/>
          <w:right w:val="nil"/>
          <w:between w:val="nil"/>
        </w:pBdr>
        <w:spacing w:line="360" w:lineRule="auto"/>
        <w:ind w:firstLine="708"/>
        <w:jc w:val="both"/>
        <w:rPr>
          <w:lang w:val="en-US"/>
        </w:rPr>
      </w:pPr>
    </w:p>
    <w:p w14:paraId="0C1140E7" w14:textId="77777777" w:rsidR="00CD0342" w:rsidRDefault="00CD0342" w:rsidP="4BACB0BB">
      <w:pPr>
        <w:pBdr>
          <w:top w:val="nil"/>
          <w:left w:val="nil"/>
          <w:bottom w:val="nil"/>
          <w:right w:val="nil"/>
          <w:between w:val="nil"/>
        </w:pBdr>
        <w:spacing w:line="360" w:lineRule="auto"/>
        <w:ind w:firstLine="708"/>
        <w:jc w:val="both"/>
        <w:rPr>
          <w:lang w:val="en-US"/>
        </w:rPr>
      </w:pPr>
    </w:p>
    <w:p w14:paraId="7A08FFBC" w14:textId="77777777" w:rsidR="00CD0342" w:rsidRDefault="00CD0342" w:rsidP="4BACB0BB">
      <w:pPr>
        <w:pBdr>
          <w:top w:val="nil"/>
          <w:left w:val="nil"/>
          <w:bottom w:val="nil"/>
          <w:right w:val="nil"/>
          <w:between w:val="nil"/>
        </w:pBdr>
        <w:spacing w:line="360" w:lineRule="auto"/>
        <w:ind w:firstLine="708"/>
        <w:jc w:val="both"/>
        <w:rPr>
          <w:lang w:val="en-US"/>
        </w:rPr>
      </w:pPr>
    </w:p>
    <w:p w14:paraId="4C466F5E" w14:textId="77777777" w:rsidR="00CD0342" w:rsidRDefault="00CD0342" w:rsidP="4BACB0BB">
      <w:pPr>
        <w:pBdr>
          <w:top w:val="nil"/>
          <w:left w:val="nil"/>
          <w:bottom w:val="nil"/>
          <w:right w:val="nil"/>
          <w:between w:val="nil"/>
        </w:pBdr>
        <w:spacing w:line="360" w:lineRule="auto"/>
        <w:ind w:firstLine="708"/>
        <w:jc w:val="both"/>
        <w:rPr>
          <w:lang w:val="en-US"/>
        </w:rPr>
      </w:pPr>
    </w:p>
    <w:p w14:paraId="27681913" w14:textId="77777777" w:rsidR="00CD0342" w:rsidRDefault="00CD0342" w:rsidP="4BACB0BB">
      <w:pPr>
        <w:pBdr>
          <w:top w:val="nil"/>
          <w:left w:val="nil"/>
          <w:bottom w:val="nil"/>
          <w:right w:val="nil"/>
          <w:between w:val="nil"/>
        </w:pBdr>
        <w:spacing w:line="360" w:lineRule="auto"/>
        <w:ind w:firstLine="708"/>
        <w:jc w:val="both"/>
        <w:rPr>
          <w:lang w:val="en-US"/>
        </w:rPr>
      </w:pPr>
    </w:p>
    <w:p w14:paraId="35D5BD11" w14:textId="77777777" w:rsidR="00CD0342" w:rsidRDefault="00CD0342" w:rsidP="4BACB0BB">
      <w:pPr>
        <w:pBdr>
          <w:top w:val="nil"/>
          <w:left w:val="nil"/>
          <w:bottom w:val="nil"/>
          <w:right w:val="nil"/>
          <w:between w:val="nil"/>
        </w:pBdr>
        <w:spacing w:line="360" w:lineRule="auto"/>
        <w:ind w:firstLine="708"/>
        <w:jc w:val="both"/>
        <w:rPr>
          <w:lang w:val="en-US"/>
        </w:rPr>
      </w:pPr>
    </w:p>
    <w:p w14:paraId="4DC7B6C1" w14:textId="77777777" w:rsidR="00CD0342" w:rsidRDefault="00CD0342" w:rsidP="4BACB0BB">
      <w:pPr>
        <w:pBdr>
          <w:top w:val="nil"/>
          <w:left w:val="nil"/>
          <w:bottom w:val="nil"/>
          <w:right w:val="nil"/>
          <w:between w:val="nil"/>
        </w:pBdr>
        <w:spacing w:line="360" w:lineRule="auto"/>
        <w:ind w:firstLine="708"/>
        <w:jc w:val="both"/>
        <w:rPr>
          <w:lang w:val="en-US"/>
        </w:rPr>
      </w:pPr>
    </w:p>
    <w:p w14:paraId="7901823C" w14:textId="77777777" w:rsidR="00CD0342" w:rsidRDefault="00CD0342" w:rsidP="4BACB0BB">
      <w:pPr>
        <w:pBdr>
          <w:top w:val="nil"/>
          <w:left w:val="nil"/>
          <w:bottom w:val="nil"/>
          <w:right w:val="nil"/>
          <w:between w:val="nil"/>
        </w:pBdr>
        <w:spacing w:line="360" w:lineRule="auto"/>
        <w:ind w:firstLine="708"/>
        <w:jc w:val="both"/>
        <w:rPr>
          <w:lang w:val="en-US"/>
        </w:rPr>
      </w:pPr>
    </w:p>
    <w:p w14:paraId="0A8692F1" w14:textId="77777777" w:rsidR="0010019E" w:rsidRPr="00746436" w:rsidRDefault="005B16EC">
      <w:pPr>
        <w:pBdr>
          <w:top w:val="nil"/>
          <w:left w:val="nil"/>
          <w:bottom w:val="nil"/>
          <w:right w:val="nil"/>
          <w:between w:val="nil"/>
        </w:pBdr>
        <w:jc w:val="center"/>
        <w:rPr>
          <w:b/>
          <w:color w:val="000000"/>
          <w:lang w:val="es-PR"/>
        </w:rPr>
      </w:pPr>
      <w:r w:rsidRPr="00746436">
        <w:rPr>
          <w:b/>
          <w:color w:val="000000"/>
          <w:lang w:val="es-PR"/>
        </w:rPr>
        <w:lastRenderedPageBreak/>
        <w:t>References</w:t>
      </w:r>
    </w:p>
    <w:p w14:paraId="28370EBC" w14:textId="77777777" w:rsidR="00F672AB" w:rsidRPr="00F672AB" w:rsidRDefault="00F672AB" w:rsidP="00F672AB">
      <w:pPr>
        <w:spacing w:after="240"/>
        <w:ind w:left="720" w:hanging="720"/>
        <w:jc w:val="both"/>
        <w:rPr>
          <w:lang w:val="en-US"/>
        </w:rPr>
      </w:pPr>
      <w:r w:rsidRPr="00F672AB">
        <w:rPr>
          <w:lang w:val="en-US"/>
        </w:rPr>
        <w:fldChar w:fldCharType="begin"/>
      </w:r>
      <w:r w:rsidRPr="00F672AB">
        <w:rPr>
          <w:lang w:val="es-PR"/>
        </w:rPr>
        <w:instrText xml:space="preserve"> ADDIN ZOTERO_BIBL {"uncited":[],"omitted":[],"custom":[]} CSL_BIBLIOGRAPHY </w:instrText>
      </w:r>
      <w:r w:rsidRPr="00F672AB">
        <w:rPr>
          <w:lang w:val="en-US"/>
        </w:rPr>
        <w:fldChar w:fldCharType="separate"/>
      </w:r>
      <w:r w:rsidRPr="00F672AB">
        <w:rPr>
          <w:lang w:val="es-PR"/>
        </w:rPr>
        <w:t xml:space="preserve">Abuali, I., Patel, S., Kiel, L., Meza, K., &amp; Florez, N. (2022). </w:t>
      </w:r>
      <w:r w:rsidRPr="00F672AB">
        <w:rPr>
          <w:lang w:val="en-US"/>
        </w:rPr>
        <w:t xml:space="preserve">Disparities in cancer care-A call to action. </w:t>
      </w:r>
      <w:r w:rsidRPr="00F672AB">
        <w:rPr>
          <w:i/>
          <w:iCs/>
          <w:lang w:val="en-US"/>
        </w:rPr>
        <w:t>Cancer Cell</w:t>
      </w:r>
      <w:r w:rsidRPr="00F672AB">
        <w:rPr>
          <w:lang w:val="en-US"/>
        </w:rPr>
        <w:t xml:space="preserve">, </w:t>
      </w:r>
      <w:r w:rsidRPr="00F672AB">
        <w:rPr>
          <w:i/>
          <w:iCs/>
          <w:lang w:val="en-US"/>
        </w:rPr>
        <w:t>41</w:t>
      </w:r>
      <w:r w:rsidRPr="00F672AB">
        <w:rPr>
          <w:lang w:val="en-US"/>
        </w:rPr>
        <w:t>(1), 1–4. https://doi.org/10.1016/j.ccell.2022.11.003</w:t>
      </w:r>
    </w:p>
    <w:p w14:paraId="633D1C0F" w14:textId="77777777" w:rsidR="00F672AB" w:rsidRPr="00F672AB" w:rsidRDefault="00F672AB" w:rsidP="00F672AB">
      <w:pPr>
        <w:spacing w:after="240"/>
        <w:ind w:left="720" w:hanging="720"/>
        <w:jc w:val="both"/>
        <w:rPr>
          <w:lang w:val="en-US"/>
        </w:rPr>
      </w:pPr>
      <w:r w:rsidRPr="00F672AB">
        <w:rPr>
          <w:lang w:val="en-US"/>
        </w:rPr>
        <w:t xml:space="preserve">Bano, R., Mathew, B., &amp; Vallath, N. (2023). Influence of Gender Differences on the Perception of Quality of Life Among Oncology Patients: A Review. </w:t>
      </w:r>
      <w:r w:rsidRPr="00F672AB">
        <w:rPr>
          <w:i/>
          <w:iCs/>
          <w:lang w:val="en-US"/>
        </w:rPr>
        <w:t>International Journal of Science and Healthcare Research</w:t>
      </w:r>
      <w:r w:rsidRPr="00F672AB">
        <w:rPr>
          <w:lang w:val="en-US"/>
        </w:rPr>
        <w:t xml:space="preserve">, </w:t>
      </w:r>
      <w:r w:rsidRPr="00F672AB">
        <w:rPr>
          <w:i/>
          <w:iCs/>
          <w:lang w:val="en-US"/>
        </w:rPr>
        <w:t>8</w:t>
      </w:r>
      <w:r w:rsidRPr="00F672AB">
        <w:rPr>
          <w:lang w:val="en-US"/>
        </w:rPr>
        <w:t>(4), 333–338. https://doi.org/10.52403/ijshr.20230446</w:t>
      </w:r>
    </w:p>
    <w:p w14:paraId="3A6A5C84" w14:textId="77777777" w:rsidR="00F672AB" w:rsidRPr="00F672AB" w:rsidRDefault="00F672AB" w:rsidP="00F672AB">
      <w:pPr>
        <w:spacing w:after="240"/>
        <w:ind w:left="720" w:hanging="720"/>
        <w:jc w:val="both"/>
        <w:rPr>
          <w:lang w:val="en-US"/>
        </w:rPr>
      </w:pPr>
      <w:r w:rsidRPr="00F672AB">
        <w:rPr>
          <w:lang w:val="en-US"/>
        </w:rPr>
        <w:t xml:space="preserve">Boehmer, U., Jesdale, B. M., Streed, C. G., &amp; Agénor, M. (2022). Intersectionality and cancer survivorship: Sexual orientation and racial/ethnic differences in physical and mental health outcomes among female and male cancer survivors. </w:t>
      </w:r>
      <w:r w:rsidRPr="00F672AB">
        <w:rPr>
          <w:i/>
          <w:iCs/>
          <w:lang w:val="en-US"/>
        </w:rPr>
        <w:t>Cancer</w:t>
      </w:r>
      <w:r w:rsidRPr="00F672AB">
        <w:rPr>
          <w:lang w:val="en-US"/>
        </w:rPr>
        <w:t xml:space="preserve">, </w:t>
      </w:r>
      <w:r w:rsidRPr="00F672AB">
        <w:rPr>
          <w:i/>
          <w:iCs/>
          <w:lang w:val="en-US"/>
        </w:rPr>
        <w:t>128</w:t>
      </w:r>
      <w:r w:rsidRPr="00F672AB">
        <w:rPr>
          <w:lang w:val="en-US"/>
        </w:rPr>
        <w:t>(2), 284–291. https://doi.org/10.1002/cncr.33915</w:t>
      </w:r>
    </w:p>
    <w:p w14:paraId="1D6C1177" w14:textId="77777777" w:rsidR="00F672AB" w:rsidRPr="00F672AB" w:rsidRDefault="00F672AB" w:rsidP="00F672AB">
      <w:pPr>
        <w:spacing w:after="240"/>
        <w:ind w:left="720" w:hanging="720"/>
        <w:jc w:val="both"/>
        <w:rPr>
          <w:lang w:val="en-US"/>
        </w:rPr>
      </w:pPr>
      <w:r w:rsidRPr="00F672AB">
        <w:rPr>
          <w:lang w:val="en-US"/>
        </w:rPr>
        <w:t xml:space="preserve">Carriere, R., Adam, R., Fielding, S., Barlas, R., Ong, Y., &amp; Murchie, P. (2018). Rural dwellers are less likely to survive cancer—An international review and meta-analysis. </w:t>
      </w:r>
      <w:r w:rsidRPr="00F672AB">
        <w:rPr>
          <w:i/>
          <w:iCs/>
          <w:lang w:val="en-US"/>
        </w:rPr>
        <w:t>Health &amp; Place</w:t>
      </w:r>
      <w:r w:rsidRPr="00F672AB">
        <w:rPr>
          <w:lang w:val="en-US"/>
        </w:rPr>
        <w:t xml:space="preserve">, </w:t>
      </w:r>
      <w:r w:rsidRPr="00F672AB">
        <w:rPr>
          <w:i/>
          <w:iCs/>
          <w:lang w:val="en-US"/>
        </w:rPr>
        <w:t>53</w:t>
      </w:r>
      <w:r w:rsidRPr="00F672AB">
        <w:rPr>
          <w:lang w:val="en-US"/>
        </w:rPr>
        <w:t>, 219–227. https://doi.org/10.1016/j.healthplace.2018.08.010</w:t>
      </w:r>
    </w:p>
    <w:p w14:paraId="55E6D014" w14:textId="77777777" w:rsidR="00F672AB" w:rsidRPr="00F672AB" w:rsidRDefault="00F672AB" w:rsidP="00F672AB">
      <w:pPr>
        <w:spacing w:after="240"/>
        <w:ind w:left="720" w:hanging="720"/>
        <w:jc w:val="both"/>
        <w:rPr>
          <w:lang w:val="en-US"/>
        </w:rPr>
      </w:pPr>
      <w:r w:rsidRPr="00F672AB">
        <w:rPr>
          <w:lang w:val="en-US"/>
        </w:rPr>
        <w:t xml:space="preserve">Estupiñán Fdez de Mesa, M., Marcu, A., Ream, E., &amp; Whitaker, K. L. (2025). Understanding and tackling cancer inequities: What opportunities does intersectionality offer researchers, policymakers, and providers? A scoping review. </w:t>
      </w:r>
      <w:r w:rsidRPr="00F672AB">
        <w:rPr>
          <w:i/>
          <w:iCs/>
          <w:lang w:val="en-US"/>
        </w:rPr>
        <w:t>Journal of Psychosocial Oncology</w:t>
      </w:r>
      <w:r w:rsidRPr="00F672AB">
        <w:rPr>
          <w:lang w:val="en-US"/>
        </w:rPr>
        <w:t xml:space="preserve">, </w:t>
      </w:r>
      <w:r w:rsidRPr="00F672AB">
        <w:rPr>
          <w:i/>
          <w:iCs/>
          <w:lang w:val="en-US"/>
        </w:rPr>
        <w:t>43</w:t>
      </w:r>
      <w:r w:rsidRPr="00F672AB">
        <w:rPr>
          <w:lang w:val="en-US"/>
        </w:rPr>
        <w:t>(1), 105–132. https://doi.org/10.1080/07347332.2024.2361642</w:t>
      </w:r>
    </w:p>
    <w:p w14:paraId="12C984E8" w14:textId="77777777" w:rsidR="00F672AB" w:rsidRPr="00F672AB" w:rsidRDefault="00F672AB" w:rsidP="00F672AB">
      <w:pPr>
        <w:spacing w:after="240"/>
        <w:ind w:left="720" w:hanging="720"/>
        <w:jc w:val="both"/>
        <w:rPr>
          <w:lang w:val="en-US"/>
        </w:rPr>
      </w:pPr>
      <w:r w:rsidRPr="00F672AB">
        <w:rPr>
          <w:lang w:val="en-US"/>
        </w:rPr>
        <w:t xml:space="preserve">Funer, F. (2023). Admitting the heterogeneity of social inequalities: Intersectionality as a (self-)critical framework and tool within mental health care. </w:t>
      </w:r>
      <w:r w:rsidRPr="00F672AB">
        <w:rPr>
          <w:i/>
          <w:iCs/>
          <w:lang w:val="en-US"/>
        </w:rPr>
        <w:t>Philosophy, Ethics, and Humanities in Medicine : PEHM</w:t>
      </w:r>
      <w:r w:rsidRPr="00F672AB">
        <w:rPr>
          <w:lang w:val="en-US"/>
        </w:rPr>
        <w:t xml:space="preserve">, </w:t>
      </w:r>
      <w:r w:rsidRPr="00F672AB">
        <w:rPr>
          <w:i/>
          <w:iCs/>
          <w:lang w:val="en-US"/>
        </w:rPr>
        <w:t>18</w:t>
      </w:r>
      <w:r w:rsidRPr="00F672AB">
        <w:rPr>
          <w:lang w:val="en-US"/>
        </w:rPr>
        <w:t>, 21. https://doi.org/10.1186/s13010-023-00144-6</w:t>
      </w:r>
    </w:p>
    <w:p w14:paraId="57FC7280" w14:textId="77777777" w:rsidR="00F672AB" w:rsidRPr="00F672AB" w:rsidRDefault="00F672AB" w:rsidP="00F672AB">
      <w:pPr>
        <w:spacing w:after="240"/>
        <w:ind w:left="720" w:hanging="720"/>
        <w:jc w:val="both"/>
        <w:rPr>
          <w:lang w:val="en-US"/>
        </w:rPr>
      </w:pPr>
      <w:r w:rsidRPr="00F672AB">
        <w:rPr>
          <w:lang w:val="en-US"/>
        </w:rPr>
        <w:t xml:space="preserve">Hyland, K. A., Hoogland, A. I., Gonzalez, B. D., Nelson, A. M., Lechner, S., Tyson, D. M., Barata, A., Gomez, M. F., Antoni, M. H., Small, B., Meade, C. D., Jacobsen, P. B., &amp; Jim, H. S. L. (2019). Evaluation of the Psychometric and Structural Properties of the Spanish Version of the Hospital Anxiety and Depression Scale in Latina Cancer Patients. </w:t>
      </w:r>
      <w:r w:rsidRPr="00F672AB">
        <w:rPr>
          <w:i/>
          <w:iCs/>
          <w:lang w:val="en-US"/>
        </w:rPr>
        <w:t>Journal of Pain and Symptom Management</w:t>
      </w:r>
      <w:r w:rsidRPr="00F672AB">
        <w:rPr>
          <w:lang w:val="en-US"/>
        </w:rPr>
        <w:t xml:space="preserve">, </w:t>
      </w:r>
      <w:r w:rsidRPr="00F672AB">
        <w:rPr>
          <w:i/>
          <w:iCs/>
          <w:lang w:val="en-US"/>
        </w:rPr>
        <w:t>58</w:t>
      </w:r>
      <w:r w:rsidRPr="00F672AB">
        <w:rPr>
          <w:lang w:val="en-US"/>
        </w:rPr>
        <w:t>(2), 289-296.e2. https://doi.org/10.1016/j.jpainsymman.2019.05.003</w:t>
      </w:r>
    </w:p>
    <w:p w14:paraId="0AC17783" w14:textId="77777777" w:rsidR="00F672AB" w:rsidRPr="00F672AB" w:rsidRDefault="00F672AB" w:rsidP="00F672AB">
      <w:pPr>
        <w:spacing w:after="240"/>
        <w:ind w:left="720" w:hanging="720"/>
        <w:jc w:val="both"/>
        <w:rPr>
          <w:lang w:val="en-US"/>
        </w:rPr>
      </w:pPr>
      <w:r w:rsidRPr="00F672AB">
        <w:rPr>
          <w:lang w:val="en-US"/>
        </w:rPr>
        <w:t xml:space="preserve">Karanth, S. D., Akinyemiju, T., Walker, C. J., Yang, D., Migliorati, C. A., Yoon, H.-S., Hong, Y.-R., Washington, C. J., Lattimore, C., Fredenburg, K. M., &amp; Braithwaite, D. (2023). The Intersectionality between Race, Ethnicity, and Residential-Level Socioeconomic Status in Disparities of Head and Neck Cancer Outcomes: A SEER Study. </w:t>
      </w:r>
      <w:r w:rsidRPr="00F672AB">
        <w:rPr>
          <w:i/>
          <w:iCs/>
          <w:lang w:val="en-US"/>
        </w:rPr>
        <w:t>Cancer Epidemiology, Biomarkers &amp; Prevention: A Publication of the American Association for Cancer Research, Cosponsored by the American Society of Preventive Oncology</w:t>
      </w:r>
      <w:r w:rsidRPr="00F672AB">
        <w:rPr>
          <w:lang w:val="en-US"/>
        </w:rPr>
        <w:t xml:space="preserve">, </w:t>
      </w:r>
      <w:r w:rsidRPr="00F672AB">
        <w:rPr>
          <w:i/>
          <w:iCs/>
          <w:lang w:val="en-US"/>
        </w:rPr>
        <w:t>32</w:t>
      </w:r>
      <w:r w:rsidRPr="00F672AB">
        <w:rPr>
          <w:lang w:val="en-US"/>
        </w:rPr>
        <w:t>(4), 516–523. https://doi.org/10.1158/1055-9965.EPI-22-1167</w:t>
      </w:r>
    </w:p>
    <w:p w14:paraId="3B129C5B" w14:textId="77777777" w:rsidR="00F672AB" w:rsidRPr="00F672AB" w:rsidRDefault="00F672AB" w:rsidP="00F672AB">
      <w:pPr>
        <w:spacing w:after="240"/>
        <w:ind w:left="720" w:hanging="720"/>
        <w:jc w:val="both"/>
        <w:rPr>
          <w:lang w:val="en-US"/>
        </w:rPr>
      </w:pPr>
      <w:r w:rsidRPr="00F672AB">
        <w:rPr>
          <w:lang w:val="en-US"/>
        </w:rPr>
        <w:t xml:space="preserve">Kirsch, J. L., Roche, A. I., Bronars, C., Donovan, K. A., Hassett, L. C., &amp; Ehlers, S. L. (2024). Emotional distress and future healthcare utilization in oncology populations: A systematic review. </w:t>
      </w:r>
      <w:r w:rsidRPr="00F672AB">
        <w:rPr>
          <w:i/>
          <w:iCs/>
          <w:lang w:val="en-US"/>
        </w:rPr>
        <w:t>Psycho-Oncology</w:t>
      </w:r>
      <w:r w:rsidRPr="00F672AB">
        <w:rPr>
          <w:lang w:val="en-US"/>
        </w:rPr>
        <w:t xml:space="preserve">, </w:t>
      </w:r>
      <w:r w:rsidRPr="00F672AB">
        <w:rPr>
          <w:i/>
          <w:iCs/>
          <w:lang w:val="en-US"/>
        </w:rPr>
        <w:t>33</w:t>
      </w:r>
      <w:r w:rsidRPr="00F672AB">
        <w:rPr>
          <w:lang w:val="en-US"/>
        </w:rPr>
        <w:t>(3), e6322. https://doi.org/10.1002/pon.6322</w:t>
      </w:r>
    </w:p>
    <w:p w14:paraId="540518A3" w14:textId="77777777" w:rsidR="00F672AB" w:rsidRPr="00F672AB" w:rsidRDefault="00F672AB" w:rsidP="00F672AB">
      <w:pPr>
        <w:spacing w:after="240"/>
        <w:ind w:left="720" w:hanging="720"/>
        <w:jc w:val="both"/>
        <w:rPr>
          <w:lang w:val="en-US"/>
        </w:rPr>
      </w:pPr>
      <w:r w:rsidRPr="00F672AB">
        <w:rPr>
          <w:lang w:val="en-US"/>
        </w:rPr>
        <w:t xml:space="preserve">Lyon, M. E., Cheng, Y. I., Needle, J., Friebert, S., Baker, J. N., Jiang, J., &amp; Wang, J. (2021). The intersectionality of gender and poverty on symptom suffering among adolescents with cancer. </w:t>
      </w:r>
      <w:r w:rsidRPr="00F672AB">
        <w:rPr>
          <w:i/>
          <w:iCs/>
          <w:lang w:val="en-US"/>
        </w:rPr>
        <w:t>Pediatric Blood &amp; Cancer</w:t>
      </w:r>
      <w:r w:rsidRPr="00F672AB">
        <w:rPr>
          <w:lang w:val="en-US"/>
        </w:rPr>
        <w:t xml:space="preserve">, </w:t>
      </w:r>
      <w:r w:rsidRPr="00F672AB">
        <w:rPr>
          <w:i/>
          <w:iCs/>
          <w:lang w:val="en-US"/>
        </w:rPr>
        <w:t>68</w:t>
      </w:r>
      <w:r w:rsidRPr="00F672AB">
        <w:rPr>
          <w:lang w:val="en-US"/>
        </w:rPr>
        <w:t>(8), e29144. https://doi.org/10.1002/pbc.29144</w:t>
      </w:r>
    </w:p>
    <w:p w14:paraId="628F0D4A" w14:textId="77777777" w:rsidR="00F672AB" w:rsidRPr="00F672AB" w:rsidRDefault="00F672AB" w:rsidP="00F672AB">
      <w:pPr>
        <w:spacing w:after="240"/>
        <w:ind w:left="720" w:hanging="720"/>
        <w:jc w:val="both"/>
        <w:rPr>
          <w:lang w:val="en-US"/>
        </w:rPr>
      </w:pPr>
      <w:r w:rsidRPr="00F672AB">
        <w:rPr>
          <w:lang w:val="en-US"/>
        </w:rPr>
        <w:lastRenderedPageBreak/>
        <w:t xml:space="preserve">Mosley, T. J., Zajdel, R. A., Alderete, E., Clayton, J. A., Heidari, S., Pérez-Stable, E. J., Salt, K., &amp; Bernard, M. A. (2025). Intersectionality and diversity, equity, and inclusion in the healthcare and scientific workforces. </w:t>
      </w:r>
      <w:r w:rsidRPr="00F672AB">
        <w:rPr>
          <w:i/>
          <w:iCs/>
          <w:lang w:val="en-US"/>
        </w:rPr>
        <w:t>The Lancet Regional Health - Americas</w:t>
      </w:r>
      <w:r w:rsidRPr="00F672AB">
        <w:rPr>
          <w:lang w:val="en-US"/>
        </w:rPr>
        <w:t xml:space="preserve">, </w:t>
      </w:r>
      <w:r w:rsidRPr="00F672AB">
        <w:rPr>
          <w:i/>
          <w:iCs/>
          <w:lang w:val="en-US"/>
        </w:rPr>
        <w:t>41</w:t>
      </w:r>
      <w:r w:rsidRPr="00F672AB">
        <w:rPr>
          <w:lang w:val="en-US"/>
        </w:rPr>
        <w:t>, 100973. https://doi.org/10.1016/j.lana.2024.100973</w:t>
      </w:r>
    </w:p>
    <w:p w14:paraId="24FDB530" w14:textId="77777777" w:rsidR="00F672AB" w:rsidRPr="00F672AB" w:rsidRDefault="00F672AB" w:rsidP="00F672AB">
      <w:pPr>
        <w:spacing w:after="240"/>
        <w:ind w:left="720" w:hanging="720"/>
        <w:jc w:val="both"/>
        <w:rPr>
          <w:lang w:val="en-US"/>
        </w:rPr>
      </w:pPr>
      <w:r w:rsidRPr="00F672AB">
        <w:rPr>
          <w:lang w:val="en-US"/>
        </w:rPr>
        <w:t xml:space="preserve">Shivappa, P., Bernhardt, G., Gatti, P., &amp; Radhakrishnan, V. (2024). Exploring Psychosocial Distress in Cancer Patients and Survivors: A Quick Overview. </w:t>
      </w:r>
      <w:r w:rsidRPr="00F672AB">
        <w:rPr>
          <w:i/>
          <w:iCs/>
          <w:lang w:val="en-US"/>
        </w:rPr>
        <w:t>New Emirates Medical Journal</w:t>
      </w:r>
      <w:r w:rsidRPr="00F672AB">
        <w:rPr>
          <w:lang w:val="en-US"/>
        </w:rPr>
        <w:t xml:space="preserve">, </w:t>
      </w:r>
      <w:r w:rsidRPr="00F672AB">
        <w:rPr>
          <w:i/>
          <w:iCs/>
          <w:lang w:val="en-US"/>
        </w:rPr>
        <w:t>05</w:t>
      </w:r>
      <w:r w:rsidRPr="00F672AB">
        <w:rPr>
          <w:lang w:val="en-US"/>
        </w:rPr>
        <w:t>. https://doi.org/10.2174/0102506882320073240612103802</w:t>
      </w:r>
    </w:p>
    <w:p w14:paraId="341CBC18" w14:textId="77777777" w:rsidR="00F672AB" w:rsidRPr="00F672AB" w:rsidRDefault="00F672AB" w:rsidP="00F672AB">
      <w:pPr>
        <w:spacing w:after="240"/>
        <w:ind w:left="720" w:hanging="720"/>
        <w:jc w:val="both"/>
        <w:rPr>
          <w:lang w:val="en-US"/>
        </w:rPr>
      </w:pPr>
      <w:r w:rsidRPr="00F672AB">
        <w:rPr>
          <w:lang w:val="en-US"/>
        </w:rPr>
        <w:t xml:space="preserve">Siegel, R. L., Giaquinto, A. N., &amp; Jemal, A. (2024). Cancer statistics, 2024. </w:t>
      </w:r>
      <w:r w:rsidRPr="00F672AB">
        <w:rPr>
          <w:i/>
          <w:iCs/>
          <w:lang w:val="en-US"/>
        </w:rPr>
        <w:t>CA: A Cancer Journal for Clinicians</w:t>
      </w:r>
      <w:r w:rsidRPr="00F672AB">
        <w:rPr>
          <w:lang w:val="en-US"/>
        </w:rPr>
        <w:t xml:space="preserve">, </w:t>
      </w:r>
      <w:r w:rsidRPr="00F672AB">
        <w:rPr>
          <w:i/>
          <w:iCs/>
          <w:lang w:val="en-US"/>
        </w:rPr>
        <w:t>74</w:t>
      </w:r>
      <w:r w:rsidRPr="00F672AB">
        <w:rPr>
          <w:lang w:val="en-US"/>
        </w:rPr>
        <w:t>(1), 12–49. https://doi.org/10.3322/caac.21820</w:t>
      </w:r>
    </w:p>
    <w:p w14:paraId="4D68AD66" w14:textId="77777777" w:rsidR="00F672AB" w:rsidRPr="00F672AB" w:rsidRDefault="00F672AB" w:rsidP="00F672AB">
      <w:pPr>
        <w:spacing w:after="240"/>
        <w:ind w:left="720" w:hanging="720"/>
        <w:jc w:val="both"/>
        <w:rPr>
          <w:lang w:val="es-PR"/>
        </w:rPr>
      </w:pPr>
      <w:r w:rsidRPr="00F672AB">
        <w:rPr>
          <w:lang w:val="en-US"/>
        </w:rPr>
        <w:t xml:space="preserve">Tan, K. R., Waters, A. R., Chen, Q., Hendricks, B. A., Coombs, L. A., &amp; Kent, E. E. (2023). Inequities Among Cancer Caregivers with Diverse Identities: A Review of the Literature and Future Directions. </w:t>
      </w:r>
      <w:r w:rsidRPr="00F672AB">
        <w:rPr>
          <w:i/>
          <w:iCs/>
          <w:lang w:val="es-PR"/>
        </w:rPr>
        <w:t>Current Oncology Reports</w:t>
      </w:r>
      <w:r w:rsidRPr="00F672AB">
        <w:rPr>
          <w:lang w:val="es-PR"/>
        </w:rPr>
        <w:t xml:space="preserve">, </w:t>
      </w:r>
      <w:r w:rsidRPr="00F672AB">
        <w:rPr>
          <w:i/>
          <w:iCs/>
          <w:lang w:val="es-PR"/>
        </w:rPr>
        <w:t>25</w:t>
      </w:r>
      <w:r w:rsidRPr="00F672AB">
        <w:rPr>
          <w:lang w:val="es-PR"/>
        </w:rPr>
        <w:t>(7), 803–812. https://doi.org/10.1007/s11912-023-01415-3</w:t>
      </w:r>
    </w:p>
    <w:p w14:paraId="43D1033D" w14:textId="77777777" w:rsidR="00F672AB" w:rsidRPr="00F672AB" w:rsidRDefault="00F672AB" w:rsidP="00F672AB">
      <w:pPr>
        <w:spacing w:after="240"/>
        <w:ind w:left="720" w:hanging="720"/>
        <w:jc w:val="both"/>
        <w:rPr>
          <w:lang w:val="en-US"/>
        </w:rPr>
      </w:pPr>
      <w:r w:rsidRPr="00F672AB">
        <w:rPr>
          <w:lang w:val="es-PR"/>
        </w:rPr>
        <w:t xml:space="preserve">Vilela-Estrada, A. L., Villarreal-Zegarra, D., Copez-Lonzoy, A., Esenarro-Valencia, L., Sánchez-Ramírez, J. C., Lamas-Delgado, F., Ambrosio-Melgarejo, J., Reategui-Rivera, C. M., &amp; Finkelstein, J. (2025). </w:t>
      </w:r>
      <w:r w:rsidRPr="00F672AB">
        <w:rPr>
          <w:lang w:val="en-US"/>
        </w:rPr>
        <w:t xml:space="preserve">Psychometric properties of the Spanish version of the hospital anxiety and depression scale in cancer patients. </w:t>
      </w:r>
      <w:r w:rsidRPr="00F672AB">
        <w:rPr>
          <w:i/>
          <w:iCs/>
          <w:lang w:val="en-US"/>
        </w:rPr>
        <w:t>Frontiers in Psychology</w:t>
      </w:r>
      <w:r w:rsidRPr="00F672AB">
        <w:rPr>
          <w:lang w:val="en-US"/>
        </w:rPr>
        <w:t xml:space="preserve">, </w:t>
      </w:r>
      <w:r w:rsidRPr="00F672AB">
        <w:rPr>
          <w:i/>
          <w:iCs/>
          <w:lang w:val="en-US"/>
        </w:rPr>
        <w:t>15</w:t>
      </w:r>
      <w:r w:rsidRPr="00F672AB">
        <w:rPr>
          <w:lang w:val="en-US"/>
        </w:rPr>
        <w:t>, 1497946. https://doi.org/10.3389/fpsyg.2024.1497946</w:t>
      </w:r>
    </w:p>
    <w:p w14:paraId="44760530" w14:textId="77777777" w:rsidR="00F672AB" w:rsidRPr="00F672AB" w:rsidRDefault="00F672AB" w:rsidP="00F672AB">
      <w:pPr>
        <w:spacing w:after="240"/>
        <w:ind w:left="720" w:hanging="720"/>
        <w:jc w:val="both"/>
        <w:rPr>
          <w:lang w:val="en-US"/>
        </w:rPr>
      </w:pPr>
      <w:r w:rsidRPr="00F672AB">
        <w:rPr>
          <w:lang w:val="en-US"/>
        </w:rPr>
        <w:t xml:space="preserve">Wondimagegnehu, A., Assefa, M., Teferra, S., Kantelhardt, E. J., Zebrack, B., &amp; Addissie, A. (2024). A Qualitative Study on Psychosocial Challenges of Patients With Cancer in Ethiopia Using the Social-Ecological Model. </w:t>
      </w:r>
      <w:r w:rsidRPr="00F672AB">
        <w:rPr>
          <w:i/>
          <w:iCs/>
          <w:lang w:val="en-US"/>
        </w:rPr>
        <w:t>Qualitative Health Research</w:t>
      </w:r>
      <w:r w:rsidRPr="00F672AB">
        <w:rPr>
          <w:lang w:val="en-US"/>
        </w:rPr>
        <w:t xml:space="preserve">, </w:t>
      </w:r>
      <w:r w:rsidRPr="00F672AB">
        <w:rPr>
          <w:i/>
          <w:iCs/>
          <w:lang w:val="en-US"/>
        </w:rPr>
        <w:t>34</w:t>
      </w:r>
      <w:r w:rsidRPr="00F672AB">
        <w:rPr>
          <w:lang w:val="en-US"/>
        </w:rPr>
        <w:t>(8–9), 828–841. https://doi.org/10.1177/10497323231219409</w:t>
      </w:r>
    </w:p>
    <w:p w14:paraId="31FA6AC6" w14:textId="7EB1EDF5" w:rsidR="0010019E" w:rsidRPr="00F672AB" w:rsidRDefault="00F672AB" w:rsidP="00F672AB">
      <w:pPr>
        <w:spacing w:after="240"/>
        <w:ind w:left="720" w:hanging="720"/>
        <w:jc w:val="both"/>
        <w:rPr>
          <w:lang w:val="en-US"/>
        </w:rPr>
      </w:pPr>
      <w:r w:rsidRPr="00F672AB">
        <w:rPr>
          <w:lang w:val="en-US"/>
        </w:rPr>
        <w:fldChar w:fldCharType="end"/>
      </w:r>
    </w:p>
    <w:p w14:paraId="6EDF04B2" w14:textId="77777777" w:rsidR="0010019E" w:rsidRPr="00F672AB" w:rsidRDefault="0010019E">
      <w:pPr>
        <w:ind w:left="720" w:hanging="720"/>
        <w:jc w:val="both"/>
        <w:rPr>
          <w:lang w:val="en-US"/>
        </w:rPr>
      </w:pPr>
    </w:p>
    <w:p w14:paraId="7CC4078A" w14:textId="77777777" w:rsidR="0010019E" w:rsidRPr="00F672AB" w:rsidRDefault="0010019E">
      <w:pPr>
        <w:ind w:left="720" w:hanging="720"/>
        <w:jc w:val="both"/>
        <w:rPr>
          <w:lang w:val="en-US"/>
        </w:rPr>
      </w:pPr>
    </w:p>
    <w:p w14:paraId="0762221C" w14:textId="77777777" w:rsidR="0010019E" w:rsidRPr="00F672AB" w:rsidRDefault="005B16EC">
      <w:pPr>
        <w:shd w:val="clear" w:color="auto" w:fill="FFFFFF"/>
        <w:jc w:val="right"/>
        <w:rPr>
          <w:i/>
          <w:sz w:val="20"/>
          <w:szCs w:val="20"/>
          <w:lang w:val="en-US"/>
        </w:rPr>
      </w:pPr>
      <w:r w:rsidRPr="00F672AB">
        <w:rPr>
          <w:i/>
          <w:sz w:val="20"/>
          <w:szCs w:val="20"/>
          <w:lang w:val="en-US"/>
        </w:rPr>
        <w:t xml:space="preserve">Received: </w:t>
      </w:r>
    </w:p>
    <w:p w14:paraId="5AC35214" w14:textId="77777777" w:rsidR="0010019E" w:rsidRPr="00F672AB" w:rsidRDefault="005B16EC">
      <w:pPr>
        <w:shd w:val="clear" w:color="auto" w:fill="FFFFFF"/>
        <w:jc w:val="right"/>
        <w:rPr>
          <w:i/>
          <w:sz w:val="20"/>
          <w:szCs w:val="20"/>
          <w:lang w:val="en-US"/>
        </w:rPr>
      </w:pPr>
      <w:r w:rsidRPr="00F672AB">
        <w:rPr>
          <w:i/>
          <w:sz w:val="20"/>
          <w:szCs w:val="20"/>
          <w:lang w:val="en-US"/>
        </w:rPr>
        <w:t>Accepted:</w:t>
      </w:r>
      <w:r w:rsidRPr="00F672AB">
        <w:rPr>
          <w:rFonts w:ascii="Quattrocento Sans" w:eastAsia="Quattrocento Sans" w:hAnsi="Quattrocento Sans" w:cs="Quattrocento Sans"/>
          <w:sz w:val="21"/>
          <w:szCs w:val="21"/>
          <w:highlight w:val="white"/>
          <w:lang w:val="en-US"/>
        </w:rPr>
        <w:t xml:space="preserve"> </w:t>
      </w:r>
    </w:p>
    <w:p w14:paraId="5CA16E98" w14:textId="0EBBDDB9" w:rsidR="0010019E" w:rsidRPr="00F672AB" w:rsidRDefault="0010019E" w:rsidP="00F672AB">
      <w:pPr>
        <w:rPr>
          <w:i/>
          <w:sz w:val="28"/>
          <w:szCs w:val="28"/>
          <w:lang w:val="en-US"/>
        </w:rPr>
      </w:pPr>
    </w:p>
    <w:sectPr w:rsidR="0010019E" w:rsidRPr="00F672AB">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8451" w14:textId="77777777" w:rsidR="006706B6" w:rsidRDefault="006706B6">
      <w:r>
        <w:separator/>
      </w:r>
    </w:p>
  </w:endnote>
  <w:endnote w:type="continuationSeparator" w:id="0">
    <w:p w14:paraId="4DEACE99" w14:textId="77777777" w:rsidR="006706B6" w:rsidRDefault="0067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20FE18-B075-A149-BAD8-DF96B8F6283C}"/>
    <w:embedBold r:id="rId2" w:fontKey="{F7128AE5-5E06-E94C-83FF-C26E2A890476}"/>
    <w:embedItalic r:id="rId3" w:fontKey="{CB805CAE-1EAC-104A-BE65-3AE782EF8BF3}"/>
    <w:embedBoldItalic r:id="rId4" w:fontKey="{11109286-8A41-F340-9E5F-FCE141996CCD}"/>
  </w:font>
  <w:font w:name="Calibri Light">
    <w:panose1 w:val="020F0302020204030204"/>
    <w:charset w:val="00"/>
    <w:family w:val="swiss"/>
    <w:pitch w:val="variable"/>
    <w:sig w:usb0="E0002AFF" w:usb1="C000247B" w:usb2="00000009" w:usb3="00000000" w:csb0="000001FF" w:csb1="00000000"/>
    <w:embedRegular r:id="rId5" w:fontKey="{FAA6FA80-2236-234B-942C-9DE4AF17E367}"/>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ACFF" w:usb2="00000009" w:usb3="00000000" w:csb0="000001FF" w:csb1="00000000"/>
    <w:embedRegular r:id="rId6" w:fontKey="{49BD97E9-25F6-0E4F-A87A-41415F45B26D}"/>
  </w:font>
  <w:font w:name="Arial">
    <w:panose1 w:val="020B0604020202020204"/>
    <w:charset w:val="00"/>
    <w:family w:val="swiss"/>
    <w:pitch w:val="variable"/>
    <w:sig w:usb0="E0002AFF" w:usb1="C0007843" w:usb2="00000009" w:usb3="00000000" w:csb0="000001FF" w:csb1="00000000"/>
    <w:embedRegular r:id="rId7" w:fontKey="{DF18DEB0-3347-0A49-AFA5-8E3D995856FE}"/>
  </w:font>
  <w:font w:name="Times">
    <w:altName w:val="Times New Roman"/>
    <w:panose1 w:val="020B0604020202020204"/>
    <w:charset w:val="00"/>
    <w:family w:val="auto"/>
    <w:pitch w:val="default"/>
    <w:embedRegular r:id="rId8" w:fontKey="{E4FCA023-439A-E54C-B522-06563FFFB003}"/>
    <w:embedItalic r:id="rId9" w:fontKey="{7A4F35F8-E1FA-4948-A065-D8AE22906E61}"/>
    <w:embedBoldItalic r:id="rId10" w:fontKey="{2363B0E9-65CE-134F-8246-580B37DF585B}"/>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1" w:fontKey="{719B6CE0-0B5F-BA45-85DC-7B1F8193BAA1}"/>
    <w:embedItalic r:id="rId12" w:fontKey="{310C7831-B7FC-494E-B8CD-864F9365C7C0}"/>
  </w:font>
  <w:font w:name="Quattrocento Sans">
    <w:panose1 w:val="020B0502050000020003"/>
    <w:charset w:val="00"/>
    <w:family w:val="swiss"/>
    <w:pitch w:val="variable"/>
    <w:sig w:usb0="800000BF" w:usb1="4000005B" w:usb2="00000000" w:usb3="00000000" w:csb0="00000001" w:csb1="00000000"/>
    <w:embedRegular r:id="rId13" w:fontKey="{0776AA99-8FB1-784C-B4B2-053DA82A58FC}"/>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346E" w14:textId="77777777" w:rsidR="0010019E" w:rsidRDefault="005B16EC">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672AB">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1867117E" w14:textId="77777777" w:rsidR="0010019E" w:rsidRDefault="0010019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BEA8" w14:textId="77777777" w:rsidR="0010019E" w:rsidRDefault="005B16EC">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672AB">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6EFF784" w14:textId="77777777" w:rsidR="0010019E" w:rsidRDefault="0010019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4FE08" w14:textId="77777777" w:rsidR="006706B6" w:rsidRDefault="006706B6">
      <w:r>
        <w:separator/>
      </w:r>
    </w:p>
  </w:footnote>
  <w:footnote w:type="continuationSeparator" w:id="0">
    <w:p w14:paraId="3F2F17C5" w14:textId="77777777" w:rsidR="006706B6" w:rsidRDefault="00670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CF66" w14:textId="77777777" w:rsidR="0010019E" w:rsidRDefault="005B16EC">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9C3B" w14:textId="77777777" w:rsidR="0010019E" w:rsidRDefault="005B16EC">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26C36A2B" wp14:editId="31CCC5AB">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9477639" w14:textId="77777777" w:rsidR="0010019E" w:rsidRDefault="005B16EC">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intelligence2.xml><?xml version="1.0" encoding="utf-8"?>
<int2:intelligence xmlns:int2="http://schemas.microsoft.com/office/intelligence/2020/intelligence" xmlns:oel="http://schemas.microsoft.com/office/2019/extlst">
  <int2:observations>
    <int2:bookmark int2:bookmarkName="_Int_B62qHKDL" int2:invalidationBookmarkName="" int2:hashCode="25oxlDZMPd8FIQ" int2:id="jatuzNX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D99"/>
    <w:multiLevelType w:val="multilevel"/>
    <w:tmpl w:val="5DC49E8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2DBF4400"/>
    <w:multiLevelType w:val="multilevel"/>
    <w:tmpl w:val="CC0095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13878722">
    <w:abstractNumId w:val="1"/>
  </w:num>
  <w:num w:numId="2" w16cid:durableId="56429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19E"/>
    <w:rsid w:val="0010019E"/>
    <w:rsid w:val="00167D18"/>
    <w:rsid w:val="001E5959"/>
    <w:rsid w:val="00352171"/>
    <w:rsid w:val="00547729"/>
    <w:rsid w:val="005A42E7"/>
    <w:rsid w:val="005B16EC"/>
    <w:rsid w:val="005D6EC7"/>
    <w:rsid w:val="005E2703"/>
    <w:rsid w:val="006706B6"/>
    <w:rsid w:val="00746436"/>
    <w:rsid w:val="008B7A03"/>
    <w:rsid w:val="008D1363"/>
    <w:rsid w:val="008E1C7A"/>
    <w:rsid w:val="00A82B9B"/>
    <w:rsid w:val="00AE3AAE"/>
    <w:rsid w:val="00B36596"/>
    <w:rsid w:val="00BA7390"/>
    <w:rsid w:val="00BFAE68"/>
    <w:rsid w:val="00CD0342"/>
    <w:rsid w:val="00CE5D82"/>
    <w:rsid w:val="00D14059"/>
    <w:rsid w:val="00E41C83"/>
    <w:rsid w:val="00F08540"/>
    <w:rsid w:val="00F672AB"/>
    <w:rsid w:val="01098EE8"/>
    <w:rsid w:val="0155D2E2"/>
    <w:rsid w:val="01E3946C"/>
    <w:rsid w:val="0271386A"/>
    <w:rsid w:val="0399948E"/>
    <w:rsid w:val="04AD4FFA"/>
    <w:rsid w:val="05157BBF"/>
    <w:rsid w:val="053EC905"/>
    <w:rsid w:val="0683E197"/>
    <w:rsid w:val="073D3500"/>
    <w:rsid w:val="07519713"/>
    <w:rsid w:val="09D6C6A9"/>
    <w:rsid w:val="0AD4705F"/>
    <w:rsid w:val="0BE7EFA6"/>
    <w:rsid w:val="0C44C919"/>
    <w:rsid w:val="0ED43ACB"/>
    <w:rsid w:val="0F81362C"/>
    <w:rsid w:val="10060087"/>
    <w:rsid w:val="108F25B2"/>
    <w:rsid w:val="120FC4DB"/>
    <w:rsid w:val="12214C6F"/>
    <w:rsid w:val="125CE2BF"/>
    <w:rsid w:val="12DA7387"/>
    <w:rsid w:val="137DC764"/>
    <w:rsid w:val="13FE7FF9"/>
    <w:rsid w:val="15F35F44"/>
    <w:rsid w:val="162B1E68"/>
    <w:rsid w:val="167568A7"/>
    <w:rsid w:val="170CE877"/>
    <w:rsid w:val="172478B2"/>
    <w:rsid w:val="172A1EDD"/>
    <w:rsid w:val="1883D38C"/>
    <w:rsid w:val="1A52E6DF"/>
    <w:rsid w:val="1A71BA6E"/>
    <w:rsid w:val="1AAC30AB"/>
    <w:rsid w:val="1BFA5F2E"/>
    <w:rsid w:val="1C603086"/>
    <w:rsid w:val="1CA5C840"/>
    <w:rsid w:val="1D5F7C27"/>
    <w:rsid w:val="1D9D95C3"/>
    <w:rsid w:val="1DC80690"/>
    <w:rsid w:val="1FB3B0F0"/>
    <w:rsid w:val="1FDA6D18"/>
    <w:rsid w:val="1FE455B8"/>
    <w:rsid w:val="22535D81"/>
    <w:rsid w:val="22C58C60"/>
    <w:rsid w:val="236474F3"/>
    <w:rsid w:val="23937EEA"/>
    <w:rsid w:val="23977121"/>
    <w:rsid w:val="24464C04"/>
    <w:rsid w:val="247D7F03"/>
    <w:rsid w:val="24E62DE9"/>
    <w:rsid w:val="2653E150"/>
    <w:rsid w:val="26FEECF6"/>
    <w:rsid w:val="2A00BBED"/>
    <w:rsid w:val="2A01114C"/>
    <w:rsid w:val="2C79693A"/>
    <w:rsid w:val="2D0C936E"/>
    <w:rsid w:val="2D1F8578"/>
    <w:rsid w:val="2D396507"/>
    <w:rsid w:val="2D91451B"/>
    <w:rsid w:val="2D973DCF"/>
    <w:rsid w:val="2E41CC5B"/>
    <w:rsid w:val="2E5D823A"/>
    <w:rsid w:val="2EED72FF"/>
    <w:rsid w:val="2F00AA10"/>
    <w:rsid w:val="30459331"/>
    <w:rsid w:val="3060BA84"/>
    <w:rsid w:val="31C3ED6C"/>
    <w:rsid w:val="3248259A"/>
    <w:rsid w:val="327F1BD5"/>
    <w:rsid w:val="32937415"/>
    <w:rsid w:val="32D06912"/>
    <w:rsid w:val="32E0228D"/>
    <w:rsid w:val="333BAC99"/>
    <w:rsid w:val="3381B031"/>
    <w:rsid w:val="347D71EE"/>
    <w:rsid w:val="356D8D17"/>
    <w:rsid w:val="35B4AFC5"/>
    <w:rsid w:val="35E10606"/>
    <w:rsid w:val="38360B9C"/>
    <w:rsid w:val="3837D567"/>
    <w:rsid w:val="398924A4"/>
    <w:rsid w:val="39AC7C61"/>
    <w:rsid w:val="3AA7ECE4"/>
    <w:rsid w:val="3B72A205"/>
    <w:rsid w:val="3BF3AEB8"/>
    <w:rsid w:val="3CED2499"/>
    <w:rsid w:val="3DF83108"/>
    <w:rsid w:val="3DF92E12"/>
    <w:rsid w:val="3F5EE5F5"/>
    <w:rsid w:val="3FBA7299"/>
    <w:rsid w:val="3FF28084"/>
    <w:rsid w:val="4091092E"/>
    <w:rsid w:val="410F9CE6"/>
    <w:rsid w:val="41176125"/>
    <w:rsid w:val="419B3B3B"/>
    <w:rsid w:val="42A63EC0"/>
    <w:rsid w:val="4415A2A2"/>
    <w:rsid w:val="448F66CF"/>
    <w:rsid w:val="44F5F91C"/>
    <w:rsid w:val="45269330"/>
    <w:rsid w:val="466B2560"/>
    <w:rsid w:val="482897D4"/>
    <w:rsid w:val="484BF671"/>
    <w:rsid w:val="49F463F7"/>
    <w:rsid w:val="4A19ADED"/>
    <w:rsid w:val="4A678DF3"/>
    <w:rsid w:val="4A996E22"/>
    <w:rsid w:val="4BACB0BB"/>
    <w:rsid w:val="4BBF22C2"/>
    <w:rsid w:val="4C4BE909"/>
    <w:rsid w:val="4C5B66F2"/>
    <w:rsid w:val="4CB17C3D"/>
    <w:rsid w:val="4E8C236B"/>
    <w:rsid w:val="4F0C9474"/>
    <w:rsid w:val="4F771A22"/>
    <w:rsid w:val="4FB309B8"/>
    <w:rsid w:val="4FBB177E"/>
    <w:rsid w:val="4FE706DB"/>
    <w:rsid w:val="501BBFA1"/>
    <w:rsid w:val="503F60EE"/>
    <w:rsid w:val="51349519"/>
    <w:rsid w:val="52FDAAB4"/>
    <w:rsid w:val="535246C5"/>
    <w:rsid w:val="53E8D528"/>
    <w:rsid w:val="55711335"/>
    <w:rsid w:val="55981031"/>
    <w:rsid w:val="55E720A7"/>
    <w:rsid w:val="56F23967"/>
    <w:rsid w:val="58292724"/>
    <w:rsid w:val="589FB975"/>
    <w:rsid w:val="59689C8C"/>
    <w:rsid w:val="5A479C63"/>
    <w:rsid w:val="5A9BF295"/>
    <w:rsid w:val="5C018F5D"/>
    <w:rsid w:val="5D15E64B"/>
    <w:rsid w:val="5DB0FFEF"/>
    <w:rsid w:val="5E830DDE"/>
    <w:rsid w:val="5F684FA0"/>
    <w:rsid w:val="5FAB56A7"/>
    <w:rsid w:val="5FFFD1B6"/>
    <w:rsid w:val="604FE877"/>
    <w:rsid w:val="61110ED1"/>
    <w:rsid w:val="6111DAD6"/>
    <w:rsid w:val="614CF973"/>
    <w:rsid w:val="617737E4"/>
    <w:rsid w:val="63CEDAA8"/>
    <w:rsid w:val="63FFEFC2"/>
    <w:rsid w:val="649FC3FD"/>
    <w:rsid w:val="66A97F08"/>
    <w:rsid w:val="66AAA1D1"/>
    <w:rsid w:val="675E826F"/>
    <w:rsid w:val="677C415A"/>
    <w:rsid w:val="6857383F"/>
    <w:rsid w:val="68D7C141"/>
    <w:rsid w:val="6919284B"/>
    <w:rsid w:val="696DFD3F"/>
    <w:rsid w:val="6A1F4401"/>
    <w:rsid w:val="6A36EAAB"/>
    <w:rsid w:val="6C04BDD0"/>
    <w:rsid w:val="6D73C233"/>
    <w:rsid w:val="6E31986C"/>
    <w:rsid w:val="6EA03327"/>
    <w:rsid w:val="7212BB3A"/>
    <w:rsid w:val="723DD18A"/>
    <w:rsid w:val="72CC5A57"/>
    <w:rsid w:val="73F1F08F"/>
    <w:rsid w:val="74833E0F"/>
    <w:rsid w:val="74FF8640"/>
    <w:rsid w:val="758B888C"/>
    <w:rsid w:val="7684FA62"/>
    <w:rsid w:val="7686CCF9"/>
    <w:rsid w:val="76BAF3BE"/>
    <w:rsid w:val="79CA7375"/>
    <w:rsid w:val="7A259799"/>
    <w:rsid w:val="7A5ACC15"/>
    <w:rsid w:val="7A85EA3B"/>
    <w:rsid w:val="7A8BDE5F"/>
    <w:rsid w:val="7ACD28D2"/>
    <w:rsid w:val="7B02EA95"/>
    <w:rsid w:val="7B1D0049"/>
    <w:rsid w:val="7B74F2B3"/>
    <w:rsid w:val="7BD4B78C"/>
    <w:rsid w:val="7C889469"/>
    <w:rsid w:val="7D7DF1F3"/>
    <w:rsid w:val="7DE0ACBF"/>
    <w:rsid w:val="7F0CE71A"/>
    <w:rsid w:val="7F62A266"/>
    <w:rsid w:val="7FCEF8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CC74DF"/>
  <w15:docId w15:val="{7BB91EB2-FDA7-5948-A7A3-CD6FBD49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1">
    <w:name w:val="Table Normal1"/>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DefaultParagraphFont"/>
    <w:link w:val="SubtituloInterno1"/>
    <w:rsid w:val="0078702D"/>
    <w:rPr>
      <w:rFonts w:ascii="Times New Roman" w:eastAsia="Times New Roman" w:hAnsi="Times New Roman" w:cs="Times New Roman"/>
      <w:i/>
      <w:lang w:val="es-A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eastAsia="Times New Roman"/>
    </w:rPr>
    <w:tblPr>
      <w:tblStyleRowBandSize w:val="1"/>
      <w:tblStyleColBandSize w:val="1"/>
    </w:tblPr>
  </w:style>
  <w:style w:type="paragraph" w:styleId="Bibliography">
    <w:name w:val="Bibliography"/>
    <w:basedOn w:val="Normal"/>
    <w:next w:val="Normal"/>
    <w:uiPriority w:val="37"/>
    <w:semiHidden/>
    <w:unhideWhenUsed/>
    <w:rsid w:val="00F672AB"/>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s-AR" w:eastAsia="es-ES_tradnl"/>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4921">
      <w:bodyDiv w:val="1"/>
      <w:marLeft w:val="0"/>
      <w:marRight w:val="0"/>
      <w:marTop w:val="0"/>
      <w:marBottom w:val="0"/>
      <w:divBdr>
        <w:top w:val="none" w:sz="0" w:space="0" w:color="auto"/>
        <w:left w:val="none" w:sz="0" w:space="0" w:color="auto"/>
        <w:bottom w:val="none" w:sz="0" w:space="0" w:color="auto"/>
        <w:right w:val="none" w:sz="0" w:space="0" w:color="auto"/>
      </w:divBdr>
      <w:divsChild>
        <w:div w:id="984817363">
          <w:marLeft w:val="0"/>
          <w:marRight w:val="0"/>
          <w:marTop w:val="0"/>
          <w:marBottom w:val="0"/>
          <w:divBdr>
            <w:top w:val="none" w:sz="0" w:space="0" w:color="auto"/>
            <w:left w:val="none" w:sz="0" w:space="0" w:color="auto"/>
            <w:bottom w:val="none" w:sz="0" w:space="0" w:color="auto"/>
            <w:right w:val="none" w:sz="0" w:space="0" w:color="auto"/>
          </w:divBdr>
          <w:divsChild>
            <w:div w:id="17263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743">
      <w:bodyDiv w:val="1"/>
      <w:marLeft w:val="0"/>
      <w:marRight w:val="0"/>
      <w:marTop w:val="0"/>
      <w:marBottom w:val="0"/>
      <w:divBdr>
        <w:top w:val="none" w:sz="0" w:space="0" w:color="auto"/>
        <w:left w:val="none" w:sz="0" w:space="0" w:color="auto"/>
        <w:bottom w:val="none" w:sz="0" w:space="0" w:color="auto"/>
        <w:right w:val="none" w:sz="0" w:space="0" w:color="auto"/>
      </w:divBdr>
      <w:divsChild>
        <w:div w:id="373308996">
          <w:marLeft w:val="0"/>
          <w:marRight w:val="0"/>
          <w:marTop w:val="0"/>
          <w:marBottom w:val="0"/>
          <w:divBdr>
            <w:top w:val="none" w:sz="0" w:space="0" w:color="auto"/>
            <w:left w:val="none" w:sz="0" w:space="0" w:color="auto"/>
            <w:bottom w:val="none" w:sz="0" w:space="0" w:color="auto"/>
            <w:right w:val="none" w:sz="0" w:space="0" w:color="auto"/>
          </w:divBdr>
          <w:divsChild>
            <w:div w:id="13956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4112</Words>
  <Characters>23439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Ninoshka  Rivera</cp:lastModifiedBy>
  <cp:revision>2</cp:revision>
  <dcterms:created xsi:type="dcterms:W3CDTF">2025-04-30T21:22:00Z</dcterms:created>
  <dcterms:modified xsi:type="dcterms:W3CDTF">2025-04-30T21:22:00Z</dcterms:modified>
</cp:coreProperties>
</file>