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C6" w:rsidRPr="00FA0D5F" w:rsidRDefault="00814DBF" w:rsidP="00D13CB9">
      <w:pPr>
        <w:pStyle w:val="Ttulo1"/>
        <w:spacing w:line="360" w:lineRule="auto"/>
        <w:jc w:val="center"/>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Eficacia de la defusión y la reestructuración cognitiva en la reducción de la sintomatología ansiosa y depresiva: un estudio en una unidad de salud mental.</w:t>
      </w:r>
    </w:p>
    <w:p w:rsidR="00BF65D5" w:rsidRPr="00FA0D5F" w:rsidRDefault="00BF65D5" w:rsidP="00D13CB9">
      <w:pPr>
        <w:spacing w:line="360" w:lineRule="auto"/>
        <w:rPr>
          <w:rFonts w:cs="Times New Roman"/>
          <w:szCs w:val="24"/>
          <w:lang w:val="es-CO"/>
        </w:rPr>
      </w:pPr>
    </w:p>
    <w:p w:rsidR="000458C6" w:rsidRPr="00FA0D5F" w:rsidRDefault="00E251EB" w:rsidP="00D13CB9">
      <w:pPr>
        <w:pStyle w:val="Ttulo2"/>
        <w:spacing w:line="360" w:lineRule="auto"/>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Resumen</w:t>
      </w:r>
    </w:p>
    <w:p w:rsidR="005A1B0F" w:rsidRPr="00FA0D5F" w:rsidRDefault="005A1B0F" w:rsidP="00D13CB9">
      <w:pPr>
        <w:spacing w:line="360" w:lineRule="auto"/>
        <w:rPr>
          <w:rFonts w:cs="Times New Roman"/>
          <w:szCs w:val="24"/>
          <w:lang w:val="es-CO"/>
        </w:rPr>
      </w:pPr>
      <w:r w:rsidRPr="00FA0D5F">
        <w:rPr>
          <w:rFonts w:cs="Times New Roman"/>
          <w:szCs w:val="24"/>
          <w:lang w:val="es-CO"/>
        </w:rPr>
        <w:t>En este estudio se compara la eficacia de la defusión y la reestructuración cognitiva sobre la intensidad reportada en la sintomatología ansiosa y depresiva de población hospitalizada en una unidad de salud mental en la Clínica Nuestra Señora De La Paz.  Los 40 participantes</w:t>
      </w:r>
      <w:r w:rsidR="00677C2D" w:rsidRPr="00FA0D5F">
        <w:rPr>
          <w:rFonts w:cs="Times New Roman"/>
          <w:szCs w:val="24"/>
          <w:lang w:val="es-CO"/>
        </w:rPr>
        <w:t xml:space="preserve"> fueron asignados </w:t>
      </w:r>
      <w:r w:rsidRPr="00FA0D5F">
        <w:rPr>
          <w:rFonts w:cs="Times New Roman"/>
          <w:szCs w:val="24"/>
          <w:lang w:val="es-CO"/>
        </w:rPr>
        <w:t>a</w:t>
      </w:r>
      <w:r w:rsidR="00677C2D" w:rsidRPr="00FA0D5F">
        <w:rPr>
          <w:rFonts w:cs="Times New Roman"/>
          <w:szCs w:val="24"/>
          <w:lang w:val="es-CO"/>
        </w:rPr>
        <w:t xml:space="preserve"> uno de los</w:t>
      </w:r>
      <w:r w:rsidRPr="00FA0D5F">
        <w:rPr>
          <w:rFonts w:cs="Times New Roman"/>
          <w:szCs w:val="24"/>
          <w:lang w:val="es-CO"/>
        </w:rPr>
        <w:t xml:space="preserve"> dos grupos: Defusión cognitiva o Reestructuración cognitiva. Encontramos que ambas técnicas reducen significativamente la sintomatología ansiosa y depresiva entre las medidas de pre y pos test, con tamaños del efecto que son estadísticamente significativos y clínicamente relevantes. La intervención con reestructuración cognitiva mostró uno de los mayores efectos (d=1.81) en la reducción del estrés emocional (Dass 21, Estrés), lo que sugiere que esta técnica podría ser particularmente efectiva. Se concluye, que el protocolo de defusión y reestructuración cognitiva demuestran ser intervenciones efectivas dentro de un contexto hospitalario, disminuyendo la fusión cognitiva y la intensidad de los síntomas ansiosos y depresivos. Se discute la implementación de estudios adicionales que controlen variables de tratamiento farmacológico, alianza terapéutica y un grupo control, con el fin de proporcionar evidencia más robusta sobre la eficacia comparativa de estas intervenciones y la selección de la técnica mediante el análisis funcional.  </w:t>
      </w:r>
    </w:p>
    <w:p w:rsidR="005A1B0F" w:rsidRPr="00FA0D5F" w:rsidRDefault="005A1B0F" w:rsidP="00D13CB9">
      <w:pPr>
        <w:spacing w:line="360" w:lineRule="auto"/>
        <w:rPr>
          <w:rFonts w:cs="Times New Roman"/>
          <w:szCs w:val="24"/>
          <w:lang w:val="es-CO"/>
        </w:rPr>
      </w:pPr>
      <w:r w:rsidRPr="00FA0D5F">
        <w:rPr>
          <w:rFonts w:cs="Times New Roman"/>
          <w:szCs w:val="24"/>
          <w:lang w:val="es-CO"/>
        </w:rPr>
        <w:t>Palabras clave: defusión cognitiva, reestructuración cognitiva, ansiedad y depresión.</w:t>
      </w:r>
    </w:p>
    <w:p w:rsidR="000458C6" w:rsidRPr="00FA0D5F" w:rsidRDefault="00E251EB" w:rsidP="00D13CB9">
      <w:pPr>
        <w:pStyle w:val="Ttulo1"/>
        <w:spacing w:line="360" w:lineRule="auto"/>
        <w:rPr>
          <w:rFonts w:ascii="Times New Roman" w:hAnsi="Times New Roman" w:cs="Times New Roman"/>
          <w:color w:val="auto"/>
          <w:sz w:val="24"/>
          <w:szCs w:val="24"/>
        </w:rPr>
      </w:pPr>
      <w:r w:rsidRPr="00FA0D5F">
        <w:rPr>
          <w:rFonts w:ascii="Times New Roman" w:hAnsi="Times New Roman" w:cs="Times New Roman"/>
          <w:color w:val="auto"/>
          <w:sz w:val="24"/>
          <w:szCs w:val="24"/>
        </w:rPr>
        <w:t>Abstract</w:t>
      </w:r>
    </w:p>
    <w:p w:rsidR="00BF69FF" w:rsidRPr="00FA0D5F" w:rsidRDefault="00BF69FF" w:rsidP="00D13CB9">
      <w:pPr>
        <w:spacing w:before="100" w:beforeAutospacing="1" w:after="100" w:afterAutospacing="1" w:line="360" w:lineRule="auto"/>
        <w:rPr>
          <w:rFonts w:eastAsia="Times New Roman" w:cs="Times New Roman"/>
          <w:szCs w:val="24"/>
        </w:rPr>
      </w:pPr>
      <w:r w:rsidRPr="00FA0D5F">
        <w:rPr>
          <w:rFonts w:eastAsia="Times New Roman" w:cs="Times New Roman"/>
          <w:szCs w:val="24"/>
        </w:rPr>
        <w:t xml:space="preserve">In this study, the efficacy of cognitive defusion and cognitive restructuring on the reported intensity of anxious and depressive symptoms in a hospitalized population at a mental health unit in </w:t>
      </w:r>
      <w:proofErr w:type="spellStart"/>
      <w:r w:rsidRPr="00FA0D5F">
        <w:rPr>
          <w:rFonts w:eastAsia="Times New Roman" w:cs="Times New Roman"/>
          <w:szCs w:val="24"/>
        </w:rPr>
        <w:t>Clínica</w:t>
      </w:r>
      <w:proofErr w:type="spellEnd"/>
      <w:r w:rsidRPr="00FA0D5F">
        <w:rPr>
          <w:rFonts w:eastAsia="Times New Roman" w:cs="Times New Roman"/>
          <w:szCs w:val="24"/>
        </w:rPr>
        <w:t xml:space="preserve"> </w:t>
      </w:r>
      <w:proofErr w:type="spellStart"/>
      <w:r w:rsidRPr="00FA0D5F">
        <w:rPr>
          <w:rFonts w:eastAsia="Times New Roman" w:cs="Times New Roman"/>
          <w:szCs w:val="24"/>
        </w:rPr>
        <w:t>Nuestra</w:t>
      </w:r>
      <w:proofErr w:type="spellEnd"/>
      <w:r w:rsidRPr="00FA0D5F">
        <w:rPr>
          <w:rFonts w:eastAsia="Times New Roman" w:cs="Times New Roman"/>
          <w:szCs w:val="24"/>
        </w:rPr>
        <w:t xml:space="preserve"> </w:t>
      </w:r>
      <w:proofErr w:type="spellStart"/>
      <w:r w:rsidRPr="00FA0D5F">
        <w:rPr>
          <w:rFonts w:eastAsia="Times New Roman" w:cs="Times New Roman"/>
          <w:szCs w:val="24"/>
        </w:rPr>
        <w:t>Señora</w:t>
      </w:r>
      <w:proofErr w:type="spellEnd"/>
      <w:r w:rsidRPr="00FA0D5F">
        <w:rPr>
          <w:rFonts w:eastAsia="Times New Roman" w:cs="Times New Roman"/>
          <w:szCs w:val="24"/>
        </w:rPr>
        <w:t xml:space="preserve"> De La Paz </w:t>
      </w:r>
      <w:proofErr w:type="gramStart"/>
      <w:r w:rsidRPr="00FA0D5F">
        <w:rPr>
          <w:rFonts w:eastAsia="Times New Roman" w:cs="Times New Roman"/>
          <w:szCs w:val="24"/>
        </w:rPr>
        <w:t>was compared</w:t>
      </w:r>
      <w:proofErr w:type="gramEnd"/>
      <w:r w:rsidRPr="00FA0D5F">
        <w:rPr>
          <w:rFonts w:eastAsia="Times New Roman" w:cs="Times New Roman"/>
          <w:szCs w:val="24"/>
        </w:rPr>
        <w:t xml:space="preserve">. The 40 participants </w:t>
      </w:r>
      <w:proofErr w:type="gramStart"/>
      <w:r w:rsidRPr="00FA0D5F">
        <w:rPr>
          <w:rFonts w:eastAsia="Times New Roman" w:cs="Times New Roman"/>
          <w:szCs w:val="24"/>
        </w:rPr>
        <w:t>were assigned</w:t>
      </w:r>
      <w:proofErr w:type="gramEnd"/>
      <w:r w:rsidRPr="00FA0D5F">
        <w:rPr>
          <w:rFonts w:eastAsia="Times New Roman" w:cs="Times New Roman"/>
          <w:szCs w:val="24"/>
        </w:rPr>
        <w:t xml:space="preserve"> to one of two groups: Cognitive </w:t>
      </w:r>
      <w:proofErr w:type="spellStart"/>
      <w:r w:rsidRPr="00FA0D5F">
        <w:rPr>
          <w:rFonts w:eastAsia="Times New Roman" w:cs="Times New Roman"/>
          <w:szCs w:val="24"/>
        </w:rPr>
        <w:t>Defusion</w:t>
      </w:r>
      <w:proofErr w:type="spellEnd"/>
      <w:r w:rsidRPr="00FA0D5F">
        <w:rPr>
          <w:rFonts w:eastAsia="Times New Roman" w:cs="Times New Roman"/>
          <w:szCs w:val="24"/>
        </w:rPr>
        <w:t xml:space="preserve"> or Cognitive Restructuring. We found that both techniques significantly reduced anxious and depressive symptoms between pre- </w:t>
      </w:r>
      <w:r w:rsidRPr="00FA0D5F">
        <w:rPr>
          <w:rFonts w:eastAsia="Times New Roman" w:cs="Times New Roman"/>
          <w:szCs w:val="24"/>
        </w:rPr>
        <w:lastRenderedPageBreak/>
        <w:t xml:space="preserve">and post-test measures, with effect sizes that were statistically significant and clinically relevant. The cognitive restructuring intervention showed one of the largest effects (d = 1.81) in reducing emotional stress (DASS-21, Stress), suggesting that this technique could be particularly effective. It </w:t>
      </w:r>
      <w:proofErr w:type="gramStart"/>
      <w:r w:rsidRPr="00FA0D5F">
        <w:rPr>
          <w:rFonts w:eastAsia="Times New Roman" w:cs="Times New Roman"/>
          <w:szCs w:val="24"/>
        </w:rPr>
        <w:t>is concluded</w:t>
      </w:r>
      <w:proofErr w:type="gramEnd"/>
      <w:r w:rsidRPr="00FA0D5F">
        <w:rPr>
          <w:rFonts w:eastAsia="Times New Roman" w:cs="Times New Roman"/>
          <w:szCs w:val="24"/>
        </w:rPr>
        <w:t xml:space="preserve"> that both </w:t>
      </w:r>
      <w:proofErr w:type="spellStart"/>
      <w:r w:rsidRPr="00FA0D5F">
        <w:rPr>
          <w:rFonts w:eastAsia="Times New Roman" w:cs="Times New Roman"/>
          <w:szCs w:val="24"/>
        </w:rPr>
        <w:t>defusion</w:t>
      </w:r>
      <w:proofErr w:type="spellEnd"/>
      <w:r w:rsidRPr="00FA0D5F">
        <w:rPr>
          <w:rFonts w:eastAsia="Times New Roman" w:cs="Times New Roman"/>
          <w:szCs w:val="24"/>
        </w:rPr>
        <w:t xml:space="preserve"> and cognitive restructuring protocols prove to be effective interventions within a hospital setting, decreasing cognitive fusion and the intensity of anxious and depressive symptoms. The study discusses the implementation of additional research that controls for pharmacological treatment variables, therapeutic alliance, and a control group, in order to provide </w:t>
      </w:r>
      <w:proofErr w:type="gramStart"/>
      <w:r w:rsidRPr="00FA0D5F">
        <w:rPr>
          <w:rFonts w:eastAsia="Times New Roman" w:cs="Times New Roman"/>
          <w:szCs w:val="24"/>
        </w:rPr>
        <w:t>more robust evidence on the comparative efficacy of these interventions and the selection of techniques through functional analysis</w:t>
      </w:r>
      <w:proofErr w:type="gramEnd"/>
      <w:r w:rsidRPr="00FA0D5F">
        <w:rPr>
          <w:rFonts w:eastAsia="Times New Roman" w:cs="Times New Roman"/>
          <w:szCs w:val="24"/>
        </w:rPr>
        <w:t>.</w:t>
      </w:r>
    </w:p>
    <w:p w:rsidR="00BF69FF" w:rsidRPr="00FA0D5F" w:rsidRDefault="00BF69FF" w:rsidP="00D13CB9">
      <w:pPr>
        <w:spacing w:before="100" w:beforeAutospacing="1" w:after="100" w:afterAutospacing="1" w:line="360" w:lineRule="auto"/>
        <w:rPr>
          <w:rFonts w:eastAsia="Times New Roman" w:cs="Times New Roman"/>
          <w:szCs w:val="24"/>
        </w:rPr>
      </w:pPr>
      <w:r w:rsidRPr="00FA0D5F">
        <w:rPr>
          <w:rFonts w:eastAsia="Times New Roman" w:cs="Times New Roman"/>
          <w:b/>
          <w:bCs/>
          <w:szCs w:val="24"/>
        </w:rPr>
        <w:t>Keywords:</w:t>
      </w:r>
      <w:r w:rsidRPr="00FA0D5F">
        <w:rPr>
          <w:rFonts w:eastAsia="Times New Roman" w:cs="Times New Roman"/>
          <w:szCs w:val="24"/>
        </w:rPr>
        <w:t xml:space="preserve"> cognitive </w:t>
      </w:r>
      <w:proofErr w:type="spellStart"/>
      <w:r w:rsidRPr="00FA0D5F">
        <w:rPr>
          <w:rFonts w:eastAsia="Times New Roman" w:cs="Times New Roman"/>
          <w:szCs w:val="24"/>
        </w:rPr>
        <w:t>defusion</w:t>
      </w:r>
      <w:proofErr w:type="spellEnd"/>
      <w:r w:rsidRPr="00FA0D5F">
        <w:rPr>
          <w:rFonts w:eastAsia="Times New Roman" w:cs="Times New Roman"/>
          <w:szCs w:val="24"/>
        </w:rPr>
        <w:t>, cognitive restructuring, anxiety, and depression.</w:t>
      </w:r>
    </w:p>
    <w:p w:rsidR="00DC46D3" w:rsidRPr="00FA0D5F" w:rsidRDefault="00DC46D3" w:rsidP="00D13CB9">
      <w:pPr>
        <w:spacing w:line="360" w:lineRule="auto"/>
        <w:rPr>
          <w:rFonts w:cs="Times New Roman"/>
          <w:szCs w:val="24"/>
        </w:rPr>
      </w:pPr>
    </w:p>
    <w:p w:rsidR="000458C6" w:rsidRDefault="00814DBF" w:rsidP="00D13CB9">
      <w:pPr>
        <w:spacing w:line="360" w:lineRule="auto"/>
        <w:jc w:val="center"/>
        <w:rPr>
          <w:rFonts w:cs="Times New Roman"/>
          <w:szCs w:val="24"/>
          <w:lang w:val="es-CO"/>
        </w:rPr>
      </w:pPr>
      <w:r w:rsidRPr="00FA0D5F">
        <w:rPr>
          <w:rStyle w:val="Ttulo1Car"/>
          <w:rFonts w:ascii="Times New Roman" w:hAnsi="Times New Roman" w:cs="Times New Roman"/>
          <w:color w:val="auto"/>
          <w:sz w:val="24"/>
          <w:szCs w:val="24"/>
          <w:lang w:val="es-CO"/>
        </w:rPr>
        <w:t>Eficacia de la defusión y la reestructuración cognitiva en la reducción de la sintomatología ansiosa y depresiva: un estudio en una unidad de salud mental</w:t>
      </w:r>
      <w:r w:rsidRPr="00FA0D5F">
        <w:rPr>
          <w:rFonts w:cs="Times New Roman"/>
          <w:szCs w:val="24"/>
          <w:lang w:val="es-CO"/>
        </w:rPr>
        <w:t>.</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Tanto las estrategias de defusión como las de reestructuración cognitiva consideran que los pensamientos pueden obstaculizar la acción efectiva y generar respuestas emocionales problemáticas. Sin embargo, a diferencia de los enfoques cognitivos tradicionales que buscan cambiar el contenido de los pensamientos, la defusión cognitiva en la Terapia de Aceptación y Compromiso (ACT) se centra en la manera en que las personas interactúan con sus pensamientos y otras experiencias internas (</w:t>
      </w:r>
      <w:proofErr w:type="spellStart"/>
      <w:r w:rsidRPr="00521EB8">
        <w:rPr>
          <w:rFonts w:cs="Times New Roman"/>
          <w:szCs w:val="24"/>
          <w:lang w:val="es-CO"/>
        </w:rPr>
        <w:t>Blackledge</w:t>
      </w:r>
      <w:proofErr w:type="spellEnd"/>
      <w:r w:rsidRPr="00521EB8">
        <w:rPr>
          <w:rFonts w:cs="Times New Roman"/>
          <w:szCs w:val="24"/>
          <w:lang w:val="es-CO"/>
        </w:rPr>
        <w:t>, 2018).</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 xml:space="preserve">Según De los Santos (2012), se considera que las personas actúan bajo el control directo de las contingencias actuales o de reglas verbales que predicen distintos resultados para la conducta. En esta línea, la fusión cognitiva explica cómo las personas tienden a evitar eventos internos percibidos como estímulos aversivos, lo que puede desencadenar problemas psicológicos (Ruiz, Suárez, Riaño y </w:t>
      </w:r>
      <w:proofErr w:type="spellStart"/>
      <w:r w:rsidRPr="00521EB8">
        <w:rPr>
          <w:rFonts w:cs="Times New Roman"/>
          <w:szCs w:val="24"/>
          <w:lang w:val="es-CO"/>
        </w:rPr>
        <w:t>Gillanders</w:t>
      </w:r>
      <w:proofErr w:type="spellEnd"/>
      <w:r w:rsidRPr="00521EB8">
        <w:rPr>
          <w:rFonts w:cs="Times New Roman"/>
          <w:szCs w:val="24"/>
          <w:lang w:val="es-CO"/>
        </w:rPr>
        <w:t xml:space="preserve">, 2017). Además, influye en el desarrollo de la depresión independientemente del sexo o la edad (Ramos, Rodríguez, Sánchez y Mena, 2018), siendo un factor de riesgo significativo que interfiere con la </w:t>
      </w:r>
      <w:r w:rsidRPr="00521EB8">
        <w:rPr>
          <w:rFonts w:cs="Times New Roman"/>
          <w:szCs w:val="24"/>
          <w:lang w:val="es-CO"/>
        </w:rPr>
        <w:lastRenderedPageBreak/>
        <w:t>capacidad de los individuos para regular sus emociones de manera adecuada (</w:t>
      </w:r>
      <w:proofErr w:type="spellStart"/>
      <w:r w:rsidRPr="00521EB8">
        <w:rPr>
          <w:rFonts w:cs="Times New Roman"/>
          <w:szCs w:val="24"/>
          <w:lang w:val="es-CO"/>
        </w:rPr>
        <w:t>Gillanders</w:t>
      </w:r>
      <w:proofErr w:type="spellEnd"/>
      <w:r w:rsidRPr="00521EB8">
        <w:rPr>
          <w:rFonts w:cs="Times New Roman"/>
          <w:szCs w:val="24"/>
          <w:lang w:val="es-CO"/>
        </w:rPr>
        <w:t xml:space="preserve">, </w:t>
      </w:r>
      <w:proofErr w:type="spellStart"/>
      <w:r w:rsidRPr="00521EB8">
        <w:rPr>
          <w:rFonts w:cs="Times New Roman"/>
          <w:szCs w:val="24"/>
          <w:lang w:val="es-CO"/>
        </w:rPr>
        <w:t>Bolderston</w:t>
      </w:r>
      <w:proofErr w:type="spellEnd"/>
      <w:r w:rsidRPr="00521EB8">
        <w:rPr>
          <w:rFonts w:cs="Times New Roman"/>
          <w:szCs w:val="24"/>
          <w:lang w:val="es-CO"/>
        </w:rPr>
        <w:t xml:space="preserve">, Bond, </w:t>
      </w:r>
      <w:proofErr w:type="spellStart"/>
      <w:r w:rsidRPr="00521EB8">
        <w:rPr>
          <w:rFonts w:cs="Times New Roman"/>
          <w:szCs w:val="24"/>
          <w:lang w:val="es-CO"/>
        </w:rPr>
        <w:t>Dempster</w:t>
      </w:r>
      <w:proofErr w:type="spellEnd"/>
      <w:r w:rsidRPr="00521EB8">
        <w:rPr>
          <w:rFonts w:cs="Times New Roman"/>
          <w:szCs w:val="24"/>
          <w:lang w:val="es-CO"/>
        </w:rPr>
        <w:t xml:space="preserve">, Campbell &amp; </w:t>
      </w:r>
      <w:proofErr w:type="spellStart"/>
      <w:r w:rsidRPr="00521EB8">
        <w:rPr>
          <w:rFonts w:cs="Times New Roman"/>
          <w:szCs w:val="24"/>
          <w:lang w:val="es-CO"/>
        </w:rPr>
        <w:t>Masley</w:t>
      </w:r>
      <w:proofErr w:type="spellEnd"/>
      <w:r w:rsidRPr="00521EB8">
        <w:rPr>
          <w:rFonts w:cs="Times New Roman"/>
          <w:szCs w:val="24"/>
          <w:lang w:val="es-CO"/>
        </w:rPr>
        <w:t xml:space="preserve">, 2014; </w:t>
      </w:r>
      <w:proofErr w:type="spellStart"/>
      <w:r w:rsidRPr="00521EB8">
        <w:rPr>
          <w:rFonts w:cs="Times New Roman"/>
          <w:szCs w:val="24"/>
          <w:lang w:val="es-CO"/>
        </w:rPr>
        <w:t>Kraft</w:t>
      </w:r>
      <w:proofErr w:type="spellEnd"/>
      <w:r w:rsidRPr="00521EB8">
        <w:rPr>
          <w:rFonts w:cs="Times New Roman"/>
          <w:szCs w:val="24"/>
          <w:lang w:val="es-CO"/>
        </w:rPr>
        <w:t xml:space="preserve">, </w:t>
      </w:r>
      <w:proofErr w:type="spellStart"/>
      <w:r w:rsidRPr="00521EB8">
        <w:rPr>
          <w:rFonts w:cs="Times New Roman"/>
          <w:szCs w:val="24"/>
          <w:lang w:val="es-CO"/>
        </w:rPr>
        <w:t>Haeger</w:t>
      </w:r>
      <w:proofErr w:type="spellEnd"/>
      <w:r w:rsidRPr="00521EB8">
        <w:rPr>
          <w:rFonts w:cs="Times New Roman"/>
          <w:szCs w:val="24"/>
          <w:lang w:val="es-CO"/>
        </w:rPr>
        <w:t xml:space="preserve"> &amp; </w:t>
      </w:r>
      <w:proofErr w:type="spellStart"/>
      <w:r w:rsidRPr="00521EB8">
        <w:rPr>
          <w:rFonts w:cs="Times New Roman"/>
          <w:szCs w:val="24"/>
          <w:lang w:val="es-CO"/>
        </w:rPr>
        <w:t>Levin</w:t>
      </w:r>
      <w:proofErr w:type="spellEnd"/>
      <w:r w:rsidRPr="00521EB8">
        <w:rPr>
          <w:rFonts w:cs="Times New Roman"/>
          <w:szCs w:val="24"/>
          <w:lang w:val="es-CO"/>
        </w:rPr>
        <w:t>, 2018). Sumado a esto, se ha encontrado una correlación significativa (p&lt;0.001) entre la fusión cognitiva, la desregulación emocional, la ansiedad y la depresión (</w:t>
      </w:r>
      <w:proofErr w:type="spellStart"/>
      <w:r w:rsidRPr="00521EB8">
        <w:rPr>
          <w:rFonts w:cs="Times New Roman"/>
          <w:szCs w:val="24"/>
          <w:lang w:val="es-CO"/>
        </w:rPr>
        <w:t>Akbari</w:t>
      </w:r>
      <w:proofErr w:type="spellEnd"/>
      <w:r w:rsidRPr="00521EB8">
        <w:rPr>
          <w:rFonts w:cs="Times New Roman"/>
          <w:szCs w:val="24"/>
          <w:lang w:val="es-CO"/>
        </w:rPr>
        <w:t xml:space="preserve">, </w:t>
      </w:r>
      <w:proofErr w:type="spellStart"/>
      <w:r w:rsidRPr="00521EB8">
        <w:rPr>
          <w:rFonts w:cs="Times New Roman"/>
          <w:szCs w:val="24"/>
          <w:lang w:val="es-CO"/>
        </w:rPr>
        <w:t>Mohamadkhani</w:t>
      </w:r>
      <w:proofErr w:type="spellEnd"/>
      <w:r w:rsidRPr="00521EB8">
        <w:rPr>
          <w:rFonts w:cs="Times New Roman"/>
          <w:szCs w:val="24"/>
          <w:lang w:val="es-CO"/>
        </w:rPr>
        <w:t xml:space="preserve"> y </w:t>
      </w:r>
      <w:proofErr w:type="spellStart"/>
      <w:r w:rsidRPr="00521EB8">
        <w:rPr>
          <w:rFonts w:cs="Times New Roman"/>
          <w:szCs w:val="24"/>
          <w:lang w:val="es-CO"/>
        </w:rPr>
        <w:t>Zarghami</w:t>
      </w:r>
      <w:proofErr w:type="spellEnd"/>
      <w:r w:rsidRPr="00521EB8">
        <w:rPr>
          <w:rFonts w:cs="Times New Roman"/>
          <w:szCs w:val="24"/>
          <w:lang w:val="es-CO"/>
        </w:rPr>
        <w:t>, 2016).</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 xml:space="preserve">De igual manera, los pensamientos negativos guardan una estrecha relación con los trastornos emocionales y son factores en la etiología, mantenimiento y recurrencia, particularmente en la ansiedad y la depresión (Padilla, 2018; </w:t>
      </w:r>
      <w:proofErr w:type="spellStart"/>
      <w:r w:rsidRPr="00521EB8">
        <w:rPr>
          <w:rFonts w:cs="Times New Roman"/>
          <w:szCs w:val="24"/>
          <w:lang w:val="es-CO"/>
        </w:rPr>
        <w:t>Kalmbach</w:t>
      </w:r>
      <w:proofErr w:type="spellEnd"/>
      <w:r w:rsidRPr="00521EB8">
        <w:rPr>
          <w:rFonts w:cs="Times New Roman"/>
          <w:szCs w:val="24"/>
          <w:lang w:val="es-CO"/>
        </w:rPr>
        <w:t xml:space="preserve">, </w:t>
      </w:r>
      <w:proofErr w:type="spellStart"/>
      <w:r w:rsidRPr="00521EB8">
        <w:rPr>
          <w:rFonts w:cs="Times New Roman"/>
          <w:szCs w:val="24"/>
          <w:lang w:val="es-CO"/>
        </w:rPr>
        <w:t>Pillai</w:t>
      </w:r>
      <w:proofErr w:type="spellEnd"/>
      <w:r w:rsidRPr="00521EB8">
        <w:rPr>
          <w:rFonts w:cs="Times New Roman"/>
          <w:szCs w:val="24"/>
          <w:lang w:val="es-CO"/>
        </w:rPr>
        <w:t xml:space="preserve"> &amp; </w:t>
      </w:r>
      <w:proofErr w:type="spellStart"/>
      <w:r w:rsidRPr="00521EB8">
        <w:rPr>
          <w:rFonts w:cs="Times New Roman"/>
          <w:szCs w:val="24"/>
          <w:lang w:val="es-CO"/>
        </w:rPr>
        <w:t>Ciesla</w:t>
      </w:r>
      <w:proofErr w:type="spellEnd"/>
      <w:r w:rsidRPr="00521EB8">
        <w:rPr>
          <w:rFonts w:cs="Times New Roman"/>
          <w:szCs w:val="24"/>
          <w:lang w:val="es-CO"/>
        </w:rPr>
        <w:t xml:space="preserve">, 2016). Estos trastornos se caracterizan por su persistencia hacia la preocupación, la rumia y los pensamientos intrusivos, los cuales mantienen la perpetuación de respuestas emocionales negativas a largo plazo (Watkins, 2008; </w:t>
      </w:r>
      <w:proofErr w:type="spellStart"/>
      <w:r w:rsidRPr="00521EB8">
        <w:rPr>
          <w:rFonts w:cs="Times New Roman"/>
          <w:szCs w:val="24"/>
          <w:lang w:val="es-CO"/>
        </w:rPr>
        <w:t>Nol</w:t>
      </w:r>
      <w:r>
        <w:rPr>
          <w:rFonts w:cs="Times New Roman"/>
          <w:szCs w:val="24"/>
          <w:lang w:val="es-CO"/>
        </w:rPr>
        <w:t>en</w:t>
      </w:r>
      <w:proofErr w:type="spellEnd"/>
      <w:r>
        <w:rPr>
          <w:rFonts w:cs="Times New Roman"/>
          <w:szCs w:val="24"/>
          <w:lang w:val="es-CO"/>
        </w:rPr>
        <w:t xml:space="preserve">, </w:t>
      </w:r>
      <w:proofErr w:type="spellStart"/>
      <w:r>
        <w:rPr>
          <w:rFonts w:cs="Times New Roman"/>
          <w:szCs w:val="24"/>
          <w:lang w:val="es-CO"/>
        </w:rPr>
        <w:t>Wisco</w:t>
      </w:r>
      <w:proofErr w:type="spellEnd"/>
      <w:r>
        <w:rPr>
          <w:rFonts w:cs="Times New Roman"/>
          <w:szCs w:val="24"/>
          <w:lang w:val="es-CO"/>
        </w:rPr>
        <w:t xml:space="preserve"> &amp; </w:t>
      </w:r>
      <w:proofErr w:type="spellStart"/>
      <w:r>
        <w:rPr>
          <w:rFonts w:cs="Times New Roman"/>
          <w:szCs w:val="24"/>
          <w:lang w:val="es-CO"/>
        </w:rPr>
        <w:t>Lyubomirsky</w:t>
      </w:r>
      <w:proofErr w:type="spellEnd"/>
      <w:r>
        <w:rPr>
          <w:rFonts w:cs="Times New Roman"/>
          <w:szCs w:val="24"/>
          <w:lang w:val="es-CO"/>
        </w:rPr>
        <w:t>, 2008).</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La defusión cognitiva es un proceso que se refiere a la capacidad de los individuos para distanciarse de sus pensamientos, viéndolos simplemente como estímulos verbales que van y vienen, en lugar de identificarse con ellos (</w:t>
      </w:r>
      <w:proofErr w:type="spellStart"/>
      <w:r w:rsidRPr="00521EB8">
        <w:rPr>
          <w:rFonts w:cs="Times New Roman"/>
          <w:szCs w:val="24"/>
          <w:lang w:val="es-CO"/>
        </w:rPr>
        <w:t>Larsson</w:t>
      </w:r>
      <w:proofErr w:type="spellEnd"/>
      <w:r w:rsidRPr="00521EB8">
        <w:rPr>
          <w:rFonts w:cs="Times New Roman"/>
          <w:szCs w:val="24"/>
          <w:lang w:val="es-CO"/>
        </w:rPr>
        <w:t xml:space="preserve">, </w:t>
      </w:r>
      <w:proofErr w:type="spellStart"/>
      <w:r w:rsidRPr="00521EB8">
        <w:rPr>
          <w:rFonts w:cs="Times New Roman"/>
          <w:szCs w:val="24"/>
          <w:lang w:val="es-CO"/>
        </w:rPr>
        <w:t>Hooper</w:t>
      </w:r>
      <w:proofErr w:type="spellEnd"/>
      <w:r w:rsidRPr="00521EB8">
        <w:rPr>
          <w:rFonts w:cs="Times New Roman"/>
          <w:szCs w:val="24"/>
          <w:lang w:val="es-CO"/>
        </w:rPr>
        <w:t xml:space="preserve">, </w:t>
      </w:r>
      <w:proofErr w:type="spellStart"/>
      <w:r w:rsidRPr="00521EB8">
        <w:rPr>
          <w:rFonts w:cs="Times New Roman"/>
          <w:szCs w:val="24"/>
          <w:lang w:val="es-CO"/>
        </w:rPr>
        <w:t>Osborne</w:t>
      </w:r>
      <w:proofErr w:type="spellEnd"/>
      <w:r w:rsidRPr="00521EB8">
        <w:rPr>
          <w:rFonts w:cs="Times New Roman"/>
          <w:szCs w:val="24"/>
          <w:lang w:val="es-CO"/>
        </w:rPr>
        <w:t xml:space="preserve"> &amp; </w:t>
      </w:r>
      <w:proofErr w:type="spellStart"/>
      <w:r w:rsidRPr="00521EB8">
        <w:rPr>
          <w:rFonts w:cs="Times New Roman"/>
          <w:szCs w:val="24"/>
          <w:lang w:val="es-CO"/>
        </w:rPr>
        <w:t>McHugh</w:t>
      </w:r>
      <w:proofErr w:type="spellEnd"/>
      <w:r w:rsidRPr="00521EB8">
        <w:rPr>
          <w:rFonts w:cs="Times New Roman"/>
          <w:szCs w:val="24"/>
          <w:lang w:val="es-CO"/>
        </w:rPr>
        <w:t>, 2016). Esto permite experimentar los eventos privados, como recuerdos, pensamientos, emociones, sensaciones y otras experiencias internas (</w:t>
      </w:r>
      <w:proofErr w:type="spellStart"/>
      <w:r w:rsidRPr="00521EB8">
        <w:rPr>
          <w:rFonts w:cs="Times New Roman"/>
          <w:szCs w:val="24"/>
          <w:lang w:val="es-CO"/>
        </w:rPr>
        <w:t>Blackledge</w:t>
      </w:r>
      <w:proofErr w:type="spellEnd"/>
      <w:r w:rsidRPr="00521EB8">
        <w:rPr>
          <w:rFonts w:cs="Times New Roman"/>
          <w:szCs w:val="24"/>
          <w:lang w:val="es-CO"/>
        </w:rPr>
        <w:t xml:space="preserve">, 2018; Hayes, </w:t>
      </w:r>
      <w:proofErr w:type="spellStart"/>
      <w:r w:rsidRPr="00521EB8">
        <w:rPr>
          <w:rFonts w:cs="Times New Roman"/>
          <w:szCs w:val="24"/>
          <w:lang w:val="es-CO"/>
        </w:rPr>
        <w:t>Strosahl</w:t>
      </w:r>
      <w:proofErr w:type="spellEnd"/>
      <w:r w:rsidRPr="00521EB8">
        <w:rPr>
          <w:rFonts w:cs="Times New Roman"/>
          <w:szCs w:val="24"/>
          <w:lang w:val="es-CO"/>
        </w:rPr>
        <w:t xml:space="preserve"> &amp; Wilson, 2012; Wilson y Luciano, 2002). Facilita el debilitamiento de las relaciones verbales dando apertura a respuestas más flexibles y adaptativas al entorno (Dixon, Hayes &amp; </w:t>
      </w:r>
      <w:proofErr w:type="spellStart"/>
      <w:r w:rsidRPr="00521EB8">
        <w:rPr>
          <w:rFonts w:cs="Times New Roman"/>
          <w:szCs w:val="24"/>
          <w:lang w:val="es-CO"/>
        </w:rPr>
        <w:t>Belisle</w:t>
      </w:r>
      <w:proofErr w:type="spellEnd"/>
      <w:r w:rsidRPr="00521EB8">
        <w:rPr>
          <w:rFonts w:cs="Times New Roman"/>
          <w:szCs w:val="24"/>
          <w:lang w:val="es-CO"/>
        </w:rPr>
        <w:t>, 2023), lo cual dependerá de un adecuado entrenamiento y resultará en la reducción de la frecuencia de los pensamientos desagradables y el incremento de la afectividad positiva (</w:t>
      </w:r>
      <w:proofErr w:type="spellStart"/>
      <w:r w:rsidRPr="00521EB8">
        <w:rPr>
          <w:rFonts w:cs="Times New Roman"/>
          <w:szCs w:val="24"/>
          <w:lang w:val="es-CO"/>
        </w:rPr>
        <w:t>Larsson</w:t>
      </w:r>
      <w:proofErr w:type="spellEnd"/>
      <w:r w:rsidRPr="00521EB8">
        <w:rPr>
          <w:rFonts w:cs="Times New Roman"/>
          <w:szCs w:val="24"/>
          <w:lang w:val="es-CO"/>
        </w:rPr>
        <w:t xml:space="preserve">, </w:t>
      </w:r>
      <w:proofErr w:type="spellStart"/>
      <w:r w:rsidRPr="00521EB8">
        <w:rPr>
          <w:rFonts w:cs="Times New Roman"/>
          <w:szCs w:val="24"/>
          <w:lang w:val="es-CO"/>
        </w:rPr>
        <w:t>Hooper</w:t>
      </w:r>
      <w:proofErr w:type="spellEnd"/>
      <w:r w:rsidRPr="00521EB8">
        <w:rPr>
          <w:rFonts w:cs="Times New Roman"/>
          <w:szCs w:val="24"/>
          <w:lang w:val="es-CO"/>
        </w:rPr>
        <w:t xml:space="preserve">, </w:t>
      </w:r>
      <w:proofErr w:type="spellStart"/>
      <w:r w:rsidRPr="00521EB8">
        <w:rPr>
          <w:rFonts w:cs="Times New Roman"/>
          <w:szCs w:val="24"/>
          <w:lang w:val="es-CO"/>
        </w:rPr>
        <w:t>Osborne</w:t>
      </w:r>
      <w:proofErr w:type="spellEnd"/>
      <w:r w:rsidRPr="00521EB8">
        <w:rPr>
          <w:rFonts w:cs="Times New Roman"/>
          <w:szCs w:val="24"/>
          <w:lang w:val="es-CO"/>
        </w:rPr>
        <w:t xml:space="preserve"> &amp; </w:t>
      </w:r>
      <w:proofErr w:type="spellStart"/>
      <w:r w:rsidRPr="00521EB8">
        <w:rPr>
          <w:rFonts w:cs="Times New Roman"/>
          <w:szCs w:val="24"/>
          <w:lang w:val="es-CO"/>
        </w:rPr>
        <w:t>McHugh</w:t>
      </w:r>
      <w:proofErr w:type="spellEnd"/>
      <w:r w:rsidRPr="00521EB8">
        <w:rPr>
          <w:rFonts w:cs="Times New Roman"/>
          <w:szCs w:val="24"/>
          <w:lang w:val="es-CO"/>
        </w:rPr>
        <w:t>, 2016). Además, promueve una mayor flexibilidad psicológica, mejorando así el bienestar emocional al reducir el impacto de los pensamientos negativos sobre el comportamiento y las emociones (</w:t>
      </w:r>
      <w:proofErr w:type="spellStart"/>
      <w:r w:rsidRPr="00521EB8">
        <w:rPr>
          <w:rFonts w:cs="Times New Roman"/>
          <w:szCs w:val="24"/>
          <w:lang w:val="es-CO"/>
        </w:rPr>
        <w:t>Bran</w:t>
      </w:r>
      <w:r>
        <w:rPr>
          <w:rFonts w:cs="Times New Roman"/>
          <w:szCs w:val="24"/>
          <w:lang w:val="es-CO"/>
        </w:rPr>
        <w:t>drick</w:t>
      </w:r>
      <w:proofErr w:type="spellEnd"/>
      <w:r>
        <w:rPr>
          <w:rFonts w:cs="Times New Roman"/>
          <w:szCs w:val="24"/>
          <w:lang w:val="es-CO"/>
        </w:rPr>
        <w:t>, McGrath &amp; Bailey, 2021).</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Es relevante establecer que la defusión cognitiva, en sus diferentes procedimientos, no detiene, controla ni modifica los eventos privados (Barraca, 2011). Esto ha sido demostrado en diversas investigaciones empíricas, tales como el estudio sobre la repetición de palabras en comparación con técnicas de distracción y control del pensamiento (</w:t>
      </w:r>
      <w:proofErr w:type="spellStart"/>
      <w:r w:rsidRPr="00521EB8">
        <w:rPr>
          <w:rFonts w:cs="Times New Roman"/>
          <w:szCs w:val="24"/>
          <w:lang w:val="es-CO"/>
        </w:rPr>
        <w:t>Masuda</w:t>
      </w:r>
      <w:proofErr w:type="spellEnd"/>
      <w:r w:rsidRPr="00521EB8">
        <w:rPr>
          <w:rFonts w:cs="Times New Roman"/>
          <w:szCs w:val="24"/>
          <w:lang w:val="es-CO"/>
        </w:rPr>
        <w:t xml:space="preserve">, Hayes, </w:t>
      </w:r>
      <w:proofErr w:type="spellStart"/>
      <w:r w:rsidRPr="00521EB8">
        <w:rPr>
          <w:rFonts w:cs="Times New Roman"/>
          <w:szCs w:val="24"/>
          <w:lang w:val="es-CO"/>
        </w:rPr>
        <w:t>Sackett</w:t>
      </w:r>
      <w:proofErr w:type="spellEnd"/>
      <w:r w:rsidRPr="00521EB8">
        <w:rPr>
          <w:rFonts w:cs="Times New Roman"/>
          <w:szCs w:val="24"/>
          <w:lang w:val="es-CO"/>
        </w:rPr>
        <w:t xml:space="preserve"> &amp; </w:t>
      </w:r>
      <w:proofErr w:type="spellStart"/>
      <w:r w:rsidRPr="00521EB8">
        <w:rPr>
          <w:rFonts w:cs="Times New Roman"/>
          <w:szCs w:val="24"/>
          <w:lang w:val="es-CO"/>
        </w:rPr>
        <w:t>Twohig</w:t>
      </w:r>
      <w:proofErr w:type="spellEnd"/>
      <w:r w:rsidRPr="00521EB8">
        <w:rPr>
          <w:rFonts w:cs="Times New Roman"/>
          <w:szCs w:val="24"/>
          <w:lang w:val="es-CO"/>
        </w:rPr>
        <w:t>, 2004), en la evaluación del efecto de estrategias de defusión cognitiva y distracción del pensamiento sobre el malestar emocional (</w:t>
      </w:r>
      <w:proofErr w:type="spellStart"/>
      <w:r w:rsidRPr="00521EB8">
        <w:rPr>
          <w:rFonts w:cs="Times New Roman"/>
          <w:szCs w:val="24"/>
          <w:lang w:val="es-CO"/>
        </w:rPr>
        <w:t>Masuda</w:t>
      </w:r>
      <w:proofErr w:type="spellEnd"/>
      <w:r w:rsidRPr="00521EB8">
        <w:rPr>
          <w:rFonts w:cs="Times New Roman"/>
          <w:szCs w:val="24"/>
          <w:lang w:val="es-CO"/>
        </w:rPr>
        <w:t xml:space="preserve">, </w:t>
      </w:r>
      <w:proofErr w:type="spellStart"/>
      <w:r w:rsidRPr="00521EB8">
        <w:rPr>
          <w:rFonts w:cs="Times New Roman"/>
          <w:szCs w:val="24"/>
          <w:lang w:val="es-CO"/>
        </w:rPr>
        <w:t>Feinstein</w:t>
      </w:r>
      <w:proofErr w:type="spellEnd"/>
      <w:r w:rsidRPr="00521EB8">
        <w:rPr>
          <w:rFonts w:cs="Times New Roman"/>
          <w:szCs w:val="24"/>
          <w:lang w:val="es-CO"/>
        </w:rPr>
        <w:t xml:space="preserve">, </w:t>
      </w:r>
      <w:proofErr w:type="spellStart"/>
      <w:r w:rsidRPr="00521EB8">
        <w:rPr>
          <w:rFonts w:cs="Times New Roman"/>
          <w:szCs w:val="24"/>
          <w:lang w:val="es-CO"/>
        </w:rPr>
        <w:lastRenderedPageBreak/>
        <w:t>Wendell</w:t>
      </w:r>
      <w:proofErr w:type="spellEnd"/>
      <w:r w:rsidRPr="00521EB8">
        <w:rPr>
          <w:rFonts w:cs="Times New Roman"/>
          <w:szCs w:val="24"/>
          <w:lang w:val="es-CO"/>
        </w:rPr>
        <w:t xml:space="preserve"> &amp; </w:t>
      </w:r>
      <w:proofErr w:type="spellStart"/>
      <w:r w:rsidRPr="00521EB8">
        <w:rPr>
          <w:rFonts w:cs="Times New Roman"/>
          <w:szCs w:val="24"/>
          <w:lang w:val="es-CO"/>
        </w:rPr>
        <w:t>Sheehan</w:t>
      </w:r>
      <w:proofErr w:type="spellEnd"/>
      <w:r w:rsidRPr="00521EB8">
        <w:rPr>
          <w:rFonts w:cs="Times New Roman"/>
          <w:szCs w:val="24"/>
          <w:lang w:val="es-CO"/>
        </w:rPr>
        <w:t>, 2010), y en la comparación de distintos protocolos de defusión cognitiva (Luciano, Ruiz, Vizcaíno, Sánchez, Gutiérrez, Martínez &amp; López, 2011). Asimismo, se ha analizado la comparación entre la reestructuración cognitiva y la defusión cognitiva (</w:t>
      </w:r>
      <w:proofErr w:type="spellStart"/>
      <w:r w:rsidRPr="00521EB8">
        <w:rPr>
          <w:rFonts w:cs="Times New Roman"/>
          <w:szCs w:val="24"/>
          <w:lang w:val="es-CO"/>
        </w:rPr>
        <w:t>Larsson</w:t>
      </w:r>
      <w:proofErr w:type="spellEnd"/>
      <w:r w:rsidRPr="00521EB8">
        <w:rPr>
          <w:rFonts w:cs="Times New Roman"/>
          <w:szCs w:val="24"/>
          <w:lang w:val="es-CO"/>
        </w:rPr>
        <w:t xml:space="preserve">, </w:t>
      </w:r>
      <w:proofErr w:type="spellStart"/>
      <w:r w:rsidRPr="00521EB8">
        <w:rPr>
          <w:rFonts w:cs="Times New Roman"/>
          <w:szCs w:val="24"/>
          <w:lang w:val="es-CO"/>
        </w:rPr>
        <w:t>Hooper</w:t>
      </w:r>
      <w:proofErr w:type="spellEnd"/>
      <w:r w:rsidRPr="00521EB8">
        <w:rPr>
          <w:rFonts w:cs="Times New Roman"/>
          <w:szCs w:val="24"/>
          <w:lang w:val="es-CO"/>
        </w:rPr>
        <w:t xml:space="preserve">, </w:t>
      </w:r>
      <w:proofErr w:type="spellStart"/>
      <w:r w:rsidRPr="00521EB8">
        <w:rPr>
          <w:rFonts w:cs="Times New Roman"/>
          <w:szCs w:val="24"/>
          <w:lang w:val="es-CO"/>
        </w:rPr>
        <w:t>Osborne</w:t>
      </w:r>
      <w:proofErr w:type="spellEnd"/>
      <w:r w:rsidRPr="00521EB8">
        <w:rPr>
          <w:rFonts w:cs="Times New Roman"/>
          <w:szCs w:val="24"/>
          <w:lang w:val="es-CO"/>
        </w:rPr>
        <w:t xml:space="preserve">, Bennett &amp; </w:t>
      </w:r>
      <w:proofErr w:type="spellStart"/>
      <w:r w:rsidRPr="00521EB8">
        <w:rPr>
          <w:rFonts w:cs="Times New Roman"/>
          <w:szCs w:val="24"/>
          <w:lang w:val="es-CO"/>
        </w:rPr>
        <w:t>McHugh</w:t>
      </w:r>
      <w:proofErr w:type="spellEnd"/>
      <w:r w:rsidRPr="00521EB8">
        <w:rPr>
          <w:rFonts w:cs="Times New Roman"/>
          <w:szCs w:val="24"/>
          <w:lang w:val="es-CO"/>
        </w:rPr>
        <w:t>, 2016), evidenciando una disminución del malestar reportado y destacando la defusión cognitiva como una estrategia efectiva para afron</w:t>
      </w:r>
      <w:r>
        <w:rPr>
          <w:rFonts w:cs="Times New Roman"/>
          <w:szCs w:val="24"/>
          <w:lang w:val="es-CO"/>
        </w:rPr>
        <w:t>tar pensamientos desagradables.</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En este orden de ideas, las diferentes estrategias de defusión cognitiva, como el juego con palabras, donde se repiten frases de forma creativa para reducir su significado literal; el cuestionamiento de la coherencia verbal, que explora narrativas personales para aumentar la conciencia de su impacto; y la interrupción del pensamiento-acción, que separa los pensamientos de las conductas mediante actividades como el juego de roles (</w:t>
      </w:r>
      <w:proofErr w:type="spellStart"/>
      <w:r w:rsidRPr="00521EB8">
        <w:rPr>
          <w:rFonts w:cs="Times New Roman"/>
          <w:szCs w:val="24"/>
          <w:lang w:val="es-CO"/>
        </w:rPr>
        <w:t>Assaz</w:t>
      </w:r>
      <w:proofErr w:type="spellEnd"/>
      <w:r w:rsidRPr="00521EB8">
        <w:rPr>
          <w:rFonts w:cs="Times New Roman"/>
          <w:szCs w:val="24"/>
          <w:lang w:val="es-CO"/>
        </w:rPr>
        <w:t xml:space="preserve">, Roche, </w:t>
      </w:r>
      <w:proofErr w:type="spellStart"/>
      <w:r w:rsidRPr="00521EB8">
        <w:rPr>
          <w:rFonts w:cs="Times New Roman"/>
          <w:szCs w:val="24"/>
          <w:lang w:val="es-CO"/>
        </w:rPr>
        <w:t>Kanter</w:t>
      </w:r>
      <w:proofErr w:type="spellEnd"/>
      <w:r w:rsidRPr="00521EB8">
        <w:rPr>
          <w:rFonts w:cs="Times New Roman"/>
          <w:szCs w:val="24"/>
          <w:lang w:val="es-CO"/>
        </w:rPr>
        <w:t xml:space="preserve"> &amp; </w:t>
      </w:r>
      <w:proofErr w:type="spellStart"/>
      <w:r w:rsidRPr="00521EB8">
        <w:rPr>
          <w:rFonts w:cs="Times New Roman"/>
          <w:szCs w:val="24"/>
          <w:lang w:val="es-CO"/>
        </w:rPr>
        <w:t>Oshiro</w:t>
      </w:r>
      <w:proofErr w:type="spellEnd"/>
      <w:r w:rsidRPr="00521EB8">
        <w:rPr>
          <w:rFonts w:cs="Times New Roman"/>
          <w:szCs w:val="24"/>
          <w:lang w:val="es-CO"/>
        </w:rPr>
        <w:t>, 2018), junto con otras estrategias que emplean ejercicios de distanciamiento del pensamiento (</w:t>
      </w:r>
      <w:proofErr w:type="spellStart"/>
      <w:r w:rsidRPr="00521EB8">
        <w:rPr>
          <w:rFonts w:cs="Times New Roman"/>
          <w:szCs w:val="24"/>
          <w:lang w:val="es-CO"/>
        </w:rPr>
        <w:t>Assaz</w:t>
      </w:r>
      <w:proofErr w:type="spellEnd"/>
      <w:r w:rsidRPr="00521EB8">
        <w:rPr>
          <w:rFonts w:cs="Times New Roman"/>
          <w:szCs w:val="24"/>
          <w:lang w:val="es-CO"/>
        </w:rPr>
        <w:t xml:space="preserve">, Tyndall, </w:t>
      </w:r>
      <w:proofErr w:type="spellStart"/>
      <w:r w:rsidRPr="00521EB8">
        <w:rPr>
          <w:rFonts w:cs="Times New Roman"/>
          <w:szCs w:val="24"/>
          <w:lang w:val="es-CO"/>
        </w:rPr>
        <w:t>Oshiro</w:t>
      </w:r>
      <w:proofErr w:type="spellEnd"/>
      <w:r w:rsidRPr="00521EB8">
        <w:rPr>
          <w:rFonts w:cs="Times New Roman"/>
          <w:szCs w:val="24"/>
          <w:lang w:val="es-CO"/>
        </w:rPr>
        <w:t xml:space="preserve"> &amp; Roche, 2022), demuestran tener un impacto significativo en la disminución de la sint</w:t>
      </w:r>
      <w:r>
        <w:rPr>
          <w:rFonts w:cs="Times New Roman"/>
          <w:szCs w:val="24"/>
          <w:lang w:val="es-CO"/>
        </w:rPr>
        <w:t>omatología ansiosa y depresiva.</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 xml:space="preserve">En otras palabras, los ejercicios de defusión facilitan el distanciamiento respecto al contenido psicológico, ayudando a los individuos a diferenciar entre lo que está presente verbalmente y lo que se hace presente a través del lenguaje. Además, permiten la disociación de los contenidos percibidos como barreras asociadas a la fusión cognitiva, que a menudo se basa en formas de control sobre los eventos privados. La evidencia respalda que estas técnicas son fundamentales para reducir el malestar emocional y promover un afrontamiento más saludable frente a los desafíos psicológicos (Hayes et al., 2012; </w:t>
      </w:r>
      <w:proofErr w:type="spellStart"/>
      <w:r w:rsidRPr="00521EB8">
        <w:rPr>
          <w:rFonts w:cs="Times New Roman"/>
          <w:szCs w:val="24"/>
          <w:lang w:val="es-CO"/>
        </w:rPr>
        <w:t>Assaz</w:t>
      </w:r>
      <w:proofErr w:type="spellEnd"/>
      <w:r w:rsidRPr="00521EB8">
        <w:rPr>
          <w:rFonts w:cs="Times New Roman"/>
          <w:szCs w:val="24"/>
          <w:lang w:val="es-CO"/>
        </w:rPr>
        <w:t xml:space="preserve"> </w:t>
      </w:r>
      <w:r>
        <w:rPr>
          <w:rFonts w:cs="Times New Roman"/>
          <w:szCs w:val="24"/>
          <w:lang w:val="es-CO"/>
        </w:rPr>
        <w:t>et al., 2018).</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 xml:space="preserve">Desde un enfoque cognitivo, Beck (1993) enfatizó la importancia de las cogniciones en la interpretación de los acontecimientos, subrayando cómo estas interpretaciones moldean la percepción de la realidad y pueden influir en el estado emocional. Cuando estas interpretaciones son distorsionadas, conducen a emociones negativas y comportamientos disfuncionales. Este modelo teórico introduce el concepto de errores cognitivos, como la generalización excesiva, el pensamiento polarizado y la </w:t>
      </w:r>
      <w:proofErr w:type="spellStart"/>
      <w:r w:rsidRPr="00521EB8">
        <w:rPr>
          <w:rFonts w:cs="Times New Roman"/>
          <w:szCs w:val="24"/>
          <w:lang w:val="es-CO"/>
        </w:rPr>
        <w:t>catastrofización</w:t>
      </w:r>
      <w:proofErr w:type="spellEnd"/>
      <w:r w:rsidRPr="00521EB8">
        <w:rPr>
          <w:rFonts w:cs="Times New Roman"/>
          <w:szCs w:val="24"/>
          <w:lang w:val="es-CO"/>
        </w:rPr>
        <w:t>, que contribuyen significativamente al malestar emocional y a la persistencia de los trastornos afectivos (</w:t>
      </w:r>
      <w:proofErr w:type="spellStart"/>
      <w:r w:rsidRPr="00521EB8">
        <w:rPr>
          <w:rFonts w:cs="Times New Roman"/>
          <w:szCs w:val="24"/>
          <w:lang w:val="es-CO"/>
        </w:rPr>
        <w:t>Pilecki</w:t>
      </w:r>
      <w:proofErr w:type="spellEnd"/>
      <w:r w:rsidRPr="00521EB8">
        <w:rPr>
          <w:rFonts w:cs="Times New Roman"/>
          <w:szCs w:val="24"/>
          <w:lang w:val="es-CO"/>
        </w:rPr>
        <w:t xml:space="preserve"> &amp; </w:t>
      </w:r>
      <w:proofErr w:type="spellStart"/>
      <w:r w:rsidRPr="00521EB8">
        <w:rPr>
          <w:rFonts w:cs="Times New Roman"/>
          <w:szCs w:val="24"/>
          <w:lang w:val="es-CO"/>
        </w:rPr>
        <w:t>McKay</w:t>
      </w:r>
      <w:proofErr w:type="spellEnd"/>
      <w:r w:rsidRPr="00521EB8">
        <w:rPr>
          <w:rFonts w:cs="Times New Roman"/>
          <w:szCs w:val="24"/>
          <w:lang w:val="es-CO"/>
        </w:rPr>
        <w:t>,</w:t>
      </w:r>
      <w:r>
        <w:rPr>
          <w:rFonts w:cs="Times New Roman"/>
          <w:szCs w:val="24"/>
          <w:lang w:val="es-CO"/>
        </w:rPr>
        <w:t xml:space="preserve"> 2012; Wilson &amp; Soriano, 2014).</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lastRenderedPageBreak/>
        <w:t>La relevancia de los pensamientos negativos también se vincula con procesos como la rumia, definida como un enfoque repetitivo y pasivo en los síntomas de malestar y sus posibles causas y consecuencias, lo que amplifica los estados depresivos (</w:t>
      </w:r>
      <w:proofErr w:type="spellStart"/>
      <w:r w:rsidRPr="00521EB8">
        <w:rPr>
          <w:rFonts w:cs="Times New Roman"/>
          <w:szCs w:val="24"/>
          <w:lang w:val="es-CO"/>
        </w:rPr>
        <w:t>Nolen-Hoeksema</w:t>
      </w:r>
      <w:proofErr w:type="spellEnd"/>
      <w:r w:rsidRPr="00521EB8">
        <w:rPr>
          <w:rFonts w:cs="Times New Roman"/>
          <w:szCs w:val="24"/>
          <w:lang w:val="es-CO"/>
        </w:rPr>
        <w:t>, 2000). Por otro lado, la preocupación, característica central de los trastornos de ansiedad, se entiende como un intento cognitivo de prever y controlar situaciones futuras, aunque a menudo conduce a una intensificación de la ansiedad (</w:t>
      </w:r>
      <w:proofErr w:type="spellStart"/>
      <w:r w:rsidRPr="00521EB8">
        <w:rPr>
          <w:rFonts w:cs="Times New Roman"/>
          <w:szCs w:val="24"/>
          <w:lang w:val="es-CO"/>
        </w:rPr>
        <w:t>Borkovec</w:t>
      </w:r>
      <w:proofErr w:type="spellEnd"/>
      <w:r w:rsidRPr="00521EB8">
        <w:rPr>
          <w:rFonts w:cs="Times New Roman"/>
          <w:szCs w:val="24"/>
          <w:lang w:val="es-CO"/>
        </w:rPr>
        <w:t>, Robin</w:t>
      </w:r>
      <w:r>
        <w:rPr>
          <w:rFonts w:cs="Times New Roman"/>
          <w:szCs w:val="24"/>
          <w:lang w:val="es-CO"/>
        </w:rPr>
        <w:t xml:space="preserve">son, </w:t>
      </w:r>
      <w:proofErr w:type="spellStart"/>
      <w:r>
        <w:rPr>
          <w:rFonts w:cs="Times New Roman"/>
          <w:szCs w:val="24"/>
          <w:lang w:val="es-CO"/>
        </w:rPr>
        <w:t>Pruzinsky</w:t>
      </w:r>
      <w:proofErr w:type="spellEnd"/>
      <w:r>
        <w:rPr>
          <w:rFonts w:cs="Times New Roman"/>
          <w:szCs w:val="24"/>
          <w:lang w:val="es-CO"/>
        </w:rPr>
        <w:t xml:space="preserve"> &amp; </w:t>
      </w:r>
      <w:proofErr w:type="spellStart"/>
      <w:r>
        <w:rPr>
          <w:rFonts w:cs="Times New Roman"/>
          <w:szCs w:val="24"/>
          <w:lang w:val="es-CO"/>
        </w:rPr>
        <w:t>DePree</w:t>
      </w:r>
      <w:proofErr w:type="spellEnd"/>
      <w:r>
        <w:rPr>
          <w:rFonts w:cs="Times New Roman"/>
          <w:szCs w:val="24"/>
          <w:lang w:val="es-CO"/>
        </w:rPr>
        <w:t>, 1983).</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En este contexto, la Reestructuración cognitiva se presenta como una herramienta fundamental dentro de las terapias cognitivo para abordar los pensamientos disfuncionales al centrarse en identificar, desafiar y modificar los pensamientos negativos, reemplazándolos por cogniciones más realistas y funcionales. Este proceso no solo busca reducir la intensidad de la perturbación emocional, sino también fomentar un mayor bienestar y ada</w:t>
      </w:r>
      <w:r>
        <w:rPr>
          <w:rFonts w:cs="Times New Roman"/>
          <w:szCs w:val="24"/>
          <w:lang w:val="es-CO"/>
        </w:rPr>
        <w:t>ptación (</w:t>
      </w:r>
      <w:proofErr w:type="spellStart"/>
      <w:r>
        <w:rPr>
          <w:rFonts w:cs="Times New Roman"/>
          <w:szCs w:val="24"/>
          <w:lang w:val="es-CO"/>
        </w:rPr>
        <w:t>Bados</w:t>
      </w:r>
      <w:proofErr w:type="spellEnd"/>
      <w:r>
        <w:rPr>
          <w:rFonts w:cs="Times New Roman"/>
          <w:szCs w:val="24"/>
          <w:lang w:val="es-CO"/>
        </w:rPr>
        <w:t xml:space="preserve"> &amp; García, 2010).</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Las estrategias utilizadas en la reestructuración cognitiva incluyen el examen de las pruebas a favor y en contra de un pensamiento, la evaluación de su utilidad y la exploración de sus consecuencias. Por ejemplo, preguntas como “¿Qué evidencia tengo para apoyar o refutar este pensamiento?” o “¿Cómo me afecta este pensamiento en mi vida diaria?” ayudan al paciente a analizar la validez de sus cogniciones y considerar alternativas más adaptativas. Además, el proceso implica explorar posibles acciones si el pensamiento fuera cierto, promoviendo una mayor sensación de control y competencia frente a situaciones a</w:t>
      </w:r>
      <w:r>
        <w:rPr>
          <w:rFonts w:cs="Times New Roman"/>
          <w:szCs w:val="24"/>
          <w:lang w:val="es-CO"/>
        </w:rPr>
        <w:t>dversas (</w:t>
      </w:r>
      <w:proofErr w:type="spellStart"/>
      <w:r>
        <w:rPr>
          <w:rFonts w:cs="Times New Roman"/>
          <w:szCs w:val="24"/>
          <w:lang w:val="es-CO"/>
        </w:rPr>
        <w:t>Bados</w:t>
      </w:r>
      <w:proofErr w:type="spellEnd"/>
      <w:r>
        <w:rPr>
          <w:rFonts w:cs="Times New Roman"/>
          <w:szCs w:val="24"/>
          <w:lang w:val="es-CO"/>
        </w:rPr>
        <w:t xml:space="preserve"> &amp; García, 2010).</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 xml:space="preserve">La eficacia de la Reestructuración cognitiva está respaldada por numerosos estudios. Por ejemplo, la investigación de </w:t>
      </w:r>
      <w:proofErr w:type="spellStart"/>
      <w:r w:rsidRPr="00521EB8">
        <w:rPr>
          <w:rFonts w:cs="Times New Roman"/>
          <w:szCs w:val="24"/>
          <w:lang w:val="es-CO"/>
        </w:rPr>
        <w:t>DeRubeis</w:t>
      </w:r>
      <w:proofErr w:type="spellEnd"/>
      <w:r w:rsidRPr="00521EB8">
        <w:rPr>
          <w:rFonts w:cs="Times New Roman"/>
          <w:szCs w:val="24"/>
          <w:lang w:val="es-CO"/>
        </w:rPr>
        <w:t xml:space="preserve"> et al. (2005) demostró que la terapia cognitiva es tan efectiva como los antidepresivos en el tratamiento de la depresión mayor, y su efecto puede ser más duradero debido a la mejora en las habilidades cognitivas del paciente. Asimismo, </w:t>
      </w:r>
      <w:proofErr w:type="spellStart"/>
      <w:r w:rsidRPr="00521EB8">
        <w:rPr>
          <w:rFonts w:cs="Times New Roman"/>
          <w:szCs w:val="24"/>
          <w:lang w:val="es-CO"/>
        </w:rPr>
        <w:t>Hofmann</w:t>
      </w:r>
      <w:proofErr w:type="spellEnd"/>
      <w:r w:rsidRPr="00521EB8">
        <w:rPr>
          <w:rFonts w:cs="Times New Roman"/>
          <w:szCs w:val="24"/>
          <w:lang w:val="es-CO"/>
        </w:rPr>
        <w:t xml:space="preserve"> et al. (2012) señalaron que la terapia cognitivo-conductual, incluida la Reestructuración cognitiva, resulta eficaz en la reducción de la ansiedad y</w:t>
      </w:r>
      <w:r>
        <w:rPr>
          <w:rFonts w:cs="Times New Roman"/>
          <w:szCs w:val="24"/>
          <w:lang w:val="es-CO"/>
        </w:rPr>
        <w:t xml:space="preserve"> otros trastornos relacionados.</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lastRenderedPageBreak/>
        <w:t>En síntesis, los pensamientos negativos y disfuncionales desempeñan un papel central en los trastornos emocionales, influyendo en la aparición y mantenimiento de síntomas afectivos. La Reestructuración Cognitiva emerge como una estrategia clave para abordar estas cogniciones, facilitando cambios significativos en el bienestar emocional y promoviendo una mayor capacidad de afrontamiento frente a los desafíos psicológicos.</w:t>
      </w:r>
    </w:p>
    <w:p w:rsidR="00521EB8" w:rsidRPr="00521EB8" w:rsidRDefault="00521EB8" w:rsidP="00D13CB9">
      <w:pPr>
        <w:spacing w:line="360" w:lineRule="auto"/>
        <w:ind w:firstLine="720"/>
        <w:rPr>
          <w:rFonts w:cs="Times New Roman"/>
          <w:szCs w:val="24"/>
          <w:lang w:val="es-CO"/>
        </w:rPr>
      </w:pPr>
      <w:r w:rsidRPr="00521EB8">
        <w:rPr>
          <w:rFonts w:cs="Times New Roman"/>
          <w:szCs w:val="24"/>
          <w:lang w:val="es-CO"/>
        </w:rPr>
        <w:t>Por último, los procesos de defusión y reestructuración cognitiva comparten la premisa de que los procesos cognitivos desempeñan un papel fundamental en la regulación emocional y conductual. Sin embargo, la forma en que se abordan estos procesos varía considerablemente. Mientras que la Reestructuración cognitiva busca cambiar el contenido de los pensamientos (</w:t>
      </w:r>
      <w:proofErr w:type="spellStart"/>
      <w:r w:rsidRPr="00521EB8">
        <w:rPr>
          <w:rFonts w:cs="Times New Roman"/>
          <w:szCs w:val="24"/>
          <w:lang w:val="es-CO"/>
        </w:rPr>
        <w:t>Bados</w:t>
      </w:r>
      <w:proofErr w:type="spellEnd"/>
      <w:r w:rsidRPr="00521EB8">
        <w:rPr>
          <w:rFonts w:cs="Times New Roman"/>
          <w:szCs w:val="24"/>
          <w:lang w:val="es-CO"/>
        </w:rPr>
        <w:t>, 2008), la defusión cognitiva se enfoca en disminuir la credibilidad de los pensamientos irracionales o negativos y el malestar asociado, aumentando la disposición para experimentar eventos privados y disminuyendo la evitación experiencial (</w:t>
      </w:r>
      <w:proofErr w:type="spellStart"/>
      <w:r w:rsidRPr="00521EB8">
        <w:rPr>
          <w:rFonts w:cs="Times New Roman"/>
          <w:szCs w:val="24"/>
          <w:lang w:val="es-CO"/>
        </w:rPr>
        <w:t>Healy</w:t>
      </w:r>
      <w:proofErr w:type="spellEnd"/>
      <w:r w:rsidRPr="00521EB8">
        <w:rPr>
          <w:rFonts w:cs="Times New Roman"/>
          <w:szCs w:val="24"/>
          <w:lang w:val="es-CO"/>
        </w:rPr>
        <w:t xml:space="preserve"> et</w:t>
      </w:r>
      <w:r>
        <w:rPr>
          <w:rFonts w:cs="Times New Roman"/>
          <w:szCs w:val="24"/>
          <w:lang w:val="es-CO"/>
        </w:rPr>
        <w:t xml:space="preserve"> al. 2008; </w:t>
      </w:r>
      <w:proofErr w:type="spellStart"/>
      <w:r>
        <w:rPr>
          <w:rFonts w:cs="Times New Roman"/>
          <w:szCs w:val="24"/>
          <w:lang w:val="es-CO"/>
        </w:rPr>
        <w:t>Masuda</w:t>
      </w:r>
      <w:proofErr w:type="spellEnd"/>
      <w:r>
        <w:rPr>
          <w:rFonts w:cs="Times New Roman"/>
          <w:szCs w:val="24"/>
          <w:lang w:val="es-CO"/>
        </w:rPr>
        <w:t xml:space="preserve"> et al. 2004).</w:t>
      </w:r>
    </w:p>
    <w:p w:rsidR="00521EB8" w:rsidRPr="00FA0D5F" w:rsidRDefault="00521EB8" w:rsidP="00D13CB9">
      <w:pPr>
        <w:spacing w:line="360" w:lineRule="auto"/>
        <w:ind w:firstLine="720"/>
        <w:rPr>
          <w:rFonts w:cs="Times New Roman"/>
          <w:szCs w:val="24"/>
          <w:lang w:val="es-CO"/>
        </w:rPr>
      </w:pPr>
      <w:r w:rsidRPr="00521EB8">
        <w:rPr>
          <w:rFonts w:cs="Times New Roman"/>
          <w:szCs w:val="24"/>
          <w:lang w:val="es-CO"/>
        </w:rPr>
        <w:t>Esta investigación se enfoca en evaluar la eficacia de dos protocolos de intervención breve: uno centrado en el proceso de defusión cognitiva y otro en la reestructuración cognitiva, en un contexto hospitalario. Dado que existen pocos estudios que evalúen los ejercicios de defusión cognitiva y reestructuración cognitiva adaptados a intervenciones breves en sesiones de 30 minutos, este análisis busca contribuir al cuerpo de conocimiento en este campo y explorar su aplicabilidad en el tratamiento de trastornos emocionales de forma más eficiente y eficaz.</w:t>
      </w:r>
    </w:p>
    <w:p w:rsidR="000458C6" w:rsidRPr="00FA0D5F" w:rsidRDefault="00E251EB" w:rsidP="00D13CB9">
      <w:pPr>
        <w:pStyle w:val="Ttulo2"/>
        <w:spacing w:line="360" w:lineRule="auto"/>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Método</w:t>
      </w:r>
      <w:r w:rsidR="00490058" w:rsidRPr="00FA0D5F">
        <w:rPr>
          <w:rFonts w:ascii="Times New Roman" w:hAnsi="Times New Roman" w:cs="Times New Roman"/>
          <w:color w:val="auto"/>
          <w:sz w:val="24"/>
          <w:szCs w:val="24"/>
          <w:lang w:val="es-CO"/>
        </w:rPr>
        <w:t>.</w:t>
      </w:r>
    </w:p>
    <w:p w:rsidR="005A1B0F" w:rsidRPr="00FA0D5F" w:rsidRDefault="005A1B0F" w:rsidP="00D13CB9">
      <w:pPr>
        <w:spacing w:line="360" w:lineRule="auto"/>
        <w:ind w:firstLine="720"/>
        <w:jc w:val="left"/>
        <w:rPr>
          <w:rFonts w:eastAsia="Times New Roman" w:cs="Times New Roman"/>
          <w:szCs w:val="24"/>
          <w:lang w:val="es-CO"/>
        </w:rPr>
      </w:pPr>
      <w:r w:rsidRPr="00FA0D5F">
        <w:rPr>
          <w:rFonts w:eastAsia="Times New Roman" w:cs="Times New Roman"/>
          <w:szCs w:val="24"/>
          <w:lang w:val="es-CO"/>
        </w:rPr>
        <w:t xml:space="preserve">El presente estudio adoptó un diseño cuasi-experimental con una secuencia temporal </w:t>
      </w:r>
      <w:r w:rsidR="00FB5504" w:rsidRPr="00FA0D5F">
        <w:rPr>
          <w:rFonts w:eastAsia="Times New Roman" w:cs="Times New Roman"/>
          <w:szCs w:val="24"/>
          <w:lang w:val="es-CO"/>
        </w:rPr>
        <w:t xml:space="preserve">de orden cronológico </w:t>
      </w:r>
      <w:r w:rsidRPr="00FA0D5F">
        <w:rPr>
          <w:rFonts w:eastAsia="Times New Roman" w:cs="Times New Roman"/>
          <w:szCs w:val="24"/>
          <w:lang w:val="es-CO"/>
        </w:rPr>
        <w:t>y medidas repetidas</w:t>
      </w:r>
      <w:r w:rsidR="00FB5504" w:rsidRPr="00FA0D5F">
        <w:rPr>
          <w:rFonts w:eastAsia="Times New Roman" w:cs="Times New Roman"/>
          <w:szCs w:val="24"/>
          <w:lang w:val="es-CO"/>
        </w:rPr>
        <w:t xml:space="preserve"> antes y después de la intervención</w:t>
      </w:r>
      <w:r w:rsidR="00032898" w:rsidRPr="00FA0D5F">
        <w:rPr>
          <w:rFonts w:eastAsia="Times New Roman" w:cs="Times New Roman"/>
          <w:szCs w:val="24"/>
          <w:lang w:val="es-CO"/>
        </w:rPr>
        <w:t>, sin medidas de seguimiento post hospitalización</w:t>
      </w:r>
      <w:r w:rsidRPr="00FA0D5F">
        <w:rPr>
          <w:rFonts w:eastAsia="Times New Roman" w:cs="Times New Roman"/>
          <w:szCs w:val="24"/>
          <w:lang w:val="es-CO"/>
        </w:rPr>
        <w:t>. Se seleccionó una muestra no probabilística por conveniencia, compuesta por 40 pacientes hospitalizados en una Unidad de Salud Mental con diagnó</w:t>
      </w:r>
      <w:r w:rsidR="00822DE4" w:rsidRPr="00FA0D5F">
        <w:rPr>
          <w:rFonts w:eastAsia="Times New Roman" w:cs="Times New Roman"/>
          <w:szCs w:val="24"/>
          <w:lang w:val="es-CO"/>
        </w:rPr>
        <w:t>stico de ansiedad y/o depresión.</w:t>
      </w:r>
      <w:r w:rsidRPr="00FA0D5F">
        <w:rPr>
          <w:rFonts w:eastAsia="Times New Roman" w:cs="Times New Roman"/>
          <w:szCs w:val="24"/>
          <w:lang w:val="es-CO"/>
        </w:rPr>
        <w:t xml:space="preserve"> La elección del tamaño muestral se fundamentó en la agudeza de la sintomatología y la vulnerabilidad de los participantes. Los sujetos fueron asignados a uno de dos grupos de intervención: el Grupo A, que recibió un protocolo basado en defusión cognitiva, y el Grupo B, que siguió un protocolo de reestructuración cognitiva. Los criterios de inclusión exigieron ser </w:t>
      </w:r>
      <w:r w:rsidRPr="00FA0D5F">
        <w:rPr>
          <w:rFonts w:eastAsia="Times New Roman" w:cs="Times New Roman"/>
          <w:szCs w:val="24"/>
          <w:lang w:val="es-CO"/>
        </w:rPr>
        <w:lastRenderedPageBreak/>
        <w:t>mayor de edad, presentar síntomas ansiosos y/o depresivos, y otorgar consentimiento informado para participar. Se excluyeron aquellos pacientes con antecedentes de abuso de sustancias psicoactivas, síntomas psicóticos</w:t>
      </w:r>
      <w:r w:rsidR="00FB5504" w:rsidRPr="00FA0D5F">
        <w:rPr>
          <w:rFonts w:eastAsia="Times New Roman" w:cs="Times New Roman"/>
          <w:szCs w:val="24"/>
          <w:lang w:val="es-CO"/>
        </w:rPr>
        <w:t>, dolor crónico</w:t>
      </w:r>
      <w:r w:rsidRPr="00FA0D5F">
        <w:rPr>
          <w:rFonts w:eastAsia="Times New Roman" w:cs="Times New Roman"/>
          <w:szCs w:val="24"/>
          <w:lang w:val="es-CO"/>
        </w:rPr>
        <w:t xml:space="preserve"> o discapacidad cognitiva.</w:t>
      </w:r>
    </w:p>
    <w:p w:rsidR="005A1B0F" w:rsidRPr="00FA0D5F" w:rsidRDefault="005A1B0F" w:rsidP="00D13CB9">
      <w:pPr>
        <w:spacing w:line="360" w:lineRule="auto"/>
        <w:rPr>
          <w:rFonts w:cs="Times New Roman"/>
          <w:szCs w:val="24"/>
          <w:lang w:val="es-CO"/>
        </w:rPr>
      </w:pPr>
      <w:r w:rsidRPr="00FA0D5F">
        <w:rPr>
          <w:rFonts w:cs="Times New Roman"/>
          <w:szCs w:val="24"/>
          <w:lang w:val="es-CO"/>
        </w:rPr>
        <w:t>Gráfica 1.</w:t>
      </w:r>
    </w:p>
    <w:p w:rsidR="00166234" w:rsidRPr="00FA0D5F" w:rsidRDefault="005A1B0F" w:rsidP="00D13CB9">
      <w:pPr>
        <w:spacing w:line="360" w:lineRule="auto"/>
        <w:jc w:val="center"/>
        <w:rPr>
          <w:rFonts w:eastAsia="Times New Roman" w:cs="Times New Roman"/>
          <w:szCs w:val="24"/>
          <w:lang w:val="es-CO"/>
        </w:rPr>
      </w:pPr>
      <w:r w:rsidRPr="00FA0D5F">
        <w:rPr>
          <w:rFonts w:eastAsia="Times New Roman" w:cs="Times New Roman"/>
          <w:noProof/>
          <w:szCs w:val="24"/>
          <w:bdr w:val="none" w:sz="0" w:space="0" w:color="auto" w:frame="1"/>
        </w:rPr>
        <w:drawing>
          <wp:inline distT="0" distB="0" distL="0" distR="0">
            <wp:extent cx="4563455" cy="2543175"/>
            <wp:effectExtent l="0" t="0" r="8890" b="0"/>
            <wp:docPr id="3" name="Imagen 3" descr="https://lh7-rt.googleusercontent.com/docsz/AD_4nXc73uT1Gm9N-p2vdryF6NwCmpNdr9SD5jrNnnOxyy1rn0wnSFNFnHQN5n4ekYyKOCAqaq-rZhURe_P5xzqnqi1H6XnzIAo4lGfEZ8Pr_iuze9irWWxG11IKRGMKwrjPxx8ziq03Mxdr7JaRnxyv1ek?key=e945a4-r15Pl5u34izNS0a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73uT1Gm9N-p2vdryF6NwCmpNdr9SD5jrNnnOxyy1rn0wnSFNFnHQN5n4ekYyKOCAqaq-rZhURe_P5xzqnqi1H6XnzIAo4lGfEZ8Pr_iuze9irWWxG11IKRGMKwrjPxx8ziq03Mxdr7JaRnxyv1ek?key=e945a4-r15Pl5u34izNS0ay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6398" cy="2544815"/>
                    </a:xfrm>
                    <a:prstGeom prst="rect">
                      <a:avLst/>
                    </a:prstGeom>
                    <a:noFill/>
                    <a:ln>
                      <a:noFill/>
                    </a:ln>
                  </pic:spPr>
                </pic:pic>
              </a:graphicData>
            </a:graphic>
          </wp:inline>
        </w:drawing>
      </w:r>
    </w:p>
    <w:p w:rsidR="00CD45F0" w:rsidRPr="00FA0D5F" w:rsidRDefault="005A1B0F" w:rsidP="00D13CB9">
      <w:pPr>
        <w:spacing w:line="360" w:lineRule="auto"/>
        <w:jc w:val="center"/>
        <w:rPr>
          <w:rFonts w:eastAsia="Times New Roman" w:cs="Times New Roman"/>
          <w:szCs w:val="24"/>
          <w:lang w:val="es-CO"/>
        </w:rPr>
      </w:pPr>
      <w:r w:rsidRPr="00FA0D5F">
        <w:rPr>
          <w:rFonts w:eastAsia="Times New Roman" w:cs="Times New Roman"/>
          <w:szCs w:val="24"/>
          <w:lang w:val="es-CO"/>
        </w:rPr>
        <w:t>Nota: Se detalla el procedimiento realizado para la distribución y asignación a grupo experimental.</w:t>
      </w:r>
    </w:p>
    <w:p w:rsidR="00C91160" w:rsidRPr="00FA0D5F" w:rsidRDefault="00C91160" w:rsidP="00D13CB9">
      <w:pPr>
        <w:spacing w:line="360" w:lineRule="auto"/>
        <w:rPr>
          <w:rFonts w:eastAsia="Times New Roman" w:cs="Times New Roman"/>
          <w:szCs w:val="24"/>
          <w:lang w:val="es-CO"/>
        </w:rPr>
      </w:pPr>
    </w:p>
    <w:p w:rsidR="000458C6" w:rsidRPr="00FA0D5F" w:rsidRDefault="00E251EB" w:rsidP="00D13CB9">
      <w:pPr>
        <w:pStyle w:val="Ttulo2"/>
        <w:spacing w:line="360" w:lineRule="auto"/>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Instrumentos</w:t>
      </w:r>
      <w:r w:rsidR="00603B73" w:rsidRPr="00FA0D5F">
        <w:rPr>
          <w:rFonts w:ascii="Times New Roman" w:hAnsi="Times New Roman" w:cs="Times New Roman"/>
          <w:color w:val="auto"/>
          <w:sz w:val="24"/>
          <w:szCs w:val="24"/>
          <w:lang w:val="es-CO"/>
        </w:rPr>
        <w:t xml:space="preserve">. </w:t>
      </w:r>
    </w:p>
    <w:p w:rsidR="00605B71" w:rsidRPr="00FA0D5F" w:rsidRDefault="00E251EB" w:rsidP="00D13CB9">
      <w:pPr>
        <w:pStyle w:val="Prrafodelista"/>
        <w:numPr>
          <w:ilvl w:val="0"/>
          <w:numId w:val="10"/>
        </w:numPr>
        <w:spacing w:line="360" w:lineRule="auto"/>
        <w:jc w:val="left"/>
        <w:rPr>
          <w:rFonts w:cs="Times New Roman"/>
          <w:szCs w:val="24"/>
          <w:lang w:val="es-CO"/>
        </w:rPr>
      </w:pPr>
      <w:r w:rsidRPr="00FA0D5F">
        <w:rPr>
          <w:rFonts w:cs="Times New Roman"/>
          <w:szCs w:val="24"/>
          <w:lang w:val="es-CO"/>
        </w:rPr>
        <w:t>Cuestionario sociodemográfico: Se administró este cuestionario para obtener algunos datos básicos de los participantes, como el sexo, la edad, el estado civil, el municipio en el que residen, si trabajan y nivel de estudio.</w:t>
      </w:r>
    </w:p>
    <w:p w:rsidR="00603B73" w:rsidRPr="00FA0D5F" w:rsidRDefault="00603B73" w:rsidP="00D13CB9">
      <w:pPr>
        <w:pStyle w:val="Prrafodelista"/>
        <w:numPr>
          <w:ilvl w:val="0"/>
          <w:numId w:val="10"/>
        </w:numPr>
        <w:spacing w:line="360" w:lineRule="auto"/>
        <w:jc w:val="left"/>
        <w:rPr>
          <w:rFonts w:cs="Times New Roman"/>
          <w:szCs w:val="24"/>
          <w:lang w:val="es-CO"/>
        </w:rPr>
      </w:pPr>
      <w:r w:rsidRPr="00FA0D5F">
        <w:rPr>
          <w:rFonts w:cs="Times New Roman"/>
          <w:szCs w:val="24"/>
          <w:lang w:val="es-CO"/>
        </w:rPr>
        <w:t xml:space="preserve">Cuestionario de Fusión Cognitiva (CFQ): El Cuestionario de Fusión Cognitiva es una herramienta diseñada para medir la fusión cognitiva desarrollado originalmente por </w:t>
      </w:r>
      <w:proofErr w:type="spellStart"/>
      <w:r w:rsidRPr="00FA0D5F">
        <w:rPr>
          <w:rFonts w:cs="Times New Roman"/>
          <w:szCs w:val="24"/>
          <w:lang w:val="es-CO"/>
        </w:rPr>
        <w:t>Gillanders</w:t>
      </w:r>
      <w:proofErr w:type="spellEnd"/>
      <w:r w:rsidRPr="00FA0D5F">
        <w:rPr>
          <w:rFonts w:cs="Times New Roman"/>
          <w:szCs w:val="24"/>
          <w:lang w:val="es-CO"/>
        </w:rPr>
        <w:t xml:space="preserve"> et al. (2014) y posteriormente adaptado al español por Ruiz, Suárez-Falcón, Riaño-Hernández y </w:t>
      </w:r>
      <w:proofErr w:type="spellStart"/>
      <w:r w:rsidRPr="00FA0D5F">
        <w:rPr>
          <w:rFonts w:cs="Times New Roman"/>
          <w:szCs w:val="24"/>
          <w:lang w:val="es-CO"/>
        </w:rPr>
        <w:t>Gillanders</w:t>
      </w:r>
      <w:proofErr w:type="spellEnd"/>
      <w:r w:rsidRPr="00FA0D5F">
        <w:rPr>
          <w:rFonts w:cs="Times New Roman"/>
          <w:szCs w:val="24"/>
          <w:lang w:val="es-CO"/>
        </w:rPr>
        <w:t xml:space="preserve"> (2017) en Colombia. La versión en español del CFQ ha demostrado propiedades psicométricas sólidas, incluyendo una alta consistencia interna con un alfa de Cronbach entre 0.89 y 0.93, y una estructura unifactorial consistente con la versión original. Esta consta de siete ítems que evalúan la tendencia de los individuos a estar dominados por el </w:t>
      </w:r>
      <w:r w:rsidRPr="00FA0D5F">
        <w:rPr>
          <w:rFonts w:cs="Times New Roman"/>
          <w:szCs w:val="24"/>
          <w:lang w:val="es-CO"/>
        </w:rPr>
        <w:lastRenderedPageBreak/>
        <w:t>contenido de sus pensamientos. Cada ítem se califica en una escala Likert de 1 (nunca) a 7 (siempre), con puntuaciones más altas que indican niveles mayores de fusión cognitiva.</w:t>
      </w:r>
    </w:p>
    <w:p w:rsidR="00FD3F98" w:rsidRPr="00FA0D5F" w:rsidRDefault="00E251EB" w:rsidP="00D13CB9">
      <w:pPr>
        <w:pStyle w:val="Prrafodelista"/>
        <w:numPr>
          <w:ilvl w:val="0"/>
          <w:numId w:val="10"/>
        </w:numPr>
        <w:spacing w:line="360" w:lineRule="auto"/>
        <w:jc w:val="left"/>
        <w:rPr>
          <w:rFonts w:cs="Times New Roman"/>
          <w:szCs w:val="24"/>
          <w:lang w:val="es-CO"/>
        </w:rPr>
      </w:pPr>
      <w:r w:rsidRPr="00FA0D5F">
        <w:rPr>
          <w:rFonts w:cs="Times New Roman"/>
          <w:szCs w:val="24"/>
          <w:lang w:val="es-CO"/>
        </w:rPr>
        <w:t>Inventario de A</w:t>
      </w:r>
      <w:r w:rsidR="007E2EE4" w:rsidRPr="00FA0D5F">
        <w:rPr>
          <w:rFonts w:cs="Times New Roman"/>
          <w:szCs w:val="24"/>
          <w:lang w:val="es-CO"/>
        </w:rPr>
        <w:t xml:space="preserve">nsiedad de Beck (BAI): </w:t>
      </w:r>
      <w:r w:rsidR="008A2854" w:rsidRPr="00FA0D5F">
        <w:rPr>
          <w:rFonts w:cs="Times New Roman"/>
          <w:szCs w:val="24"/>
          <w:lang w:val="es-CO"/>
        </w:rPr>
        <w:t xml:space="preserve">Es </w:t>
      </w:r>
      <w:r w:rsidR="00B2345E" w:rsidRPr="00FA0D5F">
        <w:rPr>
          <w:rFonts w:cs="Times New Roman"/>
          <w:szCs w:val="24"/>
          <w:lang w:val="es-CO"/>
        </w:rPr>
        <w:t xml:space="preserve">una herramienta válida y confiable para evaluar la ansiedad en contextos hispanohablantes. </w:t>
      </w:r>
      <w:r w:rsidR="00D67120" w:rsidRPr="00FA0D5F">
        <w:rPr>
          <w:rFonts w:cs="Times New Roman"/>
          <w:szCs w:val="24"/>
          <w:lang w:val="es-CO"/>
        </w:rPr>
        <w:t xml:space="preserve">En Argentina, un estudio reportó una alta confiabilidad con un coeficiente alfa de </w:t>
      </w:r>
      <w:proofErr w:type="spellStart"/>
      <w:r w:rsidR="00D67120" w:rsidRPr="00FA0D5F">
        <w:rPr>
          <w:rFonts w:cs="Times New Roman"/>
          <w:szCs w:val="24"/>
          <w:lang w:val="es-CO"/>
        </w:rPr>
        <w:t>Cro</w:t>
      </w:r>
      <w:r w:rsidR="00632642" w:rsidRPr="00FA0D5F">
        <w:rPr>
          <w:rFonts w:cs="Times New Roman"/>
          <w:szCs w:val="24"/>
          <w:lang w:val="es-CO"/>
        </w:rPr>
        <w:t>nbach</w:t>
      </w:r>
      <w:proofErr w:type="spellEnd"/>
      <w:r w:rsidR="00632642" w:rsidRPr="00FA0D5F">
        <w:rPr>
          <w:rFonts w:cs="Times New Roman"/>
          <w:szCs w:val="24"/>
          <w:lang w:val="es-CO"/>
        </w:rPr>
        <w:t xml:space="preserve"> superior a 0.90 (</w:t>
      </w:r>
      <w:proofErr w:type="spellStart"/>
      <w:r w:rsidR="00632642" w:rsidRPr="00FA0D5F">
        <w:rPr>
          <w:rFonts w:cs="Times New Roman"/>
          <w:szCs w:val="24"/>
          <w:lang w:val="es-CO"/>
        </w:rPr>
        <w:t>Vizioli</w:t>
      </w:r>
      <w:proofErr w:type="spellEnd"/>
      <w:r w:rsidR="00632642" w:rsidRPr="00FA0D5F">
        <w:rPr>
          <w:rFonts w:cs="Times New Roman"/>
          <w:szCs w:val="24"/>
          <w:lang w:val="es-CO"/>
        </w:rPr>
        <w:t xml:space="preserve"> &amp; Pagano</w:t>
      </w:r>
      <w:r w:rsidR="00D67120" w:rsidRPr="00FA0D5F">
        <w:rPr>
          <w:rFonts w:cs="Times New Roman"/>
          <w:szCs w:val="24"/>
          <w:lang w:val="es-CO"/>
        </w:rPr>
        <w:t xml:space="preserve">, 2021). En Perú, se encontró una confiabilidad de </w:t>
      </w:r>
      <w:r w:rsidR="00D67120" w:rsidRPr="00FA0D5F">
        <w:rPr>
          <w:rFonts w:cs="Times New Roman"/>
          <w:szCs w:val="24"/>
        </w:rPr>
        <w:t>Ω</w:t>
      </w:r>
      <w:r w:rsidR="00D67120" w:rsidRPr="00FA0D5F">
        <w:rPr>
          <w:rFonts w:cs="Times New Roman"/>
          <w:szCs w:val="24"/>
          <w:lang w:val="es-CO"/>
        </w:rPr>
        <w:t xml:space="preserve"> = 0.93, lo que sugiere una excelente </w:t>
      </w:r>
      <w:r w:rsidR="00632642" w:rsidRPr="00FA0D5F">
        <w:rPr>
          <w:rFonts w:cs="Times New Roman"/>
          <w:szCs w:val="24"/>
          <w:lang w:val="es-CO"/>
        </w:rPr>
        <w:t>consistencia interna (</w:t>
      </w:r>
      <w:proofErr w:type="spellStart"/>
      <w:r w:rsidR="00632642" w:rsidRPr="00FA0D5F">
        <w:rPr>
          <w:rFonts w:cs="Times New Roman"/>
          <w:szCs w:val="24"/>
          <w:lang w:val="es-CO"/>
        </w:rPr>
        <w:t>Nima</w:t>
      </w:r>
      <w:proofErr w:type="spellEnd"/>
      <w:r w:rsidR="00D67120" w:rsidRPr="00FA0D5F">
        <w:rPr>
          <w:rFonts w:cs="Times New Roman"/>
          <w:szCs w:val="24"/>
          <w:lang w:val="es-CO"/>
        </w:rPr>
        <w:t xml:space="preserve">, 2020). En México, un estudio con pacientes con asma mostró una consistencia interna de </w:t>
      </w:r>
      <w:r w:rsidR="00D67120" w:rsidRPr="00FA0D5F">
        <w:rPr>
          <w:rFonts w:cs="Times New Roman"/>
          <w:szCs w:val="24"/>
        </w:rPr>
        <w:t>α</w:t>
      </w:r>
      <w:r w:rsidR="00D67120" w:rsidRPr="00FA0D5F">
        <w:rPr>
          <w:rFonts w:cs="Times New Roman"/>
          <w:szCs w:val="24"/>
          <w:lang w:val="es-CO"/>
        </w:rPr>
        <w:t xml:space="preserve"> = 0.82, confirmando la fiabilidad del instrumento en esta pobla</w:t>
      </w:r>
      <w:r w:rsidR="00632642" w:rsidRPr="00FA0D5F">
        <w:rPr>
          <w:rFonts w:cs="Times New Roman"/>
          <w:szCs w:val="24"/>
          <w:lang w:val="es-CO"/>
        </w:rPr>
        <w:t>ción específica (González &amp; López</w:t>
      </w:r>
      <w:r w:rsidR="00D67120" w:rsidRPr="00FA0D5F">
        <w:rPr>
          <w:rFonts w:cs="Times New Roman"/>
          <w:szCs w:val="24"/>
          <w:lang w:val="es-CO"/>
        </w:rPr>
        <w:t>, 2019).</w:t>
      </w:r>
      <w:r w:rsidR="00632642" w:rsidRPr="00FA0D5F">
        <w:rPr>
          <w:rFonts w:cs="Times New Roman"/>
          <w:szCs w:val="24"/>
          <w:lang w:val="es-CO"/>
        </w:rPr>
        <w:t xml:space="preserve"> </w:t>
      </w:r>
    </w:p>
    <w:p w:rsidR="00B2345E" w:rsidRPr="00FA0D5F" w:rsidRDefault="00E251EB" w:rsidP="00D13CB9">
      <w:pPr>
        <w:pStyle w:val="Prrafodelista"/>
        <w:numPr>
          <w:ilvl w:val="0"/>
          <w:numId w:val="10"/>
        </w:numPr>
        <w:spacing w:line="360" w:lineRule="auto"/>
        <w:jc w:val="left"/>
        <w:rPr>
          <w:rFonts w:cs="Times New Roman"/>
          <w:szCs w:val="24"/>
          <w:lang w:val="es-CO"/>
        </w:rPr>
      </w:pPr>
      <w:r w:rsidRPr="00FA0D5F">
        <w:rPr>
          <w:rFonts w:cs="Times New Roman"/>
          <w:szCs w:val="24"/>
          <w:lang w:val="es-CO"/>
        </w:rPr>
        <w:t>Inventario de Depresi</w:t>
      </w:r>
      <w:r w:rsidR="00B2345E" w:rsidRPr="00FA0D5F">
        <w:rPr>
          <w:rFonts w:cs="Times New Roman"/>
          <w:szCs w:val="24"/>
          <w:lang w:val="es-CO"/>
        </w:rPr>
        <w:t xml:space="preserve">ón de Beck (BDI-II): Es un instrumento de auto informe de 21 ítems diseñado para evaluar la severidad de los síntomas depresivos con una fiabilidad alfa de </w:t>
      </w:r>
      <w:proofErr w:type="spellStart"/>
      <w:r w:rsidR="00B2345E" w:rsidRPr="00FA0D5F">
        <w:rPr>
          <w:rFonts w:cs="Times New Roman"/>
          <w:szCs w:val="24"/>
          <w:lang w:val="es-CO"/>
        </w:rPr>
        <w:t>Cronbach</w:t>
      </w:r>
      <w:proofErr w:type="spellEnd"/>
      <w:r w:rsidR="00B2345E" w:rsidRPr="00FA0D5F">
        <w:rPr>
          <w:rFonts w:cs="Times New Roman"/>
          <w:szCs w:val="24"/>
          <w:lang w:val="es-CO"/>
        </w:rPr>
        <w:t xml:space="preserve"> de 0,91. En la validez, se encontró unas correlaciones ítem-test que oscilaron entre 0,31 y 0,67, todas ellas estadísticamente significativas (p &lt; 0,0001) y un buen ajuste de un modelo bifactorial (Maldonado, Castro &amp; Cardona, 2023).</w:t>
      </w:r>
    </w:p>
    <w:p w:rsidR="000458C6" w:rsidRPr="00FA0D5F" w:rsidRDefault="00681940" w:rsidP="00D13CB9">
      <w:pPr>
        <w:pStyle w:val="Prrafodelista"/>
        <w:numPr>
          <w:ilvl w:val="0"/>
          <w:numId w:val="10"/>
        </w:numPr>
        <w:spacing w:line="360" w:lineRule="auto"/>
        <w:jc w:val="left"/>
        <w:rPr>
          <w:rFonts w:cs="Times New Roman"/>
          <w:szCs w:val="24"/>
          <w:lang w:val="es-CO"/>
        </w:rPr>
      </w:pPr>
      <w:r w:rsidRPr="00FA0D5F">
        <w:rPr>
          <w:rFonts w:cs="Times New Roman"/>
          <w:szCs w:val="24"/>
          <w:lang w:val="es-CO"/>
        </w:rPr>
        <w:t>La Escala de Depresión, Ansiedad y Estrés de 21 ítems (DASS-21)</w:t>
      </w:r>
      <w:r w:rsidR="00605B71" w:rsidRPr="00FA0D5F">
        <w:rPr>
          <w:rFonts w:cs="Times New Roman"/>
          <w:szCs w:val="24"/>
          <w:lang w:val="es-CO"/>
        </w:rPr>
        <w:t>: E</w:t>
      </w:r>
      <w:r w:rsidR="00E251EB" w:rsidRPr="00FA0D5F">
        <w:rPr>
          <w:rFonts w:cs="Times New Roman"/>
          <w:szCs w:val="24"/>
          <w:lang w:val="es-CO"/>
        </w:rPr>
        <w:t>s un conjunto de tres sub</w:t>
      </w:r>
      <w:r w:rsidR="00CD45F0" w:rsidRPr="00FA0D5F">
        <w:rPr>
          <w:rFonts w:cs="Times New Roman"/>
          <w:szCs w:val="24"/>
          <w:lang w:val="es-CO"/>
        </w:rPr>
        <w:t xml:space="preserve"> </w:t>
      </w:r>
      <w:r w:rsidR="00E251EB" w:rsidRPr="00FA0D5F">
        <w:rPr>
          <w:rFonts w:cs="Times New Roman"/>
          <w:szCs w:val="24"/>
          <w:lang w:val="es-CO"/>
        </w:rPr>
        <w:t>escalas (depresión, ansiedad y estrés), cada una con 7 ítems en una escala Likert de 4 puntos. Cada sub</w:t>
      </w:r>
      <w:r w:rsidR="00CD45F0" w:rsidRPr="00FA0D5F">
        <w:rPr>
          <w:rFonts w:cs="Times New Roman"/>
          <w:szCs w:val="24"/>
          <w:lang w:val="es-CO"/>
        </w:rPr>
        <w:t xml:space="preserve"> </w:t>
      </w:r>
      <w:r w:rsidR="00E251EB" w:rsidRPr="00FA0D5F">
        <w:rPr>
          <w:rFonts w:cs="Times New Roman"/>
          <w:szCs w:val="24"/>
          <w:lang w:val="es-CO"/>
        </w:rPr>
        <w:t xml:space="preserve">escala evalúa estados emocionales negativos mediante afirmaciones relacionadas con los síntomas de cada condición. </w:t>
      </w:r>
      <w:r w:rsidRPr="00FA0D5F">
        <w:rPr>
          <w:rFonts w:cs="Times New Roman"/>
          <w:szCs w:val="24"/>
          <w:lang w:val="es-CO"/>
        </w:rPr>
        <w:t xml:space="preserve">En Colombia, ha mostrado propiedades psicométricas adecuadas. Un estudio realizado por Ruiz y colaboradores reportó coeficientes alfa de </w:t>
      </w:r>
      <w:proofErr w:type="spellStart"/>
      <w:r w:rsidRPr="00FA0D5F">
        <w:rPr>
          <w:rFonts w:cs="Times New Roman"/>
          <w:szCs w:val="24"/>
          <w:lang w:val="es-CO"/>
        </w:rPr>
        <w:t>Cronbach</w:t>
      </w:r>
      <w:proofErr w:type="spellEnd"/>
      <w:r w:rsidRPr="00FA0D5F">
        <w:rPr>
          <w:rFonts w:cs="Times New Roman"/>
          <w:szCs w:val="24"/>
          <w:lang w:val="es-CO"/>
        </w:rPr>
        <w:t xml:space="preserve"> de 0,86 a 0,91 para la subescala de depresión, de 0,73 a 0,76 para ansiedad y de 0,82 a 0,86 para estrés, indicando una buena consistencia interna de la escala en población colombiana. </w:t>
      </w:r>
      <w:r w:rsidR="00E251EB" w:rsidRPr="00FA0D5F">
        <w:rPr>
          <w:rFonts w:cs="Times New Roman"/>
          <w:szCs w:val="24"/>
          <w:lang w:val="es-CO"/>
        </w:rPr>
        <w:t>Este instrumento ha demostrado buena consistencia interna, así como validez convergente y d</w:t>
      </w:r>
      <w:r w:rsidR="00717BE5" w:rsidRPr="00FA0D5F">
        <w:rPr>
          <w:rFonts w:cs="Times New Roman"/>
          <w:szCs w:val="24"/>
          <w:lang w:val="es-CO"/>
        </w:rPr>
        <w:t>iscriminante (Ruiz</w:t>
      </w:r>
      <w:r w:rsidR="00E251EB" w:rsidRPr="00FA0D5F">
        <w:rPr>
          <w:rFonts w:cs="Times New Roman"/>
          <w:szCs w:val="24"/>
          <w:lang w:val="es-CO"/>
        </w:rPr>
        <w:t>,</w:t>
      </w:r>
      <w:r w:rsidR="00717BE5" w:rsidRPr="00FA0D5F">
        <w:rPr>
          <w:rFonts w:cs="Times New Roman"/>
          <w:szCs w:val="24"/>
          <w:lang w:val="es-CO"/>
        </w:rPr>
        <w:t xml:space="preserve"> García, Suárez, &amp; Odriozola, </w:t>
      </w:r>
      <w:r w:rsidR="00E251EB" w:rsidRPr="00FA0D5F">
        <w:rPr>
          <w:rFonts w:cs="Times New Roman"/>
          <w:szCs w:val="24"/>
          <w:lang w:val="es-CO"/>
        </w:rPr>
        <w:t>2017).</w:t>
      </w:r>
    </w:p>
    <w:p w:rsidR="000458C6" w:rsidRPr="00FA0D5F" w:rsidRDefault="00E251EB" w:rsidP="00D13CB9">
      <w:pPr>
        <w:pStyle w:val="Ttulo2"/>
        <w:spacing w:line="360" w:lineRule="auto"/>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Procedimiento</w:t>
      </w:r>
      <w:r w:rsidR="009070BA" w:rsidRPr="00FA0D5F">
        <w:rPr>
          <w:rFonts w:ascii="Times New Roman" w:hAnsi="Times New Roman" w:cs="Times New Roman"/>
          <w:color w:val="auto"/>
          <w:sz w:val="24"/>
          <w:szCs w:val="24"/>
          <w:lang w:val="es-CO"/>
        </w:rPr>
        <w:t>.</w:t>
      </w:r>
    </w:p>
    <w:p w:rsidR="0025720A" w:rsidRPr="00FA0D5F" w:rsidRDefault="00BA4292" w:rsidP="00D13CB9">
      <w:pPr>
        <w:spacing w:line="360" w:lineRule="auto"/>
        <w:ind w:firstLine="720"/>
        <w:jc w:val="left"/>
        <w:rPr>
          <w:rFonts w:cs="Times New Roman"/>
          <w:szCs w:val="24"/>
          <w:lang w:val="es-CO"/>
        </w:rPr>
      </w:pPr>
      <w:r w:rsidRPr="00FA0D5F">
        <w:rPr>
          <w:rFonts w:cs="Times New Roman"/>
          <w:szCs w:val="24"/>
          <w:lang w:val="es-CO"/>
        </w:rPr>
        <w:t xml:space="preserve">Para el estudio se contó con una muestra de 40 pacientes </w:t>
      </w:r>
      <w:r w:rsidR="00E251EB" w:rsidRPr="00FA0D5F">
        <w:rPr>
          <w:rFonts w:cs="Times New Roman"/>
          <w:szCs w:val="24"/>
          <w:lang w:val="es-CO"/>
        </w:rPr>
        <w:t>hospitalizados en la unidad de salud mental, diagnosticados con ansiedad y</w:t>
      </w:r>
      <w:r w:rsidR="00C31C34" w:rsidRPr="00FA0D5F">
        <w:rPr>
          <w:rFonts w:cs="Times New Roman"/>
          <w:szCs w:val="24"/>
          <w:lang w:val="es-CO"/>
        </w:rPr>
        <w:t>/o</w:t>
      </w:r>
      <w:r w:rsidR="00E251EB" w:rsidRPr="00FA0D5F">
        <w:rPr>
          <w:rFonts w:cs="Times New Roman"/>
          <w:szCs w:val="24"/>
          <w:lang w:val="es-CO"/>
        </w:rPr>
        <w:t xml:space="preserve"> depresión, y que cumplían los </w:t>
      </w:r>
      <w:r w:rsidR="00E251EB" w:rsidRPr="00FA0D5F">
        <w:rPr>
          <w:rFonts w:cs="Times New Roman"/>
          <w:szCs w:val="24"/>
          <w:lang w:val="es-CO"/>
        </w:rPr>
        <w:lastRenderedPageBreak/>
        <w:t>criterios de inclusión establecido. Se obtuvo su consentimiento informado por escrito. Además, se obtuvo la aprobación de los médicos tratantes y cuidad</w:t>
      </w:r>
      <w:r w:rsidR="00166234" w:rsidRPr="00FA0D5F">
        <w:rPr>
          <w:rFonts w:cs="Times New Roman"/>
          <w:szCs w:val="24"/>
          <w:lang w:val="es-CO"/>
        </w:rPr>
        <w:t>ores correspondientes</w:t>
      </w:r>
      <w:r w:rsidR="00E251EB" w:rsidRPr="00FA0D5F">
        <w:rPr>
          <w:rFonts w:cs="Times New Roman"/>
          <w:szCs w:val="24"/>
          <w:lang w:val="es-CO"/>
        </w:rPr>
        <w:t>.</w:t>
      </w:r>
    </w:p>
    <w:p w:rsidR="00822DE4" w:rsidRPr="00FA0D5F" w:rsidRDefault="00822DE4" w:rsidP="00D13CB9">
      <w:pPr>
        <w:spacing w:line="360" w:lineRule="auto"/>
        <w:ind w:firstLine="720"/>
        <w:jc w:val="left"/>
        <w:rPr>
          <w:rFonts w:cs="Times New Roman"/>
          <w:szCs w:val="24"/>
          <w:lang w:val="es-CO"/>
        </w:rPr>
      </w:pPr>
      <w:r w:rsidRPr="00FA0D5F">
        <w:rPr>
          <w:rFonts w:cs="Times New Roman"/>
          <w:szCs w:val="24"/>
          <w:lang w:val="es-CO"/>
        </w:rPr>
        <w:t>La media de edad de los pacientes fue de 28.35 años, con un rango entre 18 y 64 años. En cuanto al género, 25 mujeres (62.5%) y 15 hombres (37.5%). Todos los participantes se encontraban bajo tratamiento farmacológico, recibiendo entre uno y dos medicamentos. Respecto a la ocupación, el 75% eran empleados y el 25% estudiantes. En términos de nivel educativo, el 75% había completado el bachillerato, mientras que el 25% no había finalizado la educación primaria.</w:t>
      </w:r>
    </w:p>
    <w:p w:rsidR="000458C6" w:rsidRPr="00FA0D5F" w:rsidRDefault="00094C54" w:rsidP="00D13CB9">
      <w:pPr>
        <w:spacing w:line="360" w:lineRule="auto"/>
        <w:ind w:firstLine="720"/>
        <w:jc w:val="left"/>
        <w:rPr>
          <w:rFonts w:cs="Times New Roman"/>
          <w:szCs w:val="24"/>
          <w:lang w:val="es-CO"/>
        </w:rPr>
      </w:pPr>
      <w:r w:rsidRPr="00FA0D5F">
        <w:rPr>
          <w:rFonts w:cs="Times New Roman"/>
          <w:szCs w:val="24"/>
          <w:lang w:val="es-CO"/>
        </w:rPr>
        <w:t xml:space="preserve">Se realizó </w:t>
      </w:r>
      <w:r w:rsidR="00C31C34" w:rsidRPr="00FA0D5F">
        <w:rPr>
          <w:rFonts w:cs="Times New Roman"/>
          <w:szCs w:val="24"/>
          <w:lang w:val="es-CO"/>
        </w:rPr>
        <w:t xml:space="preserve">la asignación </w:t>
      </w:r>
      <w:r w:rsidRPr="00FA0D5F">
        <w:rPr>
          <w:rFonts w:cs="Times New Roman"/>
          <w:szCs w:val="24"/>
          <w:lang w:val="es-CO"/>
        </w:rPr>
        <w:t xml:space="preserve">de los participantes y </w:t>
      </w:r>
      <w:r w:rsidR="00E251EB" w:rsidRPr="00FA0D5F">
        <w:rPr>
          <w:rFonts w:cs="Times New Roman"/>
          <w:szCs w:val="24"/>
          <w:lang w:val="es-CO"/>
        </w:rPr>
        <w:t>se procedió a la implementación de las condiciones experimentales de acuerdo con el protocolo establecido. La intervención consistió en la aplicación de las técni</w:t>
      </w:r>
      <w:r w:rsidRPr="00FA0D5F">
        <w:rPr>
          <w:rFonts w:cs="Times New Roman"/>
          <w:szCs w:val="24"/>
          <w:lang w:val="es-CO"/>
        </w:rPr>
        <w:t xml:space="preserve">cas de defusión </w:t>
      </w:r>
      <w:r w:rsidR="00E251EB" w:rsidRPr="00FA0D5F">
        <w:rPr>
          <w:rFonts w:cs="Times New Roman"/>
          <w:szCs w:val="24"/>
          <w:lang w:val="es-CO"/>
        </w:rPr>
        <w:t xml:space="preserve">y reestructuración cognitiva, dentro del contexto hospitalario. Cada sesión tuvo </w:t>
      </w:r>
      <w:r w:rsidRPr="00FA0D5F">
        <w:rPr>
          <w:rFonts w:cs="Times New Roman"/>
          <w:szCs w:val="24"/>
          <w:lang w:val="es-CO"/>
        </w:rPr>
        <w:t>una duración de 30 minutos y los protocolos se estructuraron</w:t>
      </w:r>
      <w:r w:rsidR="00E251EB" w:rsidRPr="00FA0D5F">
        <w:rPr>
          <w:rFonts w:cs="Times New Roman"/>
          <w:szCs w:val="24"/>
          <w:lang w:val="es-CO"/>
        </w:rPr>
        <w:t xml:space="preserve"> en tres fases</w:t>
      </w:r>
      <w:r w:rsidR="00032898" w:rsidRPr="00FA0D5F">
        <w:rPr>
          <w:rFonts w:cs="Times New Roman"/>
          <w:szCs w:val="24"/>
          <w:lang w:val="es-CO"/>
        </w:rPr>
        <w:t>, sin datos de seguimiento post hospitalización.</w:t>
      </w:r>
    </w:p>
    <w:p w:rsidR="000458C6" w:rsidRPr="00FA0D5F" w:rsidRDefault="00E251EB" w:rsidP="00D13CB9">
      <w:pPr>
        <w:spacing w:line="360" w:lineRule="auto"/>
        <w:jc w:val="left"/>
        <w:rPr>
          <w:rFonts w:cs="Times New Roman"/>
          <w:szCs w:val="24"/>
          <w:lang w:val="es-CO"/>
        </w:rPr>
      </w:pPr>
      <w:r w:rsidRPr="00FA0D5F">
        <w:rPr>
          <w:rStyle w:val="SubttuloCar"/>
          <w:rFonts w:ascii="Times New Roman" w:hAnsi="Times New Roman" w:cs="Times New Roman"/>
          <w:color w:val="auto"/>
          <w:lang w:val="es-CO"/>
        </w:rPr>
        <w:t>Fase I:</w:t>
      </w:r>
      <w:r w:rsidRPr="00FA0D5F">
        <w:rPr>
          <w:rFonts w:cs="Times New Roman"/>
          <w:szCs w:val="24"/>
          <w:lang w:val="es-CO"/>
        </w:rPr>
        <w:t xml:space="preserve"> Medición Inicial (Pre</w:t>
      </w:r>
      <w:r w:rsidR="00CD45F0" w:rsidRPr="00FA0D5F">
        <w:rPr>
          <w:rFonts w:cs="Times New Roman"/>
          <w:szCs w:val="24"/>
          <w:lang w:val="es-CO"/>
        </w:rPr>
        <w:t xml:space="preserve"> </w:t>
      </w:r>
      <w:r w:rsidRPr="00FA0D5F">
        <w:rPr>
          <w:rFonts w:cs="Times New Roman"/>
          <w:szCs w:val="24"/>
          <w:lang w:val="es-CO"/>
        </w:rPr>
        <w:t>test</w:t>
      </w:r>
      <w:r w:rsidR="00094C54" w:rsidRPr="00FA0D5F">
        <w:rPr>
          <w:rFonts w:cs="Times New Roman"/>
          <w:szCs w:val="24"/>
          <w:lang w:val="es-CO"/>
        </w:rPr>
        <w:t xml:space="preserve"> – día 0</w:t>
      </w:r>
      <w:r w:rsidRPr="00FA0D5F">
        <w:rPr>
          <w:rFonts w:cs="Times New Roman"/>
          <w:szCs w:val="24"/>
          <w:lang w:val="es-CO"/>
        </w:rPr>
        <w:t>). En esta fase, se administraron los instrumentos de evaluación previamente descritos. Posteriormente, se iniciaron las intervenciones experimentales.</w:t>
      </w:r>
    </w:p>
    <w:p w:rsidR="000458C6" w:rsidRPr="00FA0D5F" w:rsidRDefault="00E251EB" w:rsidP="00D13CB9">
      <w:pPr>
        <w:spacing w:line="360" w:lineRule="auto"/>
        <w:jc w:val="left"/>
        <w:rPr>
          <w:rFonts w:cs="Times New Roman"/>
          <w:szCs w:val="24"/>
          <w:lang w:val="es-CO"/>
        </w:rPr>
      </w:pPr>
      <w:r w:rsidRPr="00FA0D5F">
        <w:rPr>
          <w:rStyle w:val="SubttuloCar"/>
          <w:rFonts w:ascii="Times New Roman" w:hAnsi="Times New Roman" w:cs="Times New Roman"/>
          <w:color w:val="auto"/>
          <w:lang w:val="es-CO"/>
        </w:rPr>
        <w:t>Fase II:</w:t>
      </w:r>
      <w:r w:rsidRPr="00FA0D5F">
        <w:rPr>
          <w:rFonts w:cs="Times New Roman"/>
          <w:szCs w:val="24"/>
          <w:lang w:val="es-CO"/>
        </w:rPr>
        <w:t xml:space="preserve"> Aplicación de las Condiciones Experimentales</w:t>
      </w:r>
      <w:r w:rsidR="00094C54" w:rsidRPr="00FA0D5F">
        <w:rPr>
          <w:rFonts w:cs="Times New Roman"/>
          <w:szCs w:val="24"/>
          <w:lang w:val="es-CO"/>
        </w:rPr>
        <w:t xml:space="preserve"> (protocolo, día 1al 6)</w:t>
      </w:r>
      <w:r w:rsidRPr="00FA0D5F">
        <w:rPr>
          <w:rFonts w:cs="Times New Roman"/>
          <w:szCs w:val="24"/>
          <w:lang w:val="es-CO"/>
        </w:rPr>
        <w:t>. Durante esta fase, se implementaron la</w:t>
      </w:r>
      <w:r w:rsidR="00094C54" w:rsidRPr="00FA0D5F">
        <w:rPr>
          <w:rFonts w:cs="Times New Roman"/>
          <w:szCs w:val="24"/>
          <w:lang w:val="es-CO"/>
        </w:rPr>
        <w:t>s técnicas de defusión</w:t>
      </w:r>
      <w:r w:rsidRPr="00FA0D5F">
        <w:rPr>
          <w:rFonts w:cs="Times New Roman"/>
          <w:szCs w:val="24"/>
          <w:lang w:val="es-CO"/>
        </w:rPr>
        <w:t xml:space="preserve"> y reestructuración cognitiva, siguiendo el protocolo establecido para su aplicación en un entorno hospitalario.</w:t>
      </w:r>
    </w:p>
    <w:p w:rsidR="000458C6" w:rsidRPr="00FA0D5F" w:rsidRDefault="00E251EB" w:rsidP="00D13CB9">
      <w:pPr>
        <w:spacing w:line="360" w:lineRule="auto"/>
        <w:jc w:val="left"/>
        <w:rPr>
          <w:rFonts w:cs="Times New Roman"/>
          <w:szCs w:val="24"/>
          <w:lang w:val="es-CO"/>
        </w:rPr>
      </w:pPr>
      <w:r w:rsidRPr="00FA0D5F">
        <w:rPr>
          <w:rStyle w:val="SubttuloCar"/>
          <w:rFonts w:ascii="Times New Roman" w:hAnsi="Times New Roman" w:cs="Times New Roman"/>
          <w:color w:val="auto"/>
          <w:lang w:val="es-CO"/>
        </w:rPr>
        <w:t>Fase III:</w:t>
      </w:r>
      <w:r w:rsidRPr="00FA0D5F">
        <w:rPr>
          <w:rFonts w:cs="Times New Roman"/>
          <w:szCs w:val="24"/>
          <w:lang w:val="es-CO"/>
        </w:rPr>
        <w:t xml:space="preserve"> Ev</w:t>
      </w:r>
      <w:r w:rsidR="007B1A3B" w:rsidRPr="00FA0D5F">
        <w:rPr>
          <w:rFonts w:cs="Times New Roman"/>
          <w:szCs w:val="24"/>
          <w:lang w:val="es-CO"/>
        </w:rPr>
        <w:t>aluación Post-Intervención (Pos</w:t>
      </w:r>
      <w:r w:rsidRPr="00FA0D5F">
        <w:rPr>
          <w:rFonts w:cs="Times New Roman"/>
          <w:szCs w:val="24"/>
          <w:lang w:val="es-CO"/>
        </w:rPr>
        <w:t xml:space="preserve"> test</w:t>
      </w:r>
      <w:r w:rsidR="00094C54" w:rsidRPr="00FA0D5F">
        <w:rPr>
          <w:rFonts w:cs="Times New Roman"/>
          <w:szCs w:val="24"/>
          <w:lang w:val="es-CO"/>
        </w:rPr>
        <w:t>, día 7</w:t>
      </w:r>
      <w:r w:rsidRPr="00FA0D5F">
        <w:rPr>
          <w:rFonts w:cs="Times New Roman"/>
          <w:szCs w:val="24"/>
          <w:lang w:val="es-CO"/>
        </w:rPr>
        <w:t>). Tras la a</w:t>
      </w:r>
      <w:r w:rsidR="00C31C34" w:rsidRPr="00FA0D5F">
        <w:rPr>
          <w:rFonts w:cs="Times New Roman"/>
          <w:szCs w:val="24"/>
          <w:lang w:val="es-CO"/>
        </w:rPr>
        <w:t>plicación de las intervenciones, un día después,</w:t>
      </w:r>
      <w:r w:rsidRPr="00FA0D5F">
        <w:rPr>
          <w:rFonts w:cs="Times New Roman"/>
          <w:szCs w:val="24"/>
          <w:lang w:val="es-CO"/>
        </w:rPr>
        <w:t xml:space="preserve"> se admi</w:t>
      </w:r>
      <w:r w:rsidR="00C31C34" w:rsidRPr="00FA0D5F">
        <w:rPr>
          <w:rFonts w:cs="Times New Roman"/>
          <w:szCs w:val="24"/>
          <w:lang w:val="es-CO"/>
        </w:rPr>
        <w:t xml:space="preserve">nistraron nuevamente los </w:t>
      </w:r>
      <w:r w:rsidRPr="00FA0D5F">
        <w:rPr>
          <w:rFonts w:cs="Times New Roman"/>
          <w:szCs w:val="24"/>
          <w:lang w:val="es-CO"/>
        </w:rPr>
        <w:t>instrumentos de evaluación utilizados</w:t>
      </w:r>
      <w:r w:rsidR="00094C54" w:rsidRPr="00FA0D5F">
        <w:rPr>
          <w:rFonts w:cs="Times New Roman"/>
          <w:szCs w:val="24"/>
          <w:lang w:val="es-CO"/>
        </w:rPr>
        <w:t xml:space="preserve"> en la fase inicial, con el objetivo</w:t>
      </w:r>
      <w:r w:rsidRPr="00FA0D5F">
        <w:rPr>
          <w:rFonts w:cs="Times New Roman"/>
          <w:szCs w:val="24"/>
          <w:lang w:val="es-CO"/>
        </w:rPr>
        <w:t xml:space="preserve"> de medir los efectos de las técnicas aplicadas.</w:t>
      </w:r>
    </w:p>
    <w:p w:rsidR="000458C6" w:rsidRPr="00FA0D5F" w:rsidRDefault="00E251EB" w:rsidP="00D13CB9">
      <w:pPr>
        <w:pStyle w:val="Ttulo2"/>
        <w:spacing w:line="360" w:lineRule="auto"/>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Resumen de Protocolos</w:t>
      </w:r>
      <w:r w:rsidR="009070BA" w:rsidRPr="00FA0D5F">
        <w:rPr>
          <w:rFonts w:ascii="Times New Roman" w:hAnsi="Times New Roman" w:cs="Times New Roman"/>
          <w:color w:val="auto"/>
          <w:sz w:val="24"/>
          <w:szCs w:val="24"/>
          <w:lang w:val="es-CO"/>
        </w:rPr>
        <w:t xml:space="preserve"> Defusión y Reestructuración cognitiva.</w:t>
      </w:r>
    </w:p>
    <w:p w:rsidR="000458C6" w:rsidRPr="00FA0D5F" w:rsidRDefault="00E251EB" w:rsidP="00D13CB9">
      <w:pPr>
        <w:pStyle w:val="Subttulo"/>
        <w:spacing w:line="360" w:lineRule="auto"/>
        <w:jc w:val="left"/>
        <w:rPr>
          <w:rStyle w:val="nfasissutil"/>
          <w:rFonts w:ascii="Times New Roman" w:hAnsi="Times New Roman" w:cs="Times New Roman"/>
          <w:i/>
          <w:iCs/>
          <w:color w:val="auto"/>
          <w:lang w:val="es-CO"/>
        </w:rPr>
      </w:pPr>
      <w:r w:rsidRPr="00FA0D5F">
        <w:rPr>
          <w:rStyle w:val="nfasissutil"/>
          <w:rFonts w:ascii="Times New Roman" w:hAnsi="Times New Roman" w:cs="Times New Roman"/>
          <w:i/>
          <w:iCs/>
          <w:color w:val="auto"/>
          <w:lang w:val="es-CO"/>
        </w:rPr>
        <w:t>Defusión cognitiva, 3 sesiones cada una de 30 minutos.</w:t>
      </w:r>
    </w:p>
    <w:p w:rsidR="000458C6" w:rsidRPr="00FA0D5F" w:rsidRDefault="00E251EB" w:rsidP="00D13CB9">
      <w:pPr>
        <w:spacing w:line="360" w:lineRule="auto"/>
        <w:jc w:val="left"/>
        <w:rPr>
          <w:rFonts w:cs="Times New Roman"/>
          <w:szCs w:val="24"/>
          <w:lang w:val="es-CO"/>
        </w:rPr>
      </w:pPr>
      <w:r w:rsidRPr="00FA0D5F">
        <w:rPr>
          <w:rFonts w:cs="Times New Roman"/>
          <w:i/>
          <w:szCs w:val="24"/>
          <w:lang w:val="es-CO"/>
        </w:rPr>
        <w:t>Sesión 1:</w:t>
      </w:r>
      <w:r w:rsidRPr="00FA0D5F">
        <w:rPr>
          <w:rFonts w:cs="Times New Roman"/>
          <w:szCs w:val="24"/>
          <w:lang w:val="es-CO"/>
        </w:rPr>
        <w:t xml:space="preserve">  Selección de pensamiento desagradable. Psicoeducación en defusión cognitiva asociado a metáfora del beisbolista, explicación de yo observador – yo pensante. Nombre de la mente e insertar frases: estoy pensando _______ [pensamiento seleccionado], Ahí </w:t>
      </w:r>
      <w:r w:rsidRPr="00FA0D5F">
        <w:rPr>
          <w:rFonts w:cs="Times New Roman"/>
          <w:szCs w:val="24"/>
          <w:lang w:val="es-CO"/>
        </w:rPr>
        <w:lastRenderedPageBreak/>
        <w:t>está ______ [nombre de la mente] contándome la historia de ________. Gracias [nombre de la mente] por la historia que me cuentas. Psicoeducación en respiración enfocado en la caja torácica, como sube y baja, el aire entra y sale de tus pulmones, nota las sensaciones. Finaliza con actividad intercesión que es practicar a defusión ante la aparición de pensamientos desagradables.</w:t>
      </w:r>
    </w:p>
    <w:p w:rsidR="000458C6" w:rsidRPr="00FA0D5F" w:rsidRDefault="00E251EB" w:rsidP="00D13CB9">
      <w:pPr>
        <w:spacing w:line="360" w:lineRule="auto"/>
        <w:jc w:val="left"/>
        <w:rPr>
          <w:rFonts w:cs="Times New Roman"/>
          <w:szCs w:val="24"/>
          <w:lang w:val="es-CO"/>
        </w:rPr>
      </w:pPr>
      <w:r w:rsidRPr="00FA0D5F">
        <w:rPr>
          <w:rFonts w:cs="Times New Roman"/>
          <w:i/>
          <w:szCs w:val="24"/>
          <w:lang w:val="es-CO"/>
        </w:rPr>
        <w:t>Sesión 2:</w:t>
      </w:r>
      <w:r w:rsidRPr="00FA0D5F">
        <w:rPr>
          <w:rFonts w:cs="Times New Roman"/>
          <w:szCs w:val="24"/>
          <w:lang w:val="es-CO"/>
        </w:rPr>
        <w:t xml:space="preserve"> Repaso de la primera sesión. Selección de pensamiento desagradable e introducción a Metáfora del barco (Harris, 2010). Se da continuidad a ejercicio de defusión cognitiva de primera sesión y se incorpora defusión de imágenes desagradables, pantalla de televisión, subtítulos tontos y banda sonora (Harris, 2010). Entrenamiento en respiración profunda y expansión [paso de observación, paso de respiración, paso de permitir]</w:t>
      </w:r>
    </w:p>
    <w:p w:rsidR="000458C6" w:rsidRPr="00FA0D5F" w:rsidRDefault="00E251EB" w:rsidP="00D13CB9">
      <w:pPr>
        <w:spacing w:line="360" w:lineRule="auto"/>
        <w:jc w:val="left"/>
        <w:rPr>
          <w:rFonts w:cs="Times New Roman"/>
          <w:szCs w:val="24"/>
          <w:lang w:val="es-CO"/>
        </w:rPr>
      </w:pPr>
      <w:r w:rsidRPr="00FA0D5F">
        <w:rPr>
          <w:rFonts w:cs="Times New Roman"/>
          <w:i/>
          <w:szCs w:val="24"/>
          <w:lang w:val="es-CO"/>
        </w:rPr>
        <w:t>Sesión 3</w:t>
      </w:r>
      <w:r w:rsidRPr="00FA0D5F">
        <w:rPr>
          <w:rFonts w:cs="Times New Roman"/>
          <w:szCs w:val="24"/>
          <w:lang w:val="es-CO"/>
        </w:rPr>
        <w:t>: Repaso primera y segunda sesión. Selección de pensamiento desagradable. Psicoeducación en metáfora de la máquina del tiempo. Aplicación de la primera y segunda sesión de defusión cognitiva más la inserción de frases. Estoy pensando____. Ahí está ______ [nombre de la mente] contándome la historia de ________, Imágenes desagradables, pantalla de televisión, subtítulos tontos y banda sonora, Gracias [nombre de la mente]. Respiración profunda</w:t>
      </w:r>
      <w:r w:rsidR="00E7303C" w:rsidRPr="00FA0D5F">
        <w:rPr>
          <w:rFonts w:cs="Times New Roman"/>
          <w:szCs w:val="24"/>
          <w:lang w:val="es-CO"/>
        </w:rPr>
        <w:t xml:space="preserve">. </w:t>
      </w:r>
      <w:r w:rsidR="00690006" w:rsidRPr="00FA0D5F">
        <w:rPr>
          <w:rFonts w:cs="Times New Roman"/>
          <w:szCs w:val="24"/>
          <w:lang w:val="es-CO"/>
        </w:rPr>
        <w:t>Seguida inserción</w:t>
      </w:r>
      <w:r w:rsidR="00E7303C" w:rsidRPr="00FA0D5F">
        <w:rPr>
          <w:rFonts w:cs="Times New Roman"/>
          <w:szCs w:val="24"/>
          <w:lang w:val="es-CO"/>
        </w:rPr>
        <w:t xml:space="preserve"> de </w:t>
      </w:r>
      <w:r w:rsidRPr="00FA0D5F">
        <w:rPr>
          <w:rFonts w:cs="Times New Roman"/>
          <w:szCs w:val="24"/>
          <w:lang w:val="es-CO"/>
        </w:rPr>
        <w:t>¿Estoy pensando? ____. ¿Eso me hace sentir? ____. ¿Tengo el impulso de? ______. ¿Este pensamiento es provechoso o útil de alguna manera?, ¿Este pensamiento me ayuda a actuar de manera efectiva?, ¿Me ayuda a ser la persona que quiero ser?, ¿Me ayuda a conectar con lo que realmente me importa? ¿Me ayuda a largo plazo? Ejercicio de expansión (Harris, 2010).</w:t>
      </w:r>
    </w:p>
    <w:p w:rsidR="000458C6" w:rsidRPr="00FA0D5F" w:rsidRDefault="00E251EB" w:rsidP="00D13CB9">
      <w:pPr>
        <w:pStyle w:val="Subttulo"/>
        <w:spacing w:line="360" w:lineRule="auto"/>
        <w:jc w:val="left"/>
        <w:rPr>
          <w:rStyle w:val="nfasissutil"/>
          <w:rFonts w:ascii="Times New Roman" w:hAnsi="Times New Roman" w:cs="Times New Roman"/>
          <w:color w:val="auto"/>
          <w:lang w:val="es-CO"/>
        </w:rPr>
      </w:pPr>
      <w:r w:rsidRPr="00FA0D5F">
        <w:rPr>
          <w:rStyle w:val="nfasissutil"/>
          <w:rFonts w:ascii="Times New Roman" w:hAnsi="Times New Roman" w:cs="Times New Roman"/>
          <w:color w:val="auto"/>
          <w:lang w:val="es-CO"/>
        </w:rPr>
        <w:t>Reestructuración cognitiva, 3 sesiones de 30 minutos</w:t>
      </w:r>
    </w:p>
    <w:p w:rsidR="000458C6" w:rsidRPr="00FA0D5F" w:rsidRDefault="00E251EB" w:rsidP="00D13CB9">
      <w:pPr>
        <w:spacing w:line="360" w:lineRule="auto"/>
        <w:jc w:val="left"/>
        <w:rPr>
          <w:rFonts w:cs="Times New Roman"/>
          <w:szCs w:val="24"/>
          <w:lang w:val="es-CO"/>
        </w:rPr>
      </w:pPr>
      <w:r w:rsidRPr="00FA0D5F">
        <w:rPr>
          <w:rFonts w:cs="Times New Roman"/>
          <w:i/>
          <w:szCs w:val="24"/>
          <w:lang w:val="es-CO"/>
        </w:rPr>
        <w:t>Sesión 1:</w:t>
      </w:r>
      <w:r w:rsidRPr="00FA0D5F">
        <w:rPr>
          <w:rFonts w:cs="Times New Roman"/>
          <w:szCs w:val="24"/>
          <w:lang w:val="es-CO"/>
        </w:rPr>
        <w:t xml:space="preserve"> Psicoeducación en triangulo cognitivo y distorsiones cognitivas. El problema del carpintero, ¿Cuál es problema del carpintero?, ¿cómo está interpretando la situación?, ¿qué puede sentir el carpintero?, ¿que hizo el carpintero?, ¿qué herramienta escogió para solucionar su problema?, ¿qué tan efectiva es la herramienta? ¿estoy en un solo problema o pretendo solucionar varios con la misma herramienta?, Psicoeducación en respiración diafragmática. Actividad Inter sesión identificación de distorsiones cognitivas y pensamiento alternativo.</w:t>
      </w:r>
    </w:p>
    <w:p w:rsidR="000458C6" w:rsidRPr="00FA0D5F" w:rsidRDefault="00E251EB" w:rsidP="00D13CB9">
      <w:pPr>
        <w:spacing w:line="360" w:lineRule="auto"/>
        <w:jc w:val="left"/>
        <w:rPr>
          <w:rFonts w:cs="Times New Roman"/>
          <w:szCs w:val="24"/>
          <w:lang w:val="es-CO"/>
        </w:rPr>
      </w:pPr>
      <w:r w:rsidRPr="00FA0D5F">
        <w:rPr>
          <w:rFonts w:cs="Times New Roman"/>
          <w:i/>
          <w:szCs w:val="24"/>
          <w:lang w:val="es-CO"/>
        </w:rPr>
        <w:lastRenderedPageBreak/>
        <w:t>Sesión 2:</w:t>
      </w:r>
      <w:r w:rsidRPr="00FA0D5F">
        <w:rPr>
          <w:rFonts w:cs="Times New Roman"/>
          <w:szCs w:val="24"/>
          <w:lang w:val="es-CO"/>
        </w:rPr>
        <w:t xml:space="preserve"> Repaso de la primera sesión. Psicoeducación de los anteojos – efecto de las creencias. Preguntas de apoyo para cambiar pensamientos distorsionados.</w:t>
      </w:r>
    </w:p>
    <w:p w:rsidR="000458C6" w:rsidRPr="00FA0D5F" w:rsidRDefault="00E251EB" w:rsidP="00D13CB9">
      <w:pPr>
        <w:spacing w:line="360" w:lineRule="auto"/>
        <w:jc w:val="left"/>
        <w:rPr>
          <w:rFonts w:cs="Times New Roman"/>
          <w:szCs w:val="24"/>
          <w:lang w:val="es-CO"/>
        </w:rPr>
      </w:pPr>
      <w:r w:rsidRPr="00FA0D5F">
        <w:rPr>
          <w:rFonts w:cs="Times New Roman"/>
          <w:i/>
          <w:szCs w:val="24"/>
          <w:lang w:val="es-CO"/>
        </w:rPr>
        <w:t>Sesión 3:</w:t>
      </w:r>
      <w:r w:rsidRPr="00FA0D5F">
        <w:rPr>
          <w:rFonts w:cs="Times New Roman"/>
          <w:szCs w:val="24"/>
          <w:lang w:val="es-CO"/>
        </w:rPr>
        <w:t xml:space="preserve"> Repaso de la primera y segunda sesión. Identificación de situaciones, pensamiento distorsionado y pensamiento alternativo. Ejercicio de triple columna (pensamiento negativo/distorsión cognitiva/pensamiento alternativo). Ejercicio de respiración profunda</w:t>
      </w:r>
    </w:p>
    <w:p w:rsidR="000458C6" w:rsidRPr="00FA0D5F" w:rsidRDefault="00E251EB" w:rsidP="00D13CB9">
      <w:pPr>
        <w:pStyle w:val="Ttulo1"/>
        <w:spacing w:line="360" w:lineRule="auto"/>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Resultados</w:t>
      </w:r>
      <w:r w:rsidR="00490058" w:rsidRPr="00FA0D5F">
        <w:rPr>
          <w:rFonts w:ascii="Times New Roman" w:hAnsi="Times New Roman" w:cs="Times New Roman"/>
          <w:color w:val="auto"/>
          <w:sz w:val="24"/>
          <w:szCs w:val="24"/>
          <w:lang w:val="es-CO"/>
        </w:rPr>
        <w:t>.</w:t>
      </w:r>
    </w:p>
    <w:p w:rsidR="00ED3CD7" w:rsidRPr="00FA0D5F" w:rsidRDefault="003C0518" w:rsidP="00D13CB9">
      <w:pPr>
        <w:spacing w:line="360" w:lineRule="auto"/>
        <w:ind w:firstLine="720"/>
        <w:jc w:val="left"/>
        <w:rPr>
          <w:rFonts w:cs="Times New Roman"/>
          <w:szCs w:val="24"/>
          <w:lang w:val="es-CO"/>
        </w:rPr>
      </w:pPr>
      <w:r w:rsidRPr="00FA0D5F">
        <w:rPr>
          <w:rFonts w:cs="Times New Roman"/>
          <w:szCs w:val="24"/>
          <w:lang w:val="es-CO"/>
        </w:rPr>
        <w:t>Se realizó el análisis estadístico</w:t>
      </w:r>
      <w:r w:rsidR="004D0E58" w:rsidRPr="00FA0D5F">
        <w:rPr>
          <w:rFonts w:cs="Times New Roman"/>
          <w:szCs w:val="24"/>
          <w:lang w:val="es-CO"/>
        </w:rPr>
        <w:t xml:space="preserve"> en</w:t>
      </w:r>
      <w:r w:rsidR="006263D6" w:rsidRPr="00FA0D5F">
        <w:rPr>
          <w:rFonts w:cs="Times New Roman"/>
          <w:szCs w:val="24"/>
          <w:lang w:val="es-CO"/>
        </w:rPr>
        <w:t xml:space="preserve"> </w:t>
      </w:r>
      <w:r w:rsidR="006263D6" w:rsidRPr="00FA0D5F">
        <w:rPr>
          <w:rStyle w:val="Textoennegrita"/>
          <w:rFonts w:cs="Times New Roman"/>
          <w:b w:val="0"/>
          <w:szCs w:val="24"/>
          <w:lang w:val="es-CO"/>
        </w:rPr>
        <w:t>Jamovi versión 2.6.17</w:t>
      </w:r>
      <w:r w:rsidR="00362D43" w:rsidRPr="00FA0D5F">
        <w:rPr>
          <w:rFonts w:cs="Times New Roman"/>
          <w:b/>
          <w:szCs w:val="24"/>
          <w:lang w:val="es-CO"/>
        </w:rPr>
        <w:t xml:space="preserve"> </w:t>
      </w:r>
      <w:r w:rsidR="00362D43" w:rsidRPr="00FA0D5F">
        <w:rPr>
          <w:rFonts w:cs="Times New Roman"/>
          <w:szCs w:val="24"/>
          <w:lang w:val="es-CO"/>
        </w:rPr>
        <w:t>para prueba T pareadas.</w:t>
      </w:r>
      <w:r w:rsidRPr="00FA0D5F">
        <w:rPr>
          <w:rFonts w:cs="Times New Roman"/>
          <w:szCs w:val="24"/>
          <w:lang w:val="es-CO"/>
        </w:rPr>
        <w:t xml:space="preserve"> En primer lugar,</w:t>
      </w:r>
      <w:r w:rsidR="00D54551" w:rsidRPr="00FA0D5F">
        <w:rPr>
          <w:rFonts w:cs="Times New Roman"/>
          <w:szCs w:val="24"/>
          <w:lang w:val="es-CO"/>
        </w:rPr>
        <w:t xml:space="preserve"> se realiza</w:t>
      </w:r>
      <w:r w:rsidRPr="00FA0D5F">
        <w:rPr>
          <w:rFonts w:cs="Times New Roman"/>
          <w:szCs w:val="24"/>
          <w:lang w:val="es-CO"/>
        </w:rPr>
        <w:t xml:space="preserve"> la </w:t>
      </w:r>
      <w:r w:rsidR="006263D6" w:rsidRPr="00FA0D5F">
        <w:rPr>
          <w:rStyle w:val="Textoennegrita"/>
          <w:rFonts w:cs="Times New Roman"/>
          <w:b w:val="0"/>
          <w:szCs w:val="24"/>
          <w:lang w:val="es-CO"/>
        </w:rPr>
        <w:t>prueba de normalidad de Shapiro-Wilk</w:t>
      </w:r>
      <w:r w:rsidR="006263D6" w:rsidRPr="00FA0D5F">
        <w:rPr>
          <w:rFonts w:cs="Times New Roman"/>
          <w:szCs w:val="24"/>
          <w:lang w:val="es-CO"/>
        </w:rPr>
        <w:t xml:space="preserve"> para evaluar la distribución de los datos</w:t>
      </w:r>
      <w:r w:rsidR="0037417C" w:rsidRPr="00FA0D5F">
        <w:rPr>
          <w:rFonts w:cs="Times New Roman"/>
          <w:szCs w:val="24"/>
          <w:lang w:val="es-CO"/>
        </w:rPr>
        <w:t xml:space="preserve"> con </w:t>
      </w:r>
      <w:r w:rsidR="0037417C" w:rsidRPr="00FA0D5F">
        <w:rPr>
          <w:rFonts w:cs="Times New Roman"/>
          <w:bCs/>
          <w:szCs w:val="24"/>
          <w:lang w:val="es-CO"/>
        </w:rPr>
        <w:t>s</w:t>
      </w:r>
      <w:r w:rsidRPr="00FA0D5F">
        <w:rPr>
          <w:rFonts w:cs="Times New Roman"/>
          <w:bCs/>
          <w:szCs w:val="24"/>
          <w:lang w:val="es-CO"/>
        </w:rPr>
        <w:t xml:space="preserve">ignificancia 5% </w:t>
      </w:r>
      <w:r w:rsidRPr="00FA0D5F">
        <w:rPr>
          <w:rFonts w:cs="Times New Roman"/>
          <w:szCs w:val="24"/>
          <w:lang w:val="es-CO"/>
        </w:rPr>
        <w:t>(</w:t>
      </w:r>
      <w:r w:rsidRPr="00FA0D5F">
        <w:rPr>
          <w:rFonts w:cs="Times New Roman"/>
          <w:szCs w:val="24"/>
        </w:rPr>
        <w:t>α</w:t>
      </w:r>
      <w:r w:rsidRPr="00FA0D5F">
        <w:rPr>
          <w:rFonts w:cs="Times New Roman"/>
          <w:szCs w:val="24"/>
          <w:lang w:val="es-CO"/>
        </w:rPr>
        <w:t xml:space="preserve"> = 0.05)</w:t>
      </w:r>
      <w:r w:rsidR="006263D6" w:rsidRPr="00FA0D5F">
        <w:rPr>
          <w:rFonts w:cs="Times New Roman"/>
          <w:szCs w:val="24"/>
          <w:lang w:val="es-CO"/>
        </w:rPr>
        <w:t>.</w:t>
      </w:r>
      <w:r w:rsidRPr="00FA0D5F">
        <w:rPr>
          <w:rFonts w:cs="Times New Roman"/>
          <w:szCs w:val="24"/>
          <w:lang w:val="es-CO"/>
        </w:rPr>
        <w:t xml:space="preserve"> Posteriormente</w:t>
      </w:r>
      <w:r w:rsidR="00EF2909" w:rsidRPr="00FA0D5F">
        <w:rPr>
          <w:rFonts w:cs="Times New Roman"/>
          <w:szCs w:val="24"/>
          <w:lang w:val="es-CO"/>
        </w:rPr>
        <w:t>,</w:t>
      </w:r>
      <w:r w:rsidR="00D54551" w:rsidRPr="00FA0D5F">
        <w:rPr>
          <w:rFonts w:cs="Times New Roman"/>
          <w:szCs w:val="24"/>
          <w:lang w:val="es-CO"/>
        </w:rPr>
        <w:t xml:space="preserve"> se </w:t>
      </w:r>
      <w:r w:rsidR="00C05471" w:rsidRPr="00FA0D5F">
        <w:rPr>
          <w:rFonts w:cs="Times New Roman"/>
          <w:szCs w:val="24"/>
          <w:lang w:val="es-CO"/>
        </w:rPr>
        <w:t>r</w:t>
      </w:r>
      <w:r w:rsidR="00D54551" w:rsidRPr="00FA0D5F">
        <w:rPr>
          <w:rFonts w:cs="Times New Roman"/>
          <w:szCs w:val="24"/>
          <w:lang w:val="es-CO"/>
        </w:rPr>
        <w:t>ealiza la</w:t>
      </w:r>
      <w:r w:rsidRPr="00FA0D5F">
        <w:rPr>
          <w:rFonts w:cs="Times New Roman"/>
          <w:szCs w:val="24"/>
          <w:lang w:val="es-CO"/>
        </w:rPr>
        <w:t xml:space="preserve"> </w:t>
      </w:r>
      <w:r w:rsidR="006263D6" w:rsidRPr="00FA0D5F">
        <w:rPr>
          <w:rStyle w:val="Textoennegrita"/>
          <w:rFonts w:cs="Times New Roman"/>
          <w:b w:val="0"/>
          <w:szCs w:val="24"/>
          <w:lang w:val="es-CO"/>
        </w:rPr>
        <w:t>prueba t de Student</w:t>
      </w:r>
      <w:r w:rsidR="0025720A" w:rsidRPr="00FA0D5F">
        <w:rPr>
          <w:rStyle w:val="Textoennegrita"/>
          <w:rFonts w:cs="Times New Roman"/>
          <w:b w:val="0"/>
          <w:szCs w:val="24"/>
          <w:lang w:val="es-CO"/>
        </w:rPr>
        <w:t xml:space="preserve"> y </w:t>
      </w:r>
      <w:proofErr w:type="spellStart"/>
      <w:r w:rsidR="0025720A" w:rsidRPr="00FA0D5F">
        <w:rPr>
          <w:rStyle w:val="Textoennegrita"/>
          <w:rFonts w:cs="Times New Roman"/>
          <w:b w:val="0"/>
          <w:szCs w:val="24"/>
          <w:lang w:val="es-CO"/>
        </w:rPr>
        <w:t>Wilcoxon</w:t>
      </w:r>
      <w:proofErr w:type="spellEnd"/>
      <w:r w:rsidR="00902BFD">
        <w:rPr>
          <w:rStyle w:val="Textoennegrita"/>
          <w:rFonts w:cs="Times New Roman"/>
          <w:b w:val="0"/>
          <w:szCs w:val="24"/>
          <w:lang w:val="es-CO"/>
        </w:rPr>
        <w:t xml:space="preserve"> a los datos obtenidos</w:t>
      </w:r>
      <w:r w:rsidR="006263D6" w:rsidRPr="00FA0D5F">
        <w:rPr>
          <w:rFonts w:cs="Times New Roman"/>
          <w:szCs w:val="24"/>
          <w:lang w:val="es-CO"/>
        </w:rPr>
        <w:t xml:space="preserve">, con el objetivo </w:t>
      </w:r>
      <w:r w:rsidR="00902BFD">
        <w:rPr>
          <w:rFonts w:cs="Times New Roman"/>
          <w:szCs w:val="24"/>
          <w:lang w:val="es-CO"/>
        </w:rPr>
        <w:t>de comparar las mediciones pre y post test</w:t>
      </w:r>
      <w:r w:rsidR="006263D6" w:rsidRPr="00FA0D5F">
        <w:rPr>
          <w:rFonts w:cs="Times New Roman"/>
          <w:szCs w:val="24"/>
          <w:lang w:val="es-CO"/>
        </w:rPr>
        <w:t>.</w:t>
      </w:r>
    </w:p>
    <w:p w:rsidR="00ED3CD7" w:rsidRPr="00FA0D5F" w:rsidRDefault="005E41E1" w:rsidP="00D13CB9">
      <w:pPr>
        <w:spacing w:line="360" w:lineRule="auto"/>
        <w:ind w:firstLine="720"/>
        <w:jc w:val="left"/>
        <w:rPr>
          <w:rFonts w:cs="Times New Roman"/>
          <w:szCs w:val="24"/>
          <w:lang w:val="es-CO"/>
        </w:rPr>
      </w:pPr>
      <w:r w:rsidRPr="00FA0D5F">
        <w:rPr>
          <w:rFonts w:cs="Times New Roman"/>
          <w:szCs w:val="24"/>
          <w:lang w:val="es-CO"/>
        </w:rPr>
        <w:t>En las</w:t>
      </w:r>
      <w:r w:rsidR="00E251EB" w:rsidRPr="00FA0D5F">
        <w:rPr>
          <w:rFonts w:cs="Times New Roman"/>
          <w:szCs w:val="24"/>
          <w:lang w:val="es-CO"/>
        </w:rPr>
        <w:t xml:space="preserve"> pruebas de </w:t>
      </w:r>
      <w:r w:rsidR="004D0E58" w:rsidRPr="00FA0D5F">
        <w:rPr>
          <w:rFonts w:cs="Times New Roman"/>
          <w:szCs w:val="24"/>
          <w:lang w:val="es-CO"/>
        </w:rPr>
        <w:t xml:space="preserve">normalidad de Shapiro-Wilk, </w:t>
      </w:r>
      <w:r w:rsidRPr="00FA0D5F">
        <w:rPr>
          <w:rFonts w:cs="Times New Roman"/>
          <w:szCs w:val="24"/>
          <w:lang w:val="es-CO"/>
        </w:rPr>
        <w:t xml:space="preserve">se encuentra </w:t>
      </w:r>
      <w:r w:rsidR="003E3E02" w:rsidRPr="00FA0D5F">
        <w:rPr>
          <w:rFonts w:cs="Times New Roman"/>
          <w:szCs w:val="24"/>
          <w:lang w:val="es-CO"/>
        </w:rPr>
        <w:t xml:space="preserve">que, aquellos </w:t>
      </w:r>
      <w:r w:rsidR="00B331AA" w:rsidRPr="00FA0D5F">
        <w:rPr>
          <w:rFonts w:cs="Times New Roman"/>
          <w:szCs w:val="24"/>
          <w:lang w:val="es-CO"/>
        </w:rPr>
        <w:t>que</w:t>
      </w:r>
      <w:r w:rsidR="003E3E02" w:rsidRPr="00FA0D5F">
        <w:rPr>
          <w:rFonts w:cs="Times New Roman"/>
          <w:szCs w:val="24"/>
          <w:lang w:val="es-CO"/>
        </w:rPr>
        <w:t xml:space="preserve"> </w:t>
      </w:r>
      <w:r w:rsidR="00B331AA" w:rsidRPr="00FA0D5F">
        <w:rPr>
          <w:rFonts w:cs="Times New Roman"/>
          <w:szCs w:val="24"/>
          <w:lang w:val="es-CO"/>
        </w:rPr>
        <w:t>no seguían</w:t>
      </w:r>
      <w:r w:rsidR="0037417C" w:rsidRPr="00FA0D5F">
        <w:rPr>
          <w:rFonts w:cs="Times New Roman"/>
          <w:szCs w:val="24"/>
          <w:lang w:val="es-CO"/>
        </w:rPr>
        <w:t xml:space="preserve"> </w:t>
      </w:r>
      <w:r w:rsidR="003C0518" w:rsidRPr="00FA0D5F">
        <w:rPr>
          <w:rFonts w:cs="Times New Roman"/>
          <w:szCs w:val="24"/>
          <w:lang w:val="es-CO"/>
        </w:rPr>
        <w:t>una distribución normal son:</w:t>
      </w:r>
      <w:r w:rsidR="00EF2909" w:rsidRPr="00FA0D5F">
        <w:rPr>
          <w:rFonts w:cs="Times New Roman"/>
          <w:szCs w:val="24"/>
          <w:lang w:val="es-CO"/>
        </w:rPr>
        <w:t xml:space="preserve"> p</w:t>
      </w:r>
      <w:r w:rsidR="004D0E58" w:rsidRPr="00FA0D5F">
        <w:rPr>
          <w:rFonts w:cs="Times New Roman"/>
          <w:szCs w:val="24"/>
          <w:lang w:val="es-CO"/>
        </w:rPr>
        <w:t>re t</w:t>
      </w:r>
      <w:r w:rsidR="002C7E22" w:rsidRPr="00FA0D5F">
        <w:rPr>
          <w:rFonts w:cs="Times New Roman"/>
          <w:szCs w:val="24"/>
          <w:lang w:val="es-CO"/>
        </w:rPr>
        <w:t xml:space="preserve">est defusión cognitiva </w:t>
      </w:r>
      <w:r w:rsidR="00902BFD">
        <w:rPr>
          <w:rFonts w:cs="Times New Roman"/>
          <w:szCs w:val="24"/>
          <w:lang w:val="es-CO"/>
        </w:rPr>
        <w:t xml:space="preserve">en </w:t>
      </w:r>
      <w:r w:rsidR="002C7E22" w:rsidRPr="00FA0D5F">
        <w:rPr>
          <w:rFonts w:cs="Times New Roman"/>
          <w:szCs w:val="24"/>
          <w:lang w:val="es-CO"/>
        </w:rPr>
        <w:t>DASS 21 e</w:t>
      </w:r>
      <w:r w:rsidR="00EF2909" w:rsidRPr="00FA0D5F">
        <w:rPr>
          <w:rFonts w:cs="Times New Roman"/>
          <w:szCs w:val="24"/>
          <w:lang w:val="es-CO"/>
        </w:rPr>
        <w:t>scala de estrés, p</w:t>
      </w:r>
      <w:r w:rsidR="004D0E58" w:rsidRPr="00FA0D5F">
        <w:rPr>
          <w:rFonts w:cs="Times New Roman"/>
          <w:szCs w:val="24"/>
          <w:lang w:val="es-CO"/>
        </w:rPr>
        <w:t>ost</w:t>
      </w:r>
      <w:r w:rsidR="0037417C" w:rsidRPr="00FA0D5F">
        <w:rPr>
          <w:rFonts w:cs="Times New Roman"/>
          <w:szCs w:val="24"/>
          <w:lang w:val="es-CO"/>
        </w:rPr>
        <w:t xml:space="preserve"> </w:t>
      </w:r>
      <w:r w:rsidR="00902BFD">
        <w:rPr>
          <w:rFonts w:cs="Times New Roman"/>
          <w:szCs w:val="24"/>
          <w:lang w:val="es-CO"/>
        </w:rPr>
        <w:t>test en</w:t>
      </w:r>
      <w:r w:rsidR="004D0E58" w:rsidRPr="00FA0D5F">
        <w:rPr>
          <w:rFonts w:cs="Times New Roman"/>
          <w:szCs w:val="24"/>
          <w:lang w:val="es-CO"/>
        </w:rPr>
        <w:t xml:space="preserve"> </w:t>
      </w:r>
      <w:r w:rsidRPr="00FA0D5F">
        <w:rPr>
          <w:rFonts w:cs="Times New Roman"/>
          <w:szCs w:val="24"/>
          <w:lang w:val="es-CO"/>
        </w:rPr>
        <w:t xml:space="preserve">defusión cognitiva </w:t>
      </w:r>
      <w:r w:rsidR="00902BFD">
        <w:rPr>
          <w:rFonts w:cs="Times New Roman"/>
          <w:szCs w:val="24"/>
          <w:lang w:val="es-CO"/>
        </w:rPr>
        <w:t xml:space="preserve">en </w:t>
      </w:r>
      <w:r w:rsidRPr="00FA0D5F">
        <w:rPr>
          <w:rFonts w:cs="Times New Roman"/>
          <w:szCs w:val="24"/>
          <w:lang w:val="es-CO"/>
        </w:rPr>
        <w:t xml:space="preserve">BDI, </w:t>
      </w:r>
      <w:r w:rsidR="002C7E22" w:rsidRPr="00FA0D5F">
        <w:rPr>
          <w:rFonts w:cs="Times New Roman"/>
          <w:szCs w:val="24"/>
          <w:lang w:val="es-CO"/>
        </w:rPr>
        <w:t>DASS 21 e</w:t>
      </w:r>
      <w:r w:rsidR="004D0E58" w:rsidRPr="00FA0D5F">
        <w:rPr>
          <w:rFonts w:cs="Times New Roman"/>
          <w:szCs w:val="24"/>
          <w:lang w:val="es-CO"/>
        </w:rPr>
        <w:t xml:space="preserve">scala </w:t>
      </w:r>
      <w:r w:rsidRPr="00FA0D5F">
        <w:rPr>
          <w:rFonts w:cs="Times New Roman"/>
          <w:szCs w:val="24"/>
          <w:lang w:val="es-CO"/>
        </w:rPr>
        <w:t xml:space="preserve">de </w:t>
      </w:r>
      <w:r w:rsidR="004D0E58" w:rsidRPr="00FA0D5F">
        <w:rPr>
          <w:rFonts w:cs="Times New Roman"/>
          <w:szCs w:val="24"/>
          <w:lang w:val="es-CO"/>
        </w:rPr>
        <w:t>depresión</w:t>
      </w:r>
      <w:r w:rsidR="002C7E22" w:rsidRPr="00FA0D5F">
        <w:rPr>
          <w:rFonts w:cs="Times New Roman"/>
          <w:szCs w:val="24"/>
          <w:lang w:val="es-CO"/>
        </w:rPr>
        <w:t xml:space="preserve"> y e</w:t>
      </w:r>
      <w:r w:rsidR="00EF2909" w:rsidRPr="00FA0D5F">
        <w:rPr>
          <w:rFonts w:cs="Times New Roman"/>
          <w:szCs w:val="24"/>
          <w:lang w:val="es-CO"/>
        </w:rPr>
        <w:t>scala de estrés, p</w:t>
      </w:r>
      <w:r w:rsidR="00902BFD">
        <w:rPr>
          <w:rFonts w:cs="Times New Roman"/>
          <w:szCs w:val="24"/>
          <w:lang w:val="es-CO"/>
        </w:rPr>
        <w:t>re test en</w:t>
      </w:r>
      <w:r w:rsidR="004D0E58" w:rsidRPr="00FA0D5F">
        <w:rPr>
          <w:rFonts w:cs="Times New Roman"/>
          <w:szCs w:val="24"/>
          <w:lang w:val="es-CO"/>
        </w:rPr>
        <w:t xml:space="preserve"> reestructuración </w:t>
      </w:r>
      <w:r w:rsidRPr="00FA0D5F">
        <w:rPr>
          <w:rFonts w:cs="Times New Roman"/>
          <w:szCs w:val="24"/>
          <w:lang w:val="es-CO"/>
        </w:rPr>
        <w:t>cognitiva</w:t>
      </w:r>
      <w:r w:rsidR="002C7E22" w:rsidRPr="00FA0D5F">
        <w:rPr>
          <w:rFonts w:cs="Times New Roman"/>
          <w:szCs w:val="24"/>
          <w:lang w:val="es-CO"/>
        </w:rPr>
        <w:t xml:space="preserve"> DASS 21 e</w:t>
      </w:r>
      <w:r w:rsidRPr="00FA0D5F">
        <w:rPr>
          <w:rFonts w:cs="Times New Roman"/>
          <w:szCs w:val="24"/>
          <w:lang w:val="es-CO"/>
        </w:rPr>
        <w:t xml:space="preserve">scala de </w:t>
      </w:r>
      <w:r w:rsidR="00EF2909" w:rsidRPr="00FA0D5F">
        <w:rPr>
          <w:rFonts w:cs="Times New Roman"/>
          <w:szCs w:val="24"/>
          <w:lang w:val="es-CO"/>
        </w:rPr>
        <w:t>depresión y p</w:t>
      </w:r>
      <w:r w:rsidR="00902BFD">
        <w:rPr>
          <w:rFonts w:cs="Times New Roman"/>
          <w:szCs w:val="24"/>
          <w:lang w:val="es-CO"/>
        </w:rPr>
        <w:t>ost test</w:t>
      </w:r>
      <w:r w:rsidRPr="00FA0D5F">
        <w:rPr>
          <w:rFonts w:cs="Times New Roman"/>
          <w:szCs w:val="24"/>
          <w:lang w:val="es-CO"/>
        </w:rPr>
        <w:t xml:space="preserve"> de reestructuración </w:t>
      </w:r>
      <w:r w:rsidR="002C7E22" w:rsidRPr="00FA0D5F">
        <w:rPr>
          <w:rFonts w:cs="Times New Roman"/>
          <w:szCs w:val="24"/>
          <w:lang w:val="es-CO"/>
        </w:rPr>
        <w:t xml:space="preserve">cognitiva </w:t>
      </w:r>
      <w:r w:rsidR="00902BFD">
        <w:rPr>
          <w:rFonts w:cs="Times New Roman"/>
          <w:szCs w:val="24"/>
          <w:lang w:val="es-CO"/>
        </w:rPr>
        <w:t xml:space="preserve">de </w:t>
      </w:r>
      <w:r w:rsidR="002C7E22" w:rsidRPr="00FA0D5F">
        <w:rPr>
          <w:rFonts w:cs="Times New Roman"/>
          <w:szCs w:val="24"/>
          <w:lang w:val="es-CO"/>
        </w:rPr>
        <w:t>DASS 21 e</w:t>
      </w:r>
      <w:r w:rsidRPr="00FA0D5F">
        <w:rPr>
          <w:rFonts w:cs="Times New Roman"/>
          <w:szCs w:val="24"/>
          <w:lang w:val="es-CO"/>
        </w:rPr>
        <w:t xml:space="preserve">scala de depresión. </w:t>
      </w:r>
    </w:p>
    <w:p w:rsidR="00236383" w:rsidRDefault="00ED3CD7" w:rsidP="00D13CB9">
      <w:pPr>
        <w:spacing w:line="360" w:lineRule="auto"/>
        <w:ind w:firstLine="720"/>
        <w:jc w:val="left"/>
        <w:rPr>
          <w:rFonts w:cs="Times New Roman"/>
          <w:szCs w:val="24"/>
          <w:shd w:val="clear" w:color="auto" w:fill="FFFFFF"/>
          <w:lang w:val="es-CO"/>
        </w:rPr>
      </w:pPr>
      <w:r w:rsidRPr="00FA0D5F">
        <w:rPr>
          <w:rFonts w:eastAsia="Times New Roman" w:cs="Times New Roman"/>
          <w:szCs w:val="24"/>
          <w:lang w:val="es-CO"/>
        </w:rPr>
        <w:t>En los resul</w:t>
      </w:r>
      <w:r w:rsidR="00D73A6B" w:rsidRPr="00FA0D5F">
        <w:rPr>
          <w:rFonts w:eastAsia="Times New Roman" w:cs="Times New Roman"/>
          <w:szCs w:val="24"/>
          <w:lang w:val="es-CO"/>
        </w:rPr>
        <w:t xml:space="preserve">tados de las </w:t>
      </w:r>
      <w:r w:rsidRPr="00FA0D5F">
        <w:rPr>
          <w:rFonts w:eastAsia="Times New Roman" w:cs="Times New Roman"/>
          <w:szCs w:val="24"/>
          <w:lang w:val="es-CO"/>
        </w:rPr>
        <w:t xml:space="preserve">medias </w:t>
      </w:r>
      <w:r w:rsidR="005924CA">
        <w:rPr>
          <w:rFonts w:cs="Times New Roman"/>
          <w:szCs w:val="24"/>
          <w:shd w:val="clear" w:color="auto" w:fill="FFFFFF"/>
          <w:lang w:val="es-CO"/>
        </w:rPr>
        <w:t>o</w:t>
      </w:r>
      <w:r w:rsidR="00236383" w:rsidRPr="00236383">
        <w:rPr>
          <w:rFonts w:cs="Times New Roman"/>
          <w:szCs w:val="24"/>
          <w:shd w:val="clear" w:color="auto" w:fill="FFFFFF"/>
          <w:lang w:val="es-CO"/>
        </w:rPr>
        <w:t>bservamos que los pacientes presentaban depresión moderada y severa según el BDI II antes de la intervención. El pr</w:t>
      </w:r>
      <w:r w:rsidR="005924CA">
        <w:rPr>
          <w:rFonts w:cs="Times New Roman"/>
          <w:szCs w:val="24"/>
          <w:shd w:val="clear" w:color="auto" w:fill="FFFFFF"/>
          <w:lang w:val="es-CO"/>
        </w:rPr>
        <w:t>omedio de defusión cognitiva (DC</w:t>
      </w:r>
      <w:r w:rsidR="00236383" w:rsidRPr="00236383">
        <w:rPr>
          <w:rFonts w:cs="Times New Roman"/>
          <w:szCs w:val="24"/>
          <w:shd w:val="clear" w:color="auto" w:fill="FFFFFF"/>
          <w:lang w:val="es-CO"/>
        </w:rPr>
        <w:t>) era de 32,3 y d</w:t>
      </w:r>
      <w:r w:rsidR="005924CA">
        <w:rPr>
          <w:rFonts w:cs="Times New Roman"/>
          <w:szCs w:val="24"/>
          <w:shd w:val="clear" w:color="auto" w:fill="FFFFFF"/>
          <w:lang w:val="es-CO"/>
        </w:rPr>
        <w:t>e reestructuración cognitiva (RC</w:t>
      </w:r>
      <w:r w:rsidR="00236383" w:rsidRPr="00236383">
        <w:rPr>
          <w:rFonts w:cs="Times New Roman"/>
          <w:szCs w:val="24"/>
          <w:shd w:val="clear" w:color="auto" w:fill="FFFFFF"/>
          <w:lang w:val="es-CO"/>
        </w:rPr>
        <w:t>) de 39,4. Hubo una mejora significativa en am</w:t>
      </w:r>
      <w:r w:rsidR="005924CA">
        <w:rPr>
          <w:rFonts w:cs="Times New Roman"/>
          <w:szCs w:val="24"/>
          <w:shd w:val="clear" w:color="auto" w:fill="FFFFFF"/>
          <w:lang w:val="es-CO"/>
        </w:rPr>
        <w:t xml:space="preserve">bos grupos post-intervención [DC promedio = 12.7; RC </w:t>
      </w:r>
      <w:r w:rsidR="00236383" w:rsidRPr="00236383">
        <w:rPr>
          <w:rFonts w:cs="Times New Roman"/>
          <w:szCs w:val="24"/>
          <w:shd w:val="clear" w:color="auto" w:fill="FFFFFF"/>
          <w:lang w:val="es-CO"/>
        </w:rPr>
        <w:t>promedio = 15.6 (donde una puntuación más baja significa menos depresión), ver Figura 1]. Estos hallazgos están en línea con la evidencia de que la TCC</w:t>
      </w:r>
      <w:r w:rsidR="003F1D0A">
        <w:rPr>
          <w:rFonts w:cs="Times New Roman"/>
          <w:szCs w:val="24"/>
          <w:shd w:val="clear" w:color="auto" w:fill="FFFFFF"/>
          <w:lang w:val="es-CO"/>
        </w:rPr>
        <w:t xml:space="preserve"> (Terapia cognitivo conductual)</w:t>
      </w:r>
      <w:r w:rsidR="00236383" w:rsidRPr="00236383">
        <w:rPr>
          <w:rFonts w:cs="Times New Roman"/>
          <w:szCs w:val="24"/>
          <w:shd w:val="clear" w:color="auto" w:fill="FFFFFF"/>
          <w:lang w:val="es-CO"/>
        </w:rPr>
        <w:t xml:space="preserve"> y la terapia contextual pueden reducir los síntomas de depresión (</w:t>
      </w:r>
      <w:proofErr w:type="spellStart"/>
      <w:r w:rsidR="00236383" w:rsidRPr="00236383">
        <w:rPr>
          <w:rFonts w:cs="Times New Roman"/>
          <w:szCs w:val="24"/>
          <w:shd w:val="clear" w:color="auto" w:fill="FFFFFF"/>
          <w:lang w:val="es-CO"/>
        </w:rPr>
        <w:t>Hofmann</w:t>
      </w:r>
      <w:proofErr w:type="spellEnd"/>
      <w:r w:rsidR="00236383" w:rsidRPr="00236383">
        <w:rPr>
          <w:rFonts w:cs="Times New Roman"/>
          <w:szCs w:val="24"/>
          <w:shd w:val="clear" w:color="auto" w:fill="FFFFFF"/>
          <w:lang w:val="es-CO"/>
        </w:rPr>
        <w:t xml:space="preserve"> et al., 2012; Hayes et al., 2011), sin embargo, no disti</w:t>
      </w:r>
      <w:r w:rsidR="000766BE">
        <w:rPr>
          <w:rFonts w:cs="Times New Roman"/>
          <w:szCs w:val="24"/>
          <w:shd w:val="clear" w:color="auto" w:fill="FFFFFF"/>
          <w:lang w:val="es-CO"/>
        </w:rPr>
        <w:t xml:space="preserve">nguiendo entre las técnicas de </w:t>
      </w:r>
      <w:r w:rsidR="00236383" w:rsidRPr="00236383">
        <w:rPr>
          <w:rFonts w:cs="Times New Roman"/>
          <w:szCs w:val="24"/>
          <w:shd w:val="clear" w:color="auto" w:fill="FFFFFF"/>
          <w:lang w:val="es-CO"/>
        </w:rPr>
        <w:t>D</w:t>
      </w:r>
      <w:r w:rsidR="000766BE">
        <w:rPr>
          <w:rFonts w:cs="Times New Roman"/>
          <w:szCs w:val="24"/>
          <w:shd w:val="clear" w:color="auto" w:fill="FFFFFF"/>
          <w:lang w:val="es-CO"/>
        </w:rPr>
        <w:t xml:space="preserve">C y </w:t>
      </w:r>
      <w:r w:rsidR="00236383" w:rsidRPr="00236383">
        <w:rPr>
          <w:rFonts w:cs="Times New Roman"/>
          <w:szCs w:val="24"/>
          <w:shd w:val="clear" w:color="auto" w:fill="FFFFFF"/>
          <w:lang w:val="es-CO"/>
        </w:rPr>
        <w:t>R</w:t>
      </w:r>
      <w:r w:rsidR="000766BE">
        <w:rPr>
          <w:rFonts w:cs="Times New Roman"/>
          <w:szCs w:val="24"/>
          <w:shd w:val="clear" w:color="auto" w:fill="FFFFFF"/>
          <w:lang w:val="es-CO"/>
        </w:rPr>
        <w:t>C</w:t>
      </w:r>
      <w:r w:rsidR="00236383" w:rsidRPr="00236383">
        <w:rPr>
          <w:rFonts w:cs="Times New Roman"/>
          <w:szCs w:val="24"/>
          <w:shd w:val="clear" w:color="auto" w:fill="FFFFFF"/>
          <w:lang w:val="es-CO"/>
        </w:rPr>
        <w:t>.</w:t>
      </w:r>
    </w:p>
    <w:p w:rsidR="000766BE" w:rsidRDefault="000766BE"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L</w:t>
      </w:r>
      <w:r w:rsidRPr="00236383">
        <w:rPr>
          <w:rFonts w:cs="Times New Roman"/>
          <w:szCs w:val="24"/>
          <w:shd w:val="clear" w:color="auto" w:fill="FFFFFF"/>
          <w:lang w:val="es-CO"/>
        </w:rPr>
        <w:t>a ansiedad moderada a severa era evidente en las puntuaciones d</w:t>
      </w:r>
      <w:r>
        <w:rPr>
          <w:rFonts w:cs="Times New Roman"/>
          <w:szCs w:val="24"/>
          <w:shd w:val="clear" w:color="auto" w:fill="FFFFFF"/>
          <w:lang w:val="es-CO"/>
        </w:rPr>
        <w:t>el BAI, con promedios de 35.5 (</w:t>
      </w:r>
      <w:r w:rsidRPr="00236383">
        <w:rPr>
          <w:rFonts w:cs="Times New Roman"/>
          <w:szCs w:val="24"/>
          <w:shd w:val="clear" w:color="auto" w:fill="FFFFFF"/>
          <w:lang w:val="es-CO"/>
        </w:rPr>
        <w:t>D</w:t>
      </w:r>
      <w:r>
        <w:rPr>
          <w:rFonts w:cs="Times New Roman"/>
          <w:szCs w:val="24"/>
          <w:shd w:val="clear" w:color="auto" w:fill="FFFFFF"/>
          <w:lang w:val="es-CO"/>
        </w:rPr>
        <w:t>C) y 39.6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Se observaron reducciones de acuerdo con el </w:t>
      </w:r>
      <w:r w:rsidRPr="00236383">
        <w:rPr>
          <w:rFonts w:cs="Times New Roman"/>
          <w:szCs w:val="24"/>
          <w:shd w:val="clear" w:color="auto" w:fill="FFFFFF"/>
          <w:lang w:val="es-CO"/>
        </w:rPr>
        <w:lastRenderedPageBreak/>
        <w:t>procedimi</w:t>
      </w:r>
      <w:r>
        <w:rPr>
          <w:rFonts w:cs="Times New Roman"/>
          <w:szCs w:val="24"/>
          <w:shd w:val="clear" w:color="auto" w:fill="FFFFFF"/>
          <w:lang w:val="es-CO"/>
        </w:rPr>
        <w:t>ento, con un promedio de 17.9 (</w:t>
      </w:r>
      <w:r w:rsidRPr="00236383">
        <w:rPr>
          <w:rFonts w:cs="Times New Roman"/>
          <w:szCs w:val="24"/>
          <w:shd w:val="clear" w:color="auto" w:fill="FFFFFF"/>
          <w:lang w:val="es-CO"/>
        </w:rPr>
        <w:t>D</w:t>
      </w:r>
      <w:r>
        <w:rPr>
          <w:rFonts w:cs="Times New Roman"/>
          <w:szCs w:val="24"/>
          <w:shd w:val="clear" w:color="auto" w:fill="FFFFFF"/>
          <w:lang w:val="es-CO"/>
        </w:rPr>
        <w:t>C) y 21.0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reflejando una ansiedad de nivel leve (ver Figura 1). Estos resultados están en consonancia con otros estudios </w:t>
      </w:r>
      <w:r w:rsidR="003F1D0A">
        <w:rPr>
          <w:rFonts w:cs="Times New Roman"/>
          <w:szCs w:val="24"/>
          <w:shd w:val="clear" w:color="auto" w:fill="FFFFFF"/>
          <w:lang w:val="es-CO"/>
        </w:rPr>
        <w:t>que demostraron la eficacia de la</w:t>
      </w:r>
      <w:r>
        <w:rPr>
          <w:rFonts w:cs="Times New Roman"/>
          <w:szCs w:val="24"/>
          <w:shd w:val="clear" w:color="auto" w:fill="FFFFFF"/>
          <w:lang w:val="es-CO"/>
        </w:rPr>
        <w:t xml:space="preserve"> </w:t>
      </w:r>
      <w:r w:rsidR="003F1D0A">
        <w:rPr>
          <w:rFonts w:cs="Times New Roman"/>
          <w:szCs w:val="24"/>
          <w:shd w:val="clear" w:color="auto" w:fill="FFFFFF"/>
          <w:lang w:val="es-CO"/>
        </w:rPr>
        <w:t xml:space="preserve">TCC </w:t>
      </w:r>
      <w:r>
        <w:rPr>
          <w:rFonts w:cs="Times New Roman"/>
          <w:szCs w:val="24"/>
          <w:shd w:val="clear" w:color="auto" w:fill="FFFFFF"/>
          <w:lang w:val="es-CO"/>
        </w:rPr>
        <w:t xml:space="preserve">y </w:t>
      </w:r>
      <w:r w:rsidR="003F1D0A">
        <w:rPr>
          <w:rFonts w:cs="Times New Roman"/>
          <w:szCs w:val="24"/>
          <w:shd w:val="clear" w:color="auto" w:fill="FFFFFF"/>
          <w:lang w:val="es-CO"/>
        </w:rPr>
        <w:t xml:space="preserve">ACT </w:t>
      </w:r>
      <w:r w:rsidRPr="00236383">
        <w:rPr>
          <w:rFonts w:cs="Times New Roman"/>
          <w:szCs w:val="24"/>
          <w:shd w:val="clear" w:color="auto" w:fill="FFFFFF"/>
          <w:lang w:val="es-CO"/>
        </w:rPr>
        <w:t xml:space="preserve">para disminuir síntomas de </w:t>
      </w:r>
      <w:r>
        <w:rPr>
          <w:rFonts w:cs="Times New Roman"/>
          <w:szCs w:val="24"/>
          <w:shd w:val="clear" w:color="auto" w:fill="FFFFFF"/>
          <w:lang w:val="es-CO"/>
        </w:rPr>
        <w:t>ansiedad (</w:t>
      </w:r>
      <w:proofErr w:type="spellStart"/>
      <w:r w:rsidR="00521EB8">
        <w:rPr>
          <w:rFonts w:cs="Times New Roman"/>
          <w:szCs w:val="24"/>
          <w:shd w:val="clear" w:color="auto" w:fill="FFFFFF"/>
          <w:lang w:val="es-CO"/>
        </w:rPr>
        <w:t>Parkerson</w:t>
      </w:r>
      <w:proofErr w:type="spellEnd"/>
      <w:r w:rsidR="00521EB8">
        <w:rPr>
          <w:rFonts w:cs="Times New Roman"/>
          <w:szCs w:val="24"/>
          <w:shd w:val="clear" w:color="auto" w:fill="FFFFFF"/>
          <w:lang w:val="es-CO"/>
        </w:rPr>
        <w:t xml:space="preserve"> et al. 2014;</w:t>
      </w:r>
      <w:r w:rsidR="00521EB8" w:rsidRPr="00236383">
        <w:rPr>
          <w:rFonts w:cs="Times New Roman"/>
          <w:szCs w:val="24"/>
          <w:shd w:val="clear" w:color="auto" w:fill="FFFFFF"/>
          <w:lang w:val="es-CO"/>
        </w:rPr>
        <w:t xml:space="preserve"> </w:t>
      </w:r>
      <w:r w:rsidRPr="00236383">
        <w:rPr>
          <w:rFonts w:cs="Times New Roman"/>
          <w:szCs w:val="24"/>
          <w:shd w:val="clear" w:color="auto" w:fill="FFFFFF"/>
          <w:lang w:val="es-CO"/>
        </w:rPr>
        <w:t>Ruiz et al., 2018).</w:t>
      </w:r>
    </w:p>
    <w:p w:rsidR="000766BE" w:rsidRPr="00236383" w:rsidRDefault="003F1D0A"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L</w:t>
      </w:r>
      <w:r w:rsidR="000766BE" w:rsidRPr="00236383">
        <w:rPr>
          <w:rFonts w:cs="Times New Roman"/>
          <w:szCs w:val="24"/>
          <w:shd w:val="clear" w:color="auto" w:fill="FFFFFF"/>
          <w:lang w:val="es-CO"/>
        </w:rPr>
        <w:t>as puntuaciones basales del DASS-21 de depresión, ansiedad y estrés eran altas para ambos grupo</w:t>
      </w:r>
      <w:r w:rsidR="000766BE">
        <w:rPr>
          <w:rFonts w:cs="Times New Roman"/>
          <w:szCs w:val="24"/>
          <w:shd w:val="clear" w:color="auto" w:fill="FFFFFF"/>
          <w:lang w:val="es-CO"/>
        </w:rPr>
        <w:t xml:space="preserve">s. Post-intervención, el grupo </w:t>
      </w:r>
      <w:r w:rsidR="000766BE" w:rsidRPr="00236383">
        <w:rPr>
          <w:rFonts w:cs="Times New Roman"/>
          <w:szCs w:val="24"/>
          <w:shd w:val="clear" w:color="auto" w:fill="FFFFFF"/>
          <w:lang w:val="es-CO"/>
        </w:rPr>
        <w:t>D</w:t>
      </w:r>
      <w:r w:rsidR="000766BE">
        <w:rPr>
          <w:rFonts w:cs="Times New Roman"/>
          <w:szCs w:val="24"/>
          <w:shd w:val="clear" w:color="auto" w:fill="FFFFFF"/>
          <w:lang w:val="es-CO"/>
        </w:rPr>
        <w:t>C</w:t>
      </w:r>
      <w:r w:rsidR="000766BE" w:rsidRPr="00236383">
        <w:rPr>
          <w:rFonts w:cs="Times New Roman"/>
          <w:szCs w:val="24"/>
          <w:shd w:val="clear" w:color="auto" w:fill="FFFFFF"/>
          <w:lang w:val="es-CO"/>
        </w:rPr>
        <w:t xml:space="preserve"> tuvo mejoras significativas con medias finales de 5.3 (depresión), 8.0 (ansiedad) y 6.35 (estrés), indicando </w:t>
      </w:r>
      <w:r w:rsidR="000766BE">
        <w:rPr>
          <w:rFonts w:cs="Times New Roman"/>
          <w:szCs w:val="24"/>
          <w:shd w:val="clear" w:color="auto" w:fill="FFFFFF"/>
          <w:lang w:val="es-CO"/>
        </w:rPr>
        <w:t xml:space="preserve">un malestar emocional leve. El </w:t>
      </w:r>
      <w:r w:rsidR="000766BE" w:rsidRPr="00236383">
        <w:rPr>
          <w:rFonts w:cs="Times New Roman"/>
          <w:szCs w:val="24"/>
          <w:shd w:val="clear" w:color="auto" w:fill="FFFFFF"/>
          <w:lang w:val="es-CO"/>
        </w:rPr>
        <w:t>R</w:t>
      </w:r>
      <w:r w:rsidR="000766BE">
        <w:rPr>
          <w:rFonts w:cs="Times New Roman"/>
          <w:szCs w:val="24"/>
          <w:shd w:val="clear" w:color="auto" w:fill="FFFFFF"/>
          <w:lang w:val="es-CO"/>
        </w:rPr>
        <w:t>C</w:t>
      </w:r>
      <w:r w:rsidR="000766BE" w:rsidRPr="00236383">
        <w:rPr>
          <w:rFonts w:cs="Times New Roman"/>
          <w:szCs w:val="24"/>
          <w:shd w:val="clear" w:color="auto" w:fill="FFFFFF"/>
          <w:lang w:val="es-CO"/>
        </w:rPr>
        <w:t xml:space="preserve"> se mantuvo en un nivel similar al final (7.95, depresión; 7.3, ansiedad; 8.3, estrés), pero algunos participantes aún presentaban síntomas moderados de ansiedad y depresión (Figura 1). </w:t>
      </w:r>
      <w:r w:rsidR="000766BE">
        <w:rPr>
          <w:rFonts w:cs="Times New Roman"/>
          <w:szCs w:val="24"/>
          <w:shd w:val="clear" w:color="auto" w:fill="FFFFFF"/>
          <w:lang w:val="es-CO"/>
        </w:rPr>
        <w:t xml:space="preserve"> </w:t>
      </w:r>
      <w:r w:rsidR="000766BE" w:rsidRPr="00236383">
        <w:rPr>
          <w:rFonts w:cs="Times New Roman"/>
          <w:szCs w:val="24"/>
          <w:shd w:val="clear" w:color="auto" w:fill="FFFFFF"/>
          <w:lang w:val="es-CO"/>
        </w:rPr>
        <w:t>Estos hallazgos son consistentes con otros estudios que encontraron que tanto el placebo positivo como los tratamientos activos fueron efectivos para reducir los síntomas emocionales (</w:t>
      </w:r>
      <w:proofErr w:type="spellStart"/>
      <w:r w:rsidR="000766BE" w:rsidRPr="00236383">
        <w:rPr>
          <w:rFonts w:cs="Times New Roman"/>
          <w:szCs w:val="24"/>
          <w:shd w:val="clear" w:color="auto" w:fill="FFFFFF"/>
          <w:lang w:val="es-CO"/>
        </w:rPr>
        <w:t>Lovibond</w:t>
      </w:r>
      <w:proofErr w:type="spellEnd"/>
      <w:r w:rsidR="000766BE" w:rsidRPr="00236383">
        <w:rPr>
          <w:rFonts w:cs="Times New Roman"/>
          <w:szCs w:val="24"/>
          <w:shd w:val="clear" w:color="auto" w:fill="FFFFFF"/>
          <w:lang w:val="es-CO"/>
        </w:rPr>
        <w:t xml:space="preserve"> &amp; </w:t>
      </w:r>
      <w:proofErr w:type="spellStart"/>
      <w:r w:rsidR="000766BE" w:rsidRPr="00236383">
        <w:rPr>
          <w:rFonts w:cs="Times New Roman"/>
          <w:szCs w:val="24"/>
          <w:shd w:val="clear" w:color="auto" w:fill="FFFFFF"/>
          <w:lang w:val="es-CO"/>
        </w:rPr>
        <w:t>Lovibond</w:t>
      </w:r>
      <w:proofErr w:type="spellEnd"/>
      <w:r w:rsidR="000766BE" w:rsidRPr="00236383">
        <w:rPr>
          <w:rFonts w:cs="Times New Roman"/>
          <w:szCs w:val="24"/>
          <w:shd w:val="clear" w:color="auto" w:fill="FFFFFF"/>
          <w:lang w:val="es-CO"/>
        </w:rPr>
        <w:t>, 1995; Forman et al., 2012).</w:t>
      </w:r>
    </w:p>
    <w:p w:rsidR="000766BE" w:rsidRPr="00236383" w:rsidRDefault="000766BE"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Las puntuaciones iniciales</w:t>
      </w:r>
      <w:r w:rsidRPr="00236383">
        <w:rPr>
          <w:rFonts w:cs="Times New Roman"/>
          <w:szCs w:val="24"/>
          <w:shd w:val="clear" w:color="auto" w:fill="FFFFFF"/>
          <w:lang w:val="es-CO"/>
        </w:rPr>
        <w:t xml:space="preserve"> de fusión cognitiva </w:t>
      </w:r>
      <w:r>
        <w:rPr>
          <w:rFonts w:cs="Times New Roman"/>
          <w:szCs w:val="24"/>
          <w:shd w:val="clear" w:color="auto" w:fill="FFFFFF"/>
          <w:lang w:val="es-CO"/>
        </w:rPr>
        <w:t>eran altos con medias de 40.7 (</w:t>
      </w:r>
      <w:r w:rsidRPr="00236383">
        <w:rPr>
          <w:rFonts w:cs="Times New Roman"/>
          <w:szCs w:val="24"/>
          <w:shd w:val="clear" w:color="auto" w:fill="FFFFFF"/>
          <w:lang w:val="es-CO"/>
        </w:rPr>
        <w:t>D</w:t>
      </w:r>
      <w:r>
        <w:rPr>
          <w:rFonts w:cs="Times New Roman"/>
          <w:szCs w:val="24"/>
          <w:shd w:val="clear" w:color="auto" w:fill="FFFFFF"/>
          <w:lang w:val="es-CO"/>
        </w:rPr>
        <w:t>C) y 43.8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Ambos grupos disminuyeron significativamente después </w:t>
      </w:r>
      <w:r>
        <w:rPr>
          <w:rFonts w:cs="Times New Roman"/>
          <w:szCs w:val="24"/>
          <w:shd w:val="clear" w:color="auto" w:fill="FFFFFF"/>
          <w:lang w:val="es-CO"/>
        </w:rPr>
        <w:t xml:space="preserve">de la intervención, alcanzando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la mayor</w:t>
      </w:r>
      <w:r>
        <w:rPr>
          <w:rFonts w:cs="Times New Roman"/>
          <w:szCs w:val="24"/>
          <w:shd w:val="clear" w:color="auto" w:fill="FFFFFF"/>
          <w:lang w:val="es-CO"/>
        </w:rPr>
        <w:t xml:space="preserve"> mejoría en promedio, 24.9, y RC</w:t>
      </w:r>
      <w:r w:rsidRPr="00236383">
        <w:rPr>
          <w:rFonts w:cs="Times New Roman"/>
          <w:szCs w:val="24"/>
          <w:shd w:val="clear" w:color="auto" w:fill="FFFFFF"/>
          <w:lang w:val="es-CO"/>
        </w:rPr>
        <w:t xml:space="preserve"> 31.4 post-intervención (ver Figura 1). Los hallazgos actuales están en línea con los </w:t>
      </w:r>
      <w:r>
        <w:rPr>
          <w:rFonts w:cs="Times New Roman"/>
          <w:szCs w:val="24"/>
          <w:shd w:val="clear" w:color="auto" w:fill="FFFFFF"/>
          <w:lang w:val="es-CO"/>
        </w:rPr>
        <w:t xml:space="preserve">estudios sobre la eficacia del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en la reducción de la fusión cognitiva (Gillanders et al., 2014).</w:t>
      </w:r>
    </w:p>
    <w:p w:rsidR="00536D65" w:rsidRPr="00FA0D5F" w:rsidRDefault="00536D65" w:rsidP="00D13CB9">
      <w:pPr>
        <w:spacing w:after="0" w:line="360" w:lineRule="auto"/>
        <w:jc w:val="left"/>
        <w:rPr>
          <w:rFonts w:eastAsia="Times New Roman" w:cs="Times New Roman"/>
          <w:b/>
          <w:szCs w:val="24"/>
          <w:lang w:val="es-CO"/>
        </w:rPr>
      </w:pPr>
      <w:r w:rsidRPr="00FA0D5F">
        <w:rPr>
          <w:rFonts w:eastAsia="Times New Roman" w:cs="Times New Roman"/>
          <w:b/>
          <w:szCs w:val="24"/>
          <w:lang w:val="es-CO"/>
        </w:rPr>
        <w:t>Figura 1</w:t>
      </w:r>
    </w:p>
    <w:p w:rsidR="00536D65" w:rsidRPr="00FA0D5F" w:rsidRDefault="00536D65" w:rsidP="00D13CB9">
      <w:pPr>
        <w:spacing w:after="0" w:line="360" w:lineRule="auto"/>
        <w:jc w:val="left"/>
        <w:rPr>
          <w:rFonts w:eastAsia="Times New Roman" w:cs="Times New Roman"/>
          <w:i/>
          <w:szCs w:val="24"/>
          <w:lang w:val="es-CO"/>
        </w:rPr>
      </w:pPr>
      <w:r w:rsidRPr="00FA0D5F">
        <w:rPr>
          <w:rFonts w:eastAsia="Times New Roman" w:cs="Times New Roman"/>
          <w:i/>
          <w:szCs w:val="24"/>
          <w:lang w:val="es-CO"/>
        </w:rPr>
        <w:t>Medias</w:t>
      </w:r>
    </w:p>
    <w:p w:rsidR="009C41FF" w:rsidRPr="00FA0D5F" w:rsidRDefault="0019302F" w:rsidP="00D13CB9">
      <w:pPr>
        <w:spacing w:before="240" w:after="240" w:line="360" w:lineRule="auto"/>
        <w:jc w:val="center"/>
        <w:rPr>
          <w:rFonts w:cs="Times New Roman"/>
          <w:szCs w:val="24"/>
          <w:lang w:val="es-CO"/>
        </w:rPr>
      </w:pPr>
      <w:r w:rsidRPr="00FA0D5F">
        <w:rPr>
          <w:rFonts w:cs="Times New Roman"/>
          <w:noProof/>
          <w:szCs w:val="24"/>
        </w:rPr>
        <w:lastRenderedPageBreak/>
        <w:drawing>
          <wp:inline distT="0" distB="0" distL="0" distR="0" wp14:anchorId="1667DC50" wp14:editId="08397467">
            <wp:extent cx="4181475" cy="24860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2B69" w:rsidRPr="00FA0D5F" w:rsidRDefault="00402B69" w:rsidP="00D13CB9">
      <w:pPr>
        <w:spacing w:before="240" w:after="240" w:line="360" w:lineRule="auto"/>
        <w:rPr>
          <w:rFonts w:cs="Times New Roman"/>
          <w:szCs w:val="24"/>
          <w:lang w:val="es-CO"/>
        </w:rPr>
      </w:pPr>
      <w:r w:rsidRPr="00FA0D5F">
        <w:rPr>
          <w:rFonts w:cs="Times New Roman"/>
          <w:i/>
          <w:szCs w:val="24"/>
          <w:lang w:val="es-CO"/>
        </w:rPr>
        <w:t>Nota:</w:t>
      </w:r>
      <w:r w:rsidR="002E2F89" w:rsidRPr="00FA0D5F">
        <w:rPr>
          <w:rFonts w:cs="Times New Roman"/>
          <w:szCs w:val="24"/>
          <w:lang w:val="es-CO"/>
        </w:rPr>
        <w:t xml:space="preserve"> Esta grafica muestra las</w:t>
      </w:r>
      <w:r w:rsidR="003F3F7D" w:rsidRPr="00FA0D5F">
        <w:rPr>
          <w:rFonts w:cs="Times New Roman"/>
          <w:szCs w:val="24"/>
          <w:lang w:val="es-CO"/>
        </w:rPr>
        <w:t xml:space="preserve"> puntuaciones medias antes y</w:t>
      </w:r>
      <w:r w:rsidR="002E2F89" w:rsidRPr="00FA0D5F">
        <w:rPr>
          <w:rFonts w:cs="Times New Roman"/>
          <w:szCs w:val="24"/>
          <w:lang w:val="es-CO"/>
        </w:rPr>
        <w:t xml:space="preserve"> después de </w:t>
      </w:r>
      <w:r w:rsidR="003F3F7D" w:rsidRPr="00FA0D5F">
        <w:rPr>
          <w:rFonts w:cs="Times New Roman"/>
          <w:szCs w:val="24"/>
          <w:lang w:val="es-CO"/>
        </w:rPr>
        <w:t>las intervenciones</w:t>
      </w:r>
      <w:r w:rsidR="002E2F89" w:rsidRPr="00FA0D5F">
        <w:rPr>
          <w:rFonts w:cs="Times New Roman"/>
          <w:szCs w:val="24"/>
          <w:lang w:val="es-CO"/>
        </w:rPr>
        <w:t xml:space="preserve"> de defusión y reestructuración </w:t>
      </w:r>
      <w:r w:rsidR="003F3F7D" w:rsidRPr="00FA0D5F">
        <w:rPr>
          <w:rFonts w:cs="Times New Roman"/>
          <w:szCs w:val="24"/>
          <w:lang w:val="es-CO"/>
        </w:rPr>
        <w:t>cognitiva. Observándose datos clínicamente significativos</w:t>
      </w:r>
      <w:r w:rsidR="00314B67" w:rsidRPr="00FA0D5F">
        <w:rPr>
          <w:rFonts w:cs="Times New Roman"/>
          <w:szCs w:val="24"/>
          <w:lang w:val="es-CO"/>
        </w:rPr>
        <w:t xml:space="preserve"> y relevantes</w:t>
      </w:r>
      <w:r w:rsidR="003F3F7D" w:rsidRPr="00FA0D5F">
        <w:rPr>
          <w:rFonts w:cs="Times New Roman"/>
          <w:szCs w:val="24"/>
          <w:lang w:val="es-CO"/>
        </w:rPr>
        <w:t xml:space="preserve">. </w:t>
      </w:r>
    </w:p>
    <w:p w:rsidR="00EC448B" w:rsidRPr="00FA0D5F" w:rsidRDefault="009D704D" w:rsidP="00D13CB9">
      <w:pPr>
        <w:spacing w:line="360" w:lineRule="auto"/>
        <w:ind w:firstLine="720"/>
        <w:jc w:val="left"/>
        <w:rPr>
          <w:rFonts w:cs="Times New Roman"/>
          <w:szCs w:val="24"/>
          <w:lang w:val="es-CO"/>
        </w:rPr>
      </w:pPr>
      <w:r w:rsidRPr="00FA0D5F">
        <w:rPr>
          <w:rFonts w:cs="Times New Roman"/>
          <w:szCs w:val="24"/>
          <w:lang w:val="es-CO"/>
        </w:rPr>
        <w:t>Posteriormente, realizamos un análisis detallado de los resultados de las pruebas estadísticas realizadas en Jamovi, considerando los </w:t>
      </w:r>
      <w:r w:rsidRPr="00FA0D5F">
        <w:rPr>
          <w:rStyle w:val="Textoennegrita"/>
          <w:rFonts w:cs="Times New Roman"/>
          <w:b w:val="0"/>
          <w:szCs w:val="24"/>
          <w:lang w:val="es-CO"/>
        </w:rPr>
        <w:t>tamaños del efecto</w:t>
      </w:r>
      <w:r w:rsidRPr="00FA0D5F">
        <w:rPr>
          <w:rFonts w:cs="Times New Roman"/>
          <w:szCs w:val="24"/>
          <w:lang w:val="es-CO"/>
        </w:rPr>
        <w:t>, los </w:t>
      </w:r>
      <w:r w:rsidRPr="00FA0D5F">
        <w:rPr>
          <w:rStyle w:val="Textoennegrita"/>
          <w:rFonts w:cs="Times New Roman"/>
          <w:b w:val="0"/>
          <w:szCs w:val="24"/>
          <w:lang w:val="es-CO"/>
        </w:rPr>
        <w:t>valores de p</w:t>
      </w:r>
      <w:r w:rsidRPr="00FA0D5F">
        <w:rPr>
          <w:rFonts w:cs="Times New Roman"/>
          <w:szCs w:val="24"/>
          <w:lang w:val="es-CO"/>
        </w:rPr>
        <w:t>, los </w:t>
      </w:r>
      <w:r w:rsidRPr="00FA0D5F">
        <w:rPr>
          <w:rStyle w:val="Textoennegrita"/>
          <w:rFonts w:cs="Times New Roman"/>
          <w:b w:val="0"/>
          <w:szCs w:val="24"/>
          <w:lang w:val="es-CO"/>
        </w:rPr>
        <w:t>grados de libertad (</w:t>
      </w:r>
      <w:proofErr w:type="spellStart"/>
      <w:r w:rsidRPr="00FA0D5F">
        <w:rPr>
          <w:rStyle w:val="Textoennegrita"/>
          <w:rFonts w:cs="Times New Roman"/>
          <w:b w:val="0"/>
          <w:szCs w:val="24"/>
          <w:lang w:val="es-CO"/>
        </w:rPr>
        <w:t>gl</w:t>
      </w:r>
      <w:proofErr w:type="spellEnd"/>
      <w:r w:rsidRPr="00FA0D5F">
        <w:rPr>
          <w:rStyle w:val="Textoennegrita"/>
          <w:rFonts w:cs="Times New Roman"/>
          <w:b w:val="0"/>
          <w:szCs w:val="24"/>
          <w:lang w:val="es-CO"/>
        </w:rPr>
        <w:t>)</w:t>
      </w:r>
      <w:r w:rsidRPr="00FA0D5F">
        <w:rPr>
          <w:rFonts w:cs="Times New Roman"/>
          <w:szCs w:val="24"/>
          <w:lang w:val="es-CO"/>
        </w:rPr>
        <w:t> y los </w:t>
      </w:r>
      <w:r w:rsidRPr="00FA0D5F">
        <w:rPr>
          <w:rStyle w:val="Textoennegrita"/>
          <w:rFonts w:cs="Times New Roman"/>
          <w:b w:val="0"/>
          <w:szCs w:val="24"/>
          <w:lang w:val="es-CO"/>
        </w:rPr>
        <w:t>estadísticos</w:t>
      </w:r>
      <w:r w:rsidRPr="00FA0D5F">
        <w:rPr>
          <w:rFonts w:cs="Times New Roman"/>
          <w:szCs w:val="24"/>
          <w:lang w:val="es-CO"/>
        </w:rPr>
        <w:t> obtenidos. Los datos se organizan en dos bloques: </w:t>
      </w:r>
      <w:r w:rsidRPr="00FA0D5F">
        <w:rPr>
          <w:rStyle w:val="Textoennegrita"/>
          <w:rFonts w:cs="Times New Roman"/>
          <w:b w:val="0"/>
          <w:szCs w:val="24"/>
          <w:lang w:val="es-CO"/>
        </w:rPr>
        <w:t>Prueba W de Wilcoxon</w:t>
      </w:r>
      <w:r w:rsidRPr="00FA0D5F">
        <w:rPr>
          <w:rFonts w:cs="Times New Roman"/>
          <w:szCs w:val="24"/>
          <w:lang w:val="es-CO"/>
        </w:rPr>
        <w:t> (para muestras no paramétricas) y </w:t>
      </w:r>
      <w:r w:rsidRPr="00FA0D5F">
        <w:rPr>
          <w:rStyle w:val="Textoennegrita"/>
          <w:rFonts w:cs="Times New Roman"/>
          <w:b w:val="0"/>
          <w:szCs w:val="24"/>
          <w:lang w:val="es-CO"/>
        </w:rPr>
        <w:t>Prueba T de Student</w:t>
      </w:r>
      <w:r w:rsidRPr="00FA0D5F">
        <w:rPr>
          <w:rFonts w:cs="Times New Roman"/>
          <w:szCs w:val="24"/>
          <w:lang w:val="es-CO"/>
        </w:rPr>
        <w:t> (para muestras paramétricas).</w:t>
      </w:r>
    </w:p>
    <w:p w:rsidR="00536D65" w:rsidRPr="00FA0D5F" w:rsidRDefault="00536D65" w:rsidP="00D13CB9">
      <w:pPr>
        <w:spacing w:after="0" w:line="360" w:lineRule="auto"/>
        <w:jc w:val="left"/>
        <w:rPr>
          <w:rFonts w:cs="Times New Roman"/>
          <w:b/>
          <w:szCs w:val="24"/>
          <w:lang w:val="es-CO"/>
        </w:rPr>
      </w:pPr>
      <w:r w:rsidRPr="00FA0D5F">
        <w:rPr>
          <w:rFonts w:cs="Times New Roman"/>
          <w:b/>
          <w:szCs w:val="24"/>
          <w:lang w:val="es-CO"/>
        </w:rPr>
        <w:t>Tabla 1</w:t>
      </w:r>
    </w:p>
    <w:p w:rsidR="00BF78CA" w:rsidRPr="00FA0D5F" w:rsidRDefault="00BF78CA" w:rsidP="00D13CB9">
      <w:pPr>
        <w:spacing w:after="0" w:line="360" w:lineRule="auto"/>
        <w:jc w:val="left"/>
        <w:rPr>
          <w:rFonts w:cs="Times New Roman"/>
          <w:i/>
          <w:szCs w:val="24"/>
          <w:lang w:val="es-CO"/>
        </w:rPr>
      </w:pPr>
      <w:r w:rsidRPr="00FA0D5F">
        <w:rPr>
          <w:rFonts w:cs="Times New Roman"/>
          <w:i/>
          <w:szCs w:val="24"/>
          <w:lang w:val="es-CO"/>
        </w:rPr>
        <w:t xml:space="preserve">Muestra no paramétrica W de Wilsoxon </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86"/>
        <w:gridCol w:w="31"/>
        <w:gridCol w:w="1245"/>
        <w:gridCol w:w="141"/>
        <w:gridCol w:w="1276"/>
        <w:gridCol w:w="1418"/>
        <w:gridCol w:w="1662"/>
        <w:gridCol w:w="1417"/>
      </w:tblGrid>
      <w:tr w:rsidR="00690006" w:rsidRPr="009259E8" w:rsidTr="00A2281C">
        <w:trPr>
          <w:trHeight w:val="300"/>
          <w:jc w:val="center"/>
        </w:trPr>
        <w:tc>
          <w:tcPr>
            <w:tcW w:w="1417" w:type="dxa"/>
            <w:gridSpan w:val="2"/>
            <w:tcMar>
              <w:left w:w="108" w:type="dxa"/>
              <w:right w:w="108" w:type="dxa"/>
            </w:tcMar>
            <w:vAlign w:val="center"/>
          </w:tcPr>
          <w:p w:rsidR="00BF78CA" w:rsidRPr="009259E8" w:rsidRDefault="00BF78CA" w:rsidP="00D13CB9">
            <w:pPr>
              <w:spacing w:after="0" w:line="360" w:lineRule="auto"/>
              <w:ind w:left="720"/>
              <w:jc w:val="center"/>
              <w:rPr>
                <w:rFonts w:cs="Times New Roman"/>
                <w:sz w:val="20"/>
                <w:szCs w:val="20"/>
                <w:lang w:val="es-CO"/>
              </w:rPr>
            </w:pPr>
          </w:p>
        </w:tc>
        <w:tc>
          <w:tcPr>
            <w:tcW w:w="1386" w:type="dxa"/>
            <w:gridSpan w:val="2"/>
            <w:tcMar>
              <w:left w:w="108" w:type="dxa"/>
              <w:right w:w="108" w:type="dxa"/>
            </w:tcMar>
            <w:vAlign w:val="center"/>
          </w:tcPr>
          <w:p w:rsidR="00BF78CA" w:rsidRPr="009259E8" w:rsidRDefault="00BF78CA" w:rsidP="00D13CB9">
            <w:pPr>
              <w:spacing w:after="0" w:line="360" w:lineRule="auto"/>
              <w:ind w:left="720"/>
              <w:jc w:val="center"/>
              <w:rPr>
                <w:rFonts w:cs="Times New Roman"/>
                <w:sz w:val="20"/>
                <w:szCs w:val="20"/>
                <w:lang w:val="es-CO"/>
              </w:rPr>
            </w:pPr>
          </w:p>
        </w:tc>
        <w:tc>
          <w:tcPr>
            <w:tcW w:w="1276" w:type="dxa"/>
            <w:tcMar>
              <w:left w:w="108" w:type="dxa"/>
              <w:right w:w="108" w:type="dxa"/>
            </w:tcMar>
            <w:vAlign w:val="cente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Estadístico</w:t>
            </w:r>
          </w:p>
        </w:tc>
        <w:tc>
          <w:tcPr>
            <w:tcW w:w="1418" w:type="dxa"/>
            <w:tcMar>
              <w:left w:w="108" w:type="dxa"/>
              <w:right w:w="108" w:type="dxa"/>
            </w:tcMar>
            <w:vAlign w:val="cente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bCs/>
                <w:sz w:val="20"/>
                <w:szCs w:val="20"/>
              </w:rPr>
              <w:t>p</w:t>
            </w:r>
          </w:p>
        </w:tc>
        <w:tc>
          <w:tcPr>
            <w:tcW w:w="1662" w:type="dxa"/>
          </w:tcPr>
          <w:p w:rsidR="00BF78CA" w:rsidRPr="009259E8" w:rsidRDefault="00BF78CA" w:rsidP="00D13CB9">
            <w:pPr>
              <w:spacing w:after="0" w:line="360" w:lineRule="auto"/>
              <w:jc w:val="center"/>
              <w:rPr>
                <w:rFonts w:eastAsia="Calibri" w:cs="Times New Roman"/>
                <w:bCs/>
                <w:sz w:val="20"/>
                <w:szCs w:val="20"/>
              </w:rPr>
            </w:pPr>
          </w:p>
        </w:tc>
        <w:tc>
          <w:tcPr>
            <w:tcW w:w="1417" w:type="dxa"/>
            <w:tcMar>
              <w:left w:w="108" w:type="dxa"/>
              <w:right w:w="108" w:type="dxa"/>
            </w:tcMar>
            <w:vAlign w:val="cente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Tamaño del Efecto</w:t>
            </w:r>
          </w:p>
        </w:tc>
      </w:tr>
      <w:tr w:rsidR="00690006" w:rsidRPr="009259E8" w:rsidTr="00A2281C">
        <w:trPr>
          <w:trHeight w:val="300"/>
          <w:jc w:val="center"/>
        </w:trPr>
        <w:tc>
          <w:tcPr>
            <w:tcW w:w="1417" w:type="dxa"/>
            <w:gridSpan w:val="2"/>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PRE DC BDI</w:t>
            </w:r>
          </w:p>
        </w:tc>
        <w:tc>
          <w:tcPr>
            <w:tcW w:w="1245" w:type="dxa"/>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POST DC BDI</w:t>
            </w:r>
          </w:p>
        </w:tc>
        <w:tc>
          <w:tcPr>
            <w:tcW w:w="1417" w:type="dxa"/>
            <w:gridSpan w:val="2"/>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206</w:t>
            </w:r>
          </w:p>
        </w:tc>
        <w:tc>
          <w:tcPr>
            <w:tcW w:w="1418"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&lt;.001</w:t>
            </w:r>
          </w:p>
        </w:tc>
        <w:tc>
          <w:tcPr>
            <w:tcW w:w="1662" w:type="dxa"/>
          </w:tcPr>
          <w:p w:rsidR="00BF78CA" w:rsidRPr="009259E8" w:rsidRDefault="00BF78CA" w:rsidP="00D13CB9">
            <w:pPr>
              <w:spacing w:after="0" w:line="360" w:lineRule="auto"/>
              <w:ind w:left="720"/>
              <w:jc w:val="center"/>
              <w:rPr>
                <w:rFonts w:eastAsia="Calibri" w:cs="Times New Roman"/>
                <w:sz w:val="20"/>
                <w:szCs w:val="20"/>
              </w:rPr>
            </w:pPr>
            <w:proofErr w:type="spellStart"/>
            <w:r w:rsidRPr="009259E8">
              <w:rPr>
                <w:rFonts w:eastAsia="Calibri" w:cs="Times New Roman"/>
                <w:sz w:val="20"/>
                <w:szCs w:val="20"/>
              </w:rPr>
              <w:t>Correlación</w:t>
            </w:r>
            <w:proofErr w:type="spellEnd"/>
            <w:r w:rsidRPr="009259E8">
              <w:rPr>
                <w:rFonts w:eastAsia="Calibri" w:cs="Times New Roman"/>
                <w:sz w:val="20"/>
                <w:szCs w:val="20"/>
              </w:rPr>
              <w:t xml:space="preserve"> </w:t>
            </w:r>
            <w:proofErr w:type="spellStart"/>
            <w:r w:rsidRPr="009259E8">
              <w:rPr>
                <w:rFonts w:eastAsia="Calibri" w:cs="Times New Roman"/>
                <w:sz w:val="20"/>
                <w:szCs w:val="20"/>
              </w:rPr>
              <w:t>biseriada</w:t>
            </w:r>
            <w:proofErr w:type="spellEnd"/>
            <w:r w:rsidRPr="009259E8">
              <w:rPr>
                <w:rFonts w:eastAsia="Calibri" w:cs="Times New Roman"/>
                <w:sz w:val="20"/>
                <w:szCs w:val="20"/>
              </w:rPr>
              <w:t xml:space="preserve"> de </w:t>
            </w:r>
            <w:proofErr w:type="spellStart"/>
            <w:r w:rsidRPr="009259E8">
              <w:rPr>
                <w:rFonts w:eastAsia="Calibri" w:cs="Times New Roman"/>
                <w:sz w:val="20"/>
                <w:szCs w:val="20"/>
              </w:rPr>
              <w:t>rangos</w:t>
            </w:r>
            <w:proofErr w:type="spellEnd"/>
          </w:p>
        </w:tc>
        <w:tc>
          <w:tcPr>
            <w:tcW w:w="1417"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0.957</w:t>
            </w:r>
          </w:p>
        </w:tc>
      </w:tr>
      <w:tr w:rsidR="00690006" w:rsidRPr="009259E8" w:rsidTr="00A2281C">
        <w:trPr>
          <w:trHeight w:val="300"/>
          <w:jc w:val="center"/>
        </w:trPr>
        <w:tc>
          <w:tcPr>
            <w:tcW w:w="1386" w:type="dxa"/>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PRE RC BAI</w:t>
            </w:r>
          </w:p>
        </w:tc>
        <w:tc>
          <w:tcPr>
            <w:tcW w:w="1417" w:type="dxa"/>
            <w:gridSpan w:val="3"/>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POST RC BAI</w:t>
            </w:r>
          </w:p>
        </w:tc>
        <w:tc>
          <w:tcPr>
            <w:tcW w:w="1276"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197</w:t>
            </w:r>
          </w:p>
        </w:tc>
        <w:tc>
          <w:tcPr>
            <w:tcW w:w="1418"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&lt;.001</w:t>
            </w:r>
          </w:p>
        </w:tc>
        <w:tc>
          <w:tcPr>
            <w:tcW w:w="1662" w:type="dxa"/>
          </w:tcPr>
          <w:p w:rsidR="00BF78CA" w:rsidRPr="009259E8" w:rsidRDefault="00BF78CA" w:rsidP="00D13CB9">
            <w:pPr>
              <w:spacing w:after="0" w:line="360" w:lineRule="auto"/>
              <w:ind w:left="720"/>
              <w:jc w:val="center"/>
              <w:rPr>
                <w:rFonts w:eastAsia="Calibri" w:cs="Times New Roman"/>
                <w:sz w:val="20"/>
                <w:szCs w:val="20"/>
              </w:rPr>
            </w:pPr>
            <w:proofErr w:type="spellStart"/>
            <w:r w:rsidRPr="009259E8">
              <w:rPr>
                <w:rFonts w:eastAsia="Calibri" w:cs="Times New Roman"/>
                <w:sz w:val="20"/>
                <w:szCs w:val="20"/>
              </w:rPr>
              <w:t>Correlación</w:t>
            </w:r>
            <w:proofErr w:type="spellEnd"/>
            <w:r w:rsidRPr="009259E8">
              <w:rPr>
                <w:rFonts w:eastAsia="Calibri" w:cs="Times New Roman"/>
                <w:sz w:val="20"/>
                <w:szCs w:val="20"/>
              </w:rPr>
              <w:t xml:space="preserve"> </w:t>
            </w:r>
            <w:proofErr w:type="spellStart"/>
            <w:r w:rsidRPr="009259E8">
              <w:rPr>
                <w:rFonts w:eastAsia="Calibri" w:cs="Times New Roman"/>
                <w:sz w:val="20"/>
                <w:szCs w:val="20"/>
              </w:rPr>
              <w:t>biseriada</w:t>
            </w:r>
            <w:proofErr w:type="spellEnd"/>
            <w:r w:rsidRPr="009259E8">
              <w:rPr>
                <w:rFonts w:eastAsia="Calibri" w:cs="Times New Roman"/>
                <w:sz w:val="20"/>
                <w:szCs w:val="20"/>
              </w:rPr>
              <w:t xml:space="preserve"> </w:t>
            </w:r>
            <w:r w:rsidRPr="009259E8">
              <w:rPr>
                <w:rFonts w:eastAsia="Calibri" w:cs="Times New Roman"/>
                <w:sz w:val="20"/>
                <w:szCs w:val="20"/>
              </w:rPr>
              <w:lastRenderedPageBreak/>
              <w:t xml:space="preserve">de </w:t>
            </w:r>
            <w:proofErr w:type="spellStart"/>
            <w:r w:rsidRPr="009259E8">
              <w:rPr>
                <w:rFonts w:eastAsia="Calibri" w:cs="Times New Roman"/>
                <w:sz w:val="20"/>
                <w:szCs w:val="20"/>
              </w:rPr>
              <w:t>rangos</w:t>
            </w:r>
            <w:proofErr w:type="spellEnd"/>
          </w:p>
        </w:tc>
        <w:tc>
          <w:tcPr>
            <w:tcW w:w="1417"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lastRenderedPageBreak/>
              <w:t>0.876</w:t>
            </w:r>
          </w:p>
        </w:tc>
      </w:tr>
      <w:tr w:rsidR="00690006" w:rsidRPr="009259E8" w:rsidTr="00A2281C">
        <w:trPr>
          <w:trHeight w:val="300"/>
          <w:jc w:val="center"/>
        </w:trPr>
        <w:tc>
          <w:tcPr>
            <w:tcW w:w="1417" w:type="dxa"/>
            <w:gridSpan w:val="2"/>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PRE RC CFQ</w:t>
            </w:r>
          </w:p>
        </w:tc>
        <w:tc>
          <w:tcPr>
            <w:tcW w:w="1386" w:type="dxa"/>
            <w:gridSpan w:val="2"/>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POST RC CFQ</w:t>
            </w:r>
          </w:p>
        </w:tc>
        <w:tc>
          <w:tcPr>
            <w:tcW w:w="1276"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191</w:t>
            </w:r>
          </w:p>
        </w:tc>
        <w:tc>
          <w:tcPr>
            <w:tcW w:w="1418"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&lt;.001</w:t>
            </w:r>
          </w:p>
        </w:tc>
        <w:tc>
          <w:tcPr>
            <w:tcW w:w="1662" w:type="dxa"/>
          </w:tcPr>
          <w:p w:rsidR="00BF78CA" w:rsidRPr="009259E8" w:rsidRDefault="00BF78CA" w:rsidP="00D13CB9">
            <w:pPr>
              <w:spacing w:after="0" w:line="360" w:lineRule="auto"/>
              <w:ind w:left="720"/>
              <w:jc w:val="center"/>
              <w:rPr>
                <w:rFonts w:eastAsia="Calibri" w:cs="Times New Roman"/>
                <w:sz w:val="20"/>
                <w:szCs w:val="20"/>
              </w:rPr>
            </w:pPr>
            <w:proofErr w:type="spellStart"/>
            <w:r w:rsidRPr="009259E8">
              <w:rPr>
                <w:rFonts w:eastAsia="Calibri" w:cs="Times New Roman"/>
                <w:sz w:val="20"/>
                <w:szCs w:val="20"/>
              </w:rPr>
              <w:t>Correlación</w:t>
            </w:r>
            <w:proofErr w:type="spellEnd"/>
            <w:r w:rsidRPr="009259E8">
              <w:rPr>
                <w:rFonts w:eastAsia="Calibri" w:cs="Times New Roman"/>
                <w:sz w:val="20"/>
                <w:szCs w:val="20"/>
              </w:rPr>
              <w:t xml:space="preserve"> </w:t>
            </w:r>
            <w:proofErr w:type="spellStart"/>
            <w:r w:rsidRPr="009259E8">
              <w:rPr>
                <w:rFonts w:eastAsia="Calibri" w:cs="Times New Roman"/>
                <w:sz w:val="20"/>
                <w:szCs w:val="20"/>
              </w:rPr>
              <w:t>biseriada</w:t>
            </w:r>
            <w:proofErr w:type="spellEnd"/>
            <w:r w:rsidRPr="009259E8">
              <w:rPr>
                <w:rFonts w:eastAsia="Calibri" w:cs="Times New Roman"/>
                <w:sz w:val="20"/>
                <w:szCs w:val="20"/>
              </w:rPr>
              <w:t xml:space="preserve"> de </w:t>
            </w:r>
            <w:proofErr w:type="spellStart"/>
            <w:r w:rsidRPr="009259E8">
              <w:rPr>
                <w:rFonts w:eastAsia="Calibri" w:cs="Times New Roman"/>
                <w:sz w:val="20"/>
                <w:szCs w:val="20"/>
              </w:rPr>
              <w:t>rangos</w:t>
            </w:r>
            <w:proofErr w:type="spellEnd"/>
          </w:p>
        </w:tc>
        <w:tc>
          <w:tcPr>
            <w:tcW w:w="1417"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0.819</w:t>
            </w:r>
          </w:p>
        </w:tc>
      </w:tr>
      <w:tr w:rsidR="00690006" w:rsidRPr="009259E8" w:rsidTr="00A2281C">
        <w:trPr>
          <w:trHeight w:val="300"/>
          <w:jc w:val="center"/>
        </w:trPr>
        <w:tc>
          <w:tcPr>
            <w:tcW w:w="1417" w:type="dxa"/>
            <w:gridSpan w:val="2"/>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PRE DC DASS D</w:t>
            </w:r>
          </w:p>
        </w:tc>
        <w:tc>
          <w:tcPr>
            <w:tcW w:w="1386" w:type="dxa"/>
            <w:gridSpan w:val="2"/>
            <w:tcMar>
              <w:left w:w="108" w:type="dxa"/>
              <w:right w:w="108" w:type="dxa"/>
            </w:tcMar>
          </w:tcPr>
          <w:p w:rsidR="00BF78CA" w:rsidRPr="009259E8" w:rsidRDefault="00BF78CA" w:rsidP="00D13CB9">
            <w:pPr>
              <w:spacing w:after="0" w:line="360" w:lineRule="auto"/>
              <w:jc w:val="center"/>
              <w:rPr>
                <w:rFonts w:eastAsia="Calibri" w:cs="Times New Roman"/>
                <w:bCs/>
                <w:sz w:val="20"/>
                <w:szCs w:val="20"/>
              </w:rPr>
            </w:pPr>
            <w:r w:rsidRPr="009259E8">
              <w:rPr>
                <w:rFonts w:eastAsia="Calibri" w:cs="Times New Roman"/>
                <w:bCs/>
                <w:sz w:val="20"/>
                <w:szCs w:val="20"/>
              </w:rPr>
              <w:t>POST DC DASS D</w:t>
            </w:r>
          </w:p>
        </w:tc>
        <w:tc>
          <w:tcPr>
            <w:tcW w:w="1276"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203</w:t>
            </w:r>
          </w:p>
        </w:tc>
        <w:tc>
          <w:tcPr>
            <w:tcW w:w="1418"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&lt;.001</w:t>
            </w:r>
          </w:p>
        </w:tc>
        <w:tc>
          <w:tcPr>
            <w:tcW w:w="1662" w:type="dxa"/>
          </w:tcPr>
          <w:p w:rsidR="00BF78CA" w:rsidRPr="009259E8" w:rsidRDefault="00BF78CA" w:rsidP="00D13CB9">
            <w:pPr>
              <w:spacing w:after="0" w:line="360" w:lineRule="auto"/>
              <w:ind w:left="720"/>
              <w:jc w:val="center"/>
              <w:rPr>
                <w:rFonts w:eastAsia="Calibri" w:cs="Times New Roman"/>
                <w:sz w:val="20"/>
                <w:szCs w:val="20"/>
              </w:rPr>
            </w:pPr>
            <w:proofErr w:type="spellStart"/>
            <w:r w:rsidRPr="009259E8">
              <w:rPr>
                <w:rFonts w:eastAsia="Calibri" w:cs="Times New Roman"/>
                <w:sz w:val="20"/>
                <w:szCs w:val="20"/>
              </w:rPr>
              <w:t>Correlación</w:t>
            </w:r>
            <w:proofErr w:type="spellEnd"/>
            <w:r w:rsidRPr="009259E8">
              <w:rPr>
                <w:rFonts w:eastAsia="Calibri" w:cs="Times New Roman"/>
                <w:sz w:val="20"/>
                <w:szCs w:val="20"/>
              </w:rPr>
              <w:t xml:space="preserve"> </w:t>
            </w:r>
            <w:proofErr w:type="spellStart"/>
            <w:r w:rsidRPr="009259E8">
              <w:rPr>
                <w:rFonts w:eastAsia="Calibri" w:cs="Times New Roman"/>
                <w:sz w:val="20"/>
                <w:szCs w:val="20"/>
              </w:rPr>
              <w:t>biseriada</w:t>
            </w:r>
            <w:proofErr w:type="spellEnd"/>
            <w:r w:rsidRPr="009259E8">
              <w:rPr>
                <w:rFonts w:eastAsia="Calibri" w:cs="Times New Roman"/>
                <w:sz w:val="20"/>
                <w:szCs w:val="20"/>
              </w:rPr>
              <w:t xml:space="preserve"> de </w:t>
            </w:r>
            <w:proofErr w:type="spellStart"/>
            <w:r w:rsidRPr="009259E8">
              <w:rPr>
                <w:rFonts w:eastAsia="Calibri" w:cs="Times New Roman"/>
                <w:sz w:val="20"/>
                <w:szCs w:val="20"/>
              </w:rPr>
              <w:t>rangos</w:t>
            </w:r>
            <w:proofErr w:type="spellEnd"/>
          </w:p>
        </w:tc>
        <w:tc>
          <w:tcPr>
            <w:tcW w:w="1417"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0.929</w:t>
            </w:r>
          </w:p>
        </w:tc>
      </w:tr>
      <w:tr w:rsidR="00690006" w:rsidRPr="009259E8" w:rsidTr="00A2281C">
        <w:trPr>
          <w:trHeight w:val="300"/>
          <w:jc w:val="center"/>
        </w:trPr>
        <w:tc>
          <w:tcPr>
            <w:tcW w:w="1417" w:type="dxa"/>
            <w:gridSpan w:val="2"/>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PRE RC DASS D</w:t>
            </w:r>
          </w:p>
        </w:tc>
        <w:tc>
          <w:tcPr>
            <w:tcW w:w="1386" w:type="dxa"/>
            <w:gridSpan w:val="2"/>
            <w:tcMar>
              <w:left w:w="108" w:type="dxa"/>
              <w:right w:w="108" w:type="dxa"/>
            </w:tcMar>
          </w:tcPr>
          <w:p w:rsidR="00BF78CA" w:rsidRPr="009259E8" w:rsidRDefault="00BF78CA" w:rsidP="00D13CB9">
            <w:pPr>
              <w:spacing w:after="0" w:line="360" w:lineRule="auto"/>
              <w:jc w:val="center"/>
              <w:rPr>
                <w:rFonts w:eastAsia="Calibri" w:cs="Times New Roman"/>
                <w:bCs/>
                <w:sz w:val="20"/>
                <w:szCs w:val="20"/>
              </w:rPr>
            </w:pPr>
            <w:r w:rsidRPr="009259E8">
              <w:rPr>
                <w:rFonts w:eastAsia="Calibri" w:cs="Times New Roman"/>
                <w:bCs/>
                <w:sz w:val="20"/>
                <w:szCs w:val="20"/>
              </w:rPr>
              <w:t>POST RC DASS D</w:t>
            </w:r>
          </w:p>
        </w:tc>
        <w:tc>
          <w:tcPr>
            <w:tcW w:w="1276"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195</w:t>
            </w:r>
          </w:p>
        </w:tc>
        <w:tc>
          <w:tcPr>
            <w:tcW w:w="1418"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&lt;.001</w:t>
            </w:r>
          </w:p>
        </w:tc>
        <w:tc>
          <w:tcPr>
            <w:tcW w:w="1662" w:type="dxa"/>
          </w:tcPr>
          <w:p w:rsidR="00BF78CA" w:rsidRPr="009259E8" w:rsidRDefault="00BF78CA" w:rsidP="00D13CB9">
            <w:pPr>
              <w:spacing w:after="0" w:line="360" w:lineRule="auto"/>
              <w:ind w:left="720"/>
              <w:jc w:val="center"/>
              <w:rPr>
                <w:rFonts w:eastAsia="Calibri" w:cs="Times New Roman"/>
                <w:sz w:val="20"/>
                <w:szCs w:val="20"/>
              </w:rPr>
            </w:pPr>
            <w:proofErr w:type="spellStart"/>
            <w:r w:rsidRPr="009259E8">
              <w:rPr>
                <w:rFonts w:eastAsia="Calibri" w:cs="Times New Roman"/>
                <w:sz w:val="20"/>
                <w:szCs w:val="20"/>
              </w:rPr>
              <w:t>Correlación</w:t>
            </w:r>
            <w:proofErr w:type="spellEnd"/>
            <w:r w:rsidRPr="009259E8">
              <w:rPr>
                <w:rFonts w:eastAsia="Calibri" w:cs="Times New Roman"/>
                <w:sz w:val="20"/>
                <w:szCs w:val="20"/>
              </w:rPr>
              <w:t xml:space="preserve"> </w:t>
            </w:r>
            <w:proofErr w:type="spellStart"/>
            <w:r w:rsidRPr="009259E8">
              <w:rPr>
                <w:rFonts w:eastAsia="Calibri" w:cs="Times New Roman"/>
                <w:sz w:val="20"/>
                <w:szCs w:val="20"/>
              </w:rPr>
              <w:t>biseriada</w:t>
            </w:r>
            <w:proofErr w:type="spellEnd"/>
            <w:r w:rsidRPr="009259E8">
              <w:rPr>
                <w:rFonts w:eastAsia="Calibri" w:cs="Times New Roman"/>
                <w:sz w:val="20"/>
                <w:szCs w:val="20"/>
              </w:rPr>
              <w:t xml:space="preserve"> de </w:t>
            </w:r>
            <w:proofErr w:type="spellStart"/>
            <w:r w:rsidRPr="009259E8">
              <w:rPr>
                <w:rFonts w:eastAsia="Calibri" w:cs="Times New Roman"/>
                <w:sz w:val="20"/>
                <w:szCs w:val="20"/>
              </w:rPr>
              <w:t>rangos</w:t>
            </w:r>
            <w:proofErr w:type="spellEnd"/>
          </w:p>
        </w:tc>
        <w:tc>
          <w:tcPr>
            <w:tcW w:w="1417"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0.857</w:t>
            </w:r>
          </w:p>
        </w:tc>
      </w:tr>
      <w:tr w:rsidR="00690006" w:rsidRPr="009259E8" w:rsidTr="00A2281C">
        <w:trPr>
          <w:trHeight w:val="300"/>
          <w:jc w:val="center"/>
        </w:trPr>
        <w:tc>
          <w:tcPr>
            <w:tcW w:w="1417" w:type="dxa"/>
            <w:gridSpan w:val="2"/>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PRE DC DASS E</w:t>
            </w:r>
          </w:p>
        </w:tc>
        <w:tc>
          <w:tcPr>
            <w:tcW w:w="1386" w:type="dxa"/>
            <w:gridSpan w:val="2"/>
            <w:tcMar>
              <w:left w:w="108" w:type="dxa"/>
              <w:right w:w="108" w:type="dxa"/>
            </w:tcMar>
          </w:tcPr>
          <w:p w:rsidR="00BF78CA" w:rsidRPr="009259E8" w:rsidRDefault="00BF78CA" w:rsidP="00D13CB9">
            <w:pPr>
              <w:spacing w:after="0" w:line="360" w:lineRule="auto"/>
              <w:jc w:val="center"/>
              <w:rPr>
                <w:rFonts w:cs="Times New Roman"/>
                <w:sz w:val="20"/>
                <w:szCs w:val="20"/>
              </w:rPr>
            </w:pPr>
            <w:r w:rsidRPr="009259E8">
              <w:rPr>
                <w:rFonts w:eastAsia="Calibri" w:cs="Times New Roman"/>
                <w:bCs/>
                <w:sz w:val="20"/>
                <w:szCs w:val="20"/>
              </w:rPr>
              <w:t>POST DC DASS E</w:t>
            </w:r>
          </w:p>
        </w:tc>
        <w:tc>
          <w:tcPr>
            <w:tcW w:w="1276"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188</w:t>
            </w:r>
          </w:p>
        </w:tc>
        <w:tc>
          <w:tcPr>
            <w:tcW w:w="1418"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0.002</w:t>
            </w:r>
          </w:p>
        </w:tc>
        <w:tc>
          <w:tcPr>
            <w:tcW w:w="1662" w:type="dxa"/>
          </w:tcPr>
          <w:p w:rsidR="00BF78CA" w:rsidRPr="009259E8" w:rsidRDefault="00BF78CA" w:rsidP="00D13CB9">
            <w:pPr>
              <w:spacing w:after="0" w:line="360" w:lineRule="auto"/>
              <w:ind w:left="720"/>
              <w:jc w:val="center"/>
              <w:rPr>
                <w:rFonts w:eastAsia="Calibri" w:cs="Times New Roman"/>
                <w:sz w:val="20"/>
                <w:szCs w:val="20"/>
              </w:rPr>
            </w:pPr>
            <w:proofErr w:type="spellStart"/>
            <w:r w:rsidRPr="009259E8">
              <w:rPr>
                <w:rFonts w:eastAsia="Calibri" w:cs="Times New Roman"/>
                <w:sz w:val="20"/>
                <w:szCs w:val="20"/>
              </w:rPr>
              <w:t>Correlación</w:t>
            </w:r>
            <w:proofErr w:type="spellEnd"/>
            <w:r w:rsidRPr="009259E8">
              <w:rPr>
                <w:rFonts w:eastAsia="Calibri" w:cs="Times New Roman"/>
                <w:sz w:val="20"/>
                <w:szCs w:val="20"/>
              </w:rPr>
              <w:t xml:space="preserve"> </w:t>
            </w:r>
            <w:proofErr w:type="spellStart"/>
            <w:r w:rsidRPr="009259E8">
              <w:rPr>
                <w:rFonts w:eastAsia="Calibri" w:cs="Times New Roman"/>
                <w:sz w:val="20"/>
                <w:szCs w:val="20"/>
              </w:rPr>
              <w:t>biseriada</w:t>
            </w:r>
            <w:proofErr w:type="spellEnd"/>
            <w:r w:rsidRPr="009259E8">
              <w:rPr>
                <w:rFonts w:eastAsia="Calibri" w:cs="Times New Roman"/>
                <w:sz w:val="20"/>
                <w:szCs w:val="20"/>
              </w:rPr>
              <w:t xml:space="preserve"> de </w:t>
            </w:r>
            <w:proofErr w:type="spellStart"/>
            <w:r w:rsidRPr="009259E8">
              <w:rPr>
                <w:rFonts w:eastAsia="Calibri" w:cs="Times New Roman"/>
                <w:sz w:val="20"/>
                <w:szCs w:val="20"/>
              </w:rPr>
              <w:t>rangos</w:t>
            </w:r>
            <w:proofErr w:type="spellEnd"/>
          </w:p>
        </w:tc>
        <w:tc>
          <w:tcPr>
            <w:tcW w:w="1417" w:type="dxa"/>
            <w:tcMar>
              <w:left w:w="108" w:type="dxa"/>
              <w:right w:w="108" w:type="dxa"/>
            </w:tcMar>
          </w:tcPr>
          <w:p w:rsidR="00BF78CA" w:rsidRPr="009259E8" w:rsidRDefault="00BF78CA" w:rsidP="00D13CB9">
            <w:pPr>
              <w:spacing w:after="0" w:line="360" w:lineRule="auto"/>
              <w:ind w:left="720"/>
              <w:jc w:val="center"/>
              <w:rPr>
                <w:rFonts w:cs="Times New Roman"/>
                <w:sz w:val="20"/>
                <w:szCs w:val="20"/>
              </w:rPr>
            </w:pPr>
            <w:r w:rsidRPr="009259E8">
              <w:rPr>
                <w:rFonts w:eastAsia="Calibri" w:cs="Times New Roman"/>
                <w:sz w:val="20"/>
                <w:szCs w:val="20"/>
              </w:rPr>
              <w:t>0.790</w:t>
            </w:r>
          </w:p>
        </w:tc>
      </w:tr>
    </w:tbl>
    <w:p w:rsidR="00B6289F" w:rsidRPr="00B6289F" w:rsidRDefault="00BF78CA" w:rsidP="00D13CB9">
      <w:pPr>
        <w:spacing w:before="240" w:after="240" w:line="360" w:lineRule="auto"/>
        <w:rPr>
          <w:rFonts w:cs="Times New Roman"/>
          <w:szCs w:val="24"/>
          <w:lang w:val="es-CO"/>
        </w:rPr>
      </w:pPr>
      <w:r w:rsidRPr="00FA0D5F">
        <w:rPr>
          <w:rFonts w:cs="Times New Roman"/>
          <w:i/>
          <w:szCs w:val="24"/>
          <w:lang w:val="es-CO"/>
        </w:rPr>
        <w:t>Nota:</w:t>
      </w:r>
      <w:r w:rsidRPr="00FA0D5F">
        <w:rPr>
          <w:rFonts w:cs="Times New Roman"/>
          <w:szCs w:val="24"/>
          <w:lang w:val="es-CO"/>
        </w:rPr>
        <w:t xml:space="preserve"> Esta tabla muestra una visión general del tamaño del efecto en W – Wilcoxon.  Se realiza análisis estadístico en Jamovi 2.6.17.</w:t>
      </w:r>
    </w:p>
    <w:p w:rsidR="00B6289F" w:rsidRDefault="00B6289F"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BDI (Depresión): presentó un efecto para el D</w:t>
      </w:r>
      <w:r w:rsidRPr="00236383">
        <w:rPr>
          <w:rFonts w:cs="Times New Roman"/>
          <w:szCs w:val="24"/>
          <w:shd w:val="clear" w:color="auto" w:fill="FFFFFF"/>
          <w:lang w:val="es-CO"/>
        </w:rPr>
        <w:t xml:space="preserve">C de 0.957 (correlación rango-biserial), indicando un tamaño de efecto muy grande. Esto es consistente con los resultados de </w:t>
      </w:r>
      <w:proofErr w:type="spellStart"/>
      <w:r w:rsidRPr="00236383">
        <w:rPr>
          <w:rFonts w:cs="Times New Roman"/>
          <w:szCs w:val="24"/>
          <w:shd w:val="clear" w:color="auto" w:fill="FFFFFF"/>
          <w:lang w:val="es-CO"/>
        </w:rPr>
        <w:t>Cuijpers</w:t>
      </w:r>
      <w:proofErr w:type="spellEnd"/>
      <w:r w:rsidRPr="00236383">
        <w:rPr>
          <w:rFonts w:cs="Times New Roman"/>
          <w:szCs w:val="24"/>
          <w:shd w:val="clear" w:color="auto" w:fill="FFFFFF"/>
          <w:lang w:val="es-CO"/>
        </w:rPr>
        <w:t xml:space="preserve"> et al. (2020), quienes indicaron que los tamaños del efecto fueron todos superiores a 0.9 para la depresión en intervenciones</w:t>
      </w:r>
      <w:r>
        <w:rPr>
          <w:rFonts w:cs="Times New Roman"/>
          <w:szCs w:val="24"/>
          <w:shd w:val="clear" w:color="auto" w:fill="FFFFFF"/>
          <w:lang w:val="es-CO"/>
        </w:rPr>
        <w:t xml:space="preserve"> de terapia de </w:t>
      </w:r>
      <w:proofErr w:type="spellStart"/>
      <w:r w:rsidRPr="00236383">
        <w:rPr>
          <w:rFonts w:cs="Times New Roman"/>
          <w:szCs w:val="24"/>
          <w:shd w:val="clear" w:color="auto" w:fill="FFFFFF"/>
          <w:lang w:val="es-CO"/>
        </w:rPr>
        <w:t>mindfulness</w:t>
      </w:r>
      <w:proofErr w:type="spellEnd"/>
      <w:r w:rsidRPr="00236383">
        <w:rPr>
          <w:rFonts w:cs="Times New Roman"/>
          <w:szCs w:val="24"/>
          <w:shd w:val="clear" w:color="auto" w:fill="FFFFFF"/>
          <w:lang w:val="es-CO"/>
        </w:rPr>
        <w:t>/aceptación y compromiso (ACT), lo que es coherente con la efectividad de la defusión cognitiva en el tratamiento de la depresión.</w:t>
      </w:r>
    </w:p>
    <w:p w:rsidR="00B6289F" w:rsidRDefault="00B6289F"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BAI (Ansiedad) para el grupo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el tamaño del efecto fue 0.876, indicando un efecto grande. Estos resultados están de acuerdo con el trabajo de </w:t>
      </w:r>
      <w:proofErr w:type="spellStart"/>
      <w:r w:rsidRPr="00236383">
        <w:rPr>
          <w:rFonts w:cs="Times New Roman"/>
          <w:szCs w:val="24"/>
          <w:shd w:val="clear" w:color="auto" w:fill="FFFFFF"/>
          <w:lang w:val="es-CO"/>
        </w:rPr>
        <w:t>Hofmann</w:t>
      </w:r>
      <w:proofErr w:type="spellEnd"/>
      <w:r w:rsidRPr="00236383">
        <w:rPr>
          <w:rFonts w:cs="Times New Roman"/>
          <w:szCs w:val="24"/>
          <w:shd w:val="clear" w:color="auto" w:fill="FFFFFF"/>
          <w:lang w:val="es-CO"/>
        </w:rPr>
        <w:t xml:space="preserve"> et al. Esto indica que el interés científico en esta técnica no ha disminuido desde el estudio de </w:t>
      </w:r>
      <w:proofErr w:type="spellStart"/>
      <w:r w:rsidRPr="00236383">
        <w:rPr>
          <w:rFonts w:cs="Times New Roman"/>
          <w:szCs w:val="24"/>
          <w:shd w:val="clear" w:color="auto" w:fill="FFFFFF"/>
          <w:lang w:val="es-CO"/>
        </w:rPr>
        <w:lastRenderedPageBreak/>
        <w:t>Parkerson</w:t>
      </w:r>
      <w:proofErr w:type="spellEnd"/>
      <w:r w:rsidRPr="00236383">
        <w:rPr>
          <w:rFonts w:cs="Times New Roman"/>
          <w:szCs w:val="24"/>
          <w:shd w:val="clear" w:color="auto" w:fill="FFFFFF"/>
          <w:lang w:val="es-CO"/>
        </w:rPr>
        <w:t xml:space="preserve"> et al. (2014) y sugiere que esta técnica puede tener importantes implicaciones prácticas para el tratamiento de la ansiedad (g de </w:t>
      </w:r>
      <w:proofErr w:type="spellStart"/>
      <w:r w:rsidRPr="00236383">
        <w:rPr>
          <w:rFonts w:cs="Times New Roman"/>
          <w:szCs w:val="24"/>
          <w:shd w:val="clear" w:color="auto" w:fill="FFFFFF"/>
          <w:lang w:val="es-CO"/>
        </w:rPr>
        <w:t>Hedges</w:t>
      </w:r>
      <w:proofErr w:type="spellEnd"/>
      <w:r w:rsidRPr="00236383">
        <w:rPr>
          <w:rFonts w:cs="Times New Roman"/>
          <w:szCs w:val="24"/>
          <w:shd w:val="clear" w:color="auto" w:fill="FFFFFF"/>
          <w:lang w:val="es-CO"/>
        </w:rPr>
        <w:t xml:space="preserve"> = 1.15). U</w:t>
      </w:r>
      <w:r>
        <w:rPr>
          <w:rFonts w:cs="Times New Roman"/>
          <w:szCs w:val="24"/>
          <w:shd w:val="clear" w:color="auto" w:fill="FFFFFF"/>
          <w:lang w:val="es-CO"/>
        </w:rPr>
        <w:t xml:space="preserve">na revisión de </w:t>
      </w:r>
      <w:proofErr w:type="spellStart"/>
      <w:r>
        <w:rPr>
          <w:rFonts w:cs="Times New Roman"/>
          <w:szCs w:val="24"/>
          <w:shd w:val="clear" w:color="auto" w:fill="FFFFFF"/>
          <w:lang w:val="es-CO"/>
        </w:rPr>
        <w:t>Markworth</w:t>
      </w:r>
      <w:proofErr w:type="spellEnd"/>
      <w:r>
        <w:rPr>
          <w:rFonts w:cs="Times New Roman"/>
          <w:szCs w:val="24"/>
          <w:shd w:val="clear" w:color="auto" w:fill="FFFFFF"/>
          <w:lang w:val="es-CO"/>
        </w:rPr>
        <w:t xml:space="preserve"> et al.</w:t>
      </w:r>
    </w:p>
    <w:p w:rsidR="00B6289F" w:rsidRDefault="00B6289F"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CFQ (Fusión Cognitiva): para el grupo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el tamaño del efecto fue de 0.819, lo que también indica un efecto grande.</w:t>
      </w:r>
    </w:p>
    <w:p w:rsidR="00B6289F" w:rsidRDefault="00B6289F"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DASS D (Depresión)</w:t>
      </w:r>
      <w:r w:rsidRPr="00236383">
        <w:rPr>
          <w:rFonts w:cs="Times New Roman"/>
          <w:szCs w:val="24"/>
          <w:shd w:val="clear" w:color="auto" w:fill="FFFFFF"/>
          <w:lang w:val="es-CO"/>
        </w:rPr>
        <w:t>: para el grup</w:t>
      </w:r>
      <w:r>
        <w:rPr>
          <w:rFonts w:cs="Times New Roman"/>
          <w:szCs w:val="24"/>
          <w:shd w:val="clear" w:color="auto" w:fill="FFFFFF"/>
          <w:lang w:val="es-CO"/>
        </w:rPr>
        <w:t xml:space="preserve">o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este tamaño del efecto fue 0.929, sugiriendo un efecto muy grande. Esto está en línea con Hayes et al. (2012), quienes encontraron un tamaño del efecto por encima de 0.9 en su estudio sobre tratamientos de </w:t>
      </w:r>
      <w:r w:rsidR="0007543B">
        <w:rPr>
          <w:rFonts w:cs="Times New Roman"/>
          <w:szCs w:val="24"/>
          <w:shd w:val="clear" w:color="auto" w:fill="FFFFFF"/>
          <w:lang w:val="es-CO"/>
        </w:rPr>
        <w:t xml:space="preserve">ACT </w:t>
      </w:r>
      <w:r w:rsidRPr="00236383">
        <w:rPr>
          <w:rFonts w:cs="Times New Roman"/>
          <w:szCs w:val="24"/>
          <w:shd w:val="clear" w:color="auto" w:fill="FFFFFF"/>
          <w:lang w:val="es-CO"/>
        </w:rPr>
        <w:t>para la depresión, lo que sugiere su efectividad para condiciones relacionadas con la depresión.</w:t>
      </w:r>
    </w:p>
    <w:p w:rsidR="00B6289F" w:rsidRDefault="00B6289F"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DASS D (Depresión): en el grupo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el tamaño del efecto fue 0.857, alcanzando un efecto grande. Este hallazgo es consistente con los de </w:t>
      </w:r>
      <w:proofErr w:type="spellStart"/>
      <w:r w:rsidRPr="00236383">
        <w:rPr>
          <w:rFonts w:cs="Times New Roman"/>
          <w:szCs w:val="24"/>
          <w:shd w:val="clear" w:color="auto" w:fill="FFFFFF"/>
          <w:lang w:val="es-CO"/>
        </w:rPr>
        <w:t>Cuijpers</w:t>
      </w:r>
      <w:proofErr w:type="spellEnd"/>
      <w:r w:rsidRPr="00236383">
        <w:rPr>
          <w:rFonts w:cs="Times New Roman"/>
          <w:szCs w:val="24"/>
          <w:shd w:val="clear" w:color="auto" w:fill="FFFFFF"/>
          <w:lang w:val="es-CO"/>
        </w:rPr>
        <w:t xml:space="preserve"> et al. (2020), quienes también reportaron tamaños del efecto que van de 0.8 a 1.5 en intervencion</w:t>
      </w:r>
      <w:r>
        <w:rPr>
          <w:rFonts w:cs="Times New Roman"/>
          <w:szCs w:val="24"/>
          <w:shd w:val="clear" w:color="auto" w:fill="FFFFFF"/>
          <w:lang w:val="es-CO"/>
        </w:rPr>
        <w:t>es de la TCC</w:t>
      </w:r>
      <w:r w:rsidRPr="00236383">
        <w:rPr>
          <w:rFonts w:cs="Times New Roman"/>
          <w:szCs w:val="24"/>
          <w:shd w:val="clear" w:color="auto" w:fill="FFFFFF"/>
          <w:lang w:val="es-CO"/>
        </w:rPr>
        <w:t xml:space="preserve"> en depresión, fortaleciendo así su aplicabilidad clínica.</w:t>
      </w:r>
    </w:p>
    <w:p w:rsidR="00B6289F" w:rsidRDefault="00B6289F"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DASS E (Estrés): para el grupo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fue 0.790 indicando también un efecto grande. Este hallazgo concuerda con la observación realizada por Ruiz et al. (2018), quienes encontraron tamaños de efecto de 0.75–0.90 en intervenciones </w:t>
      </w:r>
      <w:r>
        <w:rPr>
          <w:rFonts w:cs="Times New Roman"/>
          <w:szCs w:val="24"/>
          <w:shd w:val="clear" w:color="auto" w:fill="FFFFFF"/>
          <w:lang w:val="es-CO"/>
        </w:rPr>
        <w:t>de ACT en las que se encuentran elementos de</w:t>
      </w:r>
      <w:r w:rsidRPr="00236383">
        <w:rPr>
          <w:rFonts w:cs="Times New Roman"/>
          <w:szCs w:val="24"/>
          <w:shd w:val="clear" w:color="auto" w:fill="FFFFFF"/>
          <w:lang w:val="es-CO"/>
        </w:rPr>
        <w:t xml:space="preserve"> defusión cognitiva para el estrés, demostrando que tales intervenciones son efectivas para disminuir este síntoma.</w:t>
      </w:r>
    </w:p>
    <w:p w:rsidR="00B6289F" w:rsidRPr="00B6289F" w:rsidRDefault="00B6289F" w:rsidP="00D13CB9">
      <w:pPr>
        <w:spacing w:line="360" w:lineRule="auto"/>
        <w:ind w:firstLine="720"/>
        <w:jc w:val="left"/>
        <w:rPr>
          <w:rFonts w:cs="Times New Roman"/>
          <w:szCs w:val="24"/>
          <w:shd w:val="clear" w:color="auto" w:fill="FFFFFF"/>
          <w:lang w:val="es-CO"/>
        </w:rPr>
      </w:pPr>
    </w:p>
    <w:p w:rsidR="00536D65" w:rsidRPr="00FA0D5F" w:rsidRDefault="00536D65" w:rsidP="00D13CB9">
      <w:pPr>
        <w:spacing w:after="0" w:line="360" w:lineRule="auto"/>
        <w:rPr>
          <w:rFonts w:cs="Times New Roman"/>
          <w:b/>
          <w:szCs w:val="24"/>
          <w:lang w:val="es-CO"/>
        </w:rPr>
      </w:pPr>
      <w:r w:rsidRPr="00FA0D5F">
        <w:rPr>
          <w:rFonts w:cs="Times New Roman"/>
          <w:b/>
          <w:szCs w:val="24"/>
          <w:lang w:val="es-CO"/>
        </w:rPr>
        <w:t>Tabla 2</w:t>
      </w:r>
      <w:r w:rsidR="003E1868" w:rsidRPr="00FA0D5F">
        <w:rPr>
          <w:rFonts w:cs="Times New Roman"/>
          <w:b/>
          <w:szCs w:val="24"/>
          <w:lang w:val="es-CO"/>
        </w:rPr>
        <w:t xml:space="preserve"> </w:t>
      </w:r>
    </w:p>
    <w:p w:rsidR="00644728" w:rsidRPr="00FA0D5F" w:rsidRDefault="00644728" w:rsidP="00D13CB9">
      <w:pPr>
        <w:spacing w:after="0" w:line="360" w:lineRule="auto"/>
        <w:rPr>
          <w:rFonts w:cs="Times New Roman"/>
          <w:i/>
          <w:szCs w:val="24"/>
          <w:lang w:val="es-CO"/>
        </w:rPr>
      </w:pPr>
      <w:r w:rsidRPr="00FA0D5F">
        <w:rPr>
          <w:rFonts w:cs="Times New Roman"/>
          <w:i/>
          <w:szCs w:val="24"/>
          <w:lang w:val="es-CO"/>
        </w:rPr>
        <w:t xml:space="preserve">Prueba T student </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8"/>
        <w:gridCol w:w="1633"/>
        <w:gridCol w:w="993"/>
        <w:gridCol w:w="708"/>
        <w:gridCol w:w="709"/>
        <w:gridCol w:w="1276"/>
        <w:gridCol w:w="1201"/>
      </w:tblGrid>
      <w:tr w:rsidR="00690006" w:rsidRPr="009259E8" w:rsidTr="00B80CAB">
        <w:trPr>
          <w:trHeight w:val="495"/>
          <w:jc w:val="center"/>
        </w:trPr>
        <w:tc>
          <w:tcPr>
            <w:tcW w:w="1418" w:type="dxa"/>
            <w:tcMar>
              <w:left w:w="108" w:type="dxa"/>
              <w:right w:w="108" w:type="dxa"/>
            </w:tcMar>
            <w:vAlign w:val="center"/>
          </w:tcPr>
          <w:p w:rsidR="00644728" w:rsidRPr="009259E8" w:rsidRDefault="00644728" w:rsidP="00D13CB9">
            <w:pPr>
              <w:spacing w:after="0" w:line="360" w:lineRule="auto"/>
              <w:ind w:left="720"/>
              <w:rPr>
                <w:rFonts w:cs="Times New Roman"/>
                <w:sz w:val="20"/>
                <w:szCs w:val="20"/>
                <w:lang w:val="es-CO"/>
              </w:rPr>
            </w:pPr>
            <w:r w:rsidRPr="009259E8">
              <w:rPr>
                <w:rFonts w:eastAsia="Calibri" w:cs="Times New Roman"/>
                <w:bCs/>
                <w:sz w:val="20"/>
                <w:szCs w:val="20"/>
                <w:lang w:val="es-CO"/>
              </w:rPr>
              <w:t xml:space="preserve"> </w:t>
            </w:r>
          </w:p>
        </w:tc>
        <w:tc>
          <w:tcPr>
            <w:tcW w:w="1633" w:type="dxa"/>
            <w:tcMar>
              <w:left w:w="108" w:type="dxa"/>
              <w:right w:w="108" w:type="dxa"/>
            </w:tcMar>
            <w:vAlign w:val="center"/>
          </w:tcPr>
          <w:p w:rsidR="00644728" w:rsidRPr="009259E8" w:rsidRDefault="00644728" w:rsidP="00D13CB9">
            <w:pPr>
              <w:spacing w:after="0" w:line="360" w:lineRule="auto"/>
              <w:ind w:left="720"/>
              <w:rPr>
                <w:rFonts w:cs="Times New Roman"/>
                <w:sz w:val="20"/>
                <w:szCs w:val="20"/>
                <w:lang w:val="es-CO"/>
              </w:rPr>
            </w:pPr>
            <w:r w:rsidRPr="009259E8">
              <w:rPr>
                <w:rFonts w:eastAsia="Calibri" w:cs="Times New Roman"/>
                <w:bCs/>
                <w:sz w:val="20"/>
                <w:szCs w:val="20"/>
                <w:lang w:val="es-CO"/>
              </w:rPr>
              <w:t xml:space="preserve"> </w:t>
            </w:r>
          </w:p>
        </w:tc>
        <w:tc>
          <w:tcPr>
            <w:tcW w:w="993" w:type="dxa"/>
            <w:tcMar>
              <w:left w:w="108" w:type="dxa"/>
              <w:right w:w="108" w:type="dxa"/>
            </w:tcMar>
            <w:vAlign w:val="cente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estadístico</w:t>
            </w:r>
          </w:p>
        </w:tc>
        <w:tc>
          <w:tcPr>
            <w:tcW w:w="708" w:type="dxa"/>
            <w:tcMar>
              <w:left w:w="108" w:type="dxa"/>
              <w:right w:w="108" w:type="dxa"/>
            </w:tcMar>
            <w:vAlign w:val="center"/>
          </w:tcPr>
          <w:p w:rsidR="00644728" w:rsidRPr="009259E8" w:rsidRDefault="00644728" w:rsidP="00D13CB9">
            <w:pPr>
              <w:spacing w:after="0" w:line="360" w:lineRule="auto"/>
              <w:rPr>
                <w:rFonts w:eastAsia="Calibri" w:cs="Times New Roman"/>
                <w:bCs/>
                <w:sz w:val="20"/>
                <w:szCs w:val="20"/>
              </w:rPr>
            </w:pPr>
            <w:r w:rsidRPr="009259E8">
              <w:rPr>
                <w:rFonts w:eastAsia="Calibri" w:cs="Times New Roman"/>
                <w:bCs/>
                <w:sz w:val="20"/>
                <w:szCs w:val="20"/>
              </w:rPr>
              <w:t>gl</w:t>
            </w:r>
          </w:p>
        </w:tc>
        <w:tc>
          <w:tcPr>
            <w:tcW w:w="709" w:type="dxa"/>
            <w:tcMar>
              <w:left w:w="108" w:type="dxa"/>
              <w:right w:w="108" w:type="dxa"/>
            </w:tcMar>
            <w:vAlign w:val="cente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w:t>
            </w:r>
          </w:p>
        </w:tc>
        <w:tc>
          <w:tcPr>
            <w:tcW w:w="1276" w:type="dxa"/>
            <w:tcMar>
              <w:left w:w="108" w:type="dxa"/>
              <w:right w:w="108" w:type="dxa"/>
            </w:tcMar>
            <w:vAlign w:val="center"/>
          </w:tcPr>
          <w:p w:rsidR="00644728" w:rsidRPr="009259E8" w:rsidRDefault="00644728" w:rsidP="00D13CB9">
            <w:pPr>
              <w:spacing w:after="0" w:line="360" w:lineRule="auto"/>
              <w:ind w:left="720"/>
              <w:rPr>
                <w:rFonts w:cs="Times New Roman"/>
                <w:sz w:val="20"/>
                <w:szCs w:val="20"/>
              </w:rPr>
            </w:pPr>
            <w:r w:rsidRPr="009259E8">
              <w:rPr>
                <w:rFonts w:eastAsia="Calibri" w:cs="Times New Roman"/>
                <w:bCs/>
                <w:sz w:val="20"/>
                <w:szCs w:val="20"/>
              </w:rPr>
              <w:t xml:space="preserve"> </w:t>
            </w:r>
          </w:p>
        </w:tc>
        <w:tc>
          <w:tcPr>
            <w:tcW w:w="1201" w:type="dxa"/>
            <w:tcMar>
              <w:left w:w="108" w:type="dxa"/>
              <w:right w:w="108" w:type="dxa"/>
            </w:tcMar>
            <w:vAlign w:val="center"/>
          </w:tcPr>
          <w:p w:rsidR="00644728" w:rsidRPr="009259E8" w:rsidRDefault="00644728" w:rsidP="00D13CB9">
            <w:pPr>
              <w:spacing w:after="0" w:line="360" w:lineRule="auto"/>
              <w:jc w:val="center"/>
              <w:rPr>
                <w:rFonts w:cs="Times New Roman"/>
                <w:sz w:val="20"/>
                <w:szCs w:val="20"/>
              </w:rPr>
            </w:pPr>
            <w:r w:rsidRPr="009259E8">
              <w:rPr>
                <w:rFonts w:eastAsia="Calibri" w:cs="Times New Roman"/>
                <w:bCs/>
                <w:sz w:val="20"/>
                <w:szCs w:val="20"/>
              </w:rPr>
              <w:t>Tamaño del Efecto</w:t>
            </w:r>
          </w:p>
        </w:tc>
      </w:tr>
      <w:tr w:rsidR="00690006" w:rsidRPr="009259E8" w:rsidTr="00B80CAB">
        <w:trPr>
          <w:trHeight w:val="495"/>
          <w:jc w:val="center"/>
        </w:trPr>
        <w:tc>
          <w:tcPr>
            <w:tcW w:w="141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PRE RC DBI</w:t>
            </w:r>
          </w:p>
        </w:tc>
        <w:tc>
          <w:tcPr>
            <w:tcW w:w="163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POST RC BDI</w:t>
            </w:r>
          </w:p>
        </w:tc>
        <w:tc>
          <w:tcPr>
            <w:tcW w:w="99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7.15</w:t>
            </w:r>
          </w:p>
        </w:tc>
        <w:tc>
          <w:tcPr>
            <w:tcW w:w="70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19.0</w:t>
            </w:r>
          </w:p>
        </w:tc>
        <w:tc>
          <w:tcPr>
            <w:tcW w:w="709"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&lt;.001</w:t>
            </w:r>
          </w:p>
        </w:tc>
        <w:tc>
          <w:tcPr>
            <w:tcW w:w="1276"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La d de Cohen</w:t>
            </w:r>
          </w:p>
        </w:tc>
        <w:tc>
          <w:tcPr>
            <w:tcW w:w="1201"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1.60</w:t>
            </w:r>
          </w:p>
        </w:tc>
      </w:tr>
      <w:tr w:rsidR="00690006" w:rsidRPr="009259E8" w:rsidTr="00B80CAB">
        <w:trPr>
          <w:trHeight w:val="510"/>
          <w:jc w:val="center"/>
        </w:trPr>
        <w:tc>
          <w:tcPr>
            <w:tcW w:w="141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PRE DC BAI</w:t>
            </w:r>
          </w:p>
        </w:tc>
        <w:tc>
          <w:tcPr>
            <w:tcW w:w="163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POST DC BAI</w:t>
            </w:r>
          </w:p>
        </w:tc>
        <w:tc>
          <w:tcPr>
            <w:tcW w:w="99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5.99</w:t>
            </w:r>
          </w:p>
        </w:tc>
        <w:tc>
          <w:tcPr>
            <w:tcW w:w="70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19.0</w:t>
            </w:r>
          </w:p>
        </w:tc>
        <w:tc>
          <w:tcPr>
            <w:tcW w:w="709"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&lt;.001</w:t>
            </w:r>
          </w:p>
        </w:tc>
        <w:tc>
          <w:tcPr>
            <w:tcW w:w="1276"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La d de Cohen</w:t>
            </w:r>
          </w:p>
        </w:tc>
        <w:tc>
          <w:tcPr>
            <w:tcW w:w="1201"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1.34</w:t>
            </w:r>
          </w:p>
        </w:tc>
      </w:tr>
      <w:tr w:rsidR="00690006" w:rsidRPr="009259E8" w:rsidTr="00B80CAB">
        <w:trPr>
          <w:trHeight w:val="510"/>
          <w:jc w:val="center"/>
        </w:trPr>
        <w:tc>
          <w:tcPr>
            <w:tcW w:w="141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lastRenderedPageBreak/>
              <w:t>PRE DC CFQ</w:t>
            </w:r>
          </w:p>
        </w:tc>
        <w:tc>
          <w:tcPr>
            <w:tcW w:w="163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POST DC CFQ</w:t>
            </w:r>
          </w:p>
        </w:tc>
        <w:tc>
          <w:tcPr>
            <w:tcW w:w="99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6.66</w:t>
            </w:r>
          </w:p>
        </w:tc>
        <w:tc>
          <w:tcPr>
            <w:tcW w:w="70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19.0</w:t>
            </w:r>
          </w:p>
        </w:tc>
        <w:tc>
          <w:tcPr>
            <w:tcW w:w="709"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&lt;.001</w:t>
            </w:r>
          </w:p>
        </w:tc>
        <w:tc>
          <w:tcPr>
            <w:tcW w:w="1276"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La d de Cohen</w:t>
            </w:r>
          </w:p>
        </w:tc>
        <w:tc>
          <w:tcPr>
            <w:tcW w:w="1201"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1.49</w:t>
            </w:r>
          </w:p>
        </w:tc>
      </w:tr>
      <w:tr w:rsidR="00690006" w:rsidRPr="009259E8" w:rsidTr="00B80CAB">
        <w:trPr>
          <w:trHeight w:val="495"/>
          <w:jc w:val="center"/>
        </w:trPr>
        <w:tc>
          <w:tcPr>
            <w:tcW w:w="141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PRE DC DASS A</w:t>
            </w:r>
          </w:p>
        </w:tc>
        <w:tc>
          <w:tcPr>
            <w:tcW w:w="163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POST DC DASS A</w:t>
            </w:r>
          </w:p>
        </w:tc>
        <w:tc>
          <w:tcPr>
            <w:tcW w:w="99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3.25</w:t>
            </w:r>
          </w:p>
        </w:tc>
        <w:tc>
          <w:tcPr>
            <w:tcW w:w="70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19.0</w:t>
            </w:r>
          </w:p>
        </w:tc>
        <w:tc>
          <w:tcPr>
            <w:tcW w:w="709"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0.002</w:t>
            </w:r>
          </w:p>
        </w:tc>
        <w:tc>
          <w:tcPr>
            <w:tcW w:w="1276"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La d de Cohen</w:t>
            </w:r>
          </w:p>
        </w:tc>
        <w:tc>
          <w:tcPr>
            <w:tcW w:w="1201"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0.726</w:t>
            </w:r>
          </w:p>
        </w:tc>
      </w:tr>
      <w:tr w:rsidR="00690006" w:rsidRPr="009259E8" w:rsidTr="00B80CAB">
        <w:trPr>
          <w:trHeight w:val="495"/>
          <w:jc w:val="center"/>
        </w:trPr>
        <w:tc>
          <w:tcPr>
            <w:tcW w:w="141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PRE RC DASS A</w:t>
            </w:r>
          </w:p>
        </w:tc>
        <w:tc>
          <w:tcPr>
            <w:tcW w:w="163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POST RC DASS A</w:t>
            </w:r>
          </w:p>
        </w:tc>
        <w:tc>
          <w:tcPr>
            <w:tcW w:w="99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4.42</w:t>
            </w:r>
          </w:p>
        </w:tc>
        <w:tc>
          <w:tcPr>
            <w:tcW w:w="70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19.0</w:t>
            </w:r>
          </w:p>
        </w:tc>
        <w:tc>
          <w:tcPr>
            <w:tcW w:w="709"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&lt;.001</w:t>
            </w:r>
          </w:p>
        </w:tc>
        <w:tc>
          <w:tcPr>
            <w:tcW w:w="1276"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La d de Cohen</w:t>
            </w:r>
          </w:p>
        </w:tc>
        <w:tc>
          <w:tcPr>
            <w:tcW w:w="1201"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0.987</w:t>
            </w:r>
          </w:p>
        </w:tc>
      </w:tr>
      <w:tr w:rsidR="00690006" w:rsidRPr="009259E8" w:rsidTr="00B80CAB">
        <w:trPr>
          <w:trHeight w:val="510"/>
          <w:jc w:val="center"/>
        </w:trPr>
        <w:tc>
          <w:tcPr>
            <w:tcW w:w="141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PRE RC DASS E</w:t>
            </w:r>
          </w:p>
        </w:tc>
        <w:tc>
          <w:tcPr>
            <w:tcW w:w="163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bCs/>
                <w:sz w:val="20"/>
                <w:szCs w:val="20"/>
              </w:rPr>
              <w:t>POST RC DASS E</w:t>
            </w:r>
          </w:p>
        </w:tc>
        <w:tc>
          <w:tcPr>
            <w:tcW w:w="993"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8.10</w:t>
            </w:r>
          </w:p>
        </w:tc>
        <w:tc>
          <w:tcPr>
            <w:tcW w:w="708"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19.0</w:t>
            </w:r>
          </w:p>
        </w:tc>
        <w:tc>
          <w:tcPr>
            <w:tcW w:w="709"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&lt;.001</w:t>
            </w:r>
          </w:p>
        </w:tc>
        <w:tc>
          <w:tcPr>
            <w:tcW w:w="1276"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La d de Cohen</w:t>
            </w:r>
          </w:p>
        </w:tc>
        <w:tc>
          <w:tcPr>
            <w:tcW w:w="1201" w:type="dxa"/>
            <w:tcMar>
              <w:left w:w="108" w:type="dxa"/>
              <w:right w:w="108" w:type="dxa"/>
            </w:tcMar>
          </w:tcPr>
          <w:p w:rsidR="00644728" w:rsidRPr="009259E8" w:rsidRDefault="00644728" w:rsidP="00D13CB9">
            <w:pPr>
              <w:spacing w:after="0" w:line="360" w:lineRule="auto"/>
              <w:rPr>
                <w:rFonts w:cs="Times New Roman"/>
                <w:sz w:val="20"/>
                <w:szCs w:val="20"/>
              </w:rPr>
            </w:pPr>
            <w:r w:rsidRPr="009259E8">
              <w:rPr>
                <w:rFonts w:eastAsia="Calibri" w:cs="Times New Roman"/>
                <w:sz w:val="20"/>
                <w:szCs w:val="20"/>
              </w:rPr>
              <w:t>1.81</w:t>
            </w:r>
          </w:p>
        </w:tc>
      </w:tr>
    </w:tbl>
    <w:p w:rsidR="00CD45F0" w:rsidRPr="00FA0D5F" w:rsidRDefault="00CD45F0" w:rsidP="00D13CB9">
      <w:pPr>
        <w:spacing w:before="240" w:after="240" w:line="360" w:lineRule="auto"/>
        <w:rPr>
          <w:rFonts w:cs="Times New Roman"/>
          <w:szCs w:val="24"/>
          <w:lang w:val="es-CO"/>
        </w:rPr>
      </w:pPr>
      <w:r w:rsidRPr="00FA0D5F">
        <w:rPr>
          <w:rFonts w:cs="Times New Roman"/>
          <w:i/>
          <w:szCs w:val="24"/>
          <w:lang w:val="es-CO"/>
        </w:rPr>
        <w:t>Nota:</w:t>
      </w:r>
      <w:r w:rsidRPr="00FA0D5F">
        <w:rPr>
          <w:rFonts w:cs="Times New Roman"/>
          <w:szCs w:val="24"/>
          <w:lang w:val="es-CO"/>
        </w:rPr>
        <w:t xml:space="preserve"> Esta tabla ofrece una visión general del tamaño del efecto en T – Student.  Se realiza anál</w:t>
      </w:r>
      <w:r w:rsidR="007964FF" w:rsidRPr="00FA0D5F">
        <w:rPr>
          <w:rFonts w:cs="Times New Roman"/>
          <w:szCs w:val="24"/>
          <w:lang w:val="es-CO"/>
        </w:rPr>
        <w:t>isis estadístico en Jamovi 2.6.</w:t>
      </w:r>
    </w:p>
    <w:p w:rsidR="007B1A3B" w:rsidRPr="00FA0D5F" w:rsidRDefault="007B1A3B" w:rsidP="00D13CB9">
      <w:pPr>
        <w:spacing w:before="240" w:after="240" w:line="360" w:lineRule="auto"/>
        <w:rPr>
          <w:rFonts w:cs="Times New Roman"/>
          <w:szCs w:val="24"/>
          <w:lang w:val="es-CO"/>
        </w:rPr>
      </w:pPr>
    </w:p>
    <w:p w:rsidR="009259E8" w:rsidRDefault="009259E8"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BDI (Depresión): para el grupo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un tamaño del efecto de 1.60 (d de Cohen) indicó un efecto muy grande. Este resultado está en línea con los de Cuijpers et al. (2020), quienes encontraron tamaños del efecto del tratamiento superiores a 1.5 para tratamientos cognitivo-conductuales para la depresión, ofreciendo evidencia a favor de la utilidad de la Reestructuración Cognitiva en términos</w:t>
      </w:r>
      <w:r>
        <w:rPr>
          <w:rFonts w:cs="Times New Roman"/>
          <w:szCs w:val="24"/>
          <w:shd w:val="clear" w:color="auto" w:fill="FFFFFF"/>
          <w:lang w:val="es-CO"/>
        </w:rPr>
        <w:t xml:space="preserve"> de atacar síntomas depresivos.</w:t>
      </w:r>
    </w:p>
    <w:p w:rsidR="009259E8" w:rsidRPr="00236383" w:rsidRDefault="009259E8"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BAI (Ansiedad): para el grupo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el tamaño del efecto resultó ser 1.34, lo que se traduce en un efecto grande. Esto está de acuerdo con el estudio de </w:t>
      </w:r>
      <w:proofErr w:type="spellStart"/>
      <w:r w:rsidRPr="00236383">
        <w:rPr>
          <w:rFonts w:cs="Times New Roman"/>
          <w:szCs w:val="24"/>
          <w:shd w:val="clear" w:color="auto" w:fill="FFFFFF"/>
          <w:lang w:val="es-CO"/>
        </w:rPr>
        <w:t>Hofmann</w:t>
      </w:r>
      <w:proofErr w:type="spellEnd"/>
      <w:r w:rsidRPr="00236383">
        <w:rPr>
          <w:rFonts w:cs="Times New Roman"/>
          <w:szCs w:val="24"/>
          <w:shd w:val="clear" w:color="auto" w:fill="FFFFFF"/>
          <w:lang w:val="es-CO"/>
        </w:rPr>
        <w:t xml:space="preserve"> et al. (2012), quienes describieron tamaños del efecto en el rango de 1.0–1.5 para intervenciones de defusión cognitiva para la ansiedad, apoyando su uso en el tratamiento de este trastorno.</w:t>
      </w:r>
    </w:p>
    <w:p w:rsidR="009259E8" w:rsidRPr="00236383" w:rsidRDefault="009259E8"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CFQ (Fusión cognitiva): para el grupo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el tamaño del efecto fue de 1.49 (efecto muy grande). Este hallazgo es similar al descrito por Hayes et a</w:t>
      </w:r>
      <w:r>
        <w:rPr>
          <w:rFonts w:cs="Times New Roman"/>
          <w:szCs w:val="24"/>
          <w:shd w:val="clear" w:color="auto" w:fill="FFFFFF"/>
          <w:lang w:val="es-CO"/>
        </w:rPr>
        <w:t xml:space="preserve">l. (2012) y </w:t>
      </w:r>
      <w:proofErr w:type="spellStart"/>
      <w:r>
        <w:rPr>
          <w:rFonts w:cs="Times New Roman"/>
          <w:szCs w:val="24"/>
          <w:shd w:val="clear" w:color="auto" w:fill="FFFFFF"/>
          <w:lang w:val="es-CO"/>
        </w:rPr>
        <w:t>Assaz</w:t>
      </w:r>
      <w:proofErr w:type="spellEnd"/>
      <w:r>
        <w:rPr>
          <w:rFonts w:cs="Times New Roman"/>
          <w:szCs w:val="24"/>
          <w:shd w:val="clear" w:color="auto" w:fill="FFFFFF"/>
          <w:lang w:val="es-CO"/>
        </w:rPr>
        <w:t xml:space="preserve"> et al. (2018) en intervenciones de ACT</w:t>
      </w:r>
      <w:r w:rsidR="003C7577">
        <w:rPr>
          <w:rFonts w:cs="Times New Roman"/>
          <w:szCs w:val="24"/>
          <w:shd w:val="clear" w:color="auto" w:fill="FFFFFF"/>
          <w:lang w:val="es-CO"/>
        </w:rPr>
        <w:t xml:space="preserve"> en los que se contempla ejercicios de defusión cognitiva</w:t>
      </w:r>
      <w:r>
        <w:rPr>
          <w:rFonts w:cs="Times New Roman"/>
          <w:szCs w:val="24"/>
          <w:shd w:val="clear" w:color="auto" w:fill="FFFFFF"/>
          <w:lang w:val="es-CO"/>
        </w:rPr>
        <w:t xml:space="preserve">. </w:t>
      </w:r>
    </w:p>
    <w:p w:rsidR="009259E8" w:rsidRPr="00236383" w:rsidRDefault="009259E8"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DASS A, Ansiedad: para el grupo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este tamaño del efecto fue 0.726 con moderado efecto. Esto está en línea con los hallazgos de Ruiz y colegas (2018). En la subescala DASS</w:t>
      </w:r>
      <w:r>
        <w:rPr>
          <w:rFonts w:cs="Times New Roman"/>
          <w:szCs w:val="24"/>
          <w:shd w:val="clear" w:color="auto" w:fill="FFFFFF"/>
          <w:lang w:val="es-CO"/>
        </w:rPr>
        <w:t xml:space="preserve"> A (Ansiedad) dentro del grupo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el tamaño del efecto alcanzó 0.987, lo que se traduce en un efecto grande. Esto es consistente con los datos reportados por </w:t>
      </w:r>
      <w:r w:rsidRPr="00236383">
        <w:rPr>
          <w:rFonts w:cs="Times New Roman"/>
          <w:szCs w:val="24"/>
          <w:shd w:val="clear" w:color="auto" w:fill="FFFFFF"/>
          <w:lang w:val="es-CO"/>
        </w:rPr>
        <w:lastRenderedPageBreak/>
        <w:t xml:space="preserve">Norton &amp; Price (2007), quienes encontraron un tamaño de efecto entre 0.7 a 1.0 para tratamiento de exposición y reestructuración cognitiva de la ansiedad, sugiriendo que este tratamiento es efectivo para síntomas ansiosos, y contra otras investigaciones </w:t>
      </w:r>
      <w:r>
        <w:rPr>
          <w:rFonts w:cs="Times New Roman"/>
          <w:szCs w:val="24"/>
          <w:shd w:val="clear" w:color="auto" w:fill="FFFFFF"/>
          <w:lang w:val="es-CO"/>
        </w:rPr>
        <w:t xml:space="preserve">(p.ej., </w:t>
      </w:r>
      <w:proofErr w:type="spellStart"/>
      <w:r>
        <w:rPr>
          <w:rFonts w:cs="Times New Roman"/>
          <w:szCs w:val="24"/>
          <w:shd w:val="clear" w:color="auto" w:fill="FFFFFF"/>
          <w:lang w:val="es-CO"/>
        </w:rPr>
        <w:t>Hofmann</w:t>
      </w:r>
      <w:proofErr w:type="spellEnd"/>
      <w:r>
        <w:rPr>
          <w:rFonts w:cs="Times New Roman"/>
          <w:szCs w:val="24"/>
          <w:shd w:val="clear" w:color="auto" w:fill="FFFFFF"/>
          <w:lang w:val="es-CO"/>
        </w:rPr>
        <w:t xml:space="preserve"> et al., 2012). </w:t>
      </w:r>
    </w:p>
    <w:p w:rsidR="009259E8" w:rsidRPr="00236383" w:rsidRDefault="009259E8"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DASS E, Estrés: para el grupo de RC </w:t>
      </w:r>
      <w:r w:rsidRPr="00236383">
        <w:rPr>
          <w:rFonts w:cs="Times New Roman"/>
          <w:szCs w:val="24"/>
          <w:shd w:val="clear" w:color="auto" w:fill="FFFFFF"/>
          <w:lang w:val="es-CO"/>
        </w:rPr>
        <w:t>fue 1.81 (un efecto extremadamente grande).</w:t>
      </w:r>
    </w:p>
    <w:p w:rsidR="00D147F0" w:rsidRPr="00FA0D5F" w:rsidRDefault="00E251EB" w:rsidP="00D13CB9">
      <w:pPr>
        <w:pStyle w:val="Ttulo1"/>
        <w:spacing w:line="360" w:lineRule="auto"/>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Discusión</w:t>
      </w:r>
      <w:r w:rsidR="00490058" w:rsidRPr="00FA0D5F">
        <w:rPr>
          <w:rFonts w:ascii="Times New Roman" w:hAnsi="Times New Roman" w:cs="Times New Roman"/>
          <w:color w:val="auto"/>
          <w:sz w:val="24"/>
          <w:szCs w:val="24"/>
          <w:lang w:val="es-CO"/>
        </w:rPr>
        <w:t>.</w:t>
      </w:r>
    </w:p>
    <w:p w:rsidR="00165B3B" w:rsidRPr="00236383" w:rsidRDefault="00165B3B" w:rsidP="00D13CB9">
      <w:pPr>
        <w:spacing w:line="360" w:lineRule="auto"/>
        <w:ind w:firstLine="720"/>
        <w:jc w:val="left"/>
        <w:rPr>
          <w:rFonts w:cs="Times New Roman"/>
          <w:szCs w:val="24"/>
          <w:shd w:val="clear" w:color="auto" w:fill="FFFFFF"/>
          <w:lang w:val="es-CO"/>
        </w:rPr>
      </w:pPr>
      <w:r w:rsidRPr="00236383">
        <w:rPr>
          <w:rFonts w:cs="Times New Roman"/>
          <w:szCs w:val="24"/>
          <w:shd w:val="clear" w:color="auto" w:fill="FFFFFF"/>
          <w:lang w:val="es-CO"/>
        </w:rPr>
        <w:t>El presente estudio tenía como objetivo comparar la efectividad de do</w:t>
      </w:r>
      <w:r>
        <w:rPr>
          <w:rFonts w:cs="Times New Roman"/>
          <w:szCs w:val="24"/>
          <w:shd w:val="clear" w:color="auto" w:fill="FFFFFF"/>
          <w:lang w:val="es-CO"/>
        </w:rPr>
        <w:t xml:space="preserve">s intervenciones psicológicas, </w:t>
      </w:r>
      <w:r w:rsidRPr="00236383">
        <w:rPr>
          <w:rFonts w:cs="Times New Roman"/>
          <w:szCs w:val="24"/>
          <w:shd w:val="clear" w:color="auto" w:fill="FFFFFF"/>
          <w:lang w:val="es-CO"/>
        </w:rPr>
        <w:t>D</w:t>
      </w:r>
      <w:r>
        <w:rPr>
          <w:rFonts w:cs="Times New Roman"/>
          <w:szCs w:val="24"/>
          <w:shd w:val="clear" w:color="auto" w:fill="FFFFFF"/>
          <w:lang w:val="es-CO"/>
        </w:rPr>
        <w:t xml:space="preserve">C y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en la reducción de la sintomatología ansiosa y depresiva entre pacientes internos </w:t>
      </w:r>
      <w:r>
        <w:rPr>
          <w:rFonts w:cs="Times New Roman"/>
          <w:szCs w:val="24"/>
          <w:shd w:val="clear" w:color="auto" w:fill="FFFFFF"/>
          <w:lang w:val="es-CO"/>
        </w:rPr>
        <w:t xml:space="preserve">en una unidad de salud mental. </w:t>
      </w:r>
    </w:p>
    <w:p w:rsidR="00165B3B" w:rsidRPr="00236383" w:rsidRDefault="00165B3B" w:rsidP="00D13CB9">
      <w:pPr>
        <w:spacing w:line="360" w:lineRule="auto"/>
        <w:ind w:firstLine="720"/>
        <w:jc w:val="left"/>
        <w:rPr>
          <w:rFonts w:cs="Times New Roman"/>
          <w:szCs w:val="24"/>
          <w:shd w:val="clear" w:color="auto" w:fill="FFFFFF"/>
          <w:lang w:val="es-CO"/>
        </w:rPr>
      </w:pPr>
      <w:r w:rsidRPr="00236383">
        <w:rPr>
          <w:rFonts w:cs="Times New Roman"/>
          <w:szCs w:val="24"/>
          <w:shd w:val="clear" w:color="auto" w:fill="FFFFFF"/>
          <w:lang w:val="es-CO"/>
        </w:rPr>
        <w:t>Los hallazgos demostraron la equivalencia de ambos grupos de tratamiento y control respecto a la reducción de síntomas de ansiedad y depresión, con ambos grupos prod</w:t>
      </w:r>
      <w:r>
        <w:rPr>
          <w:rFonts w:cs="Times New Roman"/>
          <w:szCs w:val="24"/>
          <w:shd w:val="clear" w:color="auto" w:fill="FFFFFF"/>
          <w:lang w:val="es-CO"/>
        </w:rPr>
        <w:t>uciendo tamaños del efecto que,</w:t>
      </w:r>
      <w:r w:rsidRPr="00236383">
        <w:rPr>
          <w:rFonts w:cs="Times New Roman"/>
          <w:szCs w:val="24"/>
          <w:shd w:val="clear" w:color="auto" w:fill="FFFFFF"/>
          <w:lang w:val="es-CO"/>
        </w:rPr>
        <w:t xml:space="preserve"> son ambos estadística y clínicamente significativos. Pero los mecanismos de acción y fuerza de los efectos variaron para ambas intervenciones, sugiriendo que cada intervención podría estar mejor adaptada a trastornos específicos.</w:t>
      </w:r>
      <w:bookmarkStart w:id="0" w:name="_GoBack"/>
      <w:bookmarkEnd w:id="0"/>
    </w:p>
    <w:p w:rsidR="00165B3B" w:rsidRPr="00236383" w:rsidRDefault="00165B3B"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La DC</w:t>
      </w:r>
      <w:r w:rsidRPr="00236383">
        <w:rPr>
          <w:rFonts w:cs="Times New Roman"/>
          <w:szCs w:val="24"/>
          <w:shd w:val="clear" w:color="auto" w:fill="FFFFFF"/>
          <w:lang w:val="es-CO"/>
        </w:rPr>
        <w:t>, inspirada en la Terapia de Aceptación y Compromiso (ACT), fue especialmente exitosa en disminuir la depresión y el estrés. Esta es</w:t>
      </w:r>
      <w:r>
        <w:rPr>
          <w:rFonts w:cs="Times New Roman"/>
          <w:szCs w:val="24"/>
          <w:shd w:val="clear" w:color="auto" w:fill="FFFFFF"/>
          <w:lang w:val="es-CO"/>
        </w:rPr>
        <w:t>trategia alienta a los p</w:t>
      </w:r>
      <w:r w:rsidRPr="00236383">
        <w:rPr>
          <w:rFonts w:cs="Times New Roman"/>
          <w:szCs w:val="24"/>
          <w:shd w:val="clear" w:color="auto" w:fill="FFFFFF"/>
          <w:lang w:val="es-CO"/>
        </w:rPr>
        <w:t>a</w:t>
      </w:r>
      <w:r>
        <w:rPr>
          <w:rFonts w:cs="Times New Roman"/>
          <w:szCs w:val="24"/>
          <w:shd w:val="clear" w:color="auto" w:fill="FFFFFF"/>
          <w:lang w:val="es-CO"/>
        </w:rPr>
        <w:t>cientes a</w:t>
      </w:r>
      <w:r w:rsidRPr="00236383">
        <w:rPr>
          <w:rFonts w:cs="Times New Roman"/>
          <w:szCs w:val="24"/>
          <w:shd w:val="clear" w:color="auto" w:fill="FFFFFF"/>
          <w:lang w:val="es-CO"/>
        </w:rPr>
        <w:t xml:space="preserve"> desapegarse de sus pensamientos negativos, viéndolos simplemente como ocurrencias mentales ocasionales, en lugar de verdades definitivas (Hayes, </w:t>
      </w:r>
      <w:proofErr w:type="spellStart"/>
      <w:r w:rsidRPr="00236383">
        <w:rPr>
          <w:rFonts w:cs="Times New Roman"/>
          <w:szCs w:val="24"/>
          <w:shd w:val="clear" w:color="auto" w:fill="FFFFFF"/>
          <w:lang w:val="es-CO"/>
        </w:rPr>
        <w:t>Strosahl</w:t>
      </w:r>
      <w:proofErr w:type="spellEnd"/>
      <w:r w:rsidRPr="00236383">
        <w:rPr>
          <w:rFonts w:cs="Times New Roman"/>
          <w:szCs w:val="24"/>
          <w:shd w:val="clear" w:color="auto" w:fill="FFFFFF"/>
          <w:lang w:val="es-CO"/>
        </w:rPr>
        <w:t>, &amp; Wilson, 2012). Tal distanciamiento proporciona a los pacientes una nueva forma de ver, más que solo reaccionar a sus pensamientos, lo que puede ser particularmente beneficioso cuando los pacientes tienen depresión, para la cual la rumiación y la fusión con pensamientos negativos son prominentes (Watkins</w:t>
      </w:r>
      <w:r>
        <w:rPr>
          <w:rFonts w:cs="Times New Roman"/>
          <w:szCs w:val="24"/>
          <w:shd w:val="clear" w:color="auto" w:fill="FFFFFF"/>
          <w:lang w:val="es-CO"/>
        </w:rPr>
        <w:t xml:space="preserve">, 2008; </w:t>
      </w:r>
      <w:proofErr w:type="spellStart"/>
      <w:r>
        <w:rPr>
          <w:rFonts w:cs="Times New Roman"/>
          <w:szCs w:val="24"/>
          <w:shd w:val="clear" w:color="auto" w:fill="FFFFFF"/>
          <w:lang w:val="es-CO"/>
        </w:rPr>
        <w:t>Nolen-Hoeksema</w:t>
      </w:r>
      <w:proofErr w:type="spellEnd"/>
      <w:r>
        <w:rPr>
          <w:rFonts w:cs="Times New Roman"/>
          <w:szCs w:val="24"/>
          <w:shd w:val="clear" w:color="auto" w:fill="FFFFFF"/>
          <w:lang w:val="es-CO"/>
        </w:rPr>
        <w:t xml:space="preserve">, 2000). </w:t>
      </w:r>
    </w:p>
    <w:p w:rsidR="00165B3B" w:rsidRPr="00236383" w:rsidRDefault="00165B3B" w:rsidP="00D13CB9">
      <w:pPr>
        <w:spacing w:line="360" w:lineRule="auto"/>
        <w:ind w:firstLine="720"/>
        <w:jc w:val="left"/>
        <w:rPr>
          <w:rFonts w:cs="Times New Roman"/>
          <w:szCs w:val="24"/>
          <w:shd w:val="clear" w:color="auto" w:fill="FFFFFF"/>
          <w:lang w:val="es-CO"/>
        </w:rPr>
      </w:pPr>
      <w:r w:rsidRPr="00236383">
        <w:rPr>
          <w:rFonts w:cs="Times New Roman"/>
          <w:szCs w:val="24"/>
          <w:shd w:val="clear" w:color="auto" w:fill="FFFFFF"/>
          <w:lang w:val="es-CO"/>
        </w:rPr>
        <w:t>Esta especulación también está respaldada por los hallazgos del presente estudio: Las puntuacio</w:t>
      </w:r>
      <w:r>
        <w:rPr>
          <w:rFonts w:cs="Times New Roman"/>
          <w:szCs w:val="24"/>
          <w:shd w:val="clear" w:color="auto" w:fill="FFFFFF"/>
          <w:lang w:val="es-CO"/>
        </w:rPr>
        <w:t xml:space="preserve">nes para depresión y estrés en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resultaron ser significativamente más bajas, con tamaños del efecto grandes (d = 0.957 para depr</w:t>
      </w:r>
      <w:r>
        <w:rPr>
          <w:rFonts w:cs="Times New Roman"/>
          <w:szCs w:val="24"/>
          <w:shd w:val="clear" w:color="auto" w:fill="FFFFFF"/>
          <w:lang w:val="es-CO"/>
        </w:rPr>
        <w:t>esión y d = 0.790 para estrés).</w:t>
      </w:r>
    </w:p>
    <w:p w:rsidR="00165B3B" w:rsidRPr="00236383" w:rsidRDefault="00165B3B" w:rsidP="00D13CB9">
      <w:pPr>
        <w:spacing w:line="360" w:lineRule="auto"/>
        <w:ind w:firstLine="720"/>
        <w:jc w:val="left"/>
        <w:rPr>
          <w:rFonts w:cs="Times New Roman"/>
          <w:szCs w:val="24"/>
          <w:shd w:val="clear" w:color="auto" w:fill="FFFFFF"/>
          <w:lang w:val="es-CO"/>
        </w:rPr>
      </w:pPr>
      <w:r w:rsidRPr="00236383">
        <w:rPr>
          <w:rFonts w:cs="Times New Roman"/>
          <w:szCs w:val="24"/>
          <w:shd w:val="clear" w:color="auto" w:fill="FFFFFF"/>
          <w:lang w:val="es-CO"/>
        </w:rPr>
        <w:lastRenderedPageBreak/>
        <w:t>En línea con estos resultados, otr</w:t>
      </w:r>
      <w:r>
        <w:rPr>
          <w:rFonts w:cs="Times New Roman"/>
          <w:szCs w:val="24"/>
          <w:shd w:val="clear" w:color="auto" w:fill="FFFFFF"/>
          <w:lang w:val="es-CO"/>
        </w:rPr>
        <w:t xml:space="preserve">o estudio ha demostrado que el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reduce la rumiación y los síntomas de depresión. Por ejemplo, un informe de </w:t>
      </w:r>
      <w:proofErr w:type="spellStart"/>
      <w:r w:rsidRPr="00236383">
        <w:rPr>
          <w:rFonts w:cs="Times New Roman"/>
          <w:szCs w:val="24"/>
          <w:shd w:val="clear" w:color="auto" w:fill="FFFFFF"/>
          <w:lang w:val="es-CO"/>
        </w:rPr>
        <w:t>Masuda</w:t>
      </w:r>
      <w:proofErr w:type="spellEnd"/>
      <w:r>
        <w:rPr>
          <w:rFonts w:cs="Times New Roman"/>
          <w:szCs w:val="24"/>
          <w:shd w:val="clear" w:color="auto" w:fill="FFFFFF"/>
          <w:lang w:val="es-CO"/>
        </w:rPr>
        <w:t xml:space="preserve"> et al. (2004) concluyó que el </w:t>
      </w:r>
      <w:r w:rsidRPr="00236383">
        <w:rPr>
          <w:rFonts w:cs="Times New Roman"/>
          <w:szCs w:val="24"/>
          <w:shd w:val="clear" w:color="auto" w:fill="FFFFFF"/>
          <w:lang w:val="es-CO"/>
        </w:rPr>
        <w:t>D</w:t>
      </w:r>
      <w:r>
        <w:rPr>
          <w:rFonts w:cs="Times New Roman"/>
          <w:szCs w:val="24"/>
          <w:shd w:val="clear" w:color="auto" w:fill="FFFFFF"/>
          <w:lang w:val="es-CO"/>
        </w:rPr>
        <w:t>C</w:t>
      </w:r>
      <w:r w:rsidRPr="00236383">
        <w:rPr>
          <w:rFonts w:cs="Times New Roman"/>
          <w:szCs w:val="24"/>
          <w:shd w:val="clear" w:color="auto" w:fill="FFFFFF"/>
          <w:lang w:val="es-CO"/>
        </w:rPr>
        <w:t xml:space="preserve"> reduce la magnitud de las cogniciones negativas y el malestar emocional concomitante, indicando su lugar en el tratamiento de la depresión. Además, un meta-análisis de Ruiz et al. (2018) demostró que los tratamientos basados en ACT tienen un impacto moderado a grande en la implementación de síntomas de depresió</w:t>
      </w:r>
      <w:r>
        <w:rPr>
          <w:rFonts w:cs="Times New Roman"/>
          <w:szCs w:val="24"/>
          <w:shd w:val="clear" w:color="auto" w:fill="FFFFFF"/>
          <w:lang w:val="es-CO"/>
        </w:rPr>
        <w:t>n y ansiedad (d = 0.68 a 0.89).</w:t>
      </w:r>
    </w:p>
    <w:p w:rsidR="00165B3B" w:rsidRPr="00236383" w:rsidRDefault="00165B3B" w:rsidP="00D13CB9">
      <w:pPr>
        <w:spacing w:line="360" w:lineRule="auto"/>
        <w:ind w:firstLine="720"/>
        <w:jc w:val="left"/>
        <w:rPr>
          <w:rFonts w:cs="Times New Roman"/>
          <w:szCs w:val="24"/>
          <w:shd w:val="clear" w:color="auto" w:fill="FFFFFF"/>
          <w:lang w:val="es-CO"/>
        </w:rPr>
      </w:pPr>
      <w:r>
        <w:rPr>
          <w:rFonts w:cs="Times New Roman"/>
          <w:szCs w:val="24"/>
          <w:shd w:val="clear" w:color="auto" w:fill="FFFFFF"/>
          <w:lang w:val="es-CO"/>
        </w:rPr>
        <w:t xml:space="preserve">Sin embargo, RC </w:t>
      </w:r>
      <w:r w:rsidRPr="00236383">
        <w:rPr>
          <w:rFonts w:cs="Times New Roman"/>
          <w:szCs w:val="24"/>
          <w:shd w:val="clear" w:color="auto" w:fill="FFFFFF"/>
          <w:lang w:val="es-CO"/>
        </w:rPr>
        <w:t>como tal, un componente central de la terapia cognitivo-conductual (TCC), resultó ser particularmente efectiva en disminuir los síntomas de ansiedad. Esta estrategia se basa en la búsqueda de pensamientos irracionales o disfuncionales que generan ansiedad, lo que permitiría a los pacientes cambiar su percepción de una amenaza y disminuir su reactividad emocional (Beck, 1993</w:t>
      </w:r>
      <w:r>
        <w:rPr>
          <w:rFonts w:cs="Times New Roman"/>
          <w:szCs w:val="24"/>
          <w:shd w:val="clear" w:color="auto" w:fill="FFFFFF"/>
          <w:lang w:val="es-CO"/>
        </w:rPr>
        <w:t xml:space="preserve">; </w:t>
      </w:r>
      <w:proofErr w:type="spellStart"/>
      <w:r>
        <w:rPr>
          <w:rFonts w:cs="Times New Roman"/>
          <w:szCs w:val="24"/>
          <w:shd w:val="clear" w:color="auto" w:fill="FFFFFF"/>
          <w:lang w:val="es-CO"/>
        </w:rPr>
        <w:t>Bados</w:t>
      </w:r>
      <w:proofErr w:type="spellEnd"/>
      <w:r>
        <w:rPr>
          <w:rFonts w:cs="Times New Roman"/>
          <w:szCs w:val="24"/>
          <w:shd w:val="clear" w:color="auto" w:fill="FFFFFF"/>
          <w:lang w:val="es-CO"/>
        </w:rPr>
        <w:t xml:space="preserve"> &amp; García, 2010). </w:t>
      </w:r>
    </w:p>
    <w:p w:rsidR="00165B3B" w:rsidRPr="00236383" w:rsidRDefault="00165B3B" w:rsidP="00D13CB9">
      <w:pPr>
        <w:spacing w:line="360" w:lineRule="auto"/>
        <w:ind w:firstLine="720"/>
        <w:jc w:val="left"/>
        <w:rPr>
          <w:rFonts w:cs="Times New Roman"/>
          <w:szCs w:val="24"/>
          <w:shd w:val="clear" w:color="auto" w:fill="FFFFFF"/>
          <w:lang w:val="es-CO"/>
        </w:rPr>
      </w:pPr>
      <w:r w:rsidRPr="00236383">
        <w:rPr>
          <w:rFonts w:cs="Times New Roman"/>
          <w:szCs w:val="24"/>
          <w:shd w:val="clear" w:color="auto" w:fill="FFFFFF"/>
          <w:lang w:val="es-CO"/>
        </w:rPr>
        <w:t>En el presente estudio, las puntuaciones de ansiedad disminu</w:t>
      </w:r>
      <w:r>
        <w:rPr>
          <w:rFonts w:cs="Times New Roman"/>
          <w:szCs w:val="24"/>
          <w:shd w:val="clear" w:color="auto" w:fill="FFFFFF"/>
          <w:lang w:val="es-CO"/>
        </w:rPr>
        <w:t xml:space="preserve">yeron notablemente en el grupo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y el tamaño del efecto fue grande (d = 0.876). Estos resultados también están en línea con investigaciones previas que han encontrado q</w:t>
      </w:r>
      <w:r>
        <w:rPr>
          <w:rFonts w:cs="Times New Roman"/>
          <w:szCs w:val="24"/>
          <w:shd w:val="clear" w:color="auto" w:fill="FFFFFF"/>
          <w:lang w:val="es-CO"/>
        </w:rPr>
        <w:t>ue RC y la TCC</w:t>
      </w:r>
      <w:r w:rsidRPr="00236383">
        <w:rPr>
          <w:rFonts w:cs="Times New Roman"/>
          <w:szCs w:val="24"/>
          <w:shd w:val="clear" w:color="auto" w:fill="FFFFFF"/>
          <w:lang w:val="es-CO"/>
        </w:rPr>
        <w:t xml:space="preserve"> es un tratamiento efectivo para trastornos de ansiedad (</w:t>
      </w:r>
      <w:proofErr w:type="spellStart"/>
      <w:r w:rsidRPr="00236383">
        <w:rPr>
          <w:rFonts w:cs="Times New Roman"/>
          <w:szCs w:val="24"/>
          <w:shd w:val="clear" w:color="auto" w:fill="FFFFFF"/>
          <w:lang w:val="es-CO"/>
        </w:rPr>
        <w:t>Hofmann</w:t>
      </w:r>
      <w:proofErr w:type="spellEnd"/>
      <w:r w:rsidRPr="00236383">
        <w:rPr>
          <w:rFonts w:cs="Times New Roman"/>
          <w:szCs w:val="24"/>
          <w:shd w:val="clear" w:color="auto" w:fill="FFFFFF"/>
          <w:lang w:val="es-CO"/>
        </w:rPr>
        <w:t xml:space="preserve"> et al</w:t>
      </w:r>
      <w:r>
        <w:rPr>
          <w:rFonts w:cs="Times New Roman"/>
          <w:szCs w:val="24"/>
          <w:shd w:val="clear" w:color="auto" w:fill="FFFFFF"/>
          <w:lang w:val="es-CO"/>
        </w:rPr>
        <w:t>., 2012; Norton &amp; Price, 2007).</w:t>
      </w:r>
    </w:p>
    <w:p w:rsidR="00165B3B" w:rsidRPr="00165B3B" w:rsidRDefault="00165B3B" w:rsidP="00D13CB9">
      <w:pPr>
        <w:spacing w:line="360" w:lineRule="auto"/>
        <w:ind w:firstLine="720"/>
        <w:jc w:val="left"/>
        <w:rPr>
          <w:rFonts w:cs="Times New Roman"/>
          <w:szCs w:val="24"/>
          <w:shd w:val="clear" w:color="auto" w:fill="FFFFFF"/>
          <w:lang w:val="es-CO"/>
        </w:rPr>
      </w:pPr>
      <w:r w:rsidRPr="00236383">
        <w:rPr>
          <w:rFonts w:cs="Times New Roman"/>
          <w:szCs w:val="24"/>
          <w:shd w:val="clear" w:color="auto" w:fill="FFFFFF"/>
          <w:lang w:val="es-CO"/>
        </w:rPr>
        <w:t xml:space="preserve">Además, </w:t>
      </w:r>
      <w:proofErr w:type="spellStart"/>
      <w:r w:rsidRPr="00236383">
        <w:rPr>
          <w:rFonts w:cs="Times New Roman"/>
          <w:szCs w:val="24"/>
          <w:shd w:val="clear" w:color="auto" w:fill="FFFFFF"/>
          <w:lang w:val="es-CO"/>
        </w:rPr>
        <w:t>Cuijpers</w:t>
      </w:r>
      <w:proofErr w:type="spellEnd"/>
      <w:r w:rsidRPr="00236383">
        <w:rPr>
          <w:rFonts w:cs="Times New Roman"/>
          <w:szCs w:val="24"/>
          <w:shd w:val="clear" w:color="auto" w:fill="FFFFFF"/>
          <w:lang w:val="es-CO"/>
        </w:rPr>
        <w:t xml:space="preserve"> e</w:t>
      </w:r>
      <w:r>
        <w:rPr>
          <w:rFonts w:cs="Times New Roman"/>
          <w:szCs w:val="24"/>
          <w:shd w:val="clear" w:color="auto" w:fill="FFFFFF"/>
          <w:lang w:val="es-CO"/>
        </w:rPr>
        <w:t xml:space="preserve">t al. (2020) observaron que el </w:t>
      </w:r>
      <w:r w:rsidRPr="00236383">
        <w:rPr>
          <w:rFonts w:cs="Times New Roman"/>
          <w:szCs w:val="24"/>
          <w:shd w:val="clear" w:color="auto" w:fill="FFFFFF"/>
          <w:lang w:val="es-CO"/>
        </w:rPr>
        <w:t>R</w:t>
      </w:r>
      <w:r>
        <w:rPr>
          <w:rFonts w:cs="Times New Roman"/>
          <w:szCs w:val="24"/>
          <w:shd w:val="clear" w:color="auto" w:fill="FFFFFF"/>
          <w:lang w:val="es-CO"/>
        </w:rPr>
        <w:t>C como parte de la TCC</w:t>
      </w:r>
      <w:r w:rsidRPr="00236383">
        <w:rPr>
          <w:rFonts w:cs="Times New Roman"/>
          <w:szCs w:val="24"/>
          <w:shd w:val="clear" w:color="auto" w:fill="FFFFFF"/>
          <w:lang w:val="es-CO"/>
        </w:rPr>
        <w:t xml:space="preserve"> es equivalente a los antidepresivos para tratar la depresión mayor y posiblemente de una duración más prolongada debido a la restauración de las funciones cognitivas de los pacientes. También, </w:t>
      </w:r>
      <w:proofErr w:type="spellStart"/>
      <w:r w:rsidRPr="00236383">
        <w:rPr>
          <w:rFonts w:cs="Times New Roman"/>
          <w:szCs w:val="24"/>
          <w:shd w:val="clear" w:color="auto" w:fill="FFFFFF"/>
          <w:lang w:val="es-CO"/>
        </w:rPr>
        <w:t>Hofman</w:t>
      </w:r>
      <w:r>
        <w:rPr>
          <w:rFonts w:cs="Times New Roman"/>
          <w:szCs w:val="24"/>
          <w:shd w:val="clear" w:color="auto" w:fill="FFFFFF"/>
          <w:lang w:val="es-CO"/>
        </w:rPr>
        <w:t>n</w:t>
      </w:r>
      <w:proofErr w:type="spellEnd"/>
      <w:r>
        <w:rPr>
          <w:rFonts w:cs="Times New Roman"/>
          <w:szCs w:val="24"/>
          <w:shd w:val="clear" w:color="auto" w:fill="FFFFFF"/>
          <w:lang w:val="es-CO"/>
        </w:rPr>
        <w:t xml:space="preserve"> et al. (2012) observaron que la </w:t>
      </w:r>
      <w:r w:rsidRPr="00236383">
        <w:rPr>
          <w:rFonts w:cs="Times New Roman"/>
          <w:szCs w:val="24"/>
          <w:shd w:val="clear" w:color="auto" w:fill="FFFFFF"/>
          <w:lang w:val="es-CO"/>
        </w:rPr>
        <w:t>R</w:t>
      </w:r>
      <w:r>
        <w:rPr>
          <w:rFonts w:cs="Times New Roman"/>
          <w:szCs w:val="24"/>
          <w:shd w:val="clear" w:color="auto" w:fill="FFFFFF"/>
          <w:lang w:val="es-CO"/>
        </w:rPr>
        <w:t>C</w:t>
      </w:r>
      <w:r w:rsidRPr="00236383">
        <w:rPr>
          <w:rFonts w:cs="Times New Roman"/>
          <w:szCs w:val="24"/>
          <w:shd w:val="clear" w:color="auto" w:fill="FFFFFF"/>
          <w:lang w:val="es-CO"/>
        </w:rPr>
        <w:t xml:space="preserve"> como parte de la TCC es efectivo para reducir la ansiedad, así como otros trastornos </w:t>
      </w:r>
      <w:proofErr w:type="spellStart"/>
      <w:r w:rsidRPr="00236383">
        <w:rPr>
          <w:rFonts w:cs="Times New Roman"/>
          <w:szCs w:val="24"/>
          <w:shd w:val="clear" w:color="auto" w:fill="FFFFFF"/>
          <w:lang w:val="es-CO"/>
        </w:rPr>
        <w:t>comórbidos</w:t>
      </w:r>
      <w:proofErr w:type="spellEnd"/>
      <w:r w:rsidRPr="00236383">
        <w:rPr>
          <w:rFonts w:cs="Times New Roman"/>
          <w:szCs w:val="24"/>
          <w:shd w:val="clear" w:color="auto" w:fill="FFFFFF"/>
          <w:lang w:val="es-CO"/>
        </w:rPr>
        <w:t>, con tamaños del efecto que varían de 0.7 a 1.2 en varios estudios.</w:t>
      </w:r>
    </w:p>
    <w:p w:rsidR="00236383" w:rsidRPr="00236383" w:rsidRDefault="006569D5" w:rsidP="00D13CB9">
      <w:pPr>
        <w:spacing w:line="360" w:lineRule="auto"/>
        <w:ind w:firstLine="720"/>
        <w:jc w:val="left"/>
        <w:rPr>
          <w:rFonts w:cs="Times New Roman"/>
          <w:szCs w:val="24"/>
          <w:shd w:val="clear" w:color="auto" w:fill="FFFFFF"/>
          <w:lang w:val="es-CO"/>
        </w:rPr>
      </w:pPr>
      <w:r w:rsidRPr="00FA0D5F">
        <w:rPr>
          <w:rFonts w:cs="Times New Roman"/>
          <w:szCs w:val="24"/>
          <w:lang w:val="es-CO"/>
        </w:rPr>
        <w:t xml:space="preserve">Finalmente, </w:t>
      </w:r>
      <w:r w:rsidR="00556977" w:rsidRPr="00FA0D5F">
        <w:rPr>
          <w:rFonts w:cs="Times New Roman"/>
          <w:szCs w:val="24"/>
          <w:lang w:val="es-CO"/>
        </w:rPr>
        <w:t xml:space="preserve">nos llama la atención como </w:t>
      </w:r>
      <w:r w:rsidR="00556977" w:rsidRPr="00FA0D5F">
        <w:rPr>
          <w:rFonts w:eastAsia="Times New Roman" w:cs="Times New Roman"/>
          <w:szCs w:val="24"/>
          <w:lang w:val="es-CO"/>
        </w:rPr>
        <w:t>e</w:t>
      </w:r>
      <w:r w:rsidRPr="00FA0D5F">
        <w:rPr>
          <w:rFonts w:eastAsia="Times New Roman" w:cs="Times New Roman"/>
          <w:szCs w:val="24"/>
          <w:lang w:val="es-CO"/>
        </w:rPr>
        <w:t>n la </w:t>
      </w:r>
      <w:r w:rsidRPr="00FA0D5F">
        <w:rPr>
          <w:rFonts w:eastAsia="Times New Roman" w:cs="Times New Roman"/>
          <w:bCs/>
          <w:szCs w:val="24"/>
          <w:lang w:val="es-CO"/>
        </w:rPr>
        <w:t>escala CFQ (Fusión Cognitiva)</w:t>
      </w:r>
      <w:r w:rsidRPr="00FA0D5F">
        <w:rPr>
          <w:rFonts w:eastAsia="Times New Roman" w:cs="Times New Roman"/>
          <w:szCs w:val="24"/>
          <w:lang w:val="es-CO"/>
        </w:rPr>
        <w:t> para el grupo de </w:t>
      </w:r>
      <w:r w:rsidRPr="00FA0D5F">
        <w:rPr>
          <w:rFonts w:eastAsia="Times New Roman" w:cs="Times New Roman"/>
          <w:bCs/>
          <w:szCs w:val="24"/>
          <w:lang w:val="es-CO"/>
        </w:rPr>
        <w:t xml:space="preserve">RC </w:t>
      </w:r>
      <w:r w:rsidRPr="00FA0D5F">
        <w:rPr>
          <w:rFonts w:eastAsia="Times New Roman" w:cs="Times New Roman"/>
          <w:szCs w:val="24"/>
          <w:lang w:val="es-CO"/>
        </w:rPr>
        <w:t>se</w:t>
      </w:r>
      <w:r w:rsidR="00556977" w:rsidRPr="00FA0D5F">
        <w:rPr>
          <w:rFonts w:eastAsia="Times New Roman" w:cs="Times New Roman"/>
          <w:szCs w:val="24"/>
          <w:lang w:val="es-CO"/>
        </w:rPr>
        <w:t xml:space="preserve"> observó un tamaño del efecto grande (</w:t>
      </w:r>
      <w:r w:rsidRPr="00FA0D5F">
        <w:rPr>
          <w:rFonts w:eastAsia="Times New Roman" w:cs="Times New Roman"/>
          <w:bCs/>
          <w:szCs w:val="24"/>
          <w:lang w:val="es-CO"/>
        </w:rPr>
        <w:t>0.819</w:t>
      </w:r>
      <w:r w:rsidR="00556977" w:rsidRPr="00FA0D5F">
        <w:rPr>
          <w:rFonts w:eastAsia="Times New Roman" w:cs="Times New Roman"/>
          <w:bCs/>
          <w:szCs w:val="24"/>
          <w:lang w:val="es-CO"/>
        </w:rPr>
        <w:t>)</w:t>
      </w:r>
      <w:r w:rsidR="00556977" w:rsidRPr="00FA0D5F">
        <w:rPr>
          <w:rFonts w:eastAsia="Times New Roman" w:cs="Times New Roman"/>
          <w:szCs w:val="24"/>
          <w:lang w:val="es-CO"/>
        </w:rPr>
        <w:t xml:space="preserve"> y </w:t>
      </w:r>
      <w:r w:rsidRPr="00FA0D5F">
        <w:rPr>
          <w:rFonts w:eastAsia="Times New Roman" w:cs="Times New Roman"/>
          <w:szCs w:val="24"/>
          <w:lang w:val="es-CO"/>
        </w:rPr>
        <w:t>e</w:t>
      </w:r>
      <w:r w:rsidR="00556977" w:rsidRPr="00FA0D5F">
        <w:rPr>
          <w:rFonts w:eastAsia="Times New Roman" w:cs="Times New Roman"/>
          <w:szCs w:val="24"/>
          <w:lang w:val="es-CO"/>
        </w:rPr>
        <w:t>n</w:t>
      </w:r>
      <w:r w:rsidRPr="00FA0D5F">
        <w:rPr>
          <w:rFonts w:eastAsia="Times New Roman" w:cs="Times New Roman"/>
          <w:szCs w:val="24"/>
          <w:lang w:val="es-CO"/>
        </w:rPr>
        <w:t> </w:t>
      </w:r>
      <w:r w:rsidRPr="00FA0D5F">
        <w:rPr>
          <w:rFonts w:eastAsia="Times New Roman" w:cs="Times New Roman"/>
          <w:bCs/>
          <w:szCs w:val="24"/>
          <w:lang w:val="es-CO"/>
        </w:rPr>
        <w:t>DC</w:t>
      </w:r>
      <w:r w:rsidRPr="00FA0D5F">
        <w:rPr>
          <w:rFonts w:eastAsia="Times New Roman" w:cs="Times New Roman"/>
          <w:szCs w:val="24"/>
          <w:lang w:val="es-CO"/>
        </w:rPr>
        <w:t xml:space="preserve"> un tamaño del efecto </w:t>
      </w:r>
      <w:r w:rsidR="00556977" w:rsidRPr="00FA0D5F">
        <w:rPr>
          <w:rFonts w:eastAsia="Times New Roman" w:cs="Times New Roman"/>
          <w:szCs w:val="24"/>
          <w:lang w:val="es-CO"/>
        </w:rPr>
        <w:t>muy grande (</w:t>
      </w:r>
      <w:r w:rsidRPr="00FA0D5F">
        <w:rPr>
          <w:rFonts w:eastAsia="Times New Roman" w:cs="Times New Roman"/>
          <w:bCs/>
          <w:szCs w:val="24"/>
          <w:lang w:val="es-CO"/>
        </w:rPr>
        <w:t>1.49</w:t>
      </w:r>
      <w:r w:rsidR="00556977" w:rsidRPr="00FA0D5F">
        <w:rPr>
          <w:rFonts w:eastAsia="Times New Roman" w:cs="Times New Roman"/>
          <w:bCs/>
          <w:szCs w:val="24"/>
          <w:lang w:val="es-CO"/>
        </w:rPr>
        <w:t>)</w:t>
      </w:r>
      <w:r w:rsidR="002F723B" w:rsidRPr="00FA0D5F">
        <w:rPr>
          <w:rFonts w:eastAsia="Times New Roman" w:cs="Times New Roman"/>
          <w:bCs/>
          <w:szCs w:val="24"/>
          <w:lang w:val="es-CO"/>
        </w:rPr>
        <w:t>. Lo que sugiere que los mecanismos de acción están sujetos a la conducta</w:t>
      </w:r>
      <w:r w:rsidR="006C2F30" w:rsidRPr="00FA0D5F">
        <w:rPr>
          <w:rFonts w:eastAsia="Times New Roman" w:cs="Times New Roman"/>
          <w:bCs/>
          <w:szCs w:val="24"/>
          <w:lang w:val="es-CO"/>
        </w:rPr>
        <w:t xml:space="preserve"> verbal y su moldeamiento. Sin embargo, no se presentan estudios que presenten los cambios básicos que ocurren en el cambio cognitivo cuando se utilizan múltiples </w:t>
      </w:r>
      <w:r w:rsidR="006C2F30" w:rsidRPr="00FA0D5F">
        <w:rPr>
          <w:rFonts w:eastAsia="Times New Roman" w:cs="Times New Roman"/>
          <w:bCs/>
          <w:szCs w:val="24"/>
          <w:lang w:val="es-CO"/>
        </w:rPr>
        <w:lastRenderedPageBreak/>
        <w:t xml:space="preserve">procedimientos de RC y en el caso de DC </w:t>
      </w:r>
      <w:r w:rsidR="00E97E1E" w:rsidRPr="00FA0D5F">
        <w:rPr>
          <w:rFonts w:eastAsia="Times New Roman" w:cs="Times New Roman"/>
          <w:bCs/>
          <w:szCs w:val="24"/>
          <w:lang w:val="es-CO"/>
        </w:rPr>
        <w:t>su</w:t>
      </w:r>
      <w:r w:rsidR="006C2F30" w:rsidRPr="00FA0D5F">
        <w:rPr>
          <w:rFonts w:eastAsia="Times New Roman" w:cs="Times New Roman"/>
          <w:bCs/>
          <w:szCs w:val="24"/>
          <w:lang w:val="es-CO"/>
        </w:rPr>
        <w:t xml:space="preserve"> </w:t>
      </w:r>
      <w:r w:rsidR="006C2F30" w:rsidRPr="00FA0D5F">
        <w:rPr>
          <w:rFonts w:cs="Times New Roman"/>
          <w:szCs w:val="24"/>
          <w:lang w:val="es-CO"/>
        </w:rPr>
        <w:t>función surgiría como un resultado de comportarse verbalmente entre marcos bidireccionales y de transformación</w:t>
      </w:r>
      <w:r w:rsidR="00E97E1E" w:rsidRPr="00FA0D5F">
        <w:rPr>
          <w:rFonts w:cs="Times New Roman"/>
          <w:szCs w:val="24"/>
          <w:lang w:val="es-CO"/>
        </w:rPr>
        <w:t xml:space="preserve"> de fun</w:t>
      </w:r>
      <w:r w:rsidR="002C7458" w:rsidRPr="00FA0D5F">
        <w:rPr>
          <w:rFonts w:cs="Times New Roman"/>
          <w:szCs w:val="24"/>
          <w:lang w:val="es-CO"/>
        </w:rPr>
        <w:t xml:space="preserve">ciones </w:t>
      </w:r>
      <w:r w:rsidR="00E97E1E" w:rsidRPr="00FA0D5F">
        <w:rPr>
          <w:rFonts w:cs="Times New Roman"/>
          <w:szCs w:val="24"/>
          <w:lang w:val="es-CO"/>
        </w:rPr>
        <w:t>(</w:t>
      </w:r>
      <w:r w:rsidR="002C7458" w:rsidRPr="00FA0D5F">
        <w:rPr>
          <w:rFonts w:cs="Times New Roman"/>
          <w:szCs w:val="24"/>
          <w:shd w:val="clear" w:color="auto" w:fill="FFFFFF"/>
          <w:lang w:val="es-CO"/>
        </w:rPr>
        <w:t xml:space="preserve">González &amp; </w:t>
      </w:r>
      <w:proofErr w:type="spellStart"/>
      <w:r w:rsidR="002C7458" w:rsidRPr="00FA0D5F">
        <w:rPr>
          <w:rFonts w:cs="Times New Roman"/>
          <w:szCs w:val="24"/>
          <w:shd w:val="clear" w:color="auto" w:fill="FFFFFF"/>
          <w:lang w:val="es-CO"/>
        </w:rPr>
        <w:t>Froxán</w:t>
      </w:r>
      <w:proofErr w:type="spellEnd"/>
      <w:r w:rsidR="002C7458" w:rsidRPr="00FA0D5F">
        <w:rPr>
          <w:rFonts w:cs="Times New Roman"/>
          <w:szCs w:val="24"/>
          <w:shd w:val="clear" w:color="auto" w:fill="FFFFFF"/>
          <w:lang w:val="es-CO"/>
        </w:rPr>
        <w:t>, 2021</w:t>
      </w:r>
      <w:r w:rsidR="00D15556" w:rsidRPr="00FA0D5F">
        <w:rPr>
          <w:rFonts w:cs="Times New Roman"/>
          <w:szCs w:val="24"/>
          <w:shd w:val="clear" w:color="auto" w:fill="FFFFFF"/>
          <w:lang w:val="es-CO"/>
        </w:rPr>
        <w:t>).</w:t>
      </w:r>
    </w:p>
    <w:p w:rsidR="00490058" w:rsidRDefault="00490058" w:rsidP="00D13CB9">
      <w:pPr>
        <w:pStyle w:val="NormalWeb"/>
        <w:spacing w:line="360" w:lineRule="auto"/>
        <w:rPr>
          <w:b/>
          <w:lang w:val="es-CO"/>
        </w:rPr>
      </w:pPr>
      <w:r w:rsidRPr="00FA0D5F">
        <w:rPr>
          <w:b/>
          <w:lang w:val="es-CO"/>
        </w:rPr>
        <w:t>Limitaciones del estudio.</w:t>
      </w:r>
    </w:p>
    <w:p w:rsidR="00165B3B" w:rsidRPr="00165B3B" w:rsidRDefault="00165B3B" w:rsidP="00D13CB9">
      <w:pPr>
        <w:pStyle w:val="NormalWeb"/>
        <w:spacing w:line="360" w:lineRule="auto"/>
        <w:ind w:firstLine="720"/>
        <w:rPr>
          <w:lang w:val="es-CO"/>
        </w:rPr>
      </w:pPr>
      <w:r w:rsidRPr="00165B3B">
        <w:rPr>
          <w:lang w:val="es-CO"/>
        </w:rPr>
        <w:t>Aunque los resultados son alentadores, algunas limitaciones del presente estudio merecen ser señaladas.</w:t>
      </w:r>
    </w:p>
    <w:p w:rsidR="00165B3B" w:rsidRPr="00165B3B" w:rsidRDefault="00165B3B" w:rsidP="00D13CB9">
      <w:pPr>
        <w:pStyle w:val="NormalWeb"/>
        <w:spacing w:line="360" w:lineRule="auto"/>
        <w:ind w:firstLine="720"/>
        <w:rPr>
          <w:lang w:val="es-CO"/>
        </w:rPr>
      </w:pPr>
      <w:r w:rsidRPr="00165B3B">
        <w:rPr>
          <w:lang w:val="es-CO"/>
        </w:rPr>
        <w:t>En primer lugar, fue un estudio con una muestra relativamente pequeña (con 40 participantes, 20 en cada grupo), lo que podría haber influido en los aspectos variables de los resultados. Además, la falta de un grupo control necesariamente disminuye la capacidad de atribuir los cambios observados únicamente a las intervenciones implementadas. Un diseño experimental controlado habría mejorado la validez interna de los resultados, por ejemplo, al comparar con un grupo de control y con una muestra más grande.</w:t>
      </w:r>
    </w:p>
    <w:p w:rsidR="00165B3B" w:rsidRPr="00165B3B" w:rsidRDefault="00165B3B" w:rsidP="00D13CB9">
      <w:pPr>
        <w:pStyle w:val="NormalWeb"/>
        <w:spacing w:line="360" w:lineRule="auto"/>
        <w:ind w:firstLine="720"/>
        <w:rPr>
          <w:lang w:val="es-CO"/>
        </w:rPr>
      </w:pPr>
      <w:r w:rsidRPr="00165B3B">
        <w:rPr>
          <w:lang w:val="es-CO"/>
        </w:rPr>
        <w:t>Otra limitación es el seguimiento relativamente a corto plazo. Este estudio se centró en los efectos inmediatos de tales intervenciones en el hospital, y no puede dar indicios sobre la medida en que los beneficios podrían mantenerse durante un período más prolongado después del alta hospitalaria. También se necesitan más estudios longitudinales para evaluar si los efectos producidos por CD y CR en síntomas de ansiedad y depresión serían sos</w:t>
      </w:r>
      <w:r>
        <w:rPr>
          <w:lang w:val="es-CO"/>
        </w:rPr>
        <w:t>tenibles a lo largo del tiempo.</w:t>
      </w:r>
    </w:p>
    <w:p w:rsidR="00165B3B" w:rsidRPr="00FA0D5F" w:rsidRDefault="00165B3B" w:rsidP="00D13CB9">
      <w:pPr>
        <w:pStyle w:val="NormalWeb"/>
        <w:spacing w:line="360" w:lineRule="auto"/>
        <w:ind w:firstLine="720"/>
        <w:rPr>
          <w:b/>
          <w:lang w:val="es-CO"/>
        </w:rPr>
      </w:pPr>
      <w:r w:rsidRPr="00165B3B">
        <w:rPr>
          <w:lang w:val="es-CO"/>
        </w:rPr>
        <w:t>Por último, sería interesante comparar estas intervenciones con otros enfoques terapéuticos, mediaciones (por ejemplo, psicoterapia interpersonal) o tratamientos farmacológicos, que podrían producir mayores resultados en el contexto hospitalario</w:t>
      </w:r>
      <w:r w:rsidRPr="00165B3B">
        <w:rPr>
          <w:b/>
          <w:lang w:val="es-CO"/>
        </w:rPr>
        <w:t>.</w:t>
      </w:r>
    </w:p>
    <w:p w:rsidR="00490058" w:rsidRPr="00FA0D5F" w:rsidRDefault="00490058" w:rsidP="00D13CB9">
      <w:pPr>
        <w:pStyle w:val="NormalWeb"/>
        <w:spacing w:line="360" w:lineRule="auto"/>
        <w:rPr>
          <w:b/>
          <w:lang w:val="es-CO"/>
        </w:rPr>
      </w:pPr>
      <w:r w:rsidRPr="00FA0D5F">
        <w:rPr>
          <w:b/>
          <w:lang w:val="es-CO"/>
        </w:rPr>
        <w:t>Conclusión.</w:t>
      </w:r>
    </w:p>
    <w:p w:rsidR="006D7887" w:rsidRPr="00FA0D5F" w:rsidRDefault="006800CF" w:rsidP="00D13CB9">
      <w:pPr>
        <w:pStyle w:val="NormalWeb"/>
        <w:spacing w:line="360" w:lineRule="auto"/>
        <w:ind w:firstLine="720"/>
        <w:rPr>
          <w:lang w:val="es-CO"/>
        </w:rPr>
      </w:pPr>
      <w:r w:rsidRPr="00FA0D5F">
        <w:rPr>
          <w:lang w:val="es-CO"/>
        </w:rPr>
        <w:t>En resumen, tanto la </w:t>
      </w:r>
      <w:r w:rsidRPr="00FA0D5F">
        <w:rPr>
          <w:rStyle w:val="Textoennegrita"/>
          <w:b w:val="0"/>
          <w:lang w:val="es-CO"/>
        </w:rPr>
        <w:t>defusión cognitiva</w:t>
      </w:r>
      <w:r w:rsidRPr="00FA0D5F">
        <w:rPr>
          <w:lang w:val="es-CO"/>
        </w:rPr>
        <w:t> como la </w:t>
      </w:r>
      <w:r w:rsidRPr="00FA0D5F">
        <w:rPr>
          <w:rStyle w:val="Textoennegrita"/>
          <w:b w:val="0"/>
          <w:lang w:val="es-CO"/>
        </w:rPr>
        <w:t>reestructuración cognitiva</w:t>
      </w:r>
      <w:r w:rsidRPr="00FA0D5F">
        <w:rPr>
          <w:lang w:val="es-CO"/>
        </w:rPr>
        <w:t xml:space="preserve"> demostraron ser intervenciones efectivas para reducir los síntomas de ansiedad y depresión en una población hospitalizada. La DC mostró ser particularmente efectiva </w:t>
      </w:r>
      <w:r w:rsidRPr="00FA0D5F">
        <w:rPr>
          <w:lang w:val="es-CO"/>
        </w:rPr>
        <w:lastRenderedPageBreak/>
        <w:t>en la reducción de la depresión y el estrés, mientras que la RC fue más efectiva en la reducción de la ansiedad. Estos hallazgos respaldan la importancia de continuar investigando estas intervenciones como parte de los tratamientos disponibles para pacientes hospitalizados con trastornos emocionales. Sin embargo, se necesitan más estudios con diseños más robustos y seguimientos a largo plazo para confirmar estos resultados y explorar su aplicabilidad en diferentes contextos clínicos.</w:t>
      </w:r>
    </w:p>
    <w:p w:rsidR="00C178FA" w:rsidRPr="00FA0D5F" w:rsidRDefault="00E251EB" w:rsidP="00D13CB9">
      <w:pPr>
        <w:pStyle w:val="Ttulo2"/>
        <w:spacing w:line="360" w:lineRule="auto"/>
        <w:rPr>
          <w:rFonts w:ascii="Times New Roman" w:hAnsi="Times New Roman" w:cs="Times New Roman"/>
          <w:color w:val="auto"/>
          <w:sz w:val="24"/>
          <w:szCs w:val="24"/>
          <w:lang w:val="es-CO"/>
        </w:rPr>
      </w:pPr>
      <w:r w:rsidRPr="00FA0D5F">
        <w:rPr>
          <w:rFonts w:ascii="Times New Roman" w:hAnsi="Times New Roman" w:cs="Times New Roman"/>
          <w:color w:val="auto"/>
          <w:sz w:val="24"/>
          <w:szCs w:val="24"/>
          <w:lang w:val="es-CO"/>
        </w:rPr>
        <w:t>Referencias</w:t>
      </w:r>
      <w:r w:rsidR="00490058" w:rsidRPr="00FA0D5F">
        <w:rPr>
          <w:rFonts w:ascii="Times New Roman" w:hAnsi="Times New Roman" w:cs="Times New Roman"/>
          <w:color w:val="auto"/>
          <w:sz w:val="24"/>
          <w:szCs w:val="24"/>
          <w:lang w:val="es-CO"/>
        </w:rPr>
        <w:t>.</w:t>
      </w:r>
    </w:p>
    <w:p w:rsidR="002C7458" w:rsidRPr="00FA0D5F" w:rsidRDefault="002C7458" w:rsidP="00D13CB9">
      <w:pPr>
        <w:pStyle w:val="NormalWeb"/>
        <w:spacing w:before="0" w:beforeAutospacing="0" w:line="360" w:lineRule="auto"/>
        <w:ind w:left="1077" w:hanging="720"/>
      </w:pPr>
      <w:proofErr w:type="spellStart"/>
      <w:r w:rsidRPr="00FA0D5F">
        <w:rPr>
          <w:rStyle w:val="Textoennegrita"/>
          <w:b w:val="0"/>
          <w:lang w:val="es-CO"/>
        </w:rPr>
        <w:t>Assaz</w:t>
      </w:r>
      <w:proofErr w:type="spellEnd"/>
      <w:r w:rsidRPr="00FA0D5F">
        <w:rPr>
          <w:rStyle w:val="Textoennegrita"/>
          <w:b w:val="0"/>
          <w:lang w:val="es-CO"/>
        </w:rPr>
        <w:t xml:space="preserve">, D. A., Roche, B., </w:t>
      </w:r>
      <w:proofErr w:type="spellStart"/>
      <w:r w:rsidRPr="00FA0D5F">
        <w:rPr>
          <w:rStyle w:val="Textoennegrita"/>
          <w:b w:val="0"/>
          <w:lang w:val="es-CO"/>
        </w:rPr>
        <w:t>Kanter</w:t>
      </w:r>
      <w:proofErr w:type="spellEnd"/>
      <w:r w:rsidRPr="00FA0D5F">
        <w:rPr>
          <w:rStyle w:val="Textoennegrita"/>
          <w:b w:val="0"/>
          <w:lang w:val="es-CO"/>
        </w:rPr>
        <w:t>, J. W., &amp; Luciano, C. (2018).</w:t>
      </w:r>
      <w:r w:rsidRPr="00FA0D5F">
        <w:rPr>
          <w:lang w:val="es-CO"/>
        </w:rPr>
        <w:t> </w:t>
      </w:r>
      <w:r w:rsidRPr="00FA0D5F">
        <w:t>A model of cognitive defusion in Acceptance and Commitment Therapy. </w:t>
      </w:r>
      <w:r w:rsidRPr="00FA0D5F">
        <w:rPr>
          <w:rStyle w:val="nfasis"/>
        </w:rPr>
        <w:t>Journal of Contextual Behavioral Science, 7</w:t>
      </w:r>
      <w:r w:rsidRPr="00FA0D5F">
        <w:t>, 83-94. </w:t>
      </w:r>
      <w:hyperlink r:id="rId8" w:tgtFrame="_blank" w:history="1">
        <w:r w:rsidRPr="00FA0D5F">
          <w:rPr>
            <w:rStyle w:val="Hipervnculo"/>
            <w:color w:val="auto"/>
            <w:u w:val="none"/>
          </w:rPr>
          <w:t>https://doi.org/10.1016/j.jcbs.2018.02.001</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 xml:space="preserve">Assaz, D. A., Roche, B., </w:t>
      </w:r>
      <w:proofErr w:type="spellStart"/>
      <w:r w:rsidRPr="00FA0D5F">
        <w:rPr>
          <w:rStyle w:val="Textoennegrita"/>
          <w:b w:val="0"/>
        </w:rPr>
        <w:t>Kanter</w:t>
      </w:r>
      <w:proofErr w:type="spellEnd"/>
      <w:r w:rsidRPr="00FA0D5F">
        <w:rPr>
          <w:rStyle w:val="Textoennegrita"/>
          <w:b w:val="0"/>
        </w:rPr>
        <w:t>, J. W., &amp; Oshiro, C. K. (2018).</w:t>
      </w:r>
      <w:r w:rsidRPr="00FA0D5F">
        <w:t xml:space="preserve"> Cognitive </w:t>
      </w:r>
      <w:proofErr w:type="spellStart"/>
      <w:r w:rsidRPr="00FA0D5F">
        <w:t>defusion</w:t>
      </w:r>
      <w:proofErr w:type="spellEnd"/>
      <w:r w:rsidRPr="00FA0D5F">
        <w:t xml:space="preserve"> in Acceptance and Commitment Therapy: What are the basic processes? </w:t>
      </w:r>
      <w:r w:rsidRPr="00FA0D5F">
        <w:rPr>
          <w:rStyle w:val="nfasis"/>
        </w:rPr>
        <w:t>Journal of Contextual Behavioral Science, 7</w:t>
      </w:r>
      <w:r w:rsidRPr="00FA0D5F">
        <w:t>, 9-15. </w:t>
      </w:r>
      <w:hyperlink r:id="rId9" w:tgtFrame="_blank" w:history="1">
        <w:r w:rsidRPr="00FA0D5F">
          <w:rPr>
            <w:rStyle w:val="Hipervnculo"/>
            <w:color w:val="auto"/>
            <w:u w:val="none"/>
          </w:rPr>
          <w:t>https://doi.org/10.1016/j.jcbs.2018.02.001</w:t>
        </w:r>
      </w:hyperlink>
    </w:p>
    <w:p w:rsidR="002C7458" w:rsidRPr="00FA0D5F" w:rsidRDefault="002C7458" w:rsidP="00D13CB9">
      <w:pPr>
        <w:pStyle w:val="NormalWeb"/>
        <w:spacing w:before="0" w:beforeAutospacing="0" w:line="360" w:lineRule="auto"/>
        <w:ind w:left="1077" w:hanging="720"/>
      </w:pPr>
      <w:proofErr w:type="spellStart"/>
      <w:r w:rsidRPr="00FA0D5F">
        <w:rPr>
          <w:rStyle w:val="Textoennegrita"/>
          <w:b w:val="0"/>
        </w:rPr>
        <w:t>Assaz</w:t>
      </w:r>
      <w:proofErr w:type="spellEnd"/>
      <w:r w:rsidRPr="00FA0D5F">
        <w:rPr>
          <w:rStyle w:val="Textoennegrita"/>
          <w:b w:val="0"/>
        </w:rPr>
        <w:t>, D. A., Tyndall, I., Oshiro, C. K., &amp; Roche, B. (2022).</w:t>
      </w:r>
      <w:r w:rsidRPr="00FA0D5F">
        <w:t xml:space="preserve"> A Process-Based Analysis of Cognitive </w:t>
      </w:r>
      <w:proofErr w:type="spellStart"/>
      <w:r w:rsidRPr="00FA0D5F">
        <w:t>Defusion</w:t>
      </w:r>
      <w:proofErr w:type="spellEnd"/>
      <w:r w:rsidRPr="00FA0D5F">
        <w:t xml:space="preserve"> in Acceptance and Commitment Therapy. </w:t>
      </w:r>
      <w:r w:rsidRPr="00FA0D5F">
        <w:rPr>
          <w:rStyle w:val="nfasis"/>
        </w:rPr>
        <w:t>Behavior Therapy</w:t>
      </w:r>
      <w:r w:rsidRPr="00FA0D5F">
        <w:t>. </w:t>
      </w:r>
      <w:hyperlink r:id="rId10" w:tgtFrame="_blank" w:history="1">
        <w:r w:rsidRPr="00FA0D5F">
          <w:rPr>
            <w:rStyle w:val="Hipervnculo"/>
            <w:color w:val="auto"/>
            <w:u w:val="none"/>
          </w:rPr>
          <w:t>https://doi.org/10.1016/j.beth.2022.06.003</w:t>
        </w:r>
      </w:hyperlink>
    </w:p>
    <w:p w:rsidR="002C7458" w:rsidRPr="00FA0D5F" w:rsidRDefault="002C7458" w:rsidP="00D13CB9">
      <w:pPr>
        <w:pStyle w:val="NormalWeb"/>
        <w:spacing w:before="0" w:beforeAutospacing="0" w:line="360" w:lineRule="auto"/>
        <w:ind w:left="1077" w:hanging="720"/>
        <w:rPr>
          <w:lang w:val="es-CO"/>
        </w:rPr>
      </w:pPr>
      <w:proofErr w:type="spellStart"/>
      <w:r w:rsidRPr="00FA0D5F">
        <w:rPr>
          <w:rStyle w:val="Textoennegrita"/>
          <w:b w:val="0"/>
        </w:rPr>
        <w:t>Bados</w:t>
      </w:r>
      <w:proofErr w:type="spellEnd"/>
      <w:r w:rsidRPr="00FA0D5F">
        <w:rPr>
          <w:rStyle w:val="Textoennegrita"/>
          <w:b w:val="0"/>
        </w:rPr>
        <w:t xml:space="preserve">, A., &amp; </w:t>
      </w:r>
      <w:proofErr w:type="spellStart"/>
      <w:r w:rsidRPr="00FA0D5F">
        <w:rPr>
          <w:rStyle w:val="Textoennegrita"/>
          <w:b w:val="0"/>
        </w:rPr>
        <w:t>García</w:t>
      </w:r>
      <w:proofErr w:type="spellEnd"/>
      <w:r w:rsidRPr="00FA0D5F">
        <w:rPr>
          <w:rStyle w:val="Textoennegrita"/>
          <w:b w:val="0"/>
        </w:rPr>
        <w:t>, C. (2010).</w:t>
      </w:r>
      <w:r w:rsidRPr="00FA0D5F">
        <w:t> </w:t>
      </w:r>
      <w:r w:rsidRPr="00FA0D5F">
        <w:rPr>
          <w:rStyle w:val="nfasis"/>
          <w:lang w:val="es-CO"/>
        </w:rPr>
        <w:t>Terapia cognitivo-conductual: Conceptos básicos y aplicaciones</w:t>
      </w:r>
      <w:r w:rsidRPr="00FA0D5F">
        <w:rPr>
          <w:lang w:val="es-CO"/>
        </w:rPr>
        <w:t>. Ediciones Pirámide.</w:t>
      </w:r>
    </w:p>
    <w:p w:rsidR="002C7458" w:rsidRPr="00FA0D5F" w:rsidRDefault="002C7458" w:rsidP="00D13CB9">
      <w:pPr>
        <w:pStyle w:val="NormalWeb"/>
        <w:spacing w:before="0" w:beforeAutospacing="0" w:line="360" w:lineRule="auto"/>
        <w:ind w:left="1077" w:hanging="720"/>
        <w:rPr>
          <w:lang w:val="es-CO"/>
        </w:rPr>
      </w:pPr>
      <w:r w:rsidRPr="00FA0D5F">
        <w:rPr>
          <w:rStyle w:val="Textoennegrita"/>
          <w:b w:val="0"/>
          <w:lang w:val="es-CO"/>
        </w:rPr>
        <w:t>Barraca, J. (2011).</w:t>
      </w:r>
      <w:r w:rsidRPr="00FA0D5F">
        <w:rPr>
          <w:lang w:val="es-CO"/>
        </w:rPr>
        <w:t> ¿Aceptación o control mental? Terapias de aceptación y mindfulness frente a las técnicas cognitivo-conductuales para la eliminación de pensamientos intrusos. </w:t>
      </w:r>
      <w:r w:rsidRPr="00FA0D5F">
        <w:rPr>
          <w:rStyle w:val="nfasis"/>
          <w:lang w:val="es-CO"/>
        </w:rPr>
        <w:t>Análisis y Modificación de Conducta, 37</w:t>
      </w:r>
      <w:r w:rsidRPr="00FA0D5F">
        <w:rPr>
          <w:lang w:val="es-CO"/>
        </w:rPr>
        <w:t>(155-156), 43-63. </w:t>
      </w:r>
      <w:hyperlink r:id="rId11" w:tgtFrame="_blank" w:history="1">
        <w:r w:rsidRPr="00FA0D5F">
          <w:rPr>
            <w:rStyle w:val="Hipervnculo"/>
            <w:color w:val="auto"/>
            <w:u w:val="none"/>
            <w:lang w:val="es-CO"/>
          </w:rPr>
          <w:t>https://doi.org/10.33776/amc.v37i155-156.1317</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Beck, A. T. (1993).</w:t>
      </w:r>
      <w:r w:rsidRPr="00FA0D5F">
        <w:t> </w:t>
      </w:r>
      <w:r w:rsidRPr="00FA0D5F">
        <w:rPr>
          <w:rStyle w:val="nfasis"/>
        </w:rPr>
        <w:t>Cognitive therapy and the emotional disorders</w:t>
      </w:r>
      <w:r w:rsidRPr="00FA0D5F">
        <w:t>. Penguin Books.</w:t>
      </w:r>
    </w:p>
    <w:p w:rsidR="002C7458" w:rsidRPr="00FA0D5F" w:rsidRDefault="002C7458" w:rsidP="00D13CB9">
      <w:pPr>
        <w:pStyle w:val="NormalWeb"/>
        <w:spacing w:before="0" w:beforeAutospacing="0" w:line="360" w:lineRule="auto"/>
        <w:ind w:left="1077" w:hanging="720"/>
      </w:pPr>
      <w:r w:rsidRPr="00FA0D5F">
        <w:rPr>
          <w:rStyle w:val="Textoennegrita"/>
          <w:b w:val="0"/>
        </w:rPr>
        <w:t>Beck, J. S. (2020).</w:t>
      </w:r>
      <w:r w:rsidRPr="00FA0D5F">
        <w:t> </w:t>
      </w:r>
      <w:r w:rsidRPr="00FA0D5F">
        <w:rPr>
          <w:rStyle w:val="nfasis"/>
        </w:rPr>
        <w:t>Cognitive Behavior Therapy: Basics and Beyond</w:t>
      </w:r>
      <w:r w:rsidRPr="00FA0D5F">
        <w:t xml:space="preserve"> (3rd </w:t>
      </w:r>
      <w:proofErr w:type="gramStart"/>
      <w:r w:rsidRPr="00FA0D5F">
        <w:t>ed</w:t>
      </w:r>
      <w:proofErr w:type="gramEnd"/>
      <w:r w:rsidRPr="00FA0D5F">
        <w:t>.). Guilford Press.</w:t>
      </w:r>
    </w:p>
    <w:p w:rsidR="002C7458" w:rsidRPr="00FA0D5F" w:rsidRDefault="002C7458" w:rsidP="00D13CB9">
      <w:pPr>
        <w:pStyle w:val="NormalWeb"/>
        <w:spacing w:before="0" w:beforeAutospacing="0" w:line="360" w:lineRule="auto"/>
        <w:ind w:left="1077" w:hanging="720"/>
      </w:pPr>
      <w:r w:rsidRPr="00FA0D5F">
        <w:lastRenderedPageBreak/>
        <w:t xml:space="preserve">Blackledge, J. T. (2018). Cognitive Defusion. </w:t>
      </w:r>
      <w:proofErr w:type="spellStart"/>
      <w:r w:rsidRPr="00FA0D5F">
        <w:t>En</w:t>
      </w:r>
      <w:proofErr w:type="spellEnd"/>
      <w:r w:rsidRPr="00FA0D5F">
        <w:t xml:space="preserve"> S. C. Hayes &amp; S. G. Hofmann (Eds.), Process-based CBT: The science and core clinical competencies of Cognitive Behavioral Therapy (pp. 362–373). New Harbinger.</w:t>
      </w:r>
    </w:p>
    <w:p w:rsidR="002C7458" w:rsidRPr="00FA0D5F" w:rsidRDefault="002C7458" w:rsidP="00D13CB9">
      <w:pPr>
        <w:pStyle w:val="NormalWeb"/>
        <w:spacing w:before="0" w:beforeAutospacing="0" w:line="360" w:lineRule="auto"/>
        <w:ind w:left="1077" w:hanging="720"/>
      </w:pPr>
      <w:proofErr w:type="spellStart"/>
      <w:r w:rsidRPr="00FA0D5F">
        <w:rPr>
          <w:rStyle w:val="Textoennegrita"/>
          <w:b w:val="0"/>
        </w:rPr>
        <w:t>Blackledge</w:t>
      </w:r>
      <w:proofErr w:type="spellEnd"/>
      <w:r w:rsidRPr="00FA0D5F">
        <w:rPr>
          <w:rStyle w:val="Textoennegrita"/>
          <w:b w:val="0"/>
        </w:rPr>
        <w:t>, J. T. (2018).</w:t>
      </w:r>
      <w:r w:rsidRPr="00FA0D5F">
        <w:t xml:space="preserve"> Cognitive </w:t>
      </w:r>
      <w:proofErr w:type="spellStart"/>
      <w:r w:rsidRPr="00FA0D5F">
        <w:t>Defusion</w:t>
      </w:r>
      <w:proofErr w:type="spellEnd"/>
      <w:r w:rsidRPr="00FA0D5F">
        <w:t xml:space="preserve">. </w:t>
      </w:r>
      <w:proofErr w:type="spellStart"/>
      <w:r w:rsidRPr="00FA0D5F">
        <w:t>En</w:t>
      </w:r>
      <w:proofErr w:type="spellEnd"/>
      <w:r w:rsidRPr="00FA0D5F">
        <w:t xml:space="preserve"> S. C. Hayes &amp; S. G. Hofmann (Eds.), </w:t>
      </w:r>
      <w:r w:rsidRPr="00FA0D5F">
        <w:rPr>
          <w:rStyle w:val="nfasis"/>
        </w:rPr>
        <w:t>Process-based CBT: The science and core clinical competencies of Cognitive Behavioral Therapy</w:t>
      </w:r>
      <w:r w:rsidRPr="00FA0D5F">
        <w:t> (pp. 362-373). New Harbinger.</w:t>
      </w:r>
    </w:p>
    <w:p w:rsidR="002C7458" w:rsidRPr="00FA0D5F" w:rsidRDefault="002C7458" w:rsidP="00D13CB9">
      <w:pPr>
        <w:pStyle w:val="NormalWeb"/>
        <w:spacing w:before="0" w:beforeAutospacing="0" w:line="360" w:lineRule="auto"/>
        <w:ind w:left="1077" w:hanging="720"/>
      </w:pPr>
      <w:r w:rsidRPr="00FA0D5F">
        <w:rPr>
          <w:rStyle w:val="Textoennegrita"/>
          <w:b w:val="0"/>
        </w:rPr>
        <w:t>Borkovec, T. D., Robinson, E., Pruzinsky, T., &amp; DePree, J. A. (1983).</w:t>
      </w:r>
      <w:r w:rsidRPr="00FA0D5F">
        <w:t> A conceptual model of anxiety. </w:t>
      </w:r>
      <w:r w:rsidRPr="00FA0D5F">
        <w:rPr>
          <w:rStyle w:val="nfasis"/>
        </w:rPr>
        <w:t>Behavior Therapy, 14</w:t>
      </w:r>
      <w:r w:rsidRPr="00FA0D5F">
        <w:t>(5), 552-554. </w:t>
      </w:r>
      <w:hyperlink r:id="rId12" w:tgtFrame="_blank" w:history="1">
        <w:r w:rsidRPr="00FA0D5F">
          <w:rPr>
            <w:rStyle w:val="Hipervnculo"/>
            <w:color w:val="auto"/>
            <w:u w:val="none"/>
          </w:rPr>
          <w:t>https://doi.org/10.1016/S0005-7894(83)80081-3</w:t>
        </w:r>
      </w:hyperlink>
    </w:p>
    <w:p w:rsidR="002C7458" w:rsidRPr="00FA0D5F" w:rsidRDefault="002C7458" w:rsidP="00D13CB9">
      <w:pPr>
        <w:pStyle w:val="NormalWeb"/>
        <w:spacing w:before="0" w:beforeAutospacing="0" w:line="360" w:lineRule="auto"/>
        <w:ind w:left="1077" w:hanging="720"/>
      </w:pPr>
      <w:proofErr w:type="spellStart"/>
      <w:r w:rsidRPr="00FA0D5F">
        <w:rPr>
          <w:rStyle w:val="Textoennegrita"/>
          <w:b w:val="0"/>
        </w:rPr>
        <w:t>Brandrick</w:t>
      </w:r>
      <w:proofErr w:type="spellEnd"/>
      <w:r w:rsidRPr="00FA0D5F">
        <w:rPr>
          <w:rStyle w:val="Textoennegrita"/>
          <w:b w:val="0"/>
        </w:rPr>
        <w:t>, C., McGrath, L., &amp; Bailey, R. (2021).</w:t>
      </w:r>
      <w:r w:rsidRPr="00FA0D5F">
        <w:t> Ultra-brief psychological interventions: A review of the evidence. </w:t>
      </w:r>
      <w:r w:rsidRPr="00FA0D5F">
        <w:rPr>
          <w:rStyle w:val="nfasis"/>
        </w:rPr>
        <w:t>Clinical Psychology Review, 87</w:t>
      </w:r>
      <w:r w:rsidRPr="00FA0D5F">
        <w:t>, 102030. </w:t>
      </w:r>
      <w:hyperlink r:id="rId13" w:tgtFrame="_blank" w:history="1">
        <w:r w:rsidRPr="00FA0D5F">
          <w:rPr>
            <w:rStyle w:val="Hipervnculo"/>
            <w:color w:val="auto"/>
            <w:u w:val="none"/>
          </w:rPr>
          <w:t>https://doi.org/10.1016/j.cpr.2021.102030</w:t>
        </w:r>
      </w:hyperlink>
    </w:p>
    <w:p w:rsidR="002C7458" w:rsidRPr="00FA0D5F" w:rsidRDefault="002C7458" w:rsidP="00D13CB9">
      <w:pPr>
        <w:pStyle w:val="NormalWeb"/>
        <w:spacing w:before="0" w:beforeAutospacing="0" w:line="360" w:lineRule="auto"/>
        <w:ind w:left="1077" w:hanging="720"/>
      </w:pPr>
      <w:proofErr w:type="spellStart"/>
      <w:r w:rsidRPr="00FA0D5F">
        <w:rPr>
          <w:rStyle w:val="Textoennegrita"/>
          <w:b w:val="0"/>
        </w:rPr>
        <w:t>Cuijpers</w:t>
      </w:r>
      <w:proofErr w:type="spellEnd"/>
      <w:r w:rsidRPr="00FA0D5F">
        <w:rPr>
          <w:rStyle w:val="Textoennegrita"/>
          <w:b w:val="0"/>
        </w:rPr>
        <w:t xml:space="preserve">, P., </w:t>
      </w:r>
      <w:proofErr w:type="spellStart"/>
      <w:r w:rsidRPr="00FA0D5F">
        <w:rPr>
          <w:rStyle w:val="Textoennegrita"/>
          <w:b w:val="0"/>
        </w:rPr>
        <w:t>Berking</w:t>
      </w:r>
      <w:proofErr w:type="spellEnd"/>
      <w:r w:rsidRPr="00FA0D5F">
        <w:rPr>
          <w:rStyle w:val="Textoennegrita"/>
          <w:b w:val="0"/>
        </w:rPr>
        <w:t xml:space="preserve">, M., </w:t>
      </w:r>
      <w:proofErr w:type="spellStart"/>
      <w:r w:rsidRPr="00FA0D5F">
        <w:rPr>
          <w:rStyle w:val="Textoennegrita"/>
          <w:b w:val="0"/>
        </w:rPr>
        <w:t>Andersson</w:t>
      </w:r>
      <w:proofErr w:type="spellEnd"/>
      <w:r w:rsidRPr="00FA0D5F">
        <w:rPr>
          <w:rStyle w:val="Textoennegrita"/>
          <w:b w:val="0"/>
        </w:rPr>
        <w:t xml:space="preserve">, G., Quigley, L., </w:t>
      </w:r>
      <w:proofErr w:type="spellStart"/>
      <w:r w:rsidRPr="00FA0D5F">
        <w:rPr>
          <w:rStyle w:val="Textoennegrita"/>
          <w:b w:val="0"/>
        </w:rPr>
        <w:t>Kleiboer</w:t>
      </w:r>
      <w:proofErr w:type="spellEnd"/>
      <w:r w:rsidRPr="00FA0D5F">
        <w:rPr>
          <w:rStyle w:val="Textoennegrita"/>
          <w:b w:val="0"/>
        </w:rPr>
        <w:t>, A., &amp; Dobson, K. S. (2016).</w:t>
      </w:r>
      <w:r w:rsidRPr="00FA0D5F">
        <w:t> A meta-analysis of cognitive-</w:t>
      </w:r>
      <w:proofErr w:type="spellStart"/>
      <w:r w:rsidRPr="00FA0D5F">
        <w:t>behavioural</w:t>
      </w:r>
      <w:proofErr w:type="spellEnd"/>
      <w:r w:rsidRPr="00FA0D5F">
        <w:t xml:space="preserve"> therapy for adult depression, alone and in comparison with other treatments. </w:t>
      </w:r>
      <w:r w:rsidRPr="00FA0D5F">
        <w:rPr>
          <w:rStyle w:val="nfasis"/>
        </w:rPr>
        <w:t>Canadian Journal of Psychiatry, 58</w:t>
      </w:r>
      <w:r w:rsidRPr="00FA0D5F">
        <w:t>(7), 376-385. </w:t>
      </w:r>
      <w:hyperlink r:id="rId14" w:tgtFrame="_blank" w:history="1">
        <w:r w:rsidRPr="00FA0D5F">
          <w:rPr>
            <w:rStyle w:val="Hipervnculo"/>
            <w:color w:val="auto"/>
            <w:u w:val="none"/>
          </w:rPr>
          <w:t>https://doi.org/10.1177/070674371305800702</w:t>
        </w:r>
      </w:hyperlink>
    </w:p>
    <w:p w:rsidR="002C7458" w:rsidRPr="00FA0D5F" w:rsidRDefault="002C7458" w:rsidP="00D13CB9">
      <w:pPr>
        <w:pStyle w:val="NormalWeb"/>
        <w:spacing w:before="0" w:beforeAutospacing="0" w:line="360" w:lineRule="auto"/>
        <w:ind w:left="1077" w:hanging="720"/>
        <w:rPr>
          <w:lang w:val="es-CO"/>
        </w:rPr>
      </w:pPr>
      <w:proofErr w:type="spellStart"/>
      <w:r w:rsidRPr="00FA0D5F">
        <w:rPr>
          <w:rStyle w:val="Textoennegrita"/>
          <w:b w:val="0"/>
        </w:rPr>
        <w:t>Cuijpers</w:t>
      </w:r>
      <w:proofErr w:type="spellEnd"/>
      <w:r w:rsidRPr="00FA0D5F">
        <w:rPr>
          <w:rStyle w:val="Textoennegrita"/>
          <w:b w:val="0"/>
        </w:rPr>
        <w:t xml:space="preserve">, P., </w:t>
      </w:r>
      <w:proofErr w:type="spellStart"/>
      <w:r w:rsidRPr="00FA0D5F">
        <w:rPr>
          <w:rStyle w:val="Textoennegrita"/>
          <w:b w:val="0"/>
        </w:rPr>
        <w:t>Karyotaki</w:t>
      </w:r>
      <w:proofErr w:type="spellEnd"/>
      <w:r w:rsidRPr="00FA0D5F">
        <w:rPr>
          <w:rStyle w:val="Textoennegrita"/>
          <w:b w:val="0"/>
        </w:rPr>
        <w:t xml:space="preserve">, E., </w:t>
      </w:r>
      <w:proofErr w:type="spellStart"/>
      <w:r w:rsidRPr="00FA0D5F">
        <w:rPr>
          <w:rStyle w:val="Textoennegrita"/>
          <w:b w:val="0"/>
        </w:rPr>
        <w:t>Eckshtain</w:t>
      </w:r>
      <w:proofErr w:type="spellEnd"/>
      <w:r w:rsidRPr="00FA0D5F">
        <w:rPr>
          <w:rStyle w:val="Textoennegrita"/>
          <w:b w:val="0"/>
        </w:rPr>
        <w:t xml:space="preserve">, D., Ng, M. Y., </w:t>
      </w:r>
      <w:proofErr w:type="spellStart"/>
      <w:r w:rsidRPr="00FA0D5F">
        <w:rPr>
          <w:rStyle w:val="Textoennegrita"/>
          <w:b w:val="0"/>
        </w:rPr>
        <w:t>Corteselli</w:t>
      </w:r>
      <w:proofErr w:type="spellEnd"/>
      <w:r w:rsidRPr="00FA0D5F">
        <w:rPr>
          <w:rStyle w:val="Textoennegrita"/>
          <w:b w:val="0"/>
        </w:rPr>
        <w:t>, K. A., &amp; Weisz, J. R. (2020).</w:t>
      </w:r>
      <w:r w:rsidRPr="00FA0D5F">
        <w:t> Psychotherapy for depression across different age groups: A systematic review and meta-analysis. </w:t>
      </w:r>
      <w:r w:rsidRPr="00FA0D5F">
        <w:rPr>
          <w:rStyle w:val="nfasis"/>
          <w:lang w:val="es-CO"/>
        </w:rPr>
        <w:t>JAMA Psychiatry, 77</w:t>
      </w:r>
      <w:r w:rsidRPr="00FA0D5F">
        <w:rPr>
          <w:lang w:val="es-CO"/>
        </w:rPr>
        <w:t>(7), 694-702. </w:t>
      </w:r>
      <w:hyperlink r:id="rId15" w:tgtFrame="_blank" w:history="1">
        <w:r w:rsidRPr="00FA0D5F">
          <w:rPr>
            <w:rStyle w:val="Hipervnculo"/>
            <w:color w:val="auto"/>
            <w:u w:val="none"/>
            <w:lang w:val="es-CO"/>
          </w:rPr>
          <w:t>https://doi.org/10.1001/jamapsychiatry.2020.0164</w:t>
        </w:r>
      </w:hyperlink>
    </w:p>
    <w:p w:rsidR="002C7458" w:rsidRPr="00FA0D5F" w:rsidRDefault="002C7458" w:rsidP="00D13CB9">
      <w:pPr>
        <w:pStyle w:val="NormalWeb"/>
        <w:spacing w:before="0" w:beforeAutospacing="0" w:line="360" w:lineRule="auto"/>
        <w:ind w:left="1077" w:hanging="720"/>
        <w:rPr>
          <w:lang w:val="es-CO"/>
        </w:rPr>
      </w:pPr>
      <w:r w:rsidRPr="00FA0D5F">
        <w:rPr>
          <w:shd w:val="clear" w:color="auto" w:fill="FFFFFF"/>
          <w:lang w:val="es-CO"/>
        </w:rPr>
        <w:t>de los Santos, D. (2022). Regulación emocional y terapias psicológicas empíricamente apoyadas: Confluencias, complementariedades y divergencias. </w:t>
      </w:r>
      <w:r w:rsidRPr="00FA0D5F">
        <w:rPr>
          <w:i/>
          <w:iCs/>
          <w:shd w:val="clear" w:color="auto" w:fill="FFFFFF"/>
          <w:lang w:val="es-CO"/>
        </w:rPr>
        <w:t>Análisis y modificación de conducta</w:t>
      </w:r>
      <w:r w:rsidRPr="00FA0D5F">
        <w:rPr>
          <w:shd w:val="clear" w:color="auto" w:fill="FFFFFF"/>
          <w:lang w:val="es-CO"/>
        </w:rPr>
        <w:t>, </w:t>
      </w:r>
      <w:r w:rsidRPr="00FA0D5F">
        <w:rPr>
          <w:i/>
          <w:iCs/>
          <w:shd w:val="clear" w:color="auto" w:fill="FFFFFF"/>
          <w:lang w:val="es-CO"/>
        </w:rPr>
        <w:t>48</w:t>
      </w:r>
      <w:r w:rsidRPr="00FA0D5F">
        <w:rPr>
          <w:shd w:val="clear" w:color="auto" w:fill="FFFFFF"/>
          <w:lang w:val="es-CO"/>
        </w:rPr>
        <w:t xml:space="preserve">(177), 35-72. </w:t>
      </w:r>
      <w:hyperlink r:id="rId16" w:history="1">
        <w:r w:rsidRPr="00FA0D5F">
          <w:rPr>
            <w:rStyle w:val="Hipervnculo"/>
            <w:color w:val="auto"/>
            <w:u w:val="none"/>
            <w:shd w:val="clear" w:color="auto" w:fill="FFFFFF"/>
            <w:lang w:val="es-CO"/>
          </w:rPr>
          <w:t>https://dialnet.unirioja.es/servlet/articulo?codigo=8376264</w:t>
        </w:r>
      </w:hyperlink>
    </w:p>
    <w:p w:rsidR="002C7458" w:rsidRPr="00FA0D5F" w:rsidRDefault="002C7458" w:rsidP="00D13CB9">
      <w:pPr>
        <w:pStyle w:val="NormalWeb"/>
        <w:spacing w:before="0" w:beforeAutospacing="0" w:line="360" w:lineRule="auto"/>
        <w:ind w:left="1077" w:hanging="720"/>
      </w:pPr>
      <w:proofErr w:type="spellStart"/>
      <w:r w:rsidRPr="00FA0D5F">
        <w:rPr>
          <w:rStyle w:val="Textoennegrita"/>
          <w:b w:val="0"/>
        </w:rPr>
        <w:t>DeRubeis</w:t>
      </w:r>
      <w:proofErr w:type="spellEnd"/>
      <w:r w:rsidRPr="00FA0D5F">
        <w:rPr>
          <w:rStyle w:val="Textoennegrita"/>
          <w:b w:val="0"/>
        </w:rPr>
        <w:t xml:space="preserve">, R. J., </w:t>
      </w:r>
      <w:proofErr w:type="spellStart"/>
      <w:r w:rsidRPr="00FA0D5F">
        <w:rPr>
          <w:rStyle w:val="Textoennegrita"/>
          <w:b w:val="0"/>
        </w:rPr>
        <w:t>Hollon</w:t>
      </w:r>
      <w:proofErr w:type="spellEnd"/>
      <w:r w:rsidRPr="00FA0D5F">
        <w:rPr>
          <w:rStyle w:val="Textoennegrita"/>
          <w:b w:val="0"/>
        </w:rPr>
        <w:t>, S. D., Amsterdam, J. D., Shelton, R. C., Young, P. R., &amp; Salomon, R. M. (2005).</w:t>
      </w:r>
      <w:r w:rsidRPr="00FA0D5F">
        <w:t xml:space="preserve"> Cognitive therapy vs medications in the treatment of </w:t>
      </w:r>
      <w:r w:rsidRPr="00FA0D5F">
        <w:lastRenderedPageBreak/>
        <w:t>moderate to severe depression. </w:t>
      </w:r>
      <w:r w:rsidRPr="00FA0D5F">
        <w:rPr>
          <w:rStyle w:val="nfasis"/>
        </w:rPr>
        <w:t>Archives of General Psychiatry, 62</w:t>
      </w:r>
      <w:r w:rsidRPr="00FA0D5F">
        <w:t>(4), 409-416. </w:t>
      </w:r>
      <w:hyperlink r:id="rId17" w:tgtFrame="_blank" w:history="1">
        <w:r w:rsidRPr="00FA0D5F">
          <w:rPr>
            <w:rStyle w:val="Hipervnculo"/>
            <w:color w:val="auto"/>
            <w:u w:val="none"/>
          </w:rPr>
          <w:t>https://doi.org/10.1001/archpsyc.62.4.409</w:t>
        </w:r>
      </w:hyperlink>
    </w:p>
    <w:p w:rsidR="002C7458" w:rsidRPr="00FA0D5F" w:rsidRDefault="002C7458" w:rsidP="00D13CB9">
      <w:pPr>
        <w:pStyle w:val="NormalWeb"/>
        <w:spacing w:before="0" w:beforeAutospacing="0" w:line="360" w:lineRule="auto"/>
        <w:ind w:left="1077" w:hanging="720"/>
        <w:rPr>
          <w:lang w:val="es-CO"/>
        </w:rPr>
      </w:pPr>
      <w:r w:rsidRPr="00FA0D5F">
        <w:rPr>
          <w:rStyle w:val="Textoennegrita"/>
          <w:b w:val="0"/>
        </w:rPr>
        <w:t xml:space="preserve">Dixon, M., Hayes, S., &amp; </w:t>
      </w:r>
      <w:proofErr w:type="spellStart"/>
      <w:r w:rsidRPr="00FA0D5F">
        <w:rPr>
          <w:rStyle w:val="Textoennegrita"/>
          <w:b w:val="0"/>
        </w:rPr>
        <w:t>Belisle</w:t>
      </w:r>
      <w:proofErr w:type="spellEnd"/>
      <w:r w:rsidRPr="00FA0D5F">
        <w:rPr>
          <w:rStyle w:val="Textoennegrita"/>
          <w:b w:val="0"/>
        </w:rPr>
        <w:t>, J. (2023).</w:t>
      </w:r>
      <w:r w:rsidRPr="00FA0D5F">
        <w:t> </w:t>
      </w:r>
      <w:r w:rsidRPr="00FA0D5F">
        <w:rPr>
          <w:rStyle w:val="nfasis"/>
        </w:rPr>
        <w:t>Acceptance and Commitment Therapy for Behavior Analysts: A Practice Guide from Theory to Treatment</w:t>
      </w:r>
      <w:r w:rsidRPr="00FA0D5F">
        <w:t xml:space="preserve"> (1st </w:t>
      </w:r>
      <w:proofErr w:type="gramStart"/>
      <w:r w:rsidRPr="00FA0D5F">
        <w:t>ed</w:t>
      </w:r>
      <w:proofErr w:type="gramEnd"/>
      <w:r w:rsidRPr="00FA0D5F">
        <w:t xml:space="preserve">.). </w:t>
      </w:r>
      <w:r w:rsidRPr="00FA0D5F">
        <w:rPr>
          <w:lang w:val="es-CO"/>
        </w:rPr>
        <w:t>Routledge.</w:t>
      </w:r>
    </w:p>
    <w:p w:rsidR="002C7458" w:rsidRPr="00FA0D5F" w:rsidRDefault="002C7458" w:rsidP="00D13CB9">
      <w:pPr>
        <w:pStyle w:val="NormalWeb"/>
        <w:spacing w:before="0" w:beforeAutospacing="0" w:line="360" w:lineRule="auto"/>
        <w:ind w:left="1077" w:hanging="720"/>
      </w:pPr>
      <w:r w:rsidRPr="00FA0D5F">
        <w:rPr>
          <w:rStyle w:val="Textoennegrita"/>
          <w:b w:val="0"/>
          <w:lang w:val="es-CO"/>
        </w:rPr>
        <w:t>Fernández-Marcos, T., &amp; Calero-Elvira, A. (2015).</w:t>
      </w:r>
      <w:r w:rsidRPr="00FA0D5F">
        <w:rPr>
          <w:lang w:val="es-CO"/>
        </w:rPr>
        <w:t> Efectos de la detención del pensamiento y la defusión cognitiva sobre el malestar y el manejo de los pensamientos negativos. </w:t>
      </w:r>
      <w:proofErr w:type="spellStart"/>
      <w:r w:rsidRPr="00FA0D5F">
        <w:rPr>
          <w:rStyle w:val="nfasis"/>
        </w:rPr>
        <w:t>Psicología</w:t>
      </w:r>
      <w:proofErr w:type="spellEnd"/>
      <w:r w:rsidRPr="00FA0D5F">
        <w:rPr>
          <w:rStyle w:val="nfasis"/>
        </w:rPr>
        <w:t xml:space="preserve"> </w:t>
      </w:r>
      <w:proofErr w:type="spellStart"/>
      <w:r w:rsidRPr="00FA0D5F">
        <w:rPr>
          <w:rStyle w:val="nfasis"/>
        </w:rPr>
        <w:t>Conductual</w:t>
      </w:r>
      <w:proofErr w:type="spellEnd"/>
      <w:r w:rsidRPr="00FA0D5F">
        <w:rPr>
          <w:rStyle w:val="nfasis"/>
        </w:rPr>
        <w:t>, 23</w:t>
      </w:r>
      <w:r w:rsidRPr="00FA0D5F">
        <w:t>(1), 107-126.</w:t>
      </w:r>
    </w:p>
    <w:p w:rsidR="002C7458" w:rsidRPr="00FA0D5F" w:rsidRDefault="002C7458" w:rsidP="00D13CB9">
      <w:pPr>
        <w:pStyle w:val="NormalWeb"/>
        <w:spacing w:before="0" w:beforeAutospacing="0" w:line="360" w:lineRule="auto"/>
        <w:ind w:left="1077" w:hanging="720"/>
      </w:pPr>
      <w:r w:rsidRPr="00FA0D5F">
        <w:rPr>
          <w:rStyle w:val="Textoennegrita"/>
          <w:b w:val="0"/>
        </w:rPr>
        <w:t xml:space="preserve">Forman, E. M., Herbert, J. D., </w:t>
      </w:r>
      <w:proofErr w:type="spellStart"/>
      <w:r w:rsidRPr="00FA0D5F">
        <w:rPr>
          <w:rStyle w:val="Textoennegrita"/>
          <w:b w:val="0"/>
        </w:rPr>
        <w:t>Moitra</w:t>
      </w:r>
      <w:proofErr w:type="spellEnd"/>
      <w:r w:rsidRPr="00FA0D5F">
        <w:rPr>
          <w:rStyle w:val="Textoennegrita"/>
          <w:b w:val="0"/>
        </w:rPr>
        <w:t xml:space="preserve">, E., </w:t>
      </w:r>
      <w:proofErr w:type="spellStart"/>
      <w:r w:rsidRPr="00FA0D5F">
        <w:rPr>
          <w:rStyle w:val="Textoennegrita"/>
          <w:b w:val="0"/>
        </w:rPr>
        <w:t>Yeomans</w:t>
      </w:r>
      <w:proofErr w:type="spellEnd"/>
      <w:r w:rsidRPr="00FA0D5F">
        <w:rPr>
          <w:rStyle w:val="Textoennegrita"/>
          <w:b w:val="0"/>
        </w:rPr>
        <w:t>, P. D., &amp; Geller, P. A. (2012).</w:t>
      </w:r>
      <w:r w:rsidRPr="00FA0D5F">
        <w:t> A randomized controlled effectiveness trial of acceptance and commitment therapy and cognitive therapy for anxiety and depression. </w:t>
      </w:r>
      <w:r w:rsidRPr="00FA0D5F">
        <w:rPr>
          <w:rStyle w:val="nfasis"/>
        </w:rPr>
        <w:t>Behavior Modification, 36</w:t>
      </w:r>
      <w:r w:rsidRPr="00FA0D5F">
        <w:t>(6), 759-779. </w:t>
      </w:r>
      <w:hyperlink r:id="rId18" w:tgtFrame="_blank" w:history="1">
        <w:r w:rsidRPr="00FA0D5F">
          <w:rPr>
            <w:rStyle w:val="Hipervnculo"/>
            <w:color w:val="auto"/>
            <w:u w:val="none"/>
          </w:rPr>
          <w:t>https://doi.org/10.1177/0145445512455248</w:t>
        </w:r>
      </w:hyperlink>
    </w:p>
    <w:p w:rsidR="002C7458" w:rsidRPr="00FA0D5F" w:rsidRDefault="002C7458" w:rsidP="00D13CB9">
      <w:pPr>
        <w:pStyle w:val="NormalWeb"/>
        <w:spacing w:before="0" w:beforeAutospacing="0" w:line="360" w:lineRule="auto"/>
        <w:ind w:left="1077" w:hanging="720"/>
        <w:rPr>
          <w:lang w:val="es-CO"/>
        </w:rPr>
      </w:pPr>
      <w:proofErr w:type="spellStart"/>
      <w:r w:rsidRPr="00FA0D5F">
        <w:rPr>
          <w:rStyle w:val="Textoennegrita"/>
          <w:b w:val="0"/>
        </w:rPr>
        <w:t>Gillanders</w:t>
      </w:r>
      <w:proofErr w:type="spellEnd"/>
      <w:r w:rsidRPr="00FA0D5F">
        <w:rPr>
          <w:rStyle w:val="Textoennegrita"/>
          <w:b w:val="0"/>
        </w:rPr>
        <w:t xml:space="preserve">, D. T., </w:t>
      </w:r>
      <w:proofErr w:type="spellStart"/>
      <w:r w:rsidRPr="00FA0D5F">
        <w:rPr>
          <w:rStyle w:val="Textoennegrita"/>
          <w:b w:val="0"/>
        </w:rPr>
        <w:t>Bolderston</w:t>
      </w:r>
      <w:proofErr w:type="spellEnd"/>
      <w:r w:rsidRPr="00FA0D5F">
        <w:rPr>
          <w:rStyle w:val="Textoennegrita"/>
          <w:b w:val="0"/>
        </w:rPr>
        <w:t xml:space="preserve">, H., Bond, F. W., </w:t>
      </w:r>
      <w:proofErr w:type="spellStart"/>
      <w:r w:rsidRPr="00FA0D5F">
        <w:rPr>
          <w:rStyle w:val="Textoennegrita"/>
          <w:b w:val="0"/>
        </w:rPr>
        <w:t>Dempster</w:t>
      </w:r>
      <w:proofErr w:type="spellEnd"/>
      <w:r w:rsidRPr="00FA0D5F">
        <w:rPr>
          <w:rStyle w:val="Textoennegrita"/>
          <w:b w:val="0"/>
        </w:rPr>
        <w:t xml:space="preserve">, M., Flaxman, P. E., Campbell, L., &amp; </w:t>
      </w:r>
      <w:proofErr w:type="spellStart"/>
      <w:r w:rsidRPr="00FA0D5F">
        <w:rPr>
          <w:rStyle w:val="Textoennegrita"/>
          <w:b w:val="0"/>
        </w:rPr>
        <w:t>Masley</w:t>
      </w:r>
      <w:proofErr w:type="spellEnd"/>
      <w:r w:rsidRPr="00FA0D5F">
        <w:rPr>
          <w:rStyle w:val="Textoennegrita"/>
          <w:b w:val="0"/>
        </w:rPr>
        <w:t>, S. (2014).</w:t>
      </w:r>
      <w:r w:rsidRPr="00FA0D5F">
        <w:t> The development and initial validation of the Cognitive Fusion Questionnaire. </w:t>
      </w:r>
      <w:r w:rsidRPr="00FA0D5F">
        <w:rPr>
          <w:rStyle w:val="nfasis"/>
          <w:lang w:val="es-CO"/>
        </w:rPr>
        <w:t>Behavior Therapy, 45</w:t>
      </w:r>
      <w:r w:rsidRPr="00FA0D5F">
        <w:rPr>
          <w:lang w:val="es-CO"/>
        </w:rPr>
        <w:t>(1), 83-101. </w:t>
      </w:r>
      <w:hyperlink r:id="rId19" w:tgtFrame="_blank" w:history="1">
        <w:r w:rsidRPr="00FA0D5F">
          <w:rPr>
            <w:rStyle w:val="Hipervnculo"/>
            <w:color w:val="auto"/>
            <w:u w:val="none"/>
            <w:lang w:val="es-CO"/>
          </w:rPr>
          <w:t>https://doi.org/10.1016/j.beth.2013.09.001</w:t>
        </w:r>
      </w:hyperlink>
    </w:p>
    <w:p w:rsidR="002C7458" w:rsidRPr="00FA0D5F" w:rsidRDefault="002C7458" w:rsidP="00D13CB9">
      <w:pPr>
        <w:pStyle w:val="NormalWeb"/>
        <w:spacing w:before="0" w:beforeAutospacing="0" w:line="360" w:lineRule="auto"/>
        <w:ind w:left="1077" w:hanging="720"/>
        <w:rPr>
          <w:lang w:val="es-CO"/>
        </w:rPr>
      </w:pPr>
      <w:r w:rsidRPr="00FA0D5F">
        <w:rPr>
          <w:rStyle w:val="Textoennegrita"/>
          <w:b w:val="0"/>
          <w:lang w:val="es-CO"/>
        </w:rPr>
        <w:t>González, R., Méndez, P., &amp; López, C. (2019).</w:t>
      </w:r>
      <w:r w:rsidRPr="00FA0D5F">
        <w:rPr>
          <w:lang w:val="es-CO"/>
        </w:rPr>
        <w:t> Fiabilidad y validez del BAI en pacientes con asma en México. </w:t>
      </w:r>
      <w:r w:rsidRPr="00FA0D5F">
        <w:rPr>
          <w:rStyle w:val="nfasis"/>
          <w:lang w:val="es-CO"/>
        </w:rPr>
        <w:t>Psicología y Salud, Universidad Veracruzana</w:t>
      </w:r>
      <w:r w:rsidRPr="00FA0D5F">
        <w:rPr>
          <w:lang w:val="es-CO"/>
        </w:rPr>
        <w:t>. </w:t>
      </w:r>
      <w:hyperlink r:id="rId20" w:tgtFrame="_blank" w:history="1">
        <w:r w:rsidRPr="00FA0D5F">
          <w:rPr>
            <w:rStyle w:val="Hipervnculo"/>
            <w:color w:val="auto"/>
            <w:u w:val="none"/>
            <w:lang w:val="es-CO"/>
          </w:rPr>
          <w:t>https://psicologiaysalud.uv.mx/index.php/psicysalud/article/view/2563</w:t>
        </w:r>
      </w:hyperlink>
    </w:p>
    <w:p w:rsidR="002C7458" w:rsidRPr="003D4BB4" w:rsidRDefault="002C7458" w:rsidP="00D13CB9">
      <w:pPr>
        <w:pStyle w:val="NormalWeb"/>
        <w:spacing w:before="0" w:beforeAutospacing="0" w:line="360" w:lineRule="auto"/>
        <w:ind w:left="1077" w:hanging="720"/>
        <w:rPr>
          <w:shd w:val="clear" w:color="auto" w:fill="FFFFFF"/>
          <w:lang w:val="es-CO"/>
        </w:rPr>
      </w:pPr>
      <w:r w:rsidRPr="00FA0D5F">
        <w:rPr>
          <w:shd w:val="clear" w:color="auto" w:fill="FFFFFF"/>
          <w:lang w:val="es-CO"/>
        </w:rPr>
        <w:t>González-Terrazas, R., &amp; Froxán, M. X. (2021). Saber qué y saber cómo. Una propuesta explicativa de tres técnicas terapéuticas empíricamente validadas. Clínica. </w:t>
      </w:r>
      <w:r w:rsidRPr="003D4BB4">
        <w:rPr>
          <w:i/>
          <w:iCs/>
          <w:shd w:val="clear" w:color="auto" w:fill="FFFFFF"/>
          <w:lang w:val="es-CO"/>
        </w:rPr>
        <w:t>Contemporánea</w:t>
      </w:r>
      <w:r w:rsidRPr="003D4BB4">
        <w:rPr>
          <w:shd w:val="clear" w:color="auto" w:fill="FFFFFF"/>
          <w:lang w:val="es-CO"/>
        </w:rPr>
        <w:t>, </w:t>
      </w:r>
      <w:r w:rsidRPr="003D4BB4">
        <w:rPr>
          <w:i/>
          <w:iCs/>
          <w:shd w:val="clear" w:color="auto" w:fill="FFFFFF"/>
          <w:lang w:val="es-CO"/>
        </w:rPr>
        <w:t>12</w:t>
      </w:r>
      <w:r w:rsidRPr="003D4BB4">
        <w:rPr>
          <w:shd w:val="clear" w:color="auto" w:fill="FFFFFF"/>
          <w:lang w:val="es-CO"/>
        </w:rPr>
        <w:t xml:space="preserve">(3). </w:t>
      </w:r>
      <w:hyperlink r:id="rId21" w:history="1">
        <w:r w:rsidRPr="003D4BB4">
          <w:rPr>
            <w:rStyle w:val="Hipervnculo"/>
            <w:color w:val="auto"/>
            <w:u w:val="none"/>
            <w:shd w:val="clear" w:color="auto" w:fill="FFFFFF"/>
            <w:lang w:val="es-CO"/>
          </w:rPr>
          <w:t>https://dialnet.unirioja.es/servlet/articulo?codigo=8477828</w:t>
        </w:r>
      </w:hyperlink>
    </w:p>
    <w:p w:rsidR="002C7458" w:rsidRPr="00FA0D5F" w:rsidRDefault="002C7458" w:rsidP="00D13CB9">
      <w:pPr>
        <w:pStyle w:val="NormalWeb"/>
        <w:spacing w:before="0" w:beforeAutospacing="0" w:line="360" w:lineRule="auto"/>
        <w:ind w:left="1077" w:hanging="720"/>
      </w:pPr>
      <w:r w:rsidRPr="00FA0D5F">
        <w:rPr>
          <w:rStyle w:val="Textoennegrita"/>
          <w:b w:val="0"/>
          <w:lang w:val="es-CO"/>
        </w:rPr>
        <w:t>Harris, R. (2010).</w:t>
      </w:r>
      <w:r w:rsidRPr="00FA0D5F">
        <w:rPr>
          <w:lang w:val="es-CO"/>
        </w:rPr>
        <w:t> </w:t>
      </w:r>
      <w:r w:rsidRPr="00FA0D5F">
        <w:rPr>
          <w:rStyle w:val="nfasis"/>
          <w:lang w:val="es-CO"/>
        </w:rPr>
        <w:t>La trampa de la felicidad</w:t>
      </w:r>
      <w:r w:rsidRPr="00FA0D5F">
        <w:rPr>
          <w:lang w:val="es-CO"/>
        </w:rPr>
        <w:t xml:space="preserve">. </w:t>
      </w:r>
      <w:r w:rsidRPr="00FA0D5F">
        <w:t>Planeta.</w:t>
      </w:r>
    </w:p>
    <w:p w:rsidR="002C7458" w:rsidRPr="00FA0D5F" w:rsidRDefault="002C7458" w:rsidP="00D13CB9">
      <w:pPr>
        <w:pStyle w:val="NormalWeb"/>
        <w:spacing w:before="0" w:beforeAutospacing="0" w:line="360" w:lineRule="auto"/>
        <w:ind w:left="1077" w:hanging="720"/>
      </w:pPr>
      <w:r w:rsidRPr="00FA0D5F">
        <w:rPr>
          <w:rStyle w:val="Textoennegrita"/>
          <w:b w:val="0"/>
        </w:rPr>
        <w:lastRenderedPageBreak/>
        <w:t>Harris, R. (2019).</w:t>
      </w:r>
      <w:r w:rsidRPr="00FA0D5F">
        <w:t> </w:t>
      </w:r>
      <w:r w:rsidRPr="00FA0D5F">
        <w:rPr>
          <w:rStyle w:val="nfasis"/>
        </w:rPr>
        <w:t>ACT made simple: An easy-to-read primer on acceptance and commitment therapy</w:t>
      </w:r>
      <w:r w:rsidRPr="00FA0D5F">
        <w:t xml:space="preserve"> (2nd </w:t>
      </w:r>
      <w:proofErr w:type="gramStart"/>
      <w:r w:rsidRPr="00FA0D5F">
        <w:t>ed</w:t>
      </w:r>
      <w:proofErr w:type="gramEnd"/>
      <w:r w:rsidRPr="00FA0D5F">
        <w:t>.). New Harbinger Publications.</w:t>
      </w:r>
    </w:p>
    <w:p w:rsidR="002C7458" w:rsidRPr="00FA0D5F" w:rsidRDefault="002C7458" w:rsidP="00D13CB9">
      <w:pPr>
        <w:pStyle w:val="NormalWeb"/>
        <w:spacing w:before="0" w:beforeAutospacing="0" w:line="360" w:lineRule="auto"/>
        <w:ind w:left="1077" w:hanging="720"/>
      </w:pPr>
      <w:r w:rsidRPr="00FA0D5F">
        <w:rPr>
          <w:rStyle w:val="Textoennegrita"/>
          <w:b w:val="0"/>
        </w:rPr>
        <w:t>Hayes, S. C., Luoma, J. B., Bond, F. W., Masuda, A., &amp; Lillis, J. (2006).</w:t>
      </w:r>
      <w:r w:rsidRPr="00FA0D5F">
        <w:t> Acceptance and commitment therapy: Model, processes and outcomes. </w:t>
      </w:r>
      <w:proofErr w:type="spellStart"/>
      <w:r w:rsidRPr="00FA0D5F">
        <w:rPr>
          <w:rStyle w:val="nfasis"/>
        </w:rPr>
        <w:t>Behaviour</w:t>
      </w:r>
      <w:proofErr w:type="spellEnd"/>
      <w:r w:rsidRPr="00FA0D5F">
        <w:rPr>
          <w:rStyle w:val="nfasis"/>
        </w:rPr>
        <w:t xml:space="preserve"> Research and Therapy, 44</w:t>
      </w:r>
      <w:r w:rsidRPr="00FA0D5F">
        <w:t>(1), 1-25. </w:t>
      </w:r>
      <w:hyperlink r:id="rId22" w:tgtFrame="_blank" w:history="1">
        <w:r w:rsidRPr="00FA0D5F">
          <w:rPr>
            <w:rStyle w:val="Hipervnculo"/>
            <w:color w:val="auto"/>
            <w:u w:val="none"/>
          </w:rPr>
          <w:t>https://doi.org/10.1016/j.brat.2005.06.006</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 xml:space="preserve">Hayes, S. C., </w:t>
      </w:r>
      <w:proofErr w:type="spellStart"/>
      <w:r w:rsidRPr="00FA0D5F">
        <w:rPr>
          <w:rStyle w:val="Textoennegrita"/>
          <w:b w:val="0"/>
        </w:rPr>
        <w:t>Strosahl</w:t>
      </w:r>
      <w:proofErr w:type="spellEnd"/>
      <w:r w:rsidRPr="00FA0D5F">
        <w:rPr>
          <w:rStyle w:val="Textoennegrita"/>
          <w:b w:val="0"/>
        </w:rPr>
        <w:t>, K. D., &amp; Wilson, K. G. (2011).</w:t>
      </w:r>
      <w:r w:rsidRPr="00FA0D5F">
        <w:t> </w:t>
      </w:r>
      <w:r w:rsidRPr="00FA0D5F">
        <w:rPr>
          <w:rStyle w:val="nfasis"/>
        </w:rPr>
        <w:t>Acceptance and Commitment Therapy: The Process and Practice of Mindful Change</w:t>
      </w:r>
      <w:r w:rsidRPr="00FA0D5F">
        <w:t> (</w:t>
      </w:r>
      <w:proofErr w:type="gramStart"/>
      <w:r w:rsidRPr="00FA0D5F">
        <w:t>2nd</w:t>
      </w:r>
      <w:proofErr w:type="gramEnd"/>
      <w:r w:rsidRPr="00FA0D5F">
        <w:t xml:space="preserve"> ed.). Guilford Press.</w:t>
      </w:r>
    </w:p>
    <w:p w:rsidR="002C7458" w:rsidRPr="00FA0D5F" w:rsidRDefault="002C7458" w:rsidP="00D13CB9">
      <w:pPr>
        <w:pStyle w:val="NormalWeb"/>
        <w:spacing w:before="0" w:beforeAutospacing="0" w:line="360" w:lineRule="auto"/>
        <w:ind w:left="1077" w:hanging="720"/>
      </w:pPr>
      <w:r w:rsidRPr="00FA0D5F">
        <w:rPr>
          <w:rStyle w:val="Textoennegrita"/>
          <w:b w:val="0"/>
        </w:rPr>
        <w:t xml:space="preserve">Hayes, S. C., </w:t>
      </w:r>
      <w:proofErr w:type="spellStart"/>
      <w:r w:rsidRPr="00FA0D5F">
        <w:rPr>
          <w:rStyle w:val="Textoennegrita"/>
          <w:b w:val="0"/>
        </w:rPr>
        <w:t>Strosahl</w:t>
      </w:r>
      <w:proofErr w:type="spellEnd"/>
      <w:r w:rsidRPr="00FA0D5F">
        <w:rPr>
          <w:rStyle w:val="Textoennegrita"/>
          <w:b w:val="0"/>
        </w:rPr>
        <w:t>, K. D., &amp; Wilson, K. G. (2012).</w:t>
      </w:r>
      <w:r w:rsidRPr="00FA0D5F">
        <w:t> </w:t>
      </w:r>
      <w:r w:rsidRPr="00FA0D5F">
        <w:rPr>
          <w:rStyle w:val="nfasis"/>
        </w:rPr>
        <w:t>Acceptance and commitment therapy: The process and practice of mindful change</w:t>
      </w:r>
      <w:r w:rsidRPr="00FA0D5F">
        <w:t> (</w:t>
      </w:r>
      <w:proofErr w:type="gramStart"/>
      <w:r w:rsidRPr="00FA0D5F">
        <w:t>2nd</w:t>
      </w:r>
      <w:proofErr w:type="gramEnd"/>
      <w:r w:rsidRPr="00FA0D5F">
        <w:t xml:space="preserve"> ed.). Guilford Press.</w:t>
      </w:r>
    </w:p>
    <w:p w:rsidR="002C7458" w:rsidRPr="00FA0D5F" w:rsidRDefault="002C7458" w:rsidP="00D13CB9">
      <w:pPr>
        <w:pStyle w:val="NormalWeb"/>
        <w:spacing w:before="0" w:beforeAutospacing="0" w:line="360" w:lineRule="auto"/>
        <w:ind w:left="1077" w:hanging="720"/>
      </w:pPr>
      <w:r w:rsidRPr="00FA0D5F">
        <w:rPr>
          <w:rStyle w:val="Textoennegrita"/>
          <w:b w:val="0"/>
        </w:rPr>
        <w:t>Healy, H., Barnes-Holmes, Y., Barnes-Holmes, D., Keogh, C., Luciano, C., &amp; Wilson, K. (2008).</w:t>
      </w:r>
      <w:r w:rsidRPr="00FA0D5F">
        <w:t xml:space="preserve"> An experimental test of cognitive </w:t>
      </w:r>
      <w:proofErr w:type="spellStart"/>
      <w:r w:rsidRPr="00FA0D5F">
        <w:t>defusion</w:t>
      </w:r>
      <w:proofErr w:type="spellEnd"/>
      <w:r w:rsidRPr="00FA0D5F">
        <w:t xml:space="preserve"> exercise: coping with negative and positive self-statements. </w:t>
      </w:r>
      <w:r w:rsidRPr="00FA0D5F">
        <w:rPr>
          <w:rStyle w:val="nfasis"/>
        </w:rPr>
        <w:t>The Psychological Record, 58</w:t>
      </w:r>
      <w:r w:rsidRPr="00FA0D5F">
        <w:t>, 623-640. </w:t>
      </w:r>
      <w:hyperlink r:id="rId23" w:tgtFrame="_blank" w:history="1">
        <w:r w:rsidRPr="00FA0D5F">
          <w:rPr>
            <w:rStyle w:val="Hipervnculo"/>
            <w:color w:val="auto"/>
            <w:u w:val="none"/>
          </w:rPr>
          <w:t>https://doi.org/10.1007/BF03395641</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 xml:space="preserve">Hofmann, S. G., </w:t>
      </w:r>
      <w:proofErr w:type="spellStart"/>
      <w:r w:rsidRPr="00FA0D5F">
        <w:rPr>
          <w:rStyle w:val="Textoennegrita"/>
          <w:b w:val="0"/>
        </w:rPr>
        <w:t>Asnaani</w:t>
      </w:r>
      <w:proofErr w:type="spellEnd"/>
      <w:r w:rsidRPr="00FA0D5F">
        <w:rPr>
          <w:rStyle w:val="Textoennegrita"/>
          <w:b w:val="0"/>
        </w:rPr>
        <w:t xml:space="preserve">, A., </w:t>
      </w:r>
      <w:proofErr w:type="spellStart"/>
      <w:r w:rsidRPr="00FA0D5F">
        <w:rPr>
          <w:rStyle w:val="Textoennegrita"/>
          <w:b w:val="0"/>
        </w:rPr>
        <w:t>Vonk</w:t>
      </w:r>
      <w:proofErr w:type="spellEnd"/>
      <w:r w:rsidRPr="00FA0D5F">
        <w:rPr>
          <w:rStyle w:val="Textoennegrita"/>
          <w:b w:val="0"/>
        </w:rPr>
        <w:t>, I. J., Sawyer, A. T., &amp; Fang, A. (2012).</w:t>
      </w:r>
      <w:r w:rsidRPr="00FA0D5F">
        <w:t> The efficacy of cognitive behavioral therapy: A review of meta-analyses. </w:t>
      </w:r>
      <w:r w:rsidRPr="00FA0D5F">
        <w:rPr>
          <w:rStyle w:val="nfasis"/>
        </w:rPr>
        <w:t>Cognitive Therapy and Research, 36</w:t>
      </w:r>
      <w:r w:rsidRPr="00FA0D5F">
        <w:t>(5), 427-440. </w:t>
      </w:r>
      <w:hyperlink r:id="rId24" w:tgtFrame="_blank" w:history="1">
        <w:r w:rsidRPr="00FA0D5F">
          <w:rPr>
            <w:rStyle w:val="Hipervnculo"/>
            <w:color w:val="auto"/>
            <w:u w:val="none"/>
          </w:rPr>
          <w:t>https://doi.org/10.1007/s10608-012-9476-1</w:t>
        </w:r>
      </w:hyperlink>
    </w:p>
    <w:p w:rsidR="002C7458" w:rsidRPr="00FA0D5F" w:rsidRDefault="002C7458" w:rsidP="00D13CB9">
      <w:pPr>
        <w:pStyle w:val="NormalWeb"/>
        <w:spacing w:before="0" w:beforeAutospacing="0" w:line="360" w:lineRule="auto"/>
        <w:ind w:left="1077" w:hanging="720"/>
      </w:pPr>
      <w:proofErr w:type="spellStart"/>
      <w:r w:rsidRPr="00FA0D5F">
        <w:rPr>
          <w:rStyle w:val="Textoennegrita"/>
          <w:b w:val="0"/>
        </w:rPr>
        <w:t>Kalmbach</w:t>
      </w:r>
      <w:proofErr w:type="spellEnd"/>
      <w:r w:rsidRPr="00FA0D5F">
        <w:rPr>
          <w:rStyle w:val="Textoennegrita"/>
          <w:b w:val="0"/>
        </w:rPr>
        <w:t xml:space="preserve">, D. A., Pillai, V., &amp; </w:t>
      </w:r>
      <w:proofErr w:type="spellStart"/>
      <w:r w:rsidRPr="00FA0D5F">
        <w:rPr>
          <w:rStyle w:val="Textoennegrita"/>
          <w:b w:val="0"/>
        </w:rPr>
        <w:t>Ciesla</w:t>
      </w:r>
      <w:proofErr w:type="spellEnd"/>
      <w:r w:rsidRPr="00FA0D5F">
        <w:rPr>
          <w:rStyle w:val="Textoennegrita"/>
          <w:b w:val="0"/>
        </w:rPr>
        <w:t>, J. A. (2016).</w:t>
      </w:r>
      <w:r w:rsidRPr="00FA0D5F">
        <w:t> The role of sleep disturbances in the relationship between cognitive vulnerabilities and depression. </w:t>
      </w:r>
      <w:r w:rsidRPr="00FA0D5F">
        <w:rPr>
          <w:rStyle w:val="nfasis"/>
        </w:rPr>
        <w:t>Cognitive Therapy and Research, 40</w:t>
      </w:r>
      <w:r w:rsidRPr="00FA0D5F">
        <w:t>(2), 215-222. </w:t>
      </w:r>
      <w:hyperlink r:id="rId25" w:tgtFrame="_blank" w:history="1">
        <w:r w:rsidRPr="00FA0D5F">
          <w:rPr>
            <w:rStyle w:val="Hipervnculo"/>
            <w:color w:val="auto"/>
            <w:u w:val="none"/>
          </w:rPr>
          <w:t>https://doi.org/10.1007/s10608-015-9712-6</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 xml:space="preserve">Kraft, L., </w:t>
      </w:r>
      <w:proofErr w:type="spellStart"/>
      <w:r w:rsidRPr="00FA0D5F">
        <w:rPr>
          <w:rStyle w:val="Textoennegrita"/>
          <w:b w:val="0"/>
        </w:rPr>
        <w:t>Haeger</w:t>
      </w:r>
      <w:proofErr w:type="spellEnd"/>
      <w:r w:rsidRPr="00FA0D5F">
        <w:rPr>
          <w:rStyle w:val="Textoennegrita"/>
          <w:b w:val="0"/>
        </w:rPr>
        <w:t>, J. A., &amp; Levin, M. E. (2018).</w:t>
      </w:r>
      <w:r w:rsidRPr="00FA0D5F">
        <w:t xml:space="preserve"> Fostering psychological flexibility to reduce clinical distress: Acceptance and Commitment Therapy as a case </w:t>
      </w:r>
      <w:r w:rsidRPr="00FA0D5F">
        <w:lastRenderedPageBreak/>
        <w:t>example. </w:t>
      </w:r>
      <w:r w:rsidRPr="00FA0D5F">
        <w:rPr>
          <w:rStyle w:val="nfasis"/>
        </w:rPr>
        <w:t>Journal of Psychotherapy Integration, 28</w:t>
      </w:r>
      <w:r w:rsidRPr="00FA0D5F">
        <w:t>(4), 438-455. </w:t>
      </w:r>
      <w:hyperlink r:id="rId26" w:tgtFrame="_blank" w:history="1">
        <w:r w:rsidRPr="00FA0D5F">
          <w:rPr>
            <w:rStyle w:val="Hipervnculo"/>
            <w:color w:val="auto"/>
            <w:u w:val="none"/>
          </w:rPr>
          <w:t>https://doi.org/10.1037/int0000137</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Larsson, A., Hooper, N., Osborne, L. A., &amp; McHugh, L. (2016).</w:t>
      </w:r>
      <w:r w:rsidRPr="00FA0D5F">
        <w:t xml:space="preserve"> The role of psychological flexibility and </w:t>
      </w:r>
      <w:proofErr w:type="spellStart"/>
      <w:r w:rsidRPr="00FA0D5F">
        <w:t>defusion</w:t>
      </w:r>
      <w:proofErr w:type="spellEnd"/>
      <w:r w:rsidRPr="00FA0D5F">
        <w:t xml:space="preserve"> in predicting well-being: A meta-analysis. </w:t>
      </w:r>
      <w:r w:rsidRPr="00FA0D5F">
        <w:rPr>
          <w:rStyle w:val="nfasis"/>
        </w:rPr>
        <w:t>Behavior Modification, 40</w:t>
      </w:r>
      <w:r w:rsidRPr="00FA0D5F">
        <w:t>(6), 863-888. </w:t>
      </w:r>
      <w:hyperlink r:id="rId27" w:tgtFrame="_blank" w:history="1">
        <w:r w:rsidRPr="00FA0D5F">
          <w:rPr>
            <w:rStyle w:val="Hipervnculo"/>
            <w:color w:val="auto"/>
            <w:u w:val="none"/>
          </w:rPr>
          <w:t>https://doi.org/10.1177/0145445516647132</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Larsson, A., Hooper, N., Osborne, L. A., Bennett, P., &amp; McHugh, L. (2016).</w:t>
      </w:r>
      <w:r w:rsidRPr="00FA0D5F">
        <w:t xml:space="preserve"> Using Brief Cognitive Restructuring and Cognitive </w:t>
      </w:r>
      <w:proofErr w:type="spellStart"/>
      <w:r w:rsidRPr="00FA0D5F">
        <w:t>Defusion</w:t>
      </w:r>
      <w:proofErr w:type="spellEnd"/>
      <w:r w:rsidRPr="00FA0D5F">
        <w:t xml:space="preserve"> Techniques to Cope With Negative Thoughts. </w:t>
      </w:r>
      <w:r w:rsidRPr="00FA0D5F">
        <w:rPr>
          <w:rStyle w:val="nfasis"/>
        </w:rPr>
        <w:t>Behavior Modification, 40</w:t>
      </w:r>
      <w:r w:rsidRPr="00FA0D5F">
        <w:t>(3), 452-482. </w:t>
      </w:r>
      <w:hyperlink r:id="rId28" w:tgtFrame="_blank" w:history="1">
        <w:r w:rsidRPr="00FA0D5F">
          <w:rPr>
            <w:rStyle w:val="Hipervnculo"/>
            <w:color w:val="auto"/>
            <w:u w:val="none"/>
          </w:rPr>
          <w:t>https://doi.org/10.1177/0145445515621488</w:t>
        </w:r>
      </w:hyperlink>
    </w:p>
    <w:p w:rsidR="002C7458" w:rsidRPr="00FA0D5F" w:rsidRDefault="002C7458" w:rsidP="00D13CB9">
      <w:pPr>
        <w:pStyle w:val="NormalWeb"/>
        <w:spacing w:before="0" w:beforeAutospacing="0" w:line="360" w:lineRule="auto"/>
        <w:ind w:left="1077" w:hanging="720"/>
        <w:rPr>
          <w:lang w:val="es-CO"/>
        </w:rPr>
      </w:pPr>
      <w:proofErr w:type="spellStart"/>
      <w:r w:rsidRPr="00FA0D5F">
        <w:rPr>
          <w:rStyle w:val="Textoennegrita"/>
          <w:b w:val="0"/>
        </w:rPr>
        <w:t>Lovibond</w:t>
      </w:r>
      <w:proofErr w:type="spellEnd"/>
      <w:r w:rsidRPr="00FA0D5F">
        <w:rPr>
          <w:rStyle w:val="Textoennegrita"/>
          <w:b w:val="0"/>
        </w:rPr>
        <w:t xml:space="preserve">, S. H., &amp; </w:t>
      </w:r>
      <w:proofErr w:type="spellStart"/>
      <w:r w:rsidRPr="00FA0D5F">
        <w:rPr>
          <w:rStyle w:val="Textoennegrita"/>
          <w:b w:val="0"/>
        </w:rPr>
        <w:t>Lovibond</w:t>
      </w:r>
      <w:proofErr w:type="spellEnd"/>
      <w:r w:rsidRPr="00FA0D5F">
        <w:rPr>
          <w:rStyle w:val="Textoennegrita"/>
          <w:b w:val="0"/>
        </w:rPr>
        <w:t>, P. F. (1995).</w:t>
      </w:r>
      <w:r w:rsidRPr="00FA0D5F">
        <w:t> </w:t>
      </w:r>
      <w:r w:rsidRPr="00FA0D5F">
        <w:rPr>
          <w:rStyle w:val="nfasis"/>
        </w:rPr>
        <w:t>Manual for the Depression Anxiety Stress Scales</w:t>
      </w:r>
      <w:r w:rsidRPr="00FA0D5F">
        <w:t> (</w:t>
      </w:r>
      <w:proofErr w:type="gramStart"/>
      <w:r w:rsidRPr="00FA0D5F">
        <w:t>2nd</w:t>
      </w:r>
      <w:proofErr w:type="gramEnd"/>
      <w:r w:rsidRPr="00FA0D5F">
        <w:t xml:space="preserve"> ed.). </w:t>
      </w:r>
      <w:r w:rsidRPr="00FA0D5F">
        <w:rPr>
          <w:lang w:val="es-CO"/>
        </w:rPr>
        <w:t>Psychology Foundation.</w:t>
      </w:r>
    </w:p>
    <w:p w:rsidR="002C7458" w:rsidRPr="00FA0D5F" w:rsidRDefault="002C7458" w:rsidP="00D13CB9">
      <w:pPr>
        <w:pStyle w:val="NormalWeb"/>
        <w:spacing w:before="0" w:beforeAutospacing="0" w:line="360" w:lineRule="auto"/>
        <w:ind w:left="1077" w:hanging="720"/>
      </w:pPr>
      <w:r w:rsidRPr="00FA0D5F">
        <w:rPr>
          <w:rStyle w:val="Textoennegrita"/>
          <w:b w:val="0"/>
          <w:lang w:val="es-CO"/>
        </w:rPr>
        <w:t>Luciano, C., Ruiz, F. J., Vizcaíno Torres, R. M., Sánchez Martín, V., Gutiérrez Martínez, O., &amp; López López, J. C. (2011).</w:t>
      </w:r>
      <w:r w:rsidRPr="00FA0D5F">
        <w:rPr>
          <w:lang w:val="es-CO"/>
        </w:rPr>
        <w:t> </w:t>
      </w:r>
      <w:r w:rsidRPr="00FA0D5F">
        <w:t>A relational frame analysis of defusion interactions in Acceptance and Commitment Therapy. </w:t>
      </w:r>
      <w:r w:rsidRPr="00FA0D5F">
        <w:rPr>
          <w:rStyle w:val="nfasis"/>
        </w:rPr>
        <w:t>International Journal of Psychology and Psychological Therapy, 11</w:t>
      </w:r>
      <w:r w:rsidRPr="00FA0D5F">
        <w:t>, 165-182.</w:t>
      </w:r>
    </w:p>
    <w:p w:rsidR="002C7458" w:rsidRPr="00FA0D5F" w:rsidRDefault="002C7458" w:rsidP="00D13CB9">
      <w:pPr>
        <w:pStyle w:val="NormalWeb"/>
        <w:spacing w:before="0" w:beforeAutospacing="0" w:line="360" w:lineRule="auto"/>
        <w:ind w:left="1077" w:hanging="720"/>
      </w:pPr>
      <w:r w:rsidRPr="00FA0D5F">
        <w:rPr>
          <w:rStyle w:val="Textoennegrita"/>
          <w:b w:val="0"/>
        </w:rPr>
        <w:t>Masuda, A., Feinstein, A. B., Wendell, J. W., &amp; Sheehan, S. T. (2010).</w:t>
      </w:r>
      <w:r w:rsidRPr="00FA0D5F">
        <w:t xml:space="preserve"> Cognitive </w:t>
      </w:r>
      <w:proofErr w:type="spellStart"/>
      <w:r w:rsidRPr="00FA0D5F">
        <w:t>Defusion</w:t>
      </w:r>
      <w:proofErr w:type="spellEnd"/>
      <w:r w:rsidRPr="00FA0D5F">
        <w:t xml:space="preserve"> </w:t>
      </w:r>
      <w:proofErr w:type="gramStart"/>
      <w:r w:rsidRPr="00FA0D5F">
        <w:t>Versus</w:t>
      </w:r>
      <w:proofErr w:type="gramEnd"/>
      <w:r w:rsidRPr="00FA0D5F">
        <w:t xml:space="preserve"> Thought Distraction: A Clinical Rationale, Training, and Experiential Exercise in Altering Psychological Impacts of Negative Self-Referential Thoughts. </w:t>
      </w:r>
      <w:r w:rsidRPr="00FA0D5F">
        <w:rPr>
          <w:rStyle w:val="nfasis"/>
        </w:rPr>
        <w:t>Behavior Modification, 34</w:t>
      </w:r>
      <w:r w:rsidRPr="00FA0D5F">
        <w:t>(6), 520-538. </w:t>
      </w:r>
      <w:hyperlink r:id="rId29" w:tgtFrame="_blank" w:history="1">
        <w:r w:rsidRPr="00FA0D5F">
          <w:rPr>
            <w:rStyle w:val="Hipervnculo"/>
            <w:color w:val="auto"/>
            <w:u w:val="none"/>
          </w:rPr>
          <w:t>https://doi.org/10.1177/0145445510379632</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 xml:space="preserve">Masuda, A., Hayes, S. C., </w:t>
      </w:r>
      <w:proofErr w:type="spellStart"/>
      <w:r w:rsidRPr="00FA0D5F">
        <w:rPr>
          <w:rStyle w:val="Textoennegrita"/>
          <w:b w:val="0"/>
        </w:rPr>
        <w:t>Sackett</w:t>
      </w:r>
      <w:proofErr w:type="spellEnd"/>
      <w:r w:rsidRPr="00FA0D5F">
        <w:rPr>
          <w:rStyle w:val="Textoennegrita"/>
          <w:b w:val="0"/>
        </w:rPr>
        <w:t xml:space="preserve">, C. F., &amp; </w:t>
      </w:r>
      <w:proofErr w:type="spellStart"/>
      <w:r w:rsidRPr="00FA0D5F">
        <w:rPr>
          <w:rStyle w:val="Textoennegrita"/>
          <w:b w:val="0"/>
        </w:rPr>
        <w:t>Twohig</w:t>
      </w:r>
      <w:proofErr w:type="spellEnd"/>
      <w:r w:rsidRPr="00FA0D5F">
        <w:rPr>
          <w:rStyle w:val="Textoennegrita"/>
          <w:b w:val="0"/>
        </w:rPr>
        <w:t>, M. P. (2004).</w:t>
      </w:r>
      <w:r w:rsidRPr="00FA0D5F">
        <w:t xml:space="preserve"> Cognitive </w:t>
      </w:r>
      <w:proofErr w:type="spellStart"/>
      <w:r w:rsidRPr="00FA0D5F">
        <w:t>defusion</w:t>
      </w:r>
      <w:proofErr w:type="spellEnd"/>
      <w:r w:rsidRPr="00FA0D5F">
        <w:t xml:space="preserve"> and self-referential negative thoughts: Examining the impact of a ninety-year-old technique. </w:t>
      </w:r>
      <w:proofErr w:type="spellStart"/>
      <w:r w:rsidRPr="00FA0D5F">
        <w:rPr>
          <w:rStyle w:val="nfasis"/>
        </w:rPr>
        <w:t>Behaviour</w:t>
      </w:r>
      <w:proofErr w:type="spellEnd"/>
      <w:r w:rsidRPr="00FA0D5F">
        <w:rPr>
          <w:rStyle w:val="nfasis"/>
        </w:rPr>
        <w:t xml:space="preserve"> Research and Therapy, 42</w:t>
      </w:r>
      <w:r w:rsidRPr="00FA0D5F">
        <w:t>(4), 477-485. </w:t>
      </w:r>
      <w:hyperlink r:id="rId30" w:tgtFrame="_blank" w:history="1">
        <w:r w:rsidRPr="00FA0D5F">
          <w:rPr>
            <w:rStyle w:val="Hipervnculo"/>
            <w:color w:val="auto"/>
            <w:u w:val="none"/>
          </w:rPr>
          <w:t>https://doi.org/10.1016/j.brat.2003.10.008</w:t>
        </w:r>
      </w:hyperlink>
    </w:p>
    <w:p w:rsidR="002C7458" w:rsidRPr="00FA0D5F" w:rsidRDefault="002C7458" w:rsidP="00D13CB9">
      <w:pPr>
        <w:pStyle w:val="NormalWeb"/>
        <w:spacing w:before="0" w:beforeAutospacing="0" w:line="360" w:lineRule="auto"/>
        <w:ind w:left="1077" w:hanging="720"/>
        <w:rPr>
          <w:lang w:val="es-CO"/>
        </w:rPr>
      </w:pPr>
      <w:proofErr w:type="spellStart"/>
      <w:r w:rsidRPr="00D13CB9">
        <w:rPr>
          <w:rStyle w:val="Textoennegrita"/>
          <w:b w:val="0"/>
          <w:lang w:val="es-CO"/>
        </w:rPr>
        <w:lastRenderedPageBreak/>
        <w:t>Nima</w:t>
      </w:r>
      <w:proofErr w:type="spellEnd"/>
      <w:r w:rsidRPr="00D13CB9">
        <w:rPr>
          <w:rStyle w:val="Textoennegrita"/>
          <w:b w:val="0"/>
          <w:lang w:val="es-CO"/>
        </w:rPr>
        <w:t xml:space="preserve"> </w:t>
      </w:r>
      <w:proofErr w:type="spellStart"/>
      <w:r w:rsidRPr="00D13CB9">
        <w:rPr>
          <w:rStyle w:val="Textoennegrita"/>
          <w:b w:val="0"/>
          <w:lang w:val="es-CO"/>
        </w:rPr>
        <w:t>Berru</w:t>
      </w:r>
      <w:proofErr w:type="spellEnd"/>
      <w:r w:rsidRPr="00D13CB9">
        <w:rPr>
          <w:rStyle w:val="Textoennegrita"/>
          <w:b w:val="0"/>
          <w:lang w:val="es-CO"/>
        </w:rPr>
        <w:t>, M. (2020).</w:t>
      </w:r>
      <w:r w:rsidRPr="00D13CB9">
        <w:rPr>
          <w:lang w:val="es-CO"/>
        </w:rPr>
        <w:t> </w:t>
      </w:r>
      <w:r w:rsidRPr="00FA0D5F">
        <w:rPr>
          <w:rStyle w:val="nfasis"/>
          <w:lang w:val="es-CO"/>
        </w:rPr>
        <w:t>Validación del Inventario de Ansiedad de Beck en población de Tumbes, Perú</w:t>
      </w:r>
      <w:r w:rsidRPr="00FA0D5F">
        <w:rPr>
          <w:lang w:val="es-CO"/>
        </w:rPr>
        <w:t>. Universidad Nacional de Tumbes. </w:t>
      </w:r>
      <w:hyperlink r:id="rId31" w:tgtFrame="_blank" w:history="1">
        <w:r w:rsidRPr="00FA0D5F">
          <w:rPr>
            <w:rStyle w:val="Hipervnculo"/>
            <w:color w:val="auto"/>
            <w:u w:val="none"/>
            <w:lang w:val="es-CO"/>
          </w:rPr>
          <w:t>https://repositorio.untumbes.edu.pe/bitstream/handle/20.500.12874/64446</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Nolen-</w:t>
      </w:r>
      <w:proofErr w:type="spellStart"/>
      <w:r w:rsidRPr="00FA0D5F">
        <w:rPr>
          <w:rStyle w:val="Textoennegrita"/>
          <w:b w:val="0"/>
        </w:rPr>
        <w:t>Hoeksema</w:t>
      </w:r>
      <w:proofErr w:type="spellEnd"/>
      <w:r w:rsidRPr="00FA0D5F">
        <w:rPr>
          <w:rStyle w:val="Textoennegrita"/>
          <w:b w:val="0"/>
        </w:rPr>
        <w:t>, S. (2000).</w:t>
      </w:r>
      <w:r w:rsidRPr="00FA0D5F">
        <w:t> The role of rumination in depressive disorders and mixed anxiety/depressive symptoms. </w:t>
      </w:r>
      <w:r w:rsidRPr="00FA0D5F">
        <w:rPr>
          <w:rStyle w:val="nfasis"/>
        </w:rPr>
        <w:t>Journal of Abnormal Psychology, 109</w:t>
      </w:r>
      <w:r w:rsidRPr="00FA0D5F">
        <w:t>(3), 504-511. </w:t>
      </w:r>
      <w:hyperlink r:id="rId32" w:tgtFrame="_blank" w:history="1">
        <w:r w:rsidRPr="00FA0D5F">
          <w:rPr>
            <w:rStyle w:val="Hipervnculo"/>
            <w:color w:val="auto"/>
            <w:u w:val="none"/>
          </w:rPr>
          <w:t>https://doi.org/10.1037/0021-843X.109.3.504</w:t>
        </w:r>
      </w:hyperlink>
    </w:p>
    <w:p w:rsidR="002C7458" w:rsidRPr="00FA0D5F" w:rsidRDefault="002C7458" w:rsidP="00D13CB9">
      <w:pPr>
        <w:pStyle w:val="NormalWeb"/>
        <w:spacing w:before="0" w:beforeAutospacing="0" w:line="360" w:lineRule="auto"/>
        <w:ind w:left="1077" w:hanging="720"/>
      </w:pPr>
      <w:r w:rsidRPr="00FA0D5F">
        <w:rPr>
          <w:rStyle w:val="Textoennegrita"/>
          <w:b w:val="0"/>
        </w:rPr>
        <w:t>Norton, P. J., &amp; Price, E. C. (2007).</w:t>
      </w:r>
      <w:r w:rsidRPr="00FA0D5F">
        <w:t> A meta-analytic review of adult cognitive-behavioral treatment outcome across the anxiety disorders. </w:t>
      </w:r>
      <w:r w:rsidRPr="00FA0D5F">
        <w:rPr>
          <w:rStyle w:val="nfasis"/>
        </w:rPr>
        <w:t>Journal of Nervous and Mental Disease, 195</w:t>
      </w:r>
      <w:r w:rsidRPr="00FA0D5F">
        <w:t>(6), 521-531. </w:t>
      </w:r>
      <w:hyperlink r:id="rId33" w:tgtFrame="_blank" w:history="1">
        <w:r w:rsidRPr="00FA0D5F">
          <w:rPr>
            <w:rStyle w:val="Hipervnculo"/>
            <w:color w:val="auto"/>
            <w:u w:val="none"/>
          </w:rPr>
          <w:t>https://doi.org/10.1097/NMD.0b013e31803044a8</w:t>
        </w:r>
      </w:hyperlink>
    </w:p>
    <w:p w:rsidR="002C7458" w:rsidRPr="00FA0D5F" w:rsidRDefault="002C7458" w:rsidP="00D13CB9">
      <w:pPr>
        <w:pStyle w:val="NormalWeb"/>
        <w:spacing w:before="0" w:beforeAutospacing="0" w:line="360" w:lineRule="auto"/>
        <w:ind w:left="1077" w:hanging="720"/>
        <w:rPr>
          <w:lang w:val="es-CO"/>
        </w:rPr>
      </w:pPr>
      <w:r w:rsidRPr="00FA0D5F">
        <w:rPr>
          <w:rStyle w:val="Textoennegrita"/>
          <w:b w:val="0"/>
          <w:lang w:val="es-CO"/>
        </w:rPr>
        <w:t>Padilla, M. (2018).</w:t>
      </w:r>
      <w:r w:rsidRPr="00FA0D5F">
        <w:rPr>
          <w:lang w:val="es-CO"/>
        </w:rPr>
        <w:t> Relación entre cognición negativa y trastornos emocionales. </w:t>
      </w:r>
      <w:r w:rsidRPr="00FA0D5F">
        <w:rPr>
          <w:rStyle w:val="nfasis"/>
          <w:lang w:val="es-CO"/>
        </w:rPr>
        <w:t>Revista de Psicología Clínica, 28</w:t>
      </w:r>
      <w:r w:rsidRPr="00FA0D5F">
        <w:rPr>
          <w:lang w:val="es-CO"/>
        </w:rPr>
        <w:t>(3), 231-240.</w:t>
      </w:r>
    </w:p>
    <w:p w:rsidR="002C7458" w:rsidRPr="00FA0D5F" w:rsidRDefault="002C7458" w:rsidP="00D13CB9">
      <w:pPr>
        <w:pStyle w:val="NormalWeb"/>
        <w:spacing w:before="0" w:beforeAutospacing="0" w:line="360" w:lineRule="auto"/>
        <w:ind w:left="1077" w:hanging="720"/>
      </w:pPr>
      <w:r w:rsidRPr="00FA0D5F">
        <w:rPr>
          <w:rStyle w:val="Textoennegrita"/>
          <w:b w:val="0"/>
          <w:lang w:val="es-CO"/>
        </w:rPr>
        <w:t>Ruiz, F. J., García-Martín, M. B., Suárez-Falcón, J. C., &amp; Odriozola-González, P. (2017).</w:t>
      </w:r>
      <w:r w:rsidRPr="00FA0D5F">
        <w:rPr>
          <w:lang w:val="es-CO"/>
        </w:rPr>
        <w:t> </w:t>
      </w:r>
      <w:r w:rsidRPr="00FA0D5F">
        <w:t>The hierarchical factor structure of the Spanish version of the Depression Anxiety and Stress Scale--21. </w:t>
      </w:r>
      <w:r w:rsidRPr="00FA0D5F">
        <w:rPr>
          <w:rStyle w:val="nfasis"/>
        </w:rPr>
        <w:t>International Journal of Psychology and Psychological Therapy, 17</w:t>
      </w:r>
      <w:r w:rsidRPr="00FA0D5F">
        <w:t>(1), 97-105.</w:t>
      </w:r>
    </w:p>
    <w:p w:rsidR="002C7458" w:rsidRPr="00FA0D5F" w:rsidRDefault="002C7458" w:rsidP="00D13CB9">
      <w:pPr>
        <w:pStyle w:val="NormalWeb"/>
        <w:spacing w:before="0" w:beforeAutospacing="0" w:line="360" w:lineRule="auto"/>
        <w:ind w:left="1077" w:hanging="720"/>
      </w:pPr>
      <w:r w:rsidRPr="003D4BB4">
        <w:rPr>
          <w:rStyle w:val="Textoennegrita"/>
          <w:b w:val="0"/>
        </w:rPr>
        <w:t xml:space="preserve">Ruiz, F. J., </w:t>
      </w:r>
      <w:proofErr w:type="spellStart"/>
      <w:r w:rsidRPr="003D4BB4">
        <w:rPr>
          <w:rStyle w:val="Textoennegrita"/>
          <w:b w:val="0"/>
        </w:rPr>
        <w:t>Odriozola</w:t>
      </w:r>
      <w:proofErr w:type="spellEnd"/>
      <w:r w:rsidRPr="003D4BB4">
        <w:rPr>
          <w:rStyle w:val="Textoennegrita"/>
          <w:b w:val="0"/>
        </w:rPr>
        <w:t>-González, P., &amp; Suárez-Falcón, J. C. (2018).</w:t>
      </w:r>
      <w:r w:rsidRPr="003D4BB4">
        <w:t> </w:t>
      </w:r>
      <w:r w:rsidRPr="00FA0D5F">
        <w:t>The effect of acceptance and commitment therapy on anxiety and depression: A meta-analytic review. </w:t>
      </w:r>
      <w:r w:rsidRPr="00FA0D5F">
        <w:rPr>
          <w:rStyle w:val="nfasis"/>
        </w:rPr>
        <w:t>Journal of Contextual Behavioral Science, 10</w:t>
      </w:r>
      <w:r w:rsidRPr="00FA0D5F">
        <w:t>, 55-62. </w:t>
      </w:r>
      <w:hyperlink r:id="rId34" w:tgtFrame="_blank" w:history="1">
        <w:r w:rsidRPr="00FA0D5F">
          <w:rPr>
            <w:rStyle w:val="Hipervnculo"/>
            <w:color w:val="auto"/>
            <w:u w:val="none"/>
          </w:rPr>
          <w:t>https://doi.org/10.1016/j.jcbs.2018.08.002</w:t>
        </w:r>
      </w:hyperlink>
    </w:p>
    <w:p w:rsidR="002C7458" w:rsidRPr="00FA0D5F" w:rsidRDefault="002C7458" w:rsidP="00D13CB9">
      <w:pPr>
        <w:pStyle w:val="NormalWeb"/>
        <w:spacing w:before="0" w:beforeAutospacing="0" w:line="360" w:lineRule="auto"/>
        <w:ind w:left="1077" w:hanging="720"/>
      </w:pPr>
      <w:r w:rsidRPr="00FA0D5F">
        <w:rPr>
          <w:rStyle w:val="Textoennegrita"/>
          <w:b w:val="0"/>
          <w:lang w:val="es-CO"/>
        </w:rPr>
        <w:t>Ruiz, F. J., Suárez-Falcón, J. C., Riaño-Hernández, D., &amp; Gillanders, D. (2017).</w:t>
      </w:r>
      <w:r w:rsidRPr="00FA0D5F">
        <w:rPr>
          <w:lang w:val="es-CO"/>
        </w:rPr>
        <w:t> Propiedades psicométricas del Cuestionario de Fusión Cognitiva en Colombia. </w:t>
      </w:r>
      <w:r w:rsidRPr="00FA0D5F">
        <w:rPr>
          <w:rStyle w:val="nfasis"/>
          <w:lang w:val="es-CO"/>
        </w:rPr>
        <w:t>Revista Latinoamericana de Psicología, 49</w:t>
      </w:r>
      <w:r w:rsidRPr="00FA0D5F">
        <w:rPr>
          <w:lang w:val="es-CO"/>
        </w:rPr>
        <w:t>(1), 80-87. </w:t>
      </w:r>
      <w:hyperlink r:id="rId35" w:tgtFrame="_blank" w:history="1">
        <w:r w:rsidRPr="00FA0D5F">
          <w:rPr>
            <w:rStyle w:val="Hipervnculo"/>
            <w:color w:val="auto"/>
            <w:u w:val="none"/>
          </w:rPr>
          <w:t>https://doi.org/10.1016/j.rlp.2016.09.006</w:t>
        </w:r>
      </w:hyperlink>
    </w:p>
    <w:p w:rsidR="002C7458" w:rsidRPr="00FA0D5F" w:rsidRDefault="002C7458" w:rsidP="00D13CB9">
      <w:pPr>
        <w:pStyle w:val="NormalWeb"/>
        <w:spacing w:before="0" w:beforeAutospacing="0" w:line="360" w:lineRule="auto"/>
        <w:ind w:left="1077" w:hanging="720"/>
      </w:pPr>
      <w:r w:rsidRPr="00FA0D5F">
        <w:lastRenderedPageBreak/>
        <w:t xml:space="preserve">The jamovi project. (2024). </w:t>
      </w:r>
      <w:proofErr w:type="spellStart"/>
      <w:r w:rsidRPr="00FA0D5F">
        <w:rPr>
          <w:rStyle w:val="nfasis"/>
        </w:rPr>
        <w:t>jamovi</w:t>
      </w:r>
      <w:proofErr w:type="spellEnd"/>
      <w:r w:rsidRPr="00FA0D5F">
        <w:t xml:space="preserve"> (Version 2.6) [Computer software]. Retrieved from </w:t>
      </w:r>
      <w:hyperlink r:id="rId36" w:history="1">
        <w:r w:rsidRPr="00FA0D5F">
          <w:rPr>
            <w:rStyle w:val="Hipervnculo"/>
            <w:color w:val="auto"/>
            <w:u w:val="none"/>
          </w:rPr>
          <w:t>https://www.jamovi.org</w:t>
        </w:r>
      </w:hyperlink>
    </w:p>
    <w:p w:rsidR="002C7458" w:rsidRPr="00FA0D5F" w:rsidRDefault="002C7458" w:rsidP="00D13CB9">
      <w:pPr>
        <w:pStyle w:val="NormalWeb"/>
        <w:spacing w:before="0" w:beforeAutospacing="0" w:line="360" w:lineRule="auto"/>
        <w:ind w:left="1077" w:hanging="720"/>
        <w:rPr>
          <w:lang w:val="es-CO"/>
        </w:rPr>
      </w:pPr>
      <w:proofErr w:type="spellStart"/>
      <w:r w:rsidRPr="00D13CB9">
        <w:rPr>
          <w:rStyle w:val="Textoennegrita"/>
          <w:b w:val="0"/>
          <w:lang w:val="es-CO"/>
        </w:rPr>
        <w:t>Vizioli</w:t>
      </w:r>
      <w:proofErr w:type="spellEnd"/>
      <w:r w:rsidRPr="00D13CB9">
        <w:rPr>
          <w:rStyle w:val="Textoennegrita"/>
          <w:b w:val="0"/>
          <w:lang w:val="es-CO"/>
        </w:rPr>
        <w:t>, N. A., &amp; Pagan, A. E. (2021).</w:t>
      </w:r>
      <w:r w:rsidRPr="00D13CB9">
        <w:rPr>
          <w:lang w:val="es-CO"/>
        </w:rPr>
        <w:t> </w:t>
      </w:r>
      <w:r w:rsidRPr="00FA0D5F">
        <w:rPr>
          <w:lang w:val="es-CO"/>
        </w:rPr>
        <w:t>Inventario de Ansiedad de Beck: validez estructural y fiabilidad a través de distintos métodos de estimación en población argentina. </w:t>
      </w:r>
      <w:r w:rsidRPr="00FA0D5F">
        <w:rPr>
          <w:rStyle w:val="nfasis"/>
          <w:lang w:val="es-CO"/>
        </w:rPr>
        <w:t>Acta Colombiana de Psicología, 25</w:t>
      </w:r>
      <w:r w:rsidRPr="00FA0D5F">
        <w:rPr>
          <w:lang w:val="es-CO"/>
        </w:rPr>
        <w:t>(1), 28-41. </w:t>
      </w:r>
      <w:hyperlink r:id="rId37" w:tgtFrame="_blank" w:history="1">
        <w:r w:rsidRPr="00FA0D5F">
          <w:rPr>
            <w:rStyle w:val="Hipervnculo"/>
            <w:color w:val="auto"/>
            <w:u w:val="none"/>
            <w:lang w:val="es-CO"/>
          </w:rPr>
          <w:t>https://doi.org/10.14718/ACP.2022.25.1.3</w:t>
        </w:r>
      </w:hyperlink>
    </w:p>
    <w:p w:rsidR="002C7458" w:rsidRPr="00FA0D5F" w:rsidRDefault="002C7458" w:rsidP="00D13CB9">
      <w:pPr>
        <w:pStyle w:val="NormalWeb"/>
        <w:spacing w:before="0" w:beforeAutospacing="0" w:line="360" w:lineRule="auto"/>
        <w:ind w:left="1077" w:hanging="720"/>
        <w:rPr>
          <w:lang w:val="es-CO"/>
        </w:rPr>
      </w:pPr>
      <w:r w:rsidRPr="00FA0D5F">
        <w:rPr>
          <w:rStyle w:val="Textoennegrita"/>
          <w:b w:val="0"/>
          <w:lang w:val="es-CO"/>
        </w:rPr>
        <w:t>Watkins, E. R. (2008).</w:t>
      </w:r>
      <w:r w:rsidRPr="00FA0D5F">
        <w:rPr>
          <w:lang w:val="es-CO"/>
        </w:rPr>
        <w:t> </w:t>
      </w:r>
      <w:r w:rsidRPr="00FA0D5F">
        <w:t>Constructive and unconstructive repetitive thought. </w:t>
      </w:r>
      <w:r w:rsidRPr="00FA0D5F">
        <w:rPr>
          <w:rStyle w:val="nfasis"/>
          <w:lang w:val="es-CO"/>
        </w:rPr>
        <w:t>Psychological Bulletin, 134</w:t>
      </w:r>
      <w:r w:rsidRPr="00FA0D5F">
        <w:rPr>
          <w:lang w:val="es-CO"/>
        </w:rPr>
        <w:t>(2), 163-206. </w:t>
      </w:r>
      <w:hyperlink r:id="rId38" w:tgtFrame="_blank" w:history="1">
        <w:r w:rsidRPr="00FA0D5F">
          <w:rPr>
            <w:rStyle w:val="Hipervnculo"/>
            <w:color w:val="auto"/>
            <w:u w:val="none"/>
            <w:lang w:val="es-CO"/>
          </w:rPr>
          <w:t>https://doi.org/10.1037/0033-2909.134.2.163</w:t>
        </w:r>
      </w:hyperlink>
    </w:p>
    <w:p w:rsidR="002C7458" w:rsidRPr="00FA0D5F" w:rsidRDefault="002C7458" w:rsidP="00D13CB9">
      <w:pPr>
        <w:pStyle w:val="NormalWeb"/>
        <w:spacing w:before="0" w:beforeAutospacing="0" w:line="360" w:lineRule="auto"/>
        <w:ind w:left="1077" w:hanging="720"/>
        <w:rPr>
          <w:lang w:val="es-CO"/>
        </w:rPr>
      </w:pPr>
      <w:r w:rsidRPr="00FA0D5F">
        <w:rPr>
          <w:rStyle w:val="Textoennegrita"/>
          <w:b w:val="0"/>
          <w:lang w:val="es-CO"/>
        </w:rPr>
        <w:t>Wilson, K. G., &amp; Luciano, M. C. (2002).</w:t>
      </w:r>
      <w:r w:rsidRPr="00FA0D5F">
        <w:rPr>
          <w:lang w:val="es-CO"/>
        </w:rPr>
        <w:t> </w:t>
      </w:r>
      <w:r w:rsidRPr="00FA0D5F">
        <w:rPr>
          <w:rStyle w:val="nfasis"/>
          <w:lang w:val="es-CO"/>
        </w:rPr>
        <w:t>Terapia de Aceptación y compromiso (ACT). Un tratamiento orientado a los valores</w:t>
      </w:r>
      <w:r w:rsidRPr="00FA0D5F">
        <w:rPr>
          <w:lang w:val="es-CO"/>
        </w:rPr>
        <w:t>. Pirámide.</w:t>
      </w:r>
    </w:p>
    <w:p w:rsidR="002C7458" w:rsidRPr="00FA0D5F" w:rsidRDefault="002C7458" w:rsidP="00D13CB9">
      <w:pPr>
        <w:pStyle w:val="NormalWeb"/>
        <w:spacing w:before="0" w:beforeAutospacing="0" w:line="360" w:lineRule="auto"/>
        <w:ind w:left="1077" w:hanging="720"/>
        <w:rPr>
          <w:shd w:val="clear" w:color="auto" w:fill="FFFFFF"/>
          <w:lang w:val="es-CO"/>
        </w:rPr>
      </w:pPr>
      <w:r w:rsidRPr="00FA0D5F">
        <w:rPr>
          <w:rStyle w:val="Textoennegrita"/>
          <w:b w:val="0"/>
          <w:lang w:val="es-CO"/>
        </w:rPr>
        <w:t>Wilson, K., &amp; Soriano, E. (2014).</w:t>
      </w:r>
      <w:r w:rsidRPr="00FA0D5F">
        <w:rPr>
          <w:lang w:val="es-CO"/>
        </w:rPr>
        <w:t> </w:t>
      </w:r>
      <w:r w:rsidRPr="00FA0D5F">
        <w:t>The role of cognitive distortions in the maintenance of emotional disorders. </w:t>
      </w:r>
      <w:proofErr w:type="spellStart"/>
      <w:r w:rsidRPr="00FA0D5F">
        <w:rPr>
          <w:rStyle w:val="nfasis"/>
          <w:lang w:val="es-CO"/>
        </w:rPr>
        <w:t>Clinical</w:t>
      </w:r>
      <w:proofErr w:type="spellEnd"/>
      <w:r w:rsidRPr="00FA0D5F">
        <w:rPr>
          <w:rStyle w:val="nfasis"/>
          <w:lang w:val="es-CO"/>
        </w:rPr>
        <w:t xml:space="preserve"> </w:t>
      </w:r>
      <w:proofErr w:type="spellStart"/>
      <w:r w:rsidRPr="00FA0D5F">
        <w:rPr>
          <w:rStyle w:val="nfasis"/>
          <w:lang w:val="es-CO"/>
        </w:rPr>
        <w:t>Psychology</w:t>
      </w:r>
      <w:proofErr w:type="spellEnd"/>
      <w:r w:rsidRPr="00FA0D5F">
        <w:rPr>
          <w:rStyle w:val="nfasis"/>
          <w:lang w:val="es-CO"/>
        </w:rPr>
        <w:t xml:space="preserve"> </w:t>
      </w:r>
      <w:proofErr w:type="spellStart"/>
      <w:r w:rsidRPr="00FA0D5F">
        <w:rPr>
          <w:rStyle w:val="nfasis"/>
          <w:lang w:val="es-CO"/>
        </w:rPr>
        <w:t>Review</w:t>
      </w:r>
      <w:proofErr w:type="spellEnd"/>
      <w:r w:rsidRPr="00FA0D5F">
        <w:rPr>
          <w:rStyle w:val="nfasis"/>
          <w:lang w:val="es-CO"/>
        </w:rPr>
        <w:t>, 34</w:t>
      </w:r>
      <w:r w:rsidRPr="00FA0D5F">
        <w:rPr>
          <w:lang w:val="es-CO"/>
        </w:rPr>
        <w:t>(5), 391-402. </w:t>
      </w:r>
      <w:hyperlink r:id="rId39" w:tgtFrame="_blank" w:history="1">
        <w:r w:rsidRPr="00FA0D5F">
          <w:rPr>
            <w:rStyle w:val="Hipervnculo"/>
            <w:color w:val="auto"/>
            <w:u w:val="none"/>
            <w:lang w:val="es-CO"/>
          </w:rPr>
          <w:t>https://doi.org/10.1016/j.cpr.2014.03.004</w:t>
        </w:r>
      </w:hyperlink>
      <w:r w:rsidRPr="00FA0D5F">
        <w:rPr>
          <w:shd w:val="clear" w:color="auto" w:fill="FFFFFF"/>
          <w:lang w:val="es-CO"/>
        </w:rPr>
        <w:t xml:space="preserve"> </w:t>
      </w:r>
    </w:p>
    <w:p w:rsidR="002C7458" w:rsidRPr="00FA0D5F" w:rsidRDefault="002C7458" w:rsidP="00D13CB9">
      <w:pPr>
        <w:pStyle w:val="NormalWeb"/>
        <w:spacing w:before="0" w:beforeAutospacing="0" w:line="360" w:lineRule="auto"/>
        <w:ind w:left="1077" w:hanging="720"/>
        <w:rPr>
          <w:shd w:val="clear" w:color="auto" w:fill="FFFFFF"/>
          <w:lang w:val="es-CO"/>
        </w:rPr>
      </w:pPr>
    </w:p>
    <w:p w:rsidR="00C178FA" w:rsidRPr="00FA0D5F" w:rsidRDefault="00C178FA" w:rsidP="00D13CB9">
      <w:pPr>
        <w:pStyle w:val="NormalWeb"/>
        <w:spacing w:before="0" w:beforeAutospacing="0" w:line="360" w:lineRule="auto"/>
        <w:ind w:left="1077" w:hanging="720"/>
        <w:rPr>
          <w:lang w:val="es-CO"/>
        </w:rPr>
      </w:pPr>
    </w:p>
    <w:p w:rsidR="00C178FA" w:rsidRPr="00FA0D5F" w:rsidRDefault="00C178FA" w:rsidP="00D13CB9">
      <w:pPr>
        <w:pStyle w:val="NormalWeb"/>
        <w:spacing w:line="360" w:lineRule="auto"/>
        <w:rPr>
          <w:lang w:val="es-CO"/>
        </w:rPr>
      </w:pPr>
    </w:p>
    <w:sectPr w:rsidR="00C178FA" w:rsidRPr="00FA0D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3014608"/>
    <w:multiLevelType w:val="multilevel"/>
    <w:tmpl w:val="BDC4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6438C"/>
    <w:multiLevelType w:val="multilevel"/>
    <w:tmpl w:val="32E01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56508"/>
    <w:multiLevelType w:val="multilevel"/>
    <w:tmpl w:val="748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F3563"/>
    <w:multiLevelType w:val="multilevel"/>
    <w:tmpl w:val="AE047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6458F8"/>
    <w:multiLevelType w:val="multilevel"/>
    <w:tmpl w:val="CBD2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A051D"/>
    <w:multiLevelType w:val="multilevel"/>
    <w:tmpl w:val="B8146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43FE8"/>
    <w:multiLevelType w:val="multilevel"/>
    <w:tmpl w:val="EFC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D5234"/>
    <w:multiLevelType w:val="multilevel"/>
    <w:tmpl w:val="BA04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D40C6"/>
    <w:multiLevelType w:val="multilevel"/>
    <w:tmpl w:val="65E8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908C8"/>
    <w:multiLevelType w:val="multilevel"/>
    <w:tmpl w:val="170A5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A7553"/>
    <w:multiLevelType w:val="multilevel"/>
    <w:tmpl w:val="845C4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6624B5"/>
    <w:multiLevelType w:val="multilevel"/>
    <w:tmpl w:val="F08A8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332E5"/>
    <w:multiLevelType w:val="multilevel"/>
    <w:tmpl w:val="8E4E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35A12"/>
    <w:multiLevelType w:val="multilevel"/>
    <w:tmpl w:val="5456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53CD0"/>
    <w:multiLevelType w:val="multilevel"/>
    <w:tmpl w:val="9086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D7916"/>
    <w:multiLevelType w:val="hybridMultilevel"/>
    <w:tmpl w:val="465A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310D6"/>
    <w:multiLevelType w:val="multilevel"/>
    <w:tmpl w:val="0C2E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BD7B7A"/>
    <w:multiLevelType w:val="multilevel"/>
    <w:tmpl w:val="A19E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D2215"/>
    <w:multiLevelType w:val="multilevel"/>
    <w:tmpl w:val="652A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316BC"/>
    <w:multiLevelType w:val="multilevel"/>
    <w:tmpl w:val="C8923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460A43"/>
    <w:multiLevelType w:val="multilevel"/>
    <w:tmpl w:val="DD522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F273B"/>
    <w:multiLevelType w:val="multilevel"/>
    <w:tmpl w:val="7BA87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2754F"/>
    <w:multiLevelType w:val="multilevel"/>
    <w:tmpl w:val="2FB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B6A2F"/>
    <w:multiLevelType w:val="multilevel"/>
    <w:tmpl w:val="CDDA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E55D07"/>
    <w:multiLevelType w:val="multilevel"/>
    <w:tmpl w:val="2DF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B13A4"/>
    <w:multiLevelType w:val="multilevel"/>
    <w:tmpl w:val="6E1A6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EC401E"/>
    <w:multiLevelType w:val="multilevel"/>
    <w:tmpl w:val="F920C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D170F"/>
    <w:multiLevelType w:val="multilevel"/>
    <w:tmpl w:val="891C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4"/>
  </w:num>
  <w:num w:numId="11">
    <w:abstractNumId w:val="9"/>
  </w:num>
  <w:num w:numId="12">
    <w:abstractNumId w:val="13"/>
  </w:num>
  <w:num w:numId="13">
    <w:abstractNumId w:val="19"/>
  </w:num>
  <w:num w:numId="14">
    <w:abstractNumId w:val="20"/>
  </w:num>
  <w:num w:numId="15">
    <w:abstractNumId w:val="34"/>
  </w:num>
  <w:num w:numId="16">
    <w:abstractNumId w:val="27"/>
  </w:num>
  <w:num w:numId="17">
    <w:abstractNumId w:val="36"/>
  </w:num>
  <w:num w:numId="18">
    <w:abstractNumId w:val="10"/>
  </w:num>
  <w:num w:numId="19">
    <w:abstractNumId w:val="35"/>
  </w:num>
  <w:num w:numId="20">
    <w:abstractNumId w:val="29"/>
  </w:num>
  <w:num w:numId="21">
    <w:abstractNumId w:val="32"/>
  </w:num>
  <w:num w:numId="22">
    <w:abstractNumId w:val="30"/>
  </w:num>
  <w:num w:numId="23">
    <w:abstractNumId w:val="21"/>
  </w:num>
  <w:num w:numId="24">
    <w:abstractNumId w:val="28"/>
  </w:num>
  <w:num w:numId="25">
    <w:abstractNumId w:val="12"/>
  </w:num>
  <w:num w:numId="26">
    <w:abstractNumId w:val="16"/>
  </w:num>
  <w:num w:numId="27">
    <w:abstractNumId w:val="11"/>
  </w:num>
  <w:num w:numId="28">
    <w:abstractNumId w:val="15"/>
  </w:num>
  <w:num w:numId="29">
    <w:abstractNumId w:val="26"/>
  </w:num>
  <w:num w:numId="30">
    <w:abstractNumId w:val="18"/>
  </w:num>
  <w:num w:numId="31">
    <w:abstractNumId w:val="14"/>
  </w:num>
  <w:num w:numId="32">
    <w:abstractNumId w:val="25"/>
  </w:num>
  <w:num w:numId="33">
    <w:abstractNumId w:val="31"/>
  </w:num>
  <w:num w:numId="34">
    <w:abstractNumId w:val="33"/>
  </w:num>
  <w:num w:numId="35">
    <w:abstractNumId w:val="17"/>
  </w:num>
  <w:num w:numId="36">
    <w:abstractNumId w:val="2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36D2"/>
    <w:rsid w:val="0001437F"/>
    <w:rsid w:val="00032898"/>
    <w:rsid w:val="00034616"/>
    <w:rsid w:val="000458C6"/>
    <w:rsid w:val="0006063C"/>
    <w:rsid w:val="0007543B"/>
    <w:rsid w:val="000766BE"/>
    <w:rsid w:val="00083AB7"/>
    <w:rsid w:val="00085BAE"/>
    <w:rsid w:val="00094C54"/>
    <w:rsid w:val="000A4D67"/>
    <w:rsid w:val="000A5FFF"/>
    <w:rsid w:val="000B278F"/>
    <w:rsid w:val="000D02F8"/>
    <w:rsid w:val="000D4AD1"/>
    <w:rsid w:val="000E310D"/>
    <w:rsid w:val="000E61F3"/>
    <w:rsid w:val="000F1649"/>
    <w:rsid w:val="00106DA3"/>
    <w:rsid w:val="00110901"/>
    <w:rsid w:val="00137B97"/>
    <w:rsid w:val="00140CC9"/>
    <w:rsid w:val="00142BEE"/>
    <w:rsid w:val="0015038B"/>
    <w:rsid w:val="0015074B"/>
    <w:rsid w:val="00165B3B"/>
    <w:rsid w:val="00166234"/>
    <w:rsid w:val="0019302F"/>
    <w:rsid w:val="001A1A31"/>
    <w:rsid w:val="001A541A"/>
    <w:rsid w:val="001B44BA"/>
    <w:rsid w:val="001F3174"/>
    <w:rsid w:val="001F342A"/>
    <w:rsid w:val="00202A38"/>
    <w:rsid w:val="00207E72"/>
    <w:rsid w:val="002113A6"/>
    <w:rsid w:val="00216B2B"/>
    <w:rsid w:val="002316A6"/>
    <w:rsid w:val="00236383"/>
    <w:rsid w:val="00237EE6"/>
    <w:rsid w:val="00243042"/>
    <w:rsid w:val="00243765"/>
    <w:rsid w:val="0025081D"/>
    <w:rsid w:val="00252E15"/>
    <w:rsid w:val="0025720A"/>
    <w:rsid w:val="002636DE"/>
    <w:rsid w:val="00272E41"/>
    <w:rsid w:val="00277EAA"/>
    <w:rsid w:val="0029639D"/>
    <w:rsid w:val="002B308C"/>
    <w:rsid w:val="002C05CA"/>
    <w:rsid w:val="002C7458"/>
    <w:rsid w:val="002C75C6"/>
    <w:rsid w:val="002C7E22"/>
    <w:rsid w:val="002D3231"/>
    <w:rsid w:val="002E1F88"/>
    <w:rsid w:val="002E2F89"/>
    <w:rsid w:val="002E673C"/>
    <w:rsid w:val="002E6766"/>
    <w:rsid w:val="002F723B"/>
    <w:rsid w:val="00314B67"/>
    <w:rsid w:val="00320152"/>
    <w:rsid w:val="00322BDA"/>
    <w:rsid w:val="00326F90"/>
    <w:rsid w:val="00343C34"/>
    <w:rsid w:val="00344C4D"/>
    <w:rsid w:val="003531B8"/>
    <w:rsid w:val="00354296"/>
    <w:rsid w:val="003619E5"/>
    <w:rsid w:val="00362D43"/>
    <w:rsid w:val="0037230E"/>
    <w:rsid w:val="0037417C"/>
    <w:rsid w:val="00376E34"/>
    <w:rsid w:val="00383EB8"/>
    <w:rsid w:val="003C0518"/>
    <w:rsid w:val="003C7577"/>
    <w:rsid w:val="003D4BB4"/>
    <w:rsid w:val="003D6491"/>
    <w:rsid w:val="003E1868"/>
    <w:rsid w:val="003E3E02"/>
    <w:rsid w:val="003E74C3"/>
    <w:rsid w:val="003F1D0A"/>
    <w:rsid w:val="003F3F7D"/>
    <w:rsid w:val="003F7053"/>
    <w:rsid w:val="00402B69"/>
    <w:rsid w:val="004139F3"/>
    <w:rsid w:val="0045777C"/>
    <w:rsid w:val="00461771"/>
    <w:rsid w:val="004645C7"/>
    <w:rsid w:val="004776B1"/>
    <w:rsid w:val="00490058"/>
    <w:rsid w:val="00494622"/>
    <w:rsid w:val="004B09CB"/>
    <w:rsid w:val="004C0E23"/>
    <w:rsid w:val="004C2619"/>
    <w:rsid w:val="004C5A7F"/>
    <w:rsid w:val="004C6F85"/>
    <w:rsid w:val="004D0E58"/>
    <w:rsid w:val="004F3D60"/>
    <w:rsid w:val="004F3EB7"/>
    <w:rsid w:val="004F4C1B"/>
    <w:rsid w:val="004F77D6"/>
    <w:rsid w:val="005009AC"/>
    <w:rsid w:val="0050318A"/>
    <w:rsid w:val="00515FC7"/>
    <w:rsid w:val="00521EB8"/>
    <w:rsid w:val="00536D65"/>
    <w:rsid w:val="005450FA"/>
    <w:rsid w:val="00545CF1"/>
    <w:rsid w:val="00556977"/>
    <w:rsid w:val="005817A2"/>
    <w:rsid w:val="00583BC1"/>
    <w:rsid w:val="00592116"/>
    <w:rsid w:val="005924CA"/>
    <w:rsid w:val="005A1B0F"/>
    <w:rsid w:val="005A45D1"/>
    <w:rsid w:val="005C3934"/>
    <w:rsid w:val="005D0313"/>
    <w:rsid w:val="005E2CEE"/>
    <w:rsid w:val="005E41E1"/>
    <w:rsid w:val="00603B73"/>
    <w:rsid w:val="00605B71"/>
    <w:rsid w:val="006106BD"/>
    <w:rsid w:val="006225CA"/>
    <w:rsid w:val="00625C73"/>
    <w:rsid w:val="006263D6"/>
    <w:rsid w:val="00632642"/>
    <w:rsid w:val="00644728"/>
    <w:rsid w:val="006569D5"/>
    <w:rsid w:val="00677C2D"/>
    <w:rsid w:val="006800CF"/>
    <w:rsid w:val="00681940"/>
    <w:rsid w:val="0068204F"/>
    <w:rsid w:val="00684D2C"/>
    <w:rsid w:val="00690006"/>
    <w:rsid w:val="00697688"/>
    <w:rsid w:val="006C2F30"/>
    <w:rsid w:val="006C32AA"/>
    <w:rsid w:val="006D7887"/>
    <w:rsid w:val="006F5D57"/>
    <w:rsid w:val="00701B36"/>
    <w:rsid w:val="00717BE5"/>
    <w:rsid w:val="00722EE9"/>
    <w:rsid w:val="007304AC"/>
    <w:rsid w:val="007413FF"/>
    <w:rsid w:val="00745F72"/>
    <w:rsid w:val="00754911"/>
    <w:rsid w:val="007553F2"/>
    <w:rsid w:val="00787F19"/>
    <w:rsid w:val="007964FF"/>
    <w:rsid w:val="00796539"/>
    <w:rsid w:val="007A3C6D"/>
    <w:rsid w:val="007B1A3B"/>
    <w:rsid w:val="007C598B"/>
    <w:rsid w:val="007D6130"/>
    <w:rsid w:val="007E2722"/>
    <w:rsid w:val="007E2EE4"/>
    <w:rsid w:val="007F4A90"/>
    <w:rsid w:val="00814DBF"/>
    <w:rsid w:val="00822DE4"/>
    <w:rsid w:val="00830EAD"/>
    <w:rsid w:val="00832299"/>
    <w:rsid w:val="00844129"/>
    <w:rsid w:val="00857673"/>
    <w:rsid w:val="008960A9"/>
    <w:rsid w:val="008963C0"/>
    <w:rsid w:val="008A1F7F"/>
    <w:rsid w:val="008A2854"/>
    <w:rsid w:val="008B2A5E"/>
    <w:rsid w:val="008D2EE7"/>
    <w:rsid w:val="008E28AE"/>
    <w:rsid w:val="008E6257"/>
    <w:rsid w:val="008F60D5"/>
    <w:rsid w:val="00901E12"/>
    <w:rsid w:val="00902BFD"/>
    <w:rsid w:val="009070BA"/>
    <w:rsid w:val="009169F6"/>
    <w:rsid w:val="009259E8"/>
    <w:rsid w:val="009368AF"/>
    <w:rsid w:val="00947C87"/>
    <w:rsid w:val="00961E8C"/>
    <w:rsid w:val="009B6B0C"/>
    <w:rsid w:val="009C17CD"/>
    <w:rsid w:val="009C41FF"/>
    <w:rsid w:val="009D02BB"/>
    <w:rsid w:val="009D1415"/>
    <w:rsid w:val="009D450E"/>
    <w:rsid w:val="009D704D"/>
    <w:rsid w:val="009E22AB"/>
    <w:rsid w:val="009E24FD"/>
    <w:rsid w:val="009E2C45"/>
    <w:rsid w:val="009F2505"/>
    <w:rsid w:val="00A07156"/>
    <w:rsid w:val="00A12EDA"/>
    <w:rsid w:val="00A21EA7"/>
    <w:rsid w:val="00A502CF"/>
    <w:rsid w:val="00A602B4"/>
    <w:rsid w:val="00A6161D"/>
    <w:rsid w:val="00A667CE"/>
    <w:rsid w:val="00A67D64"/>
    <w:rsid w:val="00A978DA"/>
    <w:rsid w:val="00AA1D8D"/>
    <w:rsid w:val="00AA70B7"/>
    <w:rsid w:val="00AC1B54"/>
    <w:rsid w:val="00AF0847"/>
    <w:rsid w:val="00AF0FA2"/>
    <w:rsid w:val="00B2345E"/>
    <w:rsid w:val="00B30613"/>
    <w:rsid w:val="00B331AA"/>
    <w:rsid w:val="00B3626F"/>
    <w:rsid w:val="00B47730"/>
    <w:rsid w:val="00B6289F"/>
    <w:rsid w:val="00B7641F"/>
    <w:rsid w:val="00B805F7"/>
    <w:rsid w:val="00B80CAB"/>
    <w:rsid w:val="00B94C2D"/>
    <w:rsid w:val="00B97CC5"/>
    <w:rsid w:val="00BA4292"/>
    <w:rsid w:val="00BA4CE5"/>
    <w:rsid w:val="00BA6A42"/>
    <w:rsid w:val="00BC04CD"/>
    <w:rsid w:val="00BC34C1"/>
    <w:rsid w:val="00BE1D36"/>
    <w:rsid w:val="00BE3E14"/>
    <w:rsid w:val="00BE3EC2"/>
    <w:rsid w:val="00BF65D5"/>
    <w:rsid w:val="00BF69FF"/>
    <w:rsid w:val="00BF6CA8"/>
    <w:rsid w:val="00BF78CA"/>
    <w:rsid w:val="00C004FC"/>
    <w:rsid w:val="00C05471"/>
    <w:rsid w:val="00C178FA"/>
    <w:rsid w:val="00C26A08"/>
    <w:rsid w:val="00C2730B"/>
    <w:rsid w:val="00C31C34"/>
    <w:rsid w:val="00C43C8A"/>
    <w:rsid w:val="00C54ED4"/>
    <w:rsid w:val="00C5610E"/>
    <w:rsid w:val="00C65308"/>
    <w:rsid w:val="00C76FB7"/>
    <w:rsid w:val="00C8405A"/>
    <w:rsid w:val="00C91160"/>
    <w:rsid w:val="00CB0664"/>
    <w:rsid w:val="00CD45F0"/>
    <w:rsid w:val="00CE037D"/>
    <w:rsid w:val="00CE7AA6"/>
    <w:rsid w:val="00CF6252"/>
    <w:rsid w:val="00D13CB9"/>
    <w:rsid w:val="00D147F0"/>
    <w:rsid w:val="00D15556"/>
    <w:rsid w:val="00D337C2"/>
    <w:rsid w:val="00D34533"/>
    <w:rsid w:val="00D40485"/>
    <w:rsid w:val="00D45499"/>
    <w:rsid w:val="00D54551"/>
    <w:rsid w:val="00D67120"/>
    <w:rsid w:val="00D73A6B"/>
    <w:rsid w:val="00D82B8C"/>
    <w:rsid w:val="00D97D08"/>
    <w:rsid w:val="00DB1D6F"/>
    <w:rsid w:val="00DB3719"/>
    <w:rsid w:val="00DC46D3"/>
    <w:rsid w:val="00DF6B1B"/>
    <w:rsid w:val="00E05174"/>
    <w:rsid w:val="00E251EB"/>
    <w:rsid w:val="00E62820"/>
    <w:rsid w:val="00E7303C"/>
    <w:rsid w:val="00E97E1E"/>
    <w:rsid w:val="00EC41E1"/>
    <w:rsid w:val="00EC448B"/>
    <w:rsid w:val="00ED3CD7"/>
    <w:rsid w:val="00EE78C6"/>
    <w:rsid w:val="00EF2909"/>
    <w:rsid w:val="00F014EA"/>
    <w:rsid w:val="00F43937"/>
    <w:rsid w:val="00F61A18"/>
    <w:rsid w:val="00F624A1"/>
    <w:rsid w:val="00F6629E"/>
    <w:rsid w:val="00F679C2"/>
    <w:rsid w:val="00F71983"/>
    <w:rsid w:val="00F7368D"/>
    <w:rsid w:val="00F76992"/>
    <w:rsid w:val="00F83DC2"/>
    <w:rsid w:val="00F94C34"/>
    <w:rsid w:val="00F95F1C"/>
    <w:rsid w:val="00FA0D5F"/>
    <w:rsid w:val="00FA6A5F"/>
    <w:rsid w:val="00FB5504"/>
    <w:rsid w:val="00FB79C5"/>
    <w:rsid w:val="00FC693F"/>
    <w:rsid w:val="00FD3F98"/>
    <w:rsid w:val="00FE1A2F"/>
    <w:rsid w:val="00FE6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4F072"/>
  <w14:defaultImageDpi w14:val="300"/>
  <w15:docId w15:val="{C1B52D74-0562-4D26-90C1-EC3FDA17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line="480" w:lineRule="auto"/>
      <w:jc w:val="both"/>
    </w:pPr>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7D6130"/>
    <w:rPr>
      <w:color w:val="0000FF" w:themeColor="hyperlink"/>
      <w:u w:val="single"/>
    </w:rPr>
  </w:style>
  <w:style w:type="paragraph" w:styleId="NormalWeb">
    <w:name w:val="Normal (Web)"/>
    <w:basedOn w:val="Normal"/>
    <w:uiPriority w:val="99"/>
    <w:unhideWhenUsed/>
    <w:rsid w:val="007553F2"/>
    <w:pPr>
      <w:spacing w:before="100" w:beforeAutospacing="1" w:after="100" w:afterAutospacing="1" w:line="240" w:lineRule="auto"/>
      <w:jc w:val="left"/>
    </w:pPr>
    <w:rPr>
      <w:rFonts w:eastAsia="Times New Roman" w:cs="Times New Roman"/>
      <w:szCs w:val="24"/>
    </w:rPr>
  </w:style>
  <w:style w:type="character" w:customStyle="1" w:styleId="identifier">
    <w:name w:val="identifier"/>
    <w:basedOn w:val="Fuentedeprrafopredeter"/>
    <w:rsid w:val="000F1649"/>
  </w:style>
  <w:style w:type="character" w:customStyle="1" w:styleId="id-label">
    <w:name w:val="id-label"/>
    <w:basedOn w:val="Fuentedeprrafopredeter"/>
    <w:rsid w:val="000F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9857">
      <w:bodyDiv w:val="1"/>
      <w:marLeft w:val="0"/>
      <w:marRight w:val="0"/>
      <w:marTop w:val="0"/>
      <w:marBottom w:val="0"/>
      <w:divBdr>
        <w:top w:val="none" w:sz="0" w:space="0" w:color="auto"/>
        <w:left w:val="none" w:sz="0" w:space="0" w:color="auto"/>
        <w:bottom w:val="none" w:sz="0" w:space="0" w:color="auto"/>
        <w:right w:val="none" w:sz="0" w:space="0" w:color="auto"/>
      </w:divBdr>
    </w:div>
    <w:div w:id="44527676">
      <w:bodyDiv w:val="1"/>
      <w:marLeft w:val="0"/>
      <w:marRight w:val="0"/>
      <w:marTop w:val="0"/>
      <w:marBottom w:val="0"/>
      <w:divBdr>
        <w:top w:val="none" w:sz="0" w:space="0" w:color="auto"/>
        <w:left w:val="none" w:sz="0" w:space="0" w:color="auto"/>
        <w:bottom w:val="none" w:sz="0" w:space="0" w:color="auto"/>
        <w:right w:val="none" w:sz="0" w:space="0" w:color="auto"/>
      </w:divBdr>
    </w:div>
    <w:div w:id="49227491">
      <w:bodyDiv w:val="1"/>
      <w:marLeft w:val="0"/>
      <w:marRight w:val="0"/>
      <w:marTop w:val="0"/>
      <w:marBottom w:val="0"/>
      <w:divBdr>
        <w:top w:val="none" w:sz="0" w:space="0" w:color="auto"/>
        <w:left w:val="none" w:sz="0" w:space="0" w:color="auto"/>
        <w:bottom w:val="none" w:sz="0" w:space="0" w:color="auto"/>
        <w:right w:val="none" w:sz="0" w:space="0" w:color="auto"/>
      </w:divBdr>
    </w:div>
    <w:div w:id="66464207">
      <w:bodyDiv w:val="1"/>
      <w:marLeft w:val="0"/>
      <w:marRight w:val="0"/>
      <w:marTop w:val="0"/>
      <w:marBottom w:val="0"/>
      <w:divBdr>
        <w:top w:val="none" w:sz="0" w:space="0" w:color="auto"/>
        <w:left w:val="none" w:sz="0" w:space="0" w:color="auto"/>
        <w:bottom w:val="none" w:sz="0" w:space="0" w:color="auto"/>
        <w:right w:val="none" w:sz="0" w:space="0" w:color="auto"/>
      </w:divBdr>
    </w:div>
    <w:div w:id="119037672">
      <w:bodyDiv w:val="1"/>
      <w:marLeft w:val="0"/>
      <w:marRight w:val="0"/>
      <w:marTop w:val="0"/>
      <w:marBottom w:val="0"/>
      <w:divBdr>
        <w:top w:val="none" w:sz="0" w:space="0" w:color="auto"/>
        <w:left w:val="none" w:sz="0" w:space="0" w:color="auto"/>
        <w:bottom w:val="none" w:sz="0" w:space="0" w:color="auto"/>
        <w:right w:val="none" w:sz="0" w:space="0" w:color="auto"/>
      </w:divBdr>
      <w:divsChild>
        <w:div w:id="16003719">
          <w:marLeft w:val="0"/>
          <w:marRight w:val="0"/>
          <w:marTop w:val="0"/>
          <w:marBottom w:val="0"/>
          <w:divBdr>
            <w:top w:val="none" w:sz="0" w:space="0" w:color="auto"/>
            <w:left w:val="none" w:sz="0" w:space="0" w:color="auto"/>
            <w:bottom w:val="none" w:sz="0" w:space="0" w:color="auto"/>
            <w:right w:val="none" w:sz="0" w:space="0" w:color="auto"/>
          </w:divBdr>
        </w:div>
        <w:div w:id="1895970053">
          <w:marLeft w:val="0"/>
          <w:marRight w:val="0"/>
          <w:marTop w:val="0"/>
          <w:marBottom w:val="0"/>
          <w:divBdr>
            <w:top w:val="none" w:sz="0" w:space="0" w:color="auto"/>
            <w:left w:val="none" w:sz="0" w:space="0" w:color="auto"/>
            <w:bottom w:val="none" w:sz="0" w:space="0" w:color="auto"/>
            <w:right w:val="none" w:sz="0" w:space="0" w:color="auto"/>
          </w:divBdr>
        </w:div>
        <w:div w:id="185292447">
          <w:marLeft w:val="0"/>
          <w:marRight w:val="0"/>
          <w:marTop w:val="0"/>
          <w:marBottom w:val="0"/>
          <w:divBdr>
            <w:top w:val="none" w:sz="0" w:space="0" w:color="auto"/>
            <w:left w:val="none" w:sz="0" w:space="0" w:color="auto"/>
            <w:bottom w:val="none" w:sz="0" w:space="0" w:color="auto"/>
            <w:right w:val="none" w:sz="0" w:space="0" w:color="auto"/>
          </w:divBdr>
        </w:div>
        <w:div w:id="564605051">
          <w:marLeft w:val="0"/>
          <w:marRight w:val="0"/>
          <w:marTop w:val="0"/>
          <w:marBottom w:val="0"/>
          <w:divBdr>
            <w:top w:val="none" w:sz="0" w:space="0" w:color="auto"/>
            <w:left w:val="none" w:sz="0" w:space="0" w:color="auto"/>
            <w:bottom w:val="none" w:sz="0" w:space="0" w:color="auto"/>
            <w:right w:val="none" w:sz="0" w:space="0" w:color="auto"/>
          </w:divBdr>
        </w:div>
        <w:div w:id="2030982637">
          <w:marLeft w:val="0"/>
          <w:marRight w:val="0"/>
          <w:marTop w:val="0"/>
          <w:marBottom w:val="0"/>
          <w:divBdr>
            <w:top w:val="none" w:sz="0" w:space="0" w:color="auto"/>
            <w:left w:val="none" w:sz="0" w:space="0" w:color="auto"/>
            <w:bottom w:val="none" w:sz="0" w:space="0" w:color="auto"/>
            <w:right w:val="none" w:sz="0" w:space="0" w:color="auto"/>
          </w:divBdr>
        </w:div>
        <w:div w:id="434250734">
          <w:marLeft w:val="0"/>
          <w:marRight w:val="0"/>
          <w:marTop w:val="0"/>
          <w:marBottom w:val="0"/>
          <w:divBdr>
            <w:top w:val="none" w:sz="0" w:space="0" w:color="auto"/>
            <w:left w:val="none" w:sz="0" w:space="0" w:color="auto"/>
            <w:bottom w:val="none" w:sz="0" w:space="0" w:color="auto"/>
            <w:right w:val="none" w:sz="0" w:space="0" w:color="auto"/>
          </w:divBdr>
        </w:div>
      </w:divsChild>
    </w:div>
    <w:div w:id="203098704">
      <w:bodyDiv w:val="1"/>
      <w:marLeft w:val="0"/>
      <w:marRight w:val="0"/>
      <w:marTop w:val="0"/>
      <w:marBottom w:val="0"/>
      <w:divBdr>
        <w:top w:val="none" w:sz="0" w:space="0" w:color="auto"/>
        <w:left w:val="none" w:sz="0" w:space="0" w:color="auto"/>
        <w:bottom w:val="none" w:sz="0" w:space="0" w:color="auto"/>
        <w:right w:val="none" w:sz="0" w:space="0" w:color="auto"/>
      </w:divBdr>
    </w:div>
    <w:div w:id="206527396">
      <w:bodyDiv w:val="1"/>
      <w:marLeft w:val="0"/>
      <w:marRight w:val="0"/>
      <w:marTop w:val="0"/>
      <w:marBottom w:val="0"/>
      <w:divBdr>
        <w:top w:val="none" w:sz="0" w:space="0" w:color="auto"/>
        <w:left w:val="none" w:sz="0" w:space="0" w:color="auto"/>
        <w:bottom w:val="none" w:sz="0" w:space="0" w:color="auto"/>
        <w:right w:val="none" w:sz="0" w:space="0" w:color="auto"/>
      </w:divBdr>
    </w:div>
    <w:div w:id="220681361">
      <w:bodyDiv w:val="1"/>
      <w:marLeft w:val="0"/>
      <w:marRight w:val="0"/>
      <w:marTop w:val="0"/>
      <w:marBottom w:val="0"/>
      <w:divBdr>
        <w:top w:val="none" w:sz="0" w:space="0" w:color="auto"/>
        <w:left w:val="none" w:sz="0" w:space="0" w:color="auto"/>
        <w:bottom w:val="none" w:sz="0" w:space="0" w:color="auto"/>
        <w:right w:val="none" w:sz="0" w:space="0" w:color="auto"/>
      </w:divBdr>
    </w:div>
    <w:div w:id="224992289">
      <w:bodyDiv w:val="1"/>
      <w:marLeft w:val="0"/>
      <w:marRight w:val="0"/>
      <w:marTop w:val="0"/>
      <w:marBottom w:val="0"/>
      <w:divBdr>
        <w:top w:val="none" w:sz="0" w:space="0" w:color="auto"/>
        <w:left w:val="none" w:sz="0" w:space="0" w:color="auto"/>
        <w:bottom w:val="none" w:sz="0" w:space="0" w:color="auto"/>
        <w:right w:val="none" w:sz="0" w:space="0" w:color="auto"/>
      </w:divBdr>
    </w:div>
    <w:div w:id="230193145">
      <w:bodyDiv w:val="1"/>
      <w:marLeft w:val="0"/>
      <w:marRight w:val="0"/>
      <w:marTop w:val="0"/>
      <w:marBottom w:val="0"/>
      <w:divBdr>
        <w:top w:val="none" w:sz="0" w:space="0" w:color="auto"/>
        <w:left w:val="none" w:sz="0" w:space="0" w:color="auto"/>
        <w:bottom w:val="none" w:sz="0" w:space="0" w:color="auto"/>
        <w:right w:val="none" w:sz="0" w:space="0" w:color="auto"/>
      </w:divBdr>
      <w:divsChild>
        <w:div w:id="1082222239">
          <w:marLeft w:val="0"/>
          <w:marRight w:val="0"/>
          <w:marTop w:val="0"/>
          <w:marBottom w:val="0"/>
          <w:divBdr>
            <w:top w:val="none" w:sz="0" w:space="0" w:color="auto"/>
            <w:left w:val="none" w:sz="0" w:space="0" w:color="auto"/>
            <w:bottom w:val="none" w:sz="0" w:space="0" w:color="auto"/>
            <w:right w:val="none" w:sz="0" w:space="0" w:color="auto"/>
          </w:divBdr>
        </w:div>
        <w:div w:id="294411768">
          <w:marLeft w:val="0"/>
          <w:marRight w:val="0"/>
          <w:marTop w:val="0"/>
          <w:marBottom w:val="0"/>
          <w:divBdr>
            <w:top w:val="none" w:sz="0" w:space="0" w:color="auto"/>
            <w:left w:val="none" w:sz="0" w:space="0" w:color="auto"/>
            <w:bottom w:val="none" w:sz="0" w:space="0" w:color="auto"/>
            <w:right w:val="none" w:sz="0" w:space="0" w:color="auto"/>
          </w:divBdr>
        </w:div>
        <w:div w:id="599146590">
          <w:marLeft w:val="0"/>
          <w:marRight w:val="0"/>
          <w:marTop w:val="0"/>
          <w:marBottom w:val="0"/>
          <w:divBdr>
            <w:top w:val="none" w:sz="0" w:space="0" w:color="auto"/>
            <w:left w:val="none" w:sz="0" w:space="0" w:color="auto"/>
            <w:bottom w:val="none" w:sz="0" w:space="0" w:color="auto"/>
            <w:right w:val="none" w:sz="0" w:space="0" w:color="auto"/>
          </w:divBdr>
        </w:div>
        <w:div w:id="1953243912">
          <w:marLeft w:val="0"/>
          <w:marRight w:val="0"/>
          <w:marTop w:val="0"/>
          <w:marBottom w:val="0"/>
          <w:divBdr>
            <w:top w:val="none" w:sz="0" w:space="0" w:color="auto"/>
            <w:left w:val="none" w:sz="0" w:space="0" w:color="auto"/>
            <w:bottom w:val="none" w:sz="0" w:space="0" w:color="auto"/>
            <w:right w:val="none" w:sz="0" w:space="0" w:color="auto"/>
          </w:divBdr>
        </w:div>
        <w:div w:id="1936935514">
          <w:marLeft w:val="0"/>
          <w:marRight w:val="0"/>
          <w:marTop w:val="0"/>
          <w:marBottom w:val="0"/>
          <w:divBdr>
            <w:top w:val="none" w:sz="0" w:space="0" w:color="auto"/>
            <w:left w:val="none" w:sz="0" w:space="0" w:color="auto"/>
            <w:bottom w:val="none" w:sz="0" w:space="0" w:color="auto"/>
            <w:right w:val="none" w:sz="0" w:space="0" w:color="auto"/>
          </w:divBdr>
        </w:div>
      </w:divsChild>
    </w:div>
    <w:div w:id="231737329">
      <w:bodyDiv w:val="1"/>
      <w:marLeft w:val="0"/>
      <w:marRight w:val="0"/>
      <w:marTop w:val="0"/>
      <w:marBottom w:val="0"/>
      <w:divBdr>
        <w:top w:val="none" w:sz="0" w:space="0" w:color="auto"/>
        <w:left w:val="none" w:sz="0" w:space="0" w:color="auto"/>
        <w:bottom w:val="none" w:sz="0" w:space="0" w:color="auto"/>
        <w:right w:val="none" w:sz="0" w:space="0" w:color="auto"/>
      </w:divBdr>
    </w:div>
    <w:div w:id="306054735">
      <w:bodyDiv w:val="1"/>
      <w:marLeft w:val="0"/>
      <w:marRight w:val="0"/>
      <w:marTop w:val="0"/>
      <w:marBottom w:val="0"/>
      <w:divBdr>
        <w:top w:val="none" w:sz="0" w:space="0" w:color="auto"/>
        <w:left w:val="none" w:sz="0" w:space="0" w:color="auto"/>
        <w:bottom w:val="none" w:sz="0" w:space="0" w:color="auto"/>
        <w:right w:val="none" w:sz="0" w:space="0" w:color="auto"/>
      </w:divBdr>
    </w:div>
    <w:div w:id="312757933">
      <w:bodyDiv w:val="1"/>
      <w:marLeft w:val="0"/>
      <w:marRight w:val="0"/>
      <w:marTop w:val="0"/>
      <w:marBottom w:val="0"/>
      <w:divBdr>
        <w:top w:val="none" w:sz="0" w:space="0" w:color="auto"/>
        <w:left w:val="none" w:sz="0" w:space="0" w:color="auto"/>
        <w:bottom w:val="none" w:sz="0" w:space="0" w:color="auto"/>
        <w:right w:val="none" w:sz="0" w:space="0" w:color="auto"/>
      </w:divBdr>
      <w:divsChild>
        <w:div w:id="961810328">
          <w:marLeft w:val="0"/>
          <w:marRight w:val="0"/>
          <w:marTop w:val="100"/>
          <w:marBottom w:val="100"/>
          <w:divBdr>
            <w:top w:val="none" w:sz="0" w:space="0" w:color="auto"/>
            <w:left w:val="none" w:sz="0" w:space="0" w:color="auto"/>
            <w:bottom w:val="none" w:sz="0" w:space="0" w:color="auto"/>
            <w:right w:val="none" w:sz="0" w:space="0" w:color="auto"/>
          </w:divBdr>
          <w:divsChild>
            <w:div w:id="1150290202">
              <w:marLeft w:val="0"/>
              <w:marRight w:val="0"/>
              <w:marTop w:val="0"/>
              <w:marBottom w:val="0"/>
              <w:divBdr>
                <w:top w:val="none" w:sz="0" w:space="0" w:color="auto"/>
                <w:left w:val="none" w:sz="0" w:space="0" w:color="auto"/>
                <w:bottom w:val="none" w:sz="0" w:space="0" w:color="auto"/>
                <w:right w:val="none" w:sz="0" w:space="0" w:color="auto"/>
              </w:divBdr>
              <w:divsChild>
                <w:div w:id="13657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1602">
          <w:marLeft w:val="0"/>
          <w:marRight w:val="0"/>
          <w:marTop w:val="0"/>
          <w:marBottom w:val="300"/>
          <w:divBdr>
            <w:top w:val="none" w:sz="0" w:space="0" w:color="auto"/>
            <w:left w:val="none" w:sz="0" w:space="0" w:color="auto"/>
            <w:bottom w:val="none" w:sz="0" w:space="0" w:color="auto"/>
            <w:right w:val="none" w:sz="0" w:space="0" w:color="auto"/>
          </w:divBdr>
          <w:divsChild>
            <w:div w:id="11843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4274">
      <w:bodyDiv w:val="1"/>
      <w:marLeft w:val="0"/>
      <w:marRight w:val="0"/>
      <w:marTop w:val="0"/>
      <w:marBottom w:val="0"/>
      <w:divBdr>
        <w:top w:val="none" w:sz="0" w:space="0" w:color="auto"/>
        <w:left w:val="none" w:sz="0" w:space="0" w:color="auto"/>
        <w:bottom w:val="none" w:sz="0" w:space="0" w:color="auto"/>
        <w:right w:val="none" w:sz="0" w:space="0" w:color="auto"/>
      </w:divBdr>
    </w:div>
    <w:div w:id="550187973">
      <w:bodyDiv w:val="1"/>
      <w:marLeft w:val="0"/>
      <w:marRight w:val="0"/>
      <w:marTop w:val="0"/>
      <w:marBottom w:val="0"/>
      <w:divBdr>
        <w:top w:val="none" w:sz="0" w:space="0" w:color="auto"/>
        <w:left w:val="none" w:sz="0" w:space="0" w:color="auto"/>
        <w:bottom w:val="none" w:sz="0" w:space="0" w:color="auto"/>
        <w:right w:val="none" w:sz="0" w:space="0" w:color="auto"/>
      </w:divBdr>
    </w:div>
    <w:div w:id="567420751">
      <w:bodyDiv w:val="1"/>
      <w:marLeft w:val="0"/>
      <w:marRight w:val="0"/>
      <w:marTop w:val="0"/>
      <w:marBottom w:val="0"/>
      <w:divBdr>
        <w:top w:val="none" w:sz="0" w:space="0" w:color="auto"/>
        <w:left w:val="none" w:sz="0" w:space="0" w:color="auto"/>
        <w:bottom w:val="none" w:sz="0" w:space="0" w:color="auto"/>
        <w:right w:val="none" w:sz="0" w:space="0" w:color="auto"/>
      </w:divBdr>
      <w:divsChild>
        <w:div w:id="14692645">
          <w:marLeft w:val="0"/>
          <w:marRight w:val="0"/>
          <w:marTop w:val="0"/>
          <w:marBottom w:val="0"/>
          <w:divBdr>
            <w:top w:val="none" w:sz="0" w:space="0" w:color="auto"/>
            <w:left w:val="none" w:sz="0" w:space="0" w:color="auto"/>
            <w:bottom w:val="none" w:sz="0" w:space="0" w:color="auto"/>
            <w:right w:val="none" w:sz="0" w:space="0" w:color="auto"/>
          </w:divBdr>
        </w:div>
        <w:div w:id="1604415141">
          <w:marLeft w:val="0"/>
          <w:marRight w:val="0"/>
          <w:marTop w:val="0"/>
          <w:marBottom w:val="0"/>
          <w:divBdr>
            <w:top w:val="none" w:sz="0" w:space="0" w:color="auto"/>
            <w:left w:val="none" w:sz="0" w:space="0" w:color="auto"/>
            <w:bottom w:val="none" w:sz="0" w:space="0" w:color="auto"/>
            <w:right w:val="none" w:sz="0" w:space="0" w:color="auto"/>
          </w:divBdr>
        </w:div>
        <w:div w:id="1615088595">
          <w:marLeft w:val="0"/>
          <w:marRight w:val="0"/>
          <w:marTop w:val="0"/>
          <w:marBottom w:val="0"/>
          <w:divBdr>
            <w:top w:val="none" w:sz="0" w:space="0" w:color="auto"/>
            <w:left w:val="none" w:sz="0" w:space="0" w:color="auto"/>
            <w:bottom w:val="none" w:sz="0" w:space="0" w:color="auto"/>
            <w:right w:val="none" w:sz="0" w:space="0" w:color="auto"/>
          </w:divBdr>
        </w:div>
        <w:div w:id="2041127595">
          <w:marLeft w:val="0"/>
          <w:marRight w:val="0"/>
          <w:marTop w:val="0"/>
          <w:marBottom w:val="0"/>
          <w:divBdr>
            <w:top w:val="none" w:sz="0" w:space="0" w:color="auto"/>
            <w:left w:val="none" w:sz="0" w:space="0" w:color="auto"/>
            <w:bottom w:val="none" w:sz="0" w:space="0" w:color="auto"/>
            <w:right w:val="none" w:sz="0" w:space="0" w:color="auto"/>
          </w:divBdr>
        </w:div>
        <w:div w:id="371001367">
          <w:marLeft w:val="0"/>
          <w:marRight w:val="0"/>
          <w:marTop w:val="0"/>
          <w:marBottom w:val="0"/>
          <w:divBdr>
            <w:top w:val="none" w:sz="0" w:space="0" w:color="auto"/>
            <w:left w:val="none" w:sz="0" w:space="0" w:color="auto"/>
            <w:bottom w:val="none" w:sz="0" w:space="0" w:color="auto"/>
            <w:right w:val="none" w:sz="0" w:space="0" w:color="auto"/>
          </w:divBdr>
        </w:div>
        <w:div w:id="1574243430">
          <w:marLeft w:val="0"/>
          <w:marRight w:val="0"/>
          <w:marTop w:val="0"/>
          <w:marBottom w:val="0"/>
          <w:divBdr>
            <w:top w:val="none" w:sz="0" w:space="0" w:color="auto"/>
            <w:left w:val="none" w:sz="0" w:space="0" w:color="auto"/>
            <w:bottom w:val="none" w:sz="0" w:space="0" w:color="auto"/>
            <w:right w:val="none" w:sz="0" w:space="0" w:color="auto"/>
          </w:divBdr>
        </w:div>
        <w:div w:id="915628124">
          <w:marLeft w:val="0"/>
          <w:marRight w:val="0"/>
          <w:marTop w:val="0"/>
          <w:marBottom w:val="0"/>
          <w:divBdr>
            <w:top w:val="none" w:sz="0" w:space="0" w:color="auto"/>
            <w:left w:val="none" w:sz="0" w:space="0" w:color="auto"/>
            <w:bottom w:val="none" w:sz="0" w:space="0" w:color="auto"/>
            <w:right w:val="none" w:sz="0" w:space="0" w:color="auto"/>
          </w:divBdr>
        </w:div>
        <w:div w:id="1056048106">
          <w:marLeft w:val="0"/>
          <w:marRight w:val="0"/>
          <w:marTop w:val="0"/>
          <w:marBottom w:val="0"/>
          <w:divBdr>
            <w:top w:val="none" w:sz="0" w:space="0" w:color="auto"/>
            <w:left w:val="none" w:sz="0" w:space="0" w:color="auto"/>
            <w:bottom w:val="none" w:sz="0" w:space="0" w:color="auto"/>
            <w:right w:val="none" w:sz="0" w:space="0" w:color="auto"/>
          </w:divBdr>
        </w:div>
        <w:div w:id="805705951">
          <w:marLeft w:val="0"/>
          <w:marRight w:val="0"/>
          <w:marTop w:val="0"/>
          <w:marBottom w:val="0"/>
          <w:divBdr>
            <w:top w:val="none" w:sz="0" w:space="0" w:color="auto"/>
            <w:left w:val="none" w:sz="0" w:space="0" w:color="auto"/>
            <w:bottom w:val="none" w:sz="0" w:space="0" w:color="auto"/>
            <w:right w:val="none" w:sz="0" w:space="0" w:color="auto"/>
          </w:divBdr>
        </w:div>
        <w:div w:id="625891145">
          <w:marLeft w:val="0"/>
          <w:marRight w:val="0"/>
          <w:marTop w:val="0"/>
          <w:marBottom w:val="0"/>
          <w:divBdr>
            <w:top w:val="none" w:sz="0" w:space="0" w:color="auto"/>
            <w:left w:val="none" w:sz="0" w:space="0" w:color="auto"/>
            <w:bottom w:val="none" w:sz="0" w:space="0" w:color="auto"/>
            <w:right w:val="none" w:sz="0" w:space="0" w:color="auto"/>
          </w:divBdr>
        </w:div>
        <w:div w:id="815030884">
          <w:marLeft w:val="0"/>
          <w:marRight w:val="0"/>
          <w:marTop w:val="0"/>
          <w:marBottom w:val="0"/>
          <w:divBdr>
            <w:top w:val="none" w:sz="0" w:space="0" w:color="auto"/>
            <w:left w:val="none" w:sz="0" w:space="0" w:color="auto"/>
            <w:bottom w:val="none" w:sz="0" w:space="0" w:color="auto"/>
            <w:right w:val="none" w:sz="0" w:space="0" w:color="auto"/>
          </w:divBdr>
        </w:div>
        <w:div w:id="823545896">
          <w:marLeft w:val="0"/>
          <w:marRight w:val="0"/>
          <w:marTop w:val="0"/>
          <w:marBottom w:val="0"/>
          <w:divBdr>
            <w:top w:val="none" w:sz="0" w:space="0" w:color="auto"/>
            <w:left w:val="none" w:sz="0" w:space="0" w:color="auto"/>
            <w:bottom w:val="none" w:sz="0" w:space="0" w:color="auto"/>
            <w:right w:val="none" w:sz="0" w:space="0" w:color="auto"/>
          </w:divBdr>
        </w:div>
      </w:divsChild>
    </w:div>
    <w:div w:id="715619042">
      <w:bodyDiv w:val="1"/>
      <w:marLeft w:val="0"/>
      <w:marRight w:val="0"/>
      <w:marTop w:val="0"/>
      <w:marBottom w:val="0"/>
      <w:divBdr>
        <w:top w:val="none" w:sz="0" w:space="0" w:color="auto"/>
        <w:left w:val="none" w:sz="0" w:space="0" w:color="auto"/>
        <w:bottom w:val="none" w:sz="0" w:space="0" w:color="auto"/>
        <w:right w:val="none" w:sz="0" w:space="0" w:color="auto"/>
      </w:divBdr>
      <w:divsChild>
        <w:div w:id="420764339">
          <w:marLeft w:val="0"/>
          <w:marRight w:val="0"/>
          <w:marTop w:val="0"/>
          <w:marBottom w:val="240"/>
          <w:divBdr>
            <w:top w:val="none" w:sz="0" w:space="0" w:color="auto"/>
            <w:left w:val="none" w:sz="0" w:space="0" w:color="auto"/>
            <w:bottom w:val="none" w:sz="0" w:space="0" w:color="auto"/>
            <w:right w:val="none" w:sz="0" w:space="0" w:color="auto"/>
          </w:divBdr>
          <w:divsChild>
            <w:div w:id="1773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8074">
      <w:bodyDiv w:val="1"/>
      <w:marLeft w:val="0"/>
      <w:marRight w:val="0"/>
      <w:marTop w:val="0"/>
      <w:marBottom w:val="0"/>
      <w:divBdr>
        <w:top w:val="none" w:sz="0" w:space="0" w:color="auto"/>
        <w:left w:val="none" w:sz="0" w:space="0" w:color="auto"/>
        <w:bottom w:val="none" w:sz="0" w:space="0" w:color="auto"/>
        <w:right w:val="none" w:sz="0" w:space="0" w:color="auto"/>
      </w:divBdr>
      <w:divsChild>
        <w:div w:id="1293898997">
          <w:marLeft w:val="0"/>
          <w:marRight w:val="0"/>
          <w:marTop w:val="0"/>
          <w:marBottom w:val="180"/>
          <w:divBdr>
            <w:top w:val="none" w:sz="0" w:space="0" w:color="auto"/>
            <w:left w:val="none" w:sz="0" w:space="0" w:color="auto"/>
            <w:bottom w:val="none" w:sz="0" w:space="0" w:color="auto"/>
            <w:right w:val="none" w:sz="0" w:space="0" w:color="auto"/>
          </w:divBdr>
          <w:divsChild>
            <w:div w:id="272177609">
              <w:marLeft w:val="0"/>
              <w:marRight w:val="0"/>
              <w:marTop w:val="0"/>
              <w:marBottom w:val="0"/>
              <w:divBdr>
                <w:top w:val="none" w:sz="0" w:space="0" w:color="auto"/>
                <w:left w:val="none" w:sz="0" w:space="0" w:color="auto"/>
                <w:bottom w:val="none" w:sz="0" w:space="0" w:color="auto"/>
                <w:right w:val="none" w:sz="0" w:space="0" w:color="auto"/>
              </w:divBdr>
            </w:div>
          </w:divsChild>
        </w:div>
        <w:div w:id="855273710">
          <w:marLeft w:val="0"/>
          <w:marRight w:val="0"/>
          <w:marTop w:val="0"/>
          <w:marBottom w:val="240"/>
          <w:divBdr>
            <w:top w:val="none" w:sz="0" w:space="0" w:color="auto"/>
            <w:left w:val="none" w:sz="0" w:space="0" w:color="auto"/>
            <w:bottom w:val="none" w:sz="0" w:space="0" w:color="auto"/>
            <w:right w:val="none" w:sz="0" w:space="0" w:color="auto"/>
          </w:divBdr>
          <w:divsChild>
            <w:div w:id="1856070144">
              <w:marLeft w:val="0"/>
              <w:marRight w:val="0"/>
              <w:marTop w:val="0"/>
              <w:marBottom w:val="0"/>
              <w:divBdr>
                <w:top w:val="none" w:sz="0" w:space="0" w:color="auto"/>
                <w:left w:val="none" w:sz="0" w:space="0" w:color="auto"/>
                <w:bottom w:val="none" w:sz="0" w:space="0" w:color="auto"/>
                <w:right w:val="none" w:sz="0" w:space="0" w:color="auto"/>
              </w:divBdr>
            </w:div>
          </w:divsChild>
        </w:div>
        <w:div w:id="78334799">
          <w:marLeft w:val="0"/>
          <w:marRight w:val="0"/>
          <w:marTop w:val="0"/>
          <w:marBottom w:val="0"/>
          <w:divBdr>
            <w:top w:val="none" w:sz="0" w:space="0" w:color="auto"/>
            <w:left w:val="none" w:sz="0" w:space="0" w:color="auto"/>
            <w:bottom w:val="none" w:sz="0" w:space="0" w:color="auto"/>
            <w:right w:val="none" w:sz="0" w:space="0" w:color="auto"/>
          </w:divBdr>
          <w:divsChild>
            <w:div w:id="15656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1206">
      <w:bodyDiv w:val="1"/>
      <w:marLeft w:val="0"/>
      <w:marRight w:val="0"/>
      <w:marTop w:val="0"/>
      <w:marBottom w:val="0"/>
      <w:divBdr>
        <w:top w:val="none" w:sz="0" w:space="0" w:color="auto"/>
        <w:left w:val="none" w:sz="0" w:space="0" w:color="auto"/>
        <w:bottom w:val="none" w:sz="0" w:space="0" w:color="auto"/>
        <w:right w:val="none" w:sz="0" w:space="0" w:color="auto"/>
      </w:divBdr>
      <w:divsChild>
        <w:div w:id="1188331250">
          <w:marLeft w:val="0"/>
          <w:marRight w:val="0"/>
          <w:marTop w:val="0"/>
          <w:marBottom w:val="0"/>
          <w:divBdr>
            <w:top w:val="none" w:sz="0" w:space="0" w:color="auto"/>
            <w:left w:val="none" w:sz="0" w:space="0" w:color="auto"/>
            <w:bottom w:val="none" w:sz="0" w:space="0" w:color="auto"/>
            <w:right w:val="none" w:sz="0" w:space="0" w:color="auto"/>
          </w:divBdr>
        </w:div>
        <w:div w:id="1166900707">
          <w:marLeft w:val="0"/>
          <w:marRight w:val="0"/>
          <w:marTop w:val="0"/>
          <w:marBottom w:val="0"/>
          <w:divBdr>
            <w:top w:val="none" w:sz="0" w:space="0" w:color="auto"/>
            <w:left w:val="none" w:sz="0" w:space="0" w:color="auto"/>
            <w:bottom w:val="none" w:sz="0" w:space="0" w:color="auto"/>
            <w:right w:val="none" w:sz="0" w:space="0" w:color="auto"/>
          </w:divBdr>
        </w:div>
        <w:div w:id="334848698">
          <w:marLeft w:val="0"/>
          <w:marRight w:val="0"/>
          <w:marTop w:val="0"/>
          <w:marBottom w:val="0"/>
          <w:divBdr>
            <w:top w:val="none" w:sz="0" w:space="0" w:color="auto"/>
            <w:left w:val="none" w:sz="0" w:space="0" w:color="auto"/>
            <w:bottom w:val="none" w:sz="0" w:space="0" w:color="auto"/>
            <w:right w:val="none" w:sz="0" w:space="0" w:color="auto"/>
          </w:divBdr>
        </w:div>
        <w:div w:id="296642512">
          <w:marLeft w:val="0"/>
          <w:marRight w:val="0"/>
          <w:marTop w:val="0"/>
          <w:marBottom w:val="0"/>
          <w:divBdr>
            <w:top w:val="none" w:sz="0" w:space="0" w:color="auto"/>
            <w:left w:val="none" w:sz="0" w:space="0" w:color="auto"/>
            <w:bottom w:val="none" w:sz="0" w:space="0" w:color="auto"/>
            <w:right w:val="none" w:sz="0" w:space="0" w:color="auto"/>
          </w:divBdr>
        </w:div>
        <w:div w:id="734352104">
          <w:marLeft w:val="0"/>
          <w:marRight w:val="0"/>
          <w:marTop w:val="0"/>
          <w:marBottom w:val="0"/>
          <w:divBdr>
            <w:top w:val="none" w:sz="0" w:space="0" w:color="auto"/>
            <w:left w:val="none" w:sz="0" w:space="0" w:color="auto"/>
            <w:bottom w:val="none" w:sz="0" w:space="0" w:color="auto"/>
            <w:right w:val="none" w:sz="0" w:space="0" w:color="auto"/>
          </w:divBdr>
        </w:div>
        <w:div w:id="506142411">
          <w:marLeft w:val="0"/>
          <w:marRight w:val="0"/>
          <w:marTop w:val="0"/>
          <w:marBottom w:val="0"/>
          <w:divBdr>
            <w:top w:val="none" w:sz="0" w:space="0" w:color="auto"/>
            <w:left w:val="none" w:sz="0" w:space="0" w:color="auto"/>
            <w:bottom w:val="none" w:sz="0" w:space="0" w:color="auto"/>
            <w:right w:val="none" w:sz="0" w:space="0" w:color="auto"/>
          </w:divBdr>
        </w:div>
        <w:div w:id="1920165595">
          <w:marLeft w:val="0"/>
          <w:marRight w:val="0"/>
          <w:marTop w:val="0"/>
          <w:marBottom w:val="0"/>
          <w:divBdr>
            <w:top w:val="none" w:sz="0" w:space="0" w:color="auto"/>
            <w:left w:val="none" w:sz="0" w:space="0" w:color="auto"/>
            <w:bottom w:val="none" w:sz="0" w:space="0" w:color="auto"/>
            <w:right w:val="none" w:sz="0" w:space="0" w:color="auto"/>
          </w:divBdr>
        </w:div>
        <w:div w:id="399787021">
          <w:marLeft w:val="0"/>
          <w:marRight w:val="0"/>
          <w:marTop w:val="0"/>
          <w:marBottom w:val="0"/>
          <w:divBdr>
            <w:top w:val="none" w:sz="0" w:space="0" w:color="auto"/>
            <w:left w:val="none" w:sz="0" w:space="0" w:color="auto"/>
            <w:bottom w:val="none" w:sz="0" w:space="0" w:color="auto"/>
            <w:right w:val="none" w:sz="0" w:space="0" w:color="auto"/>
          </w:divBdr>
        </w:div>
        <w:div w:id="951399337">
          <w:marLeft w:val="0"/>
          <w:marRight w:val="0"/>
          <w:marTop w:val="0"/>
          <w:marBottom w:val="0"/>
          <w:divBdr>
            <w:top w:val="none" w:sz="0" w:space="0" w:color="auto"/>
            <w:left w:val="none" w:sz="0" w:space="0" w:color="auto"/>
            <w:bottom w:val="none" w:sz="0" w:space="0" w:color="auto"/>
            <w:right w:val="none" w:sz="0" w:space="0" w:color="auto"/>
          </w:divBdr>
        </w:div>
        <w:div w:id="1918712092">
          <w:marLeft w:val="0"/>
          <w:marRight w:val="0"/>
          <w:marTop w:val="0"/>
          <w:marBottom w:val="0"/>
          <w:divBdr>
            <w:top w:val="none" w:sz="0" w:space="0" w:color="auto"/>
            <w:left w:val="none" w:sz="0" w:space="0" w:color="auto"/>
            <w:bottom w:val="none" w:sz="0" w:space="0" w:color="auto"/>
            <w:right w:val="none" w:sz="0" w:space="0" w:color="auto"/>
          </w:divBdr>
        </w:div>
        <w:div w:id="2089182197">
          <w:marLeft w:val="0"/>
          <w:marRight w:val="0"/>
          <w:marTop w:val="0"/>
          <w:marBottom w:val="0"/>
          <w:divBdr>
            <w:top w:val="none" w:sz="0" w:space="0" w:color="auto"/>
            <w:left w:val="none" w:sz="0" w:space="0" w:color="auto"/>
            <w:bottom w:val="none" w:sz="0" w:space="0" w:color="auto"/>
            <w:right w:val="none" w:sz="0" w:space="0" w:color="auto"/>
          </w:divBdr>
        </w:div>
        <w:div w:id="1245066926">
          <w:marLeft w:val="0"/>
          <w:marRight w:val="0"/>
          <w:marTop w:val="0"/>
          <w:marBottom w:val="0"/>
          <w:divBdr>
            <w:top w:val="none" w:sz="0" w:space="0" w:color="auto"/>
            <w:left w:val="none" w:sz="0" w:space="0" w:color="auto"/>
            <w:bottom w:val="none" w:sz="0" w:space="0" w:color="auto"/>
            <w:right w:val="none" w:sz="0" w:space="0" w:color="auto"/>
          </w:divBdr>
        </w:div>
        <w:div w:id="1078673409">
          <w:marLeft w:val="0"/>
          <w:marRight w:val="0"/>
          <w:marTop w:val="0"/>
          <w:marBottom w:val="0"/>
          <w:divBdr>
            <w:top w:val="none" w:sz="0" w:space="0" w:color="auto"/>
            <w:left w:val="none" w:sz="0" w:space="0" w:color="auto"/>
            <w:bottom w:val="none" w:sz="0" w:space="0" w:color="auto"/>
            <w:right w:val="none" w:sz="0" w:space="0" w:color="auto"/>
          </w:divBdr>
        </w:div>
        <w:div w:id="1866137974">
          <w:marLeft w:val="0"/>
          <w:marRight w:val="0"/>
          <w:marTop w:val="0"/>
          <w:marBottom w:val="0"/>
          <w:divBdr>
            <w:top w:val="none" w:sz="0" w:space="0" w:color="auto"/>
            <w:left w:val="none" w:sz="0" w:space="0" w:color="auto"/>
            <w:bottom w:val="none" w:sz="0" w:space="0" w:color="auto"/>
            <w:right w:val="none" w:sz="0" w:space="0" w:color="auto"/>
          </w:divBdr>
        </w:div>
        <w:div w:id="281420439">
          <w:marLeft w:val="0"/>
          <w:marRight w:val="0"/>
          <w:marTop w:val="0"/>
          <w:marBottom w:val="0"/>
          <w:divBdr>
            <w:top w:val="none" w:sz="0" w:space="0" w:color="auto"/>
            <w:left w:val="none" w:sz="0" w:space="0" w:color="auto"/>
            <w:bottom w:val="none" w:sz="0" w:space="0" w:color="auto"/>
            <w:right w:val="none" w:sz="0" w:space="0" w:color="auto"/>
          </w:divBdr>
        </w:div>
        <w:div w:id="533541015">
          <w:marLeft w:val="0"/>
          <w:marRight w:val="0"/>
          <w:marTop w:val="0"/>
          <w:marBottom w:val="0"/>
          <w:divBdr>
            <w:top w:val="none" w:sz="0" w:space="0" w:color="auto"/>
            <w:left w:val="none" w:sz="0" w:space="0" w:color="auto"/>
            <w:bottom w:val="none" w:sz="0" w:space="0" w:color="auto"/>
            <w:right w:val="none" w:sz="0" w:space="0" w:color="auto"/>
          </w:divBdr>
        </w:div>
      </w:divsChild>
    </w:div>
    <w:div w:id="790517925">
      <w:bodyDiv w:val="1"/>
      <w:marLeft w:val="0"/>
      <w:marRight w:val="0"/>
      <w:marTop w:val="0"/>
      <w:marBottom w:val="0"/>
      <w:divBdr>
        <w:top w:val="none" w:sz="0" w:space="0" w:color="auto"/>
        <w:left w:val="none" w:sz="0" w:space="0" w:color="auto"/>
        <w:bottom w:val="none" w:sz="0" w:space="0" w:color="auto"/>
        <w:right w:val="none" w:sz="0" w:space="0" w:color="auto"/>
      </w:divBdr>
      <w:divsChild>
        <w:div w:id="124129772">
          <w:marLeft w:val="0"/>
          <w:marRight w:val="0"/>
          <w:marTop w:val="0"/>
          <w:marBottom w:val="0"/>
          <w:divBdr>
            <w:top w:val="none" w:sz="0" w:space="0" w:color="auto"/>
            <w:left w:val="none" w:sz="0" w:space="0" w:color="auto"/>
            <w:bottom w:val="none" w:sz="0" w:space="0" w:color="auto"/>
            <w:right w:val="none" w:sz="0" w:space="0" w:color="auto"/>
          </w:divBdr>
        </w:div>
        <w:div w:id="201328983">
          <w:marLeft w:val="0"/>
          <w:marRight w:val="0"/>
          <w:marTop w:val="0"/>
          <w:marBottom w:val="0"/>
          <w:divBdr>
            <w:top w:val="none" w:sz="0" w:space="0" w:color="auto"/>
            <w:left w:val="none" w:sz="0" w:space="0" w:color="auto"/>
            <w:bottom w:val="none" w:sz="0" w:space="0" w:color="auto"/>
            <w:right w:val="none" w:sz="0" w:space="0" w:color="auto"/>
          </w:divBdr>
        </w:div>
        <w:div w:id="1264265195">
          <w:marLeft w:val="0"/>
          <w:marRight w:val="0"/>
          <w:marTop w:val="0"/>
          <w:marBottom w:val="0"/>
          <w:divBdr>
            <w:top w:val="none" w:sz="0" w:space="0" w:color="auto"/>
            <w:left w:val="none" w:sz="0" w:space="0" w:color="auto"/>
            <w:bottom w:val="none" w:sz="0" w:space="0" w:color="auto"/>
            <w:right w:val="none" w:sz="0" w:space="0" w:color="auto"/>
          </w:divBdr>
        </w:div>
        <w:div w:id="25984075">
          <w:marLeft w:val="0"/>
          <w:marRight w:val="0"/>
          <w:marTop w:val="0"/>
          <w:marBottom w:val="0"/>
          <w:divBdr>
            <w:top w:val="none" w:sz="0" w:space="0" w:color="auto"/>
            <w:left w:val="none" w:sz="0" w:space="0" w:color="auto"/>
            <w:bottom w:val="none" w:sz="0" w:space="0" w:color="auto"/>
            <w:right w:val="none" w:sz="0" w:space="0" w:color="auto"/>
          </w:divBdr>
        </w:div>
        <w:div w:id="1788620087">
          <w:marLeft w:val="0"/>
          <w:marRight w:val="0"/>
          <w:marTop w:val="0"/>
          <w:marBottom w:val="0"/>
          <w:divBdr>
            <w:top w:val="none" w:sz="0" w:space="0" w:color="auto"/>
            <w:left w:val="none" w:sz="0" w:space="0" w:color="auto"/>
            <w:bottom w:val="none" w:sz="0" w:space="0" w:color="auto"/>
            <w:right w:val="none" w:sz="0" w:space="0" w:color="auto"/>
          </w:divBdr>
        </w:div>
        <w:div w:id="638459630">
          <w:marLeft w:val="0"/>
          <w:marRight w:val="0"/>
          <w:marTop w:val="0"/>
          <w:marBottom w:val="0"/>
          <w:divBdr>
            <w:top w:val="none" w:sz="0" w:space="0" w:color="auto"/>
            <w:left w:val="none" w:sz="0" w:space="0" w:color="auto"/>
            <w:bottom w:val="none" w:sz="0" w:space="0" w:color="auto"/>
            <w:right w:val="none" w:sz="0" w:space="0" w:color="auto"/>
          </w:divBdr>
        </w:div>
      </w:divsChild>
    </w:div>
    <w:div w:id="935211977">
      <w:bodyDiv w:val="1"/>
      <w:marLeft w:val="0"/>
      <w:marRight w:val="0"/>
      <w:marTop w:val="0"/>
      <w:marBottom w:val="0"/>
      <w:divBdr>
        <w:top w:val="none" w:sz="0" w:space="0" w:color="auto"/>
        <w:left w:val="none" w:sz="0" w:space="0" w:color="auto"/>
        <w:bottom w:val="none" w:sz="0" w:space="0" w:color="auto"/>
        <w:right w:val="none" w:sz="0" w:space="0" w:color="auto"/>
      </w:divBdr>
      <w:divsChild>
        <w:div w:id="87652510">
          <w:marLeft w:val="0"/>
          <w:marRight w:val="0"/>
          <w:marTop w:val="0"/>
          <w:marBottom w:val="0"/>
          <w:divBdr>
            <w:top w:val="none" w:sz="0" w:space="0" w:color="auto"/>
            <w:left w:val="none" w:sz="0" w:space="0" w:color="auto"/>
            <w:bottom w:val="none" w:sz="0" w:space="0" w:color="auto"/>
            <w:right w:val="none" w:sz="0" w:space="0" w:color="auto"/>
          </w:divBdr>
        </w:div>
        <w:div w:id="2002925025">
          <w:marLeft w:val="0"/>
          <w:marRight w:val="0"/>
          <w:marTop w:val="0"/>
          <w:marBottom w:val="0"/>
          <w:divBdr>
            <w:top w:val="none" w:sz="0" w:space="0" w:color="auto"/>
            <w:left w:val="none" w:sz="0" w:space="0" w:color="auto"/>
            <w:bottom w:val="none" w:sz="0" w:space="0" w:color="auto"/>
            <w:right w:val="none" w:sz="0" w:space="0" w:color="auto"/>
          </w:divBdr>
        </w:div>
        <w:div w:id="331759674">
          <w:marLeft w:val="0"/>
          <w:marRight w:val="0"/>
          <w:marTop w:val="0"/>
          <w:marBottom w:val="0"/>
          <w:divBdr>
            <w:top w:val="none" w:sz="0" w:space="0" w:color="auto"/>
            <w:left w:val="none" w:sz="0" w:space="0" w:color="auto"/>
            <w:bottom w:val="none" w:sz="0" w:space="0" w:color="auto"/>
            <w:right w:val="none" w:sz="0" w:space="0" w:color="auto"/>
          </w:divBdr>
        </w:div>
        <w:div w:id="329480662">
          <w:marLeft w:val="0"/>
          <w:marRight w:val="0"/>
          <w:marTop w:val="0"/>
          <w:marBottom w:val="0"/>
          <w:divBdr>
            <w:top w:val="none" w:sz="0" w:space="0" w:color="auto"/>
            <w:left w:val="none" w:sz="0" w:space="0" w:color="auto"/>
            <w:bottom w:val="none" w:sz="0" w:space="0" w:color="auto"/>
            <w:right w:val="none" w:sz="0" w:space="0" w:color="auto"/>
          </w:divBdr>
        </w:div>
      </w:divsChild>
    </w:div>
    <w:div w:id="1020282826">
      <w:bodyDiv w:val="1"/>
      <w:marLeft w:val="0"/>
      <w:marRight w:val="0"/>
      <w:marTop w:val="0"/>
      <w:marBottom w:val="0"/>
      <w:divBdr>
        <w:top w:val="none" w:sz="0" w:space="0" w:color="auto"/>
        <w:left w:val="none" w:sz="0" w:space="0" w:color="auto"/>
        <w:bottom w:val="none" w:sz="0" w:space="0" w:color="auto"/>
        <w:right w:val="none" w:sz="0" w:space="0" w:color="auto"/>
      </w:divBdr>
      <w:divsChild>
        <w:div w:id="681014555">
          <w:marLeft w:val="0"/>
          <w:marRight w:val="0"/>
          <w:marTop w:val="0"/>
          <w:marBottom w:val="0"/>
          <w:divBdr>
            <w:top w:val="none" w:sz="0" w:space="0" w:color="auto"/>
            <w:left w:val="none" w:sz="0" w:space="0" w:color="auto"/>
            <w:bottom w:val="none" w:sz="0" w:space="0" w:color="auto"/>
            <w:right w:val="none" w:sz="0" w:space="0" w:color="auto"/>
          </w:divBdr>
        </w:div>
        <w:div w:id="696589926">
          <w:marLeft w:val="0"/>
          <w:marRight w:val="0"/>
          <w:marTop w:val="0"/>
          <w:marBottom w:val="0"/>
          <w:divBdr>
            <w:top w:val="none" w:sz="0" w:space="0" w:color="auto"/>
            <w:left w:val="none" w:sz="0" w:space="0" w:color="auto"/>
            <w:bottom w:val="none" w:sz="0" w:space="0" w:color="auto"/>
            <w:right w:val="none" w:sz="0" w:space="0" w:color="auto"/>
          </w:divBdr>
        </w:div>
        <w:div w:id="1020737277">
          <w:marLeft w:val="0"/>
          <w:marRight w:val="0"/>
          <w:marTop w:val="0"/>
          <w:marBottom w:val="0"/>
          <w:divBdr>
            <w:top w:val="none" w:sz="0" w:space="0" w:color="auto"/>
            <w:left w:val="none" w:sz="0" w:space="0" w:color="auto"/>
            <w:bottom w:val="none" w:sz="0" w:space="0" w:color="auto"/>
            <w:right w:val="none" w:sz="0" w:space="0" w:color="auto"/>
          </w:divBdr>
        </w:div>
        <w:div w:id="519467371">
          <w:marLeft w:val="0"/>
          <w:marRight w:val="0"/>
          <w:marTop w:val="0"/>
          <w:marBottom w:val="0"/>
          <w:divBdr>
            <w:top w:val="none" w:sz="0" w:space="0" w:color="auto"/>
            <w:left w:val="none" w:sz="0" w:space="0" w:color="auto"/>
            <w:bottom w:val="none" w:sz="0" w:space="0" w:color="auto"/>
            <w:right w:val="none" w:sz="0" w:space="0" w:color="auto"/>
          </w:divBdr>
        </w:div>
        <w:div w:id="1337028770">
          <w:marLeft w:val="0"/>
          <w:marRight w:val="0"/>
          <w:marTop w:val="0"/>
          <w:marBottom w:val="0"/>
          <w:divBdr>
            <w:top w:val="none" w:sz="0" w:space="0" w:color="auto"/>
            <w:left w:val="none" w:sz="0" w:space="0" w:color="auto"/>
            <w:bottom w:val="none" w:sz="0" w:space="0" w:color="auto"/>
            <w:right w:val="none" w:sz="0" w:space="0" w:color="auto"/>
          </w:divBdr>
        </w:div>
        <w:div w:id="332729570">
          <w:marLeft w:val="0"/>
          <w:marRight w:val="0"/>
          <w:marTop w:val="0"/>
          <w:marBottom w:val="0"/>
          <w:divBdr>
            <w:top w:val="none" w:sz="0" w:space="0" w:color="auto"/>
            <w:left w:val="none" w:sz="0" w:space="0" w:color="auto"/>
            <w:bottom w:val="none" w:sz="0" w:space="0" w:color="auto"/>
            <w:right w:val="none" w:sz="0" w:space="0" w:color="auto"/>
          </w:divBdr>
        </w:div>
        <w:div w:id="1223717321">
          <w:marLeft w:val="0"/>
          <w:marRight w:val="0"/>
          <w:marTop w:val="0"/>
          <w:marBottom w:val="0"/>
          <w:divBdr>
            <w:top w:val="none" w:sz="0" w:space="0" w:color="auto"/>
            <w:left w:val="none" w:sz="0" w:space="0" w:color="auto"/>
            <w:bottom w:val="none" w:sz="0" w:space="0" w:color="auto"/>
            <w:right w:val="none" w:sz="0" w:space="0" w:color="auto"/>
          </w:divBdr>
        </w:div>
        <w:div w:id="1144810740">
          <w:marLeft w:val="0"/>
          <w:marRight w:val="0"/>
          <w:marTop w:val="0"/>
          <w:marBottom w:val="0"/>
          <w:divBdr>
            <w:top w:val="none" w:sz="0" w:space="0" w:color="auto"/>
            <w:left w:val="none" w:sz="0" w:space="0" w:color="auto"/>
            <w:bottom w:val="none" w:sz="0" w:space="0" w:color="auto"/>
            <w:right w:val="none" w:sz="0" w:space="0" w:color="auto"/>
          </w:divBdr>
        </w:div>
        <w:div w:id="2136017781">
          <w:marLeft w:val="0"/>
          <w:marRight w:val="0"/>
          <w:marTop w:val="0"/>
          <w:marBottom w:val="0"/>
          <w:divBdr>
            <w:top w:val="none" w:sz="0" w:space="0" w:color="auto"/>
            <w:left w:val="none" w:sz="0" w:space="0" w:color="auto"/>
            <w:bottom w:val="none" w:sz="0" w:space="0" w:color="auto"/>
            <w:right w:val="none" w:sz="0" w:space="0" w:color="auto"/>
          </w:divBdr>
        </w:div>
        <w:div w:id="599096554">
          <w:marLeft w:val="0"/>
          <w:marRight w:val="0"/>
          <w:marTop w:val="0"/>
          <w:marBottom w:val="0"/>
          <w:divBdr>
            <w:top w:val="none" w:sz="0" w:space="0" w:color="auto"/>
            <w:left w:val="none" w:sz="0" w:space="0" w:color="auto"/>
            <w:bottom w:val="none" w:sz="0" w:space="0" w:color="auto"/>
            <w:right w:val="none" w:sz="0" w:space="0" w:color="auto"/>
          </w:divBdr>
        </w:div>
        <w:div w:id="1226454291">
          <w:marLeft w:val="0"/>
          <w:marRight w:val="0"/>
          <w:marTop w:val="0"/>
          <w:marBottom w:val="0"/>
          <w:divBdr>
            <w:top w:val="none" w:sz="0" w:space="0" w:color="auto"/>
            <w:left w:val="none" w:sz="0" w:space="0" w:color="auto"/>
            <w:bottom w:val="none" w:sz="0" w:space="0" w:color="auto"/>
            <w:right w:val="none" w:sz="0" w:space="0" w:color="auto"/>
          </w:divBdr>
        </w:div>
      </w:divsChild>
    </w:div>
    <w:div w:id="1024214467">
      <w:bodyDiv w:val="1"/>
      <w:marLeft w:val="0"/>
      <w:marRight w:val="0"/>
      <w:marTop w:val="0"/>
      <w:marBottom w:val="0"/>
      <w:divBdr>
        <w:top w:val="none" w:sz="0" w:space="0" w:color="auto"/>
        <w:left w:val="none" w:sz="0" w:space="0" w:color="auto"/>
        <w:bottom w:val="none" w:sz="0" w:space="0" w:color="auto"/>
        <w:right w:val="none" w:sz="0" w:space="0" w:color="auto"/>
      </w:divBdr>
    </w:div>
    <w:div w:id="1158232142">
      <w:bodyDiv w:val="1"/>
      <w:marLeft w:val="0"/>
      <w:marRight w:val="0"/>
      <w:marTop w:val="0"/>
      <w:marBottom w:val="0"/>
      <w:divBdr>
        <w:top w:val="none" w:sz="0" w:space="0" w:color="auto"/>
        <w:left w:val="none" w:sz="0" w:space="0" w:color="auto"/>
        <w:bottom w:val="none" w:sz="0" w:space="0" w:color="auto"/>
        <w:right w:val="none" w:sz="0" w:space="0" w:color="auto"/>
      </w:divBdr>
    </w:div>
    <w:div w:id="1192378426">
      <w:bodyDiv w:val="1"/>
      <w:marLeft w:val="0"/>
      <w:marRight w:val="0"/>
      <w:marTop w:val="0"/>
      <w:marBottom w:val="0"/>
      <w:divBdr>
        <w:top w:val="none" w:sz="0" w:space="0" w:color="auto"/>
        <w:left w:val="none" w:sz="0" w:space="0" w:color="auto"/>
        <w:bottom w:val="none" w:sz="0" w:space="0" w:color="auto"/>
        <w:right w:val="none" w:sz="0" w:space="0" w:color="auto"/>
      </w:divBdr>
    </w:div>
    <w:div w:id="1204634780">
      <w:bodyDiv w:val="1"/>
      <w:marLeft w:val="0"/>
      <w:marRight w:val="0"/>
      <w:marTop w:val="0"/>
      <w:marBottom w:val="0"/>
      <w:divBdr>
        <w:top w:val="none" w:sz="0" w:space="0" w:color="auto"/>
        <w:left w:val="none" w:sz="0" w:space="0" w:color="auto"/>
        <w:bottom w:val="none" w:sz="0" w:space="0" w:color="auto"/>
        <w:right w:val="none" w:sz="0" w:space="0" w:color="auto"/>
      </w:divBdr>
      <w:divsChild>
        <w:div w:id="1396732628">
          <w:marLeft w:val="0"/>
          <w:marRight w:val="0"/>
          <w:marTop w:val="15"/>
          <w:marBottom w:val="0"/>
          <w:divBdr>
            <w:top w:val="single" w:sz="48" w:space="0" w:color="auto"/>
            <w:left w:val="single" w:sz="48" w:space="0" w:color="auto"/>
            <w:bottom w:val="single" w:sz="48" w:space="0" w:color="auto"/>
            <w:right w:val="single" w:sz="48" w:space="0" w:color="auto"/>
          </w:divBdr>
          <w:divsChild>
            <w:div w:id="763036411">
              <w:marLeft w:val="0"/>
              <w:marRight w:val="0"/>
              <w:marTop w:val="0"/>
              <w:marBottom w:val="0"/>
              <w:divBdr>
                <w:top w:val="none" w:sz="0" w:space="0" w:color="auto"/>
                <w:left w:val="none" w:sz="0" w:space="0" w:color="auto"/>
                <w:bottom w:val="none" w:sz="0" w:space="0" w:color="auto"/>
                <w:right w:val="none" w:sz="0" w:space="0" w:color="auto"/>
              </w:divBdr>
              <w:divsChild>
                <w:div w:id="2105565583">
                  <w:marLeft w:val="0"/>
                  <w:marRight w:val="0"/>
                  <w:marTop w:val="0"/>
                  <w:marBottom w:val="0"/>
                  <w:divBdr>
                    <w:top w:val="none" w:sz="0" w:space="0" w:color="auto"/>
                    <w:left w:val="none" w:sz="0" w:space="0" w:color="auto"/>
                    <w:bottom w:val="none" w:sz="0" w:space="0" w:color="auto"/>
                    <w:right w:val="none" w:sz="0" w:space="0" w:color="auto"/>
                  </w:divBdr>
                </w:div>
                <w:div w:id="1598371640">
                  <w:marLeft w:val="0"/>
                  <w:marRight w:val="0"/>
                  <w:marTop w:val="0"/>
                  <w:marBottom w:val="0"/>
                  <w:divBdr>
                    <w:top w:val="none" w:sz="0" w:space="0" w:color="auto"/>
                    <w:left w:val="none" w:sz="0" w:space="0" w:color="auto"/>
                    <w:bottom w:val="none" w:sz="0" w:space="0" w:color="auto"/>
                    <w:right w:val="none" w:sz="0" w:space="0" w:color="auto"/>
                  </w:divBdr>
                </w:div>
                <w:div w:id="18704702">
                  <w:marLeft w:val="0"/>
                  <w:marRight w:val="0"/>
                  <w:marTop w:val="0"/>
                  <w:marBottom w:val="0"/>
                  <w:divBdr>
                    <w:top w:val="none" w:sz="0" w:space="0" w:color="auto"/>
                    <w:left w:val="none" w:sz="0" w:space="0" w:color="auto"/>
                    <w:bottom w:val="none" w:sz="0" w:space="0" w:color="auto"/>
                    <w:right w:val="none" w:sz="0" w:space="0" w:color="auto"/>
                  </w:divBdr>
                </w:div>
                <w:div w:id="5259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4593">
      <w:bodyDiv w:val="1"/>
      <w:marLeft w:val="0"/>
      <w:marRight w:val="0"/>
      <w:marTop w:val="0"/>
      <w:marBottom w:val="0"/>
      <w:divBdr>
        <w:top w:val="none" w:sz="0" w:space="0" w:color="auto"/>
        <w:left w:val="none" w:sz="0" w:space="0" w:color="auto"/>
        <w:bottom w:val="none" w:sz="0" w:space="0" w:color="auto"/>
        <w:right w:val="none" w:sz="0" w:space="0" w:color="auto"/>
      </w:divBdr>
      <w:divsChild>
        <w:div w:id="151222741">
          <w:marLeft w:val="0"/>
          <w:marRight w:val="0"/>
          <w:marTop w:val="0"/>
          <w:marBottom w:val="0"/>
          <w:divBdr>
            <w:top w:val="none" w:sz="0" w:space="0" w:color="auto"/>
            <w:left w:val="none" w:sz="0" w:space="0" w:color="auto"/>
            <w:bottom w:val="none" w:sz="0" w:space="0" w:color="auto"/>
            <w:right w:val="none" w:sz="0" w:space="0" w:color="auto"/>
          </w:divBdr>
        </w:div>
        <w:div w:id="26613308">
          <w:marLeft w:val="0"/>
          <w:marRight w:val="0"/>
          <w:marTop w:val="0"/>
          <w:marBottom w:val="0"/>
          <w:divBdr>
            <w:top w:val="none" w:sz="0" w:space="0" w:color="auto"/>
            <w:left w:val="none" w:sz="0" w:space="0" w:color="auto"/>
            <w:bottom w:val="none" w:sz="0" w:space="0" w:color="auto"/>
            <w:right w:val="none" w:sz="0" w:space="0" w:color="auto"/>
          </w:divBdr>
        </w:div>
        <w:div w:id="2034764562">
          <w:marLeft w:val="0"/>
          <w:marRight w:val="0"/>
          <w:marTop w:val="0"/>
          <w:marBottom w:val="0"/>
          <w:divBdr>
            <w:top w:val="none" w:sz="0" w:space="0" w:color="auto"/>
            <w:left w:val="none" w:sz="0" w:space="0" w:color="auto"/>
            <w:bottom w:val="none" w:sz="0" w:space="0" w:color="auto"/>
            <w:right w:val="none" w:sz="0" w:space="0" w:color="auto"/>
          </w:divBdr>
        </w:div>
        <w:div w:id="1216044360">
          <w:marLeft w:val="0"/>
          <w:marRight w:val="0"/>
          <w:marTop w:val="0"/>
          <w:marBottom w:val="0"/>
          <w:divBdr>
            <w:top w:val="none" w:sz="0" w:space="0" w:color="auto"/>
            <w:left w:val="none" w:sz="0" w:space="0" w:color="auto"/>
            <w:bottom w:val="none" w:sz="0" w:space="0" w:color="auto"/>
            <w:right w:val="none" w:sz="0" w:space="0" w:color="auto"/>
          </w:divBdr>
        </w:div>
        <w:div w:id="711342541">
          <w:marLeft w:val="0"/>
          <w:marRight w:val="0"/>
          <w:marTop w:val="0"/>
          <w:marBottom w:val="0"/>
          <w:divBdr>
            <w:top w:val="none" w:sz="0" w:space="0" w:color="auto"/>
            <w:left w:val="none" w:sz="0" w:space="0" w:color="auto"/>
            <w:bottom w:val="none" w:sz="0" w:space="0" w:color="auto"/>
            <w:right w:val="none" w:sz="0" w:space="0" w:color="auto"/>
          </w:divBdr>
        </w:div>
        <w:div w:id="28605941">
          <w:marLeft w:val="0"/>
          <w:marRight w:val="0"/>
          <w:marTop w:val="0"/>
          <w:marBottom w:val="0"/>
          <w:divBdr>
            <w:top w:val="none" w:sz="0" w:space="0" w:color="auto"/>
            <w:left w:val="none" w:sz="0" w:space="0" w:color="auto"/>
            <w:bottom w:val="none" w:sz="0" w:space="0" w:color="auto"/>
            <w:right w:val="none" w:sz="0" w:space="0" w:color="auto"/>
          </w:divBdr>
        </w:div>
      </w:divsChild>
    </w:div>
    <w:div w:id="1408650459">
      <w:bodyDiv w:val="1"/>
      <w:marLeft w:val="0"/>
      <w:marRight w:val="0"/>
      <w:marTop w:val="0"/>
      <w:marBottom w:val="0"/>
      <w:divBdr>
        <w:top w:val="none" w:sz="0" w:space="0" w:color="auto"/>
        <w:left w:val="none" w:sz="0" w:space="0" w:color="auto"/>
        <w:bottom w:val="none" w:sz="0" w:space="0" w:color="auto"/>
        <w:right w:val="none" w:sz="0" w:space="0" w:color="auto"/>
      </w:divBdr>
    </w:div>
    <w:div w:id="1422751142">
      <w:bodyDiv w:val="1"/>
      <w:marLeft w:val="0"/>
      <w:marRight w:val="0"/>
      <w:marTop w:val="0"/>
      <w:marBottom w:val="0"/>
      <w:divBdr>
        <w:top w:val="none" w:sz="0" w:space="0" w:color="auto"/>
        <w:left w:val="none" w:sz="0" w:space="0" w:color="auto"/>
        <w:bottom w:val="none" w:sz="0" w:space="0" w:color="auto"/>
        <w:right w:val="none" w:sz="0" w:space="0" w:color="auto"/>
      </w:divBdr>
      <w:divsChild>
        <w:div w:id="1161656444">
          <w:marLeft w:val="0"/>
          <w:marRight w:val="0"/>
          <w:marTop w:val="0"/>
          <w:marBottom w:val="0"/>
          <w:divBdr>
            <w:top w:val="none" w:sz="0" w:space="0" w:color="auto"/>
            <w:left w:val="none" w:sz="0" w:space="0" w:color="auto"/>
            <w:bottom w:val="none" w:sz="0" w:space="0" w:color="auto"/>
            <w:right w:val="none" w:sz="0" w:space="0" w:color="auto"/>
          </w:divBdr>
        </w:div>
        <w:div w:id="1649818524">
          <w:marLeft w:val="0"/>
          <w:marRight w:val="0"/>
          <w:marTop w:val="0"/>
          <w:marBottom w:val="0"/>
          <w:divBdr>
            <w:top w:val="none" w:sz="0" w:space="0" w:color="auto"/>
            <w:left w:val="none" w:sz="0" w:space="0" w:color="auto"/>
            <w:bottom w:val="none" w:sz="0" w:space="0" w:color="auto"/>
            <w:right w:val="none" w:sz="0" w:space="0" w:color="auto"/>
          </w:divBdr>
        </w:div>
        <w:div w:id="1558129683">
          <w:marLeft w:val="0"/>
          <w:marRight w:val="0"/>
          <w:marTop w:val="0"/>
          <w:marBottom w:val="0"/>
          <w:divBdr>
            <w:top w:val="none" w:sz="0" w:space="0" w:color="auto"/>
            <w:left w:val="none" w:sz="0" w:space="0" w:color="auto"/>
            <w:bottom w:val="none" w:sz="0" w:space="0" w:color="auto"/>
            <w:right w:val="none" w:sz="0" w:space="0" w:color="auto"/>
          </w:divBdr>
        </w:div>
        <w:div w:id="1882863940">
          <w:marLeft w:val="0"/>
          <w:marRight w:val="0"/>
          <w:marTop w:val="0"/>
          <w:marBottom w:val="0"/>
          <w:divBdr>
            <w:top w:val="none" w:sz="0" w:space="0" w:color="auto"/>
            <w:left w:val="none" w:sz="0" w:space="0" w:color="auto"/>
            <w:bottom w:val="none" w:sz="0" w:space="0" w:color="auto"/>
            <w:right w:val="none" w:sz="0" w:space="0" w:color="auto"/>
          </w:divBdr>
        </w:div>
        <w:div w:id="281152622">
          <w:marLeft w:val="0"/>
          <w:marRight w:val="0"/>
          <w:marTop w:val="0"/>
          <w:marBottom w:val="0"/>
          <w:divBdr>
            <w:top w:val="none" w:sz="0" w:space="0" w:color="auto"/>
            <w:left w:val="none" w:sz="0" w:space="0" w:color="auto"/>
            <w:bottom w:val="none" w:sz="0" w:space="0" w:color="auto"/>
            <w:right w:val="none" w:sz="0" w:space="0" w:color="auto"/>
          </w:divBdr>
        </w:div>
        <w:div w:id="1633247889">
          <w:marLeft w:val="0"/>
          <w:marRight w:val="0"/>
          <w:marTop w:val="0"/>
          <w:marBottom w:val="0"/>
          <w:divBdr>
            <w:top w:val="none" w:sz="0" w:space="0" w:color="auto"/>
            <w:left w:val="none" w:sz="0" w:space="0" w:color="auto"/>
            <w:bottom w:val="none" w:sz="0" w:space="0" w:color="auto"/>
            <w:right w:val="none" w:sz="0" w:space="0" w:color="auto"/>
          </w:divBdr>
        </w:div>
        <w:div w:id="1852451880">
          <w:marLeft w:val="0"/>
          <w:marRight w:val="0"/>
          <w:marTop w:val="0"/>
          <w:marBottom w:val="0"/>
          <w:divBdr>
            <w:top w:val="none" w:sz="0" w:space="0" w:color="auto"/>
            <w:left w:val="none" w:sz="0" w:space="0" w:color="auto"/>
            <w:bottom w:val="none" w:sz="0" w:space="0" w:color="auto"/>
            <w:right w:val="none" w:sz="0" w:space="0" w:color="auto"/>
          </w:divBdr>
        </w:div>
        <w:div w:id="40908496">
          <w:marLeft w:val="0"/>
          <w:marRight w:val="0"/>
          <w:marTop w:val="0"/>
          <w:marBottom w:val="0"/>
          <w:divBdr>
            <w:top w:val="none" w:sz="0" w:space="0" w:color="auto"/>
            <w:left w:val="none" w:sz="0" w:space="0" w:color="auto"/>
            <w:bottom w:val="none" w:sz="0" w:space="0" w:color="auto"/>
            <w:right w:val="none" w:sz="0" w:space="0" w:color="auto"/>
          </w:divBdr>
        </w:div>
      </w:divsChild>
    </w:div>
    <w:div w:id="1532037504">
      <w:bodyDiv w:val="1"/>
      <w:marLeft w:val="0"/>
      <w:marRight w:val="0"/>
      <w:marTop w:val="0"/>
      <w:marBottom w:val="0"/>
      <w:divBdr>
        <w:top w:val="none" w:sz="0" w:space="0" w:color="auto"/>
        <w:left w:val="none" w:sz="0" w:space="0" w:color="auto"/>
        <w:bottom w:val="none" w:sz="0" w:space="0" w:color="auto"/>
        <w:right w:val="none" w:sz="0" w:space="0" w:color="auto"/>
      </w:divBdr>
    </w:div>
    <w:div w:id="1570261231">
      <w:bodyDiv w:val="1"/>
      <w:marLeft w:val="0"/>
      <w:marRight w:val="0"/>
      <w:marTop w:val="0"/>
      <w:marBottom w:val="0"/>
      <w:divBdr>
        <w:top w:val="none" w:sz="0" w:space="0" w:color="auto"/>
        <w:left w:val="none" w:sz="0" w:space="0" w:color="auto"/>
        <w:bottom w:val="none" w:sz="0" w:space="0" w:color="auto"/>
        <w:right w:val="none" w:sz="0" w:space="0" w:color="auto"/>
      </w:divBdr>
    </w:div>
    <w:div w:id="1794908681">
      <w:bodyDiv w:val="1"/>
      <w:marLeft w:val="0"/>
      <w:marRight w:val="0"/>
      <w:marTop w:val="0"/>
      <w:marBottom w:val="0"/>
      <w:divBdr>
        <w:top w:val="none" w:sz="0" w:space="0" w:color="auto"/>
        <w:left w:val="none" w:sz="0" w:space="0" w:color="auto"/>
        <w:bottom w:val="none" w:sz="0" w:space="0" w:color="auto"/>
        <w:right w:val="none" w:sz="0" w:space="0" w:color="auto"/>
      </w:divBdr>
    </w:div>
    <w:div w:id="1937983621">
      <w:bodyDiv w:val="1"/>
      <w:marLeft w:val="0"/>
      <w:marRight w:val="0"/>
      <w:marTop w:val="0"/>
      <w:marBottom w:val="0"/>
      <w:divBdr>
        <w:top w:val="none" w:sz="0" w:space="0" w:color="auto"/>
        <w:left w:val="none" w:sz="0" w:space="0" w:color="auto"/>
        <w:bottom w:val="none" w:sz="0" w:space="0" w:color="auto"/>
        <w:right w:val="none" w:sz="0" w:space="0" w:color="auto"/>
      </w:divBdr>
    </w:div>
    <w:div w:id="1953123970">
      <w:bodyDiv w:val="1"/>
      <w:marLeft w:val="0"/>
      <w:marRight w:val="0"/>
      <w:marTop w:val="0"/>
      <w:marBottom w:val="0"/>
      <w:divBdr>
        <w:top w:val="none" w:sz="0" w:space="0" w:color="auto"/>
        <w:left w:val="none" w:sz="0" w:space="0" w:color="auto"/>
        <w:bottom w:val="none" w:sz="0" w:space="0" w:color="auto"/>
        <w:right w:val="none" w:sz="0" w:space="0" w:color="auto"/>
      </w:divBdr>
    </w:div>
    <w:div w:id="1957443945">
      <w:bodyDiv w:val="1"/>
      <w:marLeft w:val="0"/>
      <w:marRight w:val="0"/>
      <w:marTop w:val="0"/>
      <w:marBottom w:val="0"/>
      <w:divBdr>
        <w:top w:val="none" w:sz="0" w:space="0" w:color="auto"/>
        <w:left w:val="none" w:sz="0" w:space="0" w:color="auto"/>
        <w:bottom w:val="none" w:sz="0" w:space="0" w:color="auto"/>
        <w:right w:val="none" w:sz="0" w:space="0" w:color="auto"/>
      </w:divBdr>
    </w:div>
    <w:div w:id="2043364381">
      <w:bodyDiv w:val="1"/>
      <w:marLeft w:val="0"/>
      <w:marRight w:val="0"/>
      <w:marTop w:val="0"/>
      <w:marBottom w:val="0"/>
      <w:divBdr>
        <w:top w:val="none" w:sz="0" w:space="0" w:color="auto"/>
        <w:left w:val="none" w:sz="0" w:space="0" w:color="auto"/>
        <w:bottom w:val="none" w:sz="0" w:space="0" w:color="auto"/>
        <w:right w:val="none" w:sz="0" w:space="0" w:color="auto"/>
      </w:divBdr>
    </w:div>
    <w:div w:id="2056851012">
      <w:bodyDiv w:val="1"/>
      <w:marLeft w:val="0"/>
      <w:marRight w:val="0"/>
      <w:marTop w:val="0"/>
      <w:marBottom w:val="0"/>
      <w:divBdr>
        <w:top w:val="none" w:sz="0" w:space="0" w:color="auto"/>
        <w:left w:val="none" w:sz="0" w:space="0" w:color="auto"/>
        <w:bottom w:val="none" w:sz="0" w:space="0" w:color="auto"/>
        <w:right w:val="none" w:sz="0" w:space="0" w:color="auto"/>
      </w:divBdr>
    </w:div>
    <w:div w:id="2111465397">
      <w:bodyDiv w:val="1"/>
      <w:marLeft w:val="0"/>
      <w:marRight w:val="0"/>
      <w:marTop w:val="0"/>
      <w:marBottom w:val="0"/>
      <w:divBdr>
        <w:top w:val="none" w:sz="0" w:space="0" w:color="auto"/>
        <w:left w:val="none" w:sz="0" w:space="0" w:color="auto"/>
        <w:bottom w:val="none" w:sz="0" w:space="0" w:color="auto"/>
        <w:right w:val="none" w:sz="0" w:space="0" w:color="auto"/>
      </w:divBdr>
      <w:divsChild>
        <w:div w:id="1775519890">
          <w:marLeft w:val="0"/>
          <w:marRight w:val="0"/>
          <w:marTop w:val="0"/>
          <w:marBottom w:val="0"/>
          <w:divBdr>
            <w:top w:val="none" w:sz="0" w:space="0" w:color="auto"/>
            <w:left w:val="none" w:sz="0" w:space="0" w:color="auto"/>
            <w:bottom w:val="none" w:sz="0" w:space="0" w:color="auto"/>
            <w:right w:val="none" w:sz="0" w:space="0" w:color="auto"/>
          </w:divBdr>
        </w:div>
        <w:div w:id="681202479">
          <w:marLeft w:val="0"/>
          <w:marRight w:val="0"/>
          <w:marTop w:val="0"/>
          <w:marBottom w:val="0"/>
          <w:divBdr>
            <w:top w:val="none" w:sz="0" w:space="0" w:color="auto"/>
            <w:left w:val="none" w:sz="0" w:space="0" w:color="auto"/>
            <w:bottom w:val="none" w:sz="0" w:space="0" w:color="auto"/>
            <w:right w:val="none" w:sz="0" w:space="0" w:color="auto"/>
          </w:divBdr>
        </w:div>
        <w:div w:id="1097679283">
          <w:marLeft w:val="0"/>
          <w:marRight w:val="0"/>
          <w:marTop w:val="0"/>
          <w:marBottom w:val="0"/>
          <w:divBdr>
            <w:top w:val="none" w:sz="0" w:space="0" w:color="auto"/>
            <w:left w:val="none" w:sz="0" w:space="0" w:color="auto"/>
            <w:bottom w:val="none" w:sz="0" w:space="0" w:color="auto"/>
            <w:right w:val="none" w:sz="0" w:space="0" w:color="auto"/>
          </w:divBdr>
        </w:div>
        <w:div w:id="348028924">
          <w:marLeft w:val="0"/>
          <w:marRight w:val="0"/>
          <w:marTop w:val="0"/>
          <w:marBottom w:val="0"/>
          <w:divBdr>
            <w:top w:val="none" w:sz="0" w:space="0" w:color="auto"/>
            <w:left w:val="none" w:sz="0" w:space="0" w:color="auto"/>
            <w:bottom w:val="none" w:sz="0" w:space="0" w:color="auto"/>
            <w:right w:val="none" w:sz="0" w:space="0" w:color="auto"/>
          </w:divBdr>
        </w:div>
        <w:div w:id="78214372">
          <w:marLeft w:val="0"/>
          <w:marRight w:val="0"/>
          <w:marTop w:val="0"/>
          <w:marBottom w:val="0"/>
          <w:divBdr>
            <w:top w:val="none" w:sz="0" w:space="0" w:color="auto"/>
            <w:left w:val="none" w:sz="0" w:space="0" w:color="auto"/>
            <w:bottom w:val="none" w:sz="0" w:space="0" w:color="auto"/>
            <w:right w:val="none" w:sz="0" w:space="0" w:color="auto"/>
          </w:divBdr>
        </w:div>
        <w:div w:id="97525639">
          <w:marLeft w:val="0"/>
          <w:marRight w:val="0"/>
          <w:marTop w:val="0"/>
          <w:marBottom w:val="0"/>
          <w:divBdr>
            <w:top w:val="none" w:sz="0" w:space="0" w:color="auto"/>
            <w:left w:val="none" w:sz="0" w:space="0" w:color="auto"/>
            <w:bottom w:val="none" w:sz="0" w:space="0" w:color="auto"/>
            <w:right w:val="none" w:sz="0" w:space="0" w:color="auto"/>
          </w:divBdr>
        </w:div>
      </w:divsChild>
    </w:div>
    <w:div w:id="213767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pr.2021.102030" TargetMode="External"/><Relationship Id="rId18" Type="http://schemas.openxmlformats.org/officeDocument/2006/relationships/hyperlink" Target="https://doi.org/10.1177/0145445512455248" TargetMode="External"/><Relationship Id="rId26" Type="http://schemas.openxmlformats.org/officeDocument/2006/relationships/hyperlink" Target="https://doi.org/10.1037/int0000137" TargetMode="External"/><Relationship Id="rId39" Type="http://schemas.openxmlformats.org/officeDocument/2006/relationships/hyperlink" Target="https://doi.org/10.1016/j.cpr.2014.03.004" TargetMode="External"/><Relationship Id="rId21" Type="http://schemas.openxmlformats.org/officeDocument/2006/relationships/hyperlink" Target="https://dialnet.unirioja.es/servlet/articulo?codigo=8477828" TargetMode="External"/><Relationship Id="rId34" Type="http://schemas.openxmlformats.org/officeDocument/2006/relationships/hyperlink" Target="https://doi.org/10.1016/j.jcbs.2018.08.002" TargetMode="External"/><Relationship Id="rId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dialnet.unirioja.es/servlet/articulo?codigo=8376264" TargetMode="External"/><Relationship Id="rId20" Type="http://schemas.openxmlformats.org/officeDocument/2006/relationships/hyperlink" Target="https://psicologiaysalud.uv.mx/index.php/psicysalud/article/view/2563" TargetMode="External"/><Relationship Id="rId29" Type="http://schemas.openxmlformats.org/officeDocument/2006/relationships/hyperlink" Target="https://doi.org/10.1177/01454455103796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33776/amc.v37i155-156.1317" TargetMode="External"/><Relationship Id="rId24" Type="http://schemas.openxmlformats.org/officeDocument/2006/relationships/hyperlink" Target="https://doi.org/10.1007/s10608-012-9476-1" TargetMode="External"/><Relationship Id="rId32" Type="http://schemas.openxmlformats.org/officeDocument/2006/relationships/hyperlink" Target="https://doi.org/10.1037/0021-843X.109.3.504" TargetMode="External"/><Relationship Id="rId37" Type="http://schemas.openxmlformats.org/officeDocument/2006/relationships/hyperlink" Target="https://doi.org/10.14718/ACP.2022.25.1.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1/jamapsychiatry.2020.0164" TargetMode="External"/><Relationship Id="rId23" Type="http://schemas.openxmlformats.org/officeDocument/2006/relationships/hyperlink" Target="https://doi.org/10.1007/BF03395641" TargetMode="External"/><Relationship Id="rId28" Type="http://schemas.openxmlformats.org/officeDocument/2006/relationships/hyperlink" Target="https://doi.org/10.1177/0145445515621488" TargetMode="External"/><Relationship Id="rId36" Type="http://schemas.openxmlformats.org/officeDocument/2006/relationships/hyperlink" Target="https://www.jamovi.org/" TargetMode="External"/><Relationship Id="rId10" Type="http://schemas.openxmlformats.org/officeDocument/2006/relationships/hyperlink" Target="https://doi.org/10.1016/j.beth.2022.06.003" TargetMode="External"/><Relationship Id="rId19" Type="http://schemas.openxmlformats.org/officeDocument/2006/relationships/hyperlink" Target="https://doi.org/10.1016/j.beth.2013.09.001" TargetMode="External"/><Relationship Id="rId31" Type="http://schemas.openxmlformats.org/officeDocument/2006/relationships/hyperlink" Target="https://repositorio.untumbes.edu.pe/bitstream/handle/20.500.12874/64446" TargetMode="External"/><Relationship Id="rId4" Type="http://schemas.openxmlformats.org/officeDocument/2006/relationships/settings" Target="settings.xml"/><Relationship Id="rId9" Type="http://schemas.openxmlformats.org/officeDocument/2006/relationships/hyperlink" Target="https://doi.org/10.1016/j.jcbs.2018.02.001" TargetMode="External"/><Relationship Id="rId14" Type="http://schemas.openxmlformats.org/officeDocument/2006/relationships/hyperlink" Target="https://doi.org/10.1177/070674371305800702" TargetMode="External"/><Relationship Id="rId22" Type="http://schemas.openxmlformats.org/officeDocument/2006/relationships/hyperlink" Target="https://doi.org/10.1016/j.brat.2005.06.006" TargetMode="External"/><Relationship Id="rId27" Type="http://schemas.openxmlformats.org/officeDocument/2006/relationships/hyperlink" Target="https://doi.org/10.1177/0145445516647132" TargetMode="External"/><Relationship Id="rId30" Type="http://schemas.openxmlformats.org/officeDocument/2006/relationships/hyperlink" Target="https://doi.org/10.1016/j.brat.2003.10.008" TargetMode="External"/><Relationship Id="rId35" Type="http://schemas.openxmlformats.org/officeDocument/2006/relationships/hyperlink" Target="https://doi.org/10.1016/j.rlp.2016.09.006" TargetMode="External"/><Relationship Id="rId8" Type="http://schemas.openxmlformats.org/officeDocument/2006/relationships/hyperlink" Target="https://doi.org/10.1016/j.jcbs.2018.02.001" TargetMode="External"/><Relationship Id="rId3" Type="http://schemas.openxmlformats.org/officeDocument/2006/relationships/styles" Target="styles.xml"/><Relationship Id="rId12" Type="http://schemas.openxmlformats.org/officeDocument/2006/relationships/hyperlink" Target="https://doi.org/10.1016/S0005-7894(83)80081-3" TargetMode="External"/><Relationship Id="rId17" Type="http://schemas.openxmlformats.org/officeDocument/2006/relationships/hyperlink" Target="https://doi.org/10.1001/archpsyc.62.4.409" TargetMode="External"/><Relationship Id="rId25" Type="http://schemas.openxmlformats.org/officeDocument/2006/relationships/hyperlink" Target="https://doi.org/10.1007/s10608-015-9712-6" TargetMode="External"/><Relationship Id="rId33" Type="http://schemas.openxmlformats.org/officeDocument/2006/relationships/hyperlink" Target="https://doi.org/10.1097/NMD.0b013e31803044a8" TargetMode="External"/><Relationship Id="rId38" Type="http://schemas.openxmlformats.org/officeDocument/2006/relationships/hyperlink" Target="https://doi.org/10.1037/0033-2909.134.2.16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datos_comparativ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Antes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DC-BAI</c:v>
                </c:pt>
                <c:pt idx="1">
                  <c:v>RC-BAI</c:v>
                </c:pt>
                <c:pt idx="2">
                  <c:v>DC-BDI</c:v>
                </c:pt>
                <c:pt idx="3">
                  <c:v>RC-BDI</c:v>
                </c:pt>
                <c:pt idx="4">
                  <c:v>DC-D21</c:v>
                </c:pt>
                <c:pt idx="5">
                  <c:v>RC-D21</c:v>
                </c:pt>
                <c:pt idx="6">
                  <c:v>DC-A21</c:v>
                </c:pt>
                <c:pt idx="7">
                  <c:v>RC-A21</c:v>
                </c:pt>
                <c:pt idx="8">
                  <c:v>DC-E21</c:v>
                </c:pt>
                <c:pt idx="9">
                  <c:v>RC-E21</c:v>
                </c:pt>
                <c:pt idx="10">
                  <c:v>DC-CFQ</c:v>
                </c:pt>
                <c:pt idx="11">
                  <c:v>RC-CFQ</c:v>
                </c:pt>
              </c:strCache>
            </c:strRef>
          </c:cat>
          <c:val>
            <c:numRef>
              <c:f>Sheet1!$B$2:$B$13</c:f>
              <c:numCache>
                <c:formatCode>General</c:formatCode>
                <c:ptCount val="12"/>
                <c:pt idx="0">
                  <c:v>35.549999999999997</c:v>
                </c:pt>
                <c:pt idx="1">
                  <c:v>39.65</c:v>
                </c:pt>
                <c:pt idx="2">
                  <c:v>32.25</c:v>
                </c:pt>
                <c:pt idx="3">
                  <c:v>39.35</c:v>
                </c:pt>
                <c:pt idx="4">
                  <c:v>15.1</c:v>
                </c:pt>
                <c:pt idx="5">
                  <c:v>17.2</c:v>
                </c:pt>
                <c:pt idx="6">
                  <c:v>14.5</c:v>
                </c:pt>
                <c:pt idx="7">
                  <c:v>14.15</c:v>
                </c:pt>
                <c:pt idx="8">
                  <c:v>14.2</c:v>
                </c:pt>
                <c:pt idx="9">
                  <c:v>16.45</c:v>
                </c:pt>
                <c:pt idx="10">
                  <c:v>40.700000000000003</c:v>
                </c:pt>
                <c:pt idx="11">
                  <c:v>43.8</c:v>
                </c:pt>
              </c:numCache>
            </c:numRef>
          </c:val>
          <c:extLst>
            <c:ext xmlns:c16="http://schemas.microsoft.com/office/drawing/2014/chart" uri="{C3380CC4-5D6E-409C-BE32-E72D297353CC}">
              <c16:uniqueId val="{00000000-E3B6-4EE3-B715-3192546C32DB}"/>
            </c:ext>
          </c:extLst>
        </c:ser>
        <c:ser>
          <c:idx val="1"/>
          <c:order val="1"/>
          <c:tx>
            <c:strRef>
              <c:f>Sheet1!$C$1</c:f>
              <c:strCache>
                <c:ptCount val="1"/>
                <c:pt idx="0">
                  <c:v>Después</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DC-BAI</c:v>
                </c:pt>
                <c:pt idx="1">
                  <c:v>RC-BAI</c:v>
                </c:pt>
                <c:pt idx="2">
                  <c:v>DC-BDI</c:v>
                </c:pt>
                <c:pt idx="3">
                  <c:v>RC-BDI</c:v>
                </c:pt>
                <c:pt idx="4">
                  <c:v>DC-D21</c:v>
                </c:pt>
                <c:pt idx="5">
                  <c:v>RC-D21</c:v>
                </c:pt>
                <c:pt idx="6">
                  <c:v>DC-A21</c:v>
                </c:pt>
                <c:pt idx="7">
                  <c:v>RC-A21</c:v>
                </c:pt>
                <c:pt idx="8">
                  <c:v>DC-E21</c:v>
                </c:pt>
                <c:pt idx="9">
                  <c:v>RC-E21</c:v>
                </c:pt>
                <c:pt idx="10">
                  <c:v>DC-CFQ</c:v>
                </c:pt>
                <c:pt idx="11">
                  <c:v>RC-CFQ</c:v>
                </c:pt>
              </c:strCache>
            </c:strRef>
          </c:cat>
          <c:val>
            <c:numRef>
              <c:f>Sheet1!$C$2:$C$13</c:f>
              <c:numCache>
                <c:formatCode>General</c:formatCode>
                <c:ptCount val="12"/>
                <c:pt idx="0">
                  <c:v>17.899999999999999</c:v>
                </c:pt>
                <c:pt idx="1">
                  <c:v>21</c:v>
                </c:pt>
                <c:pt idx="2">
                  <c:v>12.7</c:v>
                </c:pt>
                <c:pt idx="3">
                  <c:v>15.6</c:v>
                </c:pt>
                <c:pt idx="4">
                  <c:v>5.3</c:v>
                </c:pt>
                <c:pt idx="5">
                  <c:v>7.95</c:v>
                </c:pt>
                <c:pt idx="6">
                  <c:v>8</c:v>
                </c:pt>
                <c:pt idx="7">
                  <c:v>7.3</c:v>
                </c:pt>
                <c:pt idx="8">
                  <c:v>6.35</c:v>
                </c:pt>
                <c:pt idx="9">
                  <c:v>8.3000000000000007</c:v>
                </c:pt>
                <c:pt idx="10">
                  <c:v>24.85</c:v>
                </c:pt>
                <c:pt idx="11">
                  <c:v>31.35</c:v>
                </c:pt>
              </c:numCache>
            </c:numRef>
          </c:val>
          <c:extLst>
            <c:ext xmlns:c16="http://schemas.microsoft.com/office/drawing/2014/chart" uri="{C3380CC4-5D6E-409C-BE32-E72D297353CC}">
              <c16:uniqueId val="{00000001-E3B6-4EE3-B715-3192546C32DB}"/>
            </c:ext>
          </c:extLst>
        </c:ser>
        <c:dLbls>
          <c:dLblPos val="inEnd"/>
          <c:showLegendKey val="0"/>
          <c:showVal val="1"/>
          <c:showCatName val="0"/>
          <c:showSerName val="0"/>
          <c:showPercent val="0"/>
          <c:showBubbleSize val="0"/>
        </c:dLbls>
        <c:gapWidth val="80"/>
        <c:overlap val="25"/>
        <c:axId val="1051688767"/>
        <c:axId val="1051679615"/>
      </c:barChart>
      <c:catAx>
        <c:axId val="1051688767"/>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051679615"/>
        <c:crosses val="autoZero"/>
        <c:auto val="1"/>
        <c:lblAlgn val="ctr"/>
        <c:lblOffset val="100"/>
        <c:noMultiLvlLbl val="0"/>
      </c:catAx>
      <c:valAx>
        <c:axId val="1051679615"/>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051688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FF60-4185-4926-9075-106E3D33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7347</Words>
  <Characters>41884</Characters>
  <Application>Microsoft Office Word</Application>
  <DocSecurity>0</DocSecurity>
  <Lines>349</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9</cp:revision>
  <dcterms:created xsi:type="dcterms:W3CDTF">2025-05-08T03:10:00Z</dcterms:created>
  <dcterms:modified xsi:type="dcterms:W3CDTF">2025-05-08T05:04:00Z</dcterms:modified>
  <cp:category/>
</cp:coreProperties>
</file>