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5255" w14:textId="6EB4100E" w:rsidR="00C413D4" w:rsidRPr="00BA31D4" w:rsidRDefault="00346FE6" w:rsidP="00346FE6">
      <w:pPr>
        <w:jc w:val="center"/>
        <w:rPr>
          <w:b/>
          <w:lang w:val="en-US"/>
        </w:rPr>
      </w:pPr>
      <w:r w:rsidRPr="00BA31D4">
        <w:rPr>
          <w:b/>
          <w:noProof/>
          <w:sz w:val="36"/>
          <w:szCs w:val="36"/>
          <w:lang w:val="en-US"/>
        </w:rPr>
        <w:t>PATTERNS OF CANNABIS USE AND ITS SOCIODEMOGRAPHIC DETERMINANTS IN A SAMPLE OF BRAZILIAN ADULTS</w:t>
      </w:r>
    </w:p>
    <w:p w14:paraId="6C942DCA" w14:textId="77777777" w:rsidR="00B845A1" w:rsidRPr="00BA31D4" w:rsidRDefault="00B845A1" w:rsidP="00C413D4">
      <w:pPr>
        <w:rPr>
          <w:i/>
          <w:sz w:val="28"/>
          <w:szCs w:val="28"/>
          <w:lang w:val="en-US"/>
        </w:rPr>
      </w:pPr>
    </w:p>
    <w:p w14:paraId="0BAD9FA3" w14:textId="098C1666" w:rsidR="00C413D4" w:rsidRPr="00BA31D4" w:rsidRDefault="00C413D4" w:rsidP="00C413D4">
      <w:pPr>
        <w:rPr>
          <w:rFonts w:ascii="Times" w:hAnsi="Times"/>
          <w:i/>
          <w:sz w:val="28"/>
          <w:szCs w:val="28"/>
          <w:lang w:val="en-US"/>
        </w:rPr>
      </w:pPr>
      <w:r w:rsidRPr="006B162E">
        <w:rPr>
          <w:noProof/>
          <w:lang w:val="pt-BR" w:eastAsia="es-ES"/>
        </w:rPr>
        <mc:AlternateContent>
          <mc:Choice Requires="wps">
            <w:drawing>
              <wp:anchor distT="4294967295" distB="4294967295" distL="114300" distR="114300" simplePos="0" relativeHeight="251658240"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A65A1B0" id="Straight Connector 8"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" strokecolor="windowText" strokeweight="2pt">
                <o:lock v:ext="edit" shapetype="f"/>
              </v:line>
            </w:pict>
          </mc:Fallback>
        </mc:AlternateContent>
      </w:r>
    </w:p>
    <w:p w14:paraId="1B312314" w14:textId="77777777" w:rsidR="00C413D4" w:rsidRPr="0032000F" w:rsidRDefault="00C413D4" w:rsidP="00C413D4">
      <w:pPr>
        <w:rPr>
          <w:b/>
          <w:sz w:val="20"/>
          <w:szCs w:val="20"/>
          <w:lang w:val="en-US"/>
        </w:rPr>
      </w:pPr>
    </w:p>
    <w:p w14:paraId="61F0B918" w14:textId="7AB7DCB9" w:rsidR="00C43335" w:rsidRPr="0032000F" w:rsidRDefault="00C413D4" w:rsidP="00791FED">
      <w:pPr>
        <w:pStyle w:val="TtuloResumen"/>
        <w:jc w:val="both"/>
        <w:rPr>
          <w:lang w:val="en-US"/>
        </w:rPr>
      </w:pPr>
      <w:r w:rsidRPr="0032000F">
        <w:rPr>
          <w:lang w:val="en-US"/>
        </w:rPr>
        <w:t>Abstract</w:t>
      </w:r>
    </w:p>
    <w:p w14:paraId="547103FF" w14:textId="323F5D98" w:rsidR="00C413D4" w:rsidRPr="0032000F" w:rsidRDefault="00791FED" w:rsidP="00791FED">
      <w:pPr>
        <w:jc w:val="both"/>
        <w:rPr>
          <w:sz w:val="20"/>
          <w:szCs w:val="20"/>
          <w:lang w:val="en-US"/>
        </w:rPr>
      </w:pPr>
      <w:r w:rsidRPr="0032000F">
        <w:rPr>
          <w:sz w:val="20"/>
          <w:szCs w:val="20"/>
          <w:lang w:val="en-US"/>
        </w:rPr>
        <w:t>This study aimed to understand cannabis use patterns and their sociodemographic determinants in a Brazilian sample. Investigating these patterns is crucial due to inconsistencies in the literature regarding their health impacts and the complexity of their effects. Using Latent Class Analysis (LCA) and Multiple Multinomial Logistic Regressions with 384 participants, three patterns were identified: "Low Consumption/Edibles," "High Consumption/Smoked," and "Low Consumption/Smoked." Unlike international literature, income, education, ethnicity, and chronic disease diagnoses were not significant predictors. However, psychiatric diagnoses, age of initiation, and duration of use were determining factors. Having psychiatric diagnoses increased the likelihood of belonging to the "Low Consumption/Edibles" group, associated with medicinal use. Late initiation predicted inclusion in this group, whereas longer duration of use and early initiation predicted membership in the "High Consumption/Smoked" group. The findings suggest that cultural and historical factors may be more influential than traditional sociodemographic determinants in Brazil, highlighting smoked cannabis use (especially pressed marijuana) and the emerging profile of medicinal use. The study contributes to understanding the diversity of cannabis use in the country and the identification of risk factors for problematic use.</w:t>
      </w:r>
    </w:p>
    <w:p w14:paraId="7F610501" w14:textId="77777777" w:rsidR="00791FED" w:rsidRPr="0032000F" w:rsidRDefault="00791FED" w:rsidP="00C413D4">
      <w:pPr>
        <w:rPr>
          <w:b/>
          <w:sz w:val="20"/>
          <w:szCs w:val="20"/>
          <w:lang w:val="en-US"/>
        </w:rPr>
      </w:pPr>
    </w:p>
    <w:p w14:paraId="0EB33005" w14:textId="40C9236E" w:rsidR="00C413D4" w:rsidRPr="0032000F" w:rsidRDefault="00C413D4" w:rsidP="00C413D4">
      <w:pPr>
        <w:rPr>
          <w:b/>
          <w:sz w:val="20"/>
          <w:szCs w:val="20"/>
          <w:lang w:val="en-US"/>
        </w:rPr>
      </w:pPr>
      <w:r w:rsidRPr="0032000F">
        <w:rPr>
          <w:b/>
          <w:sz w:val="20"/>
          <w:szCs w:val="20"/>
          <w:lang w:val="en-US"/>
        </w:rPr>
        <w:t>Keywords</w:t>
      </w:r>
    </w:p>
    <w:p w14:paraId="120FF658" w14:textId="65C85014" w:rsidR="00153DC5" w:rsidRPr="0032000F" w:rsidRDefault="00B11E90" w:rsidP="007A7C7C">
      <w:pPr>
        <w:jc w:val="both"/>
        <w:rPr>
          <w:bCs/>
          <w:sz w:val="20"/>
          <w:szCs w:val="20"/>
          <w:lang w:val="en-US"/>
        </w:rPr>
      </w:pPr>
      <w:r w:rsidRPr="0032000F">
        <w:rPr>
          <w:bCs/>
          <w:sz w:val="20"/>
          <w:szCs w:val="20"/>
          <w:lang w:val="en-US"/>
        </w:rPr>
        <w:t>Cannabis</w:t>
      </w:r>
      <w:r w:rsidR="000C79F7" w:rsidRPr="0032000F">
        <w:rPr>
          <w:bCs/>
          <w:sz w:val="20"/>
          <w:szCs w:val="20"/>
          <w:lang w:val="en-US"/>
        </w:rPr>
        <w:t xml:space="preserve"> use</w:t>
      </w:r>
      <w:r w:rsidR="00B02133" w:rsidRPr="0032000F">
        <w:rPr>
          <w:bCs/>
          <w:sz w:val="20"/>
          <w:szCs w:val="20"/>
          <w:lang w:val="en-US"/>
        </w:rPr>
        <w:t xml:space="preserve">; </w:t>
      </w:r>
      <w:r w:rsidR="00190C08" w:rsidRPr="0032000F">
        <w:rPr>
          <w:bCs/>
          <w:sz w:val="20"/>
          <w:szCs w:val="20"/>
          <w:lang w:val="en-US"/>
        </w:rPr>
        <w:t xml:space="preserve">Medical Cannabis; </w:t>
      </w:r>
      <w:r w:rsidRPr="0032000F">
        <w:rPr>
          <w:bCs/>
          <w:sz w:val="20"/>
          <w:szCs w:val="20"/>
          <w:lang w:val="en-US"/>
        </w:rPr>
        <w:t>Latent Class</w:t>
      </w:r>
      <w:r w:rsidR="00B02133" w:rsidRPr="0032000F">
        <w:rPr>
          <w:bCs/>
          <w:sz w:val="20"/>
          <w:szCs w:val="20"/>
          <w:lang w:val="en-US"/>
        </w:rPr>
        <w:t xml:space="preserve">; </w:t>
      </w:r>
      <w:r w:rsidR="0096085C" w:rsidRPr="0032000F">
        <w:rPr>
          <w:bCs/>
          <w:sz w:val="20"/>
          <w:szCs w:val="20"/>
          <w:lang w:val="en-US"/>
        </w:rPr>
        <w:t>Patterns of Use</w:t>
      </w:r>
      <w:r w:rsidR="00B02133" w:rsidRPr="0032000F">
        <w:rPr>
          <w:bCs/>
          <w:sz w:val="20"/>
          <w:szCs w:val="20"/>
          <w:lang w:val="en-US"/>
        </w:rPr>
        <w:t xml:space="preserve">; </w:t>
      </w:r>
      <w:r w:rsidR="00190C08" w:rsidRPr="0032000F">
        <w:rPr>
          <w:bCs/>
          <w:sz w:val="20"/>
          <w:szCs w:val="20"/>
          <w:lang w:val="en-US"/>
        </w:rPr>
        <w:t>Sociodemographic Determinants</w:t>
      </w:r>
    </w:p>
    <w:p w14:paraId="3C2A8692" w14:textId="46796CA0" w:rsidR="00153DC5" w:rsidRPr="00BA31D4" w:rsidRDefault="00153DC5" w:rsidP="007A7C7C">
      <w:pPr>
        <w:jc w:val="both"/>
        <w:rPr>
          <w:bCs/>
          <w:sz w:val="20"/>
          <w:szCs w:val="20"/>
          <w:lang w:val="en-US"/>
        </w:rPr>
      </w:pPr>
    </w:p>
    <w:p w14:paraId="6FAC1C5D" w14:textId="6CFECCFF" w:rsidR="0027261B" w:rsidRPr="00791FED" w:rsidRDefault="00E24430" w:rsidP="005B5614">
      <w:pPr>
        <w:jc w:val="both"/>
        <w:rPr>
          <w:sz w:val="20"/>
          <w:szCs w:val="20"/>
          <w:lang w:val="pt-BR"/>
        </w:rPr>
      </w:pPr>
      <w:r w:rsidRPr="009070A6">
        <w:rPr>
          <w:sz w:val="20"/>
          <w:szCs w:val="20"/>
          <w:lang w:val="pt-BR"/>
        </w:rPr>
        <w:t xml:space="preserve">O presente estudo </w:t>
      </w:r>
      <w:r w:rsidRPr="00E24430">
        <w:rPr>
          <w:sz w:val="20"/>
          <w:szCs w:val="20"/>
          <w:lang w:val="pt-BR"/>
        </w:rPr>
        <w:t xml:space="preserve">visou compreender os perfis de uso de Cannabis e seus determinantes sociodemográficos em uma amostra brasileira. A investigação desses padrões é crucial devido às inconsistências na literatura </w:t>
      </w:r>
      <w:r w:rsidRPr="009070A6">
        <w:rPr>
          <w:sz w:val="20"/>
          <w:szCs w:val="20"/>
          <w:lang w:val="pt-BR"/>
        </w:rPr>
        <w:t>acerca d</w:t>
      </w:r>
      <w:r w:rsidR="009070A6" w:rsidRPr="009070A6">
        <w:rPr>
          <w:sz w:val="20"/>
          <w:szCs w:val="20"/>
          <w:lang w:val="pt-BR"/>
        </w:rPr>
        <w:t xml:space="preserve">e seus impactos sobre a saúde, assim como </w:t>
      </w:r>
      <w:r w:rsidRPr="00E24430">
        <w:rPr>
          <w:sz w:val="20"/>
          <w:szCs w:val="20"/>
          <w:lang w:val="pt-BR"/>
        </w:rPr>
        <w:t xml:space="preserve">à complexidade </w:t>
      </w:r>
      <w:r w:rsidR="009070A6" w:rsidRPr="009070A6">
        <w:rPr>
          <w:sz w:val="20"/>
          <w:szCs w:val="20"/>
          <w:lang w:val="pt-BR"/>
        </w:rPr>
        <w:t>de seus efeitos</w:t>
      </w:r>
      <w:r w:rsidRPr="00E24430">
        <w:rPr>
          <w:sz w:val="20"/>
          <w:szCs w:val="20"/>
          <w:lang w:val="pt-BR"/>
        </w:rPr>
        <w:t xml:space="preserve">. Utilizando Análise de Classes Latentes (LCA) e Regressões Logísticas </w:t>
      </w:r>
      <w:proofErr w:type="spellStart"/>
      <w:r w:rsidRPr="00E24430">
        <w:rPr>
          <w:sz w:val="20"/>
          <w:szCs w:val="20"/>
          <w:lang w:val="pt-BR"/>
        </w:rPr>
        <w:t>Multinomiais</w:t>
      </w:r>
      <w:proofErr w:type="spellEnd"/>
      <w:r w:rsidRPr="00E24430">
        <w:rPr>
          <w:sz w:val="20"/>
          <w:szCs w:val="20"/>
          <w:lang w:val="pt-BR"/>
        </w:rPr>
        <w:t xml:space="preserve"> Múltiplas com 384 participantes, identificaram-se três padrões: "Baixo consumo/Ingeríveis", "Alto consumo/Fumado" e "Baixo consumo/Fumado". Diferentemente da literatura internacional, renda, escolaridade, etnia e diagnósticos de doenças crônicas não foram preditores significativos. Contudo, diagnósticos psiquiátricos, idade de início e tempo de uso foram determinantes. Ter diagnósticos psiquiátricos aumentou a chance de pertencer ao grupo "Baixo consumo/Ingeríveis", associado ao uso medicinal. Idade de início tardia previu pertencimento a este grupo, enquanto maior tempo de uso e início precoce previu o grupo "Alto consumo/Fumado". Os achados indicam que fatores culturais e históricos podem ser mais influentes que determinantes sociodemográficos clássicos no Brasil, destacando o uso fumado (especialmente </w:t>
      </w:r>
      <w:r w:rsidR="009070A6" w:rsidRPr="009070A6">
        <w:rPr>
          <w:sz w:val="20"/>
          <w:szCs w:val="20"/>
          <w:lang w:val="pt-BR"/>
        </w:rPr>
        <w:t xml:space="preserve">da maconha </w:t>
      </w:r>
      <w:r w:rsidRPr="00E24430">
        <w:rPr>
          <w:sz w:val="20"/>
          <w:szCs w:val="20"/>
          <w:lang w:val="pt-BR"/>
        </w:rPr>
        <w:t>prensad</w:t>
      </w:r>
      <w:r w:rsidR="009070A6" w:rsidRPr="009070A6">
        <w:rPr>
          <w:sz w:val="20"/>
          <w:szCs w:val="20"/>
          <w:lang w:val="pt-BR"/>
        </w:rPr>
        <w:t>a</w:t>
      </w:r>
      <w:r w:rsidRPr="00E24430">
        <w:rPr>
          <w:sz w:val="20"/>
          <w:szCs w:val="20"/>
          <w:lang w:val="pt-BR"/>
        </w:rPr>
        <w:t>) e o perfil emergente do uso medicinal. O estudo contribui para a compreensão da diversidade do uso de Cannabis no país</w:t>
      </w:r>
      <w:r w:rsidR="009070A6" w:rsidRPr="009070A6">
        <w:rPr>
          <w:sz w:val="20"/>
          <w:szCs w:val="20"/>
          <w:lang w:val="pt-BR"/>
        </w:rPr>
        <w:t xml:space="preserve"> e a compreensão dos fatores de risco para o uso abusivo</w:t>
      </w:r>
      <w:r w:rsidRPr="00E24430">
        <w:rPr>
          <w:sz w:val="20"/>
          <w:szCs w:val="20"/>
          <w:lang w:val="pt-BR"/>
        </w:rPr>
        <w:t>.</w:t>
      </w:r>
    </w:p>
    <w:p w14:paraId="72AF85FC" w14:textId="58A3DFE5" w:rsidR="00153DC5" w:rsidRPr="006B162E" w:rsidRDefault="00153DC5" w:rsidP="00153DC5">
      <w:pPr>
        <w:rPr>
          <w:sz w:val="20"/>
          <w:szCs w:val="20"/>
          <w:lang w:val="pt-BR"/>
        </w:rPr>
      </w:pPr>
    </w:p>
    <w:p w14:paraId="52B41A5E" w14:textId="5557E726" w:rsidR="00153DC5" w:rsidRPr="006B162E" w:rsidRDefault="00082D68" w:rsidP="00153DC5">
      <w:pPr>
        <w:jc w:val="both"/>
        <w:rPr>
          <w:b/>
          <w:sz w:val="20"/>
          <w:szCs w:val="20"/>
          <w:lang w:val="pt-BR"/>
        </w:rPr>
      </w:pPr>
      <w:r w:rsidRPr="006B162E">
        <w:rPr>
          <w:b/>
          <w:bCs/>
          <w:sz w:val="20"/>
          <w:szCs w:val="20"/>
          <w:lang w:val="pt-BR"/>
        </w:rPr>
        <w:t>Palavras-chave</w:t>
      </w:r>
    </w:p>
    <w:p w14:paraId="3B490AF2" w14:textId="18716FED" w:rsidR="00153DC5" w:rsidRPr="006B162E" w:rsidRDefault="005E5F3C" w:rsidP="007A7C7C">
      <w:pPr>
        <w:jc w:val="both"/>
        <w:rPr>
          <w:bCs/>
          <w:sz w:val="20"/>
          <w:szCs w:val="20"/>
          <w:lang w:val="pt-BR"/>
        </w:rPr>
      </w:pPr>
      <w:r>
        <w:rPr>
          <w:bCs/>
          <w:sz w:val="20"/>
          <w:szCs w:val="20"/>
          <w:lang w:val="pt-BR"/>
        </w:rPr>
        <w:t>Uso de Cannabis</w:t>
      </w:r>
      <w:r w:rsidR="00082D68" w:rsidRPr="006B162E">
        <w:rPr>
          <w:bCs/>
          <w:sz w:val="20"/>
          <w:szCs w:val="20"/>
          <w:lang w:val="pt-BR"/>
        </w:rPr>
        <w:t xml:space="preserve">; </w:t>
      </w:r>
      <w:r w:rsidR="00190C08">
        <w:rPr>
          <w:bCs/>
          <w:sz w:val="20"/>
          <w:szCs w:val="20"/>
          <w:lang w:val="pt-BR"/>
        </w:rPr>
        <w:t xml:space="preserve">Cannabis Medicinal; </w:t>
      </w:r>
      <w:r>
        <w:rPr>
          <w:bCs/>
          <w:sz w:val="20"/>
          <w:szCs w:val="20"/>
          <w:lang w:val="pt-BR"/>
        </w:rPr>
        <w:t>Classe Latente</w:t>
      </w:r>
      <w:r w:rsidR="00082D68" w:rsidRPr="006B162E">
        <w:rPr>
          <w:bCs/>
          <w:sz w:val="20"/>
          <w:szCs w:val="20"/>
          <w:lang w:val="pt-BR"/>
        </w:rPr>
        <w:t xml:space="preserve">; </w:t>
      </w:r>
      <w:r>
        <w:rPr>
          <w:bCs/>
          <w:sz w:val="20"/>
          <w:szCs w:val="20"/>
          <w:lang w:val="pt-BR"/>
        </w:rPr>
        <w:t>Padrões de Uso</w:t>
      </w:r>
      <w:r w:rsidR="00190C08">
        <w:rPr>
          <w:bCs/>
          <w:sz w:val="20"/>
          <w:szCs w:val="20"/>
          <w:lang w:val="pt-BR"/>
        </w:rPr>
        <w:t>; Determinantes Sociodemográficos</w:t>
      </w:r>
    </w:p>
    <w:p w14:paraId="7189B82D" w14:textId="752BA2A1" w:rsidR="00E55124" w:rsidRPr="006B162E" w:rsidRDefault="00E55124" w:rsidP="007A7C7C">
      <w:pPr>
        <w:jc w:val="both"/>
        <w:rPr>
          <w:bCs/>
          <w:sz w:val="20"/>
          <w:szCs w:val="20"/>
          <w:lang w:val="pt-BR"/>
        </w:rPr>
      </w:pPr>
      <w:r w:rsidRPr="006B162E">
        <w:rPr>
          <w:bCs/>
          <w:noProof/>
          <w:sz w:val="20"/>
          <w:szCs w:val="20"/>
          <w:lang w:val="pt-BR"/>
        </w:rPr>
        <w:drawing>
          <wp:anchor distT="0" distB="0" distL="114300" distR="114300" simplePos="0" relativeHeight="251658241"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6B162E" w:rsidRDefault="00483D6B" w:rsidP="00B6522A">
      <w:pPr>
        <w:rPr>
          <w:b/>
          <w:lang w:val="pt-BR"/>
        </w:rPr>
      </w:pPr>
    </w:p>
    <w:p w14:paraId="7E81DBEC" w14:textId="77777777" w:rsidR="00346FE6" w:rsidRPr="006B162E" w:rsidRDefault="00346FE6">
      <w:pPr>
        <w:rPr>
          <w:b/>
          <w:bCs/>
          <w:lang w:val="pt-BR"/>
        </w:rPr>
      </w:pPr>
      <w:r w:rsidRPr="006B162E">
        <w:rPr>
          <w:b/>
          <w:bCs/>
          <w:lang w:val="pt-BR"/>
        </w:rPr>
        <w:br w:type="page"/>
      </w:r>
    </w:p>
    <w:p w14:paraId="34522CCB" w14:textId="0F17FC1A" w:rsidR="00346FE6" w:rsidRPr="002E707A" w:rsidRDefault="00346FE6" w:rsidP="00346FE6">
      <w:pPr>
        <w:spacing w:line="360" w:lineRule="auto"/>
        <w:jc w:val="center"/>
        <w:rPr>
          <w:b/>
          <w:bCs/>
          <w:lang w:val="pt-BR"/>
        </w:rPr>
      </w:pPr>
      <w:r w:rsidRPr="002E707A">
        <w:rPr>
          <w:b/>
          <w:bCs/>
          <w:lang w:val="pt-BR"/>
        </w:rPr>
        <w:lastRenderedPageBreak/>
        <w:t>PADRÕES DE USO DE CANNABIS E SEUS DETERMINANTES SOCIODEMOGRÁFICOS EM UMA AMOSTRA DE ADULTOS BRASILEIROS</w:t>
      </w:r>
    </w:p>
    <w:p w14:paraId="0F2BB367" w14:textId="2527D57C" w:rsidR="00031DEF" w:rsidRPr="002E707A" w:rsidRDefault="00082D68" w:rsidP="00DB0374">
      <w:pPr>
        <w:pStyle w:val="Ttulosinternos"/>
        <w:rPr>
          <w:lang w:val="pt-BR"/>
        </w:rPr>
      </w:pPr>
      <w:r w:rsidRPr="002E707A">
        <w:rPr>
          <w:lang w:val="pt-BR"/>
        </w:rPr>
        <w:t>Introdução</w:t>
      </w:r>
    </w:p>
    <w:p w14:paraId="12E7669A" w14:textId="45778EAE" w:rsidR="00CF040A" w:rsidRPr="002E707A" w:rsidRDefault="007F2567" w:rsidP="00CF040A">
      <w:pPr>
        <w:spacing w:line="360" w:lineRule="auto"/>
        <w:ind w:firstLine="720"/>
        <w:jc w:val="both"/>
        <w:rPr>
          <w:lang w:val="pt-BR"/>
        </w:rPr>
      </w:pPr>
      <w:r w:rsidRPr="002E707A">
        <w:rPr>
          <w:lang w:val="pt-BR"/>
        </w:rPr>
        <w:t xml:space="preserve">Embora </w:t>
      </w:r>
      <w:r>
        <w:rPr>
          <w:lang w:val="pt-BR"/>
        </w:rPr>
        <w:t>permanecendo</w:t>
      </w:r>
      <w:r w:rsidRPr="002E707A">
        <w:rPr>
          <w:lang w:val="pt-BR"/>
        </w:rPr>
        <w:t xml:space="preserve"> proibida em muitos países</w:t>
      </w:r>
      <w:r>
        <w:rPr>
          <w:lang w:val="pt-BR"/>
        </w:rPr>
        <w:t>, a</w:t>
      </w:r>
      <w:r w:rsidR="00CF040A" w:rsidRPr="002E707A">
        <w:rPr>
          <w:lang w:val="pt-BR"/>
        </w:rPr>
        <w:t xml:space="preserve"> Cannabis é a substância psicoativa ilícita mais consumida no mundo (UNODC, </w:t>
      </w:r>
      <w:r w:rsidR="00CF040A" w:rsidRPr="00263892">
        <w:rPr>
          <w:lang w:val="pt-BR"/>
        </w:rPr>
        <w:t>2024</w:t>
      </w:r>
      <w:r w:rsidR="00CF040A" w:rsidRPr="002E707A">
        <w:rPr>
          <w:lang w:val="pt-BR"/>
        </w:rPr>
        <w:t>).</w:t>
      </w:r>
      <w:r>
        <w:rPr>
          <w:lang w:val="pt-BR"/>
        </w:rPr>
        <w:t xml:space="preserve"> D</w:t>
      </w:r>
      <w:r w:rsidR="00CF040A" w:rsidRPr="002E707A">
        <w:rPr>
          <w:lang w:val="pt-BR"/>
        </w:rPr>
        <w:t xml:space="preserve">esde a década de 1980, esta substância tem sido prospectada, para além de seus potenciais nocivos, como um agente importante no âmbito medicinal e farmacológico (Pierro Neto et al., </w:t>
      </w:r>
      <w:r w:rsidR="00CF040A" w:rsidRPr="00263892">
        <w:rPr>
          <w:lang w:val="pt-BR"/>
        </w:rPr>
        <w:t>2023</w:t>
      </w:r>
      <w:r w:rsidR="00CF040A" w:rsidRPr="002E707A">
        <w:rPr>
          <w:lang w:val="pt-BR"/>
        </w:rPr>
        <w:t xml:space="preserve">). Nas últimas décadas, diversas pesquisas investigaram a relação entre seu consumo e </w:t>
      </w:r>
      <w:r w:rsidR="00263892">
        <w:rPr>
          <w:lang w:val="pt-BR"/>
        </w:rPr>
        <w:t xml:space="preserve">a ocorrência, ou mesmo, </w:t>
      </w:r>
      <w:r w:rsidR="00CF040A" w:rsidRPr="002E707A">
        <w:rPr>
          <w:lang w:val="pt-BR"/>
        </w:rPr>
        <w:t xml:space="preserve">o tratamento de </w:t>
      </w:r>
      <w:r w:rsidR="00263892">
        <w:rPr>
          <w:lang w:val="pt-BR"/>
        </w:rPr>
        <w:t xml:space="preserve">série de condições físicas e psicológicas. </w:t>
      </w:r>
      <w:r w:rsidR="00CF040A" w:rsidRPr="002E707A">
        <w:rPr>
          <w:lang w:val="pt-BR"/>
        </w:rPr>
        <w:t>A despeito disso, ainda existem diversas inconsistências e lacunas acerca de seus efeitos, em especial no que tange aos fenômenos psicológicos, frente a diferentes perfis de usuários, assim como sobre as variáveis determinantes para o seu uso.</w:t>
      </w:r>
      <w:r w:rsidR="000B3DF7">
        <w:rPr>
          <w:lang w:val="pt-BR"/>
        </w:rPr>
        <w:t xml:space="preserve"> </w:t>
      </w:r>
      <w:r w:rsidR="00630C44">
        <w:rPr>
          <w:lang w:val="pt-BR"/>
        </w:rPr>
        <w:t>Diante disso, a</w:t>
      </w:r>
      <w:r w:rsidR="00CF040A" w:rsidRPr="002E707A">
        <w:rPr>
          <w:lang w:val="pt-BR"/>
        </w:rPr>
        <w:t>s inconsistências observadas parecem decorrer, sobretudo, das diferenças metodológicas e das características complexas da Cannabis, composta por múltiplos canabinóides, cujos efeitos não seguem uma relação linear com o aumento da dosagem.</w:t>
      </w:r>
    </w:p>
    <w:p w14:paraId="0EC0209E" w14:textId="46BAECDA" w:rsidR="00A613F3" w:rsidRPr="002E707A" w:rsidRDefault="00CF040A" w:rsidP="00A613F3">
      <w:pPr>
        <w:spacing w:line="360" w:lineRule="auto"/>
        <w:ind w:firstLine="720"/>
        <w:jc w:val="both"/>
        <w:rPr>
          <w:lang w:val="pt-BR"/>
        </w:rPr>
      </w:pPr>
      <w:r w:rsidRPr="002E707A">
        <w:rPr>
          <w:lang w:val="pt-BR"/>
        </w:rPr>
        <w:t>As pesquisas sobre a Cannabis nos últimos 40 anos identificaram mais de uma centena de fitocanabinóides ativos, que provocam efeitos variados e, muitas vezes, antagônicos. Por exemplo, a molécula mais conhecida da Cannabis, o Δ9-tetrahidrocanabinol (THC), responsável pelos principais efeitos psicoativos da planta, já foi apontado como um agente ansiogênico, na medida em que provoca efeitos excitatórios do sistema nervoso central (Sharpe et al., 2020), enquanto o outro fitocanabinóide mais comum, o canabidiol (CBD), tem demonstrado potencial significativo na redução de sintomas de ansiedade (Levada et al., 2024).</w:t>
      </w:r>
      <w:r w:rsidR="00A613F3">
        <w:rPr>
          <w:lang w:val="pt-BR"/>
        </w:rPr>
        <w:t xml:space="preserve"> </w:t>
      </w:r>
    </w:p>
    <w:p w14:paraId="76761346" w14:textId="5A9655B8" w:rsidR="00B954B8" w:rsidRDefault="00CF040A" w:rsidP="00CF040A">
      <w:pPr>
        <w:shd w:val="clear" w:color="auto" w:fill="FFFFFF"/>
        <w:spacing w:line="360" w:lineRule="auto"/>
        <w:ind w:firstLine="700"/>
        <w:jc w:val="both"/>
        <w:rPr>
          <w:lang w:val="pt-BR"/>
        </w:rPr>
      </w:pPr>
      <w:r w:rsidRPr="002E707A">
        <w:rPr>
          <w:lang w:val="pt-BR"/>
        </w:rPr>
        <w:t xml:space="preserve">Assim, considera-se que </w:t>
      </w:r>
      <w:r w:rsidR="00B954B8">
        <w:rPr>
          <w:lang w:val="pt-BR"/>
        </w:rPr>
        <w:t xml:space="preserve">o tipo de produto, </w:t>
      </w:r>
      <w:r w:rsidRPr="002E707A">
        <w:rPr>
          <w:lang w:val="pt-BR"/>
        </w:rPr>
        <w:t>a dosagem e a frequência de uso da Cannabis são fatores essenciais para compreender seus efeitos, pois influenciam a biodisponibilidade dos canabinóides no corpo (</w:t>
      </w:r>
      <w:proofErr w:type="spellStart"/>
      <w:r w:rsidRPr="002E707A">
        <w:rPr>
          <w:lang w:val="pt-BR"/>
        </w:rPr>
        <w:t>Huestis</w:t>
      </w:r>
      <w:proofErr w:type="spellEnd"/>
      <w:r w:rsidRPr="002E707A">
        <w:rPr>
          <w:lang w:val="pt-BR"/>
        </w:rPr>
        <w:t xml:space="preserve">, 2005), implicando nos efeitos apresentados. </w:t>
      </w:r>
      <w:r w:rsidR="00DD40EE">
        <w:rPr>
          <w:lang w:val="pt-BR"/>
        </w:rPr>
        <w:t>Nesse aspecto</w:t>
      </w:r>
      <w:r w:rsidRPr="002E707A">
        <w:rPr>
          <w:lang w:val="pt-BR"/>
        </w:rPr>
        <w:t xml:space="preserve">, ressalta-se a dificuldade em produzir e comparar estudos sobre os efeitos da Cannabis, pois a maioria das pesquisas não considera </w:t>
      </w:r>
      <w:r w:rsidR="00AD3DD9">
        <w:rPr>
          <w:lang w:val="pt-BR"/>
        </w:rPr>
        <w:t xml:space="preserve">parte dessas </w:t>
      </w:r>
      <w:r w:rsidRPr="002E707A">
        <w:rPr>
          <w:lang w:val="pt-BR"/>
        </w:rPr>
        <w:t>variáveis importantes</w:t>
      </w:r>
      <w:r w:rsidR="00987440">
        <w:rPr>
          <w:lang w:val="pt-BR"/>
        </w:rPr>
        <w:t xml:space="preserve"> para a definição clara de um padrão de uso.</w:t>
      </w:r>
      <w:r w:rsidR="00B954B8">
        <w:rPr>
          <w:lang w:val="pt-BR"/>
        </w:rPr>
        <w:t xml:space="preserve"> </w:t>
      </w:r>
      <w:r w:rsidRPr="002E707A">
        <w:rPr>
          <w:lang w:val="pt-BR"/>
        </w:rPr>
        <w:t xml:space="preserve">Com efeito, a literatura internacional aponta que certos padrões de consumo de Cannabis estão mais associados a efeitos negativos. </w:t>
      </w:r>
    </w:p>
    <w:p w14:paraId="0EC7C361" w14:textId="123C6A5C" w:rsidR="00B954B8" w:rsidRDefault="00CF040A" w:rsidP="00CF040A">
      <w:pPr>
        <w:shd w:val="clear" w:color="auto" w:fill="FFFFFF"/>
        <w:spacing w:line="360" w:lineRule="auto"/>
        <w:ind w:firstLine="700"/>
        <w:jc w:val="both"/>
        <w:rPr>
          <w:lang w:val="pt-BR"/>
        </w:rPr>
      </w:pPr>
      <w:r w:rsidRPr="002E707A">
        <w:rPr>
          <w:lang w:val="pt-BR"/>
        </w:rPr>
        <w:t xml:space="preserve">O estudo de Lowe et al. (2019) destaca uma relação mais evidente entre o uso crônico de Cannabis e a Depressão, especialmente em indivíduos com Transtorno por Uso de Cannabis (TUC), caracterizado pelo consumo intenso, frequente e prolongado. Concomitantemente, </w:t>
      </w:r>
      <w:proofErr w:type="spellStart"/>
      <w:r w:rsidRPr="002E707A">
        <w:rPr>
          <w:lang w:val="pt-BR"/>
        </w:rPr>
        <w:t>Schoeler</w:t>
      </w:r>
      <w:proofErr w:type="spellEnd"/>
      <w:r w:rsidRPr="002E707A">
        <w:rPr>
          <w:lang w:val="pt-BR"/>
        </w:rPr>
        <w:t xml:space="preserve"> et al. (2017) indicam que a associação entre o uso de Cannabis e sintomas depressivos é </w:t>
      </w:r>
      <w:r w:rsidRPr="002E707A">
        <w:rPr>
          <w:lang w:val="pt-BR"/>
        </w:rPr>
        <w:lastRenderedPageBreak/>
        <w:t>significativa apenas em pessoas que iniciaram o consumo na adolescência. Adicionalmente, o estudo de Gunn et al. (2020) apontou que frequências mais altas de uso, assim como uso de uma maior variabilidade de produtos de Cannabis (</w:t>
      </w:r>
      <w:proofErr w:type="gramStart"/>
      <w:r w:rsidRPr="002E707A">
        <w:rPr>
          <w:lang w:val="pt-BR"/>
        </w:rPr>
        <w:t>i.e.</w:t>
      </w:r>
      <w:proofErr w:type="gramEnd"/>
      <w:r w:rsidRPr="002E707A">
        <w:rPr>
          <w:lang w:val="pt-BR"/>
        </w:rPr>
        <w:t xml:space="preserve"> planta in natura, extrações, comestíveis) estão associados a uma maior probabilidade de desenvolver TUC, relacionado a efeitos mais prejudiciais. De forma similar, </w:t>
      </w:r>
      <w:proofErr w:type="spellStart"/>
      <w:r w:rsidRPr="002E707A">
        <w:rPr>
          <w:lang w:val="pt-BR"/>
        </w:rPr>
        <w:t>Knapp</w:t>
      </w:r>
      <w:proofErr w:type="spellEnd"/>
      <w:r w:rsidRPr="002E707A">
        <w:rPr>
          <w:lang w:val="pt-BR"/>
        </w:rPr>
        <w:t xml:space="preserve"> et al. (2019) observaram que adolescentes que utilizam uma diversidade de produtos </w:t>
      </w:r>
      <w:r w:rsidR="009C661A">
        <w:rPr>
          <w:lang w:val="pt-BR"/>
        </w:rPr>
        <w:t xml:space="preserve">derivados da maconha </w:t>
      </w:r>
      <w:r w:rsidRPr="002E707A">
        <w:rPr>
          <w:lang w:val="pt-BR"/>
        </w:rPr>
        <w:t xml:space="preserve">apresentam maior frequência de consumo </w:t>
      </w:r>
      <w:r w:rsidR="00A87D27" w:rsidRPr="002E707A">
        <w:rPr>
          <w:lang w:val="pt-BR"/>
        </w:rPr>
        <w:t>e</w:t>
      </w:r>
      <w:r w:rsidRPr="002E707A">
        <w:rPr>
          <w:lang w:val="pt-BR"/>
        </w:rPr>
        <w:t xml:space="preserve"> relataram uso mais frequente de outras substâncias</w:t>
      </w:r>
      <w:r w:rsidR="00987440">
        <w:rPr>
          <w:lang w:val="pt-BR"/>
        </w:rPr>
        <w:t>.</w:t>
      </w:r>
      <w:r w:rsidR="003710EA">
        <w:rPr>
          <w:lang w:val="pt-BR"/>
        </w:rPr>
        <w:t xml:space="preserve"> </w:t>
      </w:r>
    </w:p>
    <w:p w14:paraId="74365B42" w14:textId="26FB7D09" w:rsidR="00987440" w:rsidRDefault="00CF040A" w:rsidP="00CF040A">
      <w:pPr>
        <w:shd w:val="clear" w:color="auto" w:fill="FFFFFF"/>
        <w:spacing w:line="360" w:lineRule="auto"/>
        <w:ind w:firstLine="700"/>
        <w:jc w:val="both"/>
        <w:rPr>
          <w:lang w:val="pt-BR"/>
        </w:rPr>
      </w:pPr>
      <w:r w:rsidRPr="002E707A">
        <w:rPr>
          <w:lang w:val="pt-BR"/>
        </w:rPr>
        <w:t xml:space="preserve">Assim, esses padrões podem indicar a presença ou predisposição a condições de adoecimento físico ou mental, carecendo de atenção dos serviços de saúde. </w:t>
      </w:r>
      <w:r w:rsidR="002A6326">
        <w:rPr>
          <w:lang w:val="pt-BR"/>
        </w:rPr>
        <w:t>Nesse sentido</w:t>
      </w:r>
      <w:r w:rsidRPr="002E707A">
        <w:rPr>
          <w:lang w:val="pt-BR"/>
        </w:rPr>
        <w:t>,</w:t>
      </w:r>
      <w:r w:rsidR="00A87D27">
        <w:rPr>
          <w:lang w:val="pt-BR"/>
        </w:rPr>
        <w:t xml:space="preserve"> é mister que os</w:t>
      </w:r>
      <w:r w:rsidRPr="002E707A">
        <w:rPr>
          <w:lang w:val="pt-BR"/>
        </w:rPr>
        <w:t xml:space="preserve"> estudos sobre Cannabis </w:t>
      </w:r>
      <w:r w:rsidR="00A87D27">
        <w:rPr>
          <w:lang w:val="pt-BR"/>
        </w:rPr>
        <w:t>investiguem</w:t>
      </w:r>
      <w:r w:rsidR="00D50A66">
        <w:rPr>
          <w:lang w:val="pt-BR"/>
        </w:rPr>
        <w:t xml:space="preserve"> </w:t>
      </w:r>
      <w:r w:rsidR="00E878E7">
        <w:rPr>
          <w:lang w:val="pt-BR"/>
        </w:rPr>
        <w:t>as</w:t>
      </w:r>
      <w:r w:rsidRPr="002E707A">
        <w:rPr>
          <w:lang w:val="pt-BR"/>
        </w:rPr>
        <w:t xml:space="preserve"> variáveis determinantes </w:t>
      </w:r>
      <w:r w:rsidR="00E878E7">
        <w:rPr>
          <w:lang w:val="pt-BR"/>
        </w:rPr>
        <w:t xml:space="preserve">desses padrões de uso, </w:t>
      </w:r>
      <w:r w:rsidR="00E878E7" w:rsidRPr="002E707A">
        <w:rPr>
          <w:lang w:val="pt-BR"/>
        </w:rPr>
        <w:t>incluindo variáveis sociodemográficas relevantes</w:t>
      </w:r>
      <w:r w:rsidR="00E878E7">
        <w:rPr>
          <w:lang w:val="pt-BR"/>
        </w:rPr>
        <w:t xml:space="preserve">, visando </w:t>
      </w:r>
      <w:r w:rsidRPr="002E707A">
        <w:rPr>
          <w:lang w:val="pt-BR"/>
        </w:rPr>
        <w:t xml:space="preserve">identificar </w:t>
      </w:r>
      <w:r w:rsidR="00E878E7">
        <w:rPr>
          <w:lang w:val="pt-BR"/>
        </w:rPr>
        <w:t xml:space="preserve">possíveis </w:t>
      </w:r>
      <w:r w:rsidRPr="002E707A">
        <w:rPr>
          <w:lang w:val="pt-BR"/>
        </w:rPr>
        <w:t>grupos de risco</w:t>
      </w:r>
      <w:r w:rsidR="00E878E7">
        <w:rPr>
          <w:lang w:val="pt-BR"/>
        </w:rPr>
        <w:t xml:space="preserve"> frente ao consumo da Cannabis.</w:t>
      </w:r>
    </w:p>
    <w:p w14:paraId="3046F545" w14:textId="230FDBA2" w:rsidR="00CF040A" w:rsidRPr="002E707A" w:rsidRDefault="00D23EEC" w:rsidP="00CF040A">
      <w:pPr>
        <w:shd w:val="clear" w:color="auto" w:fill="FFFFFF"/>
        <w:spacing w:line="360" w:lineRule="auto"/>
        <w:ind w:firstLine="700"/>
        <w:jc w:val="both"/>
        <w:rPr>
          <w:lang w:val="pt-BR"/>
        </w:rPr>
      </w:pPr>
      <w:r>
        <w:rPr>
          <w:lang w:val="pt-BR"/>
        </w:rPr>
        <w:t>Nessa direção</w:t>
      </w:r>
      <w:r w:rsidR="00CF040A" w:rsidRPr="002E707A">
        <w:rPr>
          <w:lang w:val="pt-BR"/>
        </w:rPr>
        <w:t xml:space="preserve">, </w:t>
      </w:r>
      <w:r w:rsidR="00A87D27">
        <w:rPr>
          <w:lang w:val="pt-BR"/>
        </w:rPr>
        <w:t>estima-se</w:t>
      </w:r>
      <w:r w:rsidR="00CF040A" w:rsidRPr="002E707A">
        <w:rPr>
          <w:lang w:val="pt-BR"/>
        </w:rPr>
        <w:t xml:space="preserve"> que a renda é, possivelmente, um fator determinante na constituição de um perfil de uso que considera as variáveis acima mencionadas, considerando que produtos com maior concentração de canabinóides possuem alto valor agregado. Assim, espera-se que indivíduos de baixa renda apresentem menor frequência e dosagem no consumo desses produtos. Tal aspecto parece ir de encontro a evidências que indicam que a maioria dos indivíduos penalizados pelo uso de drogas pertence às classes sociais menos abastadas (Barcelos; </w:t>
      </w:r>
      <w:proofErr w:type="spellStart"/>
      <w:r w:rsidR="00CF040A" w:rsidRPr="002E707A">
        <w:rPr>
          <w:lang w:val="pt-BR"/>
        </w:rPr>
        <w:t>Domenici</w:t>
      </w:r>
      <w:proofErr w:type="spellEnd"/>
      <w:r w:rsidR="00CF040A" w:rsidRPr="002E707A">
        <w:rPr>
          <w:lang w:val="pt-BR"/>
        </w:rPr>
        <w:t>, 2019). Contudo, estudos internacionais também associam o baixo status socioeconômico a um maior consumo de maconha (</w:t>
      </w:r>
      <w:proofErr w:type="spellStart"/>
      <w:r w:rsidR="00CF040A" w:rsidRPr="002E707A">
        <w:rPr>
          <w:lang w:val="pt-BR"/>
        </w:rPr>
        <w:t>Knaappila</w:t>
      </w:r>
      <w:proofErr w:type="spellEnd"/>
      <w:r w:rsidR="00CF040A" w:rsidRPr="002E707A">
        <w:rPr>
          <w:lang w:val="pt-BR"/>
        </w:rPr>
        <w:t xml:space="preserve"> et al., 2020). Dessa forma, a renda surge como uma variável relevante tanto para compreender padrões de uso quanto para analisar inconsistências na aplicação da Lei de Drogas.</w:t>
      </w:r>
    </w:p>
    <w:p w14:paraId="2D3C24A5" w14:textId="3D819498" w:rsidR="00CF040A" w:rsidRPr="002E707A" w:rsidRDefault="00CF040A" w:rsidP="00CF040A">
      <w:pPr>
        <w:shd w:val="clear" w:color="auto" w:fill="FFFFFF"/>
        <w:spacing w:line="360" w:lineRule="auto"/>
        <w:ind w:firstLine="700"/>
        <w:jc w:val="both"/>
        <w:rPr>
          <w:lang w:val="pt-BR"/>
        </w:rPr>
      </w:pPr>
      <w:r w:rsidRPr="002E707A">
        <w:rPr>
          <w:lang w:val="pt-BR"/>
        </w:rPr>
        <w:t xml:space="preserve">Do mesmo modo, </w:t>
      </w:r>
      <w:r w:rsidR="00D23EEC">
        <w:rPr>
          <w:lang w:val="pt-BR"/>
        </w:rPr>
        <w:t>espera</w:t>
      </w:r>
      <w:r w:rsidRPr="002E707A">
        <w:rPr>
          <w:lang w:val="pt-BR"/>
        </w:rPr>
        <w:t xml:space="preserve">-se que </w:t>
      </w:r>
      <w:r w:rsidR="00A56261">
        <w:rPr>
          <w:lang w:val="pt-BR"/>
        </w:rPr>
        <w:t>a</w:t>
      </w:r>
      <w:r w:rsidRPr="002E707A">
        <w:rPr>
          <w:lang w:val="pt-BR"/>
        </w:rPr>
        <w:t xml:space="preserve"> escolaridade </w:t>
      </w:r>
      <w:r w:rsidR="00A56261">
        <w:rPr>
          <w:lang w:val="pt-BR"/>
        </w:rPr>
        <w:t>possa</w:t>
      </w:r>
      <w:r w:rsidRPr="002E707A">
        <w:rPr>
          <w:lang w:val="pt-BR"/>
        </w:rPr>
        <w:t xml:space="preserve"> influenciar os padrões de consumo de Cannabis, ampliando a compreensão dos riscos associados, como frequência, dosagem, fatores de risco e métodos de uso. À exemplo disso, pessoas com maior nível educacional </w:t>
      </w:r>
      <w:r w:rsidR="00A56261">
        <w:rPr>
          <w:lang w:val="pt-BR"/>
        </w:rPr>
        <w:t>tenderiam</w:t>
      </w:r>
      <w:r w:rsidRPr="002E707A">
        <w:rPr>
          <w:lang w:val="pt-BR"/>
        </w:rPr>
        <w:t xml:space="preserve"> a estar mais conscientes dos danos à saúde causados pelo uso fumado, optando por métodos menos prejudiciais ou reduzindo a intensidade do consumo. De fato, estudos, como o de </w:t>
      </w:r>
      <w:proofErr w:type="spellStart"/>
      <w:r w:rsidRPr="002E707A">
        <w:rPr>
          <w:lang w:val="pt-BR"/>
        </w:rPr>
        <w:t>Siddiqui</w:t>
      </w:r>
      <w:proofErr w:type="spellEnd"/>
      <w:r w:rsidRPr="002E707A">
        <w:rPr>
          <w:lang w:val="pt-BR"/>
        </w:rPr>
        <w:t xml:space="preserve"> et al. (2022), apontam a relação entre um menor nível de escolaridade e um maior consumo de maconha.</w:t>
      </w:r>
    </w:p>
    <w:p w14:paraId="6BD24110" w14:textId="7C1CB833" w:rsidR="00A32A81" w:rsidRDefault="00CF040A" w:rsidP="00CF040A">
      <w:pPr>
        <w:shd w:val="clear" w:color="auto" w:fill="FFFFFF"/>
        <w:spacing w:line="360" w:lineRule="auto"/>
        <w:ind w:firstLine="700"/>
        <w:jc w:val="both"/>
        <w:rPr>
          <w:lang w:val="pt-BR"/>
        </w:rPr>
      </w:pPr>
      <w:r w:rsidRPr="002E707A">
        <w:rPr>
          <w:lang w:val="pt-BR"/>
        </w:rPr>
        <w:t xml:space="preserve">Ademais, o consumo de maconha possui um recorte racial histórico. Mesmo antes da invasão dos colonizadores europeus ao Brasil, africanos escravizados já utilizavam a Cannabis para fins medicinais e ritualísticos, sendo </w:t>
      </w:r>
      <w:r w:rsidR="009C2434">
        <w:rPr>
          <w:lang w:val="pt-BR"/>
        </w:rPr>
        <w:t xml:space="preserve">esses indivíduos responsável por trazer </w:t>
      </w:r>
      <w:r w:rsidRPr="002E707A">
        <w:rPr>
          <w:lang w:val="pt-BR"/>
        </w:rPr>
        <w:t xml:space="preserve">a variante psicoativa </w:t>
      </w:r>
      <w:r w:rsidRPr="002E707A">
        <w:rPr>
          <w:lang w:val="pt-BR"/>
        </w:rPr>
        <w:lastRenderedPageBreak/>
        <w:t xml:space="preserve">da planta </w:t>
      </w:r>
      <w:r w:rsidR="009C2434">
        <w:rPr>
          <w:lang w:val="pt-BR"/>
        </w:rPr>
        <w:t xml:space="preserve">para as </w:t>
      </w:r>
      <w:r w:rsidRPr="002E707A">
        <w:rPr>
          <w:lang w:val="pt-BR"/>
        </w:rPr>
        <w:t xml:space="preserve">Américas. Inicialmente, o consumo se difundiu entre populações marginalizadas, porém </w:t>
      </w:r>
      <w:r w:rsidR="001E792F">
        <w:rPr>
          <w:lang w:val="pt-BR"/>
        </w:rPr>
        <w:t>passou a abranger</w:t>
      </w:r>
      <w:r w:rsidRPr="002E707A">
        <w:rPr>
          <w:lang w:val="pt-BR"/>
        </w:rPr>
        <w:t xml:space="preserve"> diversos grupos étnicos e socioeconômicos </w:t>
      </w:r>
      <w:r w:rsidR="000A0548">
        <w:rPr>
          <w:lang w:val="pt-BR"/>
        </w:rPr>
        <w:t>(Torcato, 2016)</w:t>
      </w:r>
      <w:r w:rsidRPr="002E707A">
        <w:rPr>
          <w:lang w:val="pt-BR"/>
        </w:rPr>
        <w:t xml:space="preserve">. Dessa forma, considerando o papel cultural da maconha entre povos negros e originários, essa variável pode ser relevante na compreensão dos padrões atuais de uso. </w:t>
      </w:r>
    </w:p>
    <w:p w14:paraId="5058CD62" w14:textId="0DE92531" w:rsidR="00CF040A" w:rsidRPr="002E707A" w:rsidRDefault="00CF040A" w:rsidP="00CF040A">
      <w:pPr>
        <w:shd w:val="clear" w:color="auto" w:fill="FFFFFF"/>
        <w:spacing w:line="360" w:lineRule="auto"/>
        <w:ind w:firstLine="700"/>
        <w:jc w:val="both"/>
        <w:rPr>
          <w:lang w:val="pt-BR"/>
        </w:rPr>
      </w:pPr>
      <w:r w:rsidRPr="002E707A">
        <w:rPr>
          <w:lang w:val="pt-BR"/>
        </w:rPr>
        <w:t xml:space="preserve">É </w:t>
      </w:r>
      <w:r w:rsidR="00F76693">
        <w:rPr>
          <w:lang w:val="pt-BR"/>
        </w:rPr>
        <w:t>pertinente</w:t>
      </w:r>
      <w:r w:rsidRPr="002E707A">
        <w:rPr>
          <w:lang w:val="pt-BR"/>
        </w:rPr>
        <w:t xml:space="preserve"> considerar, ainda, que o uso recorrente de certos canabinóides, especialmente aqueles com efeitos psicoativos, pode levar à tolerância (</w:t>
      </w:r>
      <w:proofErr w:type="spellStart"/>
      <w:r w:rsidRPr="002E707A">
        <w:rPr>
          <w:lang w:val="pt-BR"/>
        </w:rPr>
        <w:t>Ibáñez</w:t>
      </w:r>
      <w:proofErr w:type="spellEnd"/>
      <w:r w:rsidRPr="002E707A">
        <w:rPr>
          <w:lang w:val="pt-BR"/>
        </w:rPr>
        <w:t>-Jiménez et al., 2023), exigindo doses maiores para alcançar os mesmos efeitos. Assim, a idade de início do uso da maconha e a duração do consumo são variáveis cruciais na definição do perfil de uso atual.</w:t>
      </w:r>
      <w:r w:rsidR="00740A40">
        <w:rPr>
          <w:lang w:val="pt-BR"/>
        </w:rPr>
        <w:t xml:space="preserve"> </w:t>
      </w:r>
      <w:r w:rsidRPr="002E707A">
        <w:rPr>
          <w:lang w:val="pt-BR"/>
        </w:rPr>
        <w:t>Por fim, fatores de saúde</w:t>
      </w:r>
      <w:r w:rsidR="0000114A">
        <w:rPr>
          <w:lang w:val="pt-BR"/>
        </w:rPr>
        <w:t>, tais como a presença de transtornos mentais ou doenças crônicas,</w:t>
      </w:r>
      <w:r w:rsidRPr="002E707A">
        <w:rPr>
          <w:lang w:val="pt-BR"/>
        </w:rPr>
        <w:t xml:space="preserve"> são frequentemente indicados como preditores do consumo de Cannabis na literatura internacional </w:t>
      </w:r>
      <w:r w:rsidR="00740A40">
        <w:rPr>
          <w:lang w:val="pt-BR"/>
        </w:rPr>
        <w:t>(</w:t>
      </w:r>
      <w:proofErr w:type="spellStart"/>
      <w:r w:rsidRPr="002E707A">
        <w:rPr>
          <w:lang w:val="pt-BR"/>
        </w:rPr>
        <w:t>Gorfinkel</w:t>
      </w:r>
      <w:proofErr w:type="spellEnd"/>
      <w:r w:rsidRPr="002E707A">
        <w:rPr>
          <w:lang w:val="pt-BR"/>
        </w:rPr>
        <w:t xml:space="preserve">, </w:t>
      </w:r>
      <w:proofErr w:type="spellStart"/>
      <w:r w:rsidRPr="002E707A">
        <w:rPr>
          <w:lang w:val="pt-BR"/>
        </w:rPr>
        <w:t>Stohl</w:t>
      </w:r>
      <w:proofErr w:type="spellEnd"/>
      <w:r w:rsidRPr="002E707A">
        <w:rPr>
          <w:lang w:val="pt-BR"/>
        </w:rPr>
        <w:t xml:space="preserve"> &amp; </w:t>
      </w:r>
      <w:proofErr w:type="spellStart"/>
      <w:r w:rsidRPr="002E707A">
        <w:rPr>
          <w:lang w:val="pt-BR"/>
        </w:rPr>
        <w:t>Hasin</w:t>
      </w:r>
      <w:proofErr w:type="spellEnd"/>
      <w:r w:rsidR="00740A40">
        <w:rPr>
          <w:lang w:val="pt-BR"/>
        </w:rPr>
        <w:t xml:space="preserve">, </w:t>
      </w:r>
      <w:r w:rsidRPr="002E707A">
        <w:rPr>
          <w:lang w:val="pt-BR"/>
        </w:rPr>
        <w:t>2020</w:t>
      </w:r>
      <w:r w:rsidR="00740A40">
        <w:rPr>
          <w:lang w:val="pt-BR"/>
        </w:rPr>
        <w:t>;</w:t>
      </w:r>
      <w:r w:rsidRPr="002E707A">
        <w:rPr>
          <w:lang w:val="pt-BR"/>
        </w:rPr>
        <w:t xml:space="preserve"> </w:t>
      </w:r>
      <w:proofErr w:type="spellStart"/>
      <w:r w:rsidR="009713BC" w:rsidRPr="002E707A">
        <w:rPr>
          <w:lang w:val="pt-BR"/>
        </w:rPr>
        <w:t>Kurtzman</w:t>
      </w:r>
      <w:proofErr w:type="spellEnd"/>
      <w:r w:rsidR="009713BC" w:rsidRPr="002E707A">
        <w:rPr>
          <w:lang w:val="pt-BR"/>
        </w:rPr>
        <w:t xml:space="preserve"> &amp; Young-Wolff, 2021</w:t>
      </w:r>
      <w:r w:rsidRPr="002E707A">
        <w:rPr>
          <w:lang w:val="pt-BR"/>
        </w:rPr>
        <w:t>) indicam que a redução de sintomas de ansiedade e depressão é um dos principais motivos para o uso. Assim, é plausível considerar que doenças crônicas</w:t>
      </w:r>
      <w:r w:rsidR="00CD14F6">
        <w:rPr>
          <w:lang w:val="pt-BR"/>
        </w:rPr>
        <w:t xml:space="preserve"> ou mesmo </w:t>
      </w:r>
      <w:r w:rsidRPr="002E707A">
        <w:rPr>
          <w:lang w:val="pt-BR"/>
        </w:rPr>
        <w:t>transtornos de saúde mental sejam determinantes nos padrões de uso de Cannabis no Brasil.</w:t>
      </w:r>
    </w:p>
    <w:p w14:paraId="48E4E60E" w14:textId="77777777" w:rsidR="000252A0" w:rsidRPr="006B162E" w:rsidRDefault="000252A0" w:rsidP="000252A0">
      <w:pPr>
        <w:spacing w:line="360" w:lineRule="auto"/>
        <w:ind w:firstLine="709"/>
        <w:jc w:val="both"/>
        <w:rPr>
          <w:lang w:val="pt-BR"/>
        </w:rPr>
      </w:pPr>
      <w:r w:rsidRPr="006B162E">
        <w:rPr>
          <w:lang w:val="pt-BR"/>
        </w:rPr>
        <w:t>Partindo da noção de que a identificação de padrões específicos de consumo de Cannabis, assim como de seus determinantes sociodemográficos, contribuiria para nortear novos estudos acerca dos efeitos desse uso, que pudessem considerar aspectos essenciais dessa interação entre as substâncias canabinóides e fisiologia humana, tais como os mencionados acima; assim como poderiam orientar a construção de políticas de saúde voltadas a grupos específicos da população, cujos padrões de uso já são reconhecidos na literatura como problemáticos, propôs-se a presente pesquisa. O estudo teve como principal objetivo compreender os diferentes perfis de uso de Cannabis e seus determinantes sociodemográficos em uma amostra da população brasileira.</w:t>
      </w:r>
    </w:p>
    <w:p w14:paraId="2254AC27" w14:textId="4595D54F" w:rsidR="006F7E7E" w:rsidRPr="002E707A" w:rsidRDefault="001516ED" w:rsidP="00DB0374">
      <w:pPr>
        <w:pStyle w:val="Ttulosinternos"/>
        <w:rPr>
          <w:lang w:val="pt-BR"/>
        </w:rPr>
      </w:pPr>
      <w:r w:rsidRPr="002E707A">
        <w:rPr>
          <w:lang w:val="pt-BR"/>
        </w:rPr>
        <w:t>M</w:t>
      </w:r>
      <w:r w:rsidR="00107993" w:rsidRPr="002E707A">
        <w:rPr>
          <w:lang w:val="pt-BR"/>
        </w:rPr>
        <w:t>étodo</w:t>
      </w:r>
    </w:p>
    <w:p w14:paraId="1B36F5C7" w14:textId="6308C11A" w:rsidR="009749F5" w:rsidRPr="002E707A" w:rsidRDefault="009749F5" w:rsidP="009749F5">
      <w:pPr>
        <w:shd w:val="clear" w:color="auto" w:fill="FFFFFF"/>
        <w:spacing w:line="360" w:lineRule="auto"/>
        <w:ind w:firstLine="700"/>
        <w:jc w:val="both"/>
        <w:rPr>
          <w:lang w:val="pt-BR"/>
        </w:rPr>
      </w:pPr>
      <w:r w:rsidRPr="002E707A">
        <w:rPr>
          <w:lang w:val="pt-BR"/>
        </w:rPr>
        <w:t xml:space="preserve">Trata-se de um estudo exploratório e transversal, no qual </w:t>
      </w:r>
      <w:r w:rsidR="001A5DB3">
        <w:rPr>
          <w:lang w:val="pt-BR"/>
        </w:rPr>
        <w:t>se buscou a</w:t>
      </w:r>
      <w:r w:rsidRPr="002E707A">
        <w:rPr>
          <w:lang w:val="pt-BR"/>
        </w:rPr>
        <w:t xml:space="preserve"> descrição dos perfis de uso (variável latente), mediante a frequência de uso, dosagem consumida/uso, tipo de produto consumido e método de consumo (indicadores). Posteriormente, realizou-se regressões logísticas </w:t>
      </w:r>
      <w:proofErr w:type="spellStart"/>
      <w:r w:rsidRPr="002E707A">
        <w:rPr>
          <w:lang w:val="pt-BR"/>
        </w:rPr>
        <w:t>multinomiais</w:t>
      </w:r>
      <w:proofErr w:type="spellEnd"/>
      <w:r w:rsidRPr="002E707A">
        <w:rPr>
          <w:lang w:val="pt-BR"/>
        </w:rPr>
        <w:t xml:space="preserve"> múltiplas para a avaliação de variáveis sociodemográficas como determinantes desses perfis de uso (classes latentes).  </w:t>
      </w:r>
    </w:p>
    <w:p w14:paraId="11964FBC" w14:textId="77777777" w:rsidR="00082D68" w:rsidRPr="002E707A" w:rsidRDefault="00082D68" w:rsidP="00152150">
      <w:pPr>
        <w:pStyle w:val="SubtituloInterno"/>
        <w:rPr>
          <w:rFonts w:eastAsia="Calibri"/>
          <w:lang w:val="pt-BR"/>
        </w:rPr>
      </w:pPr>
      <w:r w:rsidRPr="002E707A">
        <w:rPr>
          <w:rFonts w:eastAsia="Calibri"/>
          <w:lang w:val="pt-BR"/>
        </w:rPr>
        <w:t>Participantes</w:t>
      </w:r>
    </w:p>
    <w:p w14:paraId="2ECED1E2" w14:textId="2E55CB96" w:rsidR="00AC5287" w:rsidRPr="00C93280" w:rsidRDefault="00616996" w:rsidP="00C93280">
      <w:pPr>
        <w:shd w:val="clear" w:color="auto" w:fill="FFFFFF"/>
        <w:spacing w:line="360" w:lineRule="auto"/>
        <w:ind w:firstLine="700"/>
        <w:jc w:val="both"/>
        <w:rPr>
          <w:lang w:val="pt-BR"/>
        </w:rPr>
      </w:pPr>
      <w:bookmarkStart w:id="0" w:name="_Toc123907619"/>
      <w:r w:rsidRPr="002E707A">
        <w:rPr>
          <w:lang w:val="pt-BR"/>
        </w:rPr>
        <w:t xml:space="preserve">Contou-se com 384 participantes, brasileiros, com idade variando entre 18 e 63 anos (M= 33,14, DP=10,52), em sua maioria homens (54,4%), brancos (66,8%), com renda média entre 4 e 10 salários-mínimos (37,6%). A duração média do padrão de uso de Cannabis foi de 6,61 anos (DP </w:t>
      </w:r>
      <w:r w:rsidRPr="002E707A">
        <w:rPr>
          <w:lang w:val="pt-BR"/>
        </w:rPr>
        <w:lastRenderedPageBreak/>
        <w:t xml:space="preserve">= 7,76), com idade de início variando entre 12 e 42 anos (M= 18,89, DP = 4,94). Os detalhes sobre a amostra podem ser observados na Tabela 1. </w:t>
      </w:r>
    </w:p>
    <w:p w14:paraId="3D5F7583" w14:textId="15C12C57" w:rsidR="00AC5287" w:rsidRPr="002E707A" w:rsidRDefault="00AC5287" w:rsidP="00AC5287">
      <w:pPr>
        <w:shd w:val="clear" w:color="auto" w:fill="FFFFFF"/>
        <w:spacing w:line="360" w:lineRule="auto"/>
        <w:jc w:val="both"/>
        <w:rPr>
          <w:sz w:val="20"/>
          <w:szCs w:val="20"/>
          <w:lang w:val="pt-BR"/>
        </w:rPr>
      </w:pPr>
      <w:r w:rsidRPr="002E707A">
        <w:rPr>
          <w:sz w:val="20"/>
          <w:szCs w:val="20"/>
          <w:lang w:val="pt-BR"/>
        </w:rPr>
        <w:t>Tabela 1</w:t>
      </w:r>
    </w:p>
    <w:p w14:paraId="122BFB62" w14:textId="77777777" w:rsidR="00AC5287" w:rsidRPr="002E707A" w:rsidRDefault="00AC5287" w:rsidP="00AC5287">
      <w:pPr>
        <w:pStyle w:val="Legenda"/>
        <w:keepNext/>
        <w:spacing w:after="0" w:line="360" w:lineRule="auto"/>
        <w:ind w:firstLine="0"/>
        <w:rPr>
          <w:i w:val="0"/>
          <w:iCs w:val="0"/>
          <w:color w:val="auto"/>
          <w:sz w:val="20"/>
          <w:szCs w:val="20"/>
        </w:rPr>
      </w:pPr>
      <w:r w:rsidRPr="002E707A">
        <w:rPr>
          <w:rFonts w:eastAsia="Times New Roman"/>
          <w:i w:val="0"/>
          <w:iCs w:val="0"/>
          <w:color w:val="auto"/>
          <w:sz w:val="20"/>
          <w:szCs w:val="20"/>
        </w:rPr>
        <w:t>Estatísticas descritivas das variáveis sociodemográficas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4206"/>
        <w:gridCol w:w="1500"/>
        <w:gridCol w:w="1499"/>
      </w:tblGrid>
      <w:tr w:rsidR="00AC5287" w:rsidRPr="002E707A" w14:paraId="08A1C627" w14:textId="77777777" w:rsidTr="00A1791E">
        <w:trPr>
          <w:trHeight w:val="344"/>
          <w:jc w:val="center"/>
        </w:trPr>
        <w:tc>
          <w:tcPr>
            <w:tcW w:w="1168" w:type="pct"/>
            <w:tcBorders>
              <w:top w:val="single" w:sz="12" w:space="0" w:color="auto"/>
              <w:left w:val="nil"/>
              <w:right w:val="nil"/>
            </w:tcBorders>
            <w:shd w:val="clear" w:color="auto" w:fill="auto"/>
            <w:vAlign w:val="center"/>
          </w:tcPr>
          <w:p w14:paraId="3C579B72" w14:textId="77777777" w:rsidR="00AC5287" w:rsidRPr="002E707A" w:rsidRDefault="00AC5287" w:rsidP="00A1791E">
            <w:pPr>
              <w:spacing w:line="360" w:lineRule="auto"/>
              <w:jc w:val="center"/>
              <w:rPr>
                <w:b/>
                <w:sz w:val="20"/>
                <w:szCs w:val="20"/>
                <w:lang w:val="pt-BR"/>
              </w:rPr>
            </w:pPr>
            <w:r w:rsidRPr="002E707A">
              <w:rPr>
                <w:b/>
                <w:sz w:val="20"/>
                <w:szCs w:val="20"/>
                <w:lang w:val="pt-BR"/>
              </w:rPr>
              <w:t>Variável</w:t>
            </w:r>
          </w:p>
        </w:tc>
        <w:tc>
          <w:tcPr>
            <w:tcW w:w="2237" w:type="pct"/>
            <w:tcBorders>
              <w:top w:val="single" w:sz="12" w:space="0" w:color="auto"/>
              <w:left w:val="nil"/>
              <w:right w:val="nil"/>
            </w:tcBorders>
            <w:shd w:val="clear" w:color="auto" w:fill="auto"/>
            <w:vAlign w:val="center"/>
          </w:tcPr>
          <w:p w14:paraId="07F32AC7" w14:textId="77777777" w:rsidR="00AC5287" w:rsidRPr="002E707A" w:rsidRDefault="00AC5287" w:rsidP="00A1791E">
            <w:pPr>
              <w:spacing w:line="360" w:lineRule="auto"/>
              <w:jc w:val="center"/>
              <w:rPr>
                <w:b/>
                <w:sz w:val="20"/>
                <w:szCs w:val="20"/>
                <w:lang w:val="pt-BR"/>
              </w:rPr>
            </w:pPr>
            <w:r w:rsidRPr="002E707A">
              <w:rPr>
                <w:b/>
                <w:sz w:val="20"/>
                <w:szCs w:val="20"/>
                <w:lang w:val="pt-BR"/>
              </w:rPr>
              <w:t>Categorias</w:t>
            </w:r>
          </w:p>
        </w:tc>
        <w:tc>
          <w:tcPr>
            <w:tcW w:w="798" w:type="pct"/>
            <w:tcBorders>
              <w:top w:val="single" w:sz="12" w:space="0" w:color="auto"/>
              <w:left w:val="nil"/>
              <w:right w:val="nil"/>
            </w:tcBorders>
            <w:shd w:val="clear" w:color="auto" w:fill="auto"/>
            <w:vAlign w:val="center"/>
          </w:tcPr>
          <w:p w14:paraId="16BCB6EA" w14:textId="77777777" w:rsidR="00AC5287" w:rsidRPr="002E707A" w:rsidRDefault="00AC5287" w:rsidP="00A1791E">
            <w:pPr>
              <w:spacing w:line="360" w:lineRule="auto"/>
              <w:jc w:val="center"/>
              <w:rPr>
                <w:b/>
                <w:iCs/>
                <w:sz w:val="20"/>
                <w:szCs w:val="20"/>
                <w:lang w:val="pt-BR"/>
              </w:rPr>
            </w:pPr>
            <w:r w:rsidRPr="002E707A">
              <w:rPr>
                <w:b/>
                <w:i/>
                <w:sz w:val="20"/>
                <w:szCs w:val="20"/>
                <w:lang w:val="pt-BR"/>
              </w:rPr>
              <w:t>f</w:t>
            </w:r>
          </w:p>
        </w:tc>
        <w:tc>
          <w:tcPr>
            <w:tcW w:w="797" w:type="pct"/>
            <w:tcBorders>
              <w:top w:val="single" w:sz="12" w:space="0" w:color="auto"/>
              <w:left w:val="nil"/>
              <w:right w:val="single" w:sz="2" w:space="0" w:color="auto"/>
            </w:tcBorders>
            <w:shd w:val="clear" w:color="auto" w:fill="auto"/>
            <w:vAlign w:val="center"/>
          </w:tcPr>
          <w:p w14:paraId="60C1DF56" w14:textId="77777777" w:rsidR="00AC5287" w:rsidRPr="002E707A" w:rsidRDefault="00AC5287" w:rsidP="00A1791E">
            <w:pPr>
              <w:spacing w:line="360" w:lineRule="auto"/>
              <w:jc w:val="center"/>
              <w:rPr>
                <w:b/>
                <w:iCs/>
                <w:sz w:val="20"/>
                <w:szCs w:val="20"/>
                <w:lang w:val="pt-BR"/>
              </w:rPr>
            </w:pPr>
            <w:r w:rsidRPr="002E707A">
              <w:rPr>
                <w:b/>
                <w:i/>
                <w:sz w:val="20"/>
                <w:szCs w:val="20"/>
                <w:lang w:val="pt-BR"/>
              </w:rPr>
              <w:t>%</w:t>
            </w:r>
          </w:p>
        </w:tc>
      </w:tr>
      <w:tr w:rsidR="00AC5287" w:rsidRPr="002E707A" w14:paraId="6FCB5FDD" w14:textId="77777777" w:rsidTr="00A1791E">
        <w:trPr>
          <w:trHeight w:val="20"/>
          <w:jc w:val="center"/>
        </w:trPr>
        <w:tc>
          <w:tcPr>
            <w:tcW w:w="1168" w:type="pct"/>
            <w:vMerge w:val="restart"/>
            <w:tcBorders>
              <w:top w:val="nil"/>
              <w:left w:val="nil"/>
              <w:right w:val="nil"/>
            </w:tcBorders>
            <w:shd w:val="clear" w:color="auto" w:fill="auto"/>
            <w:vAlign w:val="center"/>
          </w:tcPr>
          <w:p w14:paraId="413B8CD3" w14:textId="77777777" w:rsidR="00AC5287" w:rsidRPr="002E707A" w:rsidRDefault="00AC5287" w:rsidP="00A1791E">
            <w:pPr>
              <w:rPr>
                <w:b/>
                <w:sz w:val="20"/>
                <w:szCs w:val="20"/>
                <w:lang w:val="pt-BR"/>
              </w:rPr>
            </w:pPr>
            <w:r w:rsidRPr="002E707A">
              <w:rPr>
                <w:b/>
                <w:sz w:val="20"/>
                <w:szCs w:val="20"/>
                <w:lang w:val="pt-BR"/>
              </w:rPr>
              <w:t>Gênero</w:t>
            </w:r>
          </w:p>
        </w:tc>
        <w:tc>
          <w:tcPr>
            <w:tcW w:w="2237" w:type="pct"/>
            <w:tcBorders>
              <w:top w:val="nil"/>
              <w:left w:val="nil"/>
              <w:bottom w:val="nil"/>
              <w:right w:val="nil"/>
            </w:tcBorders>
            <w:shd w:val="clear" w:color="auto" w:fill="auto"/>
          </w:tcPr>
          <w:p w14:paraId="24965F82" w14:textId="77777777" w:rsidR="00AC5287" w:rsidRPr="002E707A" w:rsidRDefault="00AC5287" w:rsidP="00A1791E">
            <w:pPr>
              <w:rPr>
                <w:sz w:val="20"/>
                <w:szCs w:val="20"/>
                <w:lang w:val="pt-BR"/>
              </w:rPr>
            </w:pPr>
            <w:r w:rsidRPr="002E707A">
              <w:rPr>
                <w:sz w:val="20"/>
                <w:szCs w:val="20"/>
                <w:lang w:val="pt-BR"/>
              </w:rPr>
              <w:t>Masculino</w:t>
            </w:r>
          </w:p>
        </w:tc>
        <w:tc>
          <w:tcPr>
            <w:tcW w:w="798" w:type="pct"/>
            <w:tcBorders>
              <w:left w:val="nil"/>
              <w:bottom w:val="nil"/>
              <w:right w:val="nil"/>
            </w:tcBorders>
            <w:shd w:val="clear" w:color="auto" w:fill="auto"/>
          </w:tcPr>
          <w:p w14:paraId="37DAC46F" w14:textId="77777777" w:rsidR="00AC5287" w:rsidRPr="002E707A" w:rsidRDefault="00AC5287" w:rsidP="00A1791E">
            <w:pPr>
              <w:jc w:val="center"/>
              <w:rPr>
                <w:sz w:val="20"/>
                <w:szCs w:val="20"/>
                <w:lang w:val="pt-BR"/>
              </w:rPr>
            </w:pPr>
            <w:r w:rsidRPr="002E707A">
              <w:rPr>
                <w:sz w:val="20"/>
                <w:szCs w:val="20"/>
                <w:lang w:val="pt-BR"/>
              </w:rPr>
              <w:t>209</w:t>
            </w:r>
          </w:p>
        </w:tc>
        <w:tc>
          <w:tcPr>
            <w:tcW w:w="797" w:type="pct"/>
            <w:tcBorders>
              <w:left w:val="nil"/>
              <w:bottom w:val="nil"/>
              <w:right w:val="nil"/>
            </w:tcBorders>
            <w:shd w:val="clear" w:color="auto" w:fill="auto"/>
          </w:tcPr>
          <w:p w14:paraId="5EAEB7BB" w14:textId="77777777" w:rsidR="00AC5287" w:rsidRPr="002E707A" w:rsidRDefault="00AC5287" w:rsidP="00A1791E">
            <w:pPr>
              <w:jc w:val="center"/>
              <w:rPr>
                <w:sz w:val="20"/>
                <w:szCs w:val="20"/>
                <w:lang w:val="pt-BR"/>
              </w:rPr>
            </w:pPr>
            <w:r w:rsidRPr="002E707A">
              <w:rPr>
                <w:sz w:val="20"/>
                <w:szCs w:val="20"/>
                <w:lang w:val="pt-BR"/>
              </w:rPr>
              <w:t>54,4</w:t>
            </w:r>
          </w:p>
        </w:tc>
      </w:tr>
      <w:tr w:rsidR="00AC5287" w:rsidRPr="002E707A" w14:paraId="6D9ECC5A" w14:textId="77777777" w:rsidTr="00A1791E">
        <w:trPr>
          <w:trHeight w:val="20"/>
          <w:jc w:val="center"/>
        </w:trPr>
        <w:tc>
          <w:tcPr>
            <w:tcW w:w="1168" w:type="pct"/>
            <w:vMerge/>
            <w:tcBorders>
              <w:left w:val="nil"/>
              <w:right w:val="nil"/>
            </w:tcBorders>
            <w:shd w:val="clear" w:color="auto" w:fill="auto"/>
            <w:vAlign w:val="center"/>
          </w:tcPr>
          <w:p w14:paraId="6829A6CE" w14:textId="77777777" w:rsidR="00AC5287" w:rsidRPr="002E707A" w:rsidRDefault="00AC5287" w:rsidP="00A1791E">
            <w:pPr>
              <w:rPr>
                <w:b/>
                <w:sz w:val="20"/>
                <w:szCs w:val="20"/>
                <w:lang w:val="pt-BR"/>
              </w:rPr>
            </w:pPr>
          </w:p>
        </w:tc>
        <w:tc>
          <w:tcPr>
            <w:tcW w:w="2237" w:type="pct"/>
            <w:tcBorders>
              <w:top w:val="nil"/>
              <w:left w:val="nil"/>
              <w:bottom w:val="nil"/>
              <w:right w:val="nil"/>
            </w:tcBorders>
            <w:shd w:val="clear" w:color="auto" w:fill="auto"/>
          </w:tcPr>
          <w:p w14:paraId="20F1210D" w14:textId="77777777" w:rsidR="00AC5287" w:rsidRPr="002E707A" w:rsidRDefault="00AC5287" w:rsidP="00A1791E">
            <w:pPr>
              <w:rPr>
                <w:sz w:val="20"/>
                <w:szCs w:val="20"/>
                <w:lang w:val="pt-BR"/>
              </w:rPr>
            </w:pPr>
            <w:r w:rsidRPr="002E707A">
              <w:rPr>
                <w:sz w:val="20"/>
                <w:szCs w:val="20"/>
                <w:lang w:val="pt-BR"/>
              </w:rPr>
              <w:t>Feminino</w:t>
            </w:r>
          </w:p>
        </w:tc>
        <w:tc>
          <w:tcPr>
            <w:tcW w:w="798" w:type="pct"/>
            <w:tcBorders>
              <w:top w:val="nil"/>
              <w:left w:val="nil"/>
              <w:bottom w:val="nil"/>
              <w:right w:val="nil"/>
            </w:tcBorders>
            <w:shd w:val="clear" w:color="auto" w:fill="auto"/>
          </w:tcPr>
          <w:p w14:paraId="5D8DBEFF" w14:textId="77777777" w:rsidR="00AC5287" w:rsidRPr="002E707A" w:rsidRDefault="00AC5287" w:rsidP="00A1791E">
            <w:pPr>
              <w:jc w:val="center"/>
              <w:rPr>
                <w:sz w:val="20"/>
                <w:szCs w:val="20"/>
                <w:lang w:val="pt-BR"/>
              </w:rPr>
            </w:pPr>
            <w:r w:rsidRPr="002E707A">
              <w:rPr>
                <w:sz w:val="20"/>
                <w:szCs w:val="20"/>
                <w:lang w:val="pt-BR"/>
              </w:rPr>
              <w:t>170</w:t>
            </w:r>
          </w:p>
        </w:tc>
        <w:tc>
          <w:tcPr>
            <w:tcW w:w="797" w:type="pct"/>
            <w:tcBorders>
              <w:top w:val="nil"/>
              <w:left w:val="nil"/>
              <w:bottom w:val="nil"/>
              <w:right w:val="nil"/>
            </w:tcBorders>
            <w:shd w:val="clear" w:color="auto" w:fill="auto"/>
          </w:tcPr>
          <w:p w14:paraId="21E51D39" w14:textId="77777777" w:rsidR="00AC5287" w:rsidRPr="002E707A" w:rsidRDefault="00AC5287" w:rsidP="00A1791E">
            <w:pPr>
              <w:jc w:val="center"/>
              <w:rPr>
                <w:sz w:val="20"/>
                <w:szCs w:val="20"/>
                <w:lang w:val="pt-BR"/>
              </w:rPr>
            </w:pPr>
            <w:r w:rsidRPr="002E707A">
              <w:rPr>
                <w:sz w:val="20"/>
                <w:szCs w:val="20"/>
                <w:lang w:val="pt-BR"/>
              </w:rPr>
              <w:t>44,3</w:t>
            </w:r>
          </w:p>
        </w:tc>
      </w:tr>
      <w:tr w:rsidR="00AC5287" w:rsidRPr="002E707A" w14:paraId="4D7A60BA" w14:textId="77777777" w:rsidTr="00A1791E">
        <w:trPr>
          <w:trHeight w:val="20"/>
          <w:jc w:val="center"/>
        </w:trPr>
        <w:tc>
          <w:tcPr>
            <w:tcW w:w="1168" w:type="pct"/>
            <w:vMerge/>
            <w:tcBorders>
              <w:left w:val="nil"/>
              <w:bottom w:val="nil"/>
              <w:right w:val="nil"/>
            </w:tcBorders>
            <w:shd w:val="clear" w:color="auto" w:fill="auto"/>
            <w:vAlign w:val="center"/>
          </w:tcPr>
          <w:p w14:paraId="00127ED4" w14:textId="77777777" w:rsidR="00AC5287" w:rsidRPr="002E707A" w:rsidRDefault="00AC5287" w:rsidP="00A1791E">
            <w:pPr>
              <w:rPr>
                <w:b/>
                <w:sz w:val="20"/>
                <w:szCs w:val="20"/>
                <w:lang w:val="pt-BR"/>
              </w:rPr>
            </w:pPr>
          </w:p>
        </w:tc>
        <w:tc>
          <w:tcPr>
            <w:tcW w:w="2237" w:type="pct"/>
            <w:tcBorders>
              <w:top w:val="nil"/>
              <w:left w:val="nil"/>
              <w:bottom w:val="nil"/>
              <w:right w:val="nil"/>
            </w:tcBorders>
            <w:shd w:val="clear" w:color="auto" w:fill="auto"/>
          </w:tcPr>
          <w:p w14:paraId="60982E4E" w14:textId="77777777" w:rsidR="00AC5287" w:rsidRPr="002E707A" w:rsidRDefault="00AC5287" w:rsidP="00A1791E">
            <w:pPr>
              <w:rPr>
                <w:sz w:val="20"/>
                <w:szCs w:val="20"/>
                <w:lang w:val="pt-BR"/>
              </w:rPr>
            </w:pPr>
            <w:r w:rsidRPr="002E707A">
              <w:rPr>
                <w:sz w:val="20"/>
                <w:szCs w:val="20"/>
                <w:lang w:val="pt-BR"/>
              </w:rPr>
              <w:t>Não Binário</w:t>
            </w:r>
          </w:p>
        </w:tc>
        <w:tc>
          <w:tcPr>
            <w:tcW w:w="798" w:type="pct"/>
            <w:tcBorders>
              <w:top w:val="nil"/>
              <w:left w:val="nil"/>
              <w:bottom w:val="nil"/>
              <w:right w:val="nil"/>
            </w:tcBorders>
            <w:shd w:val="clear" w:color="auto" w:fill="auto"/>
          </w:tcPr>
          <w:p w14:paraId="49355561" w14:textId="77777777" w:rsidR="00AC5287" w:rsidRPr="002E707A" w:rsidRDefault="00AC5287" w:rsidP="00A1791E">
            <w:pPr>
              <w:jc w:val="center"/>
              <w:rPr>
                <w:sz w:val="20"/>
                <w:szCs w:val="20"/>
                <w:lang w:val="pt-BR"/>
              </w:rPr>
            </w:pPr>
            <w:r w:rsidRPr="002E707A">
              <w:rPr>
                <w:sz w:val="20"/>
                <w:szCs w:val="20"/>
                <w:lang w:val="pt-BR"/>
              </w:rPr>
              <w:t>5</w:t>
            </w:r>
          </w:p>
        </w:tc>
        <w:tc>
          <w:tcPr>
            <w:tcW w:w="797" w:type="pct"/>
            <w:tcBorders>
              <w:top w:val="nil"/>
              <w:left w:val="nil"/>
              <w:bottom w:val="nil"/>
              <w:right w:val="nil"/>
            </w:tcBorders>
            <w:shd w:val="clear" w:color="auto" w:fill="auto"/>
          </w:tcPr>
          <w:p w14:paraId="1E19590F" w14:textId="77777777" w:rsidR="00AC5287" w:rsidRPr="002E707A" w:rsidRDefault="00AC5287" w:rsidP="00A1791E">
            <w:pPr>
              <w:jc w:val="center"/>
              <w:rPr>
                <w:sz w:val="20"/>
                <w:szCs w:val="20"/>
                <w:lang w:val="pt-BR"/>
              </w:rPr>
            </w:pPr>
            <w:r w:rsidRPr="002E707A">
              <w:rPr>
                <w:sz w:val="20"/>
                <w:szCs w:val="20"/>
                <w:lang w:val="pt-BR"/>
              </w:rPr>
              <w:t>1,3</w:t>
            </w:r>
          </w:p>
        </w:tc>
      </w:tr>
      <w:tr w:rsidR="00AC5287" w:rsidRPr="002E707A" w14:paraId="10B11973" w14:textId="77777777" w:rsidTr="00A1791E">
        <w:trPr>
          <w:trHeight w:val="20"/>
          <w:jc w:val="center"/>
        </w:trPr>
        <w:tc>
          <w:tcPr>
            <w:tcW w:w="1168" w:type="pct"/>
            <w:vMerge w:val="restart"/>
            <w:tcBorders>
              <w:top w:val="nil"/>
              <w:left w:val="nil"/>
              <w:right w:val="nil"/>
            </w:tcBorders>
            <w:shd w:val="clear" w:color="auto" w:fill="auto"/>
            <w:vAlign w:val="center"/>
          </w:tcPr>
          <w:p w14:paraId="6ADD95F6" w14:textId="77777777" w:rsidR="00AC5287" w:rsidRPr="002E707A" w:rsidRDefault="00AC5287" w:rsidP="00A1791E">
            <w:pPr>
              <w:rPr>
                <w:b/>
                <w:sz w:val="20"/>
                <w:szCs w:val="20"/>
                <w:highlight w:val="yellow"/>
                <w:lang w:val="pt-BR"/>
              </w:rPr>
            </w:pPr>
            <w:r w:rsidRPr="002E707A">
              <w:rPr>
                <w:b/>
                <w:sz w:val="20"/>
                <w:szCs w:val="20"/>
                <w:lang w:val="pt-BR"/>
              </w:rPr>
              <w:t>Faixa Etária*</w:t>
            </w:r>
          </w:p>
        </w:tc>
        <w:tc>
          <w:tcPr>
            <w:tcW w:w="2237" w:type="pct"/>
            <w:tcBorders>
              <w:top w:val="nil"/>
              <w:left w:val="nil"/>
              <w:bottom w:val="nil"/>
              <w:right w:val="nil"/>
            </w:tcBorders>
            <w:shd w:val="clear" w:color="auto" w:fill="auto"/>
          </w:tcPr>
          <w:p w14:paraId="51CEE8C4" w14:textId="77777777" w:rsidR="00AC5287" w:rsidRPr="002E707A" w:rsidRDefault="00AC5287" w:rsidP="00A1791E">
            <w:pPr>
              <w:rPr>
                <w:sz w:val="20"/>
                <w:szCs w:val="20"/>
                <w:lang w:val="pt-BR"/>
              </w:rPr>
            </w:pPr>
            <w:r w:rsidRPr="002E707A">
              <w:rPr>
                <w:sz w:val="20"/>
                <w:szCs w:val="20"/>
                <w:lang w:val="pt-BR"/>
              </w:rPr>
              <w:t>18-25 anos</w:t>
            </w:r>
          </w:p>
        </w:tc>
        <w:tc>
          <w:tcPr>
            <w:tcW w:w="798" w:type="pct"/>
            <w:tcBorders>
              <w:top w:val="nil"/>
              <w:left w:val="nil"/>
              <w:bottom w:val="nil"/>
              <w:right w:val="nil"/>
            </w:tcBorders>
            <w:shd w:val="clear" w:color="auto" w:fill="auto"/>
          </w:tcPr>
          <w:p w14:paraId="09C47E59" w14:textId="77777777" w:rsidR="00AC5287" w:rsidRPr="002E707A" w:rsidRDefault="00AC5287" w:rsidP="00A1791E">
            <w:pPr>
              <w:jc w:val="center"/>
              <w:rPr>
                <w:sz w:val="20"/>
                <w:szCs w:val="20"/>
                <w:lang w:val="pt-BR"/>
              </w:rPr>
            </w:pPr>
            <w:r w:rsidRPr="002E707A">
              <w:rPr>
                <w:sz w:val="20"/>
                <w:szCs w:val="20"/>
                <w:lang w:val="pt-BR"/>
              </w:rPr>
              <w:t>108</w:t>
            </w:r>
          </w:p>
        </w:tc>
        <w:tc>
          <w:tcPr>
            <w:tcW w:w="797" w:type="pct"/>
            <w:tcBorders>
              <w:top w:val="nil"/>
              <w:left w:val="nil"/>
              <w:bottom w:val="nil"/>
              <w:right w:val="nil"/>
            </w:tcBorders>
            <w:shd w:val="clear" w:color="auto" w:fill="auto"/>
          </w:tcPr>
          <w:p w14:paraId="522FD953" w14:textId="77777777" w:rsidR="00AC5287" w:rsidRPr="002E707A" w:rsidRDefault="00AC5287" w:rsidP="00A1791E">
            <w:pPr>
              <w:jc w:val="center"/>
              <w:rPr>
                <w:sz w:val="20"/>
                <w:szCs w:val="20"/>
                <w:lang w:val="pt-BR"/>
              </w:rPr>
            </w:pPr>
            <w:r w:rsidRPr="002E707A">
              <w:rPr>
                <w:sz w:val="20"/>
                <w:szCs w:val="20"/>
                <w:lang w:val="pt-BR"/>
              </w:rPr>
              <w:t>28,6</w:t>
            </w:r>
          </w:p>
        </w:tc>
      </w:tr>
      <w:tr w:rsidR="00AC5287" w:rsidRPr="002E707A" w14:paraId="737340F7" w14:textId="77777777" w:rsidTr="00A1791E">
        <w:trPr>
          <w:trHeight w:val="20"/>
          <w:jc w:val="center"/>
        </w:trPr>
        <w:tc>
          <w:tcPr>
            <w:tcW w:w="1168" w:type="pct"/>
            <w:vMerge/>
            <w:tcBorders>
              <w:left w:val="nil"/>
              <w:right w:val="nil"/>
            </w:tcBorders>
            <w:shd w:val="clear" w:color="auto" w:fill="auto"/>
            <w:vAlign w:val="center"/>
          </w:tcPr>
          <w:p w14:paraId="752A1183" w14:textId="77777777" w:rsidR="00AC5287" w:rsidRPr="002E707A" w:rsidRDefault="00AC5287" w:rsidP="00A1791E">
            <w:pPr>
              <w:rPr>
                <w:b/>
                <w:sz w:val="20"/>
                <w:szCs w:val="20"/>
                <w:lang w:val="pt-BR"/>
              </w:rPr>
            </w:pPr>
          </w:p>
        </w:tc>
        <w:tc>
          <w:tcPr>
            <w:tcW w:w="2237" w:type="pct"/>
            <w:tcBorders>
              <w:top w:val="nil"/>
              <w:left w:val="nil"/>
              <w:bottom w:val="nil"/>
              <w:right w:val="nil"/>
            </w:tcBorders>
            <w:shd w:val="clear" w:color="auto" w:fill="auto"/>
          </w:tcPr>
          <w:p w14:paraId="69EECC64" w14:textId="77777777" w:rsidR="00AC5287" w:rsidRPr="002E707A" w:rsidRDefault="00AC5287" w:rsidP="00A1791E">
            <w:pPr>
              <w:rPr>
                <w:sz w:val="20"/>
                <w:szCs w:val="20"/>
                <w:lang w:val="pt-BR"/>
              </w:rPr>
            </w:pPr>
            <w:r w:rsidRPr="002E707A">
              <w:rPr>
                <w:sz w:val="20"/>
                <w:szCs w:val="20"/>
                <w:lang w:val="pt-BR"/>
              </w:rPr>
              <w:t>26-30 anos</w:t>
            </w:r>
          </w:p>
        </w:tc>
        <w:tc>
          <w:tcPr>
            <w:tcW w:w="798" w:type="pct"/>
            <w:tcBorders>
              <w:top w:val="nil"/>
              <w:left w:val="nil"/>
              <w:bottom w:val="nil"/>
              <w:right w:val="nil"/>
            </w:tcBorders>
            <w:shd w:val="clear" w:color="auto" w:fill="auto"/>
          </w:tcPr>
          <w:p w14:paraId="092417A3" w14:textId="77777777" w:rsidR="00AC5287" w:rsidRPr="002E707A" w:rsidRDefault="00AC5287" w:rsidP="00A1791E">
            <w:pPr>
              <w:jc w:val="center"/>
              <w:rPr>
                <w:sz w:val="20"/>
                <w:szCs w:val="20"/>
                <w:lang w:val="pt-BR"/>
              </w:rPr>
            </w:pPr>
            <w:r w:rsidRPr="002E707A">
              <w:rPr>
                <w:sz w:val="20"/>
                <w:szCs w:val="20"/>
                <w:lang w:val="pt-BR"/>
              </w:rPr>
              <w:t>81</w:t>
            </w:r>
          </w:p>
        </w:tc>
        <w:tc>
          <w:tcPr>
            <w:tcW w:w="797" w:type="pct"/>
            <w:tcBorders>
              <w:top w:val="nil"/>
              <w:left w:val="nil"/>
              <w:bottom w:val="nil"/>
              <w:right w:val="nil"/>
            </w:tcBorders>
            <w:shd w:val="clear" w:color="auto" w:fill="auto"/>
          </w:tcPr>
          <w:p w14:paraId="48AB6CA1" w14:textId="77777777" w:rsidR="00AC5287" w:rsidRPr="002E707A" w:rsidRDefault="00AC5287" w:rsidP="00A1791E">
            <w:pPr>
              <w:jc w:val="center"/>
              <w:rPr>
                <w:sz w:val="20"/>
                <w:szCs w:val="20"/>
                <w:lang w:val="pt-BR"/>
              </w:rPr>
            </w:pPr>
            <w:r w:rsidRPr="002E707A">
              <w:rPr>
                <w:sz w:val="20"/>
                <w:szCs w:val="20"/>
                <w:lang w:val="pt-BR"/>
              </w:rPr>
              <w:t>21,5</w:t>
            </w:r>
          </w:p>
        </w:tc>
      </w:tr>
      <w:tr w:rsidR="00AC5287" w:rsidRPr="002E707A" w14:paraId="44BC0D7C" w14:textId="77777777" w:rsidTr="00A1791E">
        <w:trPr>
          <w:trHeight w:val="20"/>
          <w:jc w:val="center"/>
        </w:trPr>
        <w:tc>
          <w:tcPr>
            <w:tcW w:w="1168" w:type="pct"/>
            <w:vMerge/>
            <w:tcBorders>
              <w:left w:val="nil"/>
              <w:right w:val="nil"/>
            </w:tcBorders>
            <w:shd w:val="clear" w:color="auto" w:fill="auto"/>
            <w:vAlign w:val="center"/>
          </w:tcPr>
          <w:p w14:paraId="279033D3" w14:textId="77777777" w:rsidR="00AC5287" w:rsidRPr="002E707A" w:rsidRDefault="00AC5287" w:rsidP="00A1791E">
            <w:pPr>
              <w:rPr>
                <w:b/>
                <w:sz w:val="20"/>
                <w:szCs w:val="20"/>
                <w:lang w:val="pt-BR"/>
              </w:rPr>
            </w:pPr>
          </w:p>
        </w:tc>
        <w:tc>
          <w:tcPr>
            <w:tcW w:w="2237" w:type="pct"/>
            <w:tcBorders>
              <w:top w:val="nil"/>
              <w:left w:val="nil"/>
              <w:bottom w:val="nil"/>
              <w:right w:val="nil"/>
            </w:tcBorders>
            <w:shd w:val="clear" w:color="auto" w:fill="auto"/>
          </w:tcPr>
          <w:p w14:paraId="6220F54D" w14:textId="77777777" w:rsidR="00AC5287" w:rsidRPr="002E707A" w:rsidRDefault="00AC5287" w:rsidP="00A1791E">
            <w:pPr>
              <w:rPr>
                <w:sz w:val="20"/>
                <w:szCs w:val="20"/>
                <w:lang w:val="pt-BR"/>
              </w:rPr>
            </w:pPr>
            <w:r w:rsidRPr="002E707A">
              <w:rPr>
                <w:sz w:val="20"/>
                <w:szCs w:val="20"/>
                <w:lang w:val="pt-BR"/>
              </w:rPr>
              <w:t>31-41 anos</w:t>
            </w:r>
          </w:p>
        </w:tc>
        <w:tc>
          <w:tcPr>
            <w:tcW w:w="798" w:type="pct"/>
            <w:tcBorders>
              <w:top w:val="nil"/>
              <w:left w:val="nil"/>
              <w:bottom w:val="nil"/>
              <w:right w:val="nil"/>
            </w:tcBorders>
            <w:shd w:val="clear" w:color="auto" w:fill="auto"/>
          </w:tcPr>
          <w:p w14:paraId="256F6809" w14:textId="77777777" w:rsidR="00AC5287" w:rsidRPr="002E707A" w:rsidRDefault="00AC5287" w:rsidP="00A1791E">
            <w:pPr>
              <w:jc w:val="center"/>
              <w:rPr>
                <w:sz w:val="20"/>
                <w:szCs w:val="20"/>
                <w:lang w:val="pt-BR"/>
              </w:rPr>
            </w:pPr>
            <w:r w:rsidRPr="002E707A">
              <w:rPr>
                <w:sz w:val="20"/>
                <w:szCs w:val="20"/>
                <w:lang w:val="pt-BR"/>
              </w:rPr>
              <w:t>103</w:t>
            </w:r>
          </w:p>
        </w:tc>
        <w:tc>
          <w:tcPr>
            <w:tcW w:w="797" w:type="pct"/>
            <w:tcBorders>
              <w:top w:val="nil"/>
              <w:left w:val="nil"/>
              <w:bottom w:val="nil"/>
              <w:right w:val="nil"/>
            </w:tcBorders>
            <w:shd w:val="clear" w:color="auto" w:fill="auto"/>
          </w:tcPr>
          <w:p w14:paraId="3DF6EBAC" w14:textId="77777777" w:rsidR="00AC5287" w:rsidRPr="002E707A" w:rsidRDefault="00AC5287" w:rsidP="00A1791E">
            <w:pPr>
              <w:jc w:val="center"/>
              <w:rPr>
                <w:sz w:val="20"/>
                <w:szCs w:val="20"/>
                <w:lang w:val="pt-BR"/>
              </w:rPr>
            </w:pPr>
            <w:r w:rsidRPr="002E707A">
              <w:rPr>
                <w:sz w:val="20"/>
                <w:szCs w:val="20"/>
                <w:lang w:val="pt-BR"/>
              </w:rPr>
              <w:t>27,3</w:t>
            </w:r>
          </w:p>
        </w:tc>
      </w:tr>
      <w:tr w:rsidR="00AC5287" w:rsidRPr="002E707A" w14:paraId="7C5E81F1" w14:textId="77777777" w:rsidTr="00A1791E">
        <w:trPr>
          <w:trHeight w:val="20"/>
          <w:jc w:val="center"/>
        </w:trPr>
        <w:tc>
          <w:tcPr>
            <w:tcW w:w="1168" w:type="pct"/>
            <w:vMerge/>
            <w:tcBorders>
              <w:left w:val="nil"/>
              <w:bottom w:val="nil"/>
              <w:right w:val="nil"/>
            </w:tcBorders>
            <w:shd w:val="clear" w:color="auto" w:fill="auto"/>
            <w:vAlign w:val="center"/>
          </w:tcPr>
          <w:p w14:paraId="7D5E2C61" w14:textId="77777777" w:rsidR="00AC5287" w:rsidRPr="002E707A" w:rsidRDefault="00AC5287" w:rsidP="00A1791E">
            <w:pPr>
              <w:rPr>
                <w:b/>
                <w:sz w:val="20"/>
                <w:szCs w:val="20"/>
                <w:lang w:val="pt-BR"/>
              </w:rPr>
            </w:pPr>
          </w:p>
        </w:tc>
        <w:tc>
          <w:tcPr>
            <w:tcW w:w="2237" w:type="pct"/>
            <w:tcBorders>
              <w:top w:val="nil"/>
              <w:left w:val="nil"/>
              <w:bottom w:val="nil"/>
              <w:right w:val="nil"/>
            </w:tcBorders>
            <w:shd w:val="clear" w:color="auto" w:fill="auto"/>
          </w:tcPr>
          <w:p w14:paraId="20D97961" w14:textId="77777777" w:rsidR="00AC5287" w:rsidRPr="002E707A" w:rsidRDefault="00AC5287" w:rsidP="00A1791E">
            <w:pPr>
              <w:rPr>
                <w:sz w:val="20"/>
                <w:szCs w:val="20"/>
                <w:lang w:val="pt-BR"/>
              </w:rPr>
            </w:pPr>
            <w:r w:rsidRPr="002E707A">
              <w:rPr>
                <w:sz w:val="20"/>
                <w:szCs w:val="20"/>
                <w:lang w:val="pt-BR"/>
              </w:rPr>
              <w:t>42-63 anos</w:t>
            </w:r>
          </w:p>
        </w:tc>
        <w:tc>
          <w:tcPr>
            <w:tcW w:w="798" w:type="pct"/>
            <w:tcBorders>
              <w:top w:val="nil"/>
              <w:left w:val="nil"/>
              <w:bottom w:val="nil"/>
              <w:right w:val="nil"/>
            </w:tcBorders>
            <w:shd w:val="clear" w:color="auto" w:fill="auto"/>
          </w:tcPr>
          <w:p w14:paraId="521246B1" w14:textId="77777777" w:rsidR="00AC5287" w:rsidRPr="002E707A" w:rsidRDefault="00AC5287" w:rsidP="00A1791E">
            <w:pPr>
              <w:jc w:val="center"/>
              <w:rPr>
                <w:sz w:val="20"/>
                <w:szCs w:val="20"/>
                <w:lang w:val="pt-BR"/>
              </w:rPr>
            </w:pPr>
            <w:r w:rsidRPr="002E707A">
              <w:rPr>
                <w:sz w:val="20"/>
                <w:szCs w:val="20"/>
                <w:lang w:val="pt-BR"/>
              </w:rPr>
              <w:t>85</w:t>
            </w:r>
          </w:p>
        </w:tc>
        <w:tc>
          <w:tcPr>
            <w:tcW w:w="797" w:type="pct"/>
            <w:tcBorders>
              <w:top w:val="nil"/>
              <w:left w:val="nil"/>
              <w:bottom w:val="nil"/>
              <w:right w:val="nil"/>
            </w:tcBorders>
            <w:shd w:val="clear" w:color="auto" w:fill="auto"/>
          </w:tcPr>
          <w:p w14:paraId="222EE6F1" w14:textId="77777777" w:rsidR="00AC5287" w:rsidRPr="002E707A" w:rsidRDefault="00AC5287" w:rsidP="00A1791E">
            <w:pPr>
              <w:jc w:val="center"/>
              <w:rPr>
                <w:sz w:val="20"/>
                <w:szCs w:val="20"/>
                <w:lang w:val="pt-BR"/>
              </w:rPr>
            </w:pPr>
            <w:r w:rsidRPr="002E707A">
              <w:rPr>
                <w:sz w:val="20"/>
                <w:szCs w:val="20"/>
                <w:lang w:val="pt-BR"/>
              </w:rPr>
              <w:t>22,5</w:t>
            </w:r>
          </w:p>
        </w:tc>
      </w:tr>
      <w:tr w:rsidR="00AC5287" w:rsidRPr="002E707A" w14:paraId="76709CA0" w14:textId="77777777" w:rsidTr="00A1791E">
        <w:trPr>
          <w:trHeight w:val="20"/>
          <w:jc w:val="center"/>
        </w:trPr>
        <w:tc>
          <w:tcPr>
            <w:tcW w:w="1168" w:type="pct"/>
            <w:vMerge w:val="restart"/>
            <w:tcBorders>
              <w:top w:val="nil"/>
              <w:left w:val="nil"/>
              <w:right w:val="nil"/>
            </w:tcBorders>
            <w:shd w:val="clear" w:color="auto" w:fill="auto"/>
            <w:vAlign w:val="center"/>
          </w:tcPr>
          <w:p w14:paraId="50ABE4F3" w14:textId="77777777" w:rsidR="00AC5287" w:rsidRPr="002E707A" w:rsidRDefault="00AC5287" w:rsidP="00A1791E">
            <w:pPr>
              <w:rPr>
                <w:b/>
                <w:sz w:val="20"/>
                <w:szCs w:val="20"/>
                <w:lang w:val="pt-BR"/>
              </w:rPr>
            </w:pPr>
            <w:r w:rsidRPr="002E707A">
              <w:rPr>
                <w:b/>
                <w:sz w:val="20"/>
                <w:szCs w:val="20"/>
                <w:lang w:val="pt-BR"/>
              </w:rPr>
              <w:t>Etnia</w:t>
            </w:r>
          </w:p>
        </w:tc>
        <w:tc>
          <w:tcPr>
            <w:tcW w:w="2237" w:type="pct"/>
            <w:tcBorders>
              <w:top w:val="nil"/>
              <w:left w:val="nil"/>
              <w:bottom w:val="nil"/>
              <w:right w:val="nil"/>
            </w:tcBorders>
            <w:shd w:val="clear" w:color="auto" w:fill="auto"/>
          </w:tcPr>
          <w:p w14:paraId="6D7B156B" w14:textId="77777777" w:rsidR="00AC5287" w:rsidRPr="002E707A" w:rsidRDefault="00AC5287" w:rsidP="00A1791E">
            <w:pPr>
              <w:rPr>
                <w:sz w:val="20"/>
                <w:szCs w:val="20"/>
                <w:lang w:val="pt-BR"/>
              </w:rPr>
            </w:pPr>
            <w:r w:rsidRPr="002E707A">
              <w:rPr>
                <w:sz w:val="20"/>
                <w:szCs w:val="20"/>
                <w:lang w:val="pt-BR"/>
              </w:rPr>
              <w:t>Brancos(as)</w:t>
            </w:r>
          </w:p>
        </w:tc>
        <w:tc>
          <w:tcPr>
            <w:tcW w:w="798" w:type="pct"/>
            <w:tcBorders>
              <w:top w:val="nil"/>
              <w:left w:val="nil"/>
              <w:bottom w:val="nil"/>
              <w:right w:val="nil"/>
            </w:tcBorders>
            <w:shd w:val="clear" w:color="auto" w:fill="auto"/>
          </w:tcPr>
          <w:p w14:paraId="25F18D3A" w14:textId="77777777" w:rsidR="00AC5287" w:rsidRPr="002E707A" w:rsidRDefault="00AC5287" w:rsidP="00A1791E">
            <w:pPr>
              <w:jc w:val="center"/>
              <w:rPr>
                <w:sz w:val="20"/>
                <w:szCs w:val="20"/>
                <w:lang w:val="pt-BR"/>
              </w:rPr>
            </w:pPr>
            <w:r w:rsidRPr="002E707A">
              <w:rPr>
                <w:sz w:val="20"/>
                <w:szCs w:val="20"/>
                <w:lang w:val="pt-BR"/>
              </w:rPr>
              <w:t>256</w:t>
            </w:r>
          </w:p>
        </w:tc>
        <w:tc>
          <w:tcPr>
            <w:tcW w:w="797" w:type="pct"/>
            <w:tcBorders>
              <w:top w:val="nil"/>
              <w:left w:val="nil"/>
              <w:bottom w:val="nil"/>
              <w:right w:val="nil"/>
            </w:tcBorders>
            <w:shd w:val="clear" w:color="auto" w:fill="auto"/>
          </w:tcPr>
          <w:p w14:paraId="3EC3BE84" w14:textId="77777777" w:rsidR="00AC5287" w:rsidRPr="002E707A" w:rsidRDefault="00AC5287" w:rsidP="00A1791E">
            <w:pPr>
              <w:jc w:val="center"/>
              <w:rPr>
                <w:sz w:val="20"/>
                <w:szCs w:val="20"/>
                <w:lang w:val="pt-BR"/>
              </w:rPr>
            </w:pPr>
            <w:r w:rsidRPr="002E707A">
              <w:rPr>
                <w:sz w:val="20"/>
                <w:szCs w:val="20"/>
                <w:lang w:val="pt-BR"/>
              </w:rPr>
              <w:t>66,8</w:t>
            </w:r>
          </w:p>
        </w:tc>
      </w:tr>
      <w:tr w:rsidR="00AC5287" w:rsidRPr="002E707A" w14:paraId="35A1BF15" w14:textId="77777777" w:rsidTr="00A1791E">
        <w:trPr>
          <w:trHeight w:val="20"/>
          <w:jc w:val="center"/>
        </w:trPr>
        <w:tc>
          <w:tcPr>
            <w:tcW w:w="1168" w:type="pct"/>
            <w:vMerge/>
            <w:tcBorders>
              <w:left w:val="nil"/>
              <w:right w:val="nil"/>
            </w:tcBorders>
            <w:shd w:val="clear" w:color="auto" w:fill="auto"/>
            <w:vAlign w:val="center"/>
          </w:tcPr>
          <w:p w14:paraId="59359BB0" w14:textId="77777777" w:rsidR="00AC5287" w:rsidRPr="002E707A" w:rsidRDefault="00AC5287" w:rsidP="00A1791E">
            <w:pPr>
              <w:rPr>
                <w:b/>
                <w:sz w:val="20"/>
                <w:szCs w:val="20"/>
                <w:lang w:val="pt-BR"/>
              </w:rPr>
            </w:pPr>
          </w:p>
        </w:tc>
        <w:tc>
          <w:tcPr>
            <w:tcW w:w="2237" w:type="pct"/>
            <w:tcBorders>
              <w:top w:val="nil"/>
              <w:left w:val="nil"/>
              <w:bottom w:val="nil"/>
              <w:right w:val="nil"/>
            </w:tcBorders>
            <w:shd w:val="clear" w:color="auto" w:fill="auto"/>
          </w:tcPr>
          <w:p w14:paraId="78A288A0" w14:textId="77777777" w:rsidR="00AC5287" w:rsidRPr="002E707A" w:rsidRDefault="00AC5287" w:rsidP="00A1791E">
            <w:pPr>
              <w:rPr>
                <w:sz w:val="20"/>
                <w:szCs w:val="20"/>
                <w:lang w:val="pt-BR"/>
              </w:rPr>
            </w:pPr>
            <w:r w:rsidRPr="002E707A">
              <w:rPr>
                <w:sz w:val="20"/>
                <w:szCs w:val="20"/>
                <w:lang w:val="pt-BR"/>
              </w:rPr>
              <w:t>Pardos(as)</w:t>
            </w:r>
          </w:p>
        </w:tc>
        <w:tc>
          <w:tcPr>
            <w:tcW w:w="798" w:type="pct"/>
            <w:tcBorders>
              <w:top w:val="nil"/>
              <w:left w:val="nil"/>
              <w:bottom w:val="nil"/>
              <w:right w:val="nil"/>
            </w:tcBorders>
            <w:shd w:val="clear" w:color="auto" w:fill="auto"/>
          </w:tcPr>
          <w:p w14:paraId="0E604C3A" w14:textId="77777777" w:rsidR="00AC5287" w:rsidRPr="002E707A" w:rsidRDefault="00AC5287" w:rsidP="00A1791E">
            <w:pPr>
              <w:jc w:val="center"/>
              <w:rPr>
                <w:sz w:val="20"/>
                <w:szCs w:val="20"/>
                <w:lang w:val="pt-BR"/>
              </w:rPr>
            </w:pPr>
            <w:r w:rsidRPr="002E707A">
              <w:rPr>
                <w:sz w:val="20"/>
                <w:szCs w:val="20"/>
                <w:lang w:val="pt-BR"/>
              </w:rPr>
              <w:t>98</w:t>
            </w:r>
          </w:p>
        </w:tc>
        <w:tc>
          <w:tcPr>
            <w:tcW w:w="797" w:type="pct"/>
            <w:tcBorders>
              <w:top w:val="nil"/>
              <w:left w:val="nil"/>
              <w:bottom w:val="nil"/>
              <w:right w:val="nil"/>
            </w:tcBorders>
            <w:shd w:val="clear" w:color="auto" w:fill="auto"/>
          </w:tcPr>
          <w:p w14:paraId="1F590857" w14:textId="77777777" w:rsidR="00AC5287" w:rsidRPr="002E707A" w:rsidRDefault="00AC5287" w:rsidP="00A1791E">
            <w:pPr>
              <w:jc w:val="center"/>
              <w:rPr>
                <w:sz w:val="20"/>
                <w:szCs w:val="20"/>
                <w:lang w:val="pt-BR"/>
              </w:rPr>
            </w:pPr>
            <w:r w:rsidRPr="002E707A">
              <w:rPr>
                <w:sz w:val="20"/>
                <w:szCs w:val="20"/>
                <w:lang w:val="pt-BR"/>
              </w:rPr>
              <w:t>25,6</w:t>
            </w:r>
          </w:p>
        </w:tc>
      </w:tr>
      <w:tr w:rsidR="00AC5287" w:rsidRPr="002E707A" w14:paraId="651FE5FB" w14:textId="77777777" w:rsidTr="00A1791E">
        <w:trPr>
          <w:trHeight w:val="20"/>
          <w:jc w:val="center"/>
        </w:trPr>
        <w:tc>
          <w:tcPr>
            <w:tcW w:w="1168" w:type="pct"/>
            <w:vMerge/>
            <w:tcBorders>
              <w:left w:val="nil"/>
              <w:bottom w:val="nil"/>
              <w:right w:val="nil"/>
            </w:tcBorders>
            <w:shd w:val="clear" w:color="auto" w:fill="auto"/>
            <w:vAlign w:val="center"/>
          </w:tcPr>
          <w:p w14:paraId="192C5B6D" w14:textId="77777777" w:rsidR="00AC5287" w:rsidRPr="002E707A" w:rsidRDefault="00AC5287" w:rsidP="00A1791E">
            <w:pPr>
              <w:rPr>
                <w:b/>
                <w:sz w:val="20"/>
                <w:szCs w:val="20"/>
                <w:lang w:val="pt-BR"/>
              </w:rPr>
            </w:pPr>
          </w:p>
        </w:tc>
        <w:tc>
          <w:tcPr>
            <w:tcW w:w="2237" w:type="pct"/>
            <w:tcBorders>
              <w:top w:val="nil"/>
              <w:left w:val="nil"/>
              <w:bottom w:val="nil"/>
              <w:right w:val="nil"/>
            </w:tcBorders>
            <w:shd w:val="clear" w:color="auto" w:fill="auto"/>
          </w:tcPr>
          <w:p w14:paraId="55BC336C" w14:textId="77777777" w:rsidR="00AC5287" w:rsidRPr="002E707A" w:rsidRDefault="00AC5287" w:rsidP="00A1791E">
            <w:pPr>
              <w:rPr>
                <w:sz w:val="20"/>
                <w:szCs w:val="20"/>
                <w:lang w:val="pt-BR"/>
              </w:rPr>
            </w:pPr>
            <w:r w:rsidRPr="002E707A">
              <w:rPr>
                <w:sz w:val="20"/>
                <w:szCs w:val="20"/>
                <w:lang w:val="pt-BR"/>
              </w:rPr>
              <w:t>Pretos(as)</w:t>
            </w:r>
          </w:p>
        </w:tc>
        <w:tc>
          <w:tcPr>
            <w:tcW w:w="798" w:type="pct"/>
            <w:tcBorders>
              <w:top w:val="nil"/>
              <w:left w:val="nil"/>
              <w:bottom w:val="nil"/>
              <w:right w:val="nil"/>
            </w:tcBorders>
            <w:shd w:val="clear" w:color="auto" w:fill="auto"/>
          </w:tcPr>
          <w:p w14:paraId="300D935F" w14:textId="77777777" w:rsidR="00AC5287" w:rsidRPr="002E707A" w:rsidRDefault="00AC5287" w:rsidP="00A1791E">
            <w:pPr>
              <w:jc w:val="center"/>
              <w:rPr>
                <w:sz w:val="20"/>
                <w:szCs w:val="20"/>
                <w:lang w:val="pt-BR"/>
              </w:rPr>
            </w:pPr>
            <w:r w:rsidRPr="002E707A">
              <w:rPr>
                <w:sz w:val="20"/>
                <w:szCs w:val="20"/>
                <w:lang w:val="pt-BR"/>
              </w:rPr>
              <w:t>29</w:t>
            </w:r>
          </w:p>
        </w:tc>
        <w:tc>
          <w:tcPr>
            <w:tcW w:w="797" w:type="pct"/>
            <w:tcBorders>
              <w:top w:val="nil"/>
              <w:left w:val="nil"/>
              <w:bottom w:val="nil"/>
              <w:right w:val="nil"/>
            </w:tcBorders>
            <w:shd w:val="clear" w:color="auto" w:fill="auto"/>
          </w:tcPr>
          <w:p w14:paraId="13DB74E3" w14:textId="77777777" w:rsidR="00AC5287" w:rsidRPr="002E707A" w:rsidRDefault="00AC5287" w:rsidP="00A1791E">
            <w:pPr>
              <w:jc w:val="center"/>
              <w:rPr>
                <w:sz w:val="20"/>
                <w:szCs w:val="20"/>
                <w:lang w:val="pt-BR"/>
              </w:rPr>
            </w:pPr>
            <w:r w:rsidRPr="002E707A">
              <w:rPr>
                <w:sz w:val="20"/>
                <w:szCs w:val="20"/>
                <w:lang w:val="pt-BR"/>
              </w:rPr>
              <w:t>7,6</w:t>
            </w:r>
          </w:p>
        </w:tc>
      </w:tr>
      <w:tr w:rsidR="00AC5287" w:rsidRPr="002E707A" w14:paraId="75B49494" w14:textId="77777777" w:rsidTr="00A1791E">
        <w:trPr>
          <w:trHeight w:val="20"/>
          <w:jc w:val="center"/>
        </w:trPr>
        <w:tc>
          <w:tcPr>
            <w:tcW w:w="1168" w:type="pct"/>
            <w:vMerge w:val="restart"/>
            <w:tcBorders>
              <w:top w:val="nil"/>
              <w:left w:val="nil"/>
              <w:right w:val="nil"/>
            </w:tcBorders>
            <w:shd w:val="clear" w:color="auto" w:fill="auto"/>
            <w:vAlign w:val="center"/>
          </w:tcPr>
          <w:p w14:paraId="13C6ACE5" w14:textId="77777777" w:rsidR="00AC5287" w:rsidRPr="002E707A" w:rsidRDefault="00AC5287" w:rsidP="00A1791E">
            <w:pPr>
              <w:rPr>
                <w:b/>
                <w:sz w:val="20"/>
                <w:szCs w:val="20"/>
                <w:lang w:val="pt-BR"/>
              </w:rPr>
            </w:pPr>
            <w:r w:rsidRPr="002E707A">
              <w:rPr>
                <w:b/>
                <w:sz w:val="20"/>
                <w:szCs w:val="20"/>
                <w:lang w:val="pt-BR"/>
              </w:rPr>
              <w:t>Escolaridade</w:t>
            </w:r>
          </w:p>
        </w:tc>
        <w:tc>
          <w:tcPr>
            <w:tcW w:w="2237" w:type="pct"/>
            <w:tcBorders>
              <w:top w:val="nil"/>
              <w:left w:val="nil"/>
              <w:bottom w:val="nil"/>
              <w:right w:val="nil"/>
            </w:tcBorders>
            <w:shd w:val="clear" w:color="auto" w:fill="auto"/>
          </w:tcPr>
          <w:p w14:paraId="47E39772" w14:textId="77777777" w:rsidR="00AC5287" w:rsidRPr="002E707A" w:rsidRDefault="00AC5287" w:rsidP="00A1791E">
            <w:pPr>
              <w:rPr>
                <w:sz w:val="20"/>
                <w:szCs w:val="20"/>
                <w:lang w:val="pt-BR"/>
              </w:rPr>
            </w:pPr>
            <w:r w:rsidRPr="002E707A">
              <w:rPr>
                <w:sz w:val="20"/>
                <w:szCs w:val="20"/>
                <w:lang w:val="pt-BR"/>
              </w:rPr>
              <w:t>Ensino Fundamental incompleto</w:t>
            </w:r>
          </w:p>
        </w:tc>
        <w:tc>
          <w:tcPr>
            <w:tcW w:w="798" w:type="pct"/>
            <w:tcBorders>
              <w:top w:val="nil"/>
              <w:left w:val="nil"/>
              <w:bottom w:val="nil"/>
              <w:right w:val="nil"/>
            </w:tcBorders>
            <w:shd w:val="clear" w:color="auto" w:fill="auto"/>
          </w:tcPr>
          <w:p w14:paraId="0135CA7B" w14:textId="77777777" w:rsidR="00AC5287" w:rsidRPr="002E707A" w:rsidRDefault="00AC5287" w:rsidP="00A1791E">
            <w:pPr>
              <w:jc w:val="center"/>
              <w:rPr>
                <w:sz w:val="20"/>
                <w:szCs w:val="20"/>
                <w:lang w:val="pt-BR"/>
              </w:rPr>
            </w:pPr>
            <w:r w:rsidRPr="002E707A">
              <w:rPr>
                <w:sz w:val="20"/>
                <w:szCs w:val="20"/>
                <w:lang w:val="pt-BR"/>
              </w:rPr>
              <w:t>0</w:t>
            </w:r>
          </w:p>
        </w:tc>
        <w:tc>
          <w:tcPr>
            <w:tcW w:w="797" w:type="pct"/>
            <w:tcBorders>
              <w:top w:val="nil"/>
              <w:left w:val="nil"/>
              <w:bottom w:val="nil"/>
              <w:right w:val="nil"/>
            </w:tcBorders>
            <w:shd w:val="clear" w:color="auto" w:fill="auto"/>
          </w:tcPr>
          <w:p w14:paraId="07A590E7" w14:textId="77777777" w:rsidR="00AC5287" w:rsidRPr="002E707A" w:rsidRDefault="00AC5287" w:rsidP="00A1791E">
            <w:pPr>
              <w:jc w:val="center"/>
              <w:rPr>
                <w:sz w:val="20"/>
                <w:szCs w:val="20"/>
                <w:lang w:val="pt-BR"/>
              </w:rPr>
            </w:pPr>
            <w:r w:rsidRPr="002E707A">
              <w:rPr>
                <w:sz w:val="20"/>
                <w:szCs w:val="20"/>
                <w:lang w:val="pt-BR"/>
              </w:rPr>
              <w:t>0</w:t>
            </w:r>
          </w:p>
        </w:tc>
      </w:tr>
      <w:tr w:rsidR="00AC5287" w:rsidRPr="002E707A" w14:paraId="35D67607" w14:textId="77777777" w:rsidTr="00A1791E">
        <w:trPr>
          <w:trHeight w:val="20"/>
          <w:jc w:val="center"/>
        </w:trPr>
        <w:tc>
          <w:tcPr>
            <w:tcW w:w="1168" w:type="pct"/>
            <w:vMerge/>
            <w:tcBorders>
              <w:left w:val="nil"/>
              <w:right w:val="nil"/>
            </w:tcBorders>
            <w:shd w:val="clear" w:color="auto" w:fill="auto"/>
            <w:vAlign w:val="center"/>
          </w:tcPr>
          <w:p w14:paraId="2BB4F2FB" w14:textId="77777777" w:rsidR="00AC5287" w:rsidRPr="002E707A" w:rsidRDefault="00AC5287" w:rsidP="00A1791E">
            <w:pPr>
              <w:rPr>
                <w:b/>
                <w:sz w:val="20"/>
                <w:szCs w:val="20"/>
                <w:lang w:val="pt-BR"/>
              </w:rPr>
            </w:pPr>
          </w:p>
        </w:tc>
        <w:tc>
          <w:tcPr>
            <w:tcW w:w="2237" w:type="pct"/>
            <w:tcBorders>
              <w:top w:val="nil"/>
              <w:left w:val="nil"/>
              <w:bottom w:val="nil"/>
              <w:right w:val="nil"/>
            </w:tcBorders>
            <w:shd w:val="clear" w:color="auto" w:fill="auto"/>
          </w:tcPr>
          <w:p w14:paraId="57DA5722" w14:textId="77777777" w:rsidR="00AC5287" w:rsidRPr="002E707A" w:rsidRDefault="00AC5287" w:rsidP="00A1791E">
            <w:pPr>
              <w:rPr>
                <w:sz w:val="20"/>
                <w:szCs w:val="20"/>
                <w:lang w:val="pt-BR"/>
              </w:rPr>
            </w:pPr>
            <w:r w:rsidRPr="002E707A">
              <w:rPr>
                <w:sz w:val="20"/>
                <w:szCs w:val="20"/>
                <w:lang w:val="pt-BR"/>
              </w:rPr>
              <w:t>Ensino Fundamental completo</w:t>
            </w:r>
          </w:p>
        </w:tc>
        <w:tc>
          <w:tcPr>
            <w:tcW w:w="798" w:type="pct"/>
            <w:tcBorders>
              <w:top w:val="nil"/>
              <w:left w:val="nil"/>
              <w:bottom w:val="nil"/>
              <w:right w:val="nil"/>
            </w:tcBorders>
            <w:shd w:val="clear" w:color="auto" w:fill="auto"/>
          </w:tcPr>
          <w:p w14:paraId="6E4D85EC" w14:textId="77777777" w:rsidR="00AC5287" w:rsidRPr="002E707A" w:rsidRDefault="00AC5287" w:rsidP="00A1791E">
            <w:pPr>
              <w:jc w:val="center"/>
              <w:rPr>
                <w:sz w:val="20"/>
                <w:szCs w:val="20"/>
                <w:lang w:val="pt-BR"/>
              </w:rPr>
            </w:pPr>
            <w:r w:rsidRPr="002E707A">
              <w:rPr>
                <w:sz w:val="20"/>
                <w:szCs w:val="20"/>
                <w:lang w:val="pt-BR"/>
              </w:rPr>
              <w:t>0</w:t>
            </w:r>
          </w:p>
        </w:tc>
        <w:tc>
          <w:tcPr>
            <w:tcW w:w="797" w:type="pct"/>
            <w:tcBorders>
              <w:top w:val="nil"/>
              <w:left w:val="nil"/>
              <w:bottom w:val="nil"/>
              <w:right w:val="nil"/>
            </w:tcBorders>
            <w:shd w:val="clear" w:color="auto" w:fill="auto"/>
          </w:tcPr>
          <w:p w14:paraId="2F178F05" w14:textId="77777777" w:rsidR="00AC5287" w:rsidRPr="002E707A" w:rsidRDefault="00AC5287" w:rsidP="00A1791E">
            <w:pPr>
              <w:jc w:val="center"/>
              <w:rPr>
                <w:sz w:val="20"/>
                <w:szCs w:val="20"/>
                <w:lang w:val="pt-BR"/>
              </w:rPr>
            </w:pPr>
            <w:r w:rsidRPr="002E707A">
              <w:rPr>
                <w:sz w:val="20"/>
                <w:szCs w:val="20"/>
                <w:lang w:val="pt-BR"/>
              </w:rPr>
              <w:t>0</w:t>
            </w:r>
          </w:p>
        </w:tc>
      </w:tr>
      <w:tr w:rsidR="00AC5287" w:rsidRPr="002E707A" w14:paraId="0C1B08D6" w14:textId="77777777" w:rsidTr="00A1791E">
        <w:trPr>
          <w:trHeight w:val="20"/>
          <w:jc w:val="center"/>
        </w:trPr>
        <w:tc>
          <w:tcPr>
            <w:tcW w:w="1168" w:type="pct"/>
            <w:vMerge/>
            <w:tcBorders>
              <w:left w:val="nil"/>
              <w:right w:val="nil"/>
            </w:tcBorders>
            <w:shd w:val="clear" w:color="auto" w:fill="auto"/>
            <w:vAlign w:val="center"/>
          </w:tcPr>
          <w:p w14:paraId="7F7AC1C2" w14:textId="77777777" w:rsidR="00AC5287" w:rsidRPr="002E707A" w:rsidRDefault="00AC5287" w:rsidP="00A1791E">
            <w:pPr>
              <w:rPr>
                <w:b/>
                <w:sz w:val="20"/>
                <w:szCs w:val="20"/>
                <w:lang w:val="pt-BR"/>
              </w:rPr>
            </w:pPr>
          </w:p>
        </w:tc>
        <w:tc>
          <w:tcPr>
            <w:tcW w:w="2237" w:type="pct"/>
            <w:tcBorders>
              <w:top w:val="nil"/>
              <w:left w:val="nil"/>
              <w:bottom w:val="nil"/>
              <w:right w:val="nil"/>
            </w:tcBorders>
            <w:shd w:val="clear" w:color="auto" w:fill="auto"/>
          </w:tcPr>
          <w:p w14:paraId="236819CD" w14:textId="77777777" w:rsidR="00AC5287" w:rsidRPr="002E707A" w:rsidRDefault="00AC5287" w:rsidP="00A1791E">
            <w:pPr>
              <w:rPr>
                <w:sz w:val="20"/>
                <w:szCs w:val="20"/>
                <w:lang w:val="pt-BR"/>
              </w:rPr>
            </w:pPr>
            <w:r w:rsidRPr="002E707A">
              <w:rPr>
                <w:sz w:val="20"/>
                <w:szCs w:val="20"/>
                <w:lang w:val="pt-BR"/>
              </w:rPr>
              <w:t>Ensino Médio incompleto</w:t>
            </w:r>
          </w:p>
        </w:tc>
        <w:tc>
          <w:tcPr>
            <w:tcW w:w="798" w:type="pct"/>
            <w:tcBorders>
              <w:top w:val="nil"/>
              <w:left w:val="nil"/>
              <w:bottom w:val="nil"/>
              <w:right w:val="nil"/>
            </w:tcBorders>
            <w:shd w:val="clear" w:color="auto" w:fill="auto"/>
          </w:tcPr>
          <w:p w14:paraId="6BB29DB8" w14:textId="77777777" w:rsidR="00AC5287" w:rsidRPr="002E707A" w:rsidRDefault="00AC5287" w:rsidP="00A1791E">
            <w:pPr>
              <w:jc w:val="center"/>
              <w:rPr>
                <w:sz w:val="20"/>
                <w:szCs w:val="20"/>
                <w:lang w:val="pt-BR"/>
              </w:rPr>
            </w:pPr>
            <w:r w:rsidRPr="002E707A">
              <w:rPr>
                <w:sz w:val="20"/>
                <w:szCs w:val="20"/>
                <w:lang w:val="pt-BR"/>
              </w:rPr>
              <w:t>2</w:t>
            </w:r>
          </w:p>
        </w:tc>
        <w:tc>
          <w:tcPr>
            <w:tcW w:w="797" w:type="pct"/>
            <w:tcBorders>
              <w:top w:val="nil"/>
              <w:left w:val="nil"/>
              <w:bottom w:val="nil"/>
              <w:right w:val="nil"/>
            </w:tcBorders>
            <w:shd w:val="clear" w:color="auto" w:fill="auto"/>
          </w:tcPr>
          <w:p w14:paraId="3E598A4A" w14:textId="77777777" w:rsidR="00AC5287" w:rsidRPr="002E707A" w:rsidRDefault="00AC5287" w:rsidP="00A1791E">
            <w:pPr>
              <w:jc w:val="center"/>
              <w:rPr>
                <w:sz w:val="20"/>
                <w:szCs w:val="20"/>
                <w:lang w:val="pt-BR"/>
              </w:rPr>
            </w:pPr>
            <w:r w:rsidRPr="002E707A">
              <w:rPr>
                <w:sz w:val="20"/>
                <w:szCs w:val="20"/>
                <w:lang w:val="pt-BR"/>
              </w:rPr>
              <w:t>0,5</w:t>
            </w:r>
          </w:p>
        </w:tc>
      </w:tr>
      <w:tr w:rsidR="00AC5287" w:rsidRPr="002E707A" w14:paraId="522FA6A0" w14:textId="77777777" w:rsidTr="00A1791E">
        <w:trPr>
          <w:trHeight w:val="20"/>
          <w:jc w:val="center"/>
        </w:trPr>
        <w:tc>
          <w:tcPr>
            <w:tcW w:w="1168" w:type="pct"/>
            <w:vMerge/>
            <w:tcBorders>
              <w:left w:val="nil"/>
              <w:right w:val="nil"/>
            </w:tcBorders>
            <w:shd w:val="clear" w:color="auto" w:fill="auto"/>
            <w:vAlign w:val="center"/>
          </w:tcPr>
          <w:p w14:paraId="042EA5F4" w14:textId="77777777" w:rsidR="00AC5287" w:rsidRPr="002E707A" w:rsidRDefault="00AC5287" w:rsidP="00A1791E">
            <w:pPr>
              <w:rPr>
                <w:b/>
                <w:sz w:val="20"/>
                <w:szCs w:val="20"/>
                <w:lang w:val="pt-BR"/>
              </w:rPr>
            </w:pPr>
          </w:p>
        </w:tc>
        <w:tc>
          <w:tcPr>
            <w:tcW w:w="2237" w:type="pct"/>
            <w:tcBorders>
              <w:top w:val="nil"/>
              <w:left w:val="nil"/>
              <w:bottom w:val="nil"/>
              <w:right w:val="nil"/>
            </w:tcBorders>
            <w:shd w:val="clear" w:color="auto" w:fill="auto"/>
          </w:tcPr>
          <w:p w14:paraId="0CA13B90" w14:textId="77777777" w:rsidR="00AC5287" w:rsidRPr="002E707A" w:rsidRDefault="00AC5287" w:rsidP="00A1791E">
            <w:pPr>
              <w:rPr>
                <w:sz w:val="20"/>
                <w:szCs w:val="20"/>
                <w:lang w:val="pt-BR"/>
              </w:rPr>
            </w:pPr>
            <w:r w:rsidRPr="002E707A">
              <w:rPr>
                <w:sz w:val="20"/>
                <w:szCs w:val="20"/>
                <w:lang w:val="pt-BR"/>
              </w:rPr>
              <w:t>Ensino Médio completo</w:t>
            </w:r>
          </w:p>
        </w:tc>
        <w:tc>
          <w:tcPr>
            <w:tcW w:w="798" w:type="pct"/>
            <w:tcBorders>
              <w:top w:val="nil"/>
              <w:left w:val="nil"/>
              <w:bottom w:val="nil"/>
              <w:right w:val="nil"/>
            </w:tcBorders>
            <w:shd w:val="clear" w:color="auto" w:fill="auto"/>
          </w:tcPr>
          <w:p w14:paraId="2076C673" w14:textId="77777777" w:rsidR="00AC5287" w:rsidRPr="002E707A" w:rsidRDefault="00AC5287" w:rsidP="00A1791E">
            <w:pPr>
              <w:jc w:val="center"/>
              <w:rPr>
                <w:sz w:val="20"/>
                <w:szCs w:val="20"/>
                <w:lang w:val="pt-BR"/>
              </w:rPr>
            </w:pPr>
            <w:r w:rsidRPr="002E707A">
              <w:rPr>
                <w:sz w:val="20"/>
                <w:szCs w:val="20"/>
                <w:lang w:val="pt-BR"/>
              </w:rPr>
              <w:t>24</w:t>
            </w:r>
          </w:p>
        </w:tc>
        <w:tc>
          <w:tcPr>
            <w:tcW w:w="797" w:type="pct"/>
            <w:tcBorders>
              <w:top w:val="nil"/>
              <w:left w:val="nil"/>
              <w:bottom w:val="nil"/>
              <w:right w:val="nil"/>
            </w:tcBorders>
            <w:shd w:val="clear" w:color="auto" w:fill="auto"/>
          </w:tcPr>
          <w:p w14:paraId="07A7FA08" w14:textId="77777777" w:rsidR="00AC5287" w:rsidRPr="002E707A" w:rsidRDefault="00AC5287" w:rsidP="00A1791E">
            <w:pPr>
              <w:jc w:val="center"/>
              <w:rPr>
                <w:sz w:val="20"/>
                <w:szCs w:val="20"/>
                <w:lang w:val="pt-BR"/>
              </w:rPr>
            </w:pPr>
            <w:r w:rsidRPr="002E707A">
              <w:rPr>
                <w:sz w:val="20"/>
                <w:szCs w:val="20"/>
                <w:lang w:val="pt-BR"/>
              </w:rPr>
              <w:t>6,3</w:t>
            </w:r>
          </w:p>
        </w:tc>
      </w:tr>
      <w:tr w:rsidR="00AC5287" w:rsidRPr="002E707A" w14:paraId="2CE48EC7" w14:textId="77777777" w:rsidTr="00A1791E">
        <w:trPr>
          <w:trHeight w:val="20"/>
          <w:jc w:val="center"/>
        </w:trPr>
        <w:tc>
          <w:tcPr>
            <w:tcW w:w="1168" w:type="pct"/>
            <w:vMerge/>
            <w:tcBorders>
              <w:left w:val="nil"/>
              <w:right w:val="nil"/>
            </w:tcBorders>
            <w:shd w:val="clear" w:color="auto" w:fill="auto"/>
            <w:vAlign w:val="center"/>
          </w:tcPr>
          <w:p w14:paraId="091817ED" w14:textId="77777777" w:rsidR="00AC5287" w:rsidRPr="002E707A" w:rsidRDefault="00AC5287" w:rsidP="00A1791E">
            <w:pPr>
              <w:rPr>
                <w:b/>
                <w:sz w:val="20"/>
                <w:szCs w:val="20"/>
                <w:lang w:val="pt-BR"/>
              </w:rPr>
            </w:pPr>
          </w:p>
        </w:tc>
        <w:tc>
          <w:tcPr>
            <w:tcW w:w="2237" w:type="pct"/>
            <w:tcBorders>
              <w:top w:val="nil"/>
              <w:left w:val="nil"/>
              <w:bottom w:val="nil"/>
              <w:right w:val="nil"/>
            </w:tcBorders>
            <w:shd w:val="clear" w:color="auto" w:fill="auto"/>
          </w:tcPr>
          <w:p w14:paraId="7C5AA3BB" w14:textId="77777777" w:rsidR="00AC5287" w:rsidRPr="002E707A" w:rsidRDefault="00AC5287" w:rsidP="00A1791E">
            <w:pPr>
              <w:rPr>
                <w:sz w:val="20"/>
                <w:szCs w:val="20"/>
                <w:lang w:val="pt-BR"/>
              </w:rPr>
            </w:pPr>
            <w:r w:rsidRPr="002E707A">
              <w:rPr>
                <w:sz w:val="20"/>
                <w:szCs w:val="20"/>
                <w:lang w:val="pt-BR"/>
              </w:rPr>
              <w:t>Ensino Superior incompleto</w:t>
            </w:r>
          </w:p>
        </w:tc>
        <w:tc>
          <w:tcPr>
            <w:tcW w:w="798" w:type="pct"/>
            <w:tcBorders>
              <w:top w:val="nil"/>
              <w:left w:val="nil"/>
              <w:bottom w:val="nil"/>
              <w:right w:val="nil"/>
            </w:tcBorders>
            <w:shd w:val="clear" w:color="auto" w:fill="auto"/>
          </w:tcPr>
          <w:p w14:paraId="3C482576" w14:textId="77777777" w:rsidR="00AC5287" w:rsidRPr="002E707A" w:rsidRDefault="00AC5287" w:rsidP="00A1791E">
            <w:pPr>
              <w:jc w:val="center"/>
              <w:rPr>
                <w:sz w:val="20"/>
                <w:szCs w:val="20"/>
                <w:lang w:val="pt-BR"/>
              </w:rPr>
            </w:pPr>
            <w:r w:rsidRPr="002E707A">
              <w:rPr>
                <w:sz w:val="20"/>
                <w:szCs w:val="20"/>
                <w:lang w:val="pt-BR"/>
              </w:rPr>
              <w:t>118</w:t>
            </w:r>
          </w:p>
        </w:tc>
        <w:tc>
          <w:tcPr>
            <w:tcW w:w="797" w:type="pct"/>
            <w:tcBorders>
              <w:top w:val="nil"/>
              <w:left w:val="nil"/>
              <w:bottom w:val="nil"/>
              <w:right w:val="nil"/>
            </w:tcBorders>
            <w:shd w:val="clear" w:color="auto" w:fill="auto"/>
          </w:tcPr>
          <w:p w14:paraId="36D1E254" w14:textId="77777777" w:rsidR="00AC5287" w:rsidRPr="002E707A" w:rsidRDefault="00AC5287" w:rsidP="00A1791E">
            <w:pPr>
              <w:jc w:val="center"/>
              <w:rPr>
                <w:sz w:val="20"/>
                <w:szCs w:val="20"/>
                <w:lang w:val="pt-BR"/>
              </w:rPr>
            </w:pPr>
            <w:r w:rsidRPr="002E707A">
              <w:rPr>
                <w:sz w:val="20"/>
                <w:szCs w:val="20"/>
                <w:lang w:val="pt-BR"/>
              </w:rPr>
              <w:t>30,8</w:t>
            </w:r>
          </w:p>
        </w:tc>
      </w:tr>
      <w:tr w:rsidR="00AC5287" w:rsidRPr="002E707A" w14:paraId="16F64ABC" w14:textId="77777777" w:rsidTr="00A1791E">
        <w:trPr>
          <w:trHeight w:val="20"/>
          <w:jc w:val="center"/>
        </w:trPr>
        <w:tc>
          <w:tcPr>
            <w:tcW w:w="1168" w:type="pct"/>
            <w:vMerge/>
            <w:tcBorders>
              <w:left w:val="nil"/>
              <w:right w:val="nil"/>
            </w:tcBorders>
            <w:shd w:val="clear" w:color="auto" w:fill="auto"/>
            <w:vAlign w:val="center"/>
          </w:tcPr>
          <w:p w14:paraId="57462F19" w14:textId="77777777" w:rsidR="00AC5287" w:rsidRPr="002E707A" w:rsidRDefault="00AC5287" w:rsidP="00A1791E">
            <w:pPr>
              <w:rPr>
                <w:b/>
                <w:sz w:val="20"/>
                <w:szCs w:val="20"/>
                <w:lang w:val="pt-BR"/>
              </w:rPr>
            </w:pPr>
          </w:p>
        </w:tc>
        <w:tc>
          <w:tcPr>
            <w:tcW w:w="2237" w:type="pct"/>
            <w:tcBorders>
              <w:top w:val="nil"/>
              <w:left w:val="nil"/>
              <w:bottom w:val="nil"/>
              <w:right w:val="nil"/>
            </w:tcBorders>
            <w:shd w:val="clear" w:color="auto" w:fill="auto"/>
          </w:tcPr>
          <w:p w14:paraId="3A89C4DF" w14:textId="77777777" w:rsidR="00AC5287" w:rsidRPr="002E707A" w:rsidRDefault="00AC5287" w:rsidP="00A1791E">
            <w:pPr>
              <w:rPr>
                <w:sz w:val="20"/>
                <w:szCs w:val="20"/>
                <w:lang w:val="pt-BR"/>
              </w:rPr>
            </w:pPr>
            <w:r w:rsidRPr="002E707A">
              <w:rPr>
                <w:sz w:val="20"/>
                <w:szCs w:val="20"/>
                <w:lang w:val="pt-BR"/>
              </w:rPr>
              <w:t>Ensino Superior completo</w:t>
            </w:r>
          </w:p>
        </w:tc>
        <w:tc>
          <w:tcPr>
            <w:tcW w:w="798" w:type="pct"/>
            <w:tcBorders>
              <w:top w:val="nil"/>
              <w:left w:val="nil"/>
              <w:bottom w:val="nil"/>
              <w:right w:val="nil"/>
            </w:tcBorders>
            <w:shd w:val="clear" w:color="auto" w:fill="auto"/>
          </w:tcPr>
          <w:p w14:paraId="52528357" w14:textId="77777777" w:rsidR="00AC5287" w:rsidRPr="002E707A" w:rsidRDefault="00AC5287" w:rsidP="00A1791E">
            <w:pPr>
              <w:jc w:val="center"/>
              <w:rPr>
                <w:sz w:val="20"/>
                <w:szCs w:val="20"/>
                <w:lang w:val="pt-BR"/>
              </w:rPr>
            </w:pPr>
            <w:r w:rsidRPr="002E707A">
              <w:rPr>
                <w:sz w:val="20"/>
                <w:szCs w:val="20"/>
                <w:lang w:val="pt-BR"/>
              </w:rPr>
              <w:t>109</w:t>
            </w:r>
          </w:p>
        </w:tc>
        <w:tc>
          <w:tcPr>
            <w:tcW w:w="797" w:type="pct"/>
            <w:tcBorders>
              <w:top w:val="nil"/>
              <w:left w:val="nil"/>
              <w:bottom w:val="nil"/>
              <w:right w:val="nil"/>
            </w:tcBorders>
            <w:shd w:val="clear" w:color="auto" w:fill="auto"/>
          </w:tcPr>
          <w:p w14:paraId="428582C3" w14:textId="77777777" w:rsidR="00AC5287" w:rsidRPr="002E707A" w:rsidRDefault="00AC5287" w:rsidP="00A1791E">
            <w:pPr>
              <w:jc w:val="center"/>
              <w:rPr>
                <w:sz w:val="20"/>
                <w:szCs w:val="20"/>
                <w:lang w:val="pt-BR"/>
              </w:rPr>
            </w:pPr>
            <w:r w:rsidRPr="002E707A">
              <w:rPr>
                <w:sz w:val="20"/>
                <w:szCs w:val="20"/>
                <w:lang w:val="pt-BR"/>
              </w:rPr>
              <w:t>28,5</w:t>
            </w:r>
          </w:p>
        </w:tc>
      </w:tr>
      <w:tr w:rsidR="00AC5287" w:rsidRPr="002E707A" w14:paraId="734B2AB5" w14:textId="77777777" w:rsidTr="00A1791E">
        <w:trPr>
          <w:trHeight w:val="20"/>
          <w:jc w:val="center"/>
        </w:trPr>
        <w:tc>
          <w:tcPr>
            <w:tcW w:w="1168" w:type="pct"/>
            <w:vMerge/>
            <w:tcBorders>
              <w:left w:val="nil"/>
              <w:bottom w:val="nil"/>
              <w:right w:val="nil"/>
            </w:tcBorders>
            <w:shd w:val="clear" w:color="auto" w:fill="auto"/>
            <w:vAlign w:val="center"/>
          </w:tcPr>
          <w:p w14:paraId="019DC440" w14:textId="77777777" w:rsidR="00AC5287" w:rsidRPr="002E707A" w:rsidRDefault="00AC5287" w:rsidP="00A1791E">
            <w:pPr>
              <w:rPr>
                <w:b/>
                <w:sz w:val="20"/>
                <w:szCs w:val="20"/>
                <w:lang w:val="pt-BR"/>
              </w:rPr>
            </w:pPr>
          </w:p>
        </w:tc>
        <w:tc>
          <w:tcPr>
            <w:tcW w:w="2237" w:type="pct"/>
            <w:tcBorders>
              <w:top w:val="nil"/>
              <w:left w:val="nil"/>
              <w:bottom w:val="nil"/>
              <w:right w:val="nil"/>
            </w:tcBorders>
            <w:shd w:val="clear" w:color="auto" w:fill="auto"/>
          </w:tcPr>
          <w:p w14:paraId="1C7E7656" w14:textId="77777777" w:rsidR="00AC5287" w:rsidRPr="002E707A" w:rsidRDefault="00AC5287" w:rsidP="00A1791E">
            <w:pPr>
              <w:rPr>
                <w:sz w:val="20"/>
                <w:szCs w:val="20"/>
                <w:lang w:val="pt-BR"/>
              </w:rPr>
            </w:pPr>
            <w:r w:rsidRPr="002E707A">
              <w:rPr>
                <w:sz w:val="20"/>
                <w:szCs w:val="20"/>
                <w:lang w:val="pt-BR"/>
              </w:rPr>
              <w:t>Pós-Graduado(a)</w:t>
            </w:r>
          </w:p>
        </w:tc>
        <w:tc>
          <w:tcPr>
            <w:tcW w:w="798" w:type="pct"/>
            <w:tcBorders>
              <w:top w:val="nil"/>
              <w:left w:val="nil"/>
              <w:bottom w:val="nil"/>
              <w:right w:val="nil"/>
            </w:tcBorders>
            <w:shd w:val="clear" w:color="auto" w:fill="auto"/>
          </w:tcPr>
          <w:p w14:paraId="3A8E85BA" w14:textId="77777777" w:rsidR="00AC5287" w:rsidRPr="002E707A" w:rsidRDefault="00AC5287" w:rsidP="00A1791E">
            <w:pPr>
              <w:jc w:val="center"/>
              <w:rPr>
                <w:sz w:val="20"/>
                <w:szCs w:val="20"/>
                <w:lang w:val="pt-BR"/>
              </w:rPr>
            </w:pPr>
            <w:r w:rsidRPr="002E707A">
              <w:rPr>
                <w:sz w:val="20"/>
                <w:szCs w:val="20"/>
                <w:lang w:val="pt-BR"/>
              </w:rPr>
              <w:t>130</w:t>
            </w:r>
          </w:p>
        </w:tc>
        <w:tc>
          <w:tcPr>
            <w:tcW w:w="797" w:type="pct"/>
            <w:tcBorders>
              <w:top w:val="nil"/>
              <w:left w:val="nil"/>
              <w:bottom w:val="nil"/>
              <w:right w:val="nil"/>
            </w:tcBorders>
            <w:shd w:val="clear" w:color="auto" w:fill="auto"/>
          </w:tcPr>
          <w:p w14:paraId="08AD16AA" w14:textId="77777777" w:rsidR="00AC5287" w:rsidRPr="002E707A" w:rsidRDefault="00AC5287" w:rsidP="00A1791E">
            <w:pPr>
              <w:jc w:val="center"/>
              <w:rPr>
                <w:sz w:val="20"/>
                <w:szCs w:val="20"/>
                <w:lang w:val="pt-BR"/>
              </w:rPr>
            </w:pPr>
            <w:r w:rsidRPr="002E707A">
              <w:rPr>
                <w:sz w:val="20"/>
                <w:szCs w:val="20"/>
                <w:lang w:val="pt-BR"/>
              </w:rPr>
              <w:t>33,9</w:t>
            </w:r>
          </w:p>
        </w:tc>
      </w:tr>
      <w:tr w:rsidR="00AC5287" w:rsidRPr="002E707A" w14:paraId="70869764" w14:textId="77777777" w:rsidTr="00A1791E">
        <w:trPr>
          <w:trHeight w:val="20"/>
          <w:jc w:val="center"/>
        </w:trPr>
        <w:tc>
          <w:tcPr>
            <w:tcW w:w="1168" w:type="pct"/>
            <w:vMerge w:val="restart"/>
            <w:tcBorders>
              <w:top w:val="nil"/>
              <w:left w:val="nil"/>
              <w:bottom w:val="single" w:sz="4" w:space="0" w:color="auto"/>
              <w:right w:val="nil"/>
            </w:tcBorders>
            <w:shd w:val="clear" w:color="auto" w:fill="auto"/>
            <w:vAlign w:val="center"/>
          </w:tcPr>
          <w:p w14:paraId="25B24F60" w14:textId="77777777" w:rsidR="00AC5287" w:rsidRPr="002E707A" w:rsidRDefault="00AC5287" w:rsidP="00A1791E">
            <w:pPr>
              <w:rPr>
                <w:b/>
                <w:sz w:val="20"/>
                <w:szCs w:val="20"/>
                <w:lang w:val="pt-BR"/>
              </w:rPr>
            </w:pPr>
            <w:r w:rsidRPr="002E707A">
              <w:rPr>
                <w:b/>
                <w:sz w:val="20"/>
                <w:szCs w:val="20"/>
                <w:lang w:val="pt-BR"/>
              </w:rPr>
              <w:t>Renda Individual</w:t>
            </w:r>
          </w:p>
        </w:tc>
        <w:tc>
          <w:tcPr>
            <w:tcW w:w="2237" w:type="pct"/>
            <w:tcBorders>
              <w:top w:val="nil"/>
              <w:left w:val="nil"/>
              <w:bottom w:val="nil"/>
              <w:right w:val="nil"/>
            </w:tcBorders>
            <w:shd w:val="clear" w:color="auto" w:fill="auto"/>
          </w:tcPr>
          <w:p w14:paraId="449BE5D3" w14:textId="77777777" w:rsidR="00AC5287" w:rsidRPr="002E707A" w:rsidRDefault="00AC5287" w:rsidP="00A1791E">
            <w:pPr>
              <w:rPr>
                <w:sz w:val="20"/>
                <w:szCs w:val="20"/>
                <w:lang w:val="pt-BR"/>
              </w:rPr>
            </w:pPr>
            <w:r w:rsidRPr="002E707A">
              <w:rPr>
                <w:sz w:val="20"/>
                <w:szCs w:val="20"/>
                <w:lang w:val="pt-BR"/>
              </w:rPr>
              <w:t xml:space="preserve">Até 1 salário-mínimo </w:t>
            </w:r>
          </w:p>
          <w:p w14:paraId="2BCCA23A" w14:textId="77777777" w:rsidR="00AC5287" w:rsidRPr="002E707A" w:rsidRDefault="00AC5287" w:rsidP="00A1791E">
            <w:pPr>
              <w:rPr>
                <w:sz w:val="20"/>
                <w:szCs w:val="20"/>
                <w:lang w:val="pt-BR"/>
              </w:rPr>
            </w:pPr>
            <w:r w:rsidRPr="002E707A">
              <w:rPr>
                <w:sz w:val="20"/>
                <w:szCs w:val="20"/>
                <w:lang w:val="pt-BR"/>
              </w:rPr>
              <w:t>(menos de R$1.212,00)</w:t>
            </w:r>
          </w:p>
        </w:tc>
        <w:tc>
          <w:tcPr>
            <w:tcW w:w="798" w:type="pct"/>
            <w:tcBorders>
              <w:top w:val="nil"/>
              <w:left w:val="nil"/>
              <w:bottom w:val="nil"/>
              <w:right w:val="nil"/>
            </w:tcBorders>
            <w:shd w:val="clear" w:color="auto" w:fill="auto"/>
          </w:tcPr>
          <w:p w14:paraId="647844FD" w14:textId="77777777" w:rsidR="00AC5287" w:rsidRPr="002E707A" w:rsidRDefault="00AC5287" w:rsidP="00A1791E">
            <w:pPr>
              <w:jc w:val="center"/>
              <w:rPr>
                <w:sz w:val="20"/>
                <w:szCs w:val="20"/>
                <w:lang w:val="pt-BR"/>
              </w:rPr>
            </w:pPr>
            <w:r w:rsidRPr="002E707A">
              <w:rPr>
                <w:sz w:val="20"/>
                <w:szCs w:val="20"/>
                <w:lang w:val="pt-BR"/>
              </w:rPr>
              <w:t>80</w:t>
            </w:r>
          </w:p>
        </w:tc>
        <w:tc>
          <w:tcPr>
            <w:tcW w:w="797" w:type="pct"/>
            <w:tcBorders>
              <w:top w:val="nil"/>
              <w:left w:val="nil"/>
              <w:bottom w:val="nil"/>
              <w:right w:val="nil"/>
            </w:tcBorders>
            <w:shd w:val="clear" w:color="auto" w:fill="auto"/>
          </w:tcPr>
          <w:p w14:paraId="74FB8768" w14:textId="77777777" w:rsidR="00AC5287" w:rsidRPr="002E707A" w:rsidRDefault="00AC5287" w:rsidP="00A1791E">
            <w:pPr>
              <w:jc w:val="center"/>
              <w:rPr>
                <w:sz w:val="20"/>
                <w:szCs w:val="20"/>
                <w:lang w:val="pt-BR"/>
              </w:rPr>
            </w:pPr>
            <w:r w:rsidRPr="002E707A">
              <w:rPr>
                <w:sz w:val="20"/>
                <w:szCs w:val="20"/>
                <w:lang w:val="pt-BR"/>
              </w:rPr>
              <w:t>20,9</w:t>
            </w:r>
          </w:p>
        </w:tc>
      </w:tr>
      <w:tr w:rsidR="00AC5287" w:rsidRPr="002E707A" w14:paraId="34EE2153" w14:textId="77777777" w:rsidTr="00A1791E">
        <w:trPr>
          <w:trHeight w:val="20"/>
          <w:jc w:val="center"/>
        </w:trPr>
        <w:tc>
          <w:tcPr>
            <w:tcW w:w="1168" w:type="pct"/>
            <w:vMerge/>
            <w:tcBorders>
              <w:top w:val="single" w:sz="12" w:space="0" w:color="auto"/>
              <w:left w:val="nil"/>
              <w:bottom w:val="single" w:sz="4" w:space="0" w:color="auto"/>
              <w:right w:val="nil"/>
            </w:tcBorders>
            <w:shd w:val="clear" w:color="auto" w:fill="auto"/>
          </w:tcPr>
          <w:p w14:paraId="766AC5D8" w14:textId="77777777" w:rsidR="00AC5287" w:rsidRPr="002E707A" w:rsidRDefault="00AC5287" w:rsidP="00A1791E">
            <w:pPr>
              <w:rPr>
                <w:b/>
                <w:sz w:val="20"/>
                <w:szCs w:val="20"/>
                <w:lang w:val="pt-BR"/>
              </w:rPr>
            </w:pPr>
          </w:p>
        </w:tc>
        <w:tc>
          <w:tcPr>
            <w:tcW w:w="2237" w:type="pct"/>
            <w:tcBorders>
              <w:top w:val="nil"/>
              <w:left w:val="nil"/>
              <w:bottom w:val="nil"/>
              <w:right w:val="nil"/>
            </w:tcBorders>
            <w:shd w:val="clear" w:color="auto" w:fill="auto"/>
          </w:tcPr>
          <w:p w14:paraId="7934ECAC" w14:textId="77777777" w:rsidR="00AC5287" w:rsidRPr="002E707A" w:rsidRDefault="00AC5287" w:rsidP="00A1791E">
            <w:pPr>
              <w:rPr>
                <w:sz w:val="20"/>
                <w:szCs w:val="20"/>
                <w:lang w:val="pt-BR"/>
              </w:rPr>
            </w:pPr>
            <w:r w:rsidRPr="002E707A">
              <w:rPr>
                <w:sz w:val="20"/>
                <w:szCs w:val="20"/>
                <w:lang w:val="pt-BR"/>
              </w:rPr>
              <w:t xml:space="preserve">1-2 salários-mínimos </w:t>
            </w:r>
          </w:p>
          <w:p w14:paraId="7E687067" w14:textId="77777777" w:rsidR="00AC5287" w:rsidRPr="002E707A" w:rsidRDefault="00AC5287" w:rsidP="00A1791E">
            <w:pPr>
              <w:rPr>
                <w:sz w:val="20"/>
                <w:szCs w:val="20"/>
                <w:lang w:val="pt-BR"/>
              </w:rPr>
            </w:pPr>
            <w:r w:rsidRPr="002E707A">
              <w:rPr>
                <w:sz w:val="20"/>
                <w:szCs w:val="20"/>
                <w:lang w:val="pt-BR"/>
              </w:rPr>
              <w:t>(R$1.212,01 à R$2.424,00)</w:t>
            </w:r>
          </w:p>
        </w:tc>
        <w:tc>
          <w:tcPr>
            <w:tcW w:w="798" w:type="pct"/>
            <w:tcBorders>
              <w:top w:val="nil"/>
              <w:left w:val="nil"/>
              <w:bottom w:val="nil"/>
              <w:right w:val="nil"/>
            </w:tcBorders>
            <w:shd w:val="clear" w:color="auto" w:fill="auto"/>
          </w:tcPr>
          <w:p w14:paraId="07AD0B3E" w14:textId="77777777" w:rsidR="00AC5287" w:rsidRPr="002E707A" w:rsidRDefault="00AC5287" w:rsidP="00A1791E">
            <w:pPr>
              <w:jc w:val="center"/>
              <w:rPr>
                <w:sz w:val="20"/>
                <w:szCs w:val="20"/>
                <w:lang w:val="pt-BR"/>
              </w:rPr>
            </w:pPr>
            <w:r w:rsidRPr="002E707A">
              <w:rPr>
                <w:sz w:val="20"/>
                <w:szCs w:val="20"/>
                <w:lang w:val="pt-BR"/>
              </w:rPr>
              <w:t>72</w:t>
            </w:r>
          </w:p>
        </w:tc>
        <w:tc>
          <w:tcPr>
            <w:tcW w:w="797" w:type="pct"/>
            <w:tcBorders>
              <w:top w:val="nil"/>
              <w:left w:val="nil"/>
              <w:bottom w:val="nil"/>
              <w:right w:val="nil"/>
            </w:tcBorders>
            <w:shd w:val="clear" w:color="auto" w:fill="auto"/>
          </w:tcPr>
          <w:p w14:paraId="14950BB0" w14:textId="77777777" w:rsidR="00AC5287" w:rsidRPr="002E707A" w:rsidRDefault="00AC5287" w:rsidP="00A1791E">
            <w:pPr>
              <w:jc w:val="center"/>
              <w:rPr>
                <w:sz w:val="20"/>
                <w:szCs w:val="20"/>
                <w:lang w:val="pt-BR"/>
              </w:rPr>
            </w:pPr>
            <w:r w:rsidRPr="002E707A">
              <w:rPr>
                <w:sz w:val="20"/>
                <w:szCs w:val="20"/>
                <w:lang w:val="pt-BR"/>
              </w:rPr>
              <w:t>18,8</w:t>
            </w:r>
          </w:p>
        </w:tc>
      </w:tr>
      <w:tr w:rsidR="00AC5287" w:rsidRPr="002E707A" w14:paraId="7C3C5355" w14:textId="77777777" w:rsidTr="00A1791E">
        <w:trPr>
          <w:trHeight w:val="20"/>
          <w:jc w:val="center"/>
        </w:trPr>
        <w:tc>
          <w:tcPr>
            <w:tcW w:w="1168" w:type="pct"/>
            <w:vMerge/>
            <w:tcBorders>
              <w:top w:val="single" w:sz="12" w:space="0" w:color="auto"/>
              <w:left w:val="nil"/>
              <w:bottom w:val="single" w:sz="4" w:space="0" w:color="auto"/>
              <w:right w:val="nil"/>
            </w:tcBorders>
            <w:shd w:val="clear" w:color="auto" w:fill="auto"/>
          </w:tcPr>
          <w:p w14:paraId="2E814472" w14:textId="77777777" w:rsidR="00AC5287" w:rsidRPr="002E707A" w:rsidRDefault="00AC5287" w:rsidP="00A1791E">
            <w:pPr>
              <w:rPr>
                <w:b/>
                <w:sz w:val="20"/>
                <w:szCs w:val="20"/>
                <w:lang w:val="pt-BR"/>
              </w:rPr>
            </w:pPr>
          </w:p>
        </w:tc>
        <w:tc>
          <w:tcPr>
            <w:tcW w:w="2237" w:type="pct"/>
            <w:tcBorders>
              <w:top w:val="nil"/>
              <w:left w:val="nil"/>
              <w:bottom w:val="nil"/>
              <w:right w:val="nil"/>
            </w:tcBorders>
            <w:shd w:val="clear" w:color="auto" w:fill="auto"/>
          </w:tcPr>
          <w:p w14:paraId="302B9458" w14:textId="77777777" w:rsidR="00AC5287" w:rsidRPr="002E707A" w:rsidRDefault="00AC5287" w:rsidP="00A1791E">
            <w:pPr>
              <w:rPr>
                <w:sz w:val="20"/>
                <w:szCs w:val="20"/>
                <w:lang w:val="pt-BR"/>
              </w:rPr>
            </w:pPr>
            <w:r w:rsidRPr="002E707A">
              <w:rPr>
                <w:sz w:val="20"/>
                <w:szCs w:val="20"/>
                <w:lang w:val="pt-BR"/>
              </w:rPr>
              <w:t xml:space="preserve">2-4 salários-mínimos </w:t>
            </w:r>
          </w:p>
          <w:p w14:paraId="12E6C006" w14:textId="77777777" w:rsidR="00AC5287" w:rsidRPr="002E707A" w:rsidRDefault="00AC5287" w:rsidP="00A1791E">
            <w:pPr>
              <w:rPr>
                <w:sz w:val="20"/>
                <w:szCs w:val="20"/>
                <w:lang w:val="pt-BR"/>
              </w:rPr>
            </w:pPr>
            <w:r w:rsidRPr="002E707A">
              <w:rPr>
                <w:sz w:val="20"/>
                <w:szCs w:val="20"/>
                <w:lang w:val="pt-BR"/>
              </w:rPr>
              <w:t>(R$2.424,01 à R$4.848,00)</w:t>
            </w:r>
          </w:p>
        </w:tc>
        <w:tc>
          <w:tcPr>
            <w:tcW w:w="798" w:type="pct"/>
            <w:tcBorders>
              <w:top w:val="nil"/>
              <w:left w:val="nil"/>
              <w:bottom w:val="nil"/>
              <w:right w:val="nil"/>
            </w:tcBorders>
            <w:shd w:val="clear" w:color="auto" w:fill="auto"/>
          </w:tcPr>
          <w:p w14:paraId="396167AB" w14:textId="77777777" w:rsidR="00AC5287" w:rsidRPr="002E707A" w:rsidRDefault="00AC5287" w:rsidP="00A1791E">
            <w:pPr>
              <w:jc w:val="center"/>
              <w:rPr>
                <w:sz w:val="20"/>
                <w:szCs w:val="20"/>
                <w:lang w:val="pt-BR"/>
              </w:rPr>
            </w:pPr>
            <w:r w:rsidRPr="002E707A">
              <w:rPr>
                <w:sz w:val="20"/>
                <w:szCs w:val="20"/>
                <w:lang w:val="pt-BR"/>
              </w:rPr>
              <w:t>89</w:t>
            </w:r>
          </w:p>
        </w:tc>
        <w:tc>
          <w:tcPr>
            <w:tcW w:w="797" w:type="pct"/>
            <w:tcBorders>
              <w:top w:val="nil"/>
              <w:left w:val="nil"/>
              <w:bottom w:val="nil"/>
              <w:right w:val="nil"/>
            </w:tcBorders>
            <w:shd w:val="clear" w:color="auto" w:fill="auto"/>
          </w:tcPr>
          <w:p w14:paraId="68D2DB84" w14:textId="77777777" w:rsidR="00AC5287" w:rsidRPr="002E707A" w:rsidRDefault="00AC5287" w:rsidP="00A1791E">
            <w:pPr>
              <w:jc w:val="center"/>
              <w:rPr>
                <w:sz w:val="20"/>
                <w:szCs w:val="20"/>
                <w:lang w:val="pt-BR"/>
              </w:rPr>
            </w:pPr>
            <w:r w:rsidRPr="002E707A">
              <w:rPr>
                <w:sz w:val="20"/>
                <w:szCs w:val="20"/>
                <w:lang w:val="pt-BR"/>
              </w:rPr>
              <w:t>23,3</w:t>
            </w:r>
          </w:p>
        </w:tc>
      </w:tr>
      <w:tr w:rsidR="00AC5287" w:rsidRPr="002E707A" w14:paraId="7DD17A83" w14:textId="77777777" w:rsidTr="00A1791E">
        <w:trPr>
          <w:trHeight w:val="20"/>
          <w:jc w:val="center"/>
        </w:trPr>
        <w:tc>
          <w:tcPr>
            <w:tcW w:w="1168" w:type="pct"/>
            <w:vMerge/>
            <w:tcBorders>
              <w:top w:val="single" w:sz="12" w:space="0" w:color="auto"/>
              <w:left w:val="nil"/>
              <w:bottom w:val="single" w:sz="4" w:space="0" w:color="auto"/>
              <w:right w:val="nil"/>
            </w:tcBorders>
            <w:shd w:val="clear" w:color="auto" w:fill="auto"/>
          </w:tcPr>
          <w:p w14:paraId="3155D1CD" w14:textId="77777777" w:rsidR="00AC5287" w:rsidRPr="002E707A" w:rsidRDefault="00AC5287" w:rsidP="00A1791E">
            <w:pPr>
              <w:rPr>
                <w:b/>
                <w:sz w:val="20"/>
                <w:szCs w:val="20"/>
                <w:lang w:val="pt-BR"/>
              </w:rPr>
            </w:pPr>
          </w:p>
        </w:tc>
        <w:tc>
          <w:tcPr>
            <w:tcW w:w="2237" w:type="pct"/>
            <w:tcBorders>
              <w:top w:val="nil"/>
              <w:left w:val="nil"/>
              <w:bottom w:val="nil"/>
              <w:right w:val="nil"/>
            </w:tcBorders>
            <w:shd w:val="clear" w:color="auto" w:fill="auto"/>
          </w:tcPr>
          <w:p w14:paraId="445E6AEE" w14:textId="77777777" w:rsidR="00AC5287" w:rsidRPr="002E707A" w:rsidRDefault="00AC5287" w:rsidP="00A1791E">
            <w:pPr>
              <w:rPr>
                <w:sz w:val="20"/>
                <w:szCs w:val="20"/>
                <w:lang w:val="pt-BR"/>
              </w:rPr>
            </w:pPr>
            <w:r w:rsidRPr="002E707A">
              <w:rPr>
                <w:sz w:val="20"/>
                <w:szCs w:val="20"/>
                <w:lang w:val="pt-BR"/>
              </w:rPr>
              <w:t xml:space="preserve">4-10 salários-mínimos </w:t>
            </w:r>
          </w:p>
          <w:p w14:paraId="753914E8" w14:textId="77777777" w:rsidR="00AC5287" w:rsidRPr="002E707A" w:rsidRDefault="00AC5287" w:rsidP="00A1791E">
            <w:pPr>
              <w:rPr>
                <w:sz w:val="20"/>
                <w:szCs w:val="20"/>
                <w:lang w:val="pt-BR"/>
              </w:rPr>
            </w:pPr>
            <w:r w:rsidRPr="002E707A">
              <w:rPr>
                <w:sz w:val="20"/>
                <w:szCs w:val="20"/>
                <w:lang w:val="pt-BR"/>
              </w:rPr>
              <w:t>(R$4.848,01 à R$12.120,00)</w:t>
            </w:r>
          </w:p>
        </w:tc>
        <w:tc>
          <w:tcPr>
            <w:tcW w:w="798" w:type="pct"/>
            <w:tcBorders>
              <w:top w:val="nil"/>
              <w:left w:val="nil"/>
              <w:bottom w:val="nil"/>
              <w:right w:val="nil"/>
            </w:tcBorders>
            <w:shd w:val="clear" w:color="auto" w:fill="auto"/>
          </w:tcPr>
          <w:p w14:paraId="29E4106D" w14:textId="77777777" w:rsidR="00AC5287" w:rsidRPr="002E707A" w:rsidRDefault="00AC5287" w:rsidP="00A1791E">
            <w:pPr>
              <w:jc w:val="center"/>
              <w:rPr>
                <w:sz w:val="20"/>
                <w:szCs w:val="20"/>
                <w:lang w:val="pt-BR"/>
              </w:rPr>
            </w:pPr>
            <w:r w:rsidRPr="002E707A">
              <w:rPr>
                <w:sz w:val="20"/>
                <w:szCs w:val="20"/>
                <w:lang w:val="pt-BR"/>
              </w:rPr>
              <w:t>89</w:t>
            </w:r>
          </w:p>
        </w:tc>
        <w:tc>
          <w:tcPr>
            <w:tcW w:w="797" w:type="pct"/>
            <w:tcBorders>
              <w:top w:val="nil"/>
              <w:left w:val="nil"/>
              <w:bottom w:val="nil"/>
              <w:right w:val="nil"/>
            </w:tcBorders>
            <w:shd w:val="clear" w:color="auto" w:fill="auto"/>
          </w:tcPr>
          <w:p w14:paraId="2D570116" w14:textId="77777777" w:rsidR="00AC5287" w:rsidRPr="002E707A" w:rsidRDefault="00AC5287" w:rsidP="00A1791E">
            <w:pPr>
              <w:jc w:val="center"/>
              <w:rPr>
                <w:sz w:val="20"/>
                <w:szCs w:val="20"/>
                <w:lang w:val="pt-BR"/>
              </w:rPr>
            </w:pPr>
            <w:r w:rsidRPr="002E707A">
              <w:rPr>
                <w:sz w:val="20"/>
                <w:szCs w:val="20"/>
                <w:lang w:val="pt-BR"/>
              </w:rPr>
              <w:t>23,3</w:t>
            </w:r>
          </w:p>
        </w:tc>
      </w:tr>
      <w:tr w:rsidR="00AC5287" w:rsidRPr="002E707A" w14:paraId="0CE06546" w14:textId="77777777" w:rsidTr="00A1791E">
        <w:trPr>
          <w:trHeight w:val="20"/>
          <w:jc w:val="center"/>
        </w:trPr>
        <w:tc>
          <w:tcPr>
            <w:tcW w:w="1168" w:type="pct"/>
            <w:vMerge/>
            <w:tcBorders>
              <w:top w:val="single" w:sz="12" w:space="0" w:color="auto"/>
              <w:left w:val="nil"/>
              <w:bottom w:val="single" w:sz="4" w:space="0" w:color="auto"/>
              <w:right w:val="nil"/>
            </w:tcBorders>
            <w:shd w:val="clear" w:color="auto" w:fill="auto"/>
          </w:tcPr>
          <w:p w14:paraId="6855E567" w14:textId="77777777" w:rsidR="00AC5287" w:rsidRPr="002E707A" w:rsidRDefault="00AC5287" w:rsidP="00A1791E">
            <w:pPr>
              <w:rPr>
                <w:b/>
                <w:sz w:val="20"/>
                <w:szCs w:val="20"/>
                <w:lang w:val="pt-BR"/>
              </w:rPr>
            </w:pPr>
          </w:p>
        </w:tc>
        <w:tc>
          <w:tcPr>
            <w:tcW w:w="2237" w:type="pct"/>
            <w:tcBorders>
              <w:top w:val="nil"/>
              <w:left w:val="nil"/>
              <w:bottom w:val="nil"/>
              <w:right w:val="nil"/>
            </w:tcBorders>
            <w:shd w:val="clear" w:color="auto" w:fill="auto"/>
          </w:tcPr>
          <w:p w14:paraId="424E9D53" w14:textId="77777777" w:rsidR="00AC5287" w:rsidRPr="002E707A" w:rsidRDefault="00AC5287" w:rsidP="00A1791E">
            <w:pPr>
              <w:rPr>
                <w:sz w:val="20"/>
                <w:szCs w:val="20"/>
                <w:lang w:val="pt-BR"/>
              </w:rPr>
            </w:pPr>
            <w:r w:rsidRPr="002E707A">
              <w:rPr>
                <w:sz w:val="20"/>
                <w:szCs w:val="20"/>
                <w:lang w:val="pt-BR"/>
              </w:rPr>
              <w:t xml:space="preserve">10-20 salários-mínimos </w:t>
            </w:r>
          </w:p>
          <w:p w14:paraId="5CF64B1F" w14:textId="77777777" w:rsidR="00AC5287" w:rsidRPr="002E707A" w:rsidRDefault="00AC5287" w:rsidP="00A1791E">
            <w:pPr>
              <w:rPr>
                <w:sz w:val="20"/>
                <w:szCs w:val="20"/>
                <w:lang w:val="pt-BR"/>
              </w:rPr>
            </w:pPr>
            <w:r w:rsidRPr="002E707A">
              <w:rPr>
                <w:sz w:val="20"/>
                <w:szCs w:val="20"/>
                <w:lang w:val="pt-BR"/>
              </w:rPr>
              <w:t>(R$12.120,01 à R$24.240,00)</w:t>
            </w:r>
          </w:p>
        </w:tc>
        <w:tc>
          <w:tcPr>
            <w:tcW w:w="798" w:type="pct"/>
            <w:tcBorders>
              <w:top w:val="nil"/>
              <w:left w:val="nil"/>
              <w:bottom w:val="nil"/>
              <w:right w:val="nil"/>
            </w:tcBorders>
            <w:shd w:val="clear" w:color="auto" w:fill="auto"/>
          </w:tcPr>
          <w:p w14:paraId="6FACD986" w14:textId="77777777" w:rsidR="00AC5287" w:rsidRPr="002E707A" w:rsidRDefault="00AC5287" w:rsidP="00A1791E">
            <w:pPr>
              <w:jc w:val="center"/>
              <w:rPr>
                <w:sz w:val="20"/>
                <w:szCs w:val="20"/>
                <w:lang w:val="pt-BR"/>
              </w:rPr>
            </w:pPr>
            <w:r w:rsidRPr="002E707A">
              <w:rPr>
                <w:sz w:val="20"/>
                <w:szCs w:val="20"/>
                <w:lang w:val="pt-BR"/>
              </w:rPr>
              <w:t>41</w:t>
            </w:r>
          </w:p>
        </w:tc>
        <w:tc>
          <w:tcPr>
            <w:tcW w:w="797" w:type="pct"/>
            <w:tcBorders>
              <w:top w:val="nil"/>
              <w:left w:val="nil"/>
              <w:bottom w:val="nil"/>
              <w:right w:val="nil"/>
            </w:tcBorders>
            <w:shd w:val="clear" w:color="auto" w:fill="auto"/>
          </w:tcPr>
          <w:p w14:paraId="5521CDC8" w14:textId="77777777" w:rsidR="00AC5287" w:rsidRPr="002E707A" w:rsidRDefault="00AC5287" w:rsidP="00A1791E">
            <w:pPr>
              <w:jc w:val="center"/>
              <w:rPr>
                <w:sz w:val="20"/>
                <w:szCs w:val="20"/>
                <w:lang w:val="pt-BR"/>
              </w:rPr>
            </w:pPr>
            <w:r w:rsidRPr="002E707A">
              <w:rPr>
                <w:sz w:val="20"/>
                <w:szCs w:val="20"/>
                <w:lang w:val="pt-BR"/>
              </w:rPr>
              <w:t>10,7</w:t>
            </w:r>
          </w:p>
        </w:tc>
      </w:tr>
      <w:tr w:rsidR="00AC5287" w:rsidRPr="002E707A" w14:paraId="7BF1ACA6" w14:textId="77777777" w:rsidTr="00A1791E">
        <w:trPr>
          <w:trHeight w:val="20"/>
          <w:jc w:val="center"/>
        </w:trPr>
        <w:tc>
          <w:tcPr>
            <w:tcW w:w="1168" w:type="pct"/>
            <w:vMerge/>
            <w:tcBorders>
              <w:top w:val="single" w:sz="12" w:space="0" w:color="auto"/>
              <w:left w:val="nil"/>
              <w:bottom w:val="single" w:sz="4" w:space="0" w:color="auto"/>
              <w:right w:val="nil"/>
            </w:tcBorders>
            <w:shd w:val="clear" w:color="auto" w:fill="auto"/>
          </w:tcPr>
          <w:p w14:paraId="1799EC53" w14:textId="77777777" w:rsidR="00AC5287" w:rsidRPr="002E707A" w:rsidRDefault="00AC5287" w:rsidP="00A1791E">
            <w:pPr>
              <w:rPr>
                <w:b/>
                <w:sz w:val="20"/>
                <w:szCs w:val="20"/>
                <w:lang w:val="pt-BR"/>
              </w:rPr>
            </w:pPr>
          </w:p>
        </w:tc>
        <w:tc>
          <w:tcPr>
            <w:tcW w:w="2237" w:type="pct"/>
            <w:tcBorders>
              <w:top w:val="nil"/>
              <w:left w:val="nil"/>
              <w:bottom w:val="single" w:sz="4" w:space="0" w:color="auto"/>
              <w:right w:val="nil"/>
            </w:tcBorders>
            <w:shd w:val="clear" w:color="auto" w:fill="auto"/>
          </w:tcPr>
          <w:p w14:paraId="070BE0FB" w14:textId="77777777" w:rsidR="00AC5287" w:rsidRPr="002E707A" w:rsidRDefault="00AC5287" w:rsidP="00A1791E">
            <w:pPr>
              <w:rPr>
                <w:sz w:val="20"/>
                <w:szCs w:val="20"/>
                <w:lang w:val="pt-BR"/>
              </w:rPr>
            </w:pPr>
            <w:r w:rsidRPr="002E707A">
              <w:rPr>
                <w:sz w:val="20"/>
                <w:szCs w:val="20"/>
                <w:lang w:val="pt-BR"/>
              </w:rPr>
              <w:t xml:space="preserve">+ de 20 salários-mínimos </w:t>
            </w:r>
          </w:p>
          <w:p w14:paraId="6DC2B2D4" w14:textId="77777777" w:rsidR="00AC5287" w:rsidRPr="002E707A" w:rsidRDefault="00AC5287" w:rsidP="00A1791E">
            <w:pPr>
              <w:rPr>
                <w:sz w:val="20"/>
                <w:szCs w:val="20"/>
                <w:lang w:val="pt-BR"/>
              </w:rPr>
            </w:pPr>
            <w:r w:rsidRPr="002E707A">
              <w:rPr>
                <w:sz w:val="20"/>
                <w:szCs w:val="20"/>
                <w:lang w:val="pt-BR"/>
              </w:rPr>
              <w:t>(mais de R$24.240,00)</w:t>
            </w:r>
          </w:p>
        </w:tc>
        <w:tc>
          <w:tcPr>
            <w:tcW w:w="798" w:type="pct"/>
            <w:tcBorders>
              <w:top w:val="nil"/>
              <w:left w:val="nil"/>
              <w:bottom w:val="single" w:sz="4" w:space="0" w:color="auto"/>
              <w:right w:val="nil"/>
            </w:tcBorders>
            <w:shd w:val="clear" w:color="auto" w:fill="auto"/>
          </w:tcPr>
          <w:p w14:paraId="61537150" w14:textId="77777777" w:rsidR="00AC5287" w:rsidRPr="002E707A" w:rsidRDefault="00AC5287" w:rsidP="00A1791E">
            <w:pPr>
              <w:jc w:val="center"/>
              <w:rPr>
                <w:sz w:val="20"/>
                <w:szCs w:val="20"/>
                <w:lang w:val="pt-BR"/>
              </w:rPr>
            </w:pPr>
            <w:r w:rsidRPr="002E707A">
              <w:rPr>
                <w:sz w:val="20"/>
                <w:szCs w:val="20"/>
                <w:lang w:val="pt-BR"/>
              </w:rPr>
              <w:t>11</w:t>
            </w:r>
          </w:p>
        </w:tc>
        <w:tc>
          <w:tcPr>
            <w:tcW w:w="797" w:type="pct"/>
            <w:tcBorders>
              <w:top w:val="nil"/>
              <w:left w:val="nil"/>
              <w:bottom w:val="single" w:sz="4" w:space="0" w:color="auto"/>
              <w:right w:val="nil"/>
            </w:tcBorders>
            <w:shd w:val="clear" w:color="auto" w:fill="auto"/>
          </w:tcPr>
          <w:p w14:paraId="592F0578" w14:textId="77777777" w:rsidR="00AC5287" w:rsidRPr="002E707A" w:rsidRDefault="00AC5287" w:rsidP="00A1791E">
            <w:pPr>
              <w:jc w:val="center"/>
              <w:rPr>
                <w:sz w:val="20"/>
                <w:szCs w:val="20"/>
                <w:lang w:val="pt-BR"/>
              </w:rPr>
            </w:pPr>
            <w:r w:rsidRPr="002E707A">
              <w:rPr>
                <w:sz w:val="20"/>
                <w:szCs w:val="20"/>
                <w:lang w:val="pt-BR"/>
              </w:rPr>
              <w:t>2,9</w:t>
            </w:r>
          </w:p>
        </w:tc>
      </w:tr>
    </w:tbl>
    <w:p w14:paraId="01795744" w14:textId="77777777" w:rsidR="00AC5287" w:rsidRPr="002E707A" w:rsidRDefault="00AC5287" w:rsidP="00AC5287">
      <w:pPr>
        <w:spacing w:line="360" w:lineRule="auto"/>
        <w:rPr>
          <w:sz w:val="20"/>
          <w:lang w:val="pt-BR"/>
        </w:rPr>
      </w:pPr>
      <w:r w:rsidRPr="002E707A">
        <w:rPr>
          <w:b/>
          <w:sz w:val="20"/>
          <w:lang w:val="pt-BR"/>
        </w:rPr>
        <w:t>Nota:</w:t>
      </w:r>
      <w:r w:rsidRPr="002E707A">
        <w:rPr>
          <w:sz w:val="20"/>
          <w:lang w:val="pt-BR"/>
        </w:rPr>
        <w:t xml:space="preserve"> *As idades foram divididas em faixas etárias conforme os quartis da amostra.</w:t>
      </w:r>
    </w:p>
    <w:p w14:paraId="4C2EE04B" w14:textId="77777777" w:rsidR="00AC5287" w:rsidRDefault="00AC5287" w:rsidP="0093217A">
      <w:pPr>
        <w:pStyle w:val="Legenda"/>
        <w:keepNext/>
        <w:spacing w:after="0" w:line="360" w:lineRule="auto"/>
        <w:ind w:firstLine="0"/>
        <w:rPr>
          <w:b/>
          <w:bCs/>
          <w:color w:val="auto"/>
          <w:sz w:val="24"/>
          <w:szCs w:val="24"/>
        </w:rPr>
      </w:pPr>
    </w:p>
    <w:p w14:paraId="69270C85" w14:textId="4381232A" w:rsidR="0093217A" w:rsidRPr="002E707A" w:rsidRDefault="00962899" w:rsidP="0093217A">
      <w:pPr>
        <w:pStyle w:val="Legenda"/>
        <w:keepNext/>
        <w:spacing w:after="0" w:line="360" w:lineRule="auto"/>
        <w:ind w:firstLine="0"/>
        <w:rPr>
          <w:b/>
          <w:bCs/>
          <w:color w:val="auto"/>
          <w:sz w:val="24"/>
          <w:szCs w:val="24"/>
        </w:rPr>
      </w:pPr>
      <w:r w:rsidRPr="002E707A">
        <w:rPr>
          <w:b/>
          <w:bCs/>
          <w:color w:val="auto"/>
          <w:sz w:val="24"/>
          <w:szCs w:val="24"/>
        </w:rPr>
        <w:t>Instrumentos</w:t>
      </w:r>
    </w:p>
    <w:p w14:paraId="73DFB9DB" w14:textId="77777777" w:rsidR="004A5B8B" w:rsidRPr="002E707A" w:rsidRDefault="004A5B8B" w:rsidP="004A5B8B">
      <w:pPr>
        <w:shd w:val="clear" w:color="auto" w:fill="FFFFFF"/>
        <w:spacing w:line="360" w:lineRule="auto"/>
        <w:ind w:firstLine="700"/>
        <w:jc w:val="both"/>
        <w:rPr>
          <w:lang w:val="pt-BR"/>
        </w:rPr>
      </w:pPr>
      <w:r w:rsidRPr="002E707A">
        <w:rPr>
          <w:lang w:val="pt-BR"/>
        </w:rPr>
        <w:t>O questionário aplicado aos respondentes foi dividido em duas partes: a primeira contemplou questões sociodemográficas (gênero, idade, renda familiar, escolaridade, etnia, religião e estado de residência); e a segunda, questões relacionadas ao uso de Cannabis (idade de início, frequência, dose média, tipo de produto consumido e forma de uso).</w:t>
      </w:r>
    </w:p>
    <w:p w14:paraId="166654AC" w14:textId="77777777" w:rsidR="002A69D0" w:rsidRPr="002E707A" w:rsidRDefault="002A69D0" w:rsidP="00152150">
      <w:pPr>
        <w:pStyle w:val="SubtituloInterno"/>
        <w:rPr>
          <w:rFonts w:eastAsia="Calibri"/>
          <w:lang w:val="pt-BR"/>
        </w:rPr>
      </w:pPr>
      <w:r w:rsidRPr="002E707A">
        <w:rPr>
          <w:rFonts w:eastAsia="Calibri"/>
          <w:lang w:val="pt-BR"/>
        </w:rPr>
        <w:t xml:space="preserve">Procedimentos </w:t>
      </w:r>
    </w:p>
    <w:p w14:paraId="63291B3A" w14:textId="33BC4BB9" w:rsidR="00D02A4E" w:rsidRPr="002E707A" w:rsidRDefault="00045868" w:rsidP="00AC5287">
      <w:pPr>
        <w:shd w:val="clear" w:color="auto" w:fill="FFFFFF"/>
        <w:spacing w:line="360" w:lineRule="auto"/>
        <w:ind w:firstLine="720"/>
        <w:jc w:val="both"/>
        <w:rPr>
          <w:lang w:val="pt-BR"/>
        </w:rPr>
      </w:pPr>
      <w:r w:rsidRPr="002E707A">
        <w:rPr>
          <w:lang w:val="pt-BR"/>
        </w:rPr>
        <w:t xml:space="preserve">Os questionários foram aplicados online, utilizando a plataforma </w:t>
      </w:r>
      <w:proofErr w:type="spellStart"/>
      <w:r w:rsidRPr="002E707A">
        <w:rPr>
          <w:lang w:val="pt-BR"/>
        </w:rPr>
        <w:t>LimeSurvey</w:t>
      </w:r>
      <w:proofErr w:type="spellEnd"/>
      <w:r w:rsidRPr="002E707A">
        <w:rPr>
          <w:lang w:val="pt-BR"/>
        </w:rPr>
        <w:t xml:space="preserve">, e divulgados em redes sociais, com duração média de 15 minutos. </w:t>
      </w:r>
      <w:r w:rsidR="00F94D18" w:rsidRPr="002E707A">
        <w:rPr>
          <w:lang w:val="pt-BR"/>
        </w:rPr>
        <w:t xml:space="preserve">Primeiramente, os participantes foram </w:t>
      </w:r>
      <w:r w:rsidR="00F94D18" w:rsidRPr="002E707A">
        <w:rPr>
          <w:lang w:val="pt-BR"/>
        </w:rPr>
        <w:lastRenderedPageBreak/>
        <w:t>solicitados a ler e concordar com o Termo de Consentimento Livre e Esclarecido (TCLE), que pôde ser baixado integralmente na página inicial da pesquisa, expressando concordância com o termo ao clicar em “Prosseguir”. Nessa oportunidade, foram enfatizados os potenciais riscos inerentes à participação na pesquisa, a saber, o possível constrangimento em responder aos itens propostos e o caráter sigiloso das informações fornecidas, destacando que todas as informações seriam analisadas somente pelo pesquisador e/ou membros do grupo de pesquisa, garantindo o anonimato do respondente.</w:t>
      </w:r>
      <w:r>
        <w:rPr>
          <w:lang w:val="pt-BR"/>
        </w:rPr>
        <w:t xml:space="preserve"> </w:t>
      </w:r>
      <w:r w:rsidR="00162D58" w:rsidRPr="002E707A">
        <w:rPr>
          <w:lang w:val="pt-BR"/>
        </w:rPr>
        <w:t>Também foi garantido ao participante a oportunidade de desistir a qualquer momento. O estudo foi aprovado pelo Conselho de Ética em Pesquisa (CEP) de uma universidade federal brasileira, em conformidade com as normativas para pesquisas com seres humanos.</w:t>
      </w:r>
    </w:p>
    <w:p w14:paraId="5C68C1DF" w14:textId="45F3AA9D" w:rsidR="00D02A4E" w:rsidRPr="002E707A" w:rsidRDefault="00620A71" w:rsidP="00620A71">
      <w:pPr>
        <w:shd w:val="clear" w:color="auto" w:fill="FFFFFF"/>
        <w:spacing w:line="360" w:lineRule="auto"/>
        <w:jc w:val="both"/>
        <w:rPr>
          <w:lang w:val="pt-BR"/>
        </w:rPr>
      </w:pPr>
      <w:r w:rsidRPr="002E707A">
        <w:rPr>
          <w:b/>
          <w:i/>
          <w:lang w:val="pt-BR"/>
        </w:rPr>
        <w:t xml:space="preserve">Análise de dados </w:t>
      </w:r>
      <w:r w:rsidRPr="002E707A">
        <w:rPr>
          <w:lang w:val="pt-BR"/>
        </w:rPr>
        <w:t xml:space="preserve"> </w:t>
      </w:r>
    </w:p>
    <w:p w14:paraId="293ACC3B" w14:textId="77777777" w:rsidR="00134285" w:rsidRDefault="00620A71" w:rsidP="00045868">
      <w:pPr>
        <w:shd w:val="clear" w:color="auto" w:fill="FFFFFF"/>
        <w:spacing w:line="360" w:lineRule="auto"/>
        <w:ind w:firstLine="720"/>
        <w:jc w:val="both"/>
        <w:rPr>
          <w:lang w:val="pt-BR"/>
        </w:rPr>
      </w:pPr>
      <w:r w:rsidRPr="002E707A">
        <w:rPr>
          <w:lang w:val="pt-BR"/>
        </w:rPr>
        <w:t>Foram conduzidas Análises de Classes Latentes (</w:t>
      </w:r>
      <w:proofErr w:type="spellStart"/>
      <w:r w:rsidRPr="002E707A">
        <w:rPr>
          <w:lang w:val="pt-BR"/>
        </w:rPr>
        <w:t>Latent</w:t>
      </w:r>
      <w:proofErr w:type="spellEnd"/>
      <w:r w:rsidRPr="002E707A">
        <w:rPr>
          <w:lang w:val="pt-BR"/>
        </w:rPr>
        <w:t xml:space="preserve"> </w:t>
      </w:r>
      <w:proofErr w:type="spellStart"/>
      <w:r w:rsidRPr="002E707A">
        <w:rPr>
          <w:lang w:val="pt-BR"/>
        </w:rPr>
        <w:t>Class</w:t>
      </w:r>
      <w:proofErr w:type="spellEnd"/>
      <w:r w:rsidRPr="002E707A">
        <w:rPr>
          <w:lang w:val="pt-BR"/>
        </w:rPr>
        <w:t xml:space="preserve"> </w:t>
      </w:r>
      <w:proofErr w:type="spellStart"/>
      <w:r w:rsidRPr="002E707A">
        <w:rPr>
          <w:lang w:val="pt-BR"/>
        </w:rPr>
        <w:t>Analysis</w:t>
      </w:r>
      <w:proofErr w:type="spellEnd"/>
      <w:r w:rsidRPr="002E707A">
        <w:rPr>
          <w:lang w:val="pt-BR"/>
        </w:rPr>
        <w:t xml:space="preserve"> – LCA) no software </w:t>
      </w:r>
      <w:proofErr w:type="spellStart"/>
      <w:r w:rsidRPr="002E707A">
        <w:rPr>
          <w:lang w:val="pt-BR"/>
        </w:rPr>
        <w:t>MPlus</w:t>
      </w:r>
      <w:proofErr w:type="spellEnd"/>
      <w:r w:rsidRPr="002E707A">
        <w:rPr>
          <w:lang w:val="pt-BR"/>
        </w:rPr>
        <w:t xml:space="preserve"> (ver. 7), utilizando o estimador </w:t>
      </w:r>
      <w:proofErr w:type="spellStart"/>
      <w:r w:rsidRPr="002E707A">
        <w:rPr>
          <w:lang w:val="pt-BR"/>
        </w:rPr>
        <w:t>Robust</w:t>
      </w:r>
      <w:proofErr w:type="spellEnd"/>
      <w:r w:rsidRPr="002E707A">
        <w:rPr>
          <w:lang w:val="pt-BR"/>
        </w:rPr>
        <w:t xml:space="preserve"> </w:t>
      </w:r>
      <w:proofErr w:type="spellStart"/>
      <w:r w:rsidRPr="002E707A">
        <w:rPr>
          <w:lang w:val="pt-BR"/>
        </w:rPr>
        <w:t>Maximum</w:t>
      </w:r>
      <w:proofErr w:type="spellEnd"/>
      <w:r w:rsidRPr="002E707A">
        <w:rPr>
          <w:lang w:val="pt-BR"/>
        </w:rPr>
        <w:t xml:space="preserve"> </w:t>
      </w:r>
      <w:proofErr w:type="spellStart"/>
      <w:r w:rsidRPr="002E707A">
        <w:rPr>
          <w:lang w:val="pt-BR"/>
        </w:rPr>
        <w:t>Likelihood</w:t>
      </w:r>
      <w:proofErr w:type="spellEnd"/>
      <w:r w:rsidRPr="002E707A">
        <w:rPr>
          <w:lang w:val="pt-BR"/>
        </w:rPr>
        <w:t xml:space="preserve"> (RML) (</w:t>
      </w:r>
      <w:proofErr w:type="spellStart"/>
      <w:r w:rsidRPr="002E707A">
        <w:rPr>
          <w:lang w:val="pt-BR"/>
        </w:rPr>
        <w:t>Muthén</w:t>
      </w:r>
      <w:proofErr w:type="spellEnd"/>
      <w:r w:rsidRPr="002E707A">
        <w:rPr>
          <w:lang w:val="pt-BR"/>
        </w:rPr>
        <w:t xml:space="preserve"> &amp; </w:t>
      </w:r>
      <w:proofErr w:type="spellStart"/>
      <w:r w:rsidRPr="002E707A">
        <w:rPr>
          <w:lang w:val="pt-BR"/>
        </w:rPr>
        <w:t>Muthén</w:t>
      </w:r>
      <w:proofErr w:type="spellEnd"/>
      <w:r w:rsidRPr="002E707A">
        <w:rPr>
          <w:lang w:val="pt-BR"/>
        </w:rPr>
        <w:t xml:space="preserve">, 2018). Para evitar a </w:t>
      </w:r>
      <w:proofErr w:type="spellStart"/>
      <w:r w:rsidRPr="002E707A">
        <w:rPr>
          <w:lang w:val="pt-BR"/>
        </w:rPr>
        <w:t>subidentificação</w:t>
      </w:r>
      <w:proofErr w:type="spellEnd"/>
      <w:r w:rsidRPr="002E707A">
        <w:rPr>
          <w:lang w:val="pt-BR"/>
        </w:rPr>
        <w:t xml:space="preserve"> da quantidade de classes (</w:t>
      </w:r>
      <w:r w:rsidRPr="002E707A">
        <w:rPr>
          <w:i/>
          <w:iCs/>
          <w:lang w:val="pt-BR"/>
        </w:rPr>
        <w:t xml:space="preserve">Local </w:t>
      </w:r>
      <w:proofErr w:type="spellStart"/>
      <w:r w:rsidRPr="002E707A">
        <w:rPr>
          <w:i/>
          <w:iCs/>
          <w:lang w:val="pt-BR"/>
        </w:rPr>
        <w:t>Maxima</w:t>
      </w:r>
      <w:proofErr w:type="spellEnd"/>
      <w:r w:rsidRPr="002E707A">
        <w:rPr>
          <w:lang w:val="pt-BR"/>
        </w:rPr>
        <w:t xml:space="preserve">), definiu-se como padrão o valor de 7000 para os valores iniciais, dentre os quais reteve-se as 200 melhores soluções, assim como elevou-se o número de interações entre os valores iniciais para 300. </w:t>
      </w:r>
    </w:p>
    <w:p w14:paraId="2746BFD1" w14:textId="579D0B70" w:rsidR="006A6E16" w:rsidRDefault="00620A71" w:rsidP="002A1618">
      <w:pPr>
        <w:shd w:val="clear" w:color="auto" w:fill="FFFFFF"/>
        <w:spacing w:line="360" w:lineRule="auto"/>
        <w:ind w:firstLine="720"/>
        <w:jc w:val="both"/>
        <w:rPr>
          <w:lang w:val="pt-BR"/>
        </w:rPr>
      </w:pPr>
      <w:r w:rsidRPr="002E707A">
        <w:rPr>
          <w:lang w:val="pt-BR"/>
        </w:rPr>
        <w:t xml:space="preserve">A comparação e seleção dos modelos foi baseada nos indicadores de ajuste </w:t>
      </w:r>
      <w:proofErr w:type="spellStart"/>
      <w:r w:rsidRPr="002E707A">
        <w:rPr>
          <w:lang w:val="pt-BR"/>
        </w:rPr>
        <w:t>Akaike</w:t>
      </w:r>
      <w:proofErr w:type="spellEnd"/>
      <w:r w:rsidRPr="002E707A">
        <w:rPr>
          <w:lang w:val="pt-BR"/>
        </w:rPr>
        <w:t xml:space="preserve"> </w:t>
      </w:r>
      <w:proofErr w:type="spellStart"/>
      <w:r w:rsidRPr="002E707A">
        <w:rPr>
          <w:lang w:val="pt-BR"/>
        </w:rPr>
        <w:t>Information</w:t>
      </w:r>
      <w:proofErr w:type="spellEnd"/>
      <w:r w:rsidRPr="002E707A">
        <w:rPr>
          <w:lang w:val="pt-BR"/>
        </w:rPr>
        <w:t xml:space="preserve"> </w:t>
      </w:r>
      <w:proofErr w:type="spellStart"/>
      <w:r w:rsidRPr="002E707A">
        <w:rPr>
          <w:lang w:val="pt-BR"/>
        </w:rPr>
        <w:t>Criterion</w:t>
      </w:r>
      <w:proofErr w:type="spellEnd"/>
      <w:r w:rsidRPr="002E707A">
        <w:rPr>
          <w:lang w:val="pt-BR"/>
        </w:rPr>
        <w:t xml:space="preserve"> (AIC), </w:t>
      </w:r>
      <w:proofErr w:type="spellStart"/>
      <w:r w:rsidRPr="002E707A">
        <w:rPr>
          <w:lang w:val="pt-BR"/>
        </w:rPr>
        <w:t>Bayesian</w:t>
      </w:r>
      <w:proofErr w:type="spellEnd"/>
      <w:r w:rsidRPr="002E707A">
        <w:rPr>
          <w:lang w:val="pt-BR"/>
        </w:rPr>
        <w:t xml:space="preserve"> </w:t>
      </w:r>
      <w:proofErr w:type="spellStart"/>
      <w:r w:rsidRPr="002E707A">
        <w:rPr>
          <w:lang w:val="pt-BR"/>
        </w:rPr>
        <w:t>Information</w:t>
      </w:r>
      <w:proofErr w:type="spellEnd"/>
      <w:r w:rsidRPr="002E707A">
        <w:rPr>
          <w:lang w:val="pt-BR"/>
        </w:rPr>
        <w:t xml:space="preserve"> </w:t>
      </w:r>
      <w:proofErr w:type="spellStart"/>
      <w:r w:rsidRPr="002E707A">
        <w:rPr>
          <w:lang w:val="pt-BR"/>
        </w:rPr>
        <w:t>Criterion</w:t>
      </w:r>
      <w:proofErr w:type="spellEnd"/>
      <w:r w:rsidRPr="002E707A">
        <w:rPr>
          <w:lang w:val="pt-BR"/>
        </w:rPr>
        <w:t xml:space="preserve"> (BIC) e Sample-</w:t>
      </w:r>
      <w:proofErr w:type="spellStart"/>
      <w:r w:rsidRPr="002E707A">
        <w:rPr>
          <w:lang w:val="pt-BR"/>
        </w:rPr>
        <w:t>adjusted</w:t>
      </w:r>
      <w:proofErr w:type="spellEnd"/>
      <w:r w:rsidRPr="002E707A">
        <w:rPr>
          <w:lang w:val="pt-BR"/>
        </w:rPr>
        <w:t xml:space="preserve"> BIC (</w:t>
      </w:r>
      <w:proofErr w:type="spellStart"/>
      <w:r w:rsidRPr="002E707A">
        <w:rPr>
          <w:lang w:val="pt-BR"/>
        </w:rPr>
        <w:t>SaBIC</w:t>
      </w:r>
      <w:proofErr w:type="spellEnd"/>
      <w:r w:rsidRPr="002E707A">
        <w:rPr>
          <w:lang w:val="pt-BR"/>
        </w:rPr>
        <w:t>), priorizando os menores valores (</w:t>
      </w:r>
      <w:proofErr w:type="spellStart"/>
      <w:r w:rsidRPr="002E707A">
        <w:rPr>
          <w:lang w:val="pt-BR"/>
        </w:rPr>
        <w:t>Spurk</w:t>
      </w:r>
      <w:proofErr w:type="spellEnd"/>
      <w:r w:rsidRPr="002E707A">
        <w:rPr>
          <w:lang w:val="pt-BR"/>
        </w:rPr>
        <w:t xml:space="preserve"> et al., 2020)</w:t>
      </w:r>
      <w:r w:rsidR="00045868">
        <w:rPr>
          <w:lang w:val="pt-BR"/>
        </w:rPr>
        <w:t xml:space="preserve">; além de </w:t>
      </w:r>
      <w:r w:rsidRPr="002E707A">
        <w:rPr>
          <w:lang w:val="pt-BR"/>
        </w:rPr>
        <w:t xml:space="preserve">testes de simulação, a saber, </w:t>
      </w:r>
      <w:proofErr w:type="spellStart"/>
      <w:r w:rsidRPr="002E707A">
        <w:rPr>
          <w:lang w:val="pt-BR"/>
        </w:rPr>
        <w:t>Bootstrapped</w:t>
      </w:r>
      <w:proofErr w:type="spellEnd"/>
      <w:r w:rsidRPr="002E707A">
        <w:rPr>
          <w:lang w:val="pt-BR"/>
        </w:rPr>
        <w:t xml:space="preserve"> </w:t>
      </w:r>
      <w:proofErr w:type="spellStart"/>
      <w:r w:rsidRPr="002E707A">
        <w:rPr>
          <w:lang w:val="pt-BR"/>
        </w:rPr>
        <w:t>likelihood</w:t>
      </w:r>
      <w:proofErr w:type="spellEnd"/>
      <w:r w:rsidRPr="002E707A">
        <w:rPr>
          <w:lang w:val="pt-BR"/>
        </w:rPr>
        <w:t xml:space="preserve"> </w:t>
      </w:r>
      <w:proofErr w:type="spellStart"/>
      <w:r w:rsidRPr="002E707A">
        <w:rPr>
          <w:lang w:val="pt-BR"/>
        </w:rPr>
        <w:t>ratio</w:t>
      </w:r>
      <w:proofErr w:type="spellEnd"/>
      <w:r w:rsidRPr="002E707A">
        <w:rPr>
          <w:lang w:val="pt-BR"/>
        </w:rPr>
        <w:t xml:space="preserve"> </w:t>
      </w:r>
      <w:proofErr w:type="spellStart"/>
      <w:r w:rsidRPr="002E707A">
        <w:rPr>
          <w:lang w:val="pt-BR"/>
        </w:rPr>
        <w:t>test</w:t>
      </w:r>
      <w:proofErr w:type="spellEnd"/>
      <w:r w:rsidRPr="002E707A">
        <w:rPr>
          <w:lang w:val="pt-BR"/>
        </w:rPr>
        <w:t xml:space="preserve"> (BLRT) e o </w:t>
      </w:r>
      <w:proofErr w:type="spellStart"/>
      <w:r w:rsidRPr="002E707A">
        <w:rPr>
          <w:lang w:val="pt-BR"/>
        </w:rPr>
        <w:t>Adjusted</w:t>
      </w:r>
      <w:proofErr w:type="spellEnd"/>
      <w:r w:rsidRPr="002E707A">
        <w:rPr>
          <w:lang w:val="pt-BR"/>
        </w:rPr>
        <w:t xml:space="preserve"> </w:t>
      </w:r>
      <w:proofErr w:type="spellStart"/>
      <w:r w:rsidRPr="002E707A">
        <w:rPr>
          <w:lang w:val="pt-BR"/>
        </w:rPr>
        <w:t>Lo</w:t>
      </w:r>
      <w:proofErr w:type="spellEnd"/>
      <w:r w:rsidRPr="002E707A">
        <w:rPr>
          <w:lang w:val="pt-BR"/>
        </w:rPr>
        <w:t>-</w:t>
      </w:r>
      <w:proofErr w:type="spellStart"/>
      <w:r w:rsidRPr="002E707A">
        <w:rPr>
          <w:lang w:val="pt-BR"/>
        </w:rPr>
        <w:t>Mendell</w:t>
      </w:r>
      <w:proofErr w:type="spellEnd"/>
      <w:r w:rsidRPr="002E707A">
        <w:rPr>
          <w:lang w:val="pt-BR"/>
        </w:rPr>
        <w:t xml:space="preserve">-Rubin </w:t>
      </w:r>
      <w:proofErr w:type="spellStart"/>
      <w:r w:rsidRPr="002E707A">
        <w:rPr>
          <w:lang w:val="pt-BR"/>
        </w:rPr>
        <w:t>test</w:t>
      </w:r>
      <w:proofErr w:type="spellEnd"/>
      <w:r w:rsidRPr="002E707A">
        <w:rPr>
          <w:lang w:val="pt-BR"/>
        </w:rPr>
        <w:t xml:space="preserve"> (</w:t>
      </w:r>
      <w:proofErr w:type="spellStart"/>
      <w:r w:rsidRPr="002E707A">
        <w:rPr>
          <w:lang w:val="pt-BR"/>
        </w:rPr>
        <w:t>Adjusted</w:t>
      </w:r>
      <w:proofErr w:type="spellEnd"/>
      <w:r w:rsidRPr="002E707A">
        <w:rPr>
          <w:lang w:val="pt-BR"/>
        </w:rPr>
        <w:t xml:space="preserve"> LMR), que comparam o ajuste de um modelo com k classes, àqueles de uma solução com k + 1 classes. Valores significativos demonstram a melhor adequação do modelo com mais classes (</w:t>
      </w:r>
      <w:proofErr w:type="spellStart"/>
      <w:r w:rsidRPr="002E707A">
        <w:rPr>
          <w:lang w:val="pt-BR"/>
        </w:rPr>
        <w:t>Asparouhov</w:t>
      </w:r>
      <w:proofErr w:type="spellEnd"/>
      <w:r w:rsidRPr="002E707A">
        <w:rPr>
          <w:lang w:val="pt-BR"/>
        </w:rPr>
        <w:t xml:space="preserve"> &amp; </w:t>
      </w:r>
      <w:proofErr w:type="spellStart"/>
      <w:r w:rsidRPr="002E707A">
        <w:rPr>
          <w:lang w:val="pt-BR"/>
        </w:rPr>
        <w:t>Muthén</w:t>
      </w:r>
      <w:proofErr w:type="spellEnd"/>
      <w:r w:rsidRPr="002E707A">
        <w:rPr>
          <w:lang w:val="pt-BR"/>
        </w:rPr>
        <w:t>, 2012). Por fim, para a seleção final do número de classes, considerou-se o valor de Entropia</w:t>
      </w:r>
      <w:r w:rsidR="00E50D50">
        <w:rPr>
          <w:lang w:val="pt-BR"/>
        </w:rPr>
        <w:t xml:space="preserve">, para o qual </w:t>
      </w:r>
      <w:r w:rsidRPr="002E707A">
        <w:rPr>
          <w:lang w:val="pt-BR"/>
        </w:rPr>
        <w:t>valores maiores indicam melhor ajuste</w:t>
      </w:r>
      <w:r w:rsidR="00E50D50">
        <w:rPr>
          <w:lang w:val="pt-BR"/>
        </w:rPr>
        <w:t xml:space="preserve"> </w:t>
      </w:r>
      <w:r w:rsidRPr="002E707A">
        <w:rPr>
          <w:lang w:val="pt-BR"/>
        </w:rPr>
        <w:t>(</w:t>
      </w:r>
      <w:proofErr w:type="spellStart"/>
      <w:r w:rsidRPr="002E707A">
        <w:rPr>
          <w:lang w:val="pt-BR"/>
        </w:rPr>
        <w:t>Celeux</w:t>
      </w:r>
      <w:proofErr w:type="spellEnd"/>
      <w:r w:rsidRPr="002E707A">
        <w:rPr>
          <w:lang w:val="pt-BR"/>
        </w:rPr>
        <w:t xml:space="preserve"> &amp; </w:t>
      </w:r>
      <w:proofErr w:type="spellStart"/>
      <w:r w:rsidRPr="002E707A">
        <w:rPr>
          <w:lang w:val="pt-BR"/>
        </w:rPr>
        <w:t>Soromenho</w:t>
      </w:r>
      <w:proofErr w:type="spellEnd"/>
      <w:r w:rsidRPr="002E707A">
        <w:rPr>
          <w:lang w:val="pt-BR"/>
        </w:rPr>
        <w:t>, 1996), assim como o número de participantes por classe e outros estudos sobre a temática (</w:t>
      </w:r>
      <w:proofErr w:type="spellStart"/>
      <w:r w:rsidRPr="002E707A">
        <w:rPr>
          <w:lang w:val="pt-BR"/>
        </w:rPr>
        <w:t>Spurk</w:t>
      </w:r>
      <w:proofErr w:type="spellEnd"/>
      <w:r w:rsidRPr="002E707A">
        <w:rPr>
          <w:lang w:val="pt-BR"/>
        </w:rPr>
        <w:t xml:space="preserve"> et al., 2020). </w:t>
      </w:r>
    </w:p>
    <w:p w14:paraId="15922727" w14:textId="38A28629" w:rsidR="006A6E16" w:rsidRDefault="006A6E16" w:rsidP="002A1618">
      <w:pPr>
        <w:shd w:val="clear" w:color="auto" w:fill="FFFFFF"/>
        <w:spacing w:line="360" w:lineRule="auto"/>
        <w:ind w:firstLine="720"/>
        <w:jc w:val="both"/>
        <w:rPr>
          <w:lang w:val="pt-BR"/>
        </w:rPr>
      </w:pPr>
      <w:r>
        <w:rPr>
          <w:lang w:val="pt-BR"/>
        </w:rPr>
        <w:t xml:space="preserve">Após a definição dos perfis sugeridos, </w:t>
      </w:r>
      <w:r w:rsidR="004B554A">
        <w:rPr>
          <w:lang w:val="pt-BR"/>
        </w:rPr>
        <w:t xml:space="preserve">conduziram-se </w:t>
      </w:r>
      <w:r>
        <w:rPr>
          <w:lang w:val="pt-BR"/>
        </w:rPr>
        <w:t xml:space="preserve"> </w:t>
      </w:r>
      <w:r w:rsidR="004B554A" w:rsidRPr="002E707A">
        <w:rPr>
          <w:lang w:val="pt-BR"/>
        </w:rPr>
        <w:t xml:space="preserve">Regressões Logísticas </w:t>
      </w:r>
      <w:proofErr w:type="spellStart"/>
      <w:r w:rsidR="004B554A" w:rsidRPr="002E707A">
        <w:rPr>
          <w:lang w:val="pt-BR"/>
        </w:rPr>
        <w:t>Multinomiais</w:t>
      </w:r>
      <w:proofErr w:type="spellEnd"/>
      <w:r w:rsidR="004B554A" w:rsidRPr="002E707A">
        <w:rPr>
          <w:lang w:val="pt-BR"/>
        </w:rPr>
        <w:t xml:space="preserve"> Múltiplas (MMLR) para a avaliação do poder preditivo das variáveis sociodemográficas sobre as classes latentes. A classe com maior probabilidade de pertencimento foi utilizada como variável dependente, enquanto foram incluídas, como variáveis independentes, as que seguem: renda familiar, escolaridade, etnia (brancos, não-brancos), presença de doenças crônicas (sem diagnóstico, um diagnóstico, múltiplos diagnósticos), presença de diagnósticos psiquiátricos (sem diagnóstico, um diagnóstico, múltiplos diagnósticos), tempo de uso e idade inicial de uso.</w:t>
      </w:r>
    </w:p>
    <w:bookmarkEnd w:id="0"/>
    <w:p w14:paraId="7703DB40" w14:textId="77777777" w:rsidR="005F613C" w:rsidRPr="002E707A" w:rsidRDefault="005F613C" w:rsidP="005F613C">
      <w:pPr>
        <w:shd w:val="clear" w:color="auto" w:fill="FFFFFF"/>
        <w:spacing w:line="360" w:lineRule="auto"/>
        <w:jc w:val="center"/>
        <w:rPr>
          <w:lang w:val="pt-BR"/>
        </w:rPr>
      </w:pPr>
      <w:r w:rsidRPr="002E707A">
        <w:rPr>
          <w:b/>
          <w:lang w:val="pt-BR"/>
        </w:rPr>
        <w:lastRenderedPageBreak/>
        <w:t xml:space="preserve">Resultados </w:t>
      </w:r>
    </w:p>
    <w:p w14:paraId="7AC9A369" w14:textId="1B15AC28" w:rsidR="005F613C" w:rsidRPr="002E707A" w:rsidRDefault="005F613C" w:rsidP="00A3334E">
      <w:pPr>
        <w:shd w:val="clear" w:color="auto" w:fill="FFFFFF"/>
        <w:spacing w:line="360" w:lineRule="auto"/>
        <w:ind w:firstLine="720"/>
        <w:jc w:val="both"/>
        <w:rPr>
          <w:lang w:val="pt-BR"/>
        </w:rPr>
      </w:pPr>
      <w:r w:rsidRPr="002E707A">
        <w:rPr>
          <w:lang w:val="pt-BR"/>
        </w:rPr>
        <w:t xml:space="preserve">Com vistas à exposição mais clara dos resultados, estes serão descritos em seções, conforme se observa abaixo. </w:t>
      </w:r>
    </w:p>
    <w:p w14:paraId="248EF12D" w14:textId="77777777" w:rsidR="005F613C" w:rsidRPr="002E707A" w:rsidRDefault="005F613C" w:rsidP="005F613C">
      <w:pPr>
        <w:shd w:val="clear" w:color="auto" w:fill="FFFFFF"/>
        <w:spacing w:line="360" w:lineRule="auto"/>
        <w:jc w:val="both"/>
        <w:rPr>
          <w:lang w:val="pt-BR"/>
        </w:rPr>
      </w:pPr>
      <w:r w:rsidRPr="002E707A">
        <w:rPr>
          <w:b/>
          <w:i/>
          <w:lang w:val="pt-BR"/>
        </w:rPr>
        <w:t xml:space="preserve">Definição dos padrões de consumo </w:t>
      </w:r>
    </w:p>
    <w:p w14:paraId="00156C8C" w14:textId="49210EA1" w:rsidR="004B554A" w:rsidRPr="002E707A" w:rsidRDefault="004B554A" w:rsidP="004B554A">
      <w:pPr>
        <w:shd w:val="clear" w:color="auto" w:fill="FFFFFF"/>
        <w:spacing w:line="360" w:lineRule="auto"/>
        <w:ind w:firstLine="720"/>
        <w:jc w:val="both"/>
        <w:rPr>
          <w:lang w:val="pt-BR"/>
        </w:rPr>
      </w:pPr>
      <w:r>
        <w:rPr>
          <w:lang w:val="pt-BR"/>
        </w:rPr>
        <w:t xml:space="preserve">Para a definição dos modelos, foram </w:t>
      </w:r>
      <w:r w:rsidRPr="002E707A">
        <w:rPr>
          <w:lang w:val="pt-BR"/>
        </w:rPr>
        <w:t xml:space="preserve">utilizados como indicadores as seguintes variáveis: frequência de uso (“uma vez ou menos por semana”, “De 2 a 4 vezes por semana”, “De 5 a 7 vezes por semana”, “Mais de uma vez ao dia”), dosagem média/uso (“Menos de 1g”, “Aprox. 1g”, “Mais de 1g”), tipo de produto consumido (“Comestíveis/Óleo”, “Solto”, “Prensado”, “Alta Qualidade”) e método de consumo (“Comestíveis”, “Em cosméticos/suplementos/óleo”, “Fumado”, “Vaporizado”). As variáveis foram recategorizadas considerando a máxima isonomia possível entre categorias. Foram construídos modelos aninhados com número crescente de classes. A construção dos modelos foi interrompida quando os valores dos indicadores se demonstraram menos satisfatórios do que o modelo com menos classes.  </w:t>
      </w:r>
    </w:p>
    <w:p w14:paraId="1AC712E8" w14:textId="50F1D953" w:rsidR="005F613C" w:rsidRDefault="005F613C" w:rsidP="005F613C">
      <w:pPr>
        <w:shd w:val="clear" w:color="auto" w:fill="FFFFFF"/>
        <w:spacing w:line="360" w:lineRule="auto"/>
        <w:ind w:firstLine="720"/>
        <w:jc w:val="both"/>
        <w:rPr>
          <w:lang w:val="pt-BR"/>
        </w:rPr>
      </w:pPr>
      <w:r w:rsidRPr="002E707A">
        <w:rPr>
          <w:lang w:val="pt-BR"/>
        </w:rPr>
        <w:t>A Tabela 2 apresenta os indicadores dos modelos de LCA construídos. O modelo com mais classes apresentava quatro classes, momento em que se apresentaram indicadores que sugeriram que um modelo com menos classes seria mais adequado.</w:t>
      </w:r>
    </w:p>
    <w:p w14:paraId="3035D891" w14:textId="77777777" w:rsidR="00206B05" w:rsidRPr="002E707A" w:rsidRDefault="00206B05" w:rsidP="00206B05">
      <w:pPr>
        <w:shd w:val="clear" w:color="auto" w:fill="FFFFFF"/>
        <w:spacing w:line="360" w:lineRule="auto"/>
        <w:ind w:firstLine="720"/>
        <w:jc w:val="both"/>
        <w:rPr>
          <w:lang w:val="pt-BR"/>
        </w:rPr>
      </w:pPr>
      <w:r w:rsidRPr="002E707A">
        <w:rPr>
          <w:lang w:val="pt-BR"/>
        </w:rPr>
        <w:t xml:space="preserve">É possível observar, inicialmente, que os índices LMR e BLRT apontaram a possível maior adequação de um modelo com mais uma classe. De fato, os valores de AIC, BIC e SABIC apresentaram-se menores para o modelo de três classes. Ainda que a Entropia tenha também se reduzido, manteve-se dentro do parâmetro indicado como aceitável pela literatura (Sinha et al., 2022), indicando uma melhor adequação dessa alternativa aos dados.  </w:t>
      </w:r>
    </w:p>
    <w:p w14:paraId="193CF05B" w14:textId="77777777" w:rsidR="00E251DE" w:rsidRPr="002E707A" w:rsidRDefault="00E251DE" w:rsidP="00E251DE">
      <w:pPr>
        <w:shd w:val="clear" w:color="auto" w:fill="FFFFFF"/>
        <w:spacing w:line="360" w:lineRule="auto"/>
        <w:ind w:firstLine="720"/>
        <w:jc w:val="both"/>
        <w:rPr>
          <w:lang w:val="pt-BR"/>
        </w:rPr>
      </w:pPr>
      <w:r w:rsidRPr="002E707A">
        <w:rPr>
          <w:lang w:val="pt-BR"/>
        </w:rPr>
        <w:t xml:space="preserve">Para o modelo de três classes, o LMR demonstrou-se não significativo, portanto, desfavorável à construção de um modelo com quatro classes. No entanto, os valores de BLRT ainda foram significativos, de modo que se optou pela construção da alternativa com quatro perfis. Nesta alternativa, os valores de AIC e SABIC apresentaram leve redução, enquanto o valor de BIC sofreu acréscimo. Mesmo que aqueles indicadores sejam mais confiáveis para a determinação da adequação do modelo em amostras menores (Sinha et al., 2022), optou-se pela retenção do modelo de três fatores, haja vista a manutenção da parcimônia do modelo frente à sutil melhoria nos parâmetros de ajuste. Neste mesmo sentido, o LMR se mostrou, novamente, não significativo, com p-valor próximo de 1. Considerou-se, assim, interromper o ajuste de novos modelos com mais </w:t>
      </w:r>
      <w:r w:rsidRPr="002E707A">
        <w:rPr>
          <w:lang w:val="pt-BR"/>
        </w:rPr>
        <w:lastRenderedPageBreak/>
        <w:t>classes, mesmo que o BLRT tenha sido significativo, haja vista que esse indicador tende a superestimar o número de classes.</w:t>
      </w:r>
    </w:p>
    <w:p w14:paraId="136830B2" w14:textId="0E3FA1B3" w:rsidR="00CB2948" w:rsidRPr="002E707A" w:rsidRDefault="00CB2948" w:rsidP="00A1791E">
      <w:pPr>
        <w:shd w:val="clear" w:color="auto" w:fill="FFFFFF"/>
        <w:spacing w:line="360" w:lineRule="auto"/>
        <w:jc w:val="both"/>
        <w:rPr>
          <w:sz w:val="20"/>
          <w:szCs w:val="20"/>
          <w:lang w:val="pt-BR"/>
        </w:rPr>
      </w:pPr>
      <w:r w:rsidRPr="002E707A">
        <w:rPr>
          <w:sz w:val="20"/>
          <w:szCs w:val="20"/>
          <w:lang w:val="pt-BR"/>
        </w:rPr>
        <w:t>Tabela 2</w:t>
      </w:r>
    </w:p>
    <w:p w14:paraId="1F20D949" w14:textId="77777777" w:rsidR="00CB2948" w:rsidRPr="002E707A" w:rsidRDefault="00CB2948" w:rsidP="00CB2948">
      <w:pPr>
        <w:shd w:val="clear" w:color="auto" w:fill="FFFFFF"/>
        <w:spacing w:line="360" w:lineRule="auto"/>
        <w:jc w:val="both"/>
        <w:rPr>
          <w:i/>
          <w:iCs/>
          <w:sz w:val="20"/>
          <w:szCs w:val="20"/>
          <w:lang w:val="pt-BR"/>
        </w:rPr>
      </w:pPr>
      <w:r w:rsidRPr="002E707A">
        <w:rPr>
          <w:i/>
          <w:iCs/>
          <w:sz w:val="20"/>
          <w:szCs w:val="20"/>
          <w:lang w:val="pt-BR"/>
        </w:rPr>
        <w:t xml:space="preserve">Indicadores de ajuste dos modelos de LCA </w:t>
      </w:r>
    </w:p>
    <w:tbl>
      <w:tblPr>
        <w:tblW w:w="5000" w:type="pct"/>
        <w:tblLayout w:type="fixed"/>
        <w:tblCellMar>
          <w:left w:w="70" w:type="dxa"/>
          <w:right w:w="70" w:type="dxa"/>
        </w:tblCellMar>
        <w:tblLook w:val="04A0" w:firstRow="1" w:lastRow="0" w:firstColumn="1" w:lastColumn="0" w:noHBand="0" w:noVBand="1"/>
      </w:tblPr>
      <w:tblGrid>
        <w:gridCol w:w="785"/>
        <w:gridCol w:w="631"/>
        <w:gridCol w:w="1099"/>
        <w:gridCol w:w="784"/>
        <w:gridCol w:w="940"/>
        <w:gridCol w:w="940"/>
        <w:gridCol w:w="942"/>
        <w:gridCol w:w="1098"/>
        <w:gridCol w:w="1100"/>
        <w:gridCol w:w="1085"/>
      </w:tblGrid>
      <w:tr w:rsidR="00535243" w:rsidRPr="002E707A" w14:paraId="6CCF6174" w14:textId="77777777" w:rsidTr="002B79EE">
        <w:trPr>
          <w:trHeight w:val="276"/>
        </w:trPr>
        <w:tc>
          <w:tcPr>
            <w:tcW w:w="417" w:type="pct"/>
            <w:tcBorders>
              <w:top w:val="single" w:sz="4" w:space="0" w:color="auto"/>
              <w:left w:val="nil"/>
              <w:bottom w:val="single" w:sz="4" w:space="0" w:color="auto"/>
              <w:right w:val="nil"/>
            </w:tcBorders>
            <w:shd w:val="clear" w:color="auto" w:fill="auto"/>
            <w:noWrap/>
            <w:vAlign w:val="bottom"/>
            <w:hideMark/>
          </w:tcPr>
          <w:p w14:paraId="04F84FC0" w14:textId="77777777" w:rsidR="00535243" w:rsidRPr="002E707A" w:rsidRDefault="00535243" w:rsidP="00B957C4">
            <w:pPr>
              <w:spacing w:line="360" w:lineRule="auto"/>
              <w:jc w:val="center"/>
              <w:rPr>
                <w:b/>
                <w:bCs/>
                <w:color w:val="000000"/>
                <w:sz w:val="20"/>
                <w:szCs w:val="20"/>
                <w:lang w:val="pt-BR" w:eastAsia="pt-BR"/>
              </w:rPr>
            </w:pPr>
            <w:r w:rsidRPr="002E707A">
              <w:rPr>
                <w:b/>
                <w:bCs/>
                <w:color w:val="000000"/>
                <w:sz w:val="20"/>
                <w:szCs w:val="20"/>
                <w:lang w:val="pt-BR" w:eastAsia="pt-BR"/>
              </w:rPr>
              <w:t>Class.</w:t>
            </w:r>
          </w:p>
        </w:tc>
        <w:tc>
          <w:tcPr>
            <w:tcW w:w="335" w:type="pct"/>
            <w:tcBorders>
              <w:top w:val="single" w:sz="4" w:space="0" w:color="auto"/>
              <w:left w:val="nil"/>
              <w:bottom w:val="single" w:sz="4" w:space="0" w:color="auto"/>
              <w:right w:val="nil"/>
            </w:tcBorders>
            <w:shd w:val="clear" w:color="auto" w:fill="auto"/>
            <w:noWrap/>
            <w:vAlign w:val="bottom"/>
            <w:hideMark/>
          </w:tcPr>
          <w:p w14:paraId="45183704" w14:textId="77777777" w:rsidR="00535243" w:rsidRPr="002E707A" w:rsidRDefault="00535243" w:rsidP="00B957C4">
            <w:pPr>
              <w:spacing w:line="360" w:lineRule="auto"/>
              <w:jc w:val="center"/>
              <w:rPr>
                <w:b/>
                <w:bCs/>
                <w:color w:val="000000"/>
                <w:sz w:val="20"/>
                <w:szCs w:val="20"/>
                <w:lang w:val="pt-BR" w:eastAsia="pt-BR"/>
              </w:rPr>
            </w:pPr>
            <w:r w:rsidRPr="002E707A">
              <w:rPr>
                <w:b/>
                <w:bCs/>
                <w:color w:val="000000"/>
                <w:sz w:val="20"/>
                <w:szCs w:val="20"/>
                <w:lang w:val="pt-BR" w:eastAsia="pt-BR"/>
              </w:rPr>
              <w:t>#fp¹</w:t>
            </w:r>
          </w:p>
        </w:tc>
        <w:tc>
          <w:tcPr>
            <w:tcW w:w="584" w:type="pct"/>
            <w:tcBorders>
              <w:top w:val="single" w:sz="4" w:space="0" w:color="auto"/>
              <w:left w:val="nil"/>
              <w:bottom w:val="single" w:sz="4" w:space="0" w:color="auto"/>
              <w:right w:val="nil"/>
            </w:tcBorders>
            <w:shd w:val="clear" w:color="auto" w:fill="auto"/>
            <w:noWrap/>
            <w:vAlign w:val="bottom"/>
            <w:hideMark/>
          </w:tcPr>
          <w:p w14:paraId="4D036C1E" w14:textId="77777777" w:rsidR="00535243" w:rsidRPr="002E707A" w:rsidRDefault="00535243" w:rsidP="00B957C4">
            <w:pPr>
              <w:spacing w:line="360" w:lineRule="auto"/>
              <w:jc w:val="center"/>
              <w:rPr>
                <w:b/>
                <w:bCs/>
                <w:color w:val="000000"/>
                <w:sz w:val="20"/>
                <w:szCs w:val="20"/>
                <w:lang w:val="pt-BR" w:eastAsia="pt-BR"/>
              </w:rPr>
            </w:pPr>
            <w:r w:rsidRPr="002E707A">
              <w:rPr>
                <w:b/>
                <w:bCs/>
                <w:color w:val="000000"/>
                <w:sz w:val="20"/>
                <w:szCs w:val="20"/>
                <w:lang w:val="pt-BR" w:eastAsia="pt-BR"/>
              </w:rPr>
              <w:t>LL²</w:t>
            </w:r>
          </w:p>
        </w:tc>
        <w:tc>
          <w:tcPr>
            <w:tcW w:w="417" w:type="pct"/>
            <w:tcBorders>
              <w:top w:val="single" w:sz="4" w:space="0" w:color="auto"/>
              <w:left w:val="nil"/>
              <w:bottom w:val="single" w:sz="4" w:space="0" w:color="auto"/>
              <w:right w:val="nil"/>
            </w:tcBorders>
            <w:shd w:val="clear" w:color="auto" w:fill="auto"/>
            <w:noWrap/>
            <w:vAlign w:val="bottom"/>
            <w:hideMark/>
          </w:tcPr>
          <w:p w14:paraId="1757A8AC" w14:textId="77777777" w:rsidR="00535243" w:rsidRPr="002E707A" w:rsidRDefault="00535243" w:rsidP="00B957C4">
            <w:pPr>
              <w:spacing w:line="360" w:lineRule="auto"/>
              <w:jc w:val="center"/>
              <w:rPr>
                <w:b/>
                <w:bCs/>
                <w:color w:val="000000"/>
                <w:sz w:val="20"/>
                <w:szCs w:val="20"/>
                <w:lang w:val="pt-BR" w:eastAsia="pt-BR"/>
              </w:rPr>
            </w:pPr>
            <w:r w:rsidRPr="002E707A">
              <w:rPr>
                <w:b/>
                <w:bCs/>
                <w:color w:val="000000"/>
                <w:sz w:val="20"/>
                <w:szCs w:val="20"/>
                <w:lang w:val="pt-BR" w:eastAsia="pt-BR"/>
              </w:rPr>
              <w:t>SCF³</w:t>
            </w:r>
          </w:p>
        </w:tc>
        <w:tc>
          <w:tcPr>
            <w:tcW w:w="500" w:type="pct"/>
            <w:tcBorders>
              <w:top w:val="single" w:sz="4" w:space="0" w:color="auto"/>
              <w:left w:val="nil"/>
              <w:bottom w:val="single" w:sz="4" w:space="0" w:color="auto"/>
              <w:right w:val="nil"/>
            </w:tcBorders>
            <w:shd w:val="clear" w:color="auto" w:fill="auto"/>
            <w:noWrap/>
            <w:vAlign w:val="bottom"/>
            <w:hideMark/>
          </w:tcPr>
          <w:p w14:paraId="18EE85EF" w14:textId="77777777" w:rsidR="00535243" w:rsidRPr="002E707A" w:rsidRDefault="00535243" w:rsidP="00B957C4">
            <w:pPr>
              <w:spacing w:line="360" w:lineRule="auto"/>
              <w:jc w:val="center"/>
              <w:rPr>
                <w:b/>
                <w:bCs/>
                <w:color w:val="000000"/>
                <w:sz w:val="20"/>
                <w:szCs w:val="20"/>
                <w:lang w:val="pt-BR" w:eastAsia="pt-BR"/>
              </w:rPr>
            </w:pPr>
            <w:r w:rsidRPr="002E707A">
              <w:rPr>
                <w:b/>
                <w:bCs/>
                <w:color w:val="000000"/>
                <w:sz w:val="20"/>
                <w:szCs w:val="20"/>
                <w:lang w:val="pt-BR" w:eastAsia="pt-BR"/>
              </w:rPr>
              <w:t>AIC</w:t>
            </w:r>
          </w:p>
        </w:tc>
        <w:tc>
          <w:tcPr>
            <w:tcW w:w="500" w:type="pct"/>
            <w:tcBorders>
              <w:top w:val="single" w:sz="4" w:space="0" w:color="auto"/>
              <w:left w:val="nil"/>
              <w:bottom w:val="single" w:sz="4" w:space="0" w:color="auto"/>
              <w:right w:val="nil"/>
            </w:tcBorders>
            <w:shd w:val="clear" w:color="auto" w:fill="auto"/>
            <w:noWrap/>
            <w:vAlign w:val="bottom"/>
            <w:hideMark/>
          </w:tcPr>
          <w:p w14:paraId="1194E530" w14:textId="77777777" w:rsidR="00535243" w:rsidRPr="002E707A" w:rsidRDefault="00535243" w:rsidP="00B957C4">
            <w:pPr>
              <w:spacing w:line="360" w:lineRule="auto"/>
              <w:jc w:val="center"/>
              <w:rPr>
                <w:b/>
                <w:bCs/>
                <w:color w:val="000000"/>
                <w:sz w:val="20"/>
                <w:szCs w:val="20"/>
                <w:lang w:val="pt-BR" w:eastAsia="pt-BR"/>
              </w:rPr>
            </w:pPr>
            <w:r w:rsidRPr="002E707A">
              <w:rPr>
                <w:b/>
                <w:bCs/>
                <w:color w:val="000000"/>
                <w:sz w:val="20"/>
                <w:szCs w:val="20"/>
                <w:lang w:val="pt-BR" w:eastAsia="pt-BR"/>
              </w:rPr>
              <w:t>BIC</w:t>
            </w:r>
          </w:p>
        </w:tc>
        <w:tc>
          <w:tcPr>
            <w:tcW w:w="501" w:type="pct"/>
            <w:tcBorders>
              <w:top w:val="single" w:sz="4" w:space="0" w:color="auto"/>
              <w:left w:val="nil"/>
              <w:bottom w:val="single" w:sz="4" w:space="0" w:color="auto"/>
              <w:right w:val="nil"/>
            </w:tcBorders>
            <w:shd w:val="clear" w:color="auto" w:fill="auto"/>
            <w:noWrap/>
            <w:vAlign w:val="bottom"/>
            <w:hideMark/>
          </w:tcPr>
          <w:p w14:paraId="1829213B" w14:textId="77777777" w:rsidR="00535243" w:rsidRPr="002E707A" w:rsidRDefault="00535243" w:rsidP="00B957C4">
            <w:pPr>
              <w:spacing w:line="360" w:lineRule="auto"/>
              <w:jc w:val="center"/>
              <w:rPr>
                <w:b/>
                <w:bCs/>
                <w:color w:val="000000"/>
                <w:sz w:val="20"/>
                <w:szCs w:val="20"/>
                <w:lang w:val="pt-BR" w:eastAsia="pt-BR"/>
              </w:rPr>
            </w:pPr>
            <w:r w:rsidRPr="002E707A">
              <w:rPr>
                <w:b/>
                <w:bCs/>
                <w:color w:val="000000"/>
                <w:sz w:val="20"/>
                <w:szCs w:val="20"/>
                <w:lang w:val="pt-BR" w:eastAsia="pt-BR"/>
              </w:rPr>
              <w:t>SABIC</w:t>
            </w:r>
          </w:p>
        </w:tc>
        <w:tc>
          <w:tcPr>
            <w:tcW w:w="584" w:type="pct"/>
            <w:tcBorders>
              <w:top w:val="single" w:sz="4" w:space="0" w:color="auto"/>
              <w:left w:val="nil"/>
              <w:bottom w:val="single" w:sz="4" w:space="0" w:color="auto"/>
              <w:right w:val="nil"/>
            </w:tcBorders>
            <w:shd w:val="clear" w:color="auto" w:fill="auto"/>
            <w:noWrap/>
            <w:vAlign w:val="bottom"/>
            <w:hideMark/>
          </w:tcPr>
          <w:p w14:paraId="7CEC9026" w14:textId="77777777" w:rsidR="00535243" w:rsidRPr="002E707A" w:rsidRDefault="00535243" w:rsidP="00B957C4">
            <w:pPr>
              <w:spacing w:line="360" w:lineRule="auto"/>
              <w:jc w:val="center"/>
              <w:rPr>
                <w:b/>
                <w:bCs/>
                <w:color w:val="000000"/>
                <w:sz w:val="20"/>
                <w:szCs w:val="20"/>
                <w:lang w:val="pt-BR" w:eastAsia="pt-BR"/>
              </w:rPr>
            </w:pPr>
            <w:r w:rsidRPr="002E707A">
              <w:rPr>
                <w:b/>
                <w:bCs/>
                <w:color w:val="000000"/>
                <w:sz w:val="20"/>
                <w:szCs w:val="20"/>
                <w:lang w:val="pt-BR" w:eastAsia="pt-BR"/>
              </w:rPr>
              <w:t>Entropia</w:t>
            </w:r>
          </w:p>
        </w:tc>
        <w:tc>
          <w:tcPr>
            <w:tcW w:w="585" w:type="pct"/>
            <w:tcBorders>
              <w:top w:val="single" w:sz="4" w:space="0" w:color="auto"/>
              <w:left w:val="nil"/>
              <w:bottom w:val="single" w:sz="4" w:space="0" w:color="auto"/>
              <w:right w:val="nil"/>
            </w:tcBorders>
            <w:shd w:val="clear" w:color="auto" w:fill="auto"/>
            <w:noWrap/>
            <w:vAlign w:val="bottom"/>
            <w:hideMark/>
          </w:tcPr>
          <w:p w14:paraId="1A62F918" w14:textId="77777777" w:rsidR="00535243" w:rsidRPr="002E707A" w:rsidRDefault="00535243" w:rsidP="00B957C4">
            <w:pPr>
              <w:spacing w:line="360" w:lineRule="auto"/>
              <w:jc w:val="center"/>
              <w:rPr>
                <w:b/>
                <w:bCs/>
                <w:color w:val="000000"/>
                <w:sz w:val="20"/>
                <w:szCs w:val="20"/>
                <w:lang w:val="pt-BR" w:eastAsia="pt-BR"/>
              </w:rPr>
            </w:pPr>
            <w:r w:rsidRPr="002E707A">
              <w:rPr>
                <w:b/>
                <w:bCs/>
                <w:color w:val="000000"/>
                <w:sz w:val="20"/>
                <w:szCs w:val="20"/>
                <w:lang w:val="pt-BR" w:eastAsia="pt-BR"/>
              </w:rPr>
              <w:t>LMR (p) (TCH 11)</w:t>
            </w:r>
          </w:p>
        </w:tc>
        <w:tc>
          <w:tcPr>
            <w:tcW w:w="578" w:type="pct"/>
            <w:tcBorders>
              <w:top w:val="single" w:sz="4" w:space="0" w:color="auto"/>
              <w:left w:val="nil"/>
              <w:bottom w:val="single" w:sz="4" w:space="0" w:color="auto"/>
              <w:right w:val="nil"/>
            </w:tcBorders>
            <w:shd w:val="clear" w:color="auto" w:fill="auto"/>
            <w:noWrap/>
            <w:vAlign w:val="bottom"/>
            <w:hideMark/>
          </w:tcPr>
          <w:p w14:paraId="61FAC7C9" w14:textId="77777777" w:rsidR="00535243" w:rsidRPr="002E707A" w:rsidRDefault="00535243" w:rsidP="00B957C4">
            <w:pPr>
              <w:spacing w:line="360" w:lineRule="auto"/>
              <w:jc w:val="center"/>
              <w:rPr>
                <w:b/>
                <w:bCs/>
                <w:color w:val="000000"/>
                <w:sz w:val="20"/>
                <w:szCs w:val="20"/>
                <w:lang w:val="pt-BR" w:eastAsia="pt-BR"/>
              </w:rPr>
            </w:pPr>
            <w:r w:rsidRPr="002E707A">
              <w:rPr>
                <w:b/>
                <w:bCs/>
                <w:color w:val="000000"/>
                <w:sz w:val="20"/>
                <w:szCs w:val="20"/>
                <w:lang w:val="pt-BR" w:eastAsia="pt-BR"/>
              </w:rPr>
              <w:t>BLRT (p) (TCH 14)</w:t>
            </w:r>
          </w:p>
        </w:tc>
      </w:tr>
      <w:tr w:rsidR="001D07AD" w:rsidRPr="002E707A" w14:paraId="118CCF7C" w14:textId="77777777" w:rsidTr="002B79EE">
        <w:trPr>
          <w:trHeight w:val="276"/>
        </w:trPr>
        <w:tc>
          <w:tcPr>
            <w:tcW w:w="417" w:type="pct"/>
            <w:tcBorders>
              <w:top w:val="single" w:sz="4" w:space="0" w:color="auto"/>
              <w:left w:val="nil"/>
              <w:bottom w:val="nil"/>
              <w:right w:val="nil"/>
            </w:tcBorders>
            <w:shd w:val="clear" w:color="auto" w:fill="auto"/>
            <w:noWrap/>
            <w:vAlign w:val="bottom"/>
            <w:hideMark/>
          </w:tcPr>
          <w:p w14:paraId="6ADA8D82" w14:textId="77777777" w:rsidR="00535243" w:rsidRPr="002E707A" w:rsidRDefault="00535243" w:rsidP="00B957C4">
            <w:pPr>
              <w:spacing w:line="360" w:lineRule="auto"/>
              <w:jc w:val="center"/>
              <w:rPr>
                <w:color w:val="000000"/>
                <w:sz w:val="20"/>
                <w:szCs w:val="20"/>
                <w:lang w:val="pt-BR" w:eastAsia="pt-BR"/>
              </w:rPr>
            </w:pPr>
            <w:r w:rsidRPr="002E707A">
              <w:rPr>
                <w:color w:val="000000"/>
                <w:sz w:val="20"/>
                <w:szCs w:val="20"/>
                <w:lang w:val="pt-BR" w:eastAsia="pt-BR"/>
              </w:rPr>
              <w:t>2</w:t>
            </w:r>
          </w:p>
        </w:tc>
        <w:tc>
          <w:tcPr>
            <w:tcW w:w="335" w:type="pct"/>
            <w:tcBorders>
              <w:top w:val="single" w:sz="4" w:space="0" w:color="auto"/>
              <w:left w:val="nil"/>
              <w:bottom w:val="nil"/>
              <w:right w:val="nil"/>
            </w:tcBorders>
            <w:shd w:val="clear" w:color="auto" w:fill="auto"/>
            <w:noWrap/>
            <w:vAlign w:val="bottom"/>
            <w:hideMark/>
          </w:tcPr>
          <w:p w14:paraId="5D73A37E" w14:textId="77777777" w:rsidR="00535243" w:rsidRPr="002E707A" w:rsidRDefault="00535243" w:rsidP="00B957C4">
            <w:pPr>
              <w:spacing w:line="360" w:lineRule="auto"/>
              <w:jc w:val="center"/>
              <w:rPr>
                <w:color w:val="000000"/>
                <w:sz w:val="20"/>
                <w:szCs w:val="20"/>
                <w:lang w:val="pt-BR" w:eastAsia="pt-BR"/>
              </w:rPr>
            </w:pPr>
            <w:r w:rsidRPr="002E707A">
              <w:rPr>
                <w:color w:val="000000"/>
                <w:sz w:val="20"/>
                <w:szCs w:val="20"/>
                <w:lang w:val="pt-BR" w:eastAsia="pt-BR"/>
              </w:rPr>
              <w:t>23</w:t>
            </w:r>
          </w:p>
        </w:tc>
        <w:tc>
          <w:tcPr>
            <w:tcW w:w="584" w:type="pct"/>
            <w:tcBorders>
              <w:top w:val="single" w:sz="4" w:space="0" w:color="auto"/>
              <w:left w:val="nil"/>
              <w:bottom w:val="nil"/>
              <w:right w:val="nil"/>
            </w:tcBorders>
            <w:shd w:val="clear" w:color="auto" w:fill="auto"/>
            <w:noWrap/>
            <w:vAlign w:val="bottom"/>
            <w:hideMark/>
          </w:tcPr>
          <w:p w14:paraId="38540EF0" w14:textId="77777777" w:rsidR="00535243" w:rsidRPr="002E707A" w:rsidRDefault="00535243" w:rsidP="00B957C4">
            <w:pPr>
              <w:spacing w:line="360" w:lineRule="auto"/>
              <w:jc w:val="center"/>
              <w:rPr>
                <w:color w:val="000000"/>
                <w:sz w:val="20"/>
                <w:szCs w:val="20"/>
                <w:lang w:val="pt-BR" w:eastAsia="pt-BR"/>
              </w:rPr>
            </w:pPr>
            <w:r w:rsidRPr="002E707A">
              <w:rPr>
                <w:color w:val="000000"/>
                <w:sz w:val="20"/>
                <w:szCs w:val="20"/>
                <w:lang w:val="pt-BR" w:eastAsia="pt-BR"/>
              </w:rPr>
              <w:t>-1455,30</w:t>
            </w:r>
          </w:p>
        </w:tc>
        <w:tc>
          <w:tcPr>
            <w:tcW w:w="417" w:type="pct"/>
            <w:tcBorders>
              <w:top w:val="single" w:sz="4" w:space="0" w:color="auto"/>
              <w:left w:val="nil"/>
              <w:bottom w:val="nil"/>
              <w:right w:val="nil"/>
            </w:tcBorders>
            <w:shd w:val="clear" w:color="auto" w:fill="auto"/>
            <w:noWrap/>
            <w:vAlign w:val="bottom"/>
            <w:hideMark/>
          </w:tcPr>
          <w:p w14:paraId="0BCDD1D3" w14:textId="77777777" w:rsidR="00535243" w:rsidRPr="002E707A" w:rsidRDefault="00535243" w:rsidP="00B957C4">
            <w:pPr>
              <w:spacing w:line="360" w:lineRule="auto"/>
              <w:jc w:val="center"/>
              <w:rPr>
                <w:color w:val="000000"/>
                <w:sz w:val="20"/>
                <w:szCs w:val="20"/>
                <w:lang w:val="pt-BR" w:eastAsia="pt-BR"/>
              </w:rPr>
            </w:pPr>
            <w:r w:rsidRPr="002E707A">
              <w:rPr>
                <w:color w:val="000000"/>
                <w:sz w:val="20"/>
                <w:szCs w:val="20"/>
                <w:lang w:val="pt-BR" w:eastAsia="pt-BR"/>
              </w:rPr>
              <w:t>1,013</w:t>
            </w:r>
          </w:p>
        </w:tc>
        <w:tc>
          <w:tcPr>
            <w:tcW w:w="500" w:type="pct"/>
            <w:tcBorders>
              <w:top w:val="single" w:sz="4" w:space="0" w:color="auto"/>
              <w:left w:val="nil"/>
              <w:bottom w:val="nil"/>
              <w:right w:val="nil"/>
            </w:tcBorders>
            <w:shd w:val="clear" w:color="auto" w:fill="auto"/>
            <w:noWrap/>
            <w:vAlign w:val="bottom"/>
            <w:hideMark/>
          </w:tcPr>
          <w:p w14:paraId="71F74DD0" w14:textId="77777777" w:rsidR="00535243" w:rsidRPr="002E707A" w:rsidRDefault="00535243" w:rsidP="00B957C4">
            <w:pPr>
              <w:spacing w:line="360" w:lineRule="auto"/>
              <w:jc w:val="center"/>
              <w:rPr>
                <w:color w:val="000000"/>
                <w:sz w:val="20"/>
                <w:szCs w:val="20"/>
                <w:lang w:val="pt-BR" w:eastAsia="pt-BR"/>
              </w:rPr>
            </w:pPr>
            <w:r w:rsidRPr="002E707A">
              <w:rPr>
                <w:color w:val="000000"/>
                <w:sz w:val="20"/>
                <w:szCs w:val="20"/>
                <w:lang w:val="pt-BR" w:eastAsia="pt-BR"/>
              </w:rPr>
              <w:t>2956,60</w:t>
            </w:r>
          </w:p>
        </w:tc>
        <w:tc>
          <w:tcPr>
            <w:tcW w:w="500" w:type="pct"/>
            <w:tcBorders>
              <w:top w:val="single" w:sz="4" w:space="0" w:color="auto"/>
              <w:left w:val="nil"/>
              <w:bottom w:val="nil"/>
              <w:right w:val="nil"/>
            </w:tcBorders>
            <w:shd w:val="clear" w:color="auto" w:fill="auto"/>
            <w:noWrap/>
            <w:vAlign w:val="bottom"/>
            <w:hideMark/>
          </w:tcPr>
          <w:p w14:paraId="37710D50" w14:textId="77777777" w:rsidR="00535243" w:rsidRPr="002E707A" w:rsidRDefault="00535243" w:rsidP="00B957C4">
            <w:pPr>
              <w:spacing w:line="360" w:lineRule="auto"/>
              <w:jc w:val="center"/>
              <w:rPr>
                <w:color w:val="000000"/>
                <w:sz w:val="20"/>
                <w:szCs w:val="20"/>
                <w:lang w:val="pt-BR" w:eastAsia="pt-BR"/>
              </w:rPr>
            </w:pPr>
            <w:r w:rsidRPr="002E707A">
              <w:rPr>
                <w:color w:val="000000"/>
                <w:sz w:val="20"/>
                <w:szCs w:val="20"/>
                <w:lang w:val="pt-BR" w:eastAsia="pt-BR"/>
              </w:rPr>
              <w:t>3047,47</w:t>
            </w:r>
          </w:p>
        </w:tc>
        <w:tc>
          <w:tcPr>
            <w:tcW w:w="501" w:type="pct"/>
            <w:tcBorders>
              <w:top w:val="single" w:sz="4" w:space="0" w:color="auto"/>
              <w:left w:val="nil"/>
              <w:bottom w:val="nil"/>
              <w:right w:val="nil"/>
            </w:tcBorders>
            <w:shd w:val="clear" w:color="auto" w:fill="auto"/>
            <w:noWrap/>
            <w:vAlign w:val="bottom"/>
            <w:hideMark/>
          </w:tcPr>
          <w:p w14:paraId="07188D82" w14:textId="77777777" w:rsidR="00535243" w:rsidRPr="002E707A" w:rsidRDefault="00535243" w:rsidP="00B957C4">
            <w:pPr>
              <w:spacing w:line="360" w:lineRule="auto"/>
              <w:jc w:val="center"/>
              <w:rPr>
                <w:color w:val="000000"/>
                <w:sz w:val="20"/>
                <w:szCs w:val="20"/>
                <w:lang w:val="pt-BR" w:eastAsia="pt-BR"/>
              </w:rPr>
            </w:pPr>
            <w:r w:rsidRPr="002E707A">
              <w:rPr>
                <w:color w:val="000000"/>
                <w:sz w:val="20"/>
                <w:szCs w:val="20"/>
                <w:lang w:val="pt-BR" w:eastAsia="pt-BR"/>
              </w:rPr>
              <w:t>2974,49</w:t>
            </w:r>
          </w:p>
        </w:tc>
        <w:tc>
          <w:tcPr>
            <w:tcW w:w="584" w:type="pct"/>
            <w:tcBorders>
              <w:top w:val="single" w:sz="4" w:space="0" w:color="auto"/>
              <w:left w:val="nil"/>
              <w:bottom w:val="nil"/>
              <w:right w:val="nil"/>
            </w:tcBorders>
            <w:shd w:val="clear" w:color="auto" w:fill="auto"/>
            <w:noWrap/>
            <w:vAlign w:val="bottom"/>
            <w:hideMark/>
          </w:tcPr>
          <w:p w14:paraId="53F966BA" w14:textId="77777777" w:rsidR="00535243" w:rsidRPr="002E707A" w:rsidRDefault="00535243" w:rsidP="00B957C4">
            <w:pPr>
              <w:spacing w:line="360" w:lineRule="auto"/>
              <w:jc w:val="center"/>
              <w:rPr>
                <w:color w:val="000000"/>
                <w:sz w:val="20"/>
                <w:szCs w:val="20"/>
                <w:lang w:val="pt-BR" w:eastAsia="pt-BR"/>
              </w:rPr>
            </w:pPr>
            <w:r w:rsidRPr="002E707A">
              <w:rPr>
                <w:color w:val="000000"/>
                <w:sz w:val="20"/>
                <w:szCs w:val="20"/>
                <w:lang w:val="pt-BR" w:eastAsia="pt-BR"/>
              </w:rPr>
              <w:t>0,979</w:t>
            </w:r>
          </w:p>
        </w:tc>
        <w:tc>
          <w:tcPr>
            <w:tcW w:w="585" w:type="pct"/>
            <w:tcBorders>
              <w:top w:val="single" w:sz="4" w:space="0" w:color="auto"/>
              <w:left w:val="nil"/>
              <w:bottom w:val="nil"/>
              <w:right w:val="nil"/>
            </w:tcBorders>
            <w:shd w:val="clear" w:color="auto" w:fill="auto"/>
            <w:noWrap/>
            <w:vAlign w:val="bottom"/>
            <w:hideMark/>
          </w:tcPr>
          <w:p w14:paraId="21E6D7BF" w14:textId="77777777" w:rsidR="00535243" w:rsidRPr="002E707A" w:rsidRDefault="00535243" w:rsidP="00B957C4">
            <w:pPr>
              <w:spacing w:line="360" w:lineRule="auto"/>
              <w:jc w:val="center"/>
              <w:rPr>
                <w:color w:val="000000"/>
                <w:sz w:val="20"/>
                <w:szCs w:val="20"/>
                <w:lang w:val="pt-BR" w:eastAsia="pt-BR"/>
              </w:rPr>
            </w:pPr>
            <w:r w:rsidRPr="002E707A">
              <w:rPr>
                <w:color w:val="000000"/>
                <w:sz w:val="20"/>
                <w:szCs w:val="20"/>
                <w:lang w:val="pt-BR" w:eastAsia="pt-BR"/>
              </w:rPr>
              <w:t>0,0009</w:t>
            </w:r>
          </w:p>
        </w:tc>
        <w:tc>
          <w:tcPr>
            <w:tcW w:w="578" w:type="pct"/>
            <w:tcBorders>
              <w:top w:val="single" w:sz="4" w:space="0" w:color="auto"/>
              <w:left w:val="nil"/>
              <w:bottom w:val="nil"/>
              <w:right w:val="nil"/>
            </w:tcBorders>
            <w:shd w:val="clear" w:color="auto" w:fill="auto"/>
            <w:noWrap/>
            <w:vAlign w:val="bottom"/>
            <w:hideMark/>
          </w:tcPr>
          <w:p w14:paraId="2FEF7CA0" w14:textId="77777777" w:rsidR="00535243" w:rsidRPr="002E707A" w:rsidRDefault="00535243" w:rsidP="00B957C4">
            <w:pPr>
              <w:spacing w:line="360" w:lineRule="auto"/>
              <w:jc w:val="center"/>
              <w:rPr>
                <w:color w:val="000000"/>
                <w:sz w:val="20"/>
                <w:szCs w:val="20"/>
                <w:lang w:val="pt-BR" w:eastAsia="pt-BR"/>
              </w:rPr>
            </w:pPr>
            <w:r w:rsidRPr="002E707A">
              <w:rPr>
                <w:color w:val="000000"/>
                <w:sz w:val="20"/>
                <w:szCs w:val="20"/>
                <w:lang w:val="pt-BR" w:eastAsia="pt-BR"/>
              </w:rPr>
              <w:t>0,0000</w:t>
            </w:r>
          </w:p>
        </w:tc>
      </w:tr>
      <w:tr w:rsidR="00535243" w:rsidRPr="002E707A" w14:paraId="04CC3541" w14:textId="77777777" w:rsidTr="002B79EE">
        <w:trPr>
          <w:trHeight w:val="276"/>
        </w:trPr>
        <w:tc>
          <w:tcPr>
            <w:tcW w:w="417" w:type="pct"/>
            <w:tcBorders>
              <w:top w:val="nil"/>
              <w:left w:val="nil"/>
              <w:right w:val="nil"/>
            </w:tcBorders>
            <w:shd w:val="clear" w:color="auto" w:fill="auto"/>
            <w:noWrap/>
            <w:vAlign w:val="bottom"/>
            <w:hideMark/>
          </w:tcPr>
          <w:p w14:paraId="620074DA" w14:textId="77777777" w:rsidR="00535243" w:rsidRPr="002E707A" w:rsidRDefault="00535243" w:rsidP="00B957C4">
            <w:pPr>
              <w:spacing w:line="360" w:lineRule="auto"/>
              <w:jc w:val="center"/>
              <w:rPr>
                <w:b/>
                <w:bCs/>
                <w:color w:val="000000"/>
                <w:sz w:val="20"/>
                <w:szCs w:val="20"/>
                <w:lang w:val="pt-BR" w:eastAsia="pt-BR"/>
              </w:rPr>
            </w:pPr>
            <w:r w:rsidRPr="002E707A">
              <w:rPr>
                <w:b/>
                <w:bCs/>
                <w:color w:val="000000"/>
                <w:sz w:val="20"/>
                <w:szCs w:val="20"/>
                <w:lang w:val="pt-BR" w:eastAsia="pt-BR"/>
              </w:rPr>
              <w:t>3</w:t>
            </w:r>
          </w:p>
        </w:tc>
        <w:tc>
          <w:tcPr>
            <w:tcW w:w="335" w:type="pct"/>
            <w:tcBorders>
              <w:top w:val="nil"/>
              <w:left w:val="nil"/>
              <w:right w:val="nil"/>
            </w:tcBorders>
            <w:shd w:val="clear" w:color="auto" w:fill="auto"/>
            <w:noWrap/>
            <w:vAlign w:val="bottom"/>
            <w:hideMark/>
          </w:tcPr>
          <w:p w14:paraId="468FC0DD" w14:textId="77777777" w:rsidR="00535243" w:rsidRPr="002E707A" w:rsidRDefault="00535243" w:rsidP="00B957C4">
            <w:pPr>
              <w:spacing w:line="360" w:lineRule="auto"/>
              <w:jc w:val="center"/>
              <w:rPr>
                <w:b/>
                <w:bCs/>
                <w:color w:val="000000"/>
                <w:sz w:val="20"/>
                <w:szCs w:val="20"/>
                <w:lang w:val="pt-BR" w:eastAsia="pt-BR"/>
              </w:rPr>
            </w:pPr>
            <w:r w:rsidRPr="002E707A">
              <w:rPr>
                <w:b/>
                <w:bCs/>
                <w:color w:val="000000"/>
                <w:sz w:val="20"/>
                <w:szCs w:val="20"/>
                <w:lang w:val="pt-BR" w:eastAsia="pt-BR"/>
              </w:rPr>
              <w:t>35</w:t>
            </w:r>
          </w:p>
        </w:tc>
        <w:tc>
          <w:tcPr>
            <w:tcW w:w="584" w:type="pct"/>
            <w:tcBorders>
              <w:top w:val="nil"/>
              <w:left w:val="nil"/>
              <w:right w:val="nil"/>
            </w:tcBorders>
            <w:shd w:val="clear" w:color="auto" w:fill="auto"/>
            <w:noWrap/>
            <w:vAlign w:val="bottom"/>
            <w:hideMark/>
          </w:tcPr>
          <w:p w14:paraId="13E6A6D2" w14:textId="77777777" w:rsidR="00535243" w:rsidRPr="002E707A" w:rsidRDefault="00535243" w:rsidP="00B957C4">
            <w:pPr>
              <w:spacing w:line="360" w:lineRule="auto"/>
              <w:jc w:val="center"/>
              <w:rPr>
                <w:b/>
                <w:bCs/>
                <w:color w:val="000000"/>
                <w:sz w:val="20"/>
                <w:szCs w:val="20"/>
                <w:lang w:val="pt-BR" w:eastAsia="pt-BR"/>
              </w:rPr>
            </w:pPr>
            <w:r w:rsidRPr="002E707A">
              <w:rPr>
                <w:b/>
                <w:bCs/>
                <w:color w:val="000000"/>
                <w:sz w:val="20"/>
                <w:szCs w:val="20"/>
                <w:lang w:val="pt-BR" w:eastAsia="pt-BR"/>
              </w:rPr>
              <w:t>-1411,14</w:t>
            </w:r>
          </w:p>
        </w:tc>
        <w:tc>
          <w:tcPr>
            <w:tcW w:w="417" w:type="pct"/>
            <w:tcBorders>
              <w:top w:val="nil"/>
              <w:left w:val="nil"/>
              <w:right w:val="nil"/>
            </w:tcBorders>
            <w:shd w:val="clear" w:color="auto" w:fill="auto"/>
            <w:noWrap/>
            <w:vAlign w:val="bottom"/>
            <w:hideMark/>
          </w:tcPr>
          <w:p w14:paraId="129A732D" w14:textId="77777777" w:rsidR="00535243" w:rsidRPr="002E707A" w:rsidRDefault="00535243" w:rsidP="00B957C4">
            <w:pPr>
              <w:spacing w:line="360" w:lineRule="auto"/>
              <w:jc w:val="center"/>
              <w:rPr>
                <w:b/>
                <w:bCs/>
                <w:color w:val="000000"/>
                <w:sz w:val="20"/>
                <w:szCs w:val="20"/>
                <w:lang w:val="pt-BR" w:eastAsia="pt-BR"/>
              </w:rPr>
            </w:pPr>
            <w:r w:rsidRPr="002E707A">
              <w:rPr>
                <w:b/>
                <w:bCs/>
                <w:color w:val="000000"/>
                <w:sz w:val="20"/>
                <w:szCs w:val="20"/>
                <w:lang w:val="pt-BR" w:eastAsia="pt-BR"/>
              </w:rPr>
              <w:t>1,016</w:t>
            </w:r>
          </w:p>
        </w:tc>
        <w:tc>
          <w:tcPr>
            <w:tcW w:w="500" w:type="pct"/>
            <w:tcBorders>
              <w:top w:val="nil"/>
              <w:left w:val="nil"/>
              <w:right w:val="nil"/>
            </w:tcBorders>
            <w:shd w:val="clear" w:color="auto" w:fill="auto"/>
            <w:noWrap/>
            <w:vAlign w:val="bottom"/>
            <w:hideMark/>
          </w:tcPr>
          <w:p w14:paraId="4A413141" w14:textId="77777777" w:rsidR="00535243" w:rsidRPr="002E707A" w:rsidRDefault="00535243" w:rsidP="00B957C4">
            <w:pPr>
              <w:spacing w:line="360" w:lineRule="auto"/>
              <w:jc w:val="center"/>
              <w:rPr>
                <w:b/>
                <w:bCs/>
                <w:color w:val="000000"/>
                <w:sz w:val="20"/>
                <w:szCs w:val="20"/>
                <w:lang w:val="pt-BR" w:eastAsia="pt-BR"/>
              </w:rPr>
            </w:pPr>
            <w:r w:rsidRPr="002E707A">
              <w:rPr>
                <w:b/>
                <w:bCs/>
                <w:color w:val="000000"/>
                <w:sz w:val="20"/>
                <w:szCs w:val="20"/>
                <w:lang w:val="pt-BR" w:eastAsia="pt-BR"/>
              </w:rPr>
              <w:t>2892,28</w:t>
            </w:r>
          </w:p>
        </w:tc>
        <w:tc>
          <w:tcPr>
            <w:tcW w:w="500" w:type="pct"/>
            <w:tcBorders>
              <w:top w:val="nil"/>
              <w:left w:val="nil"/>
              <w:right w:val="nil"/>
            </w:tcBorders>
            <w:shd w:val="clear" w:color="auto" w:fill="auto"/>
            <w:noWrap/>
            <w:vAlign w:val="bottom"/>
            <w:hideMark/>
          </w:tcPr>
          <w:p w14:paraId="420B7563" w14:textId="77777777" w:rsidR="00535243" w:rsidRPr="002E707A" w:rsidRDefault="00535243" w:rsidP="00B957C4">
            <w:pPr>
              <w:spacing w:line="360" w:lineRule="auto"/>
              <w:jc w:val="center"/>
              <w:rPr>
                <w:b/>
                <w:bCs/>
                <w:color w:val="000000"/>
                <w:sz w:val="20"/>
                <w:szCs w:val="20"/>
                <w:lang w:val="pt-BR" w:eastAsia="pt-BR"/>
              </w:rPr>
            </w:pPr>
            <w:r w:rsidRPr="002E707A">
              <w:rPr>
                <w:b/>
                <w:bCs/>
                <w:color w:val="000000"/>
                <w:sz w:val="20"/>
                <w:szCs w:val="20"/>
                <w:lang w:val="pt-BR" w:eastAsia="pt-BR"/>
              </w:rPr>
              <w:t>3030,55</w:t>
            </w:r>
          </w:p>
        </w:tc>
        <w:tc>
          <w:tcPr>
            <w:tcW w:w="501" w:type="pct"/>
            <w:tcBorders>
              <w:top w:val="nil"/>
              <w:left w:val="nil"/>
              <w:right w:val="nil"/>
            </w:tcBorders>
            <w:shd w:val="clear" w:color="auto" w:fill="auto"/>
            <w:noWrap/>
            <w:vAlign w:val="bottom"/>
            <w:hideMark/>
          </w:tcPr>
          <w:p w14:paraId="4CA32A96" w14:textId="77777777" w:rsidR="00535243" w:rsidRPr="002E707A" w:rsidRDefault="00535243" w:rsidP="00B957C4">
            <w:pPr>
              <w:spacing w:line="360" w:lineRule="auto"/>
              <w:jc w:val="center"/>
              <w:rPr>
                <w:b/>
                <w:bCs/>
                <w:color w:val="000000"/>
                <w:sz w:val="20"/>
                <w:szCs w:val="20"/>
                <w:lang w:val="pt-BR" w:eastAsia="pt-BR"/>
              </w:rPr>
            </w:pPr>
            <w:r w:rsidRPr="002E707A">
              <w:rPr>
                <w:b/>
                <w:bCs/>
                <w:color w:val="000000"/>
                <w:sz w:val="20"/>
                <w:szCs w:val="20"/>
                <w:lang w:val="pt-BR" w:eastAsia="pt-BR"/>
              </w:rPr>
              <w:t>2919,50</w:t>
            </w:r>
          </w:p>
        </w:tc>
        <w:tc>
          <w:tcPr>
            <w:tcW w:w="584" w:type="pct"/>
            <w:tcBorders>
              <w:top w:val="nil"/>
              <w:left w:val="nil"/>
              <w:right w:val="nil"/>
            </w:tcBorders>
            <w:shd w:val="clear" w:color="auto" w:fill="auto"/>
            <w:noWrap/>
            <w:vAlign w:val="bottom"/>
            <w:hideMark/>
          </w:tcPr>
          <w:p w14:paraId="2AA58B3E" w14:textId="77777777" w:rsidR="00535243" w:rsidRPr="002E707A" w:rsidRDefault="00535243" w:rsidP="00B957C4">
            <w:pPr>
              <w:spacing w:line="360" w:lineRule="auto"/>
              <w:jc w:val="center"/>
              <w:rPr>
                <w:b/>
                <w:bCs/>
                <w:color w:val="000000"/>
                <w:sz w:val="20"/>
                <w:szCs w:val="20"/>
                <w:lang w:val="pt-BR" w:eastAsia="pt-BR"/>
              </w:rPr>
            </w:pPr>
            <w:r w:rsidRPr="002E707A">
              <w:rPr>
                <w:b/>
                <w:bCs/>
                <w:color w:val="000000"/>
                <w:sz w:val="20"/>
                <w:szCs w:val="20"/>
                <w:lang w:val="pt-BR" w:eastAsia="pt-BR"/>
              </w:rPr>
              <w:t>0,887</w:t>
            </w:r>
          </w:p>
        </w:tc>
        <w:tc>
          <w:tcPr>
            <w:tcW w:w="585" w:type="pct"/>
            <w:tcBorders>
              <w:top w:val="nil"/>
              <w:left w:val="nil"/>
              <w:right w:val="nil"/>
            </w:tcBorders>
            <w:shd w:val="clear" w:color="auto" w:fill="auto"/>
            <w:noWrap/>
            <w:vAlign w:val="bottom"/>
            <w:hideMark/>
          </w:tcPr>
          <w:p w14:paraId="2BDB9FB1" w14:textId="77777777" w:rsidR="00535243" w:rsidRPr="002E707A" w:rsidRDefault="00535243" w:rsidP="00B957C4">
            <w:pPr>
              <w:spacing w:line="360" w:lineRule="auto"/>
              <w:jc w:val="center"/>
              <w:rPr>
                <w:b/>
                <w:bCs/>
                <w:color w:val="000000"/>
                <w:sz w:val="20"/>
                <w:szCs w:val="20"/>
                <w:lang w:val="pt-BR" w:eastAsia="pt-BR"/>
              </w:rPr>
            </w:pPr>
            <w:r w:rsidRPr="002E707A">
              <w:rPr>
                <w:b/>
                <w:bCs/>
                <w:color w:val="000000"/>
                <w:sz w:val="20"/>
                <w:szCs w:val="20"/>
                <w:lang w:val="pt-BR" w:eastAsia="pt-BR"/>
              </w:rPr>
              <w:t>0,1287</w:t>
            </w:r>
          </w:p>
        </w:tc>
        <w:tc>
          <w:tcPr>
            <w:tcW w:w="578" w:type="pct"/>
            <w:tcBorders>
              <w:top w:val="nil"/>
              <w:left w:val="nil"/>
              <w:right w:val="nil"/>
            </w:tcBorders>
            <w:shd w:val="clear" w:color="auto" w:fill="auto"/>
            <w:noWrap/>
            <w:vAlign w:val="bottom"/>
            <w:hideMark/>
          </w:tcPr>
          <w:p w14:paraId="238A1ECC" w14:textId="77777777" w:rsidR="00535243" w:rsidRPr="002E707A" w:rsidRDefault="00535243" w:rsidP="00B957C4">
            <w:pPr>
              <w:spacing w:line="360" w:lineRule="auto"/>
              <w:jc w:val="center"/>
              <w:rPr>
                <w:b/>
                <w:bCs/>
                <w:color w:val="000000"/>
                <w:sz w:val="20"/>
                <w:szCs w:val="20"/>
                <w:lang w:val="pt-BR" w:eastAsia="pt-BR"/>
              </w:rPr>
            </w:pPr>
            <w:r w:rsidRPr="002E707A">
              <w:rPr>
                <w:b/>
                <w:bCs/>
                <w:color w:val="000000"/>
                <w:sz w:val="20"/>
                <w:szCs w:val="20"/>
                <w:lang w:val="pt-BR" w:eastAsia="pt-BR"/>
              </w:rPr>
              <w:t>0,0000</w:t>
            </w:r>
          </w:p>
        </w:tc>
      </w:tr>
      <w:tr w:rsidR="001D07AD" w:rsidRPr="002E707A" w14:paraId="00B3CAB3" w14:textId="77777777" w:rsidTr="002B79EE">
        <w:trPr>
          <w:trHeight w:val="276"/>
        </w:trPr>
        <w:tc>
          <w:tcPr>
            <w:tcW w:w="417" w:type="pct"/>
            <w:tcBorders>
              <w:top w:val="nil"/>
              <w:left w:val="nil"/>
              <w:bottom w:val="single" w:sz="4" w:space="0" w:color="auto"/>
              <w:right w:val="nil"/>
            </w:tcBorders>
            <w:shd w:val="clear" w:color="auto" w:fill="auto"/>
            <w:noWrap/>
            <w:vAlign w:val="bottom"/>
            <w:hideMark/>
          </w:tcPr>
          <w:p w14:paraId="2923BA7C" w14:textId="77777777" w:rsidR="00535243" w:rsidRPr="002E707A" w:rsidRDefault="00535243" w:rsidP="00B957C4">
            <w:pPr>
              <w:spacing w:line="360" w:lineRule="auto"/>
              <w:jc w:val="center"/>
              <w:rPr>
                <w:color w:val="000000"/>
                <w:sz w:val="20"/>
                <w:szCs w:val="20"/>
                <w:lang w:val="pt-BR" w:eastAsia="pt-BR"/>
              </w:rPr>
            </w:pPr>
            <w:r w:rsidRPr="002E707A">
              <w:rPr>
                <w:color w:val="000000"/>
                <w:sz w:val="20"/>
                <w:szCs w:val="20"/>
                <w:lang w:val="pt-BR" w:eastAsia="pt-BR"/>
              </w:rPr>
              <w:t>4</w:t>
            </w:r>
          </w:p>
        </w:tc>
        <w:tc>
          <w:tcPr>
            <w:tcW w:w="335" w:type="pct"/>
            <w:tcBorders>
              <w:top w:val="nil"/>
              <w:left w:val="nil"/>
              <w:bottom w:val="single" w:sz="4" w:space="0" w:color="auto"/>
              <w:right w:val="nil"/>
            </w:tcBorders>
            <w:shd w:val="clear" w:color="auto" w:fill="auto"/>
            <w:noWrap/>
            <w:vAlign w:val="bottom"/>
            <w:hideMark/>
          </w:tcPr>
          <w:p w14:paraId="5AB5DF8B" w14:textId="77777777" w:rsidR="00535243" w:rsidRPr="002E707A" w:rsidRDefault="00535243" w:rsidP="00B957C4">
            <w:pPr>
              <w:spacing w:line="360" w:lineRule="auto"/>
              <w:jc w:val="center"/>
              <w:rPr>
                <w:color w:val="000000"/>
                <w:sz w:val="20"/>
                <w:szCs w:val="20"/>
                <w:lang w:val="pt-BR" w:eastAsia="pt-BR"/>
              </w:rPr>
            </w:pPr>
            <w:r w:rsidRPr="002E707A">
              <w:rPr>
                <w:color w:val="000000"/>
                <w:sz w:val="20"/>
                <w:szCs w:val="20"/>
                <w:lang w:val="pt-BR" w:eastAsia="pt-BR"/>
              </w:rPr>
              <w:t>47</w:t>
            </w:r>
          </w:p>
        </w:tc>
        <w:tc>
          <w:tcPr>
            <w:tcW w:w="584" w:type="pct"/>
            <w:tcBorders>
              <w:top w:val="nil"/>
              <w:left w:val="nil"/>
              <w:bottom w:val="single" w:sz="4" w:space="0" w:color="auto"/>
              <w:right w:val="nil"/>
            </w:tcBorders>
            <w:shd w:val="clear" w:color="auto" w:fill="auto"/>
            <w:noWrap/>
            <w:vAlign w:val="bottom"/>
            <w:hideMark/>
          </w:tcPr>
          <w:p w14:paraId="0E4DAFB1" w14:textId="77777777" w:rsidR="00535243" w:rsidRPr="002E707A" w:rsidRDefault="00535243" w:rsidP="00B957C4">
            <w:pPr>
              <w:spacing w:line="360" w:lineRule="auto"/>
              <w:jc w:val="center"/>
              <w:rPr>
                <w:color w:val="000000"/>
                <w:sz w:val="20"/>
                <w:szCs w:val="20"/>
                <w:lang w:val="pt-BR" w:eastAsia="pt-BR"/>
              </w:rPr>
            </w:pPr>
            <w:r w:rsidRPr="002E707A">
              <w:rPr>
                <w:color w:val="000000"/>
                <w:sz w:val="20"/>
                <w:szCs w:val="20"/>
                <w:lang w:val="pt-BR" w:eastAsia="pt-BR"/>
              </w:rPr>
              <w:t>-1394,34</w:t>
            </w:r>
          </w:p>
        </w:tc>
        <w:tc>
          <w:tcPr>
            <w:tcW w:w="417" w:type="pct"/>
            <w:tcBorders>
              <w:top w:val="nil"/>
              <w:left w:val="nil"/>
              <w:bottom w:val="single" w:sz="4" w:space="0" w:color="auto"/>
              <w:right w:val="nil"/>
            </w:tcBorders>
            <w:shd w:val="clear" w:color="auto" w:fill="auto"/>
            <w:noWrap/>
            <w:vAlign w:val="bottom"/>
            <w:hideMark/>
          </w:tcPr>
          <w:p w14:paraId="5559C4C2" w14:textId="77777777" w:rsidR="00535243" w:rsidRPr="002E707A" w:rsidRDefault="00535243" w:rsidP="00B957C4">
            <w:pPr>
              <w:spacing w:line="360" w:lineRule="auto"/>
              <w:jc w:val="center"/>
              <w:rPr>
                <w:color w:val="000000"/>
                <w:sz w:val="20"/>
                <w:szCs w:val="20"/>
                <w:lang w:val="pt-BR" w:eastAsia="pt-BR"/>
              </w:rPr>
            </w:pPr>
            <w:r w:rsidRPr="002E707A">
              <w:rPr>
                <w:color w:val="000000"/>
                <w:sz w:val="20"/>
                <w:szCs w:val="20"/>
                <w:lang w:val="pt-BR" w:eastAsia="pt-BR"/>
              </w:rPr>
              <w:t>1,062</w:t>
            </w:r>
          </w:p>
        </w:tc>
        <w:tc>
          <w:tcPr>
            <w:tcW w:w="500" w:type="pct"/>
            <w:tcBorders>
              <w:top w:val="nil"/>
              <w:left w:val="nil"/>
              <w:bottom w:val="single" w:sz="4" w:space="0" w:color="auto"/>
              <w:right w:val="nil"/>
            </w:tcBorders>
            <w:shd w:val="clear" w:color="auto" w:fill="auto"/>
            <w:noWrap/>
            <w:vAlign w:val="bottom"/>
            <w:hideMark/>
          </w:tcPr>
          <w:p w14:paraId="6FDE2DCD" w14:textId="77777777" w:rsidR="00535243" w:rsidRPr="002E707A" w:rsidRDefault="00535243" w:rsidP="00B957C4">
            <w:pPr>
              <w:spacing w:line="360" w:lineRule="auto"/>
              <w:jc w:val="center"/>
              <w:rPr>
                <w:color w:val="000000"/>
                <w:sz w:val="20"/>
                <w:szCs w:val="20"/>
                <w:lang w:val="pt-BR" w:eastAsia="pt-BR"/>
              </w:rPr>
            </w:pPr>
            <w:r w:rsidRPr="002E707A">
              <w:rPr>
                <w:color w:val="000000"/>
                <w:sz w:val="20"/>
                <w:szCs w:val="20"/>
                <w:lang w:val="pt-BR" w:eastAsia="pt-BR"/>
              </w:rPr>
              <w:t>2882,67</w:t>
            </w:r>
          </w:p>
        </w:tc>
        <w:tc>
          <w:tcPr>
            <w:tcW w:w="500" w:type="pct"/>
            <w:tcBorders>
              <w:top w:val="nil"/>
              <w:left w:val="nil"/>
              <w:bottom w:val="single" w:sz="4" w:space="0" w:color="auto"/>
              <w:right w:val="nil"/>
            </w:tcBorders>
            <w:shd w:val="clear" w:color="auto" w:fill="auto"/>
            <w:noWrap/>
            <w:vAlign w:val="bottom"/>
            <w:hideMark/>
          </w:tcPr>
          <w:p w14:paraId="398FFDD2" w14:textId="77777777" w:rsidR="00535243" w:rsidRPr="002E707A" w:rsidRDefault="00535243" w:rsidP="00B957C4">
            <w:pPr>
              <w:spacing w:line="360" w:lineRule="auto"/>
              <w:jc w:val="center"/>
              <w:rPr>
                <w:color w:val="000000"/>
                <w:sz w:val="20"/>
                <w:szCs w:val="20"/>
                <w:lang w:val="pt-BR" w:eastAsia="pt-BR"/>
              </w:rPr>
            </w:pPr>
            <w:r w:rsidRPr="002E707A">
              <w:rPr>
                <w:color w:val="000000"/>
                <w:sz w:val="20"/>
                <w:szCs w:val="20"/>
                <w:lang w:val="pt-BR" w:eastAsia="pt-BR"/>
              </w:rPr>
              <w:t>3068,35</w:t>
            </w:r>
          </w:p>
        </w:tc>
        <w:tc>
          <w:tcPr>
            <w:tcW w:w="501" w:type="pct"/>
            <w:tcBorders>
              <w:top w:val="nil"/>
              <w:left w:val="nil"/>
              <w:bottom w:val="single" w:sz="4" w:space="0" w:color="auto"/>
              <w:right w:val="nil"/>
            </w:tcBorders>
            <w:shd w:val="clear" w:color="auto" w:fill="auto"/>
            <w:noWrap/>
            <w:vAlign w:val="bottom"/>
            <w:hideMark/>
          </w:tcPr>
          <w:p w14:paraId="64092DF0" w14:textId="77777777" w:rsidR="00535243" w:rsidRPr="002E707A" w:rsidRDefault="00535243" w:rsidP="00B957C4">
            <w:pPr>
              <w:spacing w:line="360" w:lineRule="auto"/>
              <w:jc w:val="center"/>
              <w:rPr>
                <w:color w:val="000000"/>
                <w:sz w:val="20"/>
                <w:szCs w:val="20"/>
                <w:lang w:val="pt-BR" w:eastAsia="pt-BR"/>
              </w:rPr>
            </w:pPr>
            <w:r w:rsidRPr="002E707A">
              <w:rPr>
                <w:color w:val="000000"/>
                <w:sz w:val="20"/>
                <w:szCs w:val="20"/>
                <w:lang w:val="pt-BR" w:eastAsia="pt-BR"/>
              </w:rPr>
              <w:t>2919,23</w:t>
            </w:r>
          </w:p>
        </w:tc>
        <w:tc>
          <w:tcPr>
            <w:tcW w:w="584" w:type="pct"/>
            <w:tcBorders>
              <w:top w:val="nil"/>
              <w:left w:val="nil"/>
              <w:bottom w:val="single" w:sz="4" w:space="0" w:color="auto"/>
              <w:right w:val="nil"/>
            </w:tcBorders>
            <w:shd w:val="clear" w:color="auto" w:fill="auto"/>
            <w:noWrap/>
            <w:vAlign w:val="bottom"/>
            <w:hideMark/>
          </w:tcPr>
          <w:p w14:paraId="4F34496C" w14:textId="77777777" w:rsidR="00535243" w:rsidRPr="002E707A" w:rsidRDefault="00535243" w:rsidP="00B957C4">
            <w:pPr>
              <w:spacing w:line="360" w:lineRule="auto"/>
              <w:jc w:val="center"/>
              <w:rPr>
                <w:color w:val="000000"/>
                <w:sz w:val="20"/>
                <w:szCs w:val="20"/>
                <w:lang w:val="pt-BR" w:eastAsia="pt-BR"/>
              </w:rPr>
            </w:pPr>
            <w:r w:rsidRPr="002E707A">
              <w:rPr>
                <w:color w:val="000000"/>
                <w:sz w:val="20"/>
                <w:szCs w:val="20"/>
                <w:lang w:val="pt-BR" w:eastAsia="pt-BR"/>
              </w:rPr>
              <w:t>0,717</w:t>
            </w:r>
          </w:p>
        </w:tc>
        <w:tc>
          <w:tcPr>
            <w:tcW w:w="585" w:type="pct"/>
            <w:tcBorders>
              <w:top w:val="nil"/>
              <w:left w:val="nil"/>
              <w:bottom w:val="single" w:sz="4" w:space="0" w:color="auto"/>
              <w:right w:val="nil"/>
            </w:tcBorders>
            <w:shd w:val="clear" w:color="auto" w:fill="auto"/>
            <w:noWrap/>
            <w:vAlign w:val="bottom"/>
            <w:hideMark/>
          </w:tcPr>
          <w:p w14:paraId="23F18A08" w14:textId="77777777" w:rsidR="00535243" w:rsidRPr="002E707A" w:rsidRDefault="00535243" w:rsidP="00B957C4">
            <w:pPr>
              <w:spacing w:line="360" w:lineRule="auto"/>
              <w:jc w:val="center"/>
              <w:rPr>
                <w:color w:val="000000"/>
                <w:sz w:val="20"/>
                <w:szCs w:val="20"/>
                <w:lang w:val="pt-BR" w:eastAsia="pt-BR"/>
              </w:rPr>
            </w:pPr>
            <w:r w:rsidRPr="002E707A">
              <w:rPr>
                <w:color w:val="000000"/>
                <w:sz w:val="20"/>
                <w:szCs w:val="20"/>
                <w:lang w:val="pt-BR" w:eastAsia="pt-BR"/>
              </w:rPr>
              <w:t>0,9548</w:t>
            </w:r>
          </w:p>
        </w:tc>
        <w:tc>
          <w:tcPr>
            <w:tcW w:w="578" w:type="pct"/>
            <w:tcBorders>
              <w:top w:val="nil"/>
              <w:left w:val="nil"/>
              <w:bottom w:val="single" w:sz="4" w:space="0" w:color="auto"/>
              <w:right w:val="nil"/>
            </w:tcBorders>
            <w:shd w:val="clear" w:color="auto" w:fill="auto"/>
            <w:noWrap/>
            <w:vAlign w:val="bottom"/>
            <w:hideMark/>
          </w:tcPr>
          <w:p w14:paraId="04490790" w14:textId="77777777" w:rsidR="00535243" w:rsidRPr="002E707A" w:rsidRDefault="00535243" w:rsidP="00B957C4">
            <w:pPr>
              <w:spacing w:line="360" w:lineRule="auto"/>
              <w:jc w:val="center"/>
              <w:rPr>
                <w:color w:val="000000"/>
                <w:sz w:val="20"/>
                <w:szCs w:val="20"/>
                <w:lang w:val="pt-BR" w:eastAsia="pt-BR"/>
              </w:rPr>
            </w:pPr>
            <w:r w:rsidRPr="002E707A">
              <w:rPr>
                <w:color w:val="000000"/>
                <w:sz w:val="20"/>
                <w:szCs w:val="20"/>
                <w:lang w:val="pt-BR" w:eastAsia="pt-BR"/>
              </w:rPr>
              <w:t>0,0000</w:t>
            </w:r>
          </w:p>
        </w:tc>
      </w:tr>
    </w:tbl>
    <w:p w14:paraId="0C73EF06" w14:textId="77777777" w:rsidR="00535243" w:rsidRPr="002E707A" w:rsidRDefault="00535243" w:rsidP="00535243">
      <w:pPr>
        <w:spacing w:line="360" w:lineRule="auto"/>
        <w:rPr>
          <w:i/>
          <w:iCs/>
          <w:sz w:val="20"/>
          <w:szCs w:val="20"/>
          <w:lang w:val="pt-BR"/>
        </w:rPr>
      </w:pPr>
      <w:r w:rsidRPr="002E707A">
        <w:rPr>
          <w:i/>
          <w:iCs/>
          <w:sz w:val="20"/>
          <w:szCs w:val="20"/>
          <w:lang w:val="pt-BR"/>
        </w:rPr>
        <w:t xml:space="preserve">Nota: ¹ Número de parâmetros livres; ² </w:t>
      </w:r>
      <w:proofErr w:type="spellStart"/>
      <w:r w:rsidRPr="002E707A">
        <w:rPr>
          <w:i/>
          <w:iCs/>
          <w:sz w:val="20"/>
          <w:szCs w:val="20"/>
          <w:lang w:val="pt-BR"/>
        </w:rPr>
        <w:t>Loglikelyhood</w:t>
      </w:r>
      <w:proofErr w:type="spellEnd"/>
      <w:r w:rsidRPr="002E707A">
        <w:rPr>
          <w:i/>
          <w:iCs/>
          <w:sz w:val="20"/>
          <w:szCs w:val="20"/>
          <w:lang w:val="pt-BR"/>
        </w:rPr>
        <w:t xml:space="preserve">; ³ </w:t>
      </w:r>
      <w:proofErr w:type="spellStart"/>
      <w:r w:rsidRPr="002E707A">
        <w:rPr>
          <w:i/>
          <w:iCs/>
          <w:sz w:val="20"/>
          <w:szCs w:val="20"/>
          <w:lang w:val="pt-BR"/>
        </w:rPr>
        <w:t>Scaling</w:t>
      </w:r>
      <w:proofErr w:type="spellEnd"/>
      <w:r w:rsidRPr="002E707A">
        <w:rPr>
          <w:i/>
          <w:iCs/>
          <w:sz w:val="20"/>
          <w:szCs w:val="20"/>
          <w:lang w:val="pt-BR"/>
        </w:rPr>
        <w:t xml:space="preserve"> </w:t>
      </w:r>
      <w:proofErr w:type="spellStart"/>
      <w:r w:rsidRPr="002E707A">
        <w:rPr>
          <w:i/>
          <w:iCs/>
          <w:sz w:val="20"/>
          <w:szCs w:val="20"/>
          <w:lang w:val="pt-BR"/>
        </w:rPr>
        <w:t>Correction</w:t>
      </w:r>
      <w:proofErr w:type="spellEnd"/>
      <w:r w:rsidRPr="002E707A">
        <w:rPr>
          <w:i/>
          <w:iCs/>
          <w:sz w:val="20"/>
          <w:szCs w:val="20"/>
          <w:lang w:val="pt-BR"/>
        </w:rPr>
        <w:t xml:space="preserve"> Factor</w:t>
      </w:r>
    </w:p>
    <w:p w14:paraId="56A58349" w14:textId="77777777" w:rsidR="00535243" w:rsidRPr="002E707A" w:rsidRDefault="00535243" w:rsidP="006C091B">
      <w:pPr>
        <w:spacing w:line="360" w:lineRule="auto"/>
        <w:jc w:val="both"/>
        <w:rPr>
          <w:sz w:val="20"/>
          <w:szCs w:val="20"/>
          <w:lang w:val="pt-BR"/>
        </w:rPr>
      </w:pPr>
    </w:p>
    <w:p w14:paraId="40A758B6" w14:textId="77777777" w:rsidR="00772A5D" w:rsidRPr="002E707A" w:rsidRDefault="00772A5D" w:rsidP="00772A5D">
      <w:pPr>
        <w:shd w:val="clear" w:color="auto" w:fill="FFFFFF"/>
        <w:spacing w:line="360" w:lineRule="auto"/>
        <w:ind w:firstLine="720"/>
        <w:jc w:val="both"/>
        <w:rPr>
          <w:lang w:val="pt-BR"/>
        </w:rPr>
      </w:pPr>
      <w:r w:rsidRPr="002E707A">
        <w:rPr>
          <w:lang w:val="pt-BR"/>
        </w:rPr>
        <w:t>Além disso, a distribuição dos participantes entre as classes (Tabela 3) também influenciou a escolha do modelo. Observou-se que o modelo de quatro classes apresentou maior disparidade entre os tamanhos dos grupos, mesmo excluindo a classe com 15 indivíduos, cujo padrão de consumo específico se repetiu nas soluções de três e quatro perfis.</w:t>
      </w:r>
    </w:p>
    <w:p w14:paraId="550881CA" w14:textId="2F9FA8F6" w:rsidR="008901BE" w:rsidRPr="002E707A" w:rsidRDefault="008901BE" w:rsidP="00A1791E">
      <w:pPr>
        <w:shd w:val="clear" w:color="auto" w:fill="FFFFFF"/>
        <w:spacing w:line="360" w:lineRule="auto"/>
        <w:jc w:val="both"/>
        <w:rPr>
          <w:sz w:val="20"/>
          <w:szCs w:val="20"/>
          <w:lang w:val="pt-BR"/>
        </w:rPr>
      </w:pPr>
      <w:r w:rsidRPr="002E707A">
        <w:rPr>
          <w:sz w:val="20"/>
          <w:szCs w:val="20"/>
          <w:lang w:val="pt-BR"/>
        </w:rPr>
        <w:t>Tabela 3</w:t>
      </w:r>
    </w:p>
    <w:p w14:paraId="4268091C" w14:textId="77777777" w:rsidR="008901BE" w:rsidRPr="002E707A" w:rsidRDefault="008901BE" w:rsidP="008901BE">
      <w:pPr>
        <w:shd w:val="clear" w:color="auto" w:fill="FFFFFF"/>
        <w:spacing w:line="360" w:lineRule="auto"/>
        <w:jc w:val="both"/>
        <w:rPr>
          <w:i/>
          <w:iCs/>
          <w:sz w:val="20"/>
          <w:szCs w:val="20"/>
          <w:lang w:val="pt-BR"/>
        </w:rPr>
      </w:pPr>
      <w:r w:rsidRPr="002E707A">
        <w:rPr>
          <w:i/>
          <w:iCs/>
          <w:sz w:val="20"/>
          <w:szCs w:val="20"/>
          <w:lang w:val="pt-BR"/>
        </w:rPr>
        <w:t xml:space="preserve">Distribuição dos participantes entre as classes dos modelos </w:t>
      </w:r>
    </w:p>
    <w:tbl>
      <w:tblPr>
        <w:tblW w:w="5000" w:type="pct"/>
        <w:jc w:val="center"/>
        <w:tblCellMar>
          <w:left w:w="70" w:type="dxa"/>
          <w:right w:w="70" w:type="dxa"/>
        </w:tblCellMar>
        <w:tblLook w:val="04A0" w:firstRow="1" w:lastRow="0" w:firstColumn="1" w:lastColumn="0" w:noHBand="0" w:noVBand="1"/>
      </w:tblPr>
      <w:tblGrid>
        <w:gridCol w:w="1880"/>
        <w:gridCol w:w="1881"/>
        <w:gridCol w:w="1881"/>
        <w:gridCol w:w="1881"/>
        <w:gridCol w:w="1881"/>
      </w:tblGrid>
      <w:tr w:rsidR="00535243" w:rsidRPr="002E707A" w14:paraId="688CFC77" w14:textId="77777777" w:rsidTr="008901BE">
        <w:trPr>
          <w:trHeight w:val="276"/>
          <w:jc w:val="center"/>
        </w:trPr>
        <w:tc>
          <w:tcPr>
            <w:tcW w:w="1000" w:type="pct"/>
            <w:tcBorders>
              <w:top w:val="single" w:sz="4" w:space="0" w:color="auto"/>
              <w:left w:val="nil"/>
              <w:bottom w:val="single" w:sz="4" w:space="0" w:color="auto"/>
              <w:right w:val="nil"/>
            </w:tcBorders>
            <w:shd w:val="clear" w:color="auto" w:fill="auto"/>
            <w:noWrap/>
            <w:vAlign w:val="bottom"/>
            <w:hideMark/>
          </w:tcPr>
          <w:p w14:paraId="644CEFA4" w14:textId="77777777" w:rsidR="00535243" w:rsidRPr="002E707A" w:rsidRDefault="00535243" w:rsidP="001D07AD">
            <w:pPr>
              <w:rPr>
                <w:b/>
                <w:bCs/>
                <w:sz w:val="20"/>
                <w:szCs w:val="20"/>
                <w:lang w:val="pt-BR" w:eastAsia="pt-BR"/>
              </w:rPr>
            </w:pPr>
            <w:r w:rsidRPr="002E707A">
              <w:rPr>
                <w:b/>
                <w:bCs/>
                <w:sz w:val="20"/>
                <w:szCs w:val="20"/>
                <w:lang w:val="pt-BR" w:eastAsia="pt-BR"/>
              </w:rPr>
              <w:t>N° Classes</w:t>
            </w:r>
          </w:p>
        </w:tc>
        <w:tc>
          <w:tcPr>
            <w:tcW w:w="1000" w:type="pct"/>
            <w:tcBorders>
              <w:top w:val="single" w:sz="4" w:space="0" w:color="auto"/>
              <w:left w:val="nil"/>
              <w:bottom w:val="single" w:sz="4" w:space="0" w:color="auto"/>
              <w:right w:val="nil"/>
            </w:tcBorders>
            <w:shd w:val="clear" w:color="auto" w:fill="auto"/>
            <w:noWrap/>
            <w:vAlign w:val="bottom"/>
          </w:tcPr>
          <w:p w14:paraId="7692546C" w14:textId="77777777" w:rsidR="00535243" w:rsidRPr="002E707A" w:rsidRDefault="00535243" w:rsidP="001D07AD">
            <w:pPr>
              <w:jc w:val="center"/>
              <w:rPr>
                <w:b/>
                <w:bCs/>
                <w:color w:val="000000"/>
                <w:sz w:val="20"/>
                <w:szCs w:val="20"/>
                <w:lang w:val="pt-BR" w:eastAsia="pt-BR"/>
              </w:rPr>
            </w:pPr>
            <w:r w:rsidRPr="002E707A">
              <w:rPr>
                <w:b/>
                <w:bCs/>
                <w:color w:val="000000"/>
                <w:sz w:val="20"/>
                <w:szCs w:val="20"/>
                <w:lang w:val="pt-BR" w:eastAsia="pt-BR"/>
              </w:rPr>
              <w:t>Classe 1</w:t>
            </w:r>
          </w:p>
        </w:tc>
        <w:tc>
          <w:tcPr>
            <w:tcW w:w="1000" w:type="pct"/>
            <w:tcBorders>
              <w:top w:val="single" w:sz="4" w:space="0" w:color="auto"/>
              <w:left w:val="nil"/>
              <w:bottom w:val="single" w:sz="4" w:space="0" w:color="auto"/>
              <w:right w:val="nil"/>
            </w:tcBorders>
            <w:shd w:val="clear" w:color="auto" w:fill="auto"/>
            <w:noWrap/>
            <w:vAlign w:val="bottom"/>
          </w:tcPr>
          <w:p w14:paraId="66BD9803" w14:textId="77777777" w:rsidR="00535243" w:rsidRPr="002E707A" w:rsidRDefault="00535243" w:rsidP="001D07AD">
            <w:pPr>
              <w:jc w:val="center"/>
              <w:rPr>
                <w:b/>
                <w:bCs/>
                <w:color w:val="000000"/>
                <w:sz w:val="20"/>
                <w:szCs w:val="20"/>
                <w:lang w:val="pt-BR" w:eastAsia="pt-BR"/>
              </w:rPr>
            </w:pPr>
            <w:r w:rsidRPr="002E707A">
              <w:rPr>
                <w:b/>
                <w:bCs/>
                <w:color w:val="000000"/>
                <w:sz w:val="20"/>
                <w:szCs w:val="20"/>
                <w:lang w:val="pt-BR" w:eastAsia="pt-BR"/>
              </w:rPr>
              <w:t>Classe 2</w:t>
            </w:r>
          </w:p>
        </w:tc>
        <w:tc>
          <w:tcPr>
            <w:tcW w:w="1000" w:type="pct"/>
            <w:tcBorders>
              <w:top w:val="single" w:sz="4" w:space="0" w:color="auto"/>
              <w:left w:val="nil"/>
              <w:bottom w:val="single" w:sz="4" w:space="0" w:color="auto"/>
              <w:right w:val="nil"/>
            </w:tcBorders>
            <w:shd w:val="clear" w:color="auto" w:fill="auto"/>
            <w:noWrap/>
            <w:vAlign w:val="bottom"/>
          </w:tcPr>
          <w:p w14:paraId="127D90C5" w14:textId="77777777" w:rsidR="00535243" w:rsidRPr="002E707A" w:rsidRDefault="00535243" w:rsidP="001D07AD">
            <w:pPr>
              <w:jc w:val="center"/>
              <w:rPr>
                <w:b/>
                <w:bCs/>
                <w:color w:val="000000"/>
                <w:sz w:val="20"/>
                <w:szCs w:val="20"/>
                <w:lang w:val="pt-BR" w:eastAsia="pt-BR"/>
              </w:rPr>
            </w:pPr>
            <w:r w:rsidRPr="002E707A">
              <w:rPr>
                <w:b/>
                <w:bCs/>
                <w:color w:val="000000"/>
                <w:sz w:val="20"/>
                <w:szCs w:val="20"/>
                <w:lang w:val="pt-BR" w:eastAsia="pt-BR"/>
              </w:rPr>
              <w:t>Classe 3</w:t>
            </w:r>
          </w:p>
        </w:tc>
        <w:tc>
          <w:tcPr>
            <w:tcW w:w="1000" w:type="pct"/>
            <w:tcBorders>
              <w:top w:val="single" w:sz="4" w:space="0" w:color="auto"/>
              <w:left w:val="nil"/>
              <w:bottom w:val="single" w:sz="4" w:space="0" w:color="auto"/>
              <w:right w:val="nil"/>
            </w:tcBorders>
            <w:shd w:val="clear" w:color="auto" w:fill="auto"/>
            <w:noWrap/>
            <w:vAlign w:val="bottom"/>
          </w:tcPr>
          <w:p w14:paraId="76279BB2" w14:textId="77777777" w:rsidR="00535243" w:rsidRPr="002E707A" w:rsidRDefault="00535243" w:rsidP="001D07AD">
            <w:pPr>
              <w:jc w:val="center"/>
              <w:rPr>
                <w:b/>
                <w:bCs/>
                <w:color w:val="000000"/>
                <w:sz w:val="20"/>
                <w:szCs w:val="20"/>
                <w:lang w:val="pt-BR" w:eastAsia="pt-BR"/>
              </w:rPr>
            </w:pPr>
            <w:r w:rsidRPr="002E707A">
              <w:rPr>
                <w:b/>
                <w:bCs/>
                <w:color w:val="000000"/>
                <w:sz w:val="20"/>
                <w:szCs w:val="20"/>
                <w:lang w:val="pt-BR" w:eastAsia="pt-BR"/>
              </w:rPr>
              <w:t>Classe 4</w:t>
            </w:r>
          </w:p>
        </w:tc>
      </w:tr>
      <w:tr w:rsidR="00535243" w:rsidRPr="002E707A" w14:paraId="519E4511" w14:textId="77777777" w:rsidTr="008901BE">
        <w:trPr>
          <w:trHeight w:val="276"/>
          <w:jc w:val="center"/>
        </w:trPr>
        <w:tc>
          <w:tcPr>
            <w:tcW w:w="1000" w:type="pct"/>
            <w:tcBorders>
              <w:top w:val="single" w:sz="4" w:space="0" w:color="auto"/>
              <w:left w:val="nil"/>
              <w:bottom w:val="nil"/>
              <w:right w:val="nil"/>
            </w:tcBorders>
            <w:shd w:val="clear" w:color="auto" w:fill="auto"/>
            <w:noWrap/>
            <w:vAlign w:val="bottom"/>
            <w:hideMark/>
          </w:tcPr>
          <w:p w14:paraId="03BE445D" w14:textId="77777777" w:rsidR="00535243" w:rsidRPr="002E707A" w:rsidRDefault="00535243" w:rsidP="001D07AD">
            <w:pPr>
              <w:rPr>
                <w:color w:val="000000"/>
                <w:sz w:val="20"/>
                <w:szCs w:val="20"/>
                <w:lang w:val="pt-BR" w:eastAsia="pt-BR"/>
              </w:rPr>
            </w:pPr>
            <w:r w:rsidRPr="002E707A">
              <w:rPr>
                <w:color w:val="000000"/>
                <w:sz w:val="20"/>
                <w:szCs w:val="20"/>
                <w:lang w:val="pt-BR" w:eastAsia="pt-BR"/>
              </w:rPr>
              <w:t>2 classes</w:t>
            </w:r>
          </w:p>
        </w:tc>
        <w:tc>
          <w:tcPr>
            <w:tcW w:w="1000" w:type="pct"/>
            <w:tcBorders>
              <w:top w:val="single" w:sz="4" w:space="0" w:color="auto"/>
              <w:left w:val="nil"/>
              <w:bottom w:val="nil"/>
              <w:right w:val="nil"/>
            </w:tcBorders>
            <w:shd w:val="clear" w:color="auto" w:fill="auto"/>
            <w:noWrap/>
            <w:vAlign w:val="bottom"/>
            <w:hideMark/>
          </w:tcPr>
          <w:p w14:paraId="3551632D" w14:textId="77777777" w:rsidR="00535243" w:rsidRPr="002E707A" w:rsidRDefault="00535243" w:rsidP="001D07AD">
            <w:pPr>
              <w:jc w:val="center"/>
              <w:rPr>
                <w:color w:val="000000"/>
                <w:sz w:val="20"/>
                <w:szCs w:val="20"/>
                <w:lang w:val="pt-BR" w:eastAsia="pt-BR"/>
              </w:rPr>
            </w:pPr>
            <w:r w:rsidRPr="002E707A">
              <w:rPr>
                <w:color w:val="000000"/>
                <w:sz w:val="20"/>
                <w:szCs w:val="20"/>
                <w:lang w:val="pt-BR" w:eastAsia="pt-BR"/>
              </w:rPr>
              <w:t>31</w:t>
            </w:r>
          </w:p>
        </w:tc>
        <w:tc>
          <w:tcPr>
            <w:tcW w:w="1000" w:type="pct"/>
            <w:tcBorders>
              <w:top w:val="single" w:sz="4" w:space="0" w:color="auto"/>
              <w:left w:val="nil"/>
              <w:bottom w:val="nil"/>
              <w:right w:val="nil"/>
            </w:tcBorders>
            <w:shd w:val="clear" w:color="auto" w:fill="auto"/>
            <w:noWrap/>
            <w:vAlign w:val="bottom"/>
            <w:hideMark/>
          </w:tcPr>
          <w:p w14:paraId="0E568274" w14:textId="77777777" w:rsidR="00535243" w:rsidRPr="002E707A" w:rsidRDefault="00535243" w:rsidP="001D07AD">
            <w:pPr>
              <w:jc w:val="center"/>
              <w:rPr>
                <w:color w:val="000000"/>
                <w:sz w:val="20"/>
                <w:szCs w:val="20"/>
                <w:lang w:val="pt-BR" w:eastAsia="pt-BR"/>
              </w:rPr>
            </w:pPr>
            <w:r w:rsidRPr="002E707A">
              <w:rPr>
                <w:color w:val="000000"/>
                <w:sz w:val="20"/>
                <w:szCs w:val="20"/>
                <w:lang w:val="pt-BR" w:eastAsia="pt-BR"/>
              </w:rPr>
              <w:t>353</w:t>
            </w:r>
          </w:p>
        </w:tc>
        <w:tc>
          <w:tcPr>
            <w:tcW w:w="1000" w:type="pct"/>
            <w:tcBorders>
              <w:top w:val="single" w:sz="4" w:space="0" w:color="auto"/>
              <w:left w:val="nil"/>
              <w:bottom w:val="nil"/>
              <w:right w:val="nil"/>
            </w:tcBorders>
            <w:shd w:val="clear" w:color="auto" w:fill="auto"/>
            <w:noWrap/>
            <w:vAlign w:val="bottom"/>
            <w:hideMark/>
          </w:tcPr>
          <w:p w14:paraId="27D74C19" w14:textId="77777777" w:rsidR="00535243" w:rsidRPr="002E707A" w:rsidRDefault="00535243" w:rsidP="001D07AD">
            <w:pPr>
              <w:jc w:val="center"/>
              <w:rPr>
                <w:color w:val="000000"/>
                <w:sz w:val="20"/>
                <w:szCs w:val="20"/>
                <w:lang w:val="pt-BR" w:eastAsia="pt-BR"/>
              </w:rPr>
            </w:pPr>
          </w:p>
        </w:tc>
        <w:tc>
          <w:tcPr>
            <w:tcW w:w="1000" w:type="pct"/>
            <w:tcBorders>
              <w:top w:val="single" w:sz="4" w:space="0" w:color="auto"/>
              <w:left w:val="nil"/>
              <w:bottom w:val="nil"/>
              <w:right w:val="nil"/>
            </w:tcBorders>
            <w:shd w:val="clear" w:color="auto" w:fill="auto"/>
            <w:noWrap/>
            <w:vAlign w:val="bottom"/>
            <w:hideMark/>
          </w:tcPr>
          <w:p w14:paraId="098F1827" w14:textId="77777777" w:rsidR="00535243" w:rsidRPr="002E707A" w:rsidRDefault="00535243" w:rsidP="001D07AD">
            <w:pPr>
              <w:jc w:val="center"/>
              <w:rPr>
                <w:sz w:val="20"/>
                <w:szCs w:val="20"/>
                <w:lang w:val="pt-BR" w:eastAsia="pt-BR"/>
              </w:rPr>
            </w:pPr>
          </w:p>
        </w:tc>
      </w:tr>
      <w:tr w:rsidR="00535243" w:rsidRPr="002E707A" w14:paraId="7E80F64A" w14:textId="77777777" w:rsidTr="00B957C4">
        <w:trPr>
          <w:trHeight w:val="276"/>
          <w:jc w:val="center"/>
        </w:trPr>
        <w:tc>
          <w:tcPr>
            <w:tcW w:w="1000" w:type="pct"/>
            <w:tcBorders>
              <w:top w:val="nil"/>
              <w:left w:val="nil"/>
              <w:right w:val="nil"/>
            </w:tcBorders>
            <w:shd w:val="clear" w:color="auto" w:fill="auto"/>
            <w:noWrap/>
            <w:vAlign w:val="bottom"/>
            <w:hideMark/>
          </w:tcPr>
          <w:p w14:paraId="3FCC8028" w14:textId="77777777" w:rsidR="00535243" w:rsidRPr="002E707A" w:rsidRDefault="00535243" w:rsidP="001D07AD">
            <w:pPr>
              <w:rPr>
                <w:color w:val="000000"/>
                <w:sz w:val="20"/>
                <w:szCs w:val="20"/>
                <w:lang w:val="pt-BR" w:eastAsia="pt-BR"/>
              </w:rPr>
            </w:pPr>
            <w:r w:rsidRPr="002E707A">
              <w:rPr>
                <w:color w:val="000000"/>
                <w:sz w:val="20"/>
                <w:szCs w:val="20"/>
                <w:lang w:val="pt-BR" w:eastAsia="pt-BR"/>
              </w:rPr>
              <w:t>3 classes</w:t>
            </w:r>
          </w:p>
        </w:tc>
        <w:tc>
          <w:tcPr>
            <w:tcW w:w="1000" w:type="pct"/>
            <w:tcBorders>
              <w:top w:val="nil"/>
              <w:left w:val="nil"/>
              <w:right w:val="nil"/>
            </w:tcBorders>
            <w:shd w:val="clear" w:color="auto" w:fill="auto"/>
            <w:noWrap/>
            <w:vAlign w:val="bottom"/>
            <w:hideMark/>
          </w:tcPr>
          <w:p w14:paraId="235D5659" w14:textId="77777777" w:rsidR="00535243" w:rsidRPr="002E707A" w:rsidRDefault="00535243" w:rsidP="001D07AD">
            <w:pPr>
              <w:jc w:val="center"/>
              <w:rPr>
                <w:color w:val="000000"/>
                <w:sz w:val="20"/>
                <w:szCs w:val="20"/>
                <w:lang w:val="pt-BR" w:eastAsia="pt-BR"/>
              </w:rPr>
            </w:pPr>
            <w:r w:rsidRPr="002E707A">
              <w:rPr>
                <w:color w:val="000000"/>
                <w:sz w:val="20"/>
                <w:szCs w:val="20"/>
                <w:lang w:val="pt-BR" w:eastAsia="pt-BR"/>
              </w:rPr>
              <w:t>15</w:t>
            </w:r>
          </w:p>
        </w:tc>
        <w:tc>
          <w:tcPr>
            <w:tcW w:w="1000" w:type="pct"/>
            <w:tcBorders>
              <w:top w:val="nil"/>
              <w:left w:val="nil"/>
              <w:right w:val="nil"/>
            </w:tcBorders>
            <w:shd w:val="clear" w:color="auto" w:fill="auto"/>
            <w:noWrap/>
            <w:vAlign w:val="bottom"/>
            <w:hideMark/>
          </w:tcPr>
          <w:p w14:paraId="4EC669AD" w14:textId="77777777" w:rsidR="00535243" w:rsidRPr="002E707A" w:rsidRDefault="00535243" w:rsidP="001D07AD">
            <w:pPr>
              <w:jc w:val="center"/>
              <w:rPr>
                <w:color w:val="000000"/>
                <w:sz w:val="20"/>
                <w:szCs w:val="20"/>
                <w:lang w:val="pt-BR" w:eastAsia="pt-BR"/>
              </w:rPr>
            </w:pPr>
            <w:r w:rsidRPr="002E707A">
              <w:rPr>
                <w:color w:val="000000"/>
                <w:sz w:val="20"/>
                <w:szCs w:val="20"/>
                <w:lang w:val="pt-BR" w:eastAsia="pt-BR"/>
              </w:rPr>
              <w:t>144</w:t>
            </w:r>
          </w:p>
        </w:tc>
        <w:tc>
          <w:tcPr>
            <w:tcW w:w="1000" w:type="pct"/>
            <w:tcBorders>
              <w:top w:val="nil"/>
              <w:left w:val="nil"/>
              <w:right w:val="nil"/>
            </w:tcBorders>
            <w:shd w:val="clear" w:color="auto" w:fill="auto"/>
            <w:noWrap/>
            <w:vAlign w:val="bottom"/>
            <w:hideMark/>
          </w:tcPr>
          <w:p w14:paraId="2CD0E76B" w14:textId="77777777" w:rsidR="00535243" w:rsidRPr="002E707A" w:rsidRDefault="00535243" w:rsidP="001D07AD">
            <w:pPr>
              <w:jc w:val="center"/>
              <w:rPr>
                <w:color w:val="000000"/>
                <w:sz w:val="20"/>
                <w:szCs w:val="20"/>
                <w:lang w:val="pt-BR" w:eastAsia="pt-BR"/>
              </w:rPr>
            </w:pPr>
            <w:r w:rsidRPr="002E707A">
              <w:rPr>
                <w:color w:val="000000"/>
                <w:sz w:val="20"/>
                <w:szCs w:val="20"/>
                <w:lang w:val="pt-BR" w:eastAsia="pt-BR"/>
              </w:rPr>
              <w:t>225</w:t>
            </w:r>
          </w:p>
        </w:tc>
        <w:tc>
          <w:tcPr>
            <w:tcW w:w="1000" w:type="pct"/>
            <w:tcBorders>
              <w:top w:val="nil"/>
              <w:left w:val="nil"/>
              <w:right w:val="nil"/>
            </w:tcBorders>
            <w:shd w:val="clear" w:color="auto" w:fill="auto"/>
            <w:noWrap/>
            <w:vAlign w:val="bottom"/>
            <w:hideMark/>
          </w:tcPr>
          <w:p w14:paraId="654AB7FB" w14:textId="77777777" w:rsidR="00535243" w:rsidRPr="002E707A" w:rsidRDefault="00535243" w:rsidP="001D07AD">
            <w:pPr>
              <w:jc w:val="center"/>
              <w:rPr>
                <w:color w:val="000000"/>
                <w:sz w:val="20"/>
                <w:szCs w:val="20"/>
                <w:lang w:val="pt-BR" w:eastAsia="pt-BR"/>
              </w:rPr>
            </w:pPr>
          </w:p>
        </w:tc>
      </w:tr>
      <w:tr w:rsidR="00535243" w:rsidRPr="002E707A" w14:paraId="3E6D2B01" w14:textId="77777777" w:rsidTr="008901BE">
        <w:trPr>
          <w:trHeight w:val="276"/>
          <w:jc w:val="center"/>
        </w:trPr>
        <w:tc>
          <w:tcPr>
            <w:tcW w:w="1000" w:type="pct"/>
            <w:tcBorders>
              <w:top w:val="nil"/>
              <w:left w:val="nil"/>
              <w:bottom w:val="single" w:sz="4" w:space="0" w:color="auto"/>
              <w:right w:val="nil"/>
            </w:tcBorders>
            <w:shd w:val="clear" w:color="auto" w:fill="auto"/>
            <w:noWrap/>
            <w:vAlign w:val="bottom"/>
            <w:hideMark/>
          </w:tcPr>
          <w:p w14:paraId="34757A7B" w14:textId="77777777" w:rsidR="00535243" w:rsidRPr="002E707A" w:rsidRDefault="00535243" w:rsidP="001D07AD">
            <w:pPr>
              <w:rPr>
                <w:color w:val="000000"/>
                <w:sz w:val="20"/>
                <w:szCs w:val="20"/>
                <w:lang w:val="pt-BR" w:eastAsia="pt-BR"/>
              </w:rPr>
            </w:pPr>
            <w:r w:rsidRPr="002E707A">
              <w:rPr>
                <w:color w:val="000000"/>
                <w:sz w:val="20"/>
                <w:szCs w:val="20"/>
                <w:lang w:val="pt-BR" w:eastAsia="pt-BR"/>
              </w:rPr>
              <w:t>4 classes</w:t>
            </w:r>
          </w:p>
        </w:tc>
        <w:tc>
          <w:tcPr>
            <w:tcW w:w="1000" w:type="pct"/>
            <w:tcBorders>
              <w:top w:val="nil"/>
              <w:left w:val="nil"/>
              <w:bottom w:val="single" w:sz="4" w:space="0" w:color="auto"/>
              <w:right w:val="nil"/>
            </w:tcBorders>
            <w:shd w:val="clear" w:color="auto" w:fill="auto"/>
            <w:noWrap/>
            <w:vAlign w:val="bottom"/>
            <w:hideMark/>
          </w:tcPr>
          <w:p w14:paraId="19E8956E" w14:textId="77777777" w:rsidR="00535243" w:rsidRPr="002E707A" w:rsidRDefault="00535243" w:rsidP="001D07AD">
            <w:pPr>
              <w:jc w:val="center"/>
              <w:rPr>
                <w:color w:val="000000"/>
                <w:sz w:val="20"/>
                <w:szCs w:val="20"/>
                <w:lang w:val="pt-BR" w:eastAsia="pt-BR"/>
              </w:rPr>
            </w:pPr>
            <w:r w:rsidRPr="002E707A">
              <w:rPr>
                <w:color w:val="000000"/>
                <w:sz w:val="20"/>
                <w:szCs w:val="20"/>
                <w:lang w:val="pt-BR" w:eastAsia="pt-BR"/>
              </w:rPr>
              <w:t>126</w:t>
            </w:r>
          </w:p>
        </w:tc>
        <w:tc>
          <w:tcPr>
            <w:tcW w:w="1000" w:type="pct"/>
            <w:tcBorders>
              <w:top w:val="nil"/>
              <w:left w:val="nil"/>
              <w:bottom w:val="single" w:sz="4" w:space="0" w:color="auto"/>
              <w:right w:val="nil"/>
            </w:tcBorders>
            <w:shd w:val="clear" w:color="auto" w:fill="auto"/>
            <w:noWrap/>
            <w:vAlign w:val="bottom"/>
            <w:hideMark/>
          </w:tcPr>
          <w:p w14:paraId="0AB96126" w14:textId="77777777" w:rsidR="00535243" w:rsidRPr="002E707A" w:rsidRDefault="00535243" w:rsidP="001D07AD">
            <w:pPr>
              <w:jc w:val="center"/>
              <w:rPr>
                <w:color w:val="000000"/>
                <w:sz w:val="20"/>
                <w:szCs w:val="20"/>
                <w:lang w:val="pt-BR" w:eastAsia="pt-BR"/>
              </w:rPr>
            </w:pPr>
            <w:r w:rsidRPr="002E707A">
              <w:rPr>
                <w:color w:val="000000"/>
                <w:sz w:val="20"/>
                <w:szCs w:val="20"/>
                <w:lang w:val="pt-BR" w:eastAsia="pt-BR"/>
              </w:rPr>
              <w:t>81</w:t>
            </w:r>
          </w:p>
        </w:tc>
        <w:tc>
          <w:tcPr>
            <w:tcW w:w="1000" w:type="pct"/>
            <w:tcBorders>
              <w:top w:val="nil"/>
              <w:left w:val="nil"/>
              <w:bottom w:val="single" w:sz="4" w:space="0" w:color="auto"/>
              <w:right w:val="nil"/>
            </w:tcBorders>
            <w:shd w:val="clear" w:color="auto" w:fill="auto"/>
            <w:noWrap/>
            <w:vAlign w:val="bottom"/>
            <w:hideMark/>
          </w:tcPr>
          <w:p w14:paraId="04D0AD86" w14:textId="77777777" w:rsidR="00535243" w:rsidRPr="002E707A" w:rsidRDefault="00535243" w:rsidP="001D07AD">
            <w:pPr>
              <w:jc w:val="center"/>
              <w:rPr>
                <w:color w:val="000000"/>
                <w:sz w:val="20"/>
                <w:szCs w:val="20"/>
                <w:lang w:val="pt-BR" w:eastAsia="pt-BR"/>
              </w:rPr>
            </w:pPr>
            <w:r w:rsidRPr="002E707A">
              <w:rPr>
                <w:color w:val="000000"/>
                <w:sz w:val="20"/>
                <w:szCs w:val="20"/>
                <w:lang w:val="pt-BR" w:eastAsia="pt-BR"/>
              </w:rPr>
              <w:t>162</w:t>
            </w:r>
          </w:p>
        </w:tc>
        <w:tc>
          <w:tcPr>
            <w:tcW w:w="1000" w:type="pct"/>
            <w:tcBorders>
              <w:top w:val="nil"/>
              <w:left w:val="nil"/>
              <w:bottom w:val="single" w:sz="4" w:space="0" w:color="auto"/>
              <w:right w:val="nil"/>
            </w:tcBorders>
            <w:shd w:val="clear" w:color="auto" w:fill="auto"/>
            <w:noWrap/>
            <w:vAlign w:val="bottom"/>
            <w:hideMark/>
          </w:tcPr>
          <w:p w14:paraId="549DA26E" w14:textId="77777777" w:rsidR="00535243" w:rsidRPr="002E707A" w:rsidRDefault="00535243" w:rsidP="001D07AD">
            <w:pPr>
              <w:jc w:val="center"/>
              <w:rPr>
                <w:color w:val="000000"/>
                <w:sz w:val="20"/>
                <w:szCs w:val="20"/>
                <w:lang w:val="pt-BR" w:eastAsia="pt-BR"/>
              </w:rPr>
            </w:pPr>
            <w:r w:rsidRPr="002E707A">
              <w:rPr>
                <w:color w:val="000000"/>
                <w:sz w:val="20"/>
                <w:szCs w:val="20"/>
                <w:lang w:val="pt-BR" w:eastAsia="pt-BR"/>
              </w:rPr>
              <w:t>15</w:t>
            </w:r>
          </w:p>
        </w:tc>
      </w:tr>
    </w:tbl>
    <w:p w14:paraId="51FF6CF5" w14:textId="77777777" w:rsidR="008901BE" w:rsidRPr="002E707A" w:rsidRDefault="008901BE" w:rsidP="00535243">
      <w:pPr>
        <w:spacing w:line="360" w:lineRule="auto"/>
        <w:rPr>
          <w:b/>
          <w:bCs/>
          <w:i/>
          <w:iCs/>
          <w:lang w:val="pt-BR"/>
        </w:rPr>
      </w:pPr>
    </w:p>
    <w:p w14:paraId="43A57B03" w14:textId="77777777" w:rsidR="003F6AA1" w:rsidRPr="002E707A" w:rsidRDefault="003F6AA1" w:rsidP="00A1791E">
      <w:pPr>
        <w:shd w:val="clear" w:color="auto" w:fill="FFFFFF"/>
        <w:spacing w:line="360" w:lineRule="auto"/>
        <w:jc w:val="both"/>
        <w:rPr>
          <w:lang w:val="pt-BR"/>
        </w:rPr>
      </w:pPr>
      <w:r w:rsidRPr="002E707A">
        <w:rPr>
          <w:b/>
          <w:i/>
          <w:lang w:val="pt-BR"/>
        </w:rPr>
        <w:t>Caracterização dos padrões de consumo</w:t>
      </w:r>
      <w:r w:rsidRPr="002E707A">
        <w:rPr>
          <w:lang w:val="pt-BR"/>
        </w:rPr>
        <w:t xml:space="preserve"> </w:t>
      </w:r>
    </w:p>
    <w:p w14:paraId="3E6CF0EA" w14:textId="77777777" w:rsidR="003F6AA1" w:rsidRPr="002E707A" w:rsidRDefault="003F6AA1" w:rsidP="00A1791E">
      <w:pPr>
        <w:shd w:val="clear" w:color="auto" w:fill="FFFFFF"/>
        <w:spacing w:line="360" w:lineRule="auto"/>
        <w:ind w:firstLine="700"/>
        <w:jc w:val="both"/>
        <w:rPr>
          <w:lang w:val="pt-BR"/>
        </w:rPr>
      </w:pPr>
      <w:r w:rsidRPr="002E707A">
        <w:rPr>
          <w:lang w:val="pt-BR"/>
        </w:rPr>
        <w:t>Após a definição do modelo, os participantes foram alocados às classes com maior probabilidade de pertencimento. A Tabela 4 apresenta as estatísticas descritivas dos indicadores para as três classes. Na Classe 1 (n = 15), a maioria utiliza Cannabis uma vez por semana ou menos (60%), seguida por 26,7% que consomem de 5 a 7 vezes por semana. Predomina o consumo de menos de 1g por uso (93,3%), geralmente de produtos ingeríveis, como comestíveis ou óleo medicinal, administrados por via oral (93,3%).</w:t>
      </w:r>
    </w:p>
    <w:p w14:paraId="74631E24" w14:textId="77777777" w:rsidR="003F6AA1" w:rsidRPr="002E707A" w:rsidRDefault="003F6AA1" w:rsidP="00A1791E">
      <w:pPr>
        <w:shd w:val="clear" w:color="auto" w:fill="FFFFFF"/>
        <w:spacing w:line="360" w:lineRule="auto"/>
        <w:ind w:firstLine="700"/>
        <w:jc w:val="both"/>
        <w:rPr>
          <w:lang w:val="pt-BR"/>
        </w:rPr>
      </w:pPr>
      <w:r w:rsidRPr="002E707A">
        <w:rPr>
          <w:lang w:val="pt-BR"/>
        </w:rPr>
        <w:t xml:space="preserve">Já os membros da Classe 2 (n = 144) utilizam Cannabis predominantemente mais de uma vez ao dia (50,7%) ou de 5 a 7 vezes por semana (33,3%), consumindo mais de 1g por uso (73,6%), com preferência por maconha prensada (63,9%) e método fumado (73,6%). Já os da Classe 3 (n = 225), na maior parte, relataram fazer uso da planta uma vez por semana ou menos (43,6%), seguidos por aqueles que fazem uso de 2 a 4 vezes por semana (24%), geralmente com menos de </w:t>
      </w:r>
      <w:r w:rsidRPr="002E707A">
        <w:rPr>
          <w:lang w:val="pt-BR"/>
        </w:rPr>
        <w:lastRenderedPageBreak/>
        <w:t>1g por uso (78,1%). Preferem maconha prensada (45,3%), mas 35,1% utilizam flores de maior qualidade, sendo o método fumado o mais comum (91,1%).</w:t>
      </w:r>
    </w:p>
    <w:p w14:paraId="1B780998" w14:textId="77777777" w:rsidR="003F6AA1" w:rsidRPr="002E707A" w:rsidRDefault="003F6AA1" w:rsidP="00A1791E">
      <w:pPr>
        <w:shd w:val="clear" w:color="auto" w:fill="FFFFFF"/>
        <w:spacing w:line="360" w:lineRule="auto"/>
        <w:jc w:val="both"/>
        <w:rPr>
          <w:sz w:val="20"/>
          <w:szCs w:val="20"/>
          <w:lang w:val="pt-BR"/>
        </w:rPr>
      </w:pPr>
      <w:r w:rsidRPr="002E707A">
        <w:rPr>
          <w:sz w:val="20"/>
          <w:szCs w:val="20"/>
          <w:lang w:val="pt-BR"/>
        </w:rPr>
        <w:t>Tabela 4</w:t>
      </w:r>
    </w:p>
    <w:p w14:paraId="6714D280" w14:textId="77777777" w:rsidR="003F6AA1" w:rsidRPr="002E707A" w:rsidRDefault="003F6AA1" w:rsidP="003F6AA1">
      <w:pPr>
        <w:shd w:val="clear" w:color="auto" w:fill="FFFFFF"/>
        <w:spacing w:line="360" w:lineRule="auto"/>
        <w:jc w:val="both"/>
        <w:rPr>
          <w:i/>
          <w:iCs/>
          <w:sz w:val="20"/>
          <w:szCs w:val="20"/>
          <w:lang w:val="pt-BR"/>
        </w:rPr>
      </w:pPr>
      <w:r w:rsidRPr="002E707A">
        <w:rPr>
          <w:i/>
          <w:iCs/>
          <w:sz w:val="20"/>
          <w:szCs w:val="20"/>
          <w:lang w:val="pt-BR"/>
        </w:rPr>
        <w:t xml:space="preserve">Estatísticas descritivas dos indicadores por classe do modelo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3111"/>
        <w:gridCol w:w="809"/>
        <w:gridCol w:w="811"/>
        <w:gridCol w:w="809"/>
        <w:gridCol w:w="811"/>
        <w:gridCol w:w="809"/>
        <w:gridCol w:w="807"/>
      </w:tblGrid>
      <w:tr w:rsidR="00535243" w:rsidRPr="002E707A" w14:paraId="3968778D" w14:textId="77777777" w:rsidTr="00CA12CE">
        <w:trPr>
          <w:trHeight w:val="344"/>
          <w:jc w:val="center"/>
        </w:trPr>
        <w:tc>
          <w:tcPr>
            <w:tcW w:w="764" w:type="pct"/>
            <w:vMerge w:val="restart"/>
            <w:tcBorders>
              <w:top w:val="single" w:sz="4" w:space="0" w:color="auto"/>
              <w:left w:val="nil"/>
              <w:right w:val="nil"/>
            </w:tcBorders>
            <w:shd w:val="clear" w:color="auto" w:fill="auto"/>
            <w:vAlign w:val="center"/>
          </w:tcPr>
          <w:p w14:paraId="61C3063C" w14:textId="77777777" w:rsidR="00535243" w:rsidRPr="002E707A" w:rsidRDefault="00535243" w:rsidP="00B01539">
            <w:pPr>
              <w:jc w:val="center"/>
              <w:rPr>
                <w:b/>
                <w:sz w:val="20"/>
                <w:szCs w:val="20"/>
                <w:lang w:val="pt-BR"/>
              </w:rPr>
            </w:pPr>
            <w:r w:rsidRPr="002E707A">
              <w:rPr>
                <w:b/>
                <w:sz w:val="20"/>
                <w:szCs w:val="20"/>
                <w:lang w:val="pt-BR"/>
              </w:rPr>
              <w:t>Variável</w:t>
            </w:r>
          </w:p>
        </w:tc>
        <w:tc>
          <w:tcPr>
            <w:tcW w:w="1655" w:type="pct"/>
            <w:vMerge w:val="restart"/>
            <w:tcBorders>
              <w:top w:val="single" w:sz="4" w:space="0" w:color="auto"/>
              <w:left w:val="nil"/>
              <w:right w:val="nil"/>
            </w:tcBorders>
            <w:shd w:val="clear" w:color="auto" w:fill="auto"/>
            <w:vAlign w:val="center"/>
          </w:tcPr>
          <w:p w14:paraId="11D31573" w14:textId="77777777" w:rsidR="00535243" w:rsidRPr="002E707A" w:rsidRDefault="00535243" w:rsidP="00B01539">
            <w:pPr>
              <w:jc w:val="center"/>
              <w:rPr>
                <w:b/>
                <w:sz w:val="20"/>
                <w:szCs w:val="20"/>
                <w:lang w:val="pt-BR"/>
              </w:rPr>
            </w:pPr>
            <w:r w:rsidRPr="002E707A">
              <w:rPr>
                <w:b/>
                <w:sz w:val="20"/>
                <w:szCs w:val="20"/>
                <w:lang w:val="pt-BR"/>
              </w:rPr>
              <w:t>Categorias</w:t>
            </w:r>
          </w:p>
        </w:tc>
        <w:tc>
          <w:tcPr>
            <w:tcW w:w="861" w:type="pct"/>
            <w:gridSpan w:val="2"/>
            <w:tcBorders>
              <w:top w:val="single" w:sz="4" w:space="0" w:color="auto"/>
              <w:left w:val="nil"/>
              <w:bottom w:val="single" w:sz="4" w:space="0" w:color="auto"/>
              <w:right w:val="nil"/>
            </w:tcBorders>
            <w:shd w:val="clear" w:color="auto" w:fill="auto"/>
            <w:vAlign w:val="center"/>
          </w:tcPr>
          <w:p w14:paraId="69EA9499" w14:textId="77777777" w:rsidR="00535243" w:rsidRPr="002E707A" w:rsidRDefault="00535243" w:rsidP="00B01539">
            <w:pPr>
              <w:jc w:val="center"/>
              <w:rPr>
                <w:b/>
                <w:iCs/>
                <w:sz w:val="20"/>
                <w:szCs w:val="20"/>
                <w:lang w:val="pt-BR"/>
              </w:rPr>
            </w:pPr>
            <w:r w:rsidRPr="002E707A">
              <w:rPr>
                <w:b/>
                <w:iCs/>
                <w:sz w:val="20"/>
                <w:szCs w:val="20"/>
                <w:lang w:val="pt-BR"/>
              </w:rPr>
              <w:t>Classe 1</w:t>
            </w:r>
          </w:p>
          <w:p w14:paraId="675397C8" w14:textId="77777777" w:rsidR="00535243" w:rsidRPr="002E707A" w:rsidRDefault="00535243" w:rsidP="00B01539">
            <w:pPr>
              <w:jc w:val="center"/>
              <w:rPr>
                <w:b/>
                <w:iCs/>
                <w:sz w:val="20"/>
                <w:szCs w:val="20"/>
                <w:lang w:val="pt-BR"/>
              </w:rPr>
            </w:pPr>
            <w:r w:rsidRPr="002E707A">
              <w:rPr>
                <w:b/>
                <w:iCs/>
                <w:sz w:val="20"/>
                <w:szCs w:val="20"/>
                <w:lang w:val="pt-BR"/>
              </w:rPr>
              <w:t>(n = 15)</w:t>
            </w:r>
          </w:p>
        </w:tc>
        <w:tc>
          <w:tcPr>
            <w:tcW w:w="861" w:type="pct"/>
            <w:gridSpan w:val="2"/>
            <w:tcBorders>
              <w:top w:val="single" w:sz="4" w:space="0" w:color="auto"/>
              <w:left w:val="nil"/>
              <w:bottom w:val="single" w:sz="4" w:space="0" w:color="auto"/>
              <w:right w:val="nil"/>
            </w:tcBorders>
            <w:shd w:val="clear" w:color="auto" w:fill="auto"/>
          </w:tcPr>
          <w:p w14:paraId="0CF2CA92" w14:textId="77777777" w:rsidR="00535243" w:rsidRPr="002E707A" w:rsidRDefault="00535243" w:rsidP="00B01539">
            <w:pPr>
              <w:jc w:val="center"/>
              <w:rPr>
                <w:b/>
                <w:iCs/>
                <w:sz w:val="20"/>
                <w:szCs w:val="20"/>
                <w:lang w:val="pt-BR"/>
              </w:rPr>
            </w:pPr>
            <w:r w:rsidRPr="002E707A">
              <w:rPr>
                <w:b/>
                <w:iCs/>
                <w:sz w:val="20"/>
                <w:szCs w:val="20"/>
                <w:lang w:val="pt-BR"/>
              </w:rPr>
              <w:t>Classe 2</w:t>
            </w:r>
          </w:p>
          <w:p w14:paraId="595200A1" w14:textId="77777777" w:rsidR="00535243" w:rsidRPr="002E707A" w:rsidRDefault="00535243" w:rsidP="00B01539">
            <w:pPr>
              <w:jc w:val="center"/>
              <w:rPr>
                <w:b/>
                <w:iCs/>
                <w:sz w:val="20"/>
                <w:szCs w:val="20"/>
                <w:lang w:val="pt-BR"/>
              </w:rPr>
            </w:pPr>
            <w:r w:rsidRPr="002E707A">
              <w:rPr>
                <w:b/>
                <w:iCs/>
                <w:sz w:val="20"/>
                <w:szCs w:val="20"/>
                <w:lang w:val="pt-BR"/>
              </w:rPr>
              <w:t>(n = 144)</w:t>
            </w:r>
          </w:p>
        </w:tc>
        <w:tc>
          <w:tcPr>
            <w:tcW w:w="860" w:type="pct"/>
            <w:gridSpan w:val="2"/>
            <w:tcBorders>
              <w:top w:val="single" w:sz="4" w:space="0" w:color="auto"/>
              <w:left w:val="nil"/>
              <w:bottom w:val="single" w:sz="4" w:space="0" w:color="auto"/>
              <w:right w:val="single" w:sz="2" w:space="0" w:color="auto"/>
            </w:tcBorders>
            <w:shd w:val="clear" w:color="auto" w:fill="auto"/>
          </w:tcPr>
          <w:p w14:paraId="39EF062B" w14:textId="77777777" w:rsidR="00535243" w:rsidRPr="002E707A" w:rsidRDefault="00535243" w:rsidP="00B01539">
            <w:pPr>
              <w:jc w:val="center"/>
              <w:rPr>
                <w:b/>
                <w:iCs/>
                <w:sz w:val="20"/>
                <w:szCs w:val="20"/>
                <w:lang w:val="pt-BR"/>
              </w:rPr>
            </w:pPr>
            <w:r w:rsidRPr="002E707A">
              <w:rPr>
                <w:b/>
                <w:iCs/>
                <w:sz w:val="20"/>
                <w:szCs w:val="20"/>
                <w:lang w:val="pt-BR"/>
              </w:rPr>
              <w:t>Classe 3</w:t>
            </w:r>
          </w:p>
          <w:p w14:paraId="21CC65C2" w14:textId="77777777" w:rsidR="00535243" w:rsidRPr="002E707A" w:rsidRDefault="00535243" w:rsidP="00B01539">
            <w:pPr>
              <w:jc w:val="center"/>
              <w:rPr>
                <w:b/>
                <w:iCs/>
                <w:sz w:val="20"/>
                <w:szCs w:val="20"/>
                <w:lang w:val="pt-BR"/>
              </w:rPr>
            </w:pPr>
            <w:r w:rsidRPr="002E707A">
              <w:rPr>
                <w:b/>
                <w:iCs/>
                <w:sz w:val="20"/>
                <w:szCs w:val="20"/>
                <w:lang w:val="pt-BR"/>
              </w:rPr>
              <w:t>(n = 225)</w:t>
            </w:r>
          </w:p>
        </w:tc>
      </w:tr>
      <w:tr w:rsidR="00535243" w:rsidRPr="002E707A" w14:paraId="4696B0AE" w14:textId="77777777" w:rsidTr="00CA12CE">
        <w:trPr>
          <w:trHeight w:val="344"/>
          <w:jc w:val="center"/>
        </w:trPr>
        <w:tc>
          <w:tcPr>
            <w:tcW w:w="764" w:type="pct"/>
            <w:vMerge/>
            <w:tcBorders>
              <w:top w:val="single" w:sz="12" w:space="0" w:color="auto"/>
              <w:left w:val="nil"/>
              <w:right w:val="nil"/>
            </w:tcBorders>
            <w:shd w:val="clear" w:color="auto" w:fill="auto"/>
            <w:vAlign w:val="center"/>
          </w:tcPr>
          <w:p w14:paraId="77BF3F46" w14:textId="77777777" w:rsidR="00535243" w:rsidRPr="002E707A" w:rsidRDefault="00535243" w:rsidP="00B01539">
            <w:pPr>
              <w:jc w:val="center"/>
              <w:rPr>
                <w:b/>
                <w:sz w:val="20"/>
                <w:szCs w:val="20"/>
                <w:lang w:val="pt-BR"/>
              </w:rPr>
            </w:pPr>
          </w:p>
        </w:tc>
        <w:tc>
          <w:tcPr>
            <w:tcW w:w="1655" w:type="pct"/>
            <w:vMerge/>
            <w:tcBorders>
              <w:top w:val="single" w:sz="12" w:space="0" w:color="auto"/>
              <w:left w:val="nil"/>
              <w:right w:val="nil"/>
            </w:tcBorders>
            <w:shd w:val="clear" w:color="auto" w:fill="auto"/>
            <w:vAlign w:val="center"/>
          </w:tcPr>
          <w:p w14:paraId="7EEB6593" w14:textId="77777777" w:rsidR="00535243" w:rsidRPr="002E707A" w:rsidRDefault="00535243" w:rsidP="00B01539">
            <w:pPr>
              <w:jc w:val="center"/>
              <w:rPr>
                <w:b/>
                <w:sz w:val="20"/>
                <w:szCs w:val="20"/>
                <w:lang w:val="pt-BR"/>
              </w:rPr>
            </w:pPr>
          </w:p>
        </w:tc>
        <w:tc>
          <w:tcPr>
            <w:tcW w:w="430" w:type="pct"/>
            <w:tcBorders>
              <w:top w:val="single" w:sz="4" w:space="0" w:color="auto"/>
              <w:left w:val="nil"/>
              <w:right w:val="nil"/>
            </w:tcBorders>
            <w:shd w:val="clear" w:color="auto" w:fill="auto"/>
            <w:vAlign w:val="center"/>
          </w:tcPr>
          <w:p w14:paraId="27A4B011" w14:textId="77777777" w:rsidR="00535243" w:rsidRPr="002E707A" w:rsidRDefault="00535243" w:rsidP="00B01539">
            <w:pPr>
              <w:jc w:val="center"/>
              <w:rPr>
                <w:b/>
                <w:i/>
                <w:sz w:val="20"/>
                <w:szCs w:val="20"/>
                <w:lang w:val="pt-BR"/>
              </w:rPr>
            </w:pPr>
            <w:r w:rsidRPr="002E707A">
              <w:rPr>
                <w:b/>
                <w:i/>
                <w:sz w:val="20"/>
                <w:szCs w:val="20"/>
                <w:lang w:val="pt-BR"/>
              </w:rPr>
              <w:t>f</w:t>
            </w:r>
          </w:p>
        </w:tc>
        <w:tc>
          <w:tcPr>
            <w:tcW w:w="431" w:type="pct"/>
            <w:tcBorders>
              <w:top w:val="single" w:sz="4" w:space="0" w:color="auto"/>
              <w:left w:val="nil"/>
              <w:right w:val="nil"/>
            </w:tcBorders>
            <w:shd w:val="clear" w:color="auto" w:fill="auto"/>
            <w:vAlign w:val="center"/>
          </w:tcPr>
          <w:p w14:paraId="740332CC" w14:textId="77777777" w:rsidR="00535243" w:rsidRPr="002E707A" w:rsidRDefault="00535243" w:rsidP="00B01539">
            <w:pPr>
              <w:jc w:val="center"/>
              <w:rPr>
                <w:b/>
                <w:i/>
                <w:sz w:val="20"/>
                <w:szCs w:val="20"/>
                <w:lang w:val="pt-BR"/>
              </w:rPr>
            </w:pPr>
            <w:r w:rsidRPr="002E707A">
              <w:rPr>
                <w:b/>
                <w:i/>
                <w:sz w:val="20"/>
                <w:szCs w:val="20"/>
                <w:lang w:val="pt-BR"/>
              </w:rPr>
              <w:t>%</w:t>
            </w:r>
          </w:p>
        </w:tc>
        <w:tc>
          <w:tcPr>
            <w:tcW w:w="430" w:type="pct"/>
            <w:tcBorders>
              <w:top w:val="single" w:sz="4" w:space="0" w:color="auto"/>
              <w:left w:val="nil"/>
              <w:right w:val="nil"/>
            </w:tcBorders>
            <w:shd w:val="clear" w:color="auto" w:fill="auto"/>
            <w:vAlign w:val="center"/>
          </w:tcPr>
          <w:p w14:paraId="39C0A5E9" w14:textId="77777777" w:rsidR="00535243" w:rsidRPr="002E707A" w:rsidRDefault="00535243" w:rsidP="00B01539">
            <w:pPr>
              <w:jc w:val="center"/>
              <w:rPr>
                <w:b/>
                <w:i/>
                <w:sz w:val="20"/>
                <w:szCs w:val="20"/>
                <w:lang w:val="pt-BR"/>
              </w:rPr>
            </w:pPr>
            <w:r w:rsidRPr="002E707A">
              <w:rPr>
                <w:b/>
                <w:i/>
                <w:sz w:val="20"/>
                <w:szCs w:val="20"/>
                <w:lang w:val="pt-BR"/>
              </w:rPr>
              <w:t>f</w:t>
            </w:r>
          </w:p>
        </w:tc>
        <w:tc>
          <w:tcPr>
            <w:tcW w:w="431" w:type="pct"/>
            <w:tcBorders>
              <w:top w:val="single" w:sz="4" w:space="0" w:color="auto"/>
              <w:left w:val="nil"/>
              <w:right w:val="nil"/>
            </w:tcBorders>
            <w:shd w:val="clear" w:color="auto" w:fill="auto"/>
            <w:vAlign w:val="center"/>
          </w:tcPr>
          <w:p w14:paraId="2EA9A167" w14:textId="77777777" w:rsidR="00535243" w:rsidRPr="002E707A" w:rsidRDefault="00535243" w:rsidP="00B01539">
            <w:pPr>
              <w:jc w:val="center"/>
              <w:rPr>
                <w:b/>
                <w:i/>
                <w:sz w:val="20"/>
                <w:szCs w:val="20"/>
                <w:lang w:val="pt-BR"/>
              </w:rPr>
            </w:pPr>
            <w:r w:rsidRPr="002E707A">
              <w:rPr>
                <w:b/>
                <w:i/>
                <w:sz w:val="20"/>
                <w:szCs w:val="20"/>
                <w:lang w:val="pt-BR"/>
              </w:rPr>
              <w:t>%</w:t>
            </w:r>
          </w:p>
        </w:tc>
        <w:tc>
          <w:tcPr>
            <w:tcW w:w="430" w:type="pct"/>
            <w:tcBorders>
              <w:top w:val="single" w:sz="4" w:space="0" w:color="auto"/>
              <w:left w:val="nil"/>
              <w:right w:val="nil"/>
            </w:tcBorders>
            <w:shd w:val="clear" w:color="auto" w:fill="auto"/>
            <w:vAlign w:val="center"/>
          </w:tcPr>
          <w:p w14:paraId="3CA1CA61" w14:textId="77777777" w:rsidR="00535243" w:rsidRPr="002E707A" w:rsidRDefault="00535243" w:rsidP="00B01539">
            <w:pPr>
              <w:jc w:val="center"/>
              <w:rPr>
                <w:b/>
                <w:i/>
                <w:sz w:val="20"/>
                <w:szCs w:val="20"/>
                <w:lang w:val="pt-BR"/>
              </w:rPr>
            </w:pPr>
            <w:r w:rsidRPr="002E707A">
              <w:rPr>
                <w:b/>
                <w:i/>
                <w:sz w:val="20"/>
                <w:szCs w:val="20"/>
                <w:lang w:val="pt-BR"/>
              </w:rPr>
              <w:t>f</w:t>
            </w:r>
          </w:p>
        </w:tc>
        <w:tc>
          <w:tcPr>
            <w:tcW w:w="430" w:type="pct"/>
            <w:tcBorders>
              <w:top w:val="single" w:sz="4" w:space="0" w:color="auto"/>
              <w:left w:val="nil"/>
              <w:right w:val="single" w:sz="2" w:space="0" w:color="auto"/>
            </w:tcBorders>
            <w:shd w:val="clear" w:color="auto" w:fill="auto"/>
            <w:vAlign w:val="center"/>
          </w:tcPr>
          <w:p w14:paraId="25DDBC8A" w14:textId="77777777" w:rsidR="00535243" w:rsidRPr="002E707A" w:rsidRDefault="00535243" w:rsidP="00B01539">
            <w:pPr>
              <w:jc w:val="center"/>
              <w:rPr>
                <w:b/>
                <w:i/>
                <w:sz w:val="20"/>
                <w:szCs w:val="20"/>
                <w:lang w:val="pt-BR"/>
              </w:rPr>
            </w:pPr>
            <w:r w:rsidRPr="002E707A">
              <w:rPr>
                <w:b/>
                <w:i/>
                <w:sz w:val="20"/>
                <w:szCs w:val="20"/>
                <w:lang w:val="pt-BR"/>
              </w:rPr>
              <w:t>%</w:t>
            </w:r>
          </w:p>
        </w:tc>
      </w:tr>
      <w:tr w:rsidR="00535243" w:rsidRPr="002E707A" w14:paraId="41AD7957" w14:textId="77777777" w:rsidTr="00535243">
        <w:trPr>
          <w:trHeight w:val="20"/>
          <w:jc w:val="center"/>
        </w:trPr>
        <w:tc>
          <w:tcPr>
            <w:tcW w:w="764" w:type="pct"/>
            <w:vMerge w:val="restart"/>
            <w:tcBorders>
              <w:top w:val="nil"/>
              <w:left w:val="nil"/>
              <w:right w:val="nil"/>
            </w:tcBorders>
            <w:shd w:val="clear" w:color="auto" w:fill="auto"/>
            <w:vAlign w:val="center"/>
          </w:tcPr>
          <w:p w14:paraId="1E04E60B" w14:textId="77777777" w:rsidR="00535243" w:rsidRPr="002E707A" w:rsidRDefault="00535243" w:rsidP="00B01539">
            <w:pPr>
              <w:rPr>
                <w:b/>
                <w:sz w:val="20"/>
                <w:szCs w:val="20"/>
                <w:lang w:val="pt-BR"/>
              </w:rPr>
            </w:pPr>
            <w:r w:rsidRPr="002E707A">
              <w:rPr>
                <w:b/>
                <w:sz w:val="20"/>
                <w:szCs w:val="20"/>
                <w:lang w:val="pt-BR"/>
              </w:rPr>
              <w:t>Frequência de Uso</w:t>
            </w:r>
          </w:p>
        </w:tc>
        <w:tc>
          <w:tcPr>
            <w:tcW w:w="1655" w:type="pct"/>
            <w:tcBorders>
              <w:top w:val="nil"/>
              <w:left w:val="nil"/>
              <w:bottom w:val="nil"/>
              <w:right w:val="nil"/>
            </w:tcBorders>
            <w:shd w:val="clear" w:color="auto" w:fill="auto"/>
          </w:tcPr>
          <w:p w14:paraId="3CF9FDE0" w14:textId="77777777" w:rsidR="00535243" w:rsidRPr="002E707A" w:rsidRDefault="00535243" w:rsidP="00B01539">
            <w:pPr>
              <w:rPr>
                <w:sz w:val="20"/>
                <w:szCs w:val="20"/>
                <w:lang w:val="pt-BR"/>
              </w:rPr>
            </w:pPr>
            <w:r w:rsidRPr="002E707A">
              <w:rPr>
                <w:sz w:val="20"/>
                <w:szCs w:val="20"/>
                <w:lang w:val="pt-BR"/>
              </w:rPr>
              <w:t>Uma vez por semana ou menos</w:t>
            </w:r>
          </w:p>
        </w:tc>
        <w:tc>
          <w:tcPr>
            <w:tcW w:w="430" w:type="pct"/>
            <w:tcBorders>
              <w:left w:val="nil"/>
              <w:bottom w:val="nil"/>
              <w:right w:val="nil"/>
            </w:tcBorders>
            <w:shd w:val="clear" w:color="auto" w:fill="auto"/>
          </w:tcPr>
          <w:p w14:paraId="5D8D57F5" w14:textId="77777777" w:rsidR="00535243" w:rsidRPr="002E707A" w:rsidRDefault="00535243" w:rsidP="00B01539">
            <w:pPr>
              <w:jc w:val="center"/>
              <w:rPr>
                <w:b/>
                <w:bCs/>
                <w:sz w:val="20"/>
                <w:szCs w:val="20"/>
                <w:lang w:val="pt-BR"/>
              </w:rPr>
            </w:pPr>
            <w:r w:rsidRPr="002E707A">
              <w:rPr>
                <w:b/>
                <w:bCs/>
                <w:sz w:val="20"/>
                <w:szCs w:val="20"/>
                <w:lang w:val="pt-BR"/>
              </w:rPr>
              <w:t>9</w:t>
            </w:r>
          </w:p>
        </w:tc>
        <w:tc>
          <w:tcPr>
            <w:tcW w:w="431" w:type="pct"/>
            <w:tcBorders>
              <w:left w:val="nil"/>
              <w:bottom w:val="nil"/>
              <w:right w:val="nil"/>
            </w:tcBorders>
            <w:shd w:val="clear" w:color="auto" w:fill="auto"/>
          </w:tcPr>
          <w:p w14:paraId="12744D30" w14:textId="77777777" w:rsidR="00535243" w:rsidRPr="002E707A" w:rsidRDefault="00535243" w:rsidP="00B01539">
            <w:pPr>
              <w:jc w:val="center"/>
              <w:rPr>
                <w:b/>
                <w:bCs/>
                <w:sz w:val="20"/>
                <w:szCs w:val="20"/>
                <w:lang w:val="pt-BR"/>
              </w:rPr>
            </w:pPr>
            <w:r w:rsidRPr="002E707A">
              <w:rPr>
                <w:b/>
                <w:bCs/>
                <w:sz w:val="20"/>
                <w:szCs w:val="20"/>
                <w:lang w:val="pt-BR"/>
              </w:rPr>
              <w:t>60,0</w:t>
            </w:r>
          </w:p>
        </w:tc>
        <w:tc>
          <w:tcPr>
            <w:tcW w:w="430" w:type="pct"/>
            <w:tcBorders>
              <w:left w:val="nil"/>
              <w:bottom w:val="nil"/>
              <w:right w:val="nil"/>
            </w:tcBorders>
            <w:shd w:val="clear" w:color="auto" w:fill="auto"/>
          </w:tcPr>
          <w:p w14:paraId="12C1F598" w14:textId="77777777" w:rsidR="00535243" w:rsidRPr="002E707A" w:rsidRDefault="00535243" w:rsidP="00B01539">
            <w:pPr>
              <w:jc w:val="center"/>
              <w:rPr>
                <w:sz w:val="20"/>
                <w:szCs w:val="20"/>
                <w:lang w:val="pt-BR"/>
              </w:rPr>
            </w:pPr>
            <w:r w:rsidRPr="002E707A">
              <w:rPr>
                <w:sz w:val="20"/>
                <w:szCs w:val="20"/>
                <w:lang w:val="pt-BR"/>
              </w:rPr>
              <w:t>6</w:t>
            </w:r>
          </w:p>
        </w:tc>
        <w:tc>
          <w:tcPr>
            <w:tcW w:w="431" w:type="pct"/>
            <w:tcBorders>
              <w:left w:val="nil"/>
              <w:bottom w:val="nil"/>
              <w:right w:val="nil"/>
            </w:tcBorders>
            <w:shd w:val="clear" w:color="auto" w:fill="auto"/>
          </w:tcPr>
          <w:p w14:paraId="35F782D0" w14:textId="77777777" w:rsidR="00535243" w:rsidRPr="002E707A" w:rsidRDefault="00535243" w:rsidP="00B01539">
            <w:pPr>
              <w:jc w:val="center"/>
              <w:rPr>
                <w:sz w:val="20"/>
                <w:szCs w:val="20"/>
                <w:lang w:val="pt-BR"/>
              </w:rPr>
            </w:pPr>
            <w:r w:rsidRPr="002E707A">
              <w:rPr>
                <w:sz w:val="20"/>
                <w:szCs w:val="20"/>
                <w:lang w:val="pt-BR"/>
              </w:rPr>
              <w:t>4,2</w:t>
            </w:r>
          </w:p>
        </w:tc>
        <w:tc>
          <w:tcPr>
            <w:tcW w:w="430" w:type="pct"/>
            <w:tcBorders>
              <w:left w:val="nil"/>
              <w:bottom w:val="nil"/>
              <w:right w:val="nil"/>
            </w:tcBorders>
            <w:shd w:val="clear" w:color="auto" w:fill="auto"/>
          </w:tcPr>
          <w:p w14:paraId="7362410C" w14:textId="77777777" w:rsidR="00535243" w:rsidRPr="002E707A" w:rsidRDefault="00535243" w:rsidP="00B01539">
            <w:pPr>
              <w:jc w:val="center"/>
              <w:rPr>
                <w:b/>
                <w:bCs/>
                <w:sz w:val="20"/>
                <w:szCs w:val="20"/>
                <w:lang w:val="pt-BR"/>
              </w:rPr>
            </w:pPr>
            <w:r w:rsidRPr="002E707A">
              <w:rPr>
                <w:b/>
                <w:bCs/>
                <w:sz w:val="20"/>
                <w:szCs w:val="20"/>
                <w:lang w:val="pt-BR"/>
              </w:rPr>
              <w:t>98</w:t>
            </w:r>
          </w:p>
        </w:tc>
        <w:tc>
          <w:tcPr>
            <w:tcW w:w="430" w:type="pct"/>
            <w:tcBorders>
              <w:left w:val="nil"/>
              <w:bottom w:val="nil"/>
              <w:right w:val="nil"/>
            </w:tcBorders>
            <w:shd w:val="clear" w:color="auto" w:fill="auto"/>
          </w:tcPr>
          <w:p w14:paraId="1B66613F" w14:textId="77777777" w:rsidR="00535243" w:rsidRPr="002E707A" w:rsidRDefault="00535243" w:rsidP="00B01539">
            <w:pPr>
              <w:jc w:val="center"/>
              <w:rPr>
                <w:b/>
                <w:bCs/>
                <w:sz w:val="20"/>
                <w:szCs w:val="20"/>
                <w:lang w:val="pt-BR"/>
              </w:rPr>
            </w:pPr>
            <w:r w:rsidRPr="002E707A">
              <w:rPr>
                <w:b/>
                <w:bCs/>
                <w:sz w:val="20"/>
                <w:szCs w:val="20"/>
                <w:lang w:val="pt-BR"/>
              </w:rPr>
              <w:t>43,6</w:t>
            </w:r>
          </w:p>
        </w:tc>
      </w:tr>
      <w:tr w:rsidR="00535243" w:rsidRPr="002E707A" w14:paraId="6E14BD9A" w14:textId="77777777" w:rsidTr="00535243">
        <w:trPr>
          <w:trHeight w:val="20"/>
          <w:jc w:val="center"/>
        </w:trPr>
        <w:tc>
          <w:tcPr>
            <w:tcW w:w="764" w:type="pct"/>
            <w:vMerge/>
            <w:tcBorders>
              <w:left w:val="nil"/>
              <w:right w:val="nil"/>
            </w:tcBorders>
            <w:shd w:val="clear" w:color="auto" w:fill="auto"/>
            <w:vAlign w:val="center"/>
          </w:tcPr>
          <w:p w14:paraId="3714D513" w14:textId="77777777" w:rsidR="00535243" w:rsidRPr="002E707A" w:rsidRDefault="00535243" w:rsidP="00B01539">
            <w:pPr>
              <w:rPr>
                <w:b/>
                <w:sz w:val="20"/>
                <w:szCs w:val="20"/>
                <w:lang w:val="pt-BR"/>
              </w:rPr>
            </w:pPr>
          </w:p>
        </w:tc>
        <w:tc>
          <w:tcPr>
            <w:tcW w:w="1655" w:type="pct"/>
            <w:tcBorders>
              <w:top w:val="nil"/>
              <w:left w:val="nil"/>
              <w:bottom w:val="nil"/>
              <w:right w:val="nil"/>
            </w:tcBorders>
            <w:shd w:val="clear" w:color="auto" w:fill="auto"/>
          </w:tcPr>
          <w:p w14:paraId="353F04E8" w14:textId="77777777" w:rsidR="00535243" w:rsidRPr="002E707A" w:rsidRDefault="00535243" w:rsidP="00B01539">
            <w:pPr>
              <w:rPr>
                <w:sz w:val="20"/>
                <w:szCs w:val="20"/>
                <w:lang w:val="pt-BR"/>
              </w:rPr>
            </w:pPr>
            <w:r w:rsidRPr="002E707A">
              <w:rPr>
                <w:sz w:val="20"/>
                <w:szCs w:val="20"/>
                <w:lang w:val="pt-BR"/>
              </w:rPr>
              <w:t>2-4 vezes por semana</w:t>
            </w:r>
          </w:p>
        </w:tc>
        <w:tc>
          <w:tcPr>
            <w:tcW w:w="430" w:type="pct"/>
            <w:tcBorders>
              <w:top w:val="nil"/>
              <w:left w:val="nil"/>
              <w:bottom w:val="nil"/>
              <w:right w:val="nil"/>
            </w:tcBorders>
            <w:shd w:val="clear" w:color="auto" w:fill="auto"/>
          </w:tcPr>
          <w:p w14:paraId="4DAC0B4D" w14:textId="77777777" w:rsidR="00535243" w:rsidRPr="002E707A" w:rsidRDefault="00535243" w:rsidP="00B01539">
            <w:pPr>
              <w:jc w:val="center"/>
              <w:rPr>
                <w:sz w:val="20"/>
                <w:szCs w:val="20"/>
                <w:lang w:val="pt-BR"/>
              </w:rPr>
            </w:pPr>
            <w:r w:rsidRPr="002E707A">
              <w:rPr>
                <w:sz w:val="20"/>
                <w:szCs w:val="20"/>
                <w:lang w:val="pt-BR"/>
              </w:rPr>
              <w:t>0</w:t>
            </w:r>
          </w:p>
        </w:tc>
        <w:tc>
          <w:tcPr>
            <w:tcW w:w="431" w:type="pct"/>
            <w:tcBorders>
              <w:top w:val="nil"/>
              <w:left w:val="nil"/>
              <w:bottom w:val="nil"/>
              <w:right w:val="nil"/>
            </w:tcBorders>
            <w:shd w:val="clear" w:color="auto" w:fill="auto"/>
          </w:tcPr>
          <w:p w14:paraId="5C3A6CB3" w14:textId="77777777" w:rsidR="00535243" w:rsidRPr="002E707A" w:rsidRDefault="00535243" w:rsidP="00B01539">
            <w:pPr>
              <w:jc w:val="center"/>
              <w:rPr>
                <w:sz w:val="20"/>
                <w:szCs w:val="20"/>
                <w:lang w:val="pt-BR"/>
              </w:rPr>
            </w:pPr>
            <w:r w:rsidRPr="002E707A">
              <w:rPr>
                <w:sz w:val="20"/>
                <w:szCs w:val="20"/>
                <w:lang w:val="pt-BR"/>
              </w:rPr>
              <w:t>0,0</w:t>
            </w:r>
          </w:p>
        </w:tc>
        <w:tc>
          <w:tcPr>
            <w:tcW w:w="430" w:type="pct"/>
            <w:tcBorders>
              <w:top w:val="nil"/>
              <w:left w:val="nil"/>
              <w:bottom w:val="nil"/>
              <w:right w:val="nil"/>
            </w:tcBorders>
            <w:shd w:val="clear" w:color="auto" w:fill="auto"/>
          </w:tcPr>
          <w:p w14:paraId="4869062A" w14:textId="77777777" w:rsidR="00535243" w:rsidRPr="002E707A" w:rsidRDefault="00535243" w:rsidP="00B01539">
            <w:pPr>
              <w:jc w:val="center"/>
              <w:rPr>
                <w:sz w:val="20"/>
                <w:szCs w:val="20"/>
                <w:lang w:val="pt-BR"/>
              </w:rPr>
            </w:pPr>
            <w:r w:rsidRPr="002E707A">
              <w:rPr>
                <w:sz w:val="20"/>
                <w:szCs w:val="20"/>
                <w:lang w:val="pt-BR"/>
              </w:rPr>
              <w:t>17</w:t>
            </w:r>
          </w:p>
        </w:tc>
        <w:tc>
          <w:tcPr>
            <w:tcW w:w="431" w:type="pct"/>
            <w:tcBorders>
              <w:top w:val="nil"/>
              <w:left w:val="nil"/>
              <w:bottom w:val="nil"/>
              <w:right w:val="nil"/>
            </w:tcBorders>
            <w:shd w:val="clear" w:color="auto" w:fill="auto"/>
          </w:tcPr>
          <w:p w14:paraId="001E4BC2" w14:textId="77777777" w:rsidR="00535243" w:rsidRPr="002E707A" w:rsidRDefault="00535243" w:rsidP="00B01539">
            <w:pPr>
              <w:jc w:val="center"/>
              <w:rPr>
                <w:sz w:val="20"/>
                <w:szCs w:val="20"/>
                <w:lang w:val="pt-BR"/>
              </w:rPr>
            </w:pPr>
            <w:r w:rsidRPr="002E707A">
              <w:rPr>
                <w:sz w:val="20"/>
                <w:szCs w:val="20"/>
                <w:lang w:val="pt-BR"/>
              </w:rPr>
              <w:t>11,8</w:t>
            </w:r>
          </w:p>
        </w:tc>
        <w:tc>
          <w:tcPr>
            <w:tcW w:w="430" w:type="pct"/>
            <w:tcBorders>
              <w:top w:val="nil"/>
              <w:left w:val="nil"/>
              <w:bottom w:val="nil"/>
              <w:right w:val="nil"/>
            </w:tcBorders>
            <w:shd w:val="clear" w:color="auto" w:fill="auto"/>
          </w:tcPr>
          <w:p w14:paraId="254D046E" w14:textId="77777777" w:rsidR="00535243" w:rsidRPr="002E707A" w:rsidRDefault="00535243" w:rsidP="00B01539">
            <w:pPr>
              <w:jc w:val="center"/>
              <w:rPr>
                <w:sz w:val="20"/>
                <w:szCs w:val="20"/>
                <w:lang w:val="pt-BR"/>
              </w:rPr>
            </w:pPr>
            <w:r w:rsidRPr="002E707A">
              <w:rPr>
                <w:sz w:val="20"/>
                <w:szCs w:val="20"/>
                <w:lang w:val="pt-BR"/>
              </w:rPr>
              <w:t>54</w:t>
            </w:r>
          </w:p>
        </w:tc>
        <w:tc>
          <w:tcPr>
            <w:tcW w:w="430" w:type="pct"/>
            <w:tcBorders>
              <w:top w:val="nil"/>
              <w:left w:val="nil"/>
              <w:bottom w:val="nil"/>
              <w:right w:val="nil"/>
            </w:tcBorders>
            <w:shd w:val="clear" w:color="auto" w:fill="auto"/>
          </w:tcPr>
          <w:p w14:paraId="16AFB739" w14:textId="77777777" w:rsidR="00535243" w:rsidRPr="002E707A" w:rsidRDefault="00535243" w:rsidP="00B01539">
            <w:pPr>
              <w:jc w:val="center"/>
              <w:rPr>
                <w:sz w:val="20"/>
                <w:szCs w:val="20"/>
                <w:lang w:val="pt-BR"/>
              </w:rPr>
            </w:pPr>
            <w:r w:rsidRPr="002E707A">
              <w:rPr>
                <w:sz w:val="20"/>
                <w:szCs w:val="20"/>
                <w:lang w:val="pt-BR"/>
              </w:rPr>
              <w:t>24,0</w:t>
            </w:r>
          </w:p>
        </w:tc>
      </w:tr>
      <w:tr w:rsidR="00535243" w:rsidRPr="002E707A" w14:paraId="0F0C800C" w14:textId="77777777" w:rsidTr="00535243">
        <w:trPr>
          <w:trHeight w:val="20"/>
          <w:jc w:val="center"/>
        </w:trPr>
        <w:tc>
          <w:tcPr>
            <w:tcW w:w="764" w:type="pct"/>
            <w:vMerge/>
            <w:tcBorders>
              <w:left w:val="nil"/>
              <w:bottom w:val="nil"/>
              <w:right w:val="nil"/>
            </w:tcBorders>
            <w:shd w:val="clear" w:color="auto" w:fill="auto"/>
            <w:vAlign w:val="center"/>
          </w:tcPr>
          <w:p w14:paraId="2CBAAA1E" w14:textId="77777777" w:rsidR="00535243" w:rsidRPr="002E707A" w:rsidRDefault="00535243" w:rsidP="00B01539">
            <w:pPr>
              <w:rPr>
                <w:b/>
                <w:sz w:val="20"/>
                <w:szCs w:val="20"/>
                <w:lang w:val="pt-BR"/>
              </w:rPr>
            </w:pPr>
          </w:p>
        </w:tc>
        <w:tc>
          <w:tcPr>
            <w:tcW w:w="1655" w:type="pct"/>
            <w:tcBorders>
              <w:top w:val="nil"/>
              <w:left w:val="nil"/>
              <w:bottom w:val="nil"/>
              <w:right w:val="nil"/>
            </w:tcBorders>
            <w:shd w:val="clear" w:color="auto" w:fill="auto"/>
          </w:tcPr>
          <w:p w14:paraId="101D0D67" w14:textId="77777777" w:rsidR="00535243" w:rsidRPr="002E707A" w:rsidRDefault="00535243" w:rsidP="00B01539">
            <w:pPr>
              <w:rPr>
                <w:sz w:val="20"/>
                <w:szCs w:val="20"/>
                <w:lang w:val="pt-BR"/>
              </w:rPr>
            </w:pPr>
            <w:r w:rsidRPr="002E707A">
              <w:rPr>
                <w:sz w:val="20"/>
                <w:szCs w:val="20"/>
                <w:lang w:val="pt-BR"/>
              </w:rPr>
              <w:t>5-7 vezes por semana</w:t>
            </w:r>
          </w:p>
        </w:tc>
        <w:tc>
          <w:tcPr>
            <w:tcW w:w="430" w:type="pct"/>
            <w:tcBorders>
              <w:top w:val="nil"/>
              <w:left w:val="nil"/>
              <w:bottom w:val="nil"/>
              <w:right w:val="nil"/>
            </w:tcBorders>
            <w:shd w:val="clear" w:color="auto" w:fill="auto"/>
          </w:tcPr>
          <w:p w14:paraId="4597ED5A" w14:textId="77777777" w:rsidR="00535243" w:rsidRPr="002E707A" w:rsidRDefault="00535243" w:rsidP="00B01539">
            <w:pPr>
              <w:jc w:val="center"/>
              <w:rPr>
                <w:sz w:val="20"/>
                <w:szCs w:val="20"/>
                <w:lang w:val="pt-BR"/>
              </w:rPr>
            </w:pPr>
            <w:r w:rsidRPr="002E707A">
              <w:rPr>
                <w:sz w:val="20"/>
                <w:szCs w:val="20"/>
                <w:lang w:val="pt-BR"/>
              </w:rPr>
              <w:t>4</w:t>
            </w:r>
          </w:p>
        </w:tc>
        <w:tc>
          <w:tcPr>
            <w:tcW w:w="431" w:type="pct"/>
            <w:tcBorders>
              <w:top w:val="nil"/>
              <w:left w:val="nil"/>
              <w:bottom w:val="nil"/>
              <w:right w:val="nil"/>
            </w:tcBorders>
            <w:shd w:val="clear" w:color="auto" w:fill="auto"/>
          </w:tcPr>
          <w:p w14:paraId="707973BA" w14:textId="77777777" w:rsidR="00535243" w:rsidRPr="002E707A" w:rsidRDefault="00535243" w:rsidP="00B01539">
            <w:pPr>
              <w:jc w:val="center"/>
              <w:rPr>
                <w:sz w:val="20"/>
                <w:szCs w:val="20"/>
                <w:lang w:val="pt-BR"/>
              </w:rPr>
            </w:pPr>
            <w:r w:rsidRPr="002E707A">
              <w:rPr>
                <w:sz w:val="20"/>
                <w:szCs w:val="20"/>
                <w:lang w:val="pt-BR"/>
              </w:rPr>
              <w:t>26,7</w:t>
            </w:r>
          </w:p>
        </w:tc>
        <w:tc>
          <w:tcPr>
            <w:tcW w:w="430" w:type="pct"/>
            <w:tcBorders>
              <w:top w:val="nil"/>
              <w:left w:val="nil"/>
              <w:bottom w:val="nil"/>
              <w:right w:val="nil"/>
            </w:tcBorders>
            <w:shd w:val="clear" w:color="auto" w:fill="auto"/>
          </w:tcPr>
          <w:p w14:paraId="7E59A532" w14:textId="77777777" w:rsidR="00535243" w:rsidRPr="002E707A" w:rsidRDefault="00535243" w:rsidP="00B01539">
            <w:pPr>
              <w:jc w:val="center"/>
              <w:rPr>
                <w:sz w:val="20"/>
                <w:szCs w:val="20"/>
                <w:lang w:val="pt-BR"/>
              </w:rPr>
            </w:pPr>
            <w:r w:rsidRPr="002E707A">
              <w:rPr>
                <w:sz w:val="20"/>
                <w:szCs w:val="20"/>
                <w:lang w:val="pt-BR"/>
              </w:rPr>
              <w:t>48</w:t>
            </w:r>
          </w:p>
        </w:tc>
        <w:tc>
          <w:tcPr>
            <w:tcW w:w="431" w:type="pct"/>
            <w:tcBorders>
              <w:top w:val="nil"/>
              <w:left w:val="nil"/>
              <w:bottom w:val="nil"/>
              <w:right w:val="nil"/>
            </w:tcBorders>
            <w:shd w:val="clear" w:color="auto" w:fill="auto"/>
          </w:tcPr>
          <w:p w14:paraId="50236E77" w14:textId="77777777" w:rsidR="00535243" w:rsidRPr="002E707A" w:rsidRDefault="00535243" w:rsidP="00B01539">
            <w:pPr>
              <w:jc w:val="center"/>
              <w:rPr>
                <w:sz w:val="20"/>
                <w:szCs w:val="20"/>
                <w:lang w:val="pt-BR"/>
              </w:rPr>
            </w:pPr>
            <w:r w:rsidRPr="002E707A">
              <w:rPr>
                <w:sz w:val="20"/>
                <w:szCs w:val="20"/>
                <w:lang w:val="pt-BR"/>
              </w:rPr>
              <w:t>33,3</w:t>
            </w:r>
          </w:p>
        </w:tc>
        <w:tc>
          <w:tcPr>
            <w:tcW w:w="430" w:type="pct"/>
            <w:tcBorders>
              <w:top w:val="nil"/>
              <w:left w:val="nil"/>
              <w:bottom w:val="nil"/>
              <w:right w:val="nil"/>
            </w:tcBorders>
            <w:shd w:val="clear" w:color="auto" w:fill="auto"/>
          </w:tcPr>
          <w:p w14:paraId="7A51BC72" w14:textId="77777777" w:rsidR="00535243" w:rsidRPr="002E707A" w:rsidRDefault="00535243" w:rsidP="00B01539">
            <w:pPr>
              <w:jc w:val="center"/>
              <w:rPr>
                <w:sz w:val="20"/>
                <w:szCs w:val="20"/>
                <w:lang w:val="pt-BR"/>
              </w:rPr>
            </w:pPr>
            <w:r w:rsidRPr="002E707A">
              <w:rPr>
                <w:sz w:val="20"/>
                <w:szCs w:val="20"/>
                <w:lang w:val="pt-BR"/>
              </w:rPr>
              <w:t>48</w:t>
            </w:r>
          </w:p>
        </w:tc>
        <w:tc>
          <w:tcPr>
            <w:tcW w:w="430" w:type="pct"/>
            <w:tcBorders>
              <w:top w:val="nil"/>
              <w:left w:val="nil"/>
              <w:bottom w:val="nil"/>
              <w:right w:val="nil"/>
            </w:tcBorders>
            <w:shd w:val="clear" w:color="auto" w:fill="auto"/>
          </w:tcPr>
          <w:p w14:paraId="2CB74CDD" w14:textId="77777777" w:rsidR="00535243" w:rsidRPr="002E707A" w:rsidRDefault="00535243" w:rsidP="00B01539">
            <w:pPr>
              <w:jc w:val="center"/>
              <w:rPr>
                <w:sz w:val="20"/>
                <w:szCs w:val="20"/>
                <w:lang w:val="pt-BR"/>
              </w:rPr>
            </w:pPr>
            <w:r w:rsidRPr="002E707A">
              <w:rPr>
                <w:sz w:val="20"/>
                <w:szCs w:val="20"/>
                <w:lang w:val="pt-BR"/>
              </w:rPr>
              <w:t>21,3</w:t>
            </w:r>
          </w:p>
        </w:tc>
      </w:tr>
      <w:tr w:rsidR="00535243" w:rsidRPr="002E707A" w14:paraId="62200CB2" w14:textId="77777777" w:rsidTr="00535243">
        <w:trPr>
          <w:trHeight w:val="20"/>
          <w:jc w:val="center"/>
        </w:trPr>
        <w:tc>
          <w:tcPr>
            <w:tcW w:w="764" w:type="pct"/>
            <w:vMerge/>
            <w:tcBorders>
              <w:left w:val="nil"/>
              <w:bottom w:val="single" w:sz="2" w:space="0" w:color="auto"/>
              <w:right w:val="nil"/>
            </w:tcBorders>
            <w:shd w:val="clear" w:color="auto" w:fill="auto"/>
            <w:vAlign w:val="center"/>
          </w:tcPr>
          <w:p w14:paraId="6D9903F4" w14:textId="77777777" w:rsidR="00535243" w:rsidRPr="002E707A" w:rsidRDefault="00535243" w:rsidP="00B01539">
            <w:pPr>
              <w:rPr>
                <w:b/>
                <w:sz w:val="20"/>
                <w:szCs w:val="20"/>
                <w:lang w:val="pt-BR"/>
              </w:rPr>
            </w:pPr>
          </w:p>
        </w:tc>
        <w:tc>
          <w:tcPr>
            <w:tcW w:w="1655" w:type="pct"/>
            <w:tcBorders>
              <w:top w:val="nil"/>
              <w:left w:val="nil"/>
              <w:bottom w:val="single" w:sz="2" w:space="0" w:color="auto"/>
              <w:right w:val="nil"/>
            </w:tcBorders>
            <w:shd w:val="clear" w:color="auto" w:fill="auto"/>
          </w:tcPr>
          <w:p w14:paraId="22399F4E" w14:textId="77777777" w:rsidR="00535243" w:rsidRPr="002E707A" w:rsidRDefault="00535243" w:rsidP="00B01539">
            <w:pPr>
              <w:rPr>
                <w:sz w:val="20"/>
                <w:szCs w:val="20"/>
                <w:lang w:val="pt-BR"/>
              </w:rPr>
            </w:pPr>
            <w:r w:rsidRPr="002E707A">
              <w:rPr>
                <w:sz w:val="20"/>
                <w:szCs w:val="20"/>
                <w:lang w:val="pt-BR"/>
              </w:rPr>
              <w:t>Mais de uma vez ao dia</w:t>
            </w:r>
          </w:p>
        </w:tc>
        <w:tc>
          <w:tcPr>
            <w:tcW w:w="430" w:type="pct"/>
            <w:tcBorders>
              <w:top w:val="nil"/>
              <w:left w:val="nil"/>
              <w:bottom w:val="single" w:sz="2" w:space="0" w:color="auto"/>
              <w:right w:val="nil"/>
            </w:tcBorders>
            <w:shd w:val="clear" w:color="auto" w:fill="auto"/>
          </w:tcPr>
          <w:p w14:paraId="17A129F6" w14:textId="77777777" w:rsidR="00535243" w:rsidRPr="002E707A" w:rsidRDefault="00535243" w:rsidP="00B01539">
            <w:pPr>
              <w:jc w:val="center"/>
              <w:rPr>
                <w:sz w:val="20"/>
                <w:szCs w:val="20"/>
                <w:lang w:val="pt-BR"/>
              </w:rPr>
            </w:pPr>
            <w:r w:rsidRPr="002E707A">
              <w:rPr>
                <w:sz w:val="20"/>
                <w:szCs w:val="20"/>
                <w:lang w:val="pt-BR"/>
              </w:rPr>
              <w:t>2</w:t>
            </w:r>
          </w:p>
        </w:tc>
        <w:tc>
          <w:tcPr>
            <w:tcW w:w="431" w:type="pct"/>
            <w:tcBorders>
              <w:top w:val="nil"/>
              <w:left w:val="nil"/>
              <w:bottom w:val="single" w:sz="2" w:space="0" w:color="auto"/>
              <w:right w:val="nil"/>
            </w:tcBorders>
            <w:shd w:val="clear" w:color="auto" w:fill="auto"/>
          </w:tcPr>
          <w:p w14:paraId="1CD385CE" w14:textId="77777777" w:rsidR="00535243" w:rsidRPr="002E707A" w:rsidRDefault="00535243" w:rsidP="00B01539">
            <w:pPr>
              <w:jc w:val="center"/>
              <w:rPr>
                <w:sz w:val="20"/>
                <w:szCs w:val="20"/>
                <w:lang w:val="pt-BR"/>
              </w:rPr>
            </w:pPr>
            <w:r w:rsidRPr="002E707A">
              <w:rPr>
                <w:sz w:val="20"/>
                <w:szCs w:val="20"/>
                <w:lang w:val="pt-BR"/>
              </w:rPr>
              <w:t>13,3</w:t>
            </w:r>
          </w:p>
        </w:tc>
        <w:tc>
          <w:tcPr>
            <w:tcW w:w="430" w:type="pct"/>
            <w:tcBorders>
              <w:top w:val="nil"/>
              <w:left w:val="nil"/>
              <w:bottom w:val="single" w:sz="2" w:space="0" w:color="auto"/>
              <w:right w:val="nil"/>
            </w:tcBorders>
            <w:shd w:val="clear" w:color="auto" w:fill="auto"/>
          </w:tcPr>
          <w:p w14:paraId="79C0F597" w14:textId="77777777" w:rsidR="00535243" w:rsidRPr="002E707A" w:rsidRDefault="00535243" w:rsidP="00B01539">
            <w:pPr>
              <w:jc w:val="center"/>
              <w:rPr>
                <w:b/>
                <w:bCs/>
                <w:sz w:val="20"/>
                <w:szCs w:val="20"/>
                <w:lang w:val="pt-BR"/>
              </w:rPr>
            </w:pPr>
            <w:r w:rsidRPr="002E707A">
              <w:rPr>
                <w:b/>
                <w:bCs/>
                <w:sz w:val="20"/>
                <w:szCs w:val="20"/>
                <w:lang w:val="pt-BR"/>
              </w:rPr>
              <w:t>73</w:t>
            </w:r>
          </w:p>
        </w:tc>
        <w:tc>
          <w:tcPr>
            <w:tcW w:w="431" w:type="pct"/>
            <w:tcBorders>
              <w:top w:val="nil"/>
              <w:left w:val="nil"/>
              <w:bottom w:val="single" w:sz="2" w:space="0" w:color="auto"/>
              <w:right w:val="nil"/>
            </w:tcBorders>
            <w:shd w:val="clear" w:color="auto" w:fill="auto"/>
          </w:tcPr>
          <w:p w14:paraId="7A9AA62D" w14:textId="77777777" w:rsidR="00535243" w:rsidRPr="002E707A" w:rsidRDefault="00535243" w:rsidP="00B01539">
            <w:pPr>
              <w:jc w:val="center"/>
              <w:rPr>
                <w:b/>
                <w:bCs/>
                <w:sz w:val="20"/>
                <w:szCs w:val="20"/>
                <w:lang w:val="pt-BR"/>
              </w:rPr>
            </w:pPr>
            <w:r w:rsidRPr="002E707A">
              <w:rPr>
                <w:b/>
                <w:bCs/>
                <w:sz w:val="20"/>
                <w:szCs w:val="20"/>
                <w:lang w:val="pt-BR"/>
              </w:rPr>
              <w:t>50,7</w:t>
            </w:r>
          </w:p>
        </w:tc>
        <w:tc>
          <w:tcPr>
            <w:tcW w:w="430" w:type="pct"/>
            <w:tcBorders>
              <w:top w:val="nil"/>
              <w:left w:val="nil"/>
              <w:bottom w:val="single" w:sz="2" w:space="0" w:color="auto"/>
              <w:right w:val="nil"/>
            </w:tcBorders>
            <w:shd w:val="clear" w:color="auto" w:fill="auto"/>
          </w:tcPr>
          <w:p w14:paraId="19E60429" w14:textId="77777777" w:rsidR="00535243" w:rsidRPr="002E707A" w:rsidRDefault="00535243" w:rsidP="00B01539">
            <w:pPr>
              <w:jc w:val="center"/>
              <w:rPr>
                <w:sz w:val="20"/>
                <w:szCs w:val="20"/>
                <w:lang w:val="pt-BR"/>
              </w:rPr>
            </w:pPr>
            <w:r w:rsidRPr="002E707A">
              <w:rPr>
                <w:sz w:val="20"/>
                <w:szCs w:val="20"/>
                <w:lang w:val="pt-BR"/>
              </w:rPr>
              <w:t>25</w:t>
            </w:r>
          </w:p>
        </w:tc>
        <w:tc>
          <w:tcPr>
            <w:tcW w:w="430" w:type="pct"/>
            <w:tcBorders>
              <w:top w:val="nil"/>
              <w:left w:val="nil"/>
              <w:bottom w:val="single" w:sz="2" w:space="0" w:color="auto"/>
              <w:right w:val="nil"/>
            </w:tcBorders>
            <w:shd w:val="clear" w:color="auto" w:fill="auto"/>
          </w:tcPr>
          <w:p w14:paraId="283A5D75" w14:textId="77777777" w:rsidR="00535243" w:rsidRPr="002E707A" w:rsidRDefault="00535243" w:rsidP="00B01539">
            <w:pPr>
              <w:jc w:val="center"/>
              <w:rPr>
                <w:sz w:val="20"/>
                <w:szCs w:val="20"/>
                <w:lang w:val="pt-BR"/>
              </w:rPr>
            </w:pPr>
            <w:r w:rsidRPr="002E707A">
              <w:rPr>
                <w:sz w:val="20"/>
                <w:szCs w:val="20"/>
                <w:lang w:val="pt-BR"/>
              </w:rPr>
              <w:t>11,1</w:t>
            </w:r>
          </w:p>
        </w:tc>
      </w:tr>
      <w:tr w:rsidR="00535243" w:rsidRPr="002E707A" w14:paraId="467DC28D" w14:textId="77777777" w:rsidTr="00535243">
        <w:trPr>
          <w:trHeight w:val="20"/>
          <w:jc w:val="center"/>
        </w:trPr>
        <w:tc>
          <w:tcPr>
            <w:tcW w:w="764" w:type="pct"/>
            <w:vMerge w:val="restart"/>
            <w:tcBorders>
              <w:top w:val="single" w:sz="2" w:space="0" w:color="auto"/>
              <w:left w:val="nil"/>
              <w:bottom w:val="nil"/>
              <w:right w:val="nil"/>
            </w:tcBorders>
            <w:shd w:val="clear" w:color="auto" w:fill="auto"/>
            <w:vAlign w:val="center"/>
          </w:tcPr>
          <w:p w14:paraId="0293F58A" w14:textId="77777777" w:rsidR="00535243" w:rsidRPr="002E707A" w:rsidRDefault="00535243" w:rsidP="00B01539">
            <w:pPr>
              <w:rPr>
                <w:b/>
                <w:bCs/>
                <w:sz w:val="20"/>
                <w:szCs w:val="20"/>
                <w:highlight w:val="yellow"/>
                <w:lang w:val="pt-BR"/>
              </w:rPr>
            </w:pPr>
            <w:r w:rsidRPr="002E707A">
              <w:rPr>
                <w:b/>
                <w:bCs/>
                <w:sz w:val="20"/>
                <w:szCs w:val="20"/>
                <w:lang w:val="pt-BR"/>
              </w:rPr>
              <w:t>Dosagem média/uso</w:t>
            </w:r>
          </w:p>
        </w:tc>
        <w:tc>
          <w:tcPr>
            <w:tcW w:w="1655" w:type="pct"/>
            <w:tcBorders>
              <w:top w:val="single" w:sz="2" w:space="0" w:color="auto"/>
              <w:left w:val="nil"/>
              <w:bottom w:val="nil"/>
              <w:right w:val="nil"/>
            </w:tcBorders>
            <w:shd w:val="clear" w:color="auto" w:fill="auto"/>
          </w:tcPr>
          <w:p w14:paraId="013F5FB1" w14:textId="77777777" w:rsidR="00535243" w:rsidRPr="002E707A" w:rsidRDefault="00535243" w:rsidP="00B01539">
            <w:pPr>
              <w:rPr>
                <w:sz w:val="20"/>
                <w:szCs w:val="20"/>
                <w:lang w:val="pt-BR"/>
              </w:rPr>
            </w:pPr>
            <w:r w:rsidRPr="002E707A">
              <w:rPr>
                <w:sz w:val="20"/>
                <w:szCs w:val="20"/>
                <w:lang w:val="pt-BR"/>
              </w:rPr>
              <w:t>Menos de 1g</w:t>
            </w:r>
          </w:p>
        </w:tc>
        <w:tc>
          <w:tcPr>
            <w:tcW w:w="430" w:type="pct"/>
            <w:tcBorders>
              <w:top w:val="single" w:sz="2" w:space="0" w:color="auto"/>
              <w:left w:val="nil"/>
              <w:bottom w:val="nil"/>
              <w:right w:val="nil"/>
            </w:tcBorders>
            <w:shd w:val="clear" w:color="auto" w:fill="auto"/>
          </w:tcPr>
          <w:p w14:paraId="7746B163" w14:textId="77777777" w:rsidR="00535243" w:rsidRPr="002E707A" w:rsidRDefault="00535243" w:rsidP="00B01539">
            <w:pPr>
              <w:jc w:val="center"/>
              <w:rPr>
                <w:b/>
                <w:bCs/>
                <w:sz w:val="20"/>
                <w:szCs w:val="20"/>
                <w:lang w:val="pt-BR"/>
              </w:rPr>
            </w:pPr>
            <w:r w:rsidRPr="002E707A">
              <w:rPr>
                <w:b/>
                <w:bCs/>
                <w:sz w:val="20"/>
                <w:szCs w:val="20"/>
                <w:lang w:val="pt-BR"/>
              </w:rPr>
              <w:t>14</w:t>
            </w:r>
          </w:p>
        </w:tc>
        <w:tc>
          <w:tcPr>
            <w:tcW w:w="431" w:type="pct"/>
            <w:tcBorders>
              <w:top w:val="single" w:sz="2" w:space="0" w:color="auto"/>
              <w:left w:val="nil"/>
              <w:bottom w:val="nil"/>
              <w:right w:val="nil"/>
            </w:tcBorders>
            <w:shd w:val="clear" w:color="auto" w:fill="auto"/>
          </w:tcPr>
          <w:p w14:paraId="6E101A9E" w14:textId="77777777" w:rsidR="00535243" w:rsidRPr="002E707A" w:rsidRDefault="00535243" w:rsidP="00B01539">
            <w:pPr>
              <w:jc w:val="center"/>
              <w:rPr>
                <w:b/>
                <w:bCs/>
                <w:sz w:val="20"/>
                <w:szCs w:val="20"/>
                <w:lang w:val="pt-BR"/>
              </w:rPr>
            </w:pPr>
            <w:r w:rsidRPr="002E707A">
              <w:rPr>
                <w:b/>
                <w:bCs/>
                <w:sz w:val="20"/>
                <w:szCs w:val="20"/>
                <w:lang w:val="pt-BR"/>
              </w:rPr>
              <w:t>93,3</w:t>
            </w:r>
          </w:p>
        </w:tc>
        <w:tc>
          <w:tcPr>
            <w:tcW w:w="430" w:type="pct"/>
            <w:tcBorders>
              <w:top w:val="single" w:sz="2" w:space="0" w:color="auto"/>
              <w:left w:val="nil"/>
              <w:bottom w:val="nil"/>
              <w:right w:val="nil"/>
            </w:tcBorders>
            <w:shd w:val="clear" w:color="auto" w:fill="auto"/>
          </w:tcPr>
          <w:p w14:paraId="7ADA0F90" w14:textId="77777777" w:rsidR="00535243" w:rsidRPr="002E707A" w:rsidRDefault="00535243" w:rsidP="00B01539">
            <w:pPr>
              <w:jc w:val="center"/>
              <w:rPr>
                <w:sz w:val="20"/>
                <w:szCs w:val="20"/>
                <w:lang w:val="pt-BR"/>
              </w:rPr>
            </w:pPr>
            <w:r w:rsidRPr="002E707A">
              <w:rPr>
                <w:sz w:val="20"/>
                <w:szCs w:val="20"/>
                <w:lang w:val="pt-BR"/>
              </w:rPr>
              <w:t>0</w:t>
            </w:r>
          </w:p>
        </w:tc>
        <w:tc>
          <w:tcPr>
            <w:tcW w:w="431" w:type="pct"/>
            <w:tcBorders>
              <w:top w:val="single" w:sz="2" w:space="0" w:color="auto"/>
              <w:left w:val="nil"/>
              <w:bottom w:val="nil"/>
              <w:right w:val="nil"/>
            </w:tcBorders>
            <w:shd w:val="clear" w:color="auto" w:fill="auto"/>
          </w:tcPr>
          <w:p w14:paraId="1A94045F" w14:textId="77777777" w:rsidR="00535243" w:rsidRPr="002E707A" w:rsidRDefault="00535243" w:rsidP="00B01539">
            <w:pPr>
              <w:jc w:val="center"/>
              <w:rPr>
                <w:sz w:val="20"/>
                <w:szCs w:val="20"/>
                <w:lang w:val="pt-BR"/>
              </w:rPr>
            </w:pPr>
            <w:r w:rsidRPr="002E707A">
              <w:rPr>
                <w:sz w:val="20"/>
                <w:szCs w:val="20"/>
                <w:lang w:val="pt-BR"/>
              </w:rPr>
              <w:t>0,0</w:t>
            </w:r>
          </w:p>
        </w:tc>
        <w:tc>
          <w:tcPr>
            <w:tcW w:w="430" w:type="pct"/>
            <w:tcBorders>
              <w:top w:val="single" w:sz="2" w:space="0" w:color="auto"/>
              <w:left w:val="nil"/>
              <w:bottom w:val="nil"/>
              <w:right w:val="nil"/>
            </w:tcBorders>
            <w:shd w:val="clear" w:color="auto" w:fill="auto"/>
          </w:tcPr>
          <w:p w14:paraId="3B786A22" w14:textId="77777777" w:rsidR="00535243" w:rsidRPr="002E707A" w:rsidRDefault="00535243" w:rsidP="00B01539">
            <w:pPr>
              <w:jc w:val="center"/>
              <w:rPr>
                <w:b/>
                <w:bCs/>
                <w:sz w:val="20"/>
                <w:szCs w:val="20"/>
                <w:lang w:val="pt-BR"/>
              </w:rPr>
            </w:pPr>
            <w:r w:rsidRPr="002E707A">
              <w:rPr>
                <w:b/>
                <w:bCs/>
                <w:sz w:val="20"/>
                <w:szCs w:val="20"/>
                <w:lang w:val="pt-BR"/>
              </w:rPr>
              <w:t>177</w:t>
            </w:r>
          </w:p>
        </w:tc>
        <w:tc>
          <w:tcPr>
            <w:tcW w:w="430" w:type="pct"/>
            <w:tcBorders>
              <w:top w:val="single" w:sz="2" w:space="0" w:color="auto"/>
              <w:left w:val="nil"/>
              <w:bottom w:val="nil"/>
              <w:right w:val="nil"/>
            </w:tcBorders>
            <w:shd w:val="clear" w:color="auto" w:fill="auto"/>
          </w:tcPr>
          <w:p w14:paraId="158C67FB" w14:textId="77777777" w:rsidR="00535243" w:rsidRPr="002E707A" w:rsidRDefault="00535243" w:rsidP="00B01539">
            <w:pPr>
              <w:jc w:val="center"/>
              <w:rPr>
                <w:b/>
                <w:bCs/>
                <w:sz w:val="20"/>
                <w:szCs w:val="20"/>
                <w:lang w:val="pt-BR"/>
              </w:rPr>
            </w:pPr>
            <w:r w:rsidRPr="002E707A">
              <w:rPr>
                <w:b/>
                <w:bCs/>
                <w:sz w:val="20"/>
                <w:szCs w:val="20"/>
                <w:lang w:val="pt-BR"/>
              </w:rPr>
              <w:t>78,7</w:t>
            </w:r>
          </w:p>
        </w:tc>
      </w:tr>
      <w:tr w:rsidR="00535243" w:rsidRPr="002E707A" w14:paraId="023633D4" w14:textId="77777777" w:rsidTr="00535243">
        <w:trPr>
          <w:trHeight w:val="20"/>
          <w:jc w:val="center"/>
        </w:trPr>
        <w:tc>
          <w:tcPr>
            <w:tcW w:w="764" w:type="pct"/>
            <w:vMerge/>
            <w:tcBorders>
              <w:top w:val="nil"/>
              <w:left w:val="nil"/>
              <w:bottom w:val="nil"/>
              <w:right w:val="nil"/>
            </w:tcBorders>
            <w:shd w:val="clear" w:color="auto" w:fill="auto"/>
            <w:vAlign w:val="center"/>
          </w:tcPr>
          <w:p w14:paraId="619D882B" w14:textId="77777777" w:rsidR="00535243" w:rsidRPr="002E707A" w:rsidRDefault="00535243" w:rsidP="00B01539">
            <w:pPr>
              <w:rPr>
                <w:b/>
                <w:sz w:val="20"/>
                <w:szCs w:val="20"/>
                <w:lang w:val="pt-BR"/>
              </w:rPr>
            </w:pPr>
          </w:p>
        </w:tc>
        <w:tc>
          <w:tcPr>
            <w:tcW w:w="1655" w:type="pct"/>
            <w:tcBorders>
              <w:top w:val="nil"/>
              <w:left w:val="nil"/>
              <w:bottom w:val="nil"/>
              <w:right w:val="nil"/>
            </w:tcBorders>
            <w:shd w:val="clear" w:color="auto" w:fill="auto"/>
          </w:tcPr>
          <w:p w14:paraId="737DB781" w14:textId="77777777" w:rsidR="00535243" w:rsidRPr="002E707A" w:rsidRDefault="00535243" w:rsidP="00B01539">
            <w:pPr>
              <w:rPr>
                <w:sz w:val="20"/>
                <w:szCs w:val="20"/>
                <w:lang w:val="pt-BR"/>
              </w:rPr>
            </w:pPr>
            <w:r w:rsidRPr="002E707A">
              <w:rPr>
                <w:sz w:val="20"/>
                <w:szCs w:val="20"/>
                <w:lang w:val="pt-BR"/>
              </w:rPr>
              <w:t>Aproximadamente 1g</w:t>
            </w:r>
          </w:p>
        </w:tc>
        <w:tc>
          <w:tcPr>
            <w:tcW w:w="430" w:type="pct"/>
            <w:tcBorders>
              <w:top w:val="nil"/>
              <w:left w:val="nil"/>
              <w:bottom w:val="nil"/>
              <w:right w:val="nil"/>
            </w:tcBorders>
            <w:shd w:val="clear" w:color="auto" w:fill="auto"/>
          </w:tcPr>
          <w:p w14:paraId="38F5C08E" w14:textId="77777777" w:rsidR="00535243" w:rsidRPr="002E707A" w:rsidRDefault="00535243" w:rsidP="00B01539">
            <w:pPr>
              <w:jc w:val="center"/>
              <w:rPr>
                <w:sz w:val="20"/>
                <w:szCs w:val="20"/>
                <w:lang w:val="pt-BR"/>
              </w:rPr>
            </w:pPr>
            <w:r w:rsidRPr="002E707A">
              <w:rPr>
                <w:sz w:val="20"/>
                <w:szCs w:val="20"/>
                <w:lang w:val="pt-BR"/>
              </w:rPr>
              <w:t>0</w:t>
            </w:r>
          </w:p>
        </w:tc>
        <w:tc>
          <w:tcPr>
            <w:tcW w:w="431" w:type="pct"/>
            <w:tcBorders>
              <w:top w:val="nil"/>
              <w:left w:val="nil"/>
              <w:bottom w:val="nil"/>
              <w:right w:val="nil"/>
            </w:tcBorders>
            <w:shd w:val="clear" w:color="auto" w:fill="auto"/>
          </w:tcPr>
          <w:p w14:paraId="46E8E89E" w14:textId="77777777" w:rsidR="00535243" w:rsidRPr="002E707A" w:rsidRDefault="00535243" w:rsidP="00B01539">
            <w:pPr>
              <w:jc w:val="center"/>
              <w:rPr>
                <w:sz w:val="20"/>
                <w:szCs w:val="20"/>
                <w:lang w:val="pt-BR"/>
              </w:rPr>
            </w:pPr>
            <w:r w:rsidRPr="002E707A">
              <w:rPr>
                <w:sz w:val="20"/>
                <w:szCs w:val="20"/>
                <w:lang w:val="pt-BR"/>
              </w:rPr>
              <w:t>0,0</w:t>
            </w:r>
          </w:p>
        </w:tc>
        <w:tc>
          <w:tcPr>
            <w:tcW w:w="430" w:type="pct"/>
            <w:tcBorders>
              <w:top w:val="nil"/>
              <w:left w:val="nil"/>
              <w:bottom w:val="nil"/>
              <w:right w:val="nil"/>
            </w:tcBorders>
            <w:shd w:val="clear" w:color="auto" w:fill="auto"/>
          </w:tcPr>
          <w:p w14:paraId="7030D7DA" w14:textId="77777777" w:rsidR="00535243" w:rsidRPr="002E707A" w:rsidRDefault="00535243" w:rsidP="00B01539">
            <w:pPr>
              <w:jc w:val="center"/>
              <w:rPr>
                <w:sz w:val="20"/>
                <w:szCs w:val="20"/>
                <w:lang w:val="pt-BR"/>
              </w:rPr>
            </w:pPr>
            <w:r w:rsidRPr="002E707A">
              <w:rPr>
                <w:sz w:val="20"/>
                <w:szCs w:val="20"/>
                <w:lang w:val="pt-BR"/>
              </w:rPr>
              <w:t>38</w:t>
            </w:r>
          </w:p>
        </w:tc>
        <w:tc>
          <w:tcPr>
            <w:tcW w:w="431" w:type="pct"/>
            <w:tcBorders>
              <w:top w:val="nil"/>
              <w:left w:val="nil"/>
              <w:bottom w:val="nil"/>
              <w:right w:val="nil"/>
            </w:tcBorders>
            <w:shd w:val="clear" w:color="auto" w:fill="auto"/>
          </w:tcPr>
          <w:p w14:paraId="1CD5B9F6" w14:textId="77777777" w:rsidR="00535243" w:rsidRPr="002E707A" w:rsidRDefault="00535243" w:rsidP="00B01539">
            <w:pPr>
              <w:jc w:val="center"/>
              <w:rPr>
                <w:sz w:val="20"/>
                <w:szCs w:val="20"/>
                <w:lang w:val="pt-BR"/>
              </w:rPr>
            </w:pPr>
            <w:r w:rsidRPr="002E707A">
              <w:rPr>
                <w:sz w:val="20"/>
                <w:szCs w:val="20"/>
                <w:lang w:val="pt-BR"/>
              </w:rPr>
              <w:t>26,4</w:t>
            </w:r>
          </w:p>
        </w:tc>
        <w:tc>
          <w:tcPr>
            <w:tcW w:w="430" w:type="pct"/>
            <w:tcBorders>
              <w:top w:val="nil"/>
              <w:left w:val="nil"/>
              <w:bottom w:val="nil"/>
              <w:right w:val="nil"/>
            </w:tcBorders>
            <w:shd w:val="clear" w:color="auto" w:fill="auto"/>
          </w:tcPr>
          <w:p w14:paraId="4E4BDE45" w14:textId="77777777" w:rsidR="00535243" w:rsidRPr="002E707A" w:rsidRDefault="00535243" w:rsidP="00B01539">
            <w:pPr>
              <w:jc w:val="center"/>
              <w:rPr>
                <w:sz w:val="20"/>
                <w:szCs w:val="20"/>
                <w:lang w:val="pt-BR"/>
              </w:rPr>
            </w:pPr>
            <w:r w:rsidRPr="002E707A">
              <w:rPr>
                <w:sz w:val="20"/>
                <w:szCs w:val="20"/>
                <w:lang w:val="pt-BR"/>
              </w:rPr>
              <w:t>48</w:t>
            </w:r>
          </w:p>
        </w:tc>
        <w:tc>
          <w:tcPr>
            <w:tcW w:w="430" w:type="pct"/>
            <w:tcBorders>
              <w:top w:val="nil"/>
              <w:left w:val="nil"/>
              <w:bottom w:val="nil"/>
              <w:right w:val="nil"/>
            </w:tcBorders>
            <w:shd w:val="clear" w:color="auto" w:fill="auto"/>
          </w:tcPr>
          <w:p w14:paraId="4F9AD6FB" w14:textId="77777777" w:rsidR="00535243" w:rsidRPr="002E707A" w:rsidRDefault="00535243" w:rsidP="00B01539">
            <w:pPr>
              <w:jc w:val="center"/>
              <w:rPr>
                <w:sz w:val="20"/>
                <w:szCs w:val="20"/>
                <w:lang w:val="pt-BR"/>
              </w:rPr>
            </w:pPr>
            <w:r w:rsidRPr="002E707A">
              <w:rPr>
                <w:sz w:val="20"/>
                <w:szCs w:val="20"/>
                <w:lang w:val="pt-BR"/>
              </w:rPr>
              <w:t>21,3</w:t>
            </w:r>
          </w:p>
        </w:tc>
      </w:tr>
      <w:tr w:rsidR="00535243" w:rsidRPr="002E707A" w14:paraId="55CD22CC" w14:textId="77777777" w:rsidTr="00535243">
        <w:trPr>
          <w:trHeight w:val="20"/>
          <w:jc w:val="center"/>
        </w:trPr>
        <w:tc>
          <w:tcPr>
            <w:tcW w:w="764" w:type="pct"/>
            <w:vMerge/>
            <w:tcBorders>
              <w:top w:val="nil"/>
              <w:left w:val="nil"/>
              <w:bottom w:val="single" w:sz="2" w:space="0" w:color="auto"/>
              <w:right w:val="nil"/>
            </w:tcBorders>
            <w:shd w:val="clear" w:color="auto" w:fill="auto"/>
            <w:vAlign w:val="center"/>
          </w:tcPr>
          <w:p w14:paraId="746EFAEB" w14:textId="77777777" w:rsidR="00535243" w:rsidRPr="002E707A" w:rsidRDefault="00535243" w:rsidP="00B01539">
            <w:pPr>
              <w:rPr>
                <w:b/>
                <w:sz w:val="20"/>
                <w:szCs w:val="20"/>
                <w:lang w:val="pt-BR"/>
              </w:rPr>
            </w:pPr>
          </w:p>
        </w:tc>
        <w:tc>
          <w:tcPr>
            <w:tcW w:w="1655" w:type="pct"/>
            <w:tcBorders>
              <w:top w:val="nil"/>
              <w:left w:val="nil"/>
              <w:bottom w:val="single" w:sz="2" w:space="0" w:color="auto"/>
              <w:right w:val="nil"/>
            </w:tcBorders>
            <w:shd w:val="clear" w:color="auto" w:fill="auto"/>
          </w:tcPr>
          <w:p w14:paraId="609CFE56" w14:textId="77777777" w:rsidR="00535243" w:rsidRPr="002E707A" w:rsidRDefault="00535243" w:rsidP="00B01539">
            <w:pPr>
              <w:rPr>
                <w:sz w:val="20"/>
                <w:szCs w:val="20"/>
                <w:lang w:val="pt-BR"/>
              </w:rPr>
            </w:pPr>
            <w:r w:rsidRPr="002E707A">
              <w:rPr>
                <w:sz w:val="20"/>
                <w:szCs w:val="20"/>
                <w:lang w:val="pt-BR"/>
              </w:rPr>
              <w:t>Mais de 1g</w:t>
            </w:r>
          </w:p>
        </w:tc>
        <w:tc>
          <w:tcPr>
            <w:tcW w:w="430" w:type="pct"/>
            <w:tcBorders>
              <w:top w:val="nil"/>
              <w:left w:val="nil"/>
              <w:bottom w:val="single" w:sz="2" w:space="0" w:color="auto"/>
              <w:right w:val="nil"/>
            </w:tcBorders>
            <w:shd w:val="clear" w:color="auto" w:fill="auto"/>
          </w:tcPr>
          <w:p w14:paraId="01D6087B" w14:textId="77777777" w:rsidR="00535243" w:rsidRPr="002E707A" w:rsidRDefault="00535243" w:rsidP="00B01539">
            <w:pPr>
              <w:jc w:val="center"/>
              <w:rPr>
                <w:sz w:val="20"/>
                <w:szCs w:val="20"/>
                <w:lang w:val="pt-BR"/>
              </w:rPr>
            </w:pPr>
            <w:r w:rsidRPr="002E707A">
              <w:rPr>
                <w:sz w:val="20"/>
                <w:szCs w:val="20"/>
                <w:lang w:val="pt-BR"/>
              </w:rPr>
              <w:t>1</w:t>
            </w:r>
          </w:p>
        </w:tc>
        <w:tc>
          <w:tcPr>
            <w:tcW w:w="431" w:type="pct"/>
            <w:tcBorders>
              <w:top w:val="nil"/>
              <w:left w:val="nil"/>
              <w:bottom w:val="single" w:sz="2" w:space="0" w:color="auto"/>
              <w:right w:val="nil"/>
            </w:tcBorders>
            <w:shd w:val="clear" w:color="auto" w:fill="auto"/>
          </w:tcPr>
          <w:p w14:paraId="0B1004FE" w14:textId="77777777" w:rsidR="00535243" w:rsidRPr="002E707A" w:rsidRDefault="00535243" w:rsidP="00B01539">
            <w:pPr>
              <w:jc w:val="center"/>
              <w:rPr>
                <w:sz w:val="20"/>
                <w:szCs w:val="20"/>
                <w:lang w:val="pt-BR"/>
              </w:rPr>
            </w:pPr>
            <w:r w:rsidRPr="002E707A">
              <w:rPr>
                <w:sz w:val="20"/>
                <w:szCs w:val="20"/>
                <w:lang w:val="pt-BR"/>
              </w:rPr>
              <w:t>6,7</w:t>
            </w:r>
          </w:p>
        </w:tc>
        <w:tc>
          <w:tcPr>
            <w:tcW w:w="430" w:type="pct"/>
            <w:tcBorders>
              <w:top w:val="nil"/>
              <w:left w:val="nil"/>
              <w:bottom w:val="single" w:sz="2" w:space="0" w:color="auto"/>
              <w:right w:val="nil"/>
            </w:tcBorders>
            <w:shd w:val="clear" w:color="auto" w:fill="auto"/>
          </w:tcPr>
          <w:p w14:paraId="009C417F" w14:textId="77777777" w:rsidR="00535243" w:rsidRPr="002E707A" w:rsidRDefault="00535243" w:rsidP="00B01539">
            <w:pPr>
              <w:jc w:val="center"/>
              <w:rPr>
                <w:b/>
                <w:bCs/>
                <w:sz w:val="20"/>
                <w:szCs w:val="20"/>
                <w:lang w:val="pt-BR"/>
              </w:rPr>
            </w:pPr>
            <w:r w:rsidRPr="002E707A">
              <w:rPr>
                <w:b/>
                <w:bCs/>
                <w:sz w:val="20"/>
                <w:szCs w:val="20"/>
                <w:lang w:val="pt-BR"/>
              </w:rPr>
              <w:t>106</w:t>
            </w:r>
          </w:p>
        </w:tc>
        <w:tc>
          <w:tcPr>
            <w:tcW w:w="431" w:type="pct"/>
            <w:tcBorders>
              <w:top w:val="nil"/>
              <w:left w:val="nil"/>
              <w:bottom w:val="single" w:sz="2" w:space="0" w:color="auto"/>
              <w:right w:val="nil"/>
            </w:tcBorders>
            <w:shd w:val="clear" w:color="auto" w:fill="auto"/>
          </w:tcPr>
          <w:p w14:paraId="0589589B" w14:textId="77777777" w:rsidR="00535243" w:rsidRPr="002E707A" w:rsidRDefault="00535243" w:rsidP="00B01539">
            <w:pPr>
              <w:jc w:val="center"/>
              <w:rPr>
                <w:b/>
                <w:bCs/>
                <w:sz w:val="20"/>
                <w:szCs w:val="20"/>
                <w:lang w:val="pt-BR"/>
              </w:rPr>
            </w:pPr>
            <w:r w:rsidRPr="002E707A">
              <w:rPr>
                <w:b/>
                <w:bCs/>
                <w:sz w:val="20"/>
                <w:szCs w:val="20"/>
                <w:lang w:val="pt-BR"/>
              </w:rPr>
              <w:t>73,6</w:t>
            </w:r>
          </w:p>
        </w:tc>
        <w:tc>
          <w:tcPr>
            <w:tcW w:w="430" w:type="pct"/>
            <w:tcBorders>
              <w:top w:val="nil"/>
              <w:left w:val="nil"/>
              <w:bottom w:val="single" w:sz="2" w:space="0" w:color="auto"/>
              <w:right w:val="nil"/>
            </w:tcBorders>
            <w:shd w:val="clear" w:color="auto" w:fill="auto"/>
          </w:tcPr>
          <w:p w14:paraId="0118F4BA" w14:textId="77777777" w:rsidR="00535243" w:rsidRPr="002E707A" w:rsidRDefault="00535243" w:rsidP="00B01539">
            <w:pPr>
              <w:jc w:val="center"/>
              <w:rPr>
                <w:sz w:val="20"/>
                <w:szCs w:val="20"/>
                <w:lang w:val="pt-BR"/>
              </w:rPr>
            </w:pPr>
            <w:r w:rsidRPr="002E707A">
              <w:rPr>
                <w:sz w:val="20"/>
                <w:szCs w:val="20"/>
                <w:lang w:val="pt-BR"/>
              </w:rPr>
              <w:t>0</w:t>
            </w:r>
          </w:p>
        </w:tc>
        <w:tc>
          <w:tcPr>
            <w:tcW w:w="430" w:type="pct"/>
            <w:tcBorders>
              <w:top w:val="nil"/>
              <w:left w:val="nil"/>
              <w:bottom w:val="single" w:sz="2" w:space="0" w:color="auto"/>
              <w:right w:val="nil"/>
            </w:tcBorders>
            <w:shd w:val="clear" w:color="auto" w:fill="auto"/>
          </w:tcPr>
          <w:p w14:paraId="35714768" w14:textId="77777777" w:rsidR="00535243" w:rsidRPr="002E707A" w:rsidRDefault="00535243" w:rsidP="00B01539">
            <w:pPr>
              <w:jc w:val="center"/>
              <w:rPr>
                <w:sz w:val="20"/>
                <w:szCs w:val="20"/>
                <w:lang w:val="pt-BR"/>
              </w:rPr>
            </w:pPr>
            <w:r w:rsidRPr="002E707A">
              <w:rPr>
                <w:sz w:val="20"/>
                <w:szCs w:val="20"/>
                <w:lang w:val="pt-BR"/>
              </w:rPr>
              <w:t>0</w:t>
            </w:r>
          </w:p>
        </w:tc>
      </w:tr>
      <w:tr w:rsidR="00535243" w:rsidRPr="002E707A" w14:paraId="47D5EC03" w14:textId="77777777" w:rsidTr="00535243">
        <w:trPr>
          <w:trHeight w:val="20"/>
          <w:jc w:val="center"/>
        </w:trPr>
        <w:tc>
          <w:tcPr>
            <w:tcW w:w="764" w:type="pct"/>
            <w:vMerge w:val="restart"/>
            <w:tcBorders>
              <w:top w:val="single" w:sz="2" w:space="0" w:color="auto"/>
              <w:left w:val="nil"/>
              <w:right w:val="nil"/>
            </w:tcBorders>
            <w:shd w:val="clear" w:color="auto" w:fill="auto"/>
            <w:vAlign w:val="center"/>
          </w:tcPr>
          <w:p w14:paraId="39BCDA08" w14:textId="77777777" w:rsidR="00535243" w:rsidRPr="002E707A" w:rsidRDefault="00535243" w:rsidP="00B01539">
            <w:pPr>
              <w:rPr>
                <w:b/>
                <w:bCs/>
                <w:sz w:val="20"/>
                <w:szCs w:val="20"/>
                <w:lang w:val="pt-BR"/>
              </w:rPr>
            </w:pPr>
            <w:r w:rsidRPr="002E707A">
              <w:rPr>
                <w:b/>
                <w:bCs/>
                <w:sz w:val="20"/>
                <w:szCs w:val="20"/>
                <w:lang w:val="pt-BR"/>
              </w:rPr>
              <w:t>Tipo de produto consumido</w:t>
            </w:r>
          </w:p>
        </w:tc>
        <w:tc>
          <w:tcPr>
            <w:tcW w:w="1655" w:type="pct"/>
            <w:tcBorders>
              <w:top w:val="single" w:sz="2" w:space="0" w:color="auto"/>
              <w:left w:val="nil"/>
              <w:bottom w:val="nil"/>
              <w:right w:val="nil"/>
            </w:tcBorders>
            <w:shd w:val="clear" w:color="auto" w:fill="auto"/>
          </w:tcPr>
          <w:p w14:paraId="1D052A4B" w14:textId="77777777" w:rsidR="00535243" w:rsidRPr="002E707A" w:rsidRDefault="00535243" w:rsidP="00B01539">
            <w:pPr>
              <w:rPr>
                <w:sz w:val="20"/>
                <w:szCs w:val="20"/>
                <w:lang w:val="pt-BR"/>
              </w:rPr>
            </w:pPr>
            <w:r w:rsidRPr="002E707A">
              <w:rPr>
                <w:sz w:val="20"/>
                <w:szCs w:val="20"/>
                <w:lang w:val="pt-BR"/>
              </w:rPr>
              <w:t>Comestíveis/Óleo</w:t>
            </w:r>
          </w:p>
        </w:tc>
        <w:tc>
          <w:tcPr>
            <w:tcW w:w="430" w:type="pct"/>
            <w:tcBorders>
              <w:top w:val="single" w:sz="2" w:space="0" w:color="auto"/>
              <w:left w:val="nil"/>
              <w:bottom w:val="nil"/>
              <w:right w:val="nil"/>
            </w:tcBorders>
            <w:shd w:val="clear" w:color="auto" w:fill="auto"/>
          </w:tcPr>
          <w:p w14:paraId="6A343A5D" w14:textId="77777777" w:rsidR="00535243" w:rsidRPr="002E707A" w:rsidRDefault="00535243" w:rsidP="00B01539">
            <w:pPr>
              <w:jc w:val="center"/>
              <w:rPr>
                <w:b/>
                <w:bCs/>
                <w:sz w:val="20"/>
                <w:szCs w:val="20"/>
                <w:lang w:val="pt-BR"/>
              </w:rPr>
            </w:pPr>
            <w:r w:rsidRPr="002E707A">
              <w:rPr>
                <w:b/>
                <w:bCs/>
                <w:sz w:val="20"/>
                <w:szCs w:val="20"/>
                <w:lang w:val="pt-BR"/>
              </w:rPr>
              <w:t>14</w:t>
            </w:r>
          </w:p>
        </w:tc>
        <w:tc>
          <w:tcPr>
            <w:tcW w:w="431" w:type="pct"/>
            <w:tcBorders>
              <w:top w:val="single" w:sz="2" w:space="0" w:color="auto"/>
              <w:left w:val="nil"/>
              <w:bottom w:val="nil"/>
              <w:right w:val="nil"/>
            </w:tcBorders>
            <w:shd w:val="clear" w:color="auto" w:fill="auto"/>
          </w:tcPr>
          <w:p w14:paraId="70AFE7AF" w14:textId="77777777" w:rsidR="00535243" w:rsidRPr="002E707A" w:rsidRDefault="00535243" w:rsidP="00B01539">
            <w:pPr>
              <w:jc w:val="center"/>
              <w:rPr>
                <w:b/>
                <w:bCs/>
                <w:sz w:val="20"/>
                <w:szCs w:val="20"/>
                <w:lang w:val="pt-BR"/>
              </w:rPr>
            </w:pPr>
            <w:r w:rsidRPr="002E707A">
              <w:rPr>
                <w:b/>
                <w:bCs/>
                <w:sz w:val="20"/>
                <w:szCs w:val="20"/>
                <w:lang w:val="pt-BR"/>
              </w:rPr>
              <w:t>93,3</w:t>
            </w:r>
          </w:p>
        </w:tc>
        <w:tc>
          <w:tcPr>
            <w:tcW w:w="430" w:type="pct"/>
            <w:tcBorders>
              <w:top w:val="single" w:sz="2" w:space="0" w:color="auto"/>
              <w:left w:val="nil"/>
              <w:bottom w:val="nil"/>
              <w:right w:val="nil"/>
            </w:tcBorders>
            <w:shd w:val="clear" w:color="auto" w:fill="auto"/>
          </w:tcPr>
          <w:p w14:paraId="275825FA" w14:textId="77777777" w:rsidR="00535243" w:rsidRPr="002E707A" w:rsidRDefault="00535243" w:rsidP="00B01539">
            <w:pPr>
              <w:jc w:val="center"/>
              <w:rPr>
                <w:sz w:val="20"/>
                <w:szCs w:val="20"/>
                <w:lang w:val="pt-BR"/>
              </w:rPr>
            </w:pPr>
            <w:r w:rsidRPr="002E707A">
              <w:rPr>
                <w:sz w:val="20"/>
                <w:szCs w:val="20"/>
                <w:lang w:val="pt-BR"/>
              </w:rPr>
              <w:t>1</w:t>
            </w:r>
          </w:p>
        </w:tc>
        <w:tc>
          <w:tcPr>
            <w:tcW w:w="431" w:type="pct"/>
            <w:tcBorders>
              <w:top w:val="single" w:sz="2" w:space="0" w:color="auto"/>
              <w:left w:val="nil"/>
              <w:bottom w:val="nil"/>
              <w:right w:val="nil"/>
            </w:tcBorders>
            <w:shd w:val="clear" w:color="auto" w:fill="auto"/>
          </w:tcPr>
          <w:p w14:paraId="7BB5B5F8" w14:textId="77777777" w:rsidR="00535243" w:rsidRPr="002E707A" w:rsidRDefault="00535243" w:rsidP="00B01539">
            <w:pPr>
              <w:jc w:val="center"/>
              <w:rPr>
                <w:sz w:val="20"/>
                <w:szCs w:val="20"/>
                <w:lang w:val="pt-BR"/>
              </w:rPr>
            </w:pPr>
            <w:r w:rsidRPr="002E707A">
              <w:rPr>
                <w:sz w:val="20"/>
                <w:szCs w:val="20"/>
                <w:lang w:val="pt-BR"/>
              </w:rPr>
              <w:t>0,7</w:t>
            </w:r>
          </w:p>
        </w:tc>
        <w:tc>
          <w:tcPr>
            <w:tcW w:w="430" w:type="pct"/>
            <w:tcBorders>
              <w:top w:val="single" w:sz="2" w:space="0" w:color="auto"/>
              <w:left w:val="nil"/>
              <w:bottom w:val="nil"/>
              <w:right w:val="nil"/>
            </w:tcBorders>
            <w:shd w:val="clear" w:color="auto" w:fill="auto"/>
          </w:tcPr>
          <w:p w14:paraId="0512D63F" w14:textId="77777777" w:rsidR="00535243" w:rsidRPr="002E707A" w:rsidRDefault="00535243" w:rsidP="00B01539">
            <w:pPr>
              <w:jc w:val="center"/>
              <w:rPr>
                <w:sz w:val="20"/>
                <w:szCs w:val="20"/>
                <w:lang w:val="pt-BR"/>
              </w:rPr>
            </w:pPr>
            <w:r w:rsidRPr="002E707A">
              <w:rPr>
                <w:sz w:val="20"/>
                <w:szCs w:val="20"/>
                <w:lang w:val="pt-BR"/>
              </w:rPr>
              <w:t>0</w:t>
            </w:r>
          </w:p>
        </w:tc>
        <w:tc>
          <w:tcPr>
            <w:tcW w:w="430" w:type="pct"/>
            <w:tcBorders>
              <w:top w:val="single" w:sz="2" w:space="0" w:color="auto"/>
              <w:left w:val="nil"/>
              <w:bottom w:val="nil"/>
              <w:right w:val="nil"/>
            </w:tcBorders>
            <w:shd w:val="clear" w:color="auto" w:fill="auto"/>
          </w:tcPr>
          <w:p w14:paraId="3EB1D8C6" w14:textId="77777777" w:rsidR="00535243" w:rsidRPr="002E707A" w:rsidRDefault="00535243" w:rsidP="00B01539">
            <w:pPr>
              <w:jc w:val="center"/>
              <w:rPr>
                <w:sz w:val="20"/>
                <w:szCs w:val="20"/>
                <w:lang w:val="pt-BR"/>
              </w:rPr>
            </w:pPr>
            <w:r w:rsidRPr="002E707A">
              <w:rPr>
                <w:sz w:val="20"/>
                <w:szCs w:val="20"/>
                <w:lang w:val="pt-BR"/>
              </w:rPr>
              <w:t>0</w:t>
            </w:r>
          </w:p>
        </w:tc>
      </w:tr>
      <w:tr w:rsidR="00535243" w:rsidRPr="002E707A" w14:paraId="3605C911" w14:textId="77777777" w:rsidTr="00535243">
        <w:trPr>
          <w:trHeight w:val="20"/>
          <w:jc w:val="center"/>
        </w:trPr>
        <w:tc>
          <w:tcPr>
            <w:tcW w:w="764" w:type="pct"/>
            <w:vMerge/>
            <w:tcBorders>
              <w:left w:val="nil"/>
              <w:right w:val="nil"/>
            </w:tcBorders>
            <w:shd w:val="clear" w:color="auto" w:fill="auto"/>
            <w:vAlign w:val="center"/>
          </w:tcPr>
          <w:p w14:paraId="74CBFEE3" w14:textId="77777777" w:rsidR="00535243" w:rsidRPr="002E707A" w:rsidRDefault="00535243" w:rsidP="00B01539">
            <w:pPr>
              <w:rPr>
                <w:b/>
                <w:sz w:val="20"/>
                <w:szCs w:val="20"/>
                <w:lang w:val="pt-BR"/>
              </w:rPr>
            </w:pPr>
          </w:p>
        </w:tc>
        <w:tc>
          <w:tcPr>
            <w:tcW w:w="1655" w:type="pct"/>
            <w:tcBorders>
              <w:top w:val="nil"/>
              <w:left w:val="nil"/>
              <w:bottom w:val="nil"/>
              <w:right w:val="nil"/>
            </w:tcBorders>
            <w:shd w:val="clear" w:color="auto" w:fill="auto"/>
          </w:tcPr>
          <w:p w14:paraId="50FE3576" w14:textId="77777777" w:rsidR="00535243" w:rsidRPr="002E707A" w:rsidRDefault="00535243" w:rsidP="00B01539">
            <w:pPr>
              <w:rPr>
                <w:sz w:val="20"/>
                <w:szCs w:val="20"/>
                <w:lang w:val="pt-BR"/>
              </w:rPr>
            </w:pPr>
            <w:r w:rsidRPr="002E707A">
              <w:rPr>
                <w:sz w:val="20"/>
                <w:szCs w:val="20"/>
                <w:lang w:val="pt-BR"/>
              </w:rPr>
              <w:t>Prensado</w:t>
            </w:r>
          </w:p>
        </w:tc>
        <w:tc>
          <w:tcPr>
            <w:tcW w:w="430" w:type="pct"/>
            <w:tcBorders>
              <w:top w:val="nil"/>
              <w:left w:val="nil"/>
              <w:bottom w:val="nil"/>
              <w:right w:val="nil"/>
            </w:tcBorders>
            <w:shd w:val="clear" w:color="auto" w:fill="auto"/>
          </w:tcPr>
          <w:p w14:paraId="4355D864" w14:textId="77777777" w:rsidR="00535243" w:rsidRPr="002E707A" w:rsidRDefault="00535243" w:rsidP="00B01539">
            <w:pPr>
              <w:jc w:val="center"/>
              <w:rPr>
                <w:sz w:val="20"/>
                <w:szCs w:val="20"/>
                <w:lang w:val="pt-BR"/>
              </w:rPr>
            </w:pPr>
            <w:r w:rsidRPr="002E707A">
              <w:rPr>
                <w:sz w:val="20"/>
                <w:szCs w:val="20"/>
                <w:lang w:val="pt-BR"/>
              </w:rPr>
              <w:t>0</w:t>
            </w:r>
          </w:p>
        </w:tc>
        <w:tc>
          <w:tcPr>
            <w:tcW w:w="431" w:type="pct"/>
            <w:tcBorders>
              <w:top w:val="nil"/>
              <w:left w:val="nil"/>
              <w:bottom w:val="nil"/>
              <w:right w:val="nil"/>
            </w:tcBorders>
            <w:shd w:val="clear" w:color="auto" w:fill="auto"/>
          </w:tcPr>
          <w:p w14:paraId="4F5B5D14" w14:textId="77777777" w:rsidR="00535243" w:rsidRPr="002E707A" w:rsidRDefault="00535243" w:rsidP="00B01539">
            <w:pPr>
              <w:jc w:val="center"/>
              <w:rPr>
                <w:sz w:val="20"/>
                <w:szCs w:val="20"/>
                <w:lang w:val="pt-BR"/>
              </w:rPr>
            </w:pPr>
            <w:r w:rsidRPr="002E707A">
              <w:rPr>
                <w:sz w:val="20"/>
                <w:szCs w:val="20"/>
                <w:lang w:val="pt-BR"/>
              </w:rPr>
              <w:t>0,0</w:t>
            </w:r>
          </w:p>
        </w:tc>
        <w:tc>
          <w:tcPr>
            <w:tcW w:w="430" w:type="pct"/>
            <w:tcBorders>
              <w:top w:val="nil"/>
              <w:left w:val="nil"/>
              <w:bottom w:val="nil"/>
              <w:right w:val="nil"/>
            </w:tcBorders>
            <w:shd w:val="clear" w:color="auto" w:fill="auto"/>
          </w:tcPr>
          <w:p w14:paraId="7F0E9F8E" w14:textId="77777777" w:rsidR="00535243" w:rsidRPr="002E707A" w:rsidRDefault="00535243" w:rsidP="00B01539">
            <w:pPr>
              <w:jc w:val="center"/>
              <w:rPr>
                <w:b/>
                <w:bCs/>
                <w:sz w:val="20"/>
                <w:szCs w:val="20"/>
                <w:lang w:val="pt-BR"/>
              </w:rPr>
            </w:pPr>
            <w:r w:rsidRPr="002E707A">
              <w:rPr>
                <w:b/>
                <w:bCs/>
                <w:sz w:val="20"/>
                <w:szCs w:val="20"/>
                <w:lang w:val="pt-BR"/>
              </w:rPr>
              <w:t>92</w:t>
            </w:r>
          </w:p>
        </w:tc>
        <w:tc>
          <w:tcPr>
            <w:tcW w:w="431" w:type="pct"/>
            <w:tcBorders>
              <w:top w:val="nil"/>
              <w:left w:val="nil"/>
              <w:bottom w:val="nil"/>
              <w:right w:val="nil"/>
            </w:tcBorders>
            <w:shd w:val="clear" w:color="auto" w:fill="auto"/>
          </w:tcPr>
          <w:p w14:paraId="6F0BFBE0" w14:textId="77777777" w:rsidR="00535243" w:rsidRPr="002E707A" w:rsidRDefault="00535243" w:rsidP="00B01539">
            <w:pPr>
              <w:jc w:val="center"/>
              <w:rPr>
                <w:b/>
                <w:bCs/>
                <w:sz w:val="20"/>
                <w:szCs w:val="20"/>
                <w:lang w:val="pt-BR"/>
              </w:rPr>
            </w:pPr>
            <w:r w:rsidRPr="002E707A">
              <w:rPr>
                <w:b/>
                <w:bCs/>
                <w:sz w:val="20"/>
                <w:szCs w:val="20"/>
                <w:lang w:val="pt-BR"/>
              </w:rPr>
              <w:t>63,9</w:t>
            </w:r>
          </w:p>
        </w:tc>
        <w:tc>
          <w:tcPr>
            <w:tcW w:w="430" w:type="pct"/>
            <w:tcBorders>
              <w:top w:val="nil"/>
              <w:left w:val="nil"/>
              <w:bottom w:val="nil"/>
              <w:right w:val="nil"/>
            </w:tcBorders>
            <w:shd w:val="clear" w:color="auto" w:fill="auto"/>
          </w:tcPr>
          <w:p w14:paraId="39CAB2CB" w14:textId="77777777" w:rsidR="00535243" w:rsidRPr="002E707A" w:rsidRDefault="00535243" w:rsidP="00B01539">
            <w:pPr>
              <w:jc w:val="center"/>
              <w:rPr>
                <w:b/>
                <w:bCs/>
                <w:sz w:val="20"/>
                <w:szCs w:val="20"/>
                <w:lang w:val="pt-BR"/>
              </w:rPr>
            </w:pPr>
            <w:r w:rsidRPr="002E707A">
              <w:rPr>
                <w:b/>
                <w:bCs/>
                <w:sz w:val="20"/>
                <w:szCs w:val="20"/>
                <w:lang w:val="pt-BR"/>
              </w:rPr>
              <w:t>102</w:t>
            </w:r>
          </w:p>
        </w:tc>
        <w:tc>
          <w:tcPr>
            <w:tcW w:w="430" w:type="pct"/>
            <w:tcBorders>
              <w:top w:val="nil"/>
              <w:left w:val="nil"/>
              <w:bottom w:val="nil"/>
              <w:right w:val="nil"/>
            </w:tcBorders>
            <w:shd w:val="clear" w:color="auto" w:fill="auto"/>
          </w:tcPr>
          <w:p w14:paraId="3039D74F" w14:textId="77777777" w:rsidR="00535243" w:rsidRPr="002E707A" w:rsidRDefault="00535243" w:rsidP="00B01539">
            <w:pPr>
              <w:jc w:val="center"/>
              <w:rPr>
                <w:b/>
                <w:bCs/>
                <w:sz w:val="20"/>
                <w:szCs w:val="20"/>
                <w:lang w:val="pt-BR"/>
              </w:rPr>
            </w:pPr>
            <w:r w:rsidRPr="002E707A">
              <w:rPr>
                <w:b/>
                <w:bCs/>
                <w:sz w:val="20"/>
                <w:szCs w:val="20"/>
                <w:lang w:val="pt-BR"/>
              </w:rPr>
              <w:t>45,3</w:t>
            </w:r>
          </w:p>
        </w:tc>
      </w:tr>
      <w:tr w:rsidR="00535243" w:rsidRPr="002E707A" w14:paraId="00E556D7" w14:textId="77777777" w:rsidTr="00535243">
        <w:trPr>
          <w:trHeight w:val="20"/>
          <w:jc w:val="center"/>
        </w:trPr>
        <w:tc>
          <w:tcPr>
            <w:tcW w:w="764" w:type="pct"/>
            <w:vMerge/>
            <w:tcBorders>
              <w:left w:val="nil"/>
              <w:right w:val="nil"/>
            </w:tcBorders>
            <w:shd w:val="clear" w:color="auto" w:fill="auto"/>
            <w:vAlign w:val="center"/>
          </w:tcPr>
          <w:p w14:paraId="16FF6313" w14:textId="77777777" w:rsidR="00535243" w:rsidRPr="002E707A" w:rsidRDefault="00535243" w:rsidP="00B01539">
            <w:pPr>
              <w:rPr>
                <w:b/>
                <w:sz w:val="20"/>
                <w:szCs w:val="20"/>
                <w:lang w:val="pt-BR"/>
              </w:rPr>
            </w:pPr>
          </w:p>
        </w:tc>
        <w:tc>
          <w:tcPr>
            <w:tcW w:w="1655" w:type="pct"/>
            <w:tcBorders>
              <w:top w:val="nil"/>
              <w:left w:val="nil"/>
              <w:bottom w:val="nil"/>
              <w:right w:val="nil"/>
            </w:tcBorders>
            <w:shd w:val="clear" w:color="auto" w:fill="auto"/>
          </w:tcPr>
          <w:p w14:paraId="5E8897D5" w14:textId="77777777" w:rsidR="00535243" w:rsidRPr="002E707A" w:rsidRDefault="00535243" w:rsidP="00B01539">
            <w:pPr>
              <w:rPr>
                <w:sz w:val="20"/>
                <w:szCs w:val="20"/>
                <w:lang w:val="pt-BR"/>
              </w:rPr>
            </w:pPr>
            <w:r w:rsidRPr="002E707A">
              <w:rPr>
                <w:sz w:val="20"/>
                <w:szCs w:val="20"/>
                <w:lang w:val="pt-BR"/>
              </w:rPr>
              <w:t>Solto</w:t>
            </w:r>
          </w:p>
        </w:tc>
        <w:tc>
          <w:tcPr>
            <w:tcW w:w="430" w:type="pct"/>
            <w:tcBorders>
              <w:top w:val="nil"/>
              <w:left w:val="nil"/>
              <w:bottom w:val="nil"/>
              <w:right w:val="nil"/>
            </w:tcBorders>
            <w:shd w:val="clear" w:color="auto" w:fill="auto"/>
          </w:tcPr>
          <w:p w14:paraId="3935AE9B" w14:textId="77777777" w:rsidR="00535243" w:rsidRPr="002E707A" w:rsidRDefault="00535243" w:rsidP="00B01539">
            <w:pPr>
              <w:jc w:val="center"/>
              <w:rPr>
                <w:sz w:val="20"/>
                <w:szCs w:val="20"/>
                <w:lang w:val="pt-BR"/>
              </w:rPr>
            </w:pPr>
            <w:r w:rsidRPr="002E707A">
              <w:rPr>
                <w:sz w:val="20"/>
                <w:szCs w:val="20"/>
                <w:lang w:val="pt-BR"/>
              </w:rPr>
              <w:t>1</w:t>
            </w:r>
          </w:p>
        </w:tc>
        <w:tc>
          <w:tcPr>
            <w:tcW w:w="431" w:type="pct"/>
            <w:tcBorders>
              <w:top w:val="nil"/>
              <w:left w:val="nil"/>
              <w:bottom w:val="nil"/>
              <w:right w:val="nil"/>
            </w:tcBorders>
            <w:shd w:val="clear" w:color="auto" w:fill="auto"/>
          </w:tcPr>
          <w:p w14:paraId="5B783D2F" w14:textId="77777777" w:rsidR="00535243" w:rsidRPr="002E707A" w:rsidRDefault="00535243" w:rsidP="00B01539">
            <w:pPr>
              <w:jc w:val="center"/>
              <w:rPr>
                <w:sz w:val="20"/>
                <w:szCs w:val="20"/>
                <w:lang w:val="pt-BR"/>
              </w:rPr>
            </w:pPr>
            <w:r w:rsidRPr="002E707A">
              <w:rPr>
                <w:sz w:val="20"/>
                <w:szCs w:val="20"/>
                <w:lang w:val="pt-BR"/>
              </w:rPr>
              <w:t>6,7</w:t>
            </w:r>
          </w:p>
        </w:tc>
        <w:tc>
          <w:tcPr>
            <w:tcW w:w="430" w:type="pct"/>
            <w:tcBorders>
              <w:top w:val="nil"/>
              <w:left w:val="nil"/>
              <w:bottom w:val="nil"/>
              <w:right w:val="nil"/>
            </w:tcBorders>
            <w:shd w:val="clear" w:color="auto" w:fill="auto"/>
          </w:tcPr>
          <w:p w14:paraId="2ED01BDA" w14:textId="77777777" w:rsidR="00535243" w:rsidRPr="002E707A" w:rsidRDefault="00535243" w:rsidP="00B01539">
            <w:pPr>
              <w:jc w:val="center"/>
              <w:rPr>
                <w:sz w:val="20"/>
                <w:szCs w:val="20"/>
                <w:lang w:val="pt-BR"/>
              </w:rPr>
            </w:pPr>
            <w:r w:rsidRPr="002E707A">
              <w:rPr>
                <w:sz w:val="20"/>
                <w:szCs w:val="20"/>
                <w:lang w:val="pt-BR"/>
              </w:rPr>
              <w:t>22</w:t>
            </w:r>
          </w:p>
        </w:tc>
        <w:tc>
          <w:tcPr>
            <w:tcW w:w="431" w:type="pct"/>
            <w:tcBorders>
              <w:top w:val="nil"/>
              <w:left w:val="nil"/>
              <w:bottom w:val="nil"/>
              <w:right w:val="nil"/>
            </w:tcBorders>
            <w:shd w:val="clear" w:color="auto" w:fill="auto"/>
          </w:tcPr>
          <w:p w14:paraId="00C943A1" w14:textId="77777777" w:rsidR="00535243" w:rsidRPr="002E707A" w:rsidRDefault="00535243" w:rsidP="00B01539">
            <w:pPr>
              <w:jc w:val="center"/>
              <w:rPr>
                <w:sz w:val="20"/>
                <w:szCs w:val="20"/>
                <w:lang w:val="pt-BR"/>
              </w:rPr>
            </w:pPr>
            <w:r w:rsidRPr="002E707A">
              <w:rPr>
                <w:sz w:val="20"/>
                <w:szCs w:val="20"/>
                <w:lang w:val="pt-BR"/>
              </w:rPr>
              <w:t>15,3</w:t>
            </w:r>
          </w:p>
        </w:tc>
        <w:tc>
          <w:tcPr>
            <w:tcW w:w="430" w:type="pct"/>
            <w:tcBorders>
              <w:top w:val="nil"/>
              <w:left w:val="nil"/>
              <w:bottom w:val="nil"/>
              <w:right w:val="nil"/>
            </w:tcBorders>
            <w:shd w:val="clear" w:color="auto" w:fill="auto"/>
          </w:tcPr>
          <w:p w14:paraId="44342B44" w14:textId="77777777" w:rsidR="00535243" w:rsidRPr="002E707A" w:rsidRDefault="00535243" w:rsidP="00B01539">
            <w:pPr>
              <w:jc w:val="center"/>
              <w:rPr>
                <w:sz w:val="20"/>
                <w:szCs w:val="20"/>
                <w:lang w:val="pt-BR"/>
              </w:rPr>
            </w:pPr>
            <w:r w:rsidRPr="002E707A">
              <w:rPr>
                <w:sz w:val="20"/>
                <w:szCs w:val="20"/>
                <w:lang w:val="pt-BR"/>
              </w:rPr>
              <w:t>44</w:t>
            </w:r>
          </w:p>
        </w:tc>
        <w:tc>
          <w:tcPr>
            <w:tcW w:w="430" w:type="pct"/>
            <w:tcBorders>
              <w:top w:val="nil"/>
              <w:left w:val="nil"/>
              <w:bottom w:val="nil"/>
              <w:right w:val="nil"/>
            </w:tcBorders>
            <w:shd w:val="clear" w:color="auto" w:fill="auto"/>
          </w:tcPr>
          <w:p w14:paraId="206C96E3" w14:textId="77777777" w:rsidR="00535243" w:rsidRPr="002E707A" w:rsidRDefault="00535243" w:rsidP="00B01539">
            <w:pPr>
              <w:jc w:val="center"/>
              <w:rPr>
                <w:sz w:val="20"/>
                <w:szCs w:val="20"/>
                <w:lang w:val="pt-BR"/>
              </w:rPr>
            </w:pPr>
            <w:r w:rsidRPr="002E707A">
              <w:rPr>
                <w:sz w:val="20"/>
                <w:szCs w:val="20"/>
                <w:lang w:val="pt-BR"/>
              </w:rPr>
              <w:t>19,6</w:t>
            </w:r>
          </w:p>
        </w:tc>
      </w:tr>
      <w:tr w:rsidR="00535243" w:rsidRPr="002E707A" w14:paraId="2D92FFD8" w14:textId="77777777" w:rsidTr="00CA12CE">
        <w:trPr>
          <w:trHeight w:val="20"/>
          <w:jc w:val="center"/>
        </w:trPr>
        <w:tc>
          <w:tcPr>
            <w:tcW w:w="764" w:type="pct"/>
            <w:vMerge/>
            <w:tcBorders>
              <w:left w:val="nil"/>
              <w:bottom w:val="single" w:sz="2" w:space="0" w:color="auto"/>
              <w:right w:val="nil"/>
            </w:tcBorders>
            <w:shd w:val="clear" w:color="auto" w:fill="auto"/>
            <w:vAlign w:val="center"/>
          </w:tcPr>
          <w:p w14:paraId="79411772" w14:textId="77777777" w:rsidR="00535243" w:rsidRPr="002E707A" w:rsidRDefault="00535243" w:rsidP="00B01539">
            <w:pPr>
              <w:rPr>
                <w:b/>
                <w:sz w:val="20"/>
                <w:szCs w:val="20"/>
                <w:lang w:val="pt-BR"/>
              </w:rPr>
            </w:pPr>
          </w:p>
        </w:tc>
        <w:tc>
          <w:tcPr>
            <w:tcW w:w="1655" w:type="pct"/>
            <w:tcBorders>
              <w:top w:val="nil"/>
              <w:left w:val="nil"/>
              <w:bottom w:val="single" w:sz="2" w:space="0" w:color="auto"/>
              <w:right w:val="nil"/>
            </w:tcBorders>
            <w:shd w:val="clear" w:color="auto" w:fill="auto"/>
          </w:tcPr>
          <w:p w14:paraId="512D6A19" w14:textId="77777777" w:rsidR="00535243" w:rsidRPr="002E707A" w:rsidRDefault="00535243" w:rsidP="00B01539">
            <w:pPr>
              <w:rPr>
                <w:sz w:val="20"/>
                <w:szCs w:val="20"/>
                <w:lang w:val="pt-BR"/>
              </w:rPr>
            </w:pPr>
            <w:r w:rsidRPr="002E707A">
              <w:rPr>
                <w:sz w:val="20"/>
                <w:szCs w:val="20"/>
                <w:lang w:val="pt-BR"/>
              </w:rPr>
              <w:t>Alta qualidade</w:t>
            </w:r>
          </w:p>
        </w:tc>
        <w:tc>
          <w:tcPr>
            <w:tcW w:w="430" w:type="pct"/>
            <w:tcBorders>
              <w:top w:val="nil"/>
              <w:left w:val="nil"/>
              <w:bottom w:val="single" w:sz="2" w:space="0" w:color="auto"/>
              <w:right w:val="nil"/>
            </w:tcBorders>
            <w:shd w:val="clear" w:color="auto" w:fill="auto"/>
          </w:tcPr>
          <w:p w14:paraId="564C25DC" w14:textId="77777777" w:rsidR="00535243" w:rsidRPr="002E707A" w:rsidRDefault="00535243" w:rsidP="00B01539">
            <w:pPr>
              <w:jc w:val="center"/>
              <w:rPr>
                <w:sz w:val="20"/>
                <w:szCs w:val="20"/>
                <w:lang w:val="pt-BR"/>
              </w:rPr>
            </w:pPr>
            <w:r w:rsidRPr="002E707A">
              <w:rPr>
                <w:sz w:val="20"/>
                <w:szCs w:val="20"/>
                <w:lang w:val="pt-BR"/>
              </w:rPr>
              <w:t>0</w:t>
            </w:r>
          </w:p>
        </w:tc>
        <w:tc>
          <w:tcPr>
            <w:tcW w:w="431" w:type="pct"/>
            <w:tcBorders>
              <w:top w:val="nil"/>
              <w:left w:val="nil"/>
              <w:bottom w:val="single" w:sz="2" w:space="0" w:color="auto"/>
              <w:right w:val="nil"/>
            </w:tcBorders>
            <w:shd w:val="clear" w:color="auto" w:fill="auto"/>
          </w:tcPr>
          <w:p w14:paraId="42554E86" w14:textId="77777777" w:rsidR="00535243" w:rsidRPr="002E707A" w:rsidRDefault="00535243" w:rsidP="00B01539">
            <w:pPr>
              <w:jc w:val="center"/>
              <w:rPr>
                <w:sz w:val="20"/>
                <w:szCs w:val="20"/>
                <w:lang w:val="pt-BR"/>
              </w:rPr>
            </w:pPr>
            <w:r w:rsidRPr="002E707A">
              <w:rPr>
                <w:sz w:val="20"/>
                <w:szCs w:val="20"/>
                <w:lang w:val="pt-BR"/>
              </w:rPr>
              <w:t>0</w:t>
            </w:r>
          </w:p>
        </w:tc>
        <w:tc>
          <w:tcPr>
            <w:tcW w:w="430" w:type="pct"/>
            <w:tcBorders>
              <w:top w:val="nil"/>
              <w:left w:val="nil"/>
              <w:bottom w:val="single" w:sz="2" w:space="0" w:color="auto"/>
              <w:right w:val="nil"/>
            </w:tcBorders>
            <w:shd w:val="clear" w:color="auto" w:fill="auto"/>
          </w:tcPr>
          <w:p w14:paraId="5DB25035" w14:textId="77777777" w:rsidR="00535243" w:rsidRPr="002E707A" w:rsidRDefault="00535243" w:rsidP="00B01539">
            <w:pPr>
              <w:jc w:val="center"/>
              <w:rPr>
                <w:sz w:val="20"/>
                <w:szCs w:val="20"/>
                <w:lang w:val="pt-BR"/>
              </w:rPr>
            </w:pPr>
            <w:r w:rsidRPr="002E707A">
              <w:rPr>
                <w:sz w:val="20"/>
                <w:szCs w:val="20"/>
                <w:lang w:val="pt-BR"/>
              </w:rPr>
              <w:t>29</w:t>
            </w:r>
          </w:p>
        </w:tc>
        <w:tc>
          <w:tcPr>
            <w:tcW w:w="431" w:type="pct"/>
            <w:tcBorders>
              <w:top w:val="nil"/>
              <w:left w:val="nil"/>
              <w:bottom w:val="single" w:sz="2" w:space="0" w:color="auto"/>
              <w:right w:val="nil"/>
            </w:tcBorders>
            <w:shd w:val="clear" w:color="auto" w:fill="auto"/>
          </w:tcPr>
          <w:p w14:paraId="1CBBDFD1" w14:textId="77777777" w:rsidR="00535243" w:rsidRPr="002E707A" w:rsidRDefault="00535243" w:rsidP="00B01539">
            <w:pPr>
              <w:jc w:val="center"/>
              <w:rPr>
                <w:sz w:val="20"/>
                <w:szCs w:val="20"/>
                <w:lang w:val="pt-BR"/>
              </w:rPr>
            </w:pPr>
            <w:r w:rsidRPr="002E707A">
              <w:rPr>
                <w:sz w:val="20"/>
                <w:szCs w:val="20"/>
                <w:lang w:val="pt-BR"/>
              </w:rPr>
              <w:t>20,1</w:t>
            </w:r>
          </w:p>
        </w:tc>
        <w:tc>
          <w:tcPr>
            <w:tcW w:w="430" w:type="pct"/>
            <w:tcBorders>
              <w:top w:val="nil"/>
              <w:left w:val="nil"/>
              <w:bottom w:val="single" w:sz="2" w:space="0" w:color="auto"/>
              <w:right w:val="nil"/>
            </w:tcBorders>
            <w:shd w:val="clear" w:color="auto" w:fill="auto"/>
          </w:tcPr>
          <w:p w14:paraId="6E86113E" w14:textId="77777777" w:rsidR="00535243" w:rsidRPr="002E707A" w:rsidRDefault="00535243" w:rsidP="00B01539">
            <w:pPr>
              <w:jc w:val="center"/>
              <w:rPr>
                <w:sz w:val="20"/>
                <w:szCs w:val="20"/>
                <w:lang w:val="pt-BR"/>
              </w:rPr>
            </w:pPr>
            <w:r w:rsidRPr="002E707A">
              <w:rPr>
                <w:sz w:val="20"/>
                <w:szCs w:val="20"/>
                <w:lang w:val="pt-BR"/>
              </w:rPr>
              <w:t>79</w:t>
            </w:r>
          </w:p>
        </w:tc>
        <w:tc>
          <w:tcPr>
            <w:tcW w:w="430" w:type="pct"/>
            <w:tcBorders>
              <w:top w:val="nil"/>
              <w:left w:val="nil"/>
              <w:bottom w:val="single" w:sz="2" w:space="0" w:color="auto"/>
              <w:right w:val="nil"/>
            </w:tcBorders>
            <w:shd w:val="clear" w:color="auto" w:fill="auto"/>
          </w:tcPr>
          <w:p w14:paraId="285059D5" w14:textId="77777777" w:rsidR="00535243" w:rsidRPr="002E707A" w:rsidRDefault="00535243" w:rsidP="00B01539">
            <w:pPr>
              <w:jc w:val="center"/>
              <w:rPr>
                <w:sz w:val="20"/>
                <w:szCs w:val="20"/>
                <w:lang w:val="pt-BR"/>
              </w:rPr>
            </w:pPr>
            <w:r w:rsidRPr="002E707A">
              <w:rPr>
                <w:sz w:val="20"/>
                <w:szCs w:val="20"/>
                <w:lang w:val="pt-BR"/>
              </w:rPr>
              <w:t>35,1</w:t>
            </w:r>
          </w:p>
        </w:tc>
      </w:tr>
      <w:tr w:rsidR="00535243" w:rsidRPr="002E707A" w14:paraId="378036F1" w14:textId="77777777" w:rsidTr="00535243">
        <w:trPr>
          <w:trHeight w:val="20"/>
          <w:jc w:val="center"/>
        </w:trPr>
        <w:tc>
          <w:tcPr>
            <w:tcW w:w="764" w:type="pct"/>
            <w:vMerge w:val="restart"/>
            <w:tcBorders>
              <w:top w:val="single" w:sz="2" w:space="0" w:color="auto"/>
              <w:left w:val="nil"/>
              <w:right w:val="nil"/>
            </w:tcBorders>
            <w:shd w:val="clear" w:color="auto" w:fill="auto"/>
            <w:vAlign w:val="center"/>
          </w:tcPr>
          <w:p w14:paraId="7B6DD589" w14:textId="77777777" w:rsidR="00535243" w:rsidRPr="002E707A" w:rsidRDefault="00535243" w:rsidP="00B01539">
            <w:pPr>
              <w:rPr>
                <w:b/>
                <w:sz w:val="20"/>
                <w:szCs w:val="20"/>
                <w:lang w:val="pt-BR"/>
              </w:rPr>
            </w:pPr>
            <w:r w:rsidRPr="002E707A">
              <w:rPr>
                <w:b/>
                <w:sz w:val="20"/>
                <w:szCs w:val="20"/>
                <w:lang w:val="pt-BR"/>
              </w:rPr>
              <w:t>Método de consumo</w:t>
            </w:r>
          </w:p>
        </w:tc>
        <w:tc>
          <w:tcPr>
            <w:tcW w:w="1655" w:type="pct"/>
            <w:tcBorders>
              <w:top w:val="single" w:sz="2" w:space="0" w:color="auto"/>
              <w:left w:val="nil"/>
              <w:bottom w:val="nil"/>
              <w:right w:val="nil"/>
            </w:tcBorders>
            <w:shd w:val="clear" w:color="auto" w:fill="auto"/>
          </w:tcPr>
          <w:p w14:paraId="3FA5E154" w14:textId="77777777" w:rsidR="00535243" w:rsidRPr="002E707A" w:rsidRDefault="00535243" w:rsidP="00B01539">
            <w:pPr>
              <w:rPr>
                <w:sz w:val="20"/>
                <w:szCs w:val="20"/>
                <w:lang w:val="pt-BR"/>
              </w:rPr>
            </w:pPr>
            <w:r w:rsidRPr="002E707A">
              <w:rPr>
                <w:sz w:val="20"/>
                <w:szCs w:val="20"/>
                <w:lang w:val="pt-BR"/>
              </w:rPr>
              <w:t>Comestíveis</w:t>
            </w:r>
          </w:p>
        </w:tc>
        <w:tc>
          <w:tcPr>
            <w:tcW w:w="430" w:type="pct"/>
            <w:tcBorders>
              <w:top w:val="single" w:sz="2" w:space="0" w:color="auto"/>
              <w:left w:val="nil"/>
              <w:bottom w:val="nil"/>
              <w:right w:val="nil"/>
            </w:tcBorders>
            <w:shd w:val="clear" w:color="auto" w:fill="auto"/>
          </w:tcPr>
          <w:p w14:paraId="59C23765" w14:textId="77777777" w:rsidR="00535243" w:rsidRPr="002E707A" w:rsidRDefault="00535243" w:rsidP="00B01539">
            <w:pPr>
              <w:jc w:val="center"/>
              <w:rPr>
                <w:b/>
                <w:bCs/>
                <w:sz w:val="20"/>
                <w:szCs w:val="20"/>
                <w:lang w:val="pt-BR"/>
              </w:rPr>
            </w:pPr>
            <w:r w:rsidRPr="002E707A">
              <w:rPr>
                <w:b/>
                <w:bCs/>
                <w:sz w:val="20"/>
                <w:szCs w:val="20"/>
                <w:lang w:val="pt-BR"/>
              </w:rPr>
              <w:t>8</w:t>
            </w:r>
          </w:p>
        </w:tc>
        <w:tc>
          <w:tcPr>
            <w:tcW w:w="431" w:type="pct"/>
            <w:tcBorders>
              <w:top w:val="single" w:sz="2" w:space="0" w:color="auto"/>
              <w:left w:val="nil"/>
              <w:bottom w:val="nil"/>
              <w:right w:val="nil"/>
            </w:tcBorders>
            <w:shd w:val="clear" w:color="auto" w:fill="auto"/>
          </w:tcPr>
          <w:p w14:paraId="0AD3FC68" w14:textId="77777777" w:rsidR="00535243" w:rsidRPr="002E707A" w:rsidRDefault="00535243" w:rsidP="00B01539">
            <w:pPr>
              <w:jc w:val="center"/>
              <w:rPr>
                <w:b/>
                <w:bCs/>
                <w:sz w:val="20"/>
                <w:szCs w:val="20"/>
                <w:lang w:val="pt-BR"/>
              </w:rPr>
            </w:pPr>
            <w:r w:rsidRPr="002E707A">
              <w:rPr>
                <w:b/>
                <w:bCs/>
                <w:sz w:val="20"/>
                <w:szCs w:val="20"/>
                <w:lang w:val="pt-BR"/>
              </w:rPr>
              <w:t>53,3</w:t>
            </w:r>
          </w:p>
        </w:tc>
        <w:tc>
          <w:tcPr>
            <w:tcW w:w="430" w:type="pct"/>
            <w:tcBorders>
              <w:top w:val="single" w:sz="2" w:space="0" w:color="auto"/>
              <w:left w:val="nil"/>
              <w:bottom w:val="nil"/>
              <w:right w:val="nil"/>
            </w:tcBorders>
            <w:shd w:val="clear" w:color="auto" w:fill="auto"/>
          </w:tcPr>
          <w:p w14:paraId="0186C5AD" w14:textId="77777777" w:rsidR="00535243" w:rsidRPr="002E707A" w:rsidRDefault="00535243" w:rsidP="00B01539">
            <w:pPr>
              <w:jc w:val="center"/>
              <w:rPr>
                <w:sz w:val="20"/>
                <w:szCs w:val="20"/>
                <w:lang w:val="pt-BR"/>
              </w:rPr>
            </w:pPr>
            <w:r w:rsidRPr="002E707A">
              <w:rPr>
                <w:sz w:val="20"/>
                <w:szCs w:val="20"/>
                <w:lang w:val="pt-BR"/>
              </w:rPr>
              <w:t>0</w:t>
            </w:r>
          </w:p>
        </w:tc>
        <w:tc>
          <w:tcPr>
            <w:tcW w:w="431" w:type="pct"/>
            <w:tcBorders>
              <w:top w:val="single" w:sz="2" w:space="0" w:color="auto"/>
              <w:left w:val="nil"/>
              <w:bottom w:val="nil"/>
              <w:right w:val="nil"/>
            </w:tcBorders>
            <w:shd w:val="clear" w:color="auto" w:fill="auto"/>
          </w:tcPr>
          <w:p w14:paraId="2A5A318D" w14:textId="77777777" w:rsidR="00535243" w:rsidRPr="002E707A" w:rsidRDefault="00535243" w:rsidP="00B01539">
            <w:pPr>
              <w:jc w:val="center"/>
              <w:rPr>
                <w:sz w:val="20"/>
                <w:szCs w:val="20"/>
                <w:lang w:val="pt-BR"/>
              </w:rPr>
            </w:pPr>
            <w:r w:rsidRPr="002E707A">
              <w:rPr>
                <w:sz w:val="20"/>
                <w:szCs w:val="20"/>
                <w:lang w:val="pt-BR"/>
              </w:rPr>
              <w:t>0,0</w:t>
            </w:r>
          </w:p>
        </w:tc>
        <w:tc>
          <w:tcPr>
            <w:tcW w:w="430" w:type="pct"/>
            <w:tcBorders>
              <w:top w:val="single" w:sz="2" w:space="0" w:color="auto"/>
              <w:left w:val="nil"/>
              <w:bottom w:val="nil"/>
              <w:right w:val="nil"/>
            </w:tcBorders>
            <w:shd w:val="clear" w:color="auto" w:fill="auto"/>
          </w:tcPr>
          <w:p w14:paraId="612BAE70" w14:textId="77777777" w:rsidR="00535243" w:rsidRPr="002E707A" w:rsidRDefault="00535243" w:rsidP="00B01539">
            <w:pPr>
              <w:jc w:val="center"/>
              <w:rPr>
                <w:sz w:val="20"/>
                <w:szCs w:val="20"/>
                <w:lang w:val="pt-BR"/>
              </w:rPr>
            </w:pPr>
            <w:r w:rsidRPr="002E707A">
              <w:rPr>
                <w:sz w:val="20"/>
                <w:szCs w:val="20"/>
                <w:lang w:val="pt-BR"/>
              </w:rPr>
              <w:t>2</w:t>
            </w:r>
          </w:p>
        </w:tc>
        <w:tc>
          <w:tcPr>
            <w:tcW w:w="430" w:type="pct"/>
            <w:tcBorders>
              <w:top w:val="single" w:sz="2" w:space="0" w:color="auto"/>
              <w:left w:val="nil"/>
              <w:bottom w:val="nil"/>
              <w:right w:val="nil"/>
            </w:tcBorders>
            <w:shd w:val="clear" w:color="auto" w:fill="auto"/>
          </w:tcPr>
          <w:p w14:paraId="63CFD737" w14:textId="77777777" w:rsidR="00535243" w:rsidRPr="002E707A" w:rsidRDefault="00535243" w:rsidP="00B01539">
            <w:pPr>
              <w:jc w:val="center"/>
              <w:rPr>
                <w:sz w:val="20"/>
                <w:szCs w:val="20"/>
                <w:lang w:val="pt-BR"/>
              </w:rPr>
            </w:pPr>
            <w:r w:rsidRPr="002E707A">
              <w:rPr>
                <w:sz w:val="20"/>
                <w:szCs w:val="20"/>
                <w:lang w:val="pt-BR"/>
              </w:rPr>
              <w:t>0,9</w:t>
            </w:r>
          </w:p>
        </w:tc>
      </w:tr>
      <w:tr w:rsidR="00535243" w:rsidRPr="002E707A" w14:paraId="28A5A33C" w14:textId="77777777" w:rsidTr="00535243">
        <w:trPr>
          <w:trHeight w:val="20"/>
          <w:jc w:val="center"/>
        </w:trPr>
        <w:tc>
          <w:tcPr>
            <w:tcW w:w="764" w:type="pct"/>
            <w:vMerge/>
            <w:tcBorders>
              <w:left w:val="nil"/>
              <w:right w:val="nil"/>
            </w:tcBorders>
            <w:shd w:val="clear" w:color="auto" w:fill="auto"/>
          </w:tcPr>
          <w:p w14:paraId="4CC88CD9" w14:textId="77777777" w:rsidR="00535243" w:rsidRPr="002E707A" w:rsidRDefault="00535243" w:rsidP="00B01539">
            <w:pPr>
              <w:rPr>
                <w:b/>
                <w:sz w:val="20"/>
                <w:szCs w:val="20"/>
                <w:lang w:val="pt-BR"/>
              </w:rPr>
            </w:pPr>
          </w:p>
        </w:tc>
        <w:tc>
          <w:tcPr>
            <w:tcW w:w="1655" w:type="pct"/>
            <w:tcBorders>
              <w:top w:val="nil"/>
              <w:left w:val="nil"/>
              <w:bottom w:val="nil"/>
              <w:right w:val="nil"/>
            </w:tcBorders>
            <w:shd w:val="clear" w:color="auto" w:fill="auto"/>
          </w:tcPr>
          <w:p w14:paraId="44D03DBE" w14:textId="77777777" w:rsidR="00535243" w:rsidRPr="002E707A" w:rsidRDefault="00535243" w:rsidP="00B01539">
            <w:pPr>
              <w:rPr>
                <w:sz w:val="20"/>
                <w:szCs w:val="20"/>
                <w:lang w:val="pt-BR"/>
              </w:rPr>
            </w:pPr>
            <w:r w:rsidRPr="002E707A">
              <w:rPr>
                <w:sz w:val="20"/>
                <w:szCs w:val="20"/>
                <w:lang w:val="pt-BR"/>
              </w:rPr>
              <w:t>Cosméticos/suplementos/óleo</w:t>
            </w:r>
          </w:p>
        </w:tc>
        <w:tc>
          <w:tcPr>
            <w:tcW w:w="430" w:type="pct"/>
            <w:tcBorders>
              <w:top w:val="nil"/>
              <w:left w:val="nil"/>
              <w:bottom w:val="nil"/>
              <w:right w:val="nil"/>
            </w:tcBorders>
            <w:shd w:val="clear" w:color="auto" w:fill="auto"/>
          </w:tcPr>
          <w:p w14:paraId="03DD84DC" w14:textId="77777777" w:rsidR="00535243" w:rsidRPr="002E707A" w:rsidRDefault="00535243" w:rsidP="00B01539">
            <w:pPr>
              <w:jc w:val="center"/>
              <w:rPr>
                <w:sz w:val="20"/>
                <w:szCs w:val="20"/>
                <w:lang w:val="pt-BR"/>
              </w:rPr>
            </w:pPr>
            <w:r w:rsidRPr="002E707A">
              <w:rPr>
                <w:sz w:val="20"/>
                <w:szCs w:val="20"/>
                <w:lang w:val="pt-BR"/>
              </w:rPr>
              <w:t>6</w:t>
            </w:r>
          </w:p>
        </w:tc>
        <w:tc>
          <w:tcPr>
            <w:tcW w:w="431" w:type="pct"/>
            <w:tcBorders>
              <w:top w:val="nil"/>
              <w:left w:val="nil"/>
              <w:bottom w:val="nil"/>
              <w:right w:val="nil"/>
            </w:tcBorders>
            <w:shd w:val="clear" w:color="auto" w:fill="auto"/>
          </w:tcPr>
          <w:p w14:paraId="643E8F70" w14:textId="77777777" w:rsidR="00535243" w:rsidRPr="002E707A" w:rsidRDefault="00535243" w:rsidP="00B01539">
            <w:pPr>
              <w:jc w:val="center"/>
              <w:rPr>
                <w:sz w:val="20"/>
                <w:szCs w:val="20"/>
                <w:lang w:val="pt-BR"/>
              </w:rPr>
            </w:pPr>
            <w:r w:rsidRPr="002E707A">
              <w:rPr>
                <w:sz w:val="20"/>
                <w:szCs w:val="20"/>
                <w:lang w:val="pt-BR"/>
              </w:rPr>
              <w:t>40</w:t>
            </w:r>
          </w:p>
        </w:tc>
        <w:tc>
          <w:tcPr>
            <w:tcW w:w="430" w:type="pct"/>
            <w:tcBorders>
              <w:top w:val="nil"/>
              <w:left w:val="nil"/>
              <w:bottom w:val="nil"/>
              <w:right w:val="nil"/>
            </w:tcBorders>
            <w:shd w:val="clear" w:color="auto" w:fill="auto"/>
          </w:tcPr>
          <w:p w14:paraId="4F119946" w14:textId="77777777" w:rsidR="00535243" w:rsidRPr="002E707A" w:rsidRDefault="00535243" w:rsidP="00B01539">
            <w:pPr>
              <w:jc w:val="center"/>
              <w:rPr>
                <w:sz w:val="20"/>
                <w:szCs w:val="20"/>
                <w:lang w:val="pt-BR"/>
              </w:rPr>
            </w:pPr>
            <w:r w:rsidRPr="002E707A">
              <w:rPr>
                <w:sz w:val="20"/>
                <w:szCs w:val="20"/>
                <w:lang w:val="pt-BR"/>
              </w:rPr>
              <w:t>0</w:t>
            </w:r>
          </w:p>
        </w:tc>
        <w:tc>
          <w:tcPr>
            <w:tcW w:w="431" w:type="pct"/>
            <w:tcBorders>
              <w:top w:val="nil"/>
              <w:left w:val="nil"/>
              <w:bottom w:val="nil"/>
              <w:right w:val="nil"/>
            </w:tcBorders>
            <w:shd w:val="clear" w:color="auto" w:fill="auto"/>
          </w:tcPr>
          <w:p w14:paraId="7131E73F" w14:textId="77777777" w:rsidR="00535243" w:rsidRPr="002E707A" w:rsidRDefault="00535243" w:rsidP="00B01539">
            <w:pPr>
              <w:jc w:val="center"/>
              <w:rPr>
                <w:sz w:val="20"/>
                <w:szCs w:val="20"/>
                <w:lang w:val="pt-BR"/>
              </w:rPr>
            </w:pPr>
            <w:r w:rsidRPr="002E707A">
              <w:rPr>
                <w:sz w:val="20"/>
                <w:szCs w:val="20"/>
                <w:lang w:val="pt-BR"/>
              </w:rPr>
              <w:t>0,0</w:t>
            </w:r>
          </w:p>
        </w:tc>
        <w:tc>
          <w:tcPr>
            <w:tcW w:w="430" w:type="pct"/>
            <w:tcBorders>
              <w:top w:val="nil"/>
              <w:left w:val="nil"/>
              <w:bottom w:val="nil"/>
              <w:right w:val="nil"/>
            </w:tcBorders>
            <w:shd w:val="clear" w:color="auto" w:fill="auto"/>
          </w:tcPr>
          <w:p w14:paraId="22814D68" w14:textId="77777777" w:rsidR="00535243" w:rsidRPr="002E707A" w:rsidRDefault="00535243" w:rsidP="00B01539">
            <w:pPr>
              <w:jc w:val="center"/>
              <w:rPr>
                <w:sz w:val="20"/>
                <w:szCs w:val="20"/>
                <w:lang w:val="pt-BR"/>
              </w:rPr>
            </w:pPr>
            <w:r w:rsidRPr="002E707A">
              <w:rPr>
                <w:sz w:val="20"/>
                <w:szCs w:val="20"/>
                <w:lang w:val="pt-BR"/>
              </w:rPr>
              <w:t>0</w:t>
            </w:r>
          </w:p>
        </w:tc>
        <w:tc>
          <w:tcPr>
            <w:tcW w:w="430" w:type="pct"/>
            <w:tcBorders>
              <w:top w:val="nil"/>
              <w:left w:val="nil"/>
              <w:bottom w:val="nil"/>
              <w:right w:val="nil"/>
            </w:tcBorders>
            <w:shd w:val="clear" w:color="auto" w:fill="auto"/>
          </w:tcPr>
          <w:p w14:paraId="55834973" w14:textId="77777777" w:rsidR="00535243" w:rsidRPr="002E707A" w:rsidRDefault="00535243" w:rsidP="00B01539">
            <w:pPr>
              <w:jc w:val="center"/>
              <w:rPr>
                <w:sz w:val="20"/>
                <w:szCs w:val="20"/>
                <w:lang w:val="pt-BR"/>
              </w:rPr>
            </w:pPr>
            <w:r w:rsidRPr="002E707A">
              <w:rPr>
                <w:sz w:val="20"/>
                <w:szCs w:val="20"/>
                <w:lang w:val="pt-BR"/>
              </w:rPr>
              <w:t>0</w:t>
            </w:r>
          </w:p>
        </w:tc>
      </w:tr>
      <w:tr w:rsidR="00535243" w:rsidRPr="002E707A" w14:paraId="0835C168" w14:textId="77777777" w:rsidTr="00535243">
        <w:trPr>
          <w:trHeight w:val="20"/>
          <w:jc w:val="center"/>
        </w:trPr>
        <w:tc>
          <w:tcPr>
            <w:tcW w:w="764" w:type="pct"/>
            <w:vMerge/>
            <w:tcBorders>
              <w:left w:val="nil"/>
              <w:right w:val="nil"/>
            </w:tcBorders>
            <w:shd w:val="clear" w:color="auto" w:fill="auto"/>
          </w:tcPr>
          <w:p w14:paraId="75740232" w14:textId="77777777" w:rsidR="00535243" w:rsidRPr="002E707A" w:rsidRDefault="00535243" w:rsidP="00B01539">
            <w:pPr>
              <w:rPr>
                <w:b/>
                <w:sz w:val="20"/>
                <w:szCs w:val="20"/>
                <w:lang w:val="pt-BR"/>
              </w:rPr>
            </w:pPr>
          </w:p>
        </w:tc>
        <w:tc>
          <w:tcPr>
            <w:tcW w:w="1655" w:type="pct"/>
            <w:tcBorders>
              <w:top w:val="nil"/>
              <w:left w:val="nil"/>
              <w:bottom w:val="nil"/>
              <w:right w:val="nil"/>
            </w:tcBorders>
            <w:shd w:val="clear" w:color="auto" w:fill="auto"/>
          </w:tcPr>
          <w:p w14:paraId="7E852A5A" w14:textId="77777777" w:rsidR="00535243" w:rsidRPr="002E707A" w:rsidRDefault="00535243" w:rsidP="00B01539">
            <w:pPr>
              <w:rPr>
                <w:sz w:val="20"/>
                <w:szCs w:val="20"/>
                <w:lang w:val="pt-BR"/>
              </w:rPr>
            </w:pPr>
            <w:r w:rsidRPr="002E707A">
              <w:rPr>
                <w:sz w:val="20"/>
                <w:szCs w:val="20"/>
                <w:lang w:val="pt-BR"/>
              </w:rPr>
              <w:t>Fumado</w:t>
            </w:r>
          </w:p>
        </w:tc>
        <w:tc>
          <w:tcPr>
            <w:tcW w:w="430" w:type="pct"/>
            <w:tcBorders>
              <w:top w:val="nil"/>
              <w:left w:val="nil"/>
              <w:bottom w:val="nil"/>
              <w:right w:val="nil"/>
            </w:tcBorders>
            <w:shd w:val="clear" w:color="auto" w:fill="auto"/>
          </w:tcPr>
          <w:p w14:paraId="55B6B801" w14:textId="77777777" w:rsidR="00535243" w:rsidRPr="002E707A" w:rsidRDefault="00535243" w:rsidP="00B01539">
            <w:pPr>
              <w:jc w:val="center"/>
              <w:rPr>
                <w:sz w:val="20"/>
                <w:szCs w:val="20"/>
                <w:lang w:val="pt-BR"/>
              </w:rPr>
            </w:pPr>
            <w:r w:rsidRPr="002E707A">
              <w:rPr>
                <w:sz w:val="20"/>
                <w:szCs w:val="20"/>
                <w:lang w:val="pt-BR"/>
              </w:rPr>
              <w:t>0</w:t>
            </w:r>
          </w:p>
        </w:tc>
        <w:tc>
          <w:tcPr>
            <w:tcW w:w="431" w:type="pct"/>
            <w:tcBorders>
              <w:top w:val="nil"/>
              <w:left w:val="nil"/>
              <w:bottom w:val="nil"/>
              <w:right w:val="nil"/>
            </w:tcBorders>
            <w:shd w:val="clear" w:color="auto" w:fill="auto"/>
          </w:tcPr>
          <w:p w14:paraId="5DBDDB33" w14:textId="77777777" w:rsidR="00535243" w:rsidRPr="002E707A" w:rsidRDefault="00535243" w:rsidP="00B01539">
            <w:pPr>
              <w:jc w:val="center"/>
              <w:rPr>
                <w:sz w:val="20"/>
                <w:szCs w:val="20"/>
                <w:lang w:val="pt-BR"/>
              </w:rPr>
            </w:pPr>
            <w:r w:rsidRPr="002E707A">
              <w:rPr>
                <w:sz w:val="20"/>
                <w:szCs w:val="20"/>
                <w:lang w:val="pt-BR"/>
              </w:rPr>
              <w:t>0</w:t>
            </w:r>
          </w:p>
        </w:tc>
        <w:tc>
          <w:tcPr>
            <w:tcW w:w="430" w:type="pct"/>
            <w:tcBorders>
              <w:top w:val="nil"/>
              <w:left w:val="nil"/>
              <w:bottom w:val="nil"/>
              <w:right w:val="nil"/>
            </w:tcBorders>
            <w:shd w:val="clear" w:color="auto" w:fill="auto"/>
          </w:tcPr>
          <w:p w14:paraId="578F0F63" w14:textId="77777777" w:rsidR="00535243" w:rsidRPr="002E707A" w:rsidRDefault="00535243" w:rsidP="00B01539">
            <w:pPr>
              <w:jc w:val="center"/>
              <w:rPr>
                <w:b/>
                <w:bCs/>
                <w:sz w:val="20"/>
                <w:szCs w:val="20"/>
                <w:lang w:val="pt-BR"/>
              </w:rPr>
            </w:pPr>
            <w:r w:rsidRPr="002E707A">
              <w:rPr>
                <w:b/>
                <w:bCs/>
                <w:sz w:val="20"/>
                <w:szCs w:val="20"/>
                <w:lang w:val="pt-BR"/>
              </w:rPr>
              <w:t>106</w:t>
            </w:r>
          </w:p>
        </w:tc>
        <w:tc>
          <w:tcPr>
            <w:tcW w:w="431" w:type="pct"/>
            <w:tcBorders>
              <w:top w:val="nil"/>
              <w:left w:val="nil"/>
              <w:bottom w:val="nil"/>
              <w:right w:val="nil"/>
            </w:tcBorders>
            <w:shd w:val="clear" w:color="auto" w:fill="auto"/>
          </w:tcPr>
          <w:p w14:paraId="264E3D55" w14:textId="77777777" w:rsidR="00535243" w:rsidRPr="002E707A" w:rsidRDefault="00535243" w:rsidP="00B01539">
            <w:pPr>
              <w:jc w:val="center"/>
              <w:rPr>
                <w:b/>
                <w:bCs/>
                <w:sz w:val="20"/>
                <w:szCs w:val="20"/>
                <w:lang w:val="pt-BR"/>
              </w:rPr>
            </w:pPr>
            <w:r w:rsidRPr="002E707A">
              <w:rPr>
                <w:b/>
                <w:bCs/>
                <w:sz w:val="20"/>
                <w:szCs w:val="20"/>
                <w:lang w:val="pt-BR"/>
              </w:rPr>
              <w:t>73,6</w:t>
            </w:r>
          </w:p>
        </w:tc>
        <w:tc>
          <w:tcPr>
            <w:tcW w:w="430" w:type="pct"/>
            <w:tcBorders>
              <w:top w:val="nil"/>
              <w:left w:val="nil"/>
              <w:bottom w:val="nil"/>
              <w:right w:val="nil"/>
            </w:tcBorders>
            <w:shd w:val="clear" w:color="auto" w:fill="auto"/>
          </w:tcPr>
          <w:p w14:paraId="22939CBB" w14:textId="77777777" w:rsidR="00535243" w:rsidRPr="002E707A" w:rsidRDefault="00535243" w:rsidP="00B01539">
            <w:pPr>
              <w:jc w:val="center"/>
              <w:rPr>
                <w:b/>
                <w:bCs/>
                <w:sz w:val="20"/>
                <w:szCs w:val="20"/>
                <w:lang w:val="pt-BR"/>
              </w:rPr>
            </w:pPr>
            <w:r w:rsidRPr="002E707A">
              <w:rPr>
                <w:b/>
                <w:bCs/>
                <w:sz w:val="20"/>
                <w:szCs w:val="20"/>
                <w:lang w:val="pt-BR"/>
              </w:rPr>
              <w:t>205</w:t>
            </w:r>
          </w:p>
        </w:tc>
        <w:tc>
          <w:tcPr>
            <w:tcW w:w="430" w:type="pct"/>
            <w:tcBorders>
              <w:top w:val="nil"/>
              <w:left w:val="nil"/>
              <w:bottom w:val="nil"/>
              <w:right w:val="nil"/>
            </w:tcBorders>
            <w:shd w:val="clear" w:color="auto" w:fill="auto"/>
          </w:tcPr>
          <w:p w14:paraId="13F063EA" w14:textId="77777777" w:rsidR="00535243" w:rsidRPr="002E707A" w:rsidRDefault="00535243" w:rsidP="00B01539">
            <w:pPr>
              <w:jc w:val="center"/>
              <w:rPr>
                <w:b/>
                <w:bCs/>
                <w:sz w:val="20"/>
                <w:szCs w:val="20"/>
                <w:lang w:val="pt-BR"/>
              </w:rPr>
            </w:pPr>
            <w:r w:rsidRPr="002E707A">
              <w:rPr>
                <w:b/>
                <w:bCs/>
                <w:sz w:val="20"/>
                <w:szCs w:val="20"/>
                <w:lang w:val="pt-BR"/>
              </w:rPr>
              <w:t>91,1</w:t>
            </w:r>
          </w:p>
        </w:tc>
      </w:tr>
      <w:tr w:rsidR="00535243" w:rsidRPr="002E707A" w14:paraId="6FD499C7" w14:textId="77777777" w:rsidTr="00CA12CE">
        <w:trPr>
          <w:trHeight w:val="20"/>
          <w:jc w:val="center"/>
        </w:trPr>
        <w:tc>
          <w:tcPr>
            <w:tcW w:w="764" w:type="pct"/>
            <w:vMerge/>
            <w:tcBorders>
              <w:left w:val="nil"/>
              <w:bottom w:val="single" w:sz="4" w:space="0" w:color="auto"/>
              <w:right w:val="nil"/>
            </w:tcBorders>
            <w:shd w:val="clear" w:color="auto" w:fill="auto"/>
          </w:tcPr>
          <w:p w14:paraId="11496B81" w14:textId="77777777" w:rsidR="00535243" w:rsidRPr="002E707A" w:rsidRDefault="00535243" w:rsidP="00B01539">
            <w:pPr>
              <w:rPr>
                <w:b/>
                <w:sz w:val="20"/>
                <w:szCs w:val="20"/>
                <w:lang w:val="pt-BR"/>
              </w:rPr>
            </w:pPr>
          </w:p>
        </w:tc>
        <w:tc>
          <w:tcPr>
            <w:tcW w:w="1655" w:type="pct"/>
            <w:tcBorders>
              <w:top w:val="nil"/>
              <w:left w:val="nil"/>
              <w:bottom w:val="single" w:sz="4" w:space="0" w:color="auto"/>
              <w:right w:val="nil"/>
            </w:tcBorders>
            <w:shd w:val="clear" w:color="auto" w:fill="auto"/>
          </w:tcPr>
          <w:p w14:paraId="48ADFA98" w14:textId="77777777" w:rsidR="00535243" w:rsidRPr="002E707A" w:rsidRDefault="00535243" w:rsidP="00B01539">
            <w:pPr>
              <w:rPr>
                <w:sz w:val="20"/>
                <w:szCs w:val="20"/>
                <w:lang w:val="pt-BR"/>
              </w:rPr>
            </w:pPr>
            <w:r w:rsidRPr="002E707A">
              <w:rPr>
                <w:sz w:val="20"/>
                <w:szCs w:val="20"/>
                <w:lang w:val="pt-BR"/>
              </w:rPr>
              <w:t>Vaporizado</w:t>
            </w:r>
          </w:p>
        </w:tc>
        <w:tc>
          <w:tcPr>
            <w:tcW w:w="430" w:type="pct"/>
            <w:tcBorders>
              <w:top w:val="nil"/>
              <w:left w:val="nil"/>
              <w:bottom w:val="single" w:sz="4" w:space="0" w:color="auto"/>
              <w:right w:val="nil"/>
            </w:tcBorders>
            <w:shd w:val="clear" w:color="auto" w:fill="auto"/>
          </w:tcPr>
          <w:p w14:paraId="5573850A" w14:textId="77777777" w:rsidR="00535243" w:rsidRPr="002E707A" w:rsidRDefault="00535243" w:rsidP="00B01539">
            <w:pPr>
              <w:jc w:val="center"/>
              <w:rPr>
                <w:sz w:val="20"/>
                <w:szCs w:val="20"/>
                <w:lang w:val="pt-BR"/>
              </w:rPr>
            </w:pPr>
            <w:r w:rsidRPr="002E707A">
              <w:rPr>
                <w:sz w:val="20"/>
                <w:szCs w:val="20"/>
                <w:lang w:val="pt-BR"/>
              </w:rPr>
              <w:t>1</w:t>
            </w:r>
          </w:p>
        </w:tc>
        <w:tc>
          <w:tcPr>
            <w:tcW w:w="431" w:type="pct"/>
            <w:tcBorders>
              <w:top w:val="nil"/>
              <w:left w:val="nil"/>
              <w:bottom w:val="single" w:sz="4" w:space="0" w:color="auto"/>
              <w:right w:val="nil"/>
            </w:tcBorders>
            <w:shd w:val="clear" w:color="auto" w:fill="auto"/>
          </w:tcPr>
          <w:p w14:paraId="4BC3B915" w14:textId="77777777" w:rsidR="00535243" w:rsidRPr="002E707A" w:rsidRDefault="00535243" w:rsidP="00B01539">
            <w:pPr>
              <w:jc w:val="center"/>
              <w:rPr>
                <w:sz w:val="20"/>
                <w:szCs w:val="20"/>
                <w:lang w:val="pt-BR"/>
              </w:rPr>
            </w:pPr>
            <w:r w:rsidRPr="002E707A">
              <w:rPr>
                <w:sz w:val="20"/>
                <w:szCs w:val="20"/>
                <w:lang w:val="pt-BR"/>
              </w:rPr>
              <w:t>6,7</w:t>
            </w:r>
          </w:p>
        </w:tc>
        <w:tc>
          <w:tcPr>
            <w:tcW w:w="430" w:type="pct"/>
            <w:tcBorders>
              <w:top w:val="nil"/>
              <w:left w:val="nil"/>
              <w:bottom w:val="single" w:sz="4" w:space="0" w:color="auto"/>
              <w:right w:val="nil"/>
            </w:tcBorders>
            <w:shd w:val="clear" w:color="auto" w:fill="auto"/>
          </w:tcPr>
          <w:p w14:paraId="2EA03C69" w14:textId="77777777" w:rsidR="00535243" w:rsidRPr="002E707A" w:rsidRDefault="00535243" w:rsidP="00B01539">
            <w:pPr>
              <w:jc w:val="center"/>
              <w:rPr>
                <w:sz w:val="20"/>
                <w:szCs w:val="20"/>
                <w:lang w:val="pt-BR"/>
              </w:rPr>
            </w:pPr>
            <w:r w:rsidRPr="002E707A">
              <w:rPr>
                <w:sz w:val="20"/>
                <w:szCs w:val="20"/>
                <w:lang w:val="pt-BR"/>
              </w:rPr>
              <w:t>38</w:t>
            </w:r>
          </w:p>
        </w:tc>
        <w:tc>
          <w:tcPr>
            <w:tcW w:w="431" w:type="pct"/>
            <w:tcBorders>
              <w:top w:val="nil"/>
              <w:left w:val="nil"/>
              <w:bottom w:val="single" w:sz="4" w:space="0" w:color="auto"/>
              <w:right w:val="nil"/>
            </w:tcBorders>
            <w:shd w:val="clear" w:color="auto" w:fill="auto"/>
          </w:tcPr>
          <w:p w14:paraId="543A638E" w14:textId="77777777" w:rsidR="00535243" w:rsidRPr="002E707A" w:rsidRDefault="00535243" w:rsidP="00B01539">
            <w:pPr>
              <w:jc w:val="center"/>
              <w:rPr>
                <w:sz w:val="20"/>
                <w:szCs w:val="20"/>
                <w:lang w:val="pt-BR"/>
              </w:rPr>
            </w:pPr>
            <w:r w:rsidRPr="002E707A">
              <w:rPr>
                <w:sz w:val="20"/>
                <w:szCs w:val="20"/>
                <w:lang w:val="pt-BR"/>
              </w:rPr>
              <w:t>26,4</w:t>
            </w:r>
          </w:p>
        </w:tc>
        <w:tc>
          <w:tcPr>
            <w:tcW w:w="430" w:type="pct"/>
            <w:tcBorders>
              <w:top w:val="nil"/>
              <w:left w:val="nil"/>
              <w:bottom w:val="single" w:sz="4" w:space="0" w:color="auto"/>
              <w:right w:val="nil"/>
            </w:tcBorders>
            <w:shd w:val="clear" w:color="auto" w:fill="auto"/>
          </w:tcPr>
          <w:p w14:paraId="5F0A2F80" w14:textId="77777777" w:rsidR="00535243" w:rsidRPr="002E707A" w:rsidRDefault="00535243" w:rsidP="00B01539">
            <w:pPr>
              <w:jc w:val="center"/>
              <w:rPr>
                <w:sz w:val="20"/>
                <w:szCs w:val="20"/>
                <w:lang w:val="pt-BR"/>
              </w:rPr>
            </w:pPr>
            <w:r w:rsidRPr="002E707A">
              <w:rPr>
                <w:sz w:val="20"/>
                <w:szCs w:val="20"/>
                <w:lang w:val="pt-BR"/>
              </w:rPr>
              <w:t>18</w:t>
            </w:r>
          </w:p>
        </w:tc>
        <w:tc>
          <w:tcPr>
            <w:tcW w:w="430" w:type="pct"/>
            <w:tcBorders>
              <w:top w:val="nil"/>
              <w:left w:val="nil"/>
              <w:bottom w:val="single" w:sz="4" w:space="0" w:color="auto"/>
              <w:right w:val="nil"/>
            </w:tcBorders>
            <w:shd w:val="clear" w:color="auto" w:fill="auto"/>
          </w:tcPr>
          <w:p w14:paraId="24CD3770" w14:textId="77777777" w:rsidR="00535243" w:rsidRPr="002E707A" w:rsidRDefault="00535243" w:rsidP="00B01539">
            <w:pPr>
              <w:jc w:val="center"/>
              <w:rPr>
                <w:sz w:val="20"/>
                <w:szCs w:val="20"/>
                <w:lang w:val="pt-BR"/>
              </w:rPr>
            </w:pPr>
            <w:r w:rsidRPr="002E707A">
              <w:rPr>
                <w:sz w:val="20"/>
                <w:szCs w:val="20"/>
                <w:lang w:val="pt-BR"/>
              </w:rPr>
              <w:t>8,0</w:t>
            </w:r>
          </w:p>
        </w:tc>
      </w:tr>
    </w:tbl>
    <w:p w14:paraId="4A1C5C2E" w14:textId="77777777" w:rsidR="00535243" w:rsidRPr="002E707A" w:rsidRDefault="00535243" w:rsidP="00B01539">
      <w:pPr>
        <w:rPr>
          <w:i/>
          <w:iCs/>
          <w:sz w:val="20"/>
          <w:szCs w:val="20"/>
          <w:lang w:val="pt-BR"/>
        </w:rPr>
      </w:pPr>
      <w:r w:rsidRPr="002E707A">
        <w:rPr>
          <w:b/>
          <w:bCs/>
          <w:i/>
          <w:iCs/>
          <w:sz w:val="20"/>
          <w:szCs w:val="20"/>
          <w:lang w:val="pt-BR"/>
        </w:rPr>
        <w:t>Nota:</w:t>
      </w:r>
      <w:r w:rsidRPr="002E707A">
        <w:rPr>
          <w:i/>
          <w:iCs/>
          <w:sz w:val="20"/>
          <w:szCs w:val="20"/>
          <w:lang w:val="pt-BR"/>
        </w:rPr>
        <w:t xml:space="preserve"> as categorias em negrito foram as mais frequentes de cada variável naquela classe.</w:t>
      </w:r>
    </w:p>
    <w:p w14:paraId="3D093856" w14:textId="77777777" w:rsidR="00535243" w:rsidRPr="002E707A" w:rsidRDefault="00535243" w:rsidP="00535243">
      <w:pPr>
        <w:spacing w:line="360" w:lineRule="auto"/>
        <w:rPr>
          <w:sz w:val="20"/>
          <w:szCs w:val="20"/>
          <w:lang w:val="pt-BR"/>
        </w:rPr>
      </w:pPr>
    </w:p>
    <w:p w14:paraId="3B623341" w14:textId="1DA1CF68" w:rsidR="00CA12CE" w:rsidRPr="002E707A" w:rsidRDefault="00CA12CE" w:rsidP="00E251DE">
      <w:pPr>
        <w:shd w:val="clear" w:color="auto" w:fill="FFFFFF"/>
        <w:spacing w:line="360" w:lineRule="auto"/>
        <w:ind w:firstLine="700"/>
        <w:jc w:val="both"/>
        <w:rPr>
          <w:lang w:val="pt-BR"/>
        </w:rPr>
      </w:pPr>
      <w:r w:rsidRPr="002E707A">
        <w:rPr>
          <w:lang w:val="pt-BR"/>
        </w:rPr>
        <w:t>Diante dessas informações, os grupos foram intitulados “Baixo consumo/Ingeríveis” (Grupo 1), “Alto consumo/Fumado” (Grupo 2) e “Baixo consumo/Fumado” (Grupo 3). Destaca-se que, no entanto, usuários que consomem produtos de Cannabis de maior potência e qualidade tendem a pertencer ao Grupo 3, com consumo menos intenso do que ao Grupo 2. Adiante, apresentam-se os resultados das MMLR para a análise dos determinantes sociodemográficos dos padrões de consumo relacionados às classes observadas.</w:t>
      </w:r>
    </w:p>
    <w:p w14:paraId="41551B3B" w14:textId="77777777" w:rsidR="00CA12CE" w:rsidRPr="002E707A" w:rsidRDefault="00CA12CE" w:rsidP="00A1791E">
      <w:pPr>
        <w:shd w:val="clear" w:color="auto" w:fill="FFFFFF"/>
        <w:spacing w:line="360" w:lineRule="auto"/>
        <w:jc w:val="both"/>
        <w:rPr>
          <w:lang w:val="pt-BR"/>
        </w:rPr>
      </w:pPr>
      <w:r w:rsidRPr="002E707A">
        <w:rPr>
          <w:b/>
          <w:i/>
          <w:lang w:val="pt-BR"/>
        </w:rPr>
        <w:t>Determinantes sociodemográficos dos padrões de consumo</w:t>
      </w:r>
      <w:r w:rsidRPr="002E707A">
        <w:rPr>
          <w:lang w:val="pt-BR"/>
        </w:rPr>
        <w:t xml:space="preserve"> </w:t>
      </w:r>
    </w:p>
    <w:p w14:paraId="79027F5F" w14:textId="77777777" w:rsidR="00CA12CE" w:rsidRDefault="00CA12CE" w:rsidP="00A1791E">
      <w:pPr>
        <w:shd w:val="clear" w:color="auto" w:fill="FFFFFF"/>
        <w:spacing w:line="360" w:lineRule="auto"/>
        <w:ind w:firstLine="720"/>
        <w:jc w:val="both"/>
        <w:rPr>
          <w:lang w:val="pt-BR"/>
        </w:rPr>
      </w:pPr>
      <w:r w:rsidRPr="002E707A">
        <w:rPr>
          <w:lang w:val="pt-BR"/>
        </w:rPr>
        <w:t xml:space="preserve">Inicialmente, são apresentadas as estatísticas descritivas das variáveis sociodemográficas (Tabela 5). No grupo Baixo Consumo/Fumado (n = 225), os integrantes apresentaram idades entre 18 e 62 anos (M = 32,65, DP = 10,01), iniciaram o uso de Cannabis, em média, aos 19,46 anos (DP = 4,95) e mantém o padrão atual há 5,69 anos, em média (DP = 7,10). Eram, em sua maioria, homens (53,3%), brancos (68,8%), pós-graduados (35,6%), com renda individual de 4-10 salários-mínimos (21,8%), com um diagnóstico de doença crônica (89,3%) e uma condição psiquiátrica diagnosticada (77,8%).  </w:t>
      </w:r>
    </w:p>
    <w:p w14:paraId="6FDD50A7" w14:textId="77777777" w:rsidR="00CA12CE" w:rsidRPr="002E707A" w:rsidRDefault="00CA12CE" w:rsidP="00A1791E">
      <w:pPr>
        <w:shd w:val="clear" w:color="auto" w:fill="FFFFFF"/>
        <w:spacing w:line="360" w:lineRule="auto"/>
        <w:ind w:firstLine="700"/>
        <w:jc w:val="both"/>
        <w:rPr>
          <w:lang w:val="pt-BR"/>
        </w:rPr>
      </w:pPr>
      <w:r w:rsidRPr="002E707A">
        <w:rPr>
          <w:lang w:val="pt-BR"/>
        </w:rPr>
        <w:t xml:space="preserve">No grupo Alto Consumo/Fumado (n = 144), os participantes tinham idades entre 18 e 63 anos (M = 33,32, DP = 11,05), iniciaram o uso, em média, aos 17,45 anos (DP = 3,40) e mantém </w:t>
      </w:r>
      <w:r w:rsidRPr="002E707A">
        <w:rPr>
          <w:lang w:val="pt-BR"/>
        </w:rPr>
        <w:lastRenderedPageBreak/>
        <w:t xml:space="preserve">o padrão de uso há 8,14 anos, em média (DP = 8,46). Majoritariamente, eram homens (57,6%), brancos (64,6%), com Ensino Superior completo (32,9%), com renda individual de 2-4 salários-mínimos (29,6%); 86,4% apresentavam uma doença crônica e, 66,7%, um diagnóstico psiquiátrico. </w:t>
      </w:r>
    </w:p>
    <w:p w14:paraId="186BFB4D" w14:textId="5ADE5013" w:rsidR="00CA12CE" w:rsidRPr="002E707A" w:rsidRDefault="00CA12CE" w:rsidP="00A1791E">
      <w:pPr>
        <w:shd w:val="clear" w:color="auto" w:fill="FFFFFF"/>
        <w:spacing w:line="360" w:lineRule="auto"/>
        <w:ind w:firstLine="700"/>
        <w:jc w:val="both"/>
        <w:rPr>
          <w:lang w:val="pt-BR"/>
        </w:rPr>
      </w:pPr>
      <w:r w:rsidRPr="002E707A">
        <w:rPr>
          <w:lang w:val="pt-BR"/>
        </w:rPr>
        <w:t>Finalmente, aqueles que integraram o grupo Baixo Consumo/Ingeríveis (n = 15) apresentaram idades variando entre 21 e 62 anos (M = 38,47, DP = 11,87), começaram o uso de Cannabis por volta dos 23,8 anos (DP = 10,14) e mantém o padrão de uso, em média, há 5,52 anos (DP = 8,18). Majoritariamente, o grupo foi composto por mulheres (53,3%), branc</w:t>
      </w:r>
      <w:r w:rsidR="00FA66F5">
        <w:rPr>
          <w:lang w:val="pt-BR"/>
        </w:rPr>
        <w:t>a</w:t>
      </w:r>
      <w:r w:rsidRPr="002E707A">
        <w:rPr>
          <w:lang w:val="pt-BR"/>
        </w:rPr>
        <w:t>s (60%), pós-graduad</w:t>
      </w:r>
      <w:r w:rsidR="00FA66F5">
        <w:rPr>
          <w:lang w:val="pt-BR"/>
        </w:rPr>
        <w:t>a</w:t>
      </w:r>
      <w:r w:rsidRPr="002E707A">
        <w:rPr>
          <w:lang w:val="pt-BR"/>
        </w:rPr>
        <w:t xml:space="preserve">s (53,3%), com renda individual entre 4-10 ou 10-20 salários-mínimos (ambos os subgrupos atingindo, respectivamente, 26,7% do grupo). Em sua maioria, apresentaram um diagnóstico de doença crônica (73,3%) e um diagnóstico psiquiátrico (73,3%). </w:t>
      </w:r>
    </w:p>
    <w:p w14:paraId="01946A5B" w14:textId="437AA7A0" w:rsidR="00CA12CE" w:rsidRDefault="00CA12CE" w:rsidP="00A1791E">
      <w:pPr>
        <w:shd w:val="clear" w:color="auto" w:fill="FFFFFF"/>
        <w:spacing w:line="360" w:lineRule="auto"/>
        <w:ind w:firstLine="700"/>
        <w:jc w:val="both"/>
        <w:rPr>
          <w:lang w:val="pt-BR"/>
        </w:rPr>
      </w:pPr>
      <w:r w:rsidRPr="002E707A">
        <w:rPr>
          <w:lang w:val="pt-BR"/>
        </w:rPr>
        <w:t xml:space="preserve">A regressão logística multinominal foi utilizada para verificar os determinantes sociodemográficos dos padrões de consumo, tendo como grupo de referência a classe "Baixo Consumo/Fumado", por ser a mais numerosa. Os resultados, incluindo os </w:t>
      </w:r>
      <w:proofErr w:type="spellStart"/>
      <w:r w:rsidRPr="002E707A">
        <w:rPr>
          <w:lang w:val="pt-BR"/>
        </w:rPr>
        <w:t>Odds</w:t>
      </w:r>
      <w:proofErr w:type="spellEnd"/>
      <w:r w:rsidRPr="002E707A">
        <w:rPr>
          <w:lang w:val="pt-BR"/>
        </w:rPr>
        <w:t xml:space="preserve"> </w:t>
      </w:r>
      <w:proofErr w:type="spellStart"/>
      <w:r w:rsidRPr="002E707A">
        <w:rPr>
          <w:lang w:val="pt-BR"/>
        </w:rPr>
        <w:t>Ratio</w:t>
      </w:r>
      <w:proofErr w:type="spellEnd"/>
      <w:r w:rsidRPr="002E707A">
        <w:rPr>
          <w:lang w:val="pt-BR"/>
        </w:rPr>
        <w:t xml:space="preserve"> (OR) para cada perfil, </w:t>
      </w:r>
      <w:r w:rsidR="00FA66F5">
        <w:rPr>
          <w:lang w:val="pt-BR"/>
        </w:rPr>
        <w:t>são dispostos</w:t>
      </w:r>
      <w:r w:rsidRPr="002E707A">
        <w:rPr>
          <w:lang w:val="pt-BR"/>
        </w:rPr>
        <w:t xml:space="preserve"> na Tabela 6. A análise revelou que Renda Individual, Escolaridade, Etnia e Diagnóstico de Doenças Crônicas não foram significativos na determinação dos padrões de uso. Em contraste, Diagnósticos Psiquiátricos, a idade de início do consumo e o tempo de uso de Cannabis foram preditores significativos das classes latentes.</w:t>
      </w:r>
    </w:p>
    <w:p w14:paraId="45A8A24A" w14:textId="77777777" w:rsidR="00E251DE" w:rsidRPr="002E707A" w:rsidRDefault="00E251DE" w:rsidP="00E251DE">
      <w:pPr>
        <w:shd w:val="clear" w:color="auto" w:fill="FFFFFF"/>
        <w:spacing w:line="360" w:lineRule="auto"/>
        <w:ind w:firstLine="700"/>
        <w:jc w:val="both"/>
        <w:rPr>
          <w:lang w:val="pt-BR"/>
        </w:rPr>
      </w:pPr>
      <w:r w:rsidRPr="002E707A">
        <w:rPr>
          <w:lang w:val="pt-BR"/>
        </w:rPr>
        <w:t>Quanto à idade de início, observou-se que, quanto mais tarde se inicia o consumo, menores as chances de pertencer ao grupo Alto Consumo/Fumado, em relação a pertencer ao grupo Baixo Consumo/Fumando. Ao contrário, conforme aumenta a idade de início, maiores são as chances de integrar o grupo Baixo Consumo/Ingeríveis, se comparado ao grupo de referência. Quanto ao Tempo de Uso, demonstrou-se que quanto maior o período em que se mantém o padrão, maior as chances de pertencimento ao grupo Alto Consumo/Fumado, comparando-se ao grupo de referência.</w:t>
      </w:r>
    </w:p>
    <w:p w14:paraId="2E379ED1" w14:textId="77777777" w:rsidR="004C0483" w:rsidRPr="002E707A" w:rsidRDefault="004C0483" w:rsidP="004C0483">
      <w:pPr>
        <w:shd w:val="clear" w:color="auto" w:fill="FFFFFF"/>
        <w:spacing w:line="360" w:lineRule="auto"/>
        <w:jc w:val="both"/>
        <w:rPr>
          <w:sz w:val="20"/>
          <w:szCs w:val="20"/>
          <w:lang w:val="pt-BR"/>
        </w:rPr>
      </w:pPr>
      <w:r w:rsidRPr="002E707A">
        <w:rPr>
          <w:sz w:val="20"/>
          <w:szCs w:val="20"/>
          <w:lang w:val="pt-BR"/>
        </w:rPr>
        <w:t>Tabela 5</w:t>
      </w:r>
    </w:p>
    <w:p w14:paraId="26D489AD" w14:textId="77777777" w:rsidR="004C0483" w:rsidRPr="002E707A" w:rsidRDefault="004C0483" w:rsidP="004C0483">
      <w:pPr>
        <w:shd w:val="clear" w:color="auto" w:fill="FFFFFF"/>
        <w:spacing w:line="360" w:lineRule="auto"/>
        <w:jc w:val="both"/>
        <w:rPr>
          <w:i/>
          <w:iCs/>
          <w:sz w:val="20"/>
          <w:szCs w:val="20"/>
          <w:lang w:val="pt-BR"/>
        </w:rPr>
      </w:pPr>
      <w:r w:rsidRPr="002E707A">
        <w:rPr>
          <w:i/>
          <w:iCs/>
          <w:sz w:val="20"/>
          <w:szCs w:val="20"/>
          <w:lang w:val="pt-BR"/>
        </w:rPr>
        <w:t xml:space="preserve">Estatística descritivas das variáveis sociodemográficas por classe latente </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8"/>
        <w:gridCol w:w="3291"/>
        <w:gridCol w:w="756"/>
        <w:gridCol w:w="758"/>
        <w:gridCol w:w="758"/>
        <w:gridCol w:w="758"/>
        <w:gridCol w:w="758"/>
        <w:gridCol w:w="756"/>
      </w:tblGrid>
      <w:tr w:rsidR="004C0483" w:rsidRPr="002E707A" w14:paraId="74279E08" w14:textId="77777777" w:rsidTr="00A1791E">
        <w:trPr>
          <w:trHeight w:val="344"/>
          <w:jc w:val="center"/>
        </w:trPr>
        <w:tc>
          <w:tcPr>
            <w:tcW w:w="834" w:type="pct"/>
            <w:vMerge w:val="restart"/>
            <w:tcBorders>
              <w:top w:val="single" w:sz="4" w:space="0" w:color="auto"/>
              <w:left w:val="nil"/>
              <w:right w:val="nil"/>
            </w:tcBorders>
            <w:shd w:val="clear" w:color="auto" w:fill="auto"/>
            <w:vAlign w:val="center"/>
          </w:tcPr>
          <w:p w14:paraId="42B26BD8" w14:textId="77777777" w:rsidR="004C0483" w:rsidRPr="002E707A" w:rsidRDefault="004C0483" w:rsidP="00A1791E">
            <w:pPr>
              <w:jc w:val="center"/>
              <w:rPr>
                <w:b/>
                <w:sz w:val="20"/>
                <w:szCs w:val="20"/>
                <w:lang w:val="pt-BR"/>
              </w:rPr>
            </w:pPr>
            <w:r w:rsidRPr="002E707A">
              <w:rPr>
                <w:b/>
                <w:sz w:val="20"/>
                <w:szCs w:val="20"/>
                <w:lang w:val="pt-BR"/>
              </w:rPr>
              <w:t>Variável</w:t>
            </w:r>
          </w:p>
        </w:tc>
        <w:tc>
          <w:tcPr>
            <w:tcW w:w="1750" w:type="pct"/>
            <w:vMerge w:val="restart"/>
            <w:tcBorders>
              <w:top w:val="single" w:sz="4" w:space="0" w:color="auto"/>
              <w:left w:val="nil"/>
              <w:right w:val="nil"/>
            </w:tcBorders>
            <w:shd w:val="clear" w:color="auto" w:fill="auto"/>
            <w:vAlign w:val="center"/>
          </w:tcPr>
          <w:p w14:paraId="51E00792" w14:textId="77777777" w:rsidR="004C0483" w:rsidRPr="002E707A" w:rsidRDefault="004C0483" w:rsidP="00A1791E">
            <w:pPr>
              <w:jc w:val="center"/>
              <w:rPr>
                <w:b/>
                <w:sz w:val="20"/>
                <w:szCs w:val="20"/>
                <w:lang w:val="pt-BR"/>
              </w:rPr>
            </w:pPr>
            <w:r w:rsidRPr="002E707A">
              <w:rPr>
                <w:b/>
                <w:sz w:val="20"/>
                <w:szCs w:val="20"/>
                <w:lang w:val="pt-BR"/>
              </w:rPr>
              <w:t>Categorias</w:t>
            </w:r>
          </w:p>
        </w:tc>
        <w:tc>
          <w:tcPr>
            <w:tcW w:w="805" w:type="pct"/>
            <w:gridSpan w:val="2"/>
            <w:tcBorders>
              <w:top w:val="single" w:sz="4" w:space="0" w:color="auto"/>
              <w:left w:val="nil"/>
              <w:bottom w:val="single" w:sz="4" w:space="0" w:color="auto"/>
              <w:right w:val="nil"/>
            </w:tcBorders>
            <w:shd w:val="clear" w:color="auto" w:fill="auto"/>
            <w:vAlign w:val="center"/>
          </w:tcPr>
          <w:p w14:paraId="1A8F5E88" w14:textId="77777777" w:rsidR="004C0483" w:rsidRPr="002E707A" w:rsidRDefault="004C0483" w:rsidP="00A1791E">
            <w:pPr>
              <w:jc w:val="center"/>
              <w:rPr>
                <w:b/>
                <w:iCs/>
                <w:sz w:val="20"/>
                <w:szCs w:val="20"/>
                <w:lang w:val="pt-BR"/>
              </w:rPr>
            </w:pPr>
            <w:r w:rsidRPr="002E707A">
              <w:rPr>
                <w:b/>
                <w:iCs/>
                <w:sz w:val="20"/>
                <w:szCs w:val="20"/>
                <w:lang w:val="pt-BR"/>
              </w:rPr>
              <w:t>BC/F¹</w:t>
            </w:r>
          </w:p>
          <w:p w14:paraId="092A4FDE" w14:textId="77777777" w:rsidR="004C0483" w:rsidRPr="002E707A" w:rsidRDefault="004C0483" w:rsidP="00A1791E">
            <w:pPr>
              <w:jc w:val="center"/>
              <w:rPr>
                <w:b/>
                <w:iCs/>
                <w:sz w:val="20"/>
                <w:szCs w:val="20"/>
                <w:lang w:val="pt-BR"/>
              </w:rPr>
            </w:pPr>
            <w:r w:rsidRPr="002E707A">
              <w:rPr>
                <w:b/>
                <w:iCs/>
                <w:sz w:val="20"/>
                <w:szCs w:val="20"/>
                <w:lang w:val="pt-BR"/>
              </w:rPr>
              <w:t>(n = 225)</w:t>
            </w:r>
          </w:p>
        </w:tc>
        <w:tc>
          <w:tcPr>
            <w:tcW w:w="806" w:type="pct"/>
            <w:gridSpan w:val="2"/>
            <w:tcBorders>
              <w:top w:val="single" w:sz="4" w:space="0" w:color="auto"/>
              <w:left w:val="nil"/>
              <w:bottom w:val="single" w:sz="4" w:space="0" w:color="auto"/>
              <w:right w:val="nil"/>
            </w:tcBorders>
            <w:shd w:val="clear" w:color="auto" w:fill="auto"/>
          </w:tcPr>
          <w:p w14:paraId="37469D90" w14:textId="77777777" w:rsidR="004C0483" w:rsidRPr="002E707A" w:rsidRDefault="004C0483" w:rsidP="00A1791E">
            <w:pPr>
              <w:jc w:val="center"/>
              <w:rPr>
                <w:b/>
                <w:iCs/>
                <w:sz w:val="20"/>
                <w:szCs w:val="20"/>
                <w:lang w:val="pt-BR"/>
              </w:rPr>
            </w:pPr>
            <w:r w:rsidRPr="002E707A">
              <w:rPr>
                <w:b/>
                <w:iCs/>
                <w:sz w:val="20"/>
                <w:szCs w:val="20"/>
                <w:lang w:val="pt-BR"/>
              </w:rPr>
              <w:t>AC/F²</w:t>
            </w:r>
          </w:p>
          <w:p w14:paraId="2B1773B5" w14:textId="77777777" w:rsidR="004C0483" w:rsidRPr="002E707A" w:rsidRDefault="004C0483" w:rsidP="00A1791E">
            <w:pPr>
              <w:jc w:val="center"/>
              <w:rPr>
                <w:b/>
                <w:iCs/>
                <w:sz w:val="20"/>
                <w:szCs w:val="20"/>
                <w:lang w:val="pt-BR"/>
              </w:rPr>
            </w:pPr>
            <w:r w:rsidRPr="002E707A">
              <w:rPr>
                <w:b/>
                <w:iCs/>
                <w:sz w:val="20"/>
                <w:szCs w:val="20"/>
                <w:lang w:val="pt-BR"/>
              </w:rPr>
              <w:t>(n = 144)</w:t>
            </w:r>
          </w:p>
        </w:tc>
        <w:tc>
          <w:tcPr>
            <w:tcW w:w="805" w:type="pct"/>
            <w:gridSpan w:val="2"/>
            <w:tcBorders>
              <w:top w:val="single" w:sz="4" w:space="0" w:color="auto"/>
              <w:left w:val="nil"/>
              <w:bottom w:val="single" w:sz="4" w:space="0" w:color="auto"/>
              <w:right w:val="single" w:sz="2" w:space="0" w:color="auto"/>
            </w:tcBorders>
            <w:shd w:val="clear" w:color="auto" w:fill="auto"/>
          </w:tcPr>
          <w:p w14:paraId="3DBEAACA" w14:textId="77777777" w:rsidR="004C0483" w:rsidRPr="002E707A" w:rsidRDefault="004C0483" w:rsidP="00A1791E">
            <w:pPr>
              <w:jc w:val="center"/>
              <w:rPr>
                <w:b/>
                <w:iCs/>
                <w:sz w:val="20"/>
                <w:szCs w:val="20"/>
                <w:lang w:val="pt-BR"/>
              </w:rPr>
            </w:pPr>
            <w:r w:rsidRPr="002E707A">
              <w:rPr>
                <w:b/>
                <w:iCs/>
                <w:sz w:val="20"/>
                <w:szCs w:val="20"/>
                <w:lang w:val="pt-BR"/>
              </w:rPr>
              <w:t>BC/I³</w:t>
            </w:r>
          </w:p>
          <w:p w14:paraId="56AADE86" w14:textId="77777777" w:rsidR="004C0483" w:rsidRPr="002E707A" w:rsidRDefault="004C0483" w:rsidP="00A1791E">
            <w:pPr>
              <w:jc w:val="center"/>
              <w:rPr>
                <w:b/>
                <w:iCs/>
                <w:sz w:val="20"/>
                <w:szCs w:val="20"/>
                <w:lang w:val="pt-BR"/>
              </w:rPr>
            </w:pPr>
            <w:r w:rsidRPr="002E707A">
              <w:rPr>
                <w:b/>
                <w:iCs/>
                <w:sz w:val="20"/>
                <w:szCs w:val="20"/>
                <w:lang w:val="pt-BR"/>
              </w:rPr>
              <w:t>(n = 15)</w:t>
            </w:r>
          </w:p>
        </w:tc>
      </w:tr>
      <w:tr w:rsidR="004C0483" w:rsidRPr="002E707A" w14:paraId="5D31EEEA" w14:textId="77777777" w:rsidTr="00A1791E">
        <w:trPr>
          <w:trHeight w:val="344"/>
          <w:jc w:val="center"/>
        </w:trPr>
        <w:tc>
          <w:tcPr>
            <w:tcW w:w="834" w:type="pct"/>
            <w:vMerge/>
            <w:tcBorders>
              <w:top w:val="single" w:sz="12" w:space="0" w:color="auto"/>
              <w:left w:val="nil"/>
              <w:right w:val="nil"/>
            </w:tcBorders>
            <w:shd w:val="clear" w:color="auto" w:fill="auto"/>
            <w:vAlign w:val="center"/>
          </w:tcPr>
          <w:p w14:paraId="2EE69391" w14:textId="77777777" w:rsidR="004C0483" w:rsidRPr="002E707A" w:rsidRDefault="004C0483" w:rsidP="00A1791E">
            <w:pPr>
              <w:jc w:val="center"/>
              <w:rPr>
                <w:b/>
                <w:sz w:val="20"/>
                <w:szCs w:val="20"/>
                <w:lang w:val="pt-BR"/>
              </w:rPr>
            </w:pPr>
          </w:p>
        </w:tc>
        <w:tc>
          <w:tcPr>
            <w:tcW w:w="1750" w:type="pct"/>
            <w:vMerge/>
            <w:tcBorders>
              <w:top w:val="single" w:sz="12" w:space="0" w:color="auto"/>
              <w:left w:val="nil"/>
              <w:right w:val="nil"/>
            </w:tcBorders>
            <w:shd w:val="clear" w:color="auto" w:fill="auto"/>
            <w:vAlign w:val="center"/>
          </w:tcPr>
          <w:p w14:paraId="5EB7E27D" w14:textId="77777777" w:rsidR="004C0483" w:rsidRPr="002E707A" w:rsidRDefault="004C0483" w:rsidP="00A1791E">
            <w:pPr>
              <w:jc w:val="center"/>
              <w:rPr>
                <w:b/>
                <w:sz w:val="20"/>
                <w:szCs w:val="20"/>
                <w:lang w:val="pt-BR"/>
              </w:rPr>
            </w:pPr>
          </w:p>
        </w:tc>
        <w:tc>
          <w:tcPr>
            <w:tcW w:w="402" w:type="pct"/>
            <w:tcBorders>
              <w:top w:val="single" w:sz="4" w:space="0" w:color="auto"/>
              <w:left w:val="nil"/>
              <w:right w:val="nil"/>
            </w:tcBorders>
            <w:shd w:val="clear" w:color="auto" w:fill="auto"/>
            <w:vAlign w:val="center"/>
          </w:tcPr>
          <w:p w14:paraId="4F78B3D2" w14:textId="77777777" w:rsidR="004C0483" w:rsidRPr="002E707A" w:rsidRDefault="004C0483" w:rsidP="00A1791E">
            <w:pPr>
              <w:jc w:val="center"/>
              <w:rPr>
                <w:b/>
                <w:i/>
                <w:sz w:val="20"/>
                <w:szCs w:val="20"/>
                <w:lang w:val="pt-BR"/>
              </w:rPr>
            </w:pPr>
            <w:r w:rsidRPr="002E707A">
              <w:rPr>
                <w:b/>
                <w:i/>
                <w:sz w:val="20"/>
                <w:szCs w:val="20"/>
                <w:lang w:val="pt-BR"/>
              </w:rPr>
              <w:t>f</w:t>
            </w:r>
          </w:p>
        </w:tc>
        <w:tc>
          <w:tcPr>
            <w:tcW w:w="403" w:type="pct"/>
            <w:tcBorders>
              <w:top w:val="single" w:sz="4" w:space="0" w:color="auto"/>
              <w:left w:val="nil"/>
              <w:right w:val="nil"/>
            </w:tcBorders>
            <w:shd w:val="clear" w:color="auto" w:fill="auto"/>
            <w:vAlign w:val="center"/>
          </w:tcPr>
          <w:p w14:paraId="64975408" w14:textId="77777777" w:rsidR="004C0483" w:rsidRPr="002E707A" w:rsidRDefault="004C0483" w:rsidP="00A1791E">
            <w:pPr>
              <w:jc w:val="center"/>
              <w:rPr>
                <w:b/>
                <w:i/>
                <w:sz w:val="20"/>
                <w:szCs w:val="20"/>
                <w:lang w:val="pt-BR"/>
              </w:rPr>
            </w:pPr>
            <w:r w:rsidRPr="002E707A">
              <w:rPr>
                <w:b/>
                <w:i/>
                <w:sz w:val="20"/>
                <w:szCs w:val="20"/>
                <w:lang w:val="pt-BR"/>
              </w:rPr>
              <w:t>%</w:t>
            </w:r>
          </w:p>
        </w:tc>
        <w:tc>
          <w:tcPr>
            <w:tcW w:w="403" w:type="pct"/>
            <w:tcBorders>
              <w:top w:val="single" w:sz="4" w:space="0" w:color="auto"/>
              <w:left w:val="nil"/>
              <w:right w:val="nil"/>
            </w:tcBorders>
            <w:shd w:val="clear" w:color="auto" w:fill="auto"/>
            <w:vAlign w:val="center"/>
          </w:tcPr>
          <w:p w14:paraId="1C7FA175" w14:textId="77777777" w:rsidR="004C0483" w:rsidRPr="002E707A" w:rsidRDefault="004C0483" w:rsidP="00A1791E">
            <w:pPr>
              <w:jc w:val="center"/>
              <w:rPr>
                <w:b/>
                <w:i/>
                <w:sz w:val="20"/>
                <w:szCs w:val="20"/>
                <w:lang w:val="pt-BR"/>
              </w:rPr>
            </w:pPr>
            <w:r w:rsidRPr="002E707A">
              <w:rPr>
                <w:b/>
                <w:i/>
                <w:sz w:val="20"/>
                <w:szCs w:val="20"/>
                <w:lang w:val="pt-BR"/>
              </w:rPr>
              <w:t>f</w:t>
            </w:r>
          </w:p>
        </w:tc>
        <w:tc>
          <w:tcPr>
            <w:tcW w:w="403" w:type="pct"/>
            <w:tcBorders>
              <w:top w:val="single" w:sz="4" w:space="0" w:color="auto"/>
              <w:left w:val="nil"/>
              <w:right w:val="nil"/>
            </w:tcBorders>
            <w:shd w:val="clear" w:color="auto" w:fill="auto"/>
            <w:vAlign w:val="center"/>
          </w:tcPr>
          <w:p w14:paraId="6761C438" w14:textId="77777777" w:rsidR="004C0483" w:rsidRPr="002E707A" w:rsidRDefault="004C0483" w:rsidP="00A1791E">
            <w:pPr>
              <w:jc w:val="center"/>
              <w:rPr>
                <w:b/>
                <w:i/>
                <w:sz w:val="20"/>
                <w:szCs w:val="20"/>
                <w:lang w:val="pt-BR"/>
              </w:rPr>
            </w:pPr>
            <w:r w:rsidRPr="002E707A">
              <w:rPr>
                <w:b/>
                <w:i/>
                <w:sz w:val="20"/>
                <w:szCs w:val="20"/>
                <w:lang w:val="pt-BR"/>
              </w:rPr>
              <w:t>%</w:t>
            </w:r>
          </w:p>
        </w:tc>
        <w:tc>
          <w:tcPr>
            <w:tcW w:w="403" w:type="pct"/>
            <w:tcBorders>
              <w:top w:val="single" w:sz="4" w:space="0" w:color="auto"/>
              <w:left w:val="nil"/>
              <w:right w:val="nil"/>
            </w:tcBorders>
            <w:shd w:val="clear" w:color="auto" w:fill="auto"/>
            <w:vAlign w:val="center"/>
          </w:tcPr>
          <w:p w14:paraId="2CB17375" w14:textId="77777777" w:rsidR="004C0483" w:rsidRPr="002E707A" w:rsidRDefault="004C0483" w:rsidP="00A1791E">
            <w:pPr>
              <w:jc w:val="center"/>
              <w:rPr>
                <w:b/>
                <w:i/>
                <w:sz w:val="20"/>
                <w:szCs w:val="20"/>
                <w:lang w:val="pt-BR"/>
              </w:rPr>
            </w:pPr>
            <w:r w:rsidRPr="002E707A">
              <w:rPr>
                <w:b/>
                <w:i/>
                <w:sz w:val="20"/>
                <w:szCs w:val="20"/>
                <w:lang w:val="pt-BR"/>
              </w:rPr>
              <w:t>f</w:t>
            </w:r>
          </w:p>
        </w:tc>
        <w:tc>
          <w:tcPr>
            <w:tcW w:w="402" w:type="pct"/>
            <w:tcBorders>
              <w:top w:val="single" w:sz="4" w:space="0" w:color="auto"/>
              <w:left w:val="nil"/>
              <w:right w:val="single" w:sz="2" w:space="0" w:color="auto"/>
            </w:tcBorders>
            <w:shd w:val="clear" w:color="auto" w:fill="auto"/>
            <w:vAlign w:val="center"/>
          </w:tcPr>
          <w:p w14:paraId="2EA7248D" w14:textId="77777777" w:rsidR="004C0483" w:rsidRPr="002E707A" w:rsidRDefault="004C0483" w:rsidP="00A1791E">
            <w:pPr>
              <w:jc w:val="center"/>
              <w:rPr>
                <w:b/>
                <w:i/>
                <w:sz w:val="20"/>
                <w:szCs w:val="20"/>
                <w:lang w:val="pt-BR"/>
              </w:rPr>
            </w:pPr>
            <w:r w:rsidRPr="002E707A">
              <w:rPr>
                <w:b/>
                <w:i/>
                <w:sz w:val="20"/>
                <w:szCs w:val="20"/>
                <w:lang w:val="pt-BR"/>
              </w:rPr>
              <w:t>%</w:t>
            </w:r>
          </w:p>
        </w:tc>
      </w:tr>
      <w:tr w:rsidR="004C0483" w:rsidRPr="002E707A" w14:paraId="52DB8789" w14:textId="77777777" w:rsidTr="00A1791E">
        <w:trPr>
          <w:trHeight w:val="20"/>
          <w:jc w:val="center"/>
        </w:trPr>
        <w:tc>
          <w:tcPr>
            <w:tcW w:w="834" w:type="pct"/>
            <w:vMerge w:val="restart"/>
            <w:tcBorders>
              <w:top w:val="nil"/>
              <w:left w:val="nil"/>
              <w:right w:val="nil"/>
            </w:tcBorders>
            <w:shd w:val="clear" w:color="auto" w:fill="auto"/>
            <w:vAlign w:val="center"/>
          </w:tcPr>
          <w:p w14:paraId="5FA781F7" w14:textId="77777777" w:rsidR="004C0483" w:rsidRPr="002E707A" w:rsidRDefault="004C0483" w:rsidP="00A1791E">
            <w:pPr>
              <w:rPr>
                <w:b/>
                <w:sz w:val="20"/>
                <w:szCs w:val="20"/>
                <w:lang w:val="pt-BR"/>
              </w:rPr>
            </w:pPr>
            <w:r w:rsidRPr="002E707A">
              <w:rPr>
                <w:b/>
                <w:sz w:val="20"/>
                <w:szCs w:val="20"/>
                <w:lang w:val="pt-BR"/>
              </w:rPr>
              <w:t>Gênero</w:t>
            </w:r>
          </w:p>
        </w:tc>
        <w:tc>
          <w:tcPr>
            <w:tcW w:w="1750" w:type="pct"/>
            <w:tcBorders>
              <w:top w:val="nil"/>
              <w:left w:val="nil"/>
              <w:bottom w:val="nil"/>
              <w:right w:val="nil"/>
            </w:tcBorders>
            <w:shd w:val="clear" w:color="auto" w:fill="auto"/>
          </w:tcPr>
          <w:p w14:paraId="3831BD58" w14:textId="77777777" w:rsidR="004C0483" w:rsidRPr="002E707A" w:rsidRDefault="004C0483" w:rsidP="00A1791E">
            <w:pPr>
              <w:rPr>
                <w:sz w:val="20"/>
                <w:szCs w:val="20"/>
                <w:lang w:val="pt-BR"/>
              </w:rPr>
            </w:pPr>
            <w:r w:rsidRPr="002E707A">
              <w:rPr>
                <w:sz w:val="20"/>
                <w:szCs w:val="20"/>
                <w:lang w:val="pt-BR"/>
              </w:rPr>
              <w:t>Masculino</w:t>
            </w:r>
          </w:p>
        </w:tc>
        <w:tc>
          <w:tcPr>
            <w:tcW w:w="402" w:type="pct"/>
            <w:tcBorders>
              <w:left w:val="nil"/>
              <w:bottom w:val="nil"/>
              <w:right w:val="nil"/>
            </w:tcBorders>
            <w:shd w:val="clear" w:color="auto" w:fill="auto"/>
          </w:tcPr>
          <w:p w14:paraId="67399FEC" w14:textId="77777777" w:rsidR="004C0483" w:rsidRPr="002E707A" w:rsidRDefault="004C0483" w:rsidP="00A1791E">
            <w:pPr>
              <w:jc w:val="center"/>
              <w:rPr>
                <w:sz w:val="20"/>
                <w:szCs w:val="20"/>
                <w:lang w:val="pt-BR"/>
              </w:rPr>
            </w:pPr>
            <w:r w:rsidRPr="002E707A">
              <w:rPr>
                <w:sz w:val="20"/>
                <w:szCs w:val="20"/>
                <w:lang w:val="pt-BR"/>
              </w:rPr>
              <w:t>120</w:t>
            </w:r>
          </w:p>
        </w:tc>
        <w:tc>
          <w:tcPr>
            <w:tcW w:w="403" w:type="pct"/>
            <w:tcBorders>
              <w:left w:val="nil"/>
              <w:bottom w:val="nil"/>
              <w:right w:val="nil"/>
            </w:tcBorders>
            <w:shd w:val="clear" w:color="auto" w:fill="auto"/>
          </w:tcPr>
          <w:p w14:paraId="28B92177" w14:textId="77777777" w:rsidR="004C0483" w:rsidRPr="002E707A" w:rsidRDefault="004C0483" w:rsidP="00A1791E">
            <w:pPr>
              <w:jc w:val="center"/>
              <w:rPr>
                <w:sz w:val="20"/>
                <w:szCs w:val="20"/>
                <w:lang w:val="pt-BR"/>
              </w:rPr>
            </w:pPr>
            <w:r w:rsidRPr="002E707A">
              <w:rPr>
                <w:sz w:val="20"/>
                <w:szCs w:val="20"/>
                <w:lang w:val="pt-BR"/>
              </w:rPr>
              <w:t>53,3</w:t>
            </w:r>
          </w:p>
        </w:tc>
        <w:tc>
          <w:tcPr>
            <w:tcW w:w="403" w:type="pct"/>
            <w:tcBorders>
              <w:left w:val="nil"/>
              <w:bottom w:val="nil"/>
              <w:right w:val="nil"/>
            </w:tcBorders>
            <w:shd w:val="clear" w:color="auto" w:fill="auto"/>
          </w:tcPr>
          <w:p w14:paraId="614587F4" w14:textId="77777777" w:rsidR="004C0483" w:rsidRPr="002E707A" w:rsidRDefault="004C0483" w:rsidP="00A1791E">
            <w:pPr>
              <w:jc w:val="center"/>
              <w:rPr>
                <w:sz w:val="20"/>
                <w:szCs w:val="20"/>
                <w:lang w:val="pt-BR"/>
              </w:rPr>
            </w:pPr>
            <w:r w:rsidRPr="002E707A">
              <w:rPr>
                <w:sz w:val="20"/>
                <w:szCs w:val="20"/>
                <w:lang w:val="pt-BR"/>
              </w:rPr>
              <w:t>83</w:t>
            </w:r>
          </w:p>
        </w:tc>
        <w:tc>
          <w:tcPr>
            <w:tcW w:w="403" w:type="pct"/>
            <w:tcBorders>
              <w:left w:val="nil"/>
              <w:bottom w:val="nil"/>
              <w:right w:val="nil"/>
            </w:tcBorders>
            <w:shd w:val="clear" w:color="auto" w:fill="auto"/>
          </w:tcPr>
          <w:p w14:paraId="437D7E8C" w14:textId="77777777" w:rsidR="004C0483" w:rsidRPr="002E707A" w:rsidRDefault="004C0483" w:rsidP="00A1791E">
            <w:pPr>
              <w:jc w:val="center"/>
              <w:rPr>
                <w:sz w:val="20"/>
                <w:szCs w:val="20"/>
                <w:lang w:val="pt-BR"/>
              </w:rPr>
            </w:pPr>
            <w:r w:rsidRPr="002E707A">
              <w:rPr>
                <w:sz w:val="20"/>
                <w:szCs w:val="20"/>
                <w:lang w:val="pt-BR"/>
              </w:rPr>
              <w:t>57,6</w:t>
            </w:r>
          </w:p>
        </w:tc>
        <w:tc>
          <w:tcPr>
            <w:tcW w:w="403" w:type="pct"/>
            <w:tcBorders>
              <w:left w:val="nil"/>
              <w:bottom w:val="nil"/>
              <w:right w:val="nil"/>
            </w:tcBorders>
            <w:shd w:val="clear" w:color="auto" w:fill="auto"/>
          </w:tcPr>
          <w:p w14:paraId="406C91B5" w14:textId="77777777" w:rsidR="004C0483" w:rsidRPr="002E707A" w:rsidRDefault="004C0483" w:rsidP="00A1791E">
            <w:pPr>
              <w:jc w:val="center"/>
              <w:rPr>
                <w:sz w:val="20"/>
                <w:szCs w:val="20"/>
                <w:lang w:val="pt-BR"/>
              </w:rPr>
            </w:pPr>
            <w:r w:rsidRPr="002E707A">
              <w:rPr>
                <w:sz w:val="20"/>
                <w:szCs w:val="20"/>
                <w:lang w:val="pt-BR"/>
              </w:rPr>
              <w:t>6</w:t>
            </w:r>
          </w:p>
        </w:tc>
        <w:tc>
          <w:tcPr>
            <w:tcW w:w="402" w:type="pct"/>
            <w:tcBorders>
              <w:left w:val="nil"/>
              <w:bottom w:val="nil"/>
              <w:right w:val="nil"/>
            </w:tcBorders>
            <w:shd w:val="clear" w:color="auto" w:fill="auto"/>
          </w:tcPr>
          <w:p w14:paraId="201EA638" w14:textId="77777777" w:rsidR="004C0483" w:rsidRPr="002E707A" w:rsidRDefault="004C0483" w:rsidP="00A1791E">
            <w:pPr>
              <w:jc w:val="center"/>
              <w:rPr>
                <w:sz w:val="20"/>
                <w:szCs w:val="20"/>
                <w:lang w:val="pt-BR"/>
              </w:rPr>
            </w:pPr>
            <w:r w:rsidRPr="002E707A">
              <w:rPr>
                <w:sz w:val="20"/>
                <w:szCs w:val="20"/>
                <w:lang w:val="pt-BR"/>
              </w:rPr>
              <w:t>40</w:t>
            </w:r>
          </w:p>
        </w:tc>
      </w:tr>
      <w:tr w:rsidR="004C0483" w:rsidRPr="002E707A" w14:paraId="76380184" w14:textId="77777777" w:rsidTr="00A1791E">
        <w:trPr>
          <w:trHeight w:val="20"/>
          <w:jc w:val="center"/>
        </w:trPr>
        <w:tc>
          <w:tcPr>
            <w:tcW w:w="834" w:type="pct"/>
            <w:vMerge/>
            <w:tcBorders>
              <w:left w:val="nil"/>
              <w:right w:val="nil"/>
            </w:tcBorders>
            <w:shd w:val="clear" w:color="auto" w:fill="auto"/>
            <w:vAlign w:val="center"/>
          </w:tcPr>
          <w:p w14:paraId="4AEB80C4" w14:textId="77777777" w:rsidR="004C0483" w:rsidRPr="002E707A" w:rsidRDefault="004C0483" w:rsidP="00A1791E">
            <w:pPr>
              <w:rPr>
                <w:b/>
                <w:sz w:val="20"/>
                <w:szCs w:val="20"/>
                <w:lang w:val="pt-BR"/>
              </w:rPr>
            </w:pPr>
          </w:p>
        </w:tc>
        <w:tc>
          <w:tcPr>
            <w:tcW w:w="1750" w:type="pct"/>
            <w:tcBorders>
              <w:top w:val="nil"/>
              <w:left w:val="nil"/>
              <w:bottom w:val="nil"/>
              <w:right w:val="nil"/>
            </w:tcBorders>
            <w:shd w:val="clear" w:color="auto" w:fill="auto"/>
          </w:tcPr>
          <w:p w14:paraId="47B7AB8E" w14:textId="77777777" w:rsidR="004C0483" w:rsidRPr="002E707A" w:rsidRDefault="004C0483" w:rsidP="00A1791E">
            <w:pPr>
              <w:rPr>
                <w:sz w:val="20"/>
                <w:szCs w:val="20"/>
                <w:lang w:val="pt-BR"/>
              </w:rPr>
            </w:pPr>
            <w:r w:rsidRPr="002E707A">
              <w:rPr>
                <w:sz w:val="20"/>
                <w:szCs w:val="20"/>
                <w:lang w:val="pt-BR"/>
              </w:rPr>
              <w:t>Feminino</w:t>
            </w:r>
          </w:p>
        </w:tc>
        <w:tc>
          <w:tcPr>
            <w:tcW w:w="402" w:type="pct"/>
            <w:tcBorders>
              <w:top w:val="nil"/>
              <w:left w:val="nil"/>
              <w:bottom w:val="nil"/>
              <w:right w:val="nil"/>
            </w:tcBorders>
            <w:shd w:val="clear" w:color="auto" w:fill="auto"/>
          </w:tcPr>
          <w:p w14:paraId="6C3D43F2" w14:textId="77777777" w:rsidR="004C0483" w:rsidRPr="002E707A" w:rsidRDefault="004C0483" w:rsidP="00A1791E">
            <w:pPr>
              <w:jc w:val="center"/>
              <w:rPr>
                <w:sz w:val="20"/>
                <w:szCs w:val="20"/>
                <w:lang w:val="pt-BR"/>
              </w:rPr>
            </w:pPr>
            <w:r w:rsidRPr="002E707A">
              <w:rPr>
                <w:sz w:val="20"/>
                <w:szCs w:val="20"/>
                <w:lang w:val="pt-BR"/>
              </w:rPr>
              <w:t>104</w:t>
            </w:r>
          </w:p>
        </w:tc>
        <w:tc>
          <w:tcPr>
            <w:tcW w:w="403" w:type="pct"/>
            <w:tcBorders>
              <w:top w:val="nil"/>
              <w:left w:val="nil"/>
              <w:bottom w:val="nil"/>
              <w:right w:val="nil"/>
            </w:tcBorders>
            <w:shd w:val="clear" w:color="auto" w:fill="auto"/>
          </w:tcPr>
          <w:p w14:paraId="05648132" w14:textId="77777777" w:rsidR="004C0483" w:rsidRPr="002E707A" w:rsidRDefault="004C0483" w:rsidP="00A1791E">
            <w:pPr>
              <w:jc w:val="center"/>
              <w:rPr>
                <w:sz w:val="20"/>
                <w:szCs w:val="20"/>
                <w:lang w:val="pt-BR"/>
              </w:rPr>
            </w:pPr>
            <w:r w:rsidRPr="002E707A">
              <w:rPr>
                <w:sz w:val="20"/>
                <w:szCs w:val="20"/>
                <w:lang w:val="pt-BR"/>
              </w:rPr>
              <w:t>46,2</w:t>
            </w:r>
          </w:p>
        </w:tc>
        <w:tc>
          <w:tcPr>
            <w:tcW w:w="403" w:type="pct"/>
            <w:tcBorders>
              <w:top w:val="nil"/>
              <w:left w:val="nil"/>
              <w:bottom w:val="nil"/>
              <w:right w:val="nil"/>
            </w:tcBorders>
            <w:shd w:val="clear" w:color="auto" w:fill="auto"/>
          </w:tcPr>
          <w:p w14:paraId="7BBD0C63" w14:textId="77777777" w:rsidR="004C0483" w:rsidRPr="002E707A" w:rsidRDefault="004C0483" w:rsidP="00A1791E">
            <w:pPr>
              <w:jc w:val="center"/>
              <w:rPr>
                <w:sz w:val="20"/>
                <w:szCs w:val="20"/>
                <w:lang w:val="pt-BR"/>
              </w:rPr>
            </w:pPr>
            <w:r w:rsidRPr="002E707A">
              <w:rPr>
                <w:sz w:val="20"/>
                <w:szCs w:val="20"/>
                <w:lang w:val="pt-BR"/>
              </w:rPr>
              <w:t>58</w:t>
            </w:r>
          </w:p>
        </w:tc>
        <w:tc>
          <w:tcPr>
            <w:tcW w:w="403" w:type="pct"/>
            <w:tcBorders>
              <w:top w:val="nil"/>
              <w:left w:val="nil"/>
              <w:bottom w:val="nil"/>
              <w:right w:val="nil"/>
            </w:tcBorders>
            <w:shd w:val="clear" w:color="auto" w:fill="auto"/>
          </w:tcPr>
          <w:p w14:paraId="1E913F22" w14:textId="77777777" w:rsidR="004C0483" w:rsidRPr="002E707A" w:rsidRDefault="004C0483" w:rsidP="00A1791E">
            <w:pPr>
              <w:jc w:val="center"/>
              <w:rPr>
                <w:sz w:val="20"/>
                <w:szCs w:val="20"/>
                <w:lang w:val="pt-BR"/>
              </w:rPr>
            </w:pPr>
            <w:r w:rsidRPr="002E707A">
              <w:rPr>
                <w:sz w:val="20"/>
                <w:szCs w:val="20"/>
                <w:lang w:val="pt-BR"/>
              </w:rPr>
              <w:t>40,3</w:t>
            </w:r>
          </w:p>
        </w:tc>
        <w:tc>
          <w:tcPr>
            <w:tcW w:w="403" w:type="pct"/>
            <w:tcBorders>
              <w:top w:val="nil"/>
              <w:left w:val="nil"/>
              <w:bottom w:val="nil"/>
              <w:right w:val="nil"/>
            </w:tcBorders>
            <w:shd w:val="clear" w:color="auto" w:fill="auto"/>
          </w:tcPr>
          <w:p w14:paraId="452FB6EB" w14:textId="77777777" w:rsidR="004C0483" w:rsidRPr="002E707A" w:rsidRDefault="004C0483" w:rsidP="00A1791E">
            <w:pPr>
              <w:jc w:val="center"/>
              <w:rPr>
                <w:sz w:val="20"/>
                <w:szCs w:val="20"/>
                <w:lang w:val="pt-BR"/>
              </w:rPr>
            </w:pPr>
            <w:r w:rsidRPr="002E707A">
              <w:rPr>
                <w:sz w:val="20"/>
                <w:szCs w:val="20"/>
                <w:lang w:val="pt-BR"/>
              </w:rPr>
              <w:t>8</w:t>
            </w:r>
          </w:p>
        </w:tc>
        <w:tc>
          <w:tcPr>
            <w:tcW w:w="402" w:type="pct"/>
            <w:tcBorders>
              <w:top w:val="nil"/>
              <w:left w:val="nil"/>
              <w:bottom w:val="nil"/>
              <w:right w:val="nil"/>
            </w:tcBorders>
            <w:shd w:val="clear" w:color="auto" w:fill="auto"/>
          </w:tcPr>
          <w:p w14:paraId="52893EB8" w14:textId="77777777" w:rsidR="004C0483" w:rsidRPr="002E707A" w:rsidRDefault="004C0483" w:rsidP="00A1791E">
            <w:pPr>
              <w:jc w:val="center"/>
              <w:rPr>
                <w:sz w:val="20"/>
                <w:szCs w:val="20"/>
                <w:lang w:val="pt-BR"/>
              </w:rPr>
            </w:pPr>
            <w:r w:rsidRPr="002E707A">
              <w:rPr>
                <w:sz w:val="20"/>
                <w:szCs w:val="20"/>
                <w:lang w:val="pt-BR"/>
              </w:rPr>
              <w:t>53,3</w:t>
            </w:r>
          </w:p>
        </w:tc>
      </w:tr>
      <w:tr w:rsidR="004C0483" w:rsidRPr="002E707A" w14:paraId="434CE242" w14:textId="77777777" w:rsidTr="00A1791E">
        <w:trPr>
          <w:trHeight w:val="20"/>
          <w:jc w:val="center"/>
        </w:trPr>
        <w:tc>
          <w:tcPr>
            <w:tcW w:w="834" w:type="pct"/>
            <w:vMerge/>
            <w:tcBorders>
              <w:left w:val="nil"/>
              <w:bottom w:val="single" w:sz="2" w:space="0" w:color="auto"/>
              <w:right w:val="nil"/>
            </w:tcBorders>
            <w:shd w:val="clear" w:color="auto" w:fill="auto"/>
            <w:vAlign w:val="center"/>
          </w:tcPr>
          <w:p w14:paraId="5D9F1BA3" w14:textId="77777777" w:rsidR="004C0483" w:rsidRPr="002E707A" w:rsidRDefault="004C0483" w:rsidP="00A1791E">
            <w:pPr>
              <w:rPr>
                <w:b/>
                <w:sz w:val="20"/>
                <w:szCs w:val="20"/>
                <w:lang w:val="pt-BR"/>
              </w:rPr>
            </w:pPr>
          </w:p>
        </w:tc>
        <w:tc>
          <w:tcPr>
            <w:tcW w:w="1750" w:type="pct"/>
            <w:tcBorders>
              <w:top w:val="nil"/>
              <w:left w:val="nil"/>
              <w:bottom w:val="single" w:sz="2" w:space="0" w:color="auto"/>
              <w:right w:val="nil"/>
            </w:tcBorders>
            <w:shd w:val="clear" w:color="auto" w:fill="auto"/>
          </w:tcPr>
          <w:p w14:paraId="3BF431A1" w14:textId="77777777" w:rsidR="004C0483" w:rsidRPr="002E707A" w:rsidRDefault="004C0483" w:rsidP="00A1791E">
            <w:pPr>
              <w:rPr>
                <w:sz w:val="20"/>
                <w:szCs w:val="20"/>
                <w:lang w:val="pt-BR"/>
              </w:rPr>
            </w:pPr>
            <w:r w:rsidRPr="002E707A">
              <w:rPr>
                <w:sz w:val="20"/>
                <w:szCs w:val="20"/>
                <w:lang w:val="pt-BR"/>
              </w:rPr>
              <w:t>Não Binário</w:t>
            </w:r>
          </w:p>
        </w:tc>
        <w:tc>
          <w:tcPr>
            <w:tcW w:w="402" w:type="pct"/>
            <w:tcBorders>
              <w:top w:val="nil"/>
              <w:left w:val="nil"/>
              <w:bottom w:val="single" w:sz="2" w:space="0" w:color="auto"/>
              <w:right w:val="nil"/>
            </w:tcBorders>
            <w:shd w:val="clear" w:color="auto" w:fill="auto"/>
          </w:tcPr>
          <w:p w14:paraId="2220B92B" w14:textId="77777777" w:rsidR="004C0483" w:rsidRPr="002E707A" w:rsidRDefault="004C0483" w:rsidP="00A1791E">
            <w:pPr>
              <w:jc w:val="center"/>
              <w:rPr>
                <w:sz w:val="20"/>
                <w:szCs w:val="20"/>
                <w:lang w:val="pt-BR"/>
              </w:rPr>
            </w:pPr>
            <w:r w:rsidRPr="002E707A">
              <w:rPr>
                <w:sz w:val="20"/>
                <w:szCs w:val="20"/>
                <w:lang w:val="pt-BR"/>
              </w:rPr>
              <w:t>1</w:t>
            </w:r>
          </w:p>
        </w:tc>
        <w:tc>
          <w:tcPr>
            <w:tcW w:w="403" w:type="pct"/>
            <w:tcBorders>
              <w:top w:val="nil"/>
              <w:left w:val="nil"/>
              <w:bottom w:val="single" w:sz="2" w:space="0" w:color="auto"/>
              <w:right w:val="nil"/>
            </w:tcBorders>
            <w:shd w:val="clear" w:color="auto" w:fill="auto"/>
          </w:tcPr>
          <w:p w14:paraId="5C6C6BA1" w14:textId="77777777" w:rsidR="004C0483" w:rsidRPr="002E707A" w:rsidRDefault="004C0483" w:rsidP="00A1791E">
            <w:pPr>
              <w:jc w:val="center"/>
              <w:rPr>
                <w:sz w:val="20"/>
                <w:szCs w:val="20"/>
                <w:lang w:val="pt-BR"/>
              </w:rPr>
            </w:pPr>
            <w:r w:rsidRPr="002E707A">
              <w:rPr>
                <w:sz w:val="20"/>
                <w:szCs w:val="20"/>
                <w:lang w:val="pt-BR"/>
              </w:rPr>
              <w:t>0,4</w:t>
            </w:r>
          </w:p>
        </w:tc>
        <w:tc>
          <w:tcPr>
            <w:tcW w:w="403" w:type="pct"/>
            <w:tcBorders>
              <w:top w:val="nil"/>
              <w:left w:val="nil"/>
              <w:bottom w:val="single" w:sz="2" w:space="0" w:color="auto"/>
              <w:right w:val="nil"/>
            </w:tcBorders>
            <w:shd w:val="clear" w:color="auto" w:fill="auto"/>
          </w:tcPr>
          <w:p w14:paraId="4669E47E" w14:textId="77777777" w:rsidR="004C0483" w:rsidRPr="002E707A" w:rsidRDefault="004C0483" w:rsidP="00A1791E">
            <w:pPr>
              <w:jc w:val="center"/>
              <w:rPr>
                <w:sz w:val="20"/>
                <w:szCs w:val="20"/>
                <w:lang w:val="pt-BR"/>
              </w:rPr>
            </w:pPr>
            <w:r w:rsidRPr="002E707A">
              <w:rPr>
                <w:sz w:val="20"/>
                <w:szCs w:val="20"/>
                <w:lang w:val="pt-BR"/>
              </w:rPr>
              <w:t>3</w:t>
            </w:r>
          </w:p>
        </w:tc>
        <w:tc>
          <w:tcPr>
            <w:tcW w:w="403" w:type="pct"/>
            <w:tcBorders>
              <w:top w:val="nil"/>
              <w:left w:val="nil"/>
              <w:bottom w:val="single" w:sz="2" w:space="0" w:color="auto"/>
              <w:right w:val="nil"/>
            </w:tcBorders>
            <w:shd w:val="clear" w:color="auto" w:fill="auto"/>
          </w:tcPr>
          <w:p w14:paraId="676F89EA" w14:textId="77777777" w:rsidR="004C0483" w:rsidRPr="002E707A" w:rsidRDefault="004C0483" w:rsidP="00A1791E">
            <w:pPr>
              <w:jc w:val="center"/>
              <w:rPr>
                <w:sz w:val="20"/>
                <w:szCs w:val="20"/>
                <w:lang w:val="pt-BR"/>
              </w:rPr>
            </w:pPr>
            <w:r w:rsidRPr="002E707A">
              <w:rPr>
                <w:sz w:val="20"/>
                <w:szCs w:val="20"/>
                <w:lang w:val="pt-BR"/>
              </w:rPr>
              <w:t>2,1</w:t>
            </w:r>
          </w:p>
        </w:tc>
        <w:tc>
          <w:tcPr>
            <w:tcW w:w="403" w:type="pct"/>
            <w:tcBorders>
              <w:top w:val="nil"/>
              <w:left w:val="nil"/>
              <w:bottom w:val="single" w:sz="2" w:space="0" w:color="auto"/>
              <w:right w:val="nil"/>
            </w:tcBorders>
            <w:shd w:val="clear" w:color="auto" w:fill="auto"/>
          </w:tcPr>
          <w:p w14:paraId="3D0AD589" w14:textId="77777777" w:rsidR="004C0483" w:rsidRPr="002E707A" w:rsidRDefault="004C0483" w:rsidP="00A1791E">
            <w:pPr>
              <w:jc w:val="center"/>
              <w:rPr>
                <w:sz w:val="20"/>
                <w:szCs w:val="20"/>
                <w:lang w:val="pt-BR"/>
              </w:rPr>
            </w:pPr>
            <w:r w:rsidRPr="002E707A">
              <w:rPr>
                <w:sz w:val="20"/>
                <w:szCs w:val="20"/>
                <w:lang w:val="pt-BR"/>
              </w:rPr>
              <w:t>1</w:t>
            </w:r>
          </w:p>
        </w:tc>
        <w:tc>
          <w:tcPr>
            <w:tcW w:w="402" w:type="pct"/>
            <w:tcBorders>
              <w:top w:val="nil"/>
              <w:left w:val="nil"/>
              <w:bottom w:val="single" w:sz="2" w:space="0" w:color="auto"/>
              <w:right w:val="nil"/>
            </w:tcBorders>
            <w:shd w:val="clear" w:color="auto" w:fill="auto"/>
          </w:tcPr>
          <w:p w14:paraId="63AEC873" w14:textId="77777777" w:rsidR="004C0483" w:rsidRPr="002E707A" w:rsidRDefault="004C0483" w:rsidP="00A1791E">
            <w:pPr>
              <w:jc w:val="center"/>
              <w:rPr>
                <w:sz w:val="20"/>
                <w:szCs w:val="20"/>
                <w:lang w:val="pt-BR"/>
              </w:rPr>
            </w:pPr>
            <w:r w:rsidRPr="002E707A">
              <w:rPr>
                <w:sz w:val="20"/>
                <w:szCs w:val="20"/>
                <w:lang w:val="pt-BR"/>
              </w:rPr>
              <w:t>6,7</w:t>
            </w:r>
          </w:p>
        </w:tc>
      </w:tr>
      <w:tr w:rsidR="004C0483" w:rsidRPr="002E707A" w14:paraId="1DC61FD0" w14:textId="77777777" w:rsidTr="00A1791E">
        <w:trPr>
          <w:trHeight w:val="20"/>
          <w:jc w:val="center"/>
        </w:trPr>
        <w:tc>
          <w:tcPr>
            <w:tcW w:w="834" w:type="pct"/>
            <w:vMerge w:val="restart"/>
            <w:tcBorders>
              <w:top w:val="single" w:sz="2" w:space="0" w:color="auto"/>
              <w:left w:val="nil"/>
              <w:right w:val="nil"/>
            </w:tcBorders>
            <w:shd w:val="clear" w:color="auto" w:fill="auto"/>
            <w:vAlign w:val="center"/>
          </w:tcPr>
          <w:p w14:paraId="7790C8D4" w14:textId="77777777" w:rsidR="004C0483" w:rsidRPr="002E707A" w:rsidRDefault="004C0483" w:rsidP="00A1791E">
            <w:pPr>
              <w:rPr>
                <w:b/>
                <w:bCs/>
                <w:sz w:val="20"/>
                <w:szCs w:val="20"/>
                <w:lang w:val="pt-BR"/>
              </w:rPr>
            </w:pPr>
            <w:r w:rsidRPr="002E707A">
              <w:rPr>
                <w:b/>
                <w:bCs/>
                <w:sz w:val="20"/>
                <w:szCs w:val="20"/>
                <w:lang w:val="pt-BR"/>
              </w:rPr>
              <w:t>Etnia</w:t>
            </w:r>
          </w:p>
        </w:tc>
        <w:tc>
          <w:tcPr>
            <w:tcW w:w="1750" w:type="pct"/>
            <w:tcBorders>
              <w:top w:val="single" w:sz="2" w:space="0" w:color="auto"/>
              <w:left w:val="nil"/>
              <w:bottom w:val="nil"/>
              <w:right w:val="nil"/>
            </w:tcBorders>
            <w:shd w:val="clear" w:color="auto" w:fill="auto"/>
          </w:tcPr>
          <w:p w14:paraId="08755877" w14:textId="77777777" w:rsidR="004C0483" w:rsidRPr="002E707A" w:rsidRDefault="004C0483" w:rsidP="00A1791E">
            <w:pPr>
              <w:rPr>
                <w:sz w:val="20"/>
                <w:szCs w:val="20"/>
                <w:lang w:val="pt-BR"/>
              </w:rPr>
            </w:pPr>
            <w:r w:rsidRPr="002E707A">
              <w:rPr>
                <w:sz w:val="20"/>
                <w:szCs w:val="20"/>
                <w:lang w:val="pt-BR"/>
              </w:rPr>
              <w:t>Branco</w:t>
            </w:r>
          </w:p>
        </w:tc>
        <w:tc>
          <w:tcPr>
            <w:tcW w:w="402" w:type="pct"/>
            <w:tcBorders>
              <w:top w:val="single" w:sz="2" w:space="0" w:color="auto"/>
              <w:left w:val="nil"/>
              <w:bottom w:val="nil"/>
              <w:right w:val="nil"/>
            </w:tcBorders>
            <w:shd w:val="clear" w:color="auto" w:fill="auto"/>
          </w:tcPr>
          <w:p w14:paraId="18CF92FE" w14:textId="77777777" w:rsidR="004C0483" w:rsidRPr="002E707A" w:rsidRDefault="004C0483" w:rsidP="00A1791E">
            <w:pPr>
              <w:jc w:val="center"/>
              <w:rPr>
                <w:sz w:val="20"/>
                <w:szCs w:val="20"/>
                <w:lang w:val="pt-BR"/>
              </w:rPr>
            </w:pPr>
            <w:r w:rsidRPr="002E707A">
              <w:rPr>
                <w:sz w:val="20"/>
                <w:szCs w:val="20"/>
                <w:lang w:val="pt-BR"/>
              </w:rPr>
              <w:t>150</w:t>
            </w:r>
          </w:p>
        </w:tc>
        <w:tc>
          <w:tcPr>
            <w:tcW w:w="403" w:type="pct"/>
            <w:tcBorders>
              <w:top w:val="single" w:sz="2" w:space="0" w:color="auto"/>
              <w:left w:val="nil"/>
              <w:bottom w:val="nil"/>
              <w:right w:val="nil"/>
            </w:tcBorders>
            <w:shd w:val="clear" w:color="auto" w:fill="auto"/>
          </w:tcPr>
          <w:p w14:paraId="6E46D1DE" w14:textId="77777777" w:rsidR="004C0483" w:rsidRPr="002E707A" w:rsidRDefault="004C0483" w:rsidP="00A1791E">
            <w:pPr>
              <w:jc w:val="center"/>
              <w:rPr>
                <w:sz w:val="20"/>
                <w:szCs w:val="20"/>
                <w:lang w:val="pt-BR"/>
              </w:rPr>
            </w:pPr>
            <w:r w:rsidRPr="002E707A">
              <w:rPr>
                <w:sz w:val="20"/>
                <w:szCs w:val="20"/>
                <w:lang w:val="pt-BR"/>
              </w:rPr>
              <w:t>68,8</w:t>
            </w:r>
          </w:p>
        </w:tc>
        <w:tc>
          <w:tcPr>
            <w:tcW w:w="403" w:type="pct"/>
            <w:tcBorders>
              <w:top w:val="single" w:sz="2" w:space="0" w:color="auto"/>
              <w:left w:val="nil"/>
              <w:bottom w:val="nil"/>
              <w:right w:val="nil"/>
            </w:tcBorders>
            <w:shd w:val="clear" w:color="auto" w:fill="auto"/>
          </w:tcPr>
          <w:p w14:paraId="2DEE294F" w14:textId="77777777" w:rsidR="004C0483" w:rsidRPr="002E707A" w:rsidRDefault="004C0483" w:rsidP="00A1791E">
            <w:pPr>
              <w:jc w:val="center"/>
              <w:rPr>
                <w:sz w:val="20"/>
                <w:szCs w:val="20"/>
                <w:lang w:val="pt-BR"/>
              </w:rPr>
            </w:pPr>
            <w:r w:rsidRPr="002E707A">
              <w:rPr>
                <w:sz w:val="20"/>
                <w:szCs w:val="20"/>
                <w:lang w:val="pt-BR"/>
              </w:rPr>
              <w:t>93</w:t>
            </w:r>
          </w:p>
        </w:tc>
        <w:tc>
          <w:tcPr>
            <w:tcW w:w="403" w:type="pct"/>
            <w:tcBorders>
              <w:top w:val="single" w:sz="2" w:space="0" w:color="auto"/>
              <w:left w:val="nil"/>
              <w:bottom w:val="nil"/>
              <w:right w:val="nil"/>
            </w:tcBorders>
            <w:shd w:val="clear" w:color="auto" w:fill="auto"/>
          </w:tcPr>
          <w:p w14:paraId="24B398B0" w14:textId="77777777" w:rsidR="004C0483" w:rsidRPr="002E707A" w:rsidRDefault="004C0483" w:rsidP="00A1791E">
            <w:pPr>
              <w:jc w:val="center"/>
              <w:rPr>
                <w:sz w:val="20"/>
                <w:szCs w:val="20"/>
                <w:lang w:val="pt-BR"/>
              </w:rPr>
            </w:pPr>
            <w:r w:rsidRPr="002E707A">
              <w:rPr>
                <w:sz w:val="20"/>
                <w:szCs w:val="20"/>
                <w:lang w:val="pt-BR"/>
              </w:rPr>
              <w:t>64,6</w:t>
            </w:r>
          </w:p>
        </w:tc>
        <w:tc>
          <w:tcPr>
            <w:tcW w:w="403" w:type="pct"/>
            <w:tcBorders>
              <w:top w:val="single" w:sz="2" w:space="0" w:color="auto"/>
              <w:left w:val="nil"/>
              <w:bottom w:val="nil"/>
              <w:right w:val="nil"/>
            </w:tcBorders>
            <w:shd w:val="clear" w:color="auto" w:fill="auto"/>
          </w:tcPr>
          <w:p w14:paraId="18F55B60" w14:textId="77777777" w:rsidR="004C0483" w:rsidRPr="002E707A" w:rsidRDefault="004C0483" w:rsidP="00A1791E">
            <w:pPr>
              <w:jc w:val="center"/>
              <w:rPr>
                <w:sz w:val="20"/>
                <w:szCs w:val="20"/>
                <w:lang w:val="pt-BR"/>
              </w:rPr>
            </w:pPr>
            <w:r w:rsidRPr="002E707A">
              <w:rPr>
                <w:sz w:val="20"/>
                <w:szCs w:val="20"/>
                <w:lang w:val="pt-BR"/>
              </w:rPr>
              <w:t>9</w:t>
            </w:r>
          </w:p>
        </w:tc>
        <w:tc>
          <w:tcPr>
            <w:tcW w:w="402" w:type="pct"/>
            <w:tcBorders>
              <w:top w:val="single" w:sz="2" w:space="0" w:color="auto"/>
              <w:left w:val="nil"/>
              <w:bottom w:val="nil"/>
              <w:right w:val="nil"/>
            </w:tcBorders>
            <w:shd w:val="clear" w:color="auto" w:fill="auto"/>
          </w:tcPr>
          <w:p w14:paraId="17BF37A3" w14:textId="77777777" w:rsidR="004C0483" w:rsidRPr="002E707A" w:rsidRDefault="004C0483" w:rsidP="00A1791E">
            <w:pPr>
              <w:jc w:val="center"/>
              <w:rPr>
                <w:sz w:val="20"/>
                <w:szCs w:val="20"/>
                <w:lang w:val="pt-BR"/>
              </w:rPr>
            </w:pPr>
            <w:r w:rsidRPr="002E707A">
              <w:rPr>
                <w:sz w:val="20"/>
                <w:szCs w:val="20"/>
                <w:lang w:val="pt-BR"/>
              </w:rPr>
              <w:t>60,0</w:t>
            </w:r>
          </w:p>
        </w:tc>
      </w:tr>
      <w:tr w:rsidR="004C0483" w:rsidRPr="002E707A" w14:paraId="6E2B3073" w14:textId="77777777" w:rsidTr="00A1791E">
        <w:trPr>
          <w:trHeight w:val="20"/>
          <w:jc w:val="center"/>
        </w:trPr>
        <w:tc>
          <w:tcPr>
            <w:tcW w:w="834" w:type="pct"/>
            <w:vMerge/>
            <w:tcBorders>
              <w:left w:val="nil"/>
              <w:bottom w:val="single" w:sz="2" w:space="0" w:color="auto"/>
              <w:right w:val="nil"/>
            </w:tcBorders>
            <w:shd w:val="clear" w:color="auto" w:fill="auto"/>
            <w:vAlign w:val="center"/>
          </w:tcPr>
          <w:p w14:paraId="54BF3FDC" w14:textId="77777777" w:rsidR="004C0483" w:rsidRPr="002E707A" w:rsidRDefault="004C0483" w:rsidP="00A1791E">
            <w:pPr>
              <w:rPr>
                <w:b/>
                <w:sz w:val="20"/>
                <w:szCs w:val="20"/>
                <w:lang w:val="pt-BR"/>
              </w:rPr>
            </w:pPr>
          </w:p>
        </w:tc>
        <w:tc>
          <w:tcPr>
            <w:tcW w:w="1750" w:type="pct"/>
            <w:tcBorders>
              <w:top w:val="nil"/>
              <w:left w:val="nil"/>
              <w:bottom w:val="single" w:sz="2" w:space="0" w:color="auto"/>
              <w:right w:val="nil"/>
            </w:tcBorders>
            <w:shd w:val="clear" w:color="auto" w:fill="auto"/>
          </w:tcPr>
          <w:p w14:paraId="4801B7D5" w14:textId="77777777" w:rsidR="004C0483" w:rsidRPr="002E707A" w:rsidRDefault="004C0483" w:rsidP="00A1791E">
            <w:pPr>
              <w:rPr>
                <w:sz w:val="20"/>
                <w:szCs w:val="20"/>
                <w:lang w:val="pt-BR"/>
              </w:rPr>
            </w:pPr>
            <w:r w:rsidRPr="002E707A">
              <w:rPr>
                <w:sz w:val="20"/>
                <w:szCs w:val="20"/>
                <w:lang w:val="pt-BR"/>
              </w:rPr>
              <w:t>Não-Branco</w:t>
            </w:r>
          </w:p>
        </w:tc>
        <w:tc>
          <w:tcPr>
            <w:tcW w:w="402" w:type="pct"/>
            <w:tcBorders>
              <w:top w:val="nil"/>
              <w:left w:val="nil"/>
              <w:bottom w:val="single" w:sz="2" w:space="0" w:color="auto"/>
              <w:right w:val="nil"/>
            </w:tcBorders>
            <w:shd w:val="clear" w:color="auto" w:fill="auto"/>
          </w:tcPr>
          <w:p w14:paraId="04F64937" w14:textId="77777777" w:rsidR="004C0483" w:rsidRPr="002E707A" w:rsidRDefault="004C0483" w:rsidP="00A1791E">
            <w:pPr>
              <w:jc w:val="center"/>
              <w:rPr>
                <w:sz w:val="20"/>
                <w:szCs w:val="20"/>
                <w:lang w:val="pt-BR"/>
              </w:rPr>
            </w:pPr>
            <w:r w:rsidRPr="002E707A">
              <w:rPr>
                <w:sz w:val="20"/>
                <w:szCs w:val="20"/>
                <w:lang w:val="pt-BR"/>
              </w:rPr>
              <w:t>68</w:t>
            </w:r>
          </w:p>
        </w:tc>
        <w:tc>
          <w:tcPr>
            <w:tcW w:w="403" w:type="pct"/>
            <w:tcBorders>
              <w:top w:val="nil"/>
              <w:left w:val="nil"/>
              <w:bottom w:val="single" w:sz="2" w:space="0" w:color="auto"/>
              <w:right w:val="nil"/>
            </w:tcBorders>
            <w:shd w:val="clear" w:color="auto" w:fill="auto"/>
          </w:tcPr>
          <w:p w14:paraId="7763667E" w14:textId="77777777" w:rsidR="004C0483" w:rsidRPr="002E707A" w:rsidRDefault="004C0483" w:rsidP="00A1791E">
            <w:pPr>
              <w:jc w:val="center"/>
              <w:rPr>
                <w:sz w:val="20"/>
                <w:szCs w:val="20"/>
                <w:lang w:val="pt-BR"/>
              </w:rPr>
            </w:pPr>
            <w:r w:rsidRPr="002E707A">
              <w:rPr>
                <w:sz w:val="20"/>
                <w:szCs w:val="20"/>
                <w:lang w:val="pt-BR"/>
              </w:rPr>
              <w:t>31,2</w:t>
            </w:r>
          </w:p>
        </w:tc>
        <w:tc>
          <w:tcPr>
            <w:tcW w:w="403" w:type="pct"/>
            <w:tcBorders>
              <w:top w:val="nil"/>
              <w:left w:val="nil"/>
              <w:bottom w:val="single" w:sz="2" w:space="0" w:color="auto"/>
              <w:right w:val="nil"/>
            </w:tcBorders>
            <w:shd w:val="clear" w:color="auto" w:fill="auto"/>
          </w:tcPr>
          <w:p w14:paraId="3B5FF3B9" w14:textId="77777777" w:rsidR="004C0483" w:rsidRPr="002E707A" w:rsidRDefault="004C0483" w:rsidP="00A1791E">
            <w:pPr>
              <w:jc w:val="center"/>
              <w:rPr>
                <w:sz w:val="20"/>
                <w:szCs w:val="20"/>
                <w:lang w:val="pt-BR"/>
              </w:rPr>
            </w:pPr>
            <w:r w:rsidRPr="002E707A">
              <w:rPr>
                <w:sz w:val="20"/>
                <w:szCs w:val="20"/>
                <w:lang w:val="pt-BR"/>
              </w:rPr>
              <w:t>51</w:t>
            </w:r>
          </w:p>
        </w:tc>
        <w:tc>
          <w:tcPr>
            <w:tcW w:w="403" w:type="pct"/>
            <w:tcBorders>
              <w:top w:val="nil"/>
              <w:left w:val="nil"/>
              <w:bottom w:val="single" w:sz="2" w:space="0" w:color="auto"/>
              <w:right w:val="nil"/>
            </w:tcBorders>
            <w:shd w:val="clear" w:color="auto" w:fill="auto"/>
          </w:tcPr>
          <w:p w14:paraId="6B15D519" w14:textId="77777777" w:rsidR="004C0483" w:rsidRPr="002E707A" w:rsidRDefault="004C0483" w:rsidP="00A1791E">
            <w:pPr>
              <w:jc w:val="center"/>
              <w:rPr>
                <w:sz w:val="20"/>
                <w:szCs w:val="20"/>
                <w:lang w:val="pt-BR"/>
              </w:rPr>
            </w:pPr>
            <w:r w:rsidRPr="002E707A">
              <w:rPr>
                <w:sz w:val="20"/>
                <w:szCs w:val="20"/>
                <w:lang w:val="pt-BR"/>
              </w:rPr>
              <w:t>35,4</w:t>
            </w:r>
          </w:p>
        </w:tc>
        <w:tc>
          <w:tcPr>
            <w:tcW w:w="403" w:type="pct"/>
            <w:tcBorders>
              <w:top w:val="nil"/>
              <w:left w:val="nil"/>
              <w:bottom w:val="single" w:sz="2" w:space="0" w:color="auto"/>
              <w:right w:val="nil"/>
            </w:tcBorders>
            <w:shd w:val="clear" w:color="auto" w:fill="auto"/>
          </w:tcPr>
          <w:p w14:paraId="3F9D1891" w14:textId="77777777" w:rsidR="004C0483" w:rsidRPr="002E707A" w:rsidRDefault="004C0483" w:rsidP="00A1791E">
            <w:pPr>
              <w:jc w:val="center"/>
              <w:rPr>
                <w:sz w:val="20"/>
                <w:szCs w:val="20"/>
                <w:lang w:val="pt-BR"/>
              </w:rPr>
            </w:pPr>
            <w:r w:rsidRPr="002E707A">
              <w:rPr>
                <w:sz w:val="20"/>
                <w:szCs w:val="20"/>
                <w:lang w:val="pt-BR"/>
              </w:rPr>
              <w:t>6</w:t>
            </w:r>
          </w:p>
        </w:tc>
        <w:tc>
          <w:tcPr>
            <w:tcW w:w="402" w:type="pct"/>
            <w:tcBorders>
              <w:top w:val="nil"/>
              <w:left w:val="nil"/>
              <w:bottom w:val="single" w:sz="2" w:space="0" w:color="auto"/>
              <w:right w:val="nil"/>
            </w:tcBorders>
            <w:shd w:val="clear" w:color="auto" w:fill="auto"/>
          </w:tcPr>
          <w:p w14:paraId="08C44F84" w14:textId="77777777" w:rsidR="004C0483" w:rsidRPr="002E707A" w:rsidRDefault="004C0483" w:rsidP="00A1791E">
            <w:pPr>
              <w:jc w:val="center"/>
              <w:rPr>
                <w:sz w:val="20"/>
                <w:szCs w:val="20"/>
                <w:lang w:val="pt-BR"/>
              </w:rPr>
            </w:pPr>
            <w:r w:rsidRPr="002E707A">
              <w:rPr>
                <w:sz w:val="20"/>
                <w:szCs w:val="20"/>
                <w:lang w:val="pt-BR"/>
              </w:rPr>
              <w:t>40,0</w:t>
            </w:r>
          </w:p>
        </w:tc>
      </w:tr>
      <w:tr w:rsidR="004C0483" w:rsidRPr="002E707A" w14:paraId="05DE6585" w14:textId="77777777" w:rsidTr="00A1791E">
        <w:trPr>
          <w:trHeight w:val="20"/>
          <w:jc w:val="center"/>
        </w:trPr>
        <w:tc>
          <w:tcPr>
            <w:tcW w:w="834" w:type="pct"/>
            <w:vMerge w:val="restart"/>
            <w:tcBorders>
              <w:top w:val="single" w:sz="2" w:space="0" w:color="auto"/>
              <w:left w:val="nil"/>
              <w:right w:val="nil"/>
            </w:tcBorders>
            <w:shd w:val="clear" w:color="auto" w:fill="auto"/>
            <w:vAlign w:val="center"/>
          </w:tcPr>
          <w:p w14:paraId="09EEA025" w14:textId="77777777" w:rsidR="004C0483" w:rsidRPr="002E707A" w:rsidRDefault="004C0483" w:rsidP="00A1791E">
            <w:pPr>
              <w:rPr>
                <w:b/>
                <w:bCs/>
                <w:sz w:val="20"/>
                <w:szCs w:val="20"/>
                <w:lang w:val="pt-BR"/>
              </w:rPr>
            </w:pPr>
            <w:r w:rsidRPr="002E707A">
              <w:rPr>
                <w:b/>
                <w:bCs/>
                <w:sz w:val="20"/>
                <w:szCs w:val="20"/>
                <w:lang w:val="pt-BR"/>
              </w:rPr>
              <w:t>Escolaridade</w:t>
            </w:r>
          </w:p>
        </w:tc>
        <w:tc>
          <w:tcPr>
            <w:tcW w:w="1750" w:type="pct"/>
            <w:tcBorders>
              <w:top w:val="single" w:sz="2" w:space="0" w:color="auto"/>
              <w:left w:val="nil"/>
              <w:bottom w:val="nil"/>
              <w:right w:val="nil"/>
            </w:tcBorders>
            <w:shd w:val="clear" w:color="auto" w:fill="auto"/>
          </w:tcPr>
          <w:p w14:paraId="2282625E" w14:textId="77777777" w:rsidR="004C0483" w:rsidRPr="002E707A" w:rsidRDefault="004C0483" w:rsidP="00A1791E">
            <w:pPr>
              <w:rPr>
                <w:sz w:val="20"/>
                <w:szCs w:val="20"/>
                <w:lang w:val="pt-BR"/>
              </w:rPr>
            </w:pPr>
            <w:r w:rsidRPr="002E707A">
              <w:rPr>
                <w:sz w:val="20"/>
                <w:szCs w:val="20"/>
                <w:lang w:val="pt-BR"/>
              </w:rPr>
              <w:t>Ensino Fundamental incompleto</w:t>
            </w:r>
          </w:p>
        </w:tc>
        <w:tc>
          <w:tcPr>
            <w:tcW w:w="402" w:type="pct"/>
            <w:tcBorders>
              <w:top w:val="single" w:sz="2" w:space="0" w:color="auto"/>
              <w:left w:val="nil"/>
              <w:bottom w:val="nil"/>
              <w:right w:val="nil"/>
            </w:tcBorders>
            <w:shd w:val="clear" w:color="auto" w:fill="auto"/>
          </w:tcPr>
          <w:p w14:paraId="7F046917" w14:textId="77777777" w:rsidR="004C0483" w:rsidRPr="002E707A" w:rsidRDefault="004C0483" w:rsidP="00A1791E">
            <w:pPr>
              <w:jc w:val="center"/>
              <w:rPr>
                <w:sz w:val="20"/>
                <w:szCs w:val="20"/>
                <w:lang w:val="pt-BR"/>
              </w:rPr>
            </w:pPr>
            <w:r w:rsidRPr="002E707A">
              <w:rPr>
                <w:sz w:val="20"/>
                <w:szCs w:val="20"/>
                <w:lang w:val="pt-BR"/>
              </w:rPr>
              <w:t>0</w:t>
            </w:r>
          </w:p>
        </w:tc>
        <w:tc>
          <w:tcPr>
            <w:tcW w:w="403" w:type="pct"/>
            <w:tcBorders>
              <w:top w:val="single" w:sz="2" w:space="0" w:color="auto"/>
              <w:left w:val="nil"/>
              <w:bottom w:val="nil"/>
              <w:right w:val="nil"/>
            </w:tcBorders>
            <w:shd w:val="clear" w:color="auto" w:fill="auto"/>
          </w:tcPr>
          <w:p w14:paraId="6740995B" w14:textId="77777777" w:rsidR="004C0483" w:rsidRPr="002E707A" w:rsidRDefault="004C0483" w:rsidP="00A1791E">
            <w:pPr>
              <w:jc w:val="center"/>
              <w:rPr>
                <w:sz w:val="20"/>
                <w:szCs w:val="20"/>
                <w:lang w:val="pt-BR"/>
              </w:rPr>
            </w:pPr>
            <w:r w:rsidRPr="002E707A">
              <w:rPr>
                <w:sz w:val="20"/>
                <w:szCs w:val="20"/>
                <w:lang w:val="pt-BR"/>
              </w:rPr>
              <w:t>0</w:t>
            </w:r>
          </w:p>
        </w:tc>
        <w:tc>
          <w:tcPr>
            <w:tcW w:w="403" w:type="pct"/>
            <w:tcBorders>
              <w:top w:val="single" w:sz="2" w:space="0" w:color="auto"/>
              <w:left w:val="nil"/>
              <w:bottom w:val="nil"/>
              <w:right w:val="nil"/>
            </w:tcBorders>
            <w:shd w:val="clear" w:color="auto" w:fill="auto"/>
          </w:tcPr>
          <w:p w14:paraId="34481798" w14:textId="77777777" w:rsidR="004C0483" w:rsidRPr="002E707A" w:rsidRDefault="004C0483" w:rsidP="00A1791E">
            <w:pPr>
              <w:jc w:val="center"/>
              <w:rPr>
                <w:sz w:val="20"/>
                <w:szCs w:val="20"/>
                <w:lang w:val="pt-BR"/>
              </w:rPr>
            </w:pPr>
            <w:r w:rsidRPr="002E707A">
              <w:rPr>
                <w:sz w:val="20"/>
                <w:szCs w:val="20"/>
                <w:lang w:val="pt-BR"/>
              </w:rPr>
              <w:t>0</w:t>
            </w:r>
          </w:p>
        </w:tc>
        <w:tc>
          <w:tcPr>
            <w:tcW w:w="403" w:type="pct"/>
            <w:tcBorders>
              <w:top w:val="single" w:sz="2" w:space="0" w:color="auto"/>
              <w:left w:val="nil"/>
              <w:bottom w:val="nil"/>
              <w:right w:val="nil"/>
            </w:tcBorders>
            <w:shd w:val="clear" w:color="auto" w:fill="auto"/>
          </w:tcPr>
          <w:p w14:paraId="4CBDEC66" w14:textId="77777777" w:rsidR="004C0483" w:rsidRPr="002E707A" w:rsidRDefault="004C0483" w:rsidP="00A1791E">
            <w:pPr>
              <w:jc w:val="center"/>
              <w:rPr>
                <w:sz w:val="20"/>
                <w:szCs w:val="20"/>
                <w:lang w:val="pt-BR"/>
              </w:rPr>
            </w:pPr>
            <w:r w:rsidRPr="002E707A">
              <w:rPr>
                <w:sz w:val="20"/>
                <w:szCs w:val="20"/>
                <w:lang w:val="pt-BR"/>
              </w:rPr>
              <w:t>0</w:t>
            </w:r>
          </w:p>
        </w:tc>
        <w:tc>
          <w:tcPr>
            <w:tcW w:w="403" w:type="pct"/>
            <w:tcBorders>
              <w:top w:val="single" w:sz="2" w:space="0" w:color="auto"/>
              <w:left w:val="nil"/>
              <w:bottom w:val="nil"/>
              <w:right w:val="nil"/>
            </w:tcBorders>
            <w:shd w:val="clear" w:color="auto" w:fill="auto"/>
          </w:tcPr>
          <w:p w14:paraId="2D22D827" w14:textId="77777777" w:rsidR="004C0483" w:rsidRPr="002E707A" w:rsidRDefault="004C0483" w:rsidP="00A1791E">
            <w:pPr>
              <w:jc w:val="center"/>
              <w:rPr>
                <w:sz w:val="20"/>
                <w:szCs w:val="20"/>
                <w:lang w:val="pt-BR"/>
              </w:rPr>
            </w:pPr>
            <w:r w:rsidRPr="002E707A">
              <w:rPr>
                <w:sz w:val="20"/>
                <w:szCs w:val="20"/>
                <w:lang w:val="pt-BR"/>
              </w:rPr>
              <w:t>0</w:t>
            </w:r>
          </w:p>
        </w:tc>
        <w:tc>
          <w:tcPr>
            <w:tcW w:w="402" w:type="pct"/>
            <w:tcBorders>
              <w:top w:val="single" w:sz="2" w:space="0" w:color="auto"/>
              <w:left w:val="nil"/>
              <w:bottom w:val="nil"/>
              <w:right w:val="nil"/>
            </w:tcBorders>
            <w:shd w:val="clear" w:color="auto" w:fill="auto"/>
          </w:tcPr>
          <w:p w14:paraId="2CCB1481" w14:textId="77777777" w:rsidR="004C0483" w:rsidRPr="002E707A" w:rsidRDefault="004C0483" w:rsidP="00A1791E">
            <w:pPr>
              <w:jc w:val="center"/>
              <w:rPr>
                <w:sz w:val="20"/>
                <w:szCs w:val="20"/>
                <w:lang w:val="pt-BR"/>
              </w:rPr>
            </w:pPr>
            <w:r w:rsidRPr="002E707A">
              <w:rPr>
                <w:sz w:val="20"/>
                <w:szCs w:val="20"/>
                <w:lang w:val="pt-BR"/>
              </w:rPr>
              <w:t>0</w:t>
            </w:r>
          </w:p>
        </w:tc>
      </w:tr>
      <w:tr w:rsidR="004C0483" w:rsidRPr="002E707A" w14:paraId="0B63CA8B" w14:textId="77777777" w:rsidTr="00A1791E">
        <w:trPr>
          <w:trHeight w:val="20"/>
          <w:jc w:val="center"/>
        </w:trPr>
        <w:tc>
          <w:tcPr>
            <w:tcW w:w="834" w:type="pct"/>
            <w:vMerge/>
            <w:tcBorders>
              <w:left w:val="nil"/>
              <w:right w:val="nil"/>
            </w:tcBorders>
            <w:shd w:val="clear" w:color="auto" w:fill="auto"/>
            <w:vAlign w:val="center"/>
          </w:tcPr>
          <w:p w14:paraId="3FE94BD3" w14:textId="77777777" w:rsidR="004C0483" w:rsidRPr="002E707A" w:rsidRDefault="004C0483" w:rsidP="00A1791E">
            <w:pPr>
              <w:rPr>
                <w:b/>
                <w:sz w:val="20"/>
                <w:szCs w:val="20"/>
                <w:lang w:val="pt-BR"/>
              </w:rPr>
            </w:pPr>
          </w:p>
        </w:tc>
        <w:tc>
          <w:tcPr>
            <w:tcW w:w="1750" w:type="pct"/>
            <w:tcBorders>
              <w:top w:val="nil"/>
              <w:left w:val="nil"/>
              <w:bottom w:val="nil"/>
              <w:right w:val="nil"/>
            </w:tcBorders>
            <w:shd w:val="clear" w:color="auto" w:fill="auto"/>
          </w:tcPr>
          <w:p w14:paraId="740EB371" w14:textId="77777777" w:rsidR="004C0483" w:rsidRPr="002E707A" w:rsidRDefault="004C0483" w:rsidP="00A1791E">
            <w:pPr>
              <w:rPr>
                <w:sz w:val="20"/>
                <w:szCs w:val="20"/>
                <w:lang w:val="pt-BR"/>
              </w:rPr>
            </w:pPr>
            <w:r w:rsidRPr="002E707A">
              <w:rPr>
                <w:sz w:val="20"/>
                <w:szCs w:val="20"/>
                <w:lang w:val="pt-BR"/>
              </w:rPr>
              <w:t>Ensino Fundamental completo</w:t>
            </w:r>
          </w:p>
        </w:tc>
        <w:tc>
          <w:tcPr>
            <w:tcW w:w="402" w:type="pct"/>
            <w:tcBorders>
              <w:top w:val="nil"/>
              <w:left w:val="nil"/>
              <w:bottom w:val="nil"/>
              <w:right w:val="nil"/>
            </w:tcBorders>
            <w:shd w:val="clear" w:color="auto" w:fill="auto"/>
          </w:tcPr>
          <w:p w14:paraId="7306F56D" w14:textId="77777777" w:rsidR="004C0483" w:rsidRPr="002E707A" w:rsidRDefault="004C0483" w:rsidP="00A1791E">
            <w:pPr>
              <w:jc w:val="center"/>
              <w:rPr>
                <w:sz w:val="20"/>
                <w:szCs w:val="20"/>
                <w:lang w:val="pt-BR"/>
              </w:rPr>
            </w:pPr>
            <w:r w:rsidRPr="002E707A">
              <w:rPr>
                <w:sz w:val="20"/>
                <w:szCs w:val="20"/>
                <w:lang w:val="pt-BR"/>
              </w:rPr>
              <w:t>0</w:t>
            </w:r>
          </w:p>
        </w:tc>
        <w:tc>
          <w:tcPr>
            <w:tcW w:w="403" w:type="pct"/>
            <w:tcBorders>
              <w:top w:val="nil"/>
              <w:left w:val="nil"/>
              <w:bottom w:val="nil"/>
              <w:right w:val="nil"/>
            </w:tcBorders>
            <w:shd w:val="clear" w:color="auto" w:fill="auto"/>
          </w:tcPr>
          <w:p w14:paraId="6D024EB5" w14:textId="77777777" w:rsidR="004C0483" w:rsidRPr="002E707A" w:rsidRDefault="004C0483" w:rsidP="00A1791E">
            <w:pPr>
              <w:jc w:val="center"/>
              <w:rPr>
                <w:sz w:val="20"/>
                <w:szCs w:val="20"/>
                <w:lang w:val="pt-BR"/>
              </w:rPr>
            </w:pPr>
            <w:r w:rsidRPr="002E707A">
              <w:rPr>
                <w:sz w:val="20"/>
                <w:szCs w:val="20"/>
                <w:lang w:val="pt-BR"/>
              </w:rPr>
              <w:t>0</w:t>
            </w:r>
          </w:p>
        </w:tc>
        <w:tc>
          <w:tcPr>
            <w:tcW w:w="403" w:type="pct"/>
            <w:tcBorders>
              <w:top w:val="nil"/>
              <w:left w:val="nil"/>
              <w:bottom w:val="nil"/>
              <w:right w:val="nil"/>
            </w:tcBorders>
            <w:shd w:val="clear" w:color="auto" w:fill="auto"/>
          </w:tcPr>
          <w:p w14:paraId="0C925631" w14:textId="77777777" w:rsidR="004C0483" w:rsidRPr="002E707A" w:rsidRDefault="004C0483" w:rsidP="00A1791E">
            <w:pPr>
              <w:jc w:val="center"/>
              <w:rPr>
                <w:sz w:val="20"/>
                <w:szCs w:val="20"/>
                <w:lang w:val="pt-BR"/>
              </w:rPr>
            </w:pPr>
            <w:r w:rsidRPr="002E707A">
              <w:rPr>
                <w:sz w:val="20"/>
                <w:szCs w:val="20"/>
                <w:lang w:val="pt-BR"/>
              </w:rPr>
              <w:t>0</w:t>
            </w:r>
          </w:p>
        </w:tc>
        <w:tc>
          <w:tcPr>
            <w:tcW w:w="403" w:type="pct"/>
            <w:tcBorders>
              <w:top w:val="nil"/>
              <w:left w:val="nil"/>
              <w:bottom w:val="nil"/>
              <w:right w:val="nil"/>
            </w:tcBorders>
            <w:shd w:val="clear" w:color="auto" w:fill="auto"/>
          </w:tcPr>
          <w:p w14:paraId="65014095" w14:textId="77777777" w:rsidR="004C0483" w:rsidRPr="002E707A" w:rsidRDefault="004C0483" w:rsidP="00A1791E">
            <w:pPr>
              <w:jc w:val="center"/>
              <w:rPr>
                <w:sz w:val="20"/>
                <w:szCs w:val="20"/>
                <w:lang w:val="pt-BR"/>
              </w:rPr>
            </w:pPr>
            <w:r w:rsidRPr="002E707A">
              <w:rPr>
                <w:sz w:val="20"/>
                <w:szCs w:val="20"/>
                <w:lang w:val="pt-BR"/>
              </w:rPr>
              <w:t>0</w:t>
            </w:r>
          </w:p>
        </w:tc>
        <w:tc>
          <w:tcPr>
            <w:tcW w:w="403" w:type="pct"/>
            <w:tcBorders>
              <w:top w:val="nil"/>
              <w:left w:val="nil"/>
              <w:bottom w:val="nil"/>
              <w:right w:val="nil"/>
            </w:tcBorders>
            <w:shd w:val="clear" w:color="auto" w:fill="auto"/>
          </w:tcPr>
          <w:p w14:paraId="7C178977" w14:textId="77777777" w:rsidR="004C0483" w:rsidRPr="002E707A" w:rsidRDefault="004C0483" w:rsidP="00A1791E">
            <w:pPr>
              <w:jc w:val="center"/>
              <w:rPr>
                <w:sz w:val="20"/>
                <w:szCs w:val="20"/>
                <w:lang w:val="pt-BR"/>
              </w:rPr>
            </w:pPr>
            <w:r w:rsidRPr="002E707A">
              <w:rPr>
                <w:sz w:val="20"/>
                <w:szCs w:val="20"/>
                <w:lang w:val="pt-BR"/>
              </w:rPr>
              <w:t>0</w:t>
            </w:r>
          </w:p>
        </w:tc>
        <w:tc>
          <w:tcPr>
            <w:tcW w:w="402" w:type="pct"/>
            <w:tcBorders>
              <w:top w:val="nil"/>
              <w:left w:val="nil"/>
              <w:bottom w:val="nil"/>
              <w:right w:val="nil"/>
            </w:tcBorders>
            <w:shd w:val="clear" w:color="auto" w:fill="auto"/>
          </w:tcPr>
          <w:p w14:paraId="2E01854E" w14:textId="77777777" w:rsidR="004C0483" w:rsidRPr="002E707A" w:rsidRDefault="004C0483" w:rsidP="00A1791E">
            <w:pPr>
              <w:jc w:val="center"/>
              <w:rPr>
                <w:sz w:val="20"/>
                <w:szCs w:val="20"/>
                <w:lang w:val="pt-BR"/>
              </w:rPr>
            </w:pPr>
            <w:r w:rsidRPr="002E707A">
              <w:rPr>
                <w:sz w:val="20"/>
                <w:szCs w:val="20"/>
                <w:lang w:val="pt-BR"/>
              </w:rPr>
              <w:t>0</w:t>
            </w:r>
          </w:p>
        </w:tc>
      </w:tr>
      <w:tr w:rsidR="004C0483" w:rsidRPr="002E707A" w14:paraId="47B7977A" w14:textId="77777777" w:rsidTr="00A1791E">
        <w:trPr>
          <w:trHeight w:val="20"/>
          <w:jc w:val="center"/>
        </w:trPr>
        <w:tc>
          <w:tcPr>
            <w:tcW w:w="834" w:type="pct"/>
            <w:vMerge/>
            <w:tcBorders>
              <w:left w:val="nil"/>
              <w:right w:val="nil"/>
            </w:tcBorders>
            <w:shd w:val="clear" w:color="auto" w:fill="auto"/>
            <w:vAlign w:val="center"/>
          </w:tcPr>
          <w:p w14:paraId="0E5DFBBC" w14:textId="77777777" w:rsidR="004C0483" w:rsidRPr="002E707A" w:rsidRDefault="004C0483" w:rsidP="00A1791E">
            <w:pPr>
              <w:rPr>
                <w:b/>
                <w:sz w:val="20"/>
                <w:szCs w:val="20"/>
                <w:lang w:val="pt-BR"/>
              </w:rPr>
            </w:pPr>
          </w:p>
        </w:tc>
        <w:tc>
          <w:tcPr>
            <w:tcW w:w="1750" w:type="pct"/>
            <w:tcBorders>
              <w:top w:val="nil"/>
              <w:left w:val="nil"/>
              <w:bottom w:val="nil"/>
              <w:right w:val="nil"/>
            </w:tcBorders>
            <w:shd w:val="clear" w:color="auto" w:fill="auto"/>
          </w:tcPr>
          <w:p w14:paraId="468F087B" w14:textId="77777777" w:rsidR="004C0483" w:rsidRPr="002E707A" w:rsidRDefault="004C0483" w:rsidP="00A1791E">
            <w:pPr>
              <w:rPr>
                <w:sz w:val="20"/>
                <w:szCs w:val="20"/>
                <w:lang w:val="pt-BR"/>
              </w:rPr>
            </w:pPr>
            <w:r w:rsidRPr="002E707A">
              <w:rPr>
                <w:sz w:val="20"/>
                <w:szCs w:val="20"/>
                <w:lang w:val="pt-BR"/>
              </w:rPr>
              <w:t>Ensino Médio incompleto</w:t>
            </w:r>
          </w:p>
        </w:tc>
        <w:tc>
          <w:tcPr>
            <w:tcW w:w="402" w:type="pct"/>
            <w:tcBorders>
              <w:top w:val="nil"/>
              <w:left w:val="nil"/>
              <w:bottom w:val="nil"/>
              <w:right w:val="nil"/>
            </w:tcBorders>
            <w:shd w:val="clear" w:color="auto" w:fill="auto"/>
          </w:tcPr>
          <w:p w14:paraId="78451E76" w14:textId="77777777" w:rsidR="004C0483" w:rsidRPr="002E707A" w:rsidRDefault="004C0483" w:rsidP="00A1791E">
            <w:pPr>
              <w:jc w:val="center"/>
              <w:rPr>
                <w:sz w:val="20"/>
                <w:szCs w:val="20"/>
                <w:lang w:val="pt-BR"/>
              </w:rPr>
            </w:pPr>
            <w:r w:rsidRPr="002E707A">
              <w:rPr>
                <w:sz w:val="20"/>
                <w:szCs w:val="20"/>
                <w:lang w:val="pt-BR"/>
              </w:rPr>
              <w:t>1</w:t>
            </w:r>
          </w:p>
        </w:tc>
        <w:tc>
          <w:tcPr>
            <w:tcW w:w="403" w:type="pct"/>
            <w:tcBorders>
              <w:top w:val="nil"/>
              <w:left w:val="nil"/>
              <w:bottom w:val="nil"/>
              <w:right w:val="nil"/>
            </w:tcBorders>
            <w:shd w:val="clear" w:color="auto" w:fill="auto"/>
          </w:tcPr>
          <w:p w14:paraId="0EAE9586" w14:textId="77777777" w:rsidR="004C0483" w:rsidRPr="002E707A" w:rsidRDefault="004C0483" w:rsidP="00A1791E">
            <w:pPr>
              <w:jc w:val="center"/>
              <w:rPr>
                <w:sz w:val="20"/>
                <w:szCs w:val="20"/>
                <w:lang w:val="pt-BR"/>
              </w:rPr>
            </w:pPr>
            <w:r w:rsidRPr="002E707A">
              <w:rPr>
                <w:sz w:val="20"/>
                <w:szCs w:val="20"/>
                <w:lang w:val="pt-BR"/>
              </w:rPr>
              <w:t>0,4</w:t>
            </w:r>
          </w:p>
        </w:tc>
        <w:tc>
          <w:tcPr>
            <w:tcW w:w="403" w:type="pct"/>
            <w:tcBorders>
              <w:top w:val="nil"/>
              <w:left w:val="nil"/>
              <w:bottom w:val="nil"/>
              <w:right w:val="nil"/>
            </w:tcBorders>
            <w:shd w:val="clear" w:color="auto" w:fill="auto"/>
          </w:tcPr>
          <w:p w14:paraId="5AAAE482" w14:textId="77777777" w:rsidR="004C0483" w:rsidRPr="002E707A" w:rsidRDefault="004C0483" w:rsidP="00A1791E">
            <w:pPr>
              <w:jc w:val="center"/>
              <w:rPr>
                <w:sz w:val="20"/>
                <w:szCs w:val="20"/>
                <w:lang w:val="pt-BR"/>
              </w:rPr>
            </w:pPr>
            <w:r w:rsidRPr="002E707A">
              <w:rPr>
                <w:sz w:val="20"/>
                <w:szCs w:val="20"/>
                <w:lang w:val="pt-BR"/>
              </w:rPr>
              <w:t>1</w:t>
            </w:r>
          </w:p>
        </w:tc>
        <w:tc>
          <w:tcPr>
            <w:tcW w:w="403" w:type="pct"/>
            <w:tcBorders>
              <w:top w:val="nil"/>
              <w:left w:val="nil"/>
              <w:bottom w:val="nil"/>
              <w:right w:val="nil"/>
            </w:tcBorders>
            <w:shd w:val="clear" w:color="auto" w:fill="auto"/>
          </w:tcPr>
          <w:p w14:paraId="690D3D38" w14:textId="77777777" w:rsidR="004C0483" w:rsidRPr="002E707A" w:rsidRDefault="004C0483" w:rsidP="00A1791E">
            <w:pPr>
              <w:jc w:val="center"/>
              <w:rPr>
                <w:sz w:val="20"/>
                <w:szCs w:val="20"/>
                <w:lang w:val="pt-BR"/>
              </w:rPr>
            </w:pPr>
            <w:r w:rsidRPr="002E707A">
              <w:rPr>
                <w:sz w:val="20"/>
                <w:szCs w:val="20"/>
                <w:lang w:val="pt-BR"/>
              </w:rPr>
              <w:t>0,7</w:t>
            </w:r>
          </w:p>
        </w:tc>
        <w:tc>
          <w:tcPr>
            <w:tcW w:w="403" w:type="pct"/>
            <w:tcBorders>
              <w:top w:val="nil"/>
              <w:left w:val="nil"/>
              <w:bottom w:val="nil"/>
              <w:right w:val="nil"/>
            </w:tcBorders>
            <w:shd w:val="clear" w:color="auto" w:fill="auto"/>
          </w:tcPr>
          <w:p w14:paraId="3BF2800F" w14:textId="77777777" w:rsidR="004C0483" w:rsidRPr="002E707A" w:rsidRDefault="004C0483" w:rsidP="00A1791E">
            <w:pPr>
              <w:jc w:val="center"/>
              <w:rPr>
                <w:sz w:val="20"/>
                <w:szCs w:val="20"/>
                <w:lang w:val="pt-BR"/>
              </w:rPr>
            </w:pPr>
            <w:r w:rsidRPr="002E707A">
              <w:rPr>
                <w:sz w:val="20"/>
                <w:szCs w:val="20"/>
                <w:lang w:val="pt-BR"/>
              </w:rPr>
              <w:t>0</w:t>
            </w:r>
          </w:p>
        </w:tc>
        <w:tc>
          <w:tcPr>
            <w:tcW w:w="402" w:type="pct"/>
            <w:tcBorders>
              <w:top w:val="nil"/>
              <w:left w:val="nil"/>
              <w:bottom w:val="nil"/>
              <w:right w:val="nil"/>
            </w:tcBorders>
            <w:shd w:val="clear" w:color="auto" w:fill="auto"/>
          </w:tcPr>
          <w:p w14:paraId="61279CCF" w14:textId="77777777" w:rsidR="004C0483" w:rsidRPr="002E707A" w:rsidRDefault="004C0483" w:rsidP="00A1791E">
            <w:pPr>
              <w:jc w:val="center"/>
              <w:rPr>
                <w:sz w:val="20"/>
                <w:szCs w:val="20"/>
                <w:lang w:val="pt-BR"/>
              </w:rPr>
            </w:pPr>
            <w:r w:rsidRPr="002E707A">
              <w:rPr>
                <w:sz w:val="20"/>
                <w:szCs w:val="20"/>
                <w:lang w:val="pt-BR"/>
              </w:rPr>
              <w:t>0</w:t>
            </w:r>
          </w:p>
        </w:tc>
      </w:tr>
      <w:tr w:rsidR="004C0483" w:rsidRPr="002E707A" w14:paraId="68BFBF79" w14:textId="77777777" w:rsidTr="00A1791E">
        <w:trPr>
          <w:trHeight w:val="20"/>
          <w:jc w:val="center"/>
        </w:trPr>
        <w:tc>
          <w:tcPr>
            <w:tcW w:w="834" w:type="pct"/>
            <w:vMerge/>
            <w:tcBorders>
              <w:left w:val="nil"/>
              <w:right w:val="nil"/>
            </w:tcBorders>
            <w:shd w:val="clear" w:color="auto" w:fill="auto"/>
            <w:vAlign w:val="center"/>
          </w:tcPr>
          <w:p w14:paraId="693AFAD6" w14:textId="77777777" w:rsidR="004C0483" w:rsidRPr="002E707A" w:rsidRDefault="004C0483" w:rsidP="00A1791E">
            <w:pPr>
              <w:rPr>
                <w:b/>
                <w:sz w:val="20"/>
                <w:szCs w:val="20"/>
                <w:lang w:val="pt-BR"/>
              </w:rPr>
            </w:pPr>
          </w:p>
        </w:tc>
        <w:tc>
          <w:tcPr>
            <w:tcW w:w="1750" w:type="pct"/>
            <w:tcBorders>
              <w:top w:val="nil"/>
              <w:left w:val="nil"/>
              <w:bottom w:val="nil"/>
              <w:right w:val="nil"/>
            </w:tcBorders>
            <w:shd w:val="clear" w:color="auto" w:fill="auto"/>
          </w:tcPr>
          <w:p w14:paraId="16B5C394" w14:textId="77777777" w:rsidR="004C0483" w:rsidRPr="002E707A" w:rsidRDefault="004C0483" w:rsidP="00A1791E">
            <w:pPr>
              <w:rPr>
                <w:sz w:val="20"/>
                <w:szCs w:val="20"/>
                <w:lang w:val="pt-BR"/>
              </w:rPr>
            </w:pPr>
            <w:r w:rsidRPr="002E707A">
              <w:rPr>
                <w:sz w:val="20"/>
                <w:szCs w:val="20"/>
                <w:lang w:val="pt-BR"/>
              </w:rPr>
              <w:t>Ensino Médio completo</w:t>
            </w:r>
          </w:p>
        </w:tc>
        <w:tc>
          <w:tcPr>
            <w:tcW w:w="402" w:type="pct"/>
            <w:tcBorders>
              <w:top w:val="nil"/>
              <w:left w:val="nil"/>
              <w:bottom w:val="nil"/>
              <w:right w:val="nil"/>
            </w:tcBorders>
            <w:shd w:val="clear" w:color="auto" w:fill="auto"/>
          </w:tcPr>
          <w:p w14:paraId="561CC474" w14:textId="77777777" w:rsidR="004C0483" w:rsidRPr="002E707A" w:rsidRDefault="004C0483" w:rsidP="00A1791E">
            <w:pPr>
              <w:jc w:val="center"/>
              <w:rPr>
                <w:sz w:val="20"/>
                <w:szCs w:val="20"/>
                <w:lang w:val="pt-BR"/>
              </w:rPr>
            </w:pPr>
            <w:r w:rsidRPr="002E707A">
              <w:rPr>
                <w:sz w:val="20"/>
                <w:szCs w:val="20"/>
                <w:lang w:val="pt-BR"/>
              </w:rPr>
              <w:t>14</w:t>
            </w:r>
          </w:p>
        </w:tc>
        <w:tc>
          <w:tcPr>
            <w:tcW w:w="403" w:type="pct"/>
            <w:tcBorders>
              <w:top w:val="nil"/>
              <w:left w:val="nil"/>
              <w:bottom w:val="nil"/>
              <w:right w:val="nil"/>
            </w:tcBorders>
            <w:shd w:val="clear" w:color="auto" w:fill="auto"/>
          </w:tcPr>
          <w:p w14:paraId="28A97F1E" w14:textId="77777777" w:rsidR="004C0483" w:rsidRPr="002E707A" w:rsidRDefault="004C0483" w:rsidP="00A1791E">
            <w:pPr>
              <w:jc w:val="center"/>
              <w:rPr>
                <w:sz w:val="20"/>
                <w:szCs w:val="20"/>
                <w:lang w:val="pt-BR"/>
              </w:rPr>
            </w:pPr>
            <w:r w:rsidRPr="002E707A">
              <w:rPr>
                <w:sz w:val="20"/>
                <w:szCs w:val="20"/>
                <w:lang w:val="pt-BR"/>
              </w:rPr>
              <w:t>6,2</w:t>
            </w:r>
          </w:p>
        </w:tc>
        <w:tc>
          <w:tcPr>
            <w:tcW w:w="403" w:type="pct"/>
            <w:tcBorders>
              <w:top w:val="nil"/>
              <w:left w:val="nil"/>
              <w:bottom w:val="nil"/>
              <w:right w:val="nil"/>
            </w:tcBorders>
            <w:shd w:val="clear" w:color="auto" w:fill="auto"/>
          </w:tcPr>
          <w:p w14:paraId="097E67BC" w14:textId="77777777" w:rsidR="004C0483" w:rsidRPr="002E707A" w:rsidRDefault="004C0483" w:rsidP="00A1791E">
            <w:pPr>
              <w:jc w:val="center"/>
              <w:rPr>
                <w:sz w:val="20"/>
                <w:szCs w:val="20"/>
                <w:lang w:val="pt-BR"/>
              </w:rPr>
            </w:pPr>
            <w:r w:rsidRPr="002E707A">
              <w:rPr>
                <w:sz w:val="20"/>
                <w:szCs w:val="20"/>
                <w:lang w:val="pt-BR"/>
              </w:rPr>
              <w:t>10</w:t>
            </w:r>
          </w:p>
        </w:tc>
        <w:tc>
          <w:tcPr>
            <w:tcW w:w="403" w:type="pct"/>
            <w:tcBorders>
              <w:top w:val="nil"/>
              <w:left w:val="nil"/>
              <w:bottom w:val="nil"/>
              <w:right w:val="nil"/>
            </w:tcBorders>
            <w:shd w:val="clear" w:color="auto" w:fill="auto"/>
          </w:tcPr>
          <w:p w14:paraId="515E55DC" w14:textId="77777777" w:rsidR="004C0483" w:rsidRPr="002E707A" w:rsidRDefault="004C0483" w:rsidP="00A1791E">
            <w:pPr>
              <w:jc w:val="center"/>
              <w:rPr>
                <w:sz w:val="20"/>
                <w:szCs w:val="20"/>
                <w:lang w:val="pt-BR"/>
              </w:rPr>
            </w:pPr>
            <w:r w:rsidRPr="002E707A">
              <w:rPr>
                <w:sz w:val="20"/>
                <w:szCs w:val="20"/>
                <w:lang w:val="pt-BR"/>
              </w:rPr>
              <w:t>7,0</w:t>
            </w:r>
          </w:p>
        </w:tc>
        <w:tc>
          <w:tcPr>
            <w:tcW w:w="403" w:type="pct"/>
            <w:tcBorders>
              <w:top w:val="nil"/>
              <w:left w:val="nil"/>
              <w:bottom w:val="nil"/>
              <w:right w:val="nil"/>
            </w:tcBorders>
            <w:shd w:val="clear" w:color="auto" w:fill="auto"/>
          </w:tcPr>
          <w:p w14:paraId="2B10CC77" w14:textId="77777777" w:rsidR="004C0483" w:rsidRPr="002E707A" w:rsidRDefault="004C0483" w:rsidP="00A1791E">
            <w:pPr>
              <w:jc w:val="center"/>
              <w:rPr>
                <w:sz w:val="20"/>
                <w:szCs w:val="20"/>
                <w:lang w:val="pt-BR"/>
              </w:rPr>
            </w:pPr>
            <w:r w:rsidRPr="002E707A">
              <w:rPr>
                <w:sz w:val="20"/>
                <w:szCs w:val="20"/>
                <w:lang w:val="pt-BR"/>
              </w:rPr>
              <w:t>0</w:t>
            </w:r>
          </w:p>
        </w:tc>
        <w:tc>
          <w:tcPr>
            <w:tcW w:w="402" w:type="pct"/>
            <w:tcBorders>
              <w:top w:val="nil"/>
              <w:left w:val="nil"/>
              <w:bottom w:val="nil"/>
              <w:right w:val="nil"/>
            </w:tcBorders>
            <w:shd w:val="clear" w:color="auto" w:fill="auto"/>
          </w:tcPr>
          <w:p w14:paraId="3E80A827" w14:textId="77777777" w:rsidR="004C0483" w:rsidRPr="002E707A" w:rsidRDefault="004C0483" w:rsidP="00A1791E">
            <w:pPr>
              <w:jc w:val="center"/>
              <w:rPr>
                <w:sz w:val="20"/>
                <w:szCs w:val="20"/>
                <w:lang w:val="pt-BR"/>
              </w:rPr>
            </w:pPr>
            <w:r w:rsidRPr="002E707A">
              <w:rPr>
                <w:sz w:val="20"/>
                <w:szCs w:val="20"/>
                <w:lang w:val="pt-BR"/>
              </w:rPr>
              <w:t>0</w:t>
            </w:r>
          </w:p>
        </w:tc>
      </w:tr>
      <w:tr w:rsidR="004C0483" w:rsidRPr="002E707A" w14:paraId="5570B1D2" w14:textId="77777777" w:rsidTr="00A1791E">
        <w:trPr>
          <w:trHeight w:val="20"/>
          <w:jc w:val="center"/>
        </w:trPr>
        <w:tc>
          <w:tcPr>
            <w:tcW w:w="834" w:type="pct"/>
            <w:vMerge/>
            <w:tcBorders>
              <w:left w:val="nil"/>
              <w:right w:val="nil"/>
            </w:tcBorders>
            <w:shd w:val="clear" w:color="auto" w:fill="auto"/>
            <w:vAlign w:val="center"/>
          </w:tcPr>
          <w:p w14:paraId="1F2186F6" w14:textId="77777777" w:rsidR="004C0483" w:rsidRPr="002E707A" w:rsidRDefault="004C0483" w:rsidP="00A1791E">
            <w:pPr>
              <w:rPr>
                <w:b/>
                <w:sz w:val="20"/>
                <w:szCs w:val="20"/>
                <w:lang w:val="pt-BR"/>
              </w:rPr>
            </w:pPr>
          </w:p>
        </w:tc>
        <w:tc>
          <w:tcPr>
            <w:tcW w:w="1750" w:type="pct"/>
            <w:tcBorders>
              <w:top w:val="nil"/>
              <w:left w:val="nil"/>
              <w:bottom w:val="nil"/>
              <w:right w:val="nil"/>
            </w:tcBorders>
            <w:shd w:val="clear" w:color="auto" w:fill="auto"/>
          </w:tcPr>
          <w:p w14:paraId="64434476" w14:textId="77777777" w:rsidR="004C0483" w:rsidRPr="002E707A" w:rsidRDefault="004C0483" w:rsidP="00A1791E">
            <w:pPr>
              <w:rPr>
                <w:sz w:val="20"/>
                <w:szCs w:val="20"/>
                <w:lang w:val="pt-BR"/>
              </w:rPr>
            </w:pPr>
            <w:r w:rsidRPr="002E707A">
              <w:rPr>
                <w:sz w:val="20"/>
                <w:szCs w:val="20"/>
                <w:lang w:val="pt-BR"/>
              </w:rPr>
              <w:t>Ensino Superior incompleto</w:t>
            </w:r>
          </w:p>
        </w:tc>
        <w:tc>
          <w:tcPr>
            <w:tcW w:w="402" w:type="pct"/>
            <w:tcBorders>
              <w:top w:val="nil"/>
              <w:left w:val="nil"/>
              <w:bottom w:val="nil"/>
              <w:right w:val="nil"/>
            </w:tcBorders>
            <w:shd w:val="clear" w:color="auto" w:fill="auto"/>
          </w:tcPr>
          <w:p w14:paraId="03A64C72" w14:textId="77777777" w:rsidR="004C0483" w:rsidRPr="002E707A" w:rsidRDefault="004C0483" w:rsidP="00A1791E">
            <w:pPr>
              <w:jc w:val="center"/>
              <w:rPr>
                <w:sz w:val="20"/>
                <w:szCs w:val="20"/>
                <w:lang w:val="pt-BR"/>
              </w:rPr>
            </w:pPr>
            <w:r w:rsidRPr="002E707A">
              <w:rPr>
                <w:sz w:val="20"/>
                <w:szCs w:val="20"/>
                <w:lang w:val="pt-BR"/>
              </w:rPr>
              <w:t>71</w:t>
            </w:r>
          </w:p>
        </w:tc>
        <w:tc>
          <w:tcPr>
            <w:tcW w:w="403" w:type="pct"/>
            <w:tcBorders>
              <w:top w:val="nil"/>
              <w:left w:val="nil"/>
              <w:bottom w:val="nil"/>
              <w:right w:val="nil"/>
            </w:tcBorders>
            <w:shd w:val="clear" w:color="auto" w:fill="auto"/>
          </w:tcPr>
          <w:p w14:paraId="1DCF6245" w14:textId="77777777" w:rsidR="004C0483" w:rsidRPr="002E707A" w:rsidRDefault="004C0483" w:rsidP="00A1791E">
            <w:pPr>
              <w:jc w:val="center"/>
              <w:rPr>
                <w:sz w:val="20"/>
                <w:szCs w:val="20"/>
                <w:lang w:val="pt-BR"/>
              </w:rPr>
            </w:pPr>
            <w:r w:rsidRPr="002E707A">
              <w:rPr>
                <w:sz w:val="20"/>
                <w:szCs w:val="20"/>
                <w:lang w:val="pt-BR"/>
              </w:rPr>
              <w:t>31,6</w:t>
            </w:r>
          </w:p>
        </w:tc>
        <w:tc>
          <w:tcPr>
            <w:tcW w:w="403" w:type="pct"/>
            <w:tcBorders>
              <w:top w:val="nil"/>
              <w:left w:val="nil"/>
              <w:bottom w:val="nil"/>
              <w:right w:val="nil"/>
            </w:tcBorders>
            <w:shd w:val="clear" w:color="auto" w:fill="auto"/>
          </w:tcPr>
          <w:p w14:paraId="37F9B507" w14:textId="77777777" w:rsidR="004C0483" w:rsidRPr="002E707A" w:rsidRDefault="004C0483" w:rsidP="00A1791E">
            <w:pPr>
              <w:jc w:val="center"/>
              <w:rPr>
                <w:sz w:val="20"/>
                <w:szCs w:val="20"/>
                <w:lang w:val="pt-BR"/>
              </w:rPr>
            </w:pPr>
            <w:r w:rsidRPr="002E707A">
              <w:rPr>
                <w:sz w:val="20"/>
                <w:szCs w:val="20"/>
                <w:lang w:val="pt-BR"/>
              </w:rPr>
              <w:t>43</w:t>
            </w:r>
          </w:p>
        </w:tc>
        <w:tc>
          <w:tcPr>
            <w:tcW w:w="403" w:type="pct"/>
            <w:tcBorders>
              <w:top w:val="nil"/>
              <w:left w:val="nil"/>
              <w:bottom w:val="nil"/>
              <w:right w:val="nil"/>
            </w:tcBorders>
            <w:shd w:val="clear" w:color="auto" w:fill="auto"/>
          </w:tcPr>
          <w:p w14:paraId="01A29DB8" w14:textId="77777777" w:rsidR="004C0483" w:rsidRPr="002E707A" w:rsidRDefault="004C0483" w:rsidP="00A1791E">
            <w:pPr>
              <w:jc w:val="center"/>
              <w:rPr>
                <w:sz w:val="20"/>
                <w:szCs w:val="20"/>
                <w:lang w:val="pt-BR"/>
              </w:rPr>
            </w:pPr>
            <w:r w:rsidRPr="002E707A">
              <w:rPr>
                <w:sz w:val="20"/>
                <w:szCs w:val="20"/>
                <w:lang w:val="pt-BR"/>
              </w:rPr>
              <w:t>30,1</w:t>
            </w:r>
          </w:p>
        </w:tc>
        <w:tc>
          <w:tcPr>
            <w:tcW w:w="403" w:type="pct"/>
            <w:tcBorders>
              <w:top w:val="nil"/>
              <w:left w:val="nil"/>
              <w:bottom w:val="nil"/>
              <w:right w:val="nil"/>
            </w:tcBorders>
            <w:shd w:val="clear" w:color="auto" w:fill="auto"/>
          </w:tcPr>
          <w:p w14:paraId="56895CF5" w14:textId="77777777" w:rsidR="004C0483" w:rsidRPr="002E707A" w:rsidRDefault="004C0483" w:rsidP="00A1791E">
            <w:pPr>
              <w:jc w:val="center"/>
              <w:rPr>
                <w:sz w:val="20"/>
                <w:szCs w:val="20"/>
                <w:lang w:val="pt-BR"/>
              </w:rPr>
            </w:pPr>
            <w:r w:rsidRPr="002E707A">
              <w:rPr>
                <w:sz w:val="20"/>
                <w:szCs w:val="20"/>
                <w:lang w:val="pt-BR"/>
              </w:rPr>
              <w:t>4</w:t>
            </w:r>
          </w:p>
        </w:tc>
        <w:tc>
          <w:tcPr>
            <w:tcW w:w="402" w:type="pct"/>
            <w:tcBorders>
              <w:top w:val="nil"/>
              <w:left w:val="nil"/>
              <w:bottom w:val="nil"/>
              <w:right w:val="nil"/>
            </w:tcBorders>
            <w:shd w:val="clear" w:color="auto" w:fill="auto"/>
          </w:tcPr>
          <w:p w14:paraId="6EBFF6EC" w14:textId="77777777" w:rsidR="004C0483" w:rsidRPr="002E707A" w:rsidRDefault="004C0483" w:rsidP="00A1791E">
            <w:pPr>
              <w:jc w:val="center"/>
              <w:rPr>
                <w:sz w:val="20"/>
                <w:szCs w:val="20"/>
                <w:lang w:val="pt-BR"/>
              </w:rPr>
            </w:pPr>
            <w:r w:rsidRPr="002E707A">
              <w:rPr>
                <w:sz w:val="20"/>
                <w:szCs w:val="20"/>
                <w:lang w:val="pt-BR"/>
              </w:rPr>
              <w:t>26,7</w:t>
            </w:r>
          </w:p>
        </w:tc>
      </w:tr>
      <w:tr w:rsidR="004C0483" w:rsidRPr="002E707A" w14:paraId="6427C4AE" w14:textId="77777777" w:rsidTr="00A1791E">
        <w:trPr>
          <w:trHeight w:val="20"/>
          <w:jc w:val="center"/>
        </w:trPr>
        <w:tc>
          <w:tcPr>
            <w:tcW w:w="834" w:type="pct"/>
            <w:vMerge/>
            <w:tcBorders>
              <w:left w:val="nil"/>
              <w:bottom w:val="nil"/>
              <w:right w:val="nil"/>
            </w:tcBorders>
            <w:shd w:val="clear" w:color="auto" w:fill="auto"/>
            <w:vAlign w:val="center"/>
          </w:tcPr>
          <w:p w14:paraId="5F62A951" w14:textId="77777777" w:rsidR="004C0483" w:rsidRPr="002E707A" w:rsidRDefault="004C0483" w:rsidP="00A1791E">
            <w:pPr>
              <w:rPr>
                <w:b/>
                <w:sz w:val="20"/>
                <w:szCs w:val="20"/>
                <w:lang w:val="pt-BR"/>
              </w:rPr>
            </w:pPr>
          </w:p>
        </w:tc>
        <w:tc>
          <w:tcPr>
            <w:tcW w:w="1750" w:type="pct"/>
            <w:tcBorders>
              <w:top w:val="nil"/>
              <w:left w:val="nil"/>
              <w:bottom w:val="nil"/>
              <w:right w:val="nil"/>
            </w:tcBorders>
            <w:shd w:val="clear" w:color="auto" w:fill="auto"/>
          </w:tcPr>
          <w:p w14:paraId="67067512" w14:textId="77777777" w:rsidR="004C0483" w:rsidRPr="002E707A" w:rsidRDefault="004C0483" w:rsidP="00A1791E">
            <w:pPr>
              <w:rPr>
                <w:sz w:val="20"/>
                <w:szCs w:val="20"/>
                <w:lang w:val="pt-BR"/>
              </w:rPr>
            </w:pPr>
            <w:r w:rsidRPr="002E707A">
              <w:rPr>
                <w:sz w:val="20"/>
                <w:szCs w:val="20"/>
                <w:lang w:val="pt-BR"/>
              </w:rPr>
              <w:t>Ensino Superior completo</w:t>
            </w:r>
          </w:p>
        </w:tc>
        <w:tc>
          <w:tcPr>
            <w:tcW w:w="402" w:type="pct"/>
            <w:tcBorders>
              <w:top w:val="nil"/>
              <w:left w:val="nil"/>
              <w:bottom w:val="nil"/>
              <w:right w:val="nil"/>
            </w:tcBorders>
            <w:shd w:val="clear" w:color="auto" w:fill="auto"/>
          </w:tcPr>
          <w:p w14:paraId="7DC61BE9" w14:textId="77777777" w:rsidR="004C0483" w:rsidRPr="002E707A" w:rsidRDefault="004C0483" w:rsidP="00A1791E">
            <w:pPr>
              <w:jc w:val="center"/>
              <w:rPr>
                <w:sz w:val="20"/>
                <w:szCs w:val="20"/>
                <w:lang w:val="pt-BR"/>
              </w:rPr>
            </w:pPr>
            <w:r w:rsidRPr="002E707A">
              <w:rPr>
                <w:sz w:val="20"/>
                <w:szCs w:val="20"/>
                <w:lang w:val="pt-BR"/>
              </w:rPr>
              <w:t>59</w:t>
            </w:r>
          </w:p>
        </w:tc>
        <w:tc>
          <w:tcPr>
            <w:tcW w:w="403" w:type="pct"/>
            <w:tcBorders>
              <w:top w:val="nil"/>
              <w:left w:val="nil"/>
              <w:bottom w:val="nil"/>
              <w:right w:val="nil"/>
            </w:tcBorders>
            <w:shd w:val="clear" w:color="auto" w:fill="auto"/>
          </w:tcPr>
          <w:p w14:paraId="3429BAD2" w14:textId="77777777" w:rsidR="004C0483" w:rsidRPr="002E707A" w:rsidRDefault="004C0483" w:rsidP="00A1791E">
            <w:pPr>
              <w:jc w:val="center"/>
              <w:rPr>
                <w:sz w:val="20"/>
                <w:szCs w:val="20"/>
                <w:lang w:val="pt-BR"/>
              </w:rPr>
            </w:pPr>
            <w:r w:rsidRPr="002E707A">
              <w:rPr>
                <w:sz w:val="20"/>
                <w:szCs w:val="20"/>
                <w:lang w:val="pt-BR"/>
              </w:rPr>
              <w:t>26,2</w:t>
            </w:r>
          </w:p>
        </w:tc>
        <w:tc>
          <w:tcPr>
            <w:tcW w:w="403" w:type="pct"/>
            <w:tcBorders>
              <w:top w:val="nil"/>
              <w:left w:val="nil"/>
              <w:bottom w:val="nil"/>
              <w:right w:val="nil"/>
            </w:tcBorders>
            <w:shd w:val="clear" w:color="auto" w:fill="auto"/>
          </w:tcPr>
          <w:p w14:paraId="3FF0E9D3" w14:textId="77777777" w:rsidR="004C0483" w:rsidRPr="002E707A" w:rsidRDefault="004C0483" w:rsidP="00A1791E">
            <w:pPr>
              <w:jc w:val="center"/>
              <w:rPr>
                <w:sz w:val="20"/>
                <w:szCs w:val="20"/>
                <w:lang w:val="pt-BR"/>
              </w:rPr>
            </w:pPr>
            <w:r w:rsidRPr="002E707A">
              <w:rPr>
                <w:sz w:val="20"/>
                <w:szCs w:val="20"/>
                <w:lang w:val="pt-BR"/>
              </w:rPr>
              <w:t>47</w:t>
            </w:r>
          </w:p>
        </w:tc>
        <w:tc>
          <w:tcPr>
            <w:tcW w:w="403" w:type="pct"/>
            <w:tcBorders>
              <w:top w:val="nil"/>
              <w:left w:val="nil"/>
              <w:bottom w:val="nil"/>
              <w:right w:val="nil"/>
            </w:tcBorders>
            <w:shd w:val="clear" w:color="auto" w:fill="auto"/>
          </w:tcPr>
          <w:p w14:paraId="18470DD6" w14:textId="77777777" w:rsidR="004C0483" w:rsidRPr="002E707A" w:rsidRDefault="004C0483" w:rsidP="00A1791E">
            <w:pPr>
              <w:jc w:val="center"/>
              <w:rPr>
                <w:sz w:val="20"/>
                <w:szCs w:val="20"/>
                <w:lang w:val="pt-BR"/>
              </w:rPr>
            </w:pPr>
            <w:r w:rsidRPr="002E707A">
              <w:rPr>
                <w:sz w:val="20"/>
                <w:szCs w:val="20"/>
                <w:lang w:val="pt-BR"/>
              </w:rPr>
              <w:t>32,9</w:t>
            </w:r>
          </w:p>
        </w:tc>
        <w:tc>
          <w:tcPr>
            <w:tcW w:w="403" w:type="pct"/>
            <w:tcBorders>
              <w:top w:val="nil"/>
              <w:left w:val="nil"/>
              <w:bottom w:val="nil"/>
              <w:right w:val="nil"/>
            </w:tcBorders>
            <w:shd w:val="clear" w:color="auto" w:fill="auto"/>
          </w:tcPr>
          <w:p w14:paraId="78EA7779" w14:textId="77777777" w:rsidR="004C0483" w:rsidRPr="002E707A" w:rsidRDefault="004C0483" w:rsidP="00A1791E">
            <w:pPr>
              <w:jc w:val="center"/>
              <w:rPr>
                <w:sz w:val="20"/>
                <w:szCs w:val="20"/>
                <w:lang w:val="pt-BR"/>
              </w:rPr>
            </w:pPr>
            <w:r w:rsidRPr="002E707A">
              <w:rPr>
                <w:sz w:val="20"/>
                <w:szCs w:val="20"/>
                <w:lang w:val="pt-BR"/>
              </w:rPr>
              <w:t>3</w:t>
            </w:r>
          </w:p>
        </w:tc>
        <w:tc>
          <w:tcPr>
            <w:tcW w:w="402" w:type="pct"/>
            <w:tcBorders>
              <w:top w:val="nil"/>
              <w:left w:val="nil"/>
              <w:bottom w:val="nil"/>
              <w:right w:val="nil"/>
            </w:tcBorders>
            <w:shd w:val="clear" w:color="auto" w:fill="auto"/>
          </w:tcPr>
          <w:p w14:paraId="55F647A7" w14:textId="77777777" w:rsidR="004C0483" w:rsidRPr="002E707A" w:rsidRDefault="004C0483" w:rsidP="00A1791E">
            <w:pPr>
              <w:jc w:val="center"/>
              <w:rPr>
                <w:sz w:val="20"/>
                <w:szCs w:val="20"/>
                <w:lang w:val="pt-BR"/>
              </w:rPr>
            </w:pPr>
            <w:r w:rsidRPr="002E707A">
              <w:rPr>
                <w:sz w:val="20"/>
                <w:szCs w:val="20"/>
                <w:lang w:val="pt-BR"/>
              </w:rPr>
              <w:t>20,0</w:t>
            </w:r>
          </w:p>
        </w:tc>
      </w:tr>
      <w:tr w:rsidR="004C0483" w:rsidRPr="002E707A" w14:paraId="2C83030A" w14:textId="77777777" w:rsidTr="00A1791E">
        <w:trPr>
          <w:trHeight w:val="20"/>
          <w:jc w:val="center"/>
        </w:trPr>
        <w:tc>
          <w:tcPr>
            <w:tcW w:w="834" w:type="pct"/>
            <w:tcBorders>
              <w:top w:val="nil"/>
              <w:left w:val="nil"/>
              <w:bottom w:val="single" w:sz="2" w:space="0" w:color="auto"/>
              <w:right w:val="nil"/>
            </w:tcBorders>
            <w:shd w:val="clear" w:color="auto" w:fill="auto"/>
            <w:vAlign w:val="center"/>
          </w:tcPr>
          <w:p w14:paraId="64B14071" w14:textId="77777777" w:rsidR="004C0483" w:rsidRPr="002E707A" w:rsidRDefault="004C0483" w:rsidP="00A1791E">
            <w:pPr>
              <w:rPr>
                <w:b/>
                <w:sz w:val="20"/>
                <w:szCs w:val="20"/>
                <w:lang w:val="pt-BR"/>
              </w:rPr>
            </w:pPr>
          </w:p>
        </w:tc>
        <w:tc>
          <w:tcPr>
            <w:tcW w:w="1750" w:type="pct"/>
            <w:tcBorders>
              <w:top w:val="nil"/>
              <w:left w:val="nil"/>
              <w:bottom w:val="single" w:sz="2" w:space="0" w:color="auto"/>
              <w:right w:val="nil"/>
            </w:tcBorders>
            <w:shd w:val="clear" w:color="auto" w:fill="auto"/>
          </w:tcPr>
          <w:p w14:paraId="7F022B34" w14:textId="77777777" w:rsidR="004C0483" w:rsidRPr="002E707A" w:rsidRDefault="004C0483" w:rsidP="00A1791E">
            <w:pPr>
              <w:rPr>
                <w:sz w:val="20"/>
                <w:szCs w:val="20"/>
                <w:lang w:val="pt-BR"/>
              </w:rPr>
            </w:pPr>
            <w:r w:rsidRPr="002E707A">
              <w:rPr>
                <w:sz w:val="20"/>
                <w:szCs w:val="20"/>
                <w:lang w:val="pt-BR"/>
              </w:rPr>
              <w:t>Pós-Graduado</w:t>
            </w:r>
          </w:p>
        </w:tc>
        <w:tc>
          <w:tcPr>
            <w:tcW w:w="402" w:type="pct"/>
            <w:tcBorders>
              <w:top w:val="nil"/>
              <w:left w:val="nil"/>
              <w:bottom w:val="single" w:sz="2" w:space="0" w:color="auto"/>
              <w:right w:val="nil"/>
            </w:tcBorders>
            <w:shd w:val="clear" w:color="auto" w:fill="auto"/>
          </w:tcPr>
          <w:p w14:paraId="11406946" w14:textId="77777777" w:rsidR="004C0483" w:rsidRPr="002E707A" w:rsidRDefault="004C0483" w:rsidP="00A1791E">
            <w:pPr>
              <w:jc w:val="center"/>
              <w:rPr>
                <w:sz w:val="20"/>
                <w:szCs w:val="20"/>
                <w:lang w:val="pt-BR"/>
              </w:rPr>
            </w:pPr>
            <w:r w:rsidRPr="002E707A">
              <w:rPr>
                <w:sz w:val="20"/>
                <w:szCs w:val="20"/>
                <w:lang w:val="pt-BR"/>
              </w:rPr>
              <w:t>80</w:t>
            </w:r>
          </w:p>
        </w:tc>
        <w:tc>
          <w:tcPr>
            <w:tcW w:w="403" w:type="pct"/>
            <w:tcBorders>
              <w:top w:val="nil"/>
              <w:left w:val="nil"/>
              <w:bottom w:val="single" w:sz="2" w:space="0" w:color="auto"/>
              <w:right w:val="nil"/>
            </w:tcBorders>
            <w:shd w:val="clear" w:color="auto" w:fill="auto"/>
          </w:tcPr>
          <w:p w14:paraId="6F134DD0" w14:textId="77777777" w:rsidR="004C0483" w:rsidRPr="002E707A" w:rsidRDefault="004C0483" w:rsidP="00A1791E">
            <w:pPr>
              <w:jc w:val="center"/>
              <w:rPr>
                <w:sz w:val="20"/>
                <w:szCs w:val="20"/>
                <w:lang w:val="pt-BR"/>
              </w:rPr>
            </w:pPr>
            <w:r w:rsidRPr="002E707A">
              <w:rPr>
                <w:sz w:val="20"/>
                <w:szCs w:val="20"/>
                <w:lang w:val="pt-BR"/>
              </w:rPr>
              <w:t>35,6</w:t>
            </w:r>
          </w:p>
        </w:tc>
        <w:tc>
          <w:tcPr>
            <w:tcW w:w="403" w:type="pct"/>
            <w:tcBorders>
              <w:top w:val="nil"/>
              <w:left w:val="nil"/>
              <w:bottom w:val="single" w:sz="2" w:space="0" w:color="auto"/>
              <w:right w:val="nil"/>
            </w:tcBorders>
            <w:shd w:val="clear" w:color="auto" w:fill="auto"/>
          </w:tcPr>
          <w:p w14:paraId="529D04EB" w14:textId="77777777" w:rsidR="004C0483" w:rsidRPr="002E707A" w:rsidRDefault="004C0483" w:rsidP="00A1791E">
            <w:pPr>
              <w:jc w:val="center"/>
              <w:rPr>
                <w:sz w:val="20"/>
                <w:szCs w:val="20"/>
                <w:lang w:val="pt-BR"/>
              </w:rPr>
            </w:pPr>
            <w:r w:rsidRPr="002E707A">
              <w:rPr>
                <w:sz w:val="20"/>
                <w:szCs w:val="20"/>
                <w:lang w:val="pt-BR"/>
              </w:rPr>
              <w:t>42</w:t>
            </w:r>
          </w:p>
        </w:tc>
        <w:tc>
          <w:tcPr>
            <w:tcW w:w="403" w:type="pct"/>
            <w:tcBorders>
              <w:top w:val="nil"/>
              <w:left w:val="nil"/>
              <w:bottom w:val="single" w:sz="2" w:space="0" w:color="auto"/>
              <w:right w:val="nil"/>
            </w:tcBorders>
            <w:shd w:val="clear" w:color="auto" w:fill="auto"/>
          </w:tcPr>
          <w:p w14:paraId="6CD29BFC" w14:textId="77777777" w:rsidR="004C0483" w:rsidRPr="002E707A" w:rsidRDefault="004C0483" w:rsidP="00A1791E">
            <w:pPr>
              <w:jc w:val="center"/>
              <w:rPr>
                <w:sz w:val="20"/>
                <w:szCs w:val="20"/>
                <w:lang w:val="pt-BR"/>
              </w:rPr>
            </w:pPr>
            <w:r w:rsidRPr="002E707A">
              <w:rPr>
                <w:sz w:val="20"/>
                <w:szCs w:val="20"/>
                <w:lang w:val="pt-BR"/>
              </w:rPr>
              <w:t>29,4</w:t>
            </w:r>
          </w:p>
        </w:tc>
        <w:tc>
          <w:tcPr>
            <w:tcW w:w="403" w:type="pct"/>
            <w:tcBorders>
              <w:top w:val="nil"/>
              <w:left w:val="nil"/>
              <w:bottom w:val="single" w:sz="2" w:space="0" w:color="auto"/>
              <w:right w:val="nil"/>
            </w:tcBorders>
            <w:shd w:val="clear" w:color="auto" w:fill="auto"/>
          </w:tcPr>
          <w:p w14:paraId="66B712F9" w14:textId="77777777" w:rsidR="004C0483" w:rsidRPr="002E707A" w:rsidRDefault="004C0483" w:rsidP="00A1791E">
            <w:pPr>
              <w:jc w:val="center"/>
              <w:rPr>
                <w:sz w:val="20"/>
                <w:szCs w:val="20"/>
                <w:lang w:val="pt-BR"/>
              </w:rPr>
            </w:pPr>
            <w:r w:rsidRPr="002E707A">
              <w:rPr>
                <w:sz w:val="20"/>
                <w:szCs w:val="20"/>
                <w:lang w:val="pt-BR"/>
              </w:rPr>
              <w:t>8</w:t>
            </w:r>
          </w:p>
        </w:tc>
        <w:tc>
          <w:tcPr>
            <w:tcW w:w="402" w:type="pct"/>
            <w:tcBorders>
              <w:top w:val="nil"/>
              <w:left w:val="nil"/>
              <w:bottom w:val="single" w:sz="2" w:space="0" w:color="auto"/>
              <w:right w:val="nil"/>
            </w:tcBorders>
            <w:shd w:val="clear" w:color="auto" w:fill="auto"/>
          </w:tcPr>
          <w:p w14:paraId="185FC130" w14:textId="77777777" w:rsidR="004C0483" w:rsidRPr="002E707A" w:rsidRDefault="004C0483" w:rsidP="00A1791E">
            <w:pPr>
              <w:jc w:val="center"/>
              <w:rPr>
                <w:sz w:val="20"/>
                <w:szCs w:val="20"/>
                <w:lang w:val="pt-BR"/>
              </w:rPr>
            </w:pPr>
            <w:r w:rsidRPr="002E707A">
              <w:rPr>
                <w:sz w:val="20"/>
                <w:szCs w:val="20"/>
                <w:lang w:val="pt-BR"/>
              </w:rPr>
              <w:t>53,3</w:t>
            </w:r>
          </w:p>
        </w:tc>
      </w:tr>
      <w:tr w:rsidR="004C0483" w:rsidRPr="002E707A" w14:paraId="29372910" w14:textId="77777777" w:rsidTr="00A1791E">
        <w:trPr>
          <w:trHeight w:val="20"/>
          <w:jc w:val="center"/>
        </w:trPr>
        <w:tc>
          <w:tcPr>
            <w:tcW w:w="834" w:type="pct"/>
            <w:vMerge w:val="restart"/>
            <w:tcBorders>
              <w:top w:val="single" w:sz="2" w:space="0" w:color="auto"/>
              <w:left w:val="nil"/>
              <w:right w:val="nil"/>
            </w:tcBorders>
            <w:shd w:val="clear" w:color="auto" w:fill="auto"/>
            <w:vAlign w:val="center"/>
          </w:tcPr>
          <w:p w14:paraId="39185DBE" w14:textId="77777777" w:rsidR="004C0483" w:rsidRPr="002E707A" w:rsidRDefault="004C0483" w:rsidP="00A1791E">
            <w:pPr>
              <w:rPr>
                <w:b/>
                <w:sz w:val="20"/>
                <w:szCs w:val="20"/>
                <w:lang w:val="pt-BR"/>
              </w:rPr>
            </w:pPr>
            <w:r w:rsidRPr="002E707A">
              <w:rPr>
                <w:b/>
                <w:bCs/>
                <w:sz w:val="20"/>
                <w:szCs w:val="20"/>
                <w:lang w:val="pt-BR"/>
              </w:rPr>
              <w:t>Renda Individual</w:t>
            </w:r>
          </w:p>
        </w:tc>
        <w:tc>
          <w:tcPr>
            <w:tcW w:w="1750" w:type="pct"/>
            <w:tcBorders>
              <w:top w:val="single" w:sz="2" w:space="0" w:color="auto"/>
              <w:left w:val="nil"/>
              <w:bottom w:val="nil"/>
              <w:right w:val="nil"/>
            </w:tcBorders>
            <w:shd w:val="clear" w:color="auto" w:fill="auto"/>
          </w:tcPr>
          <w:p w14:paraId="76D103F5" w14:textId="77777777" w:rsidR="004C0483" w:rsidRPr="002E707A" w:rsidRDefault="004C0483" w:rsidP="00A1791E">
            <w:pPr>
              <w:rPr>
                <w:sz w:val="20"/>
                <w:szCs w:val="20"/>
                <w:lang w:val="pt-BR"/>
              </w:rPr>
            </w:pPr>
            <w:r w:rsidRPr="002E707A">
              <w:rPr>
                <w:sz w:val="20"/>
                <w:szCs w:val="20"/>
                <w:lang w:val="pt-BR"/>
              </w:rPr>
              <w:t xml:space="preserve">Até 1 salário-mínimo </w:t>
            </w:r>
          </w:p>
          <w:p w14:paraId="4B91C836" w14:textId="77777777" w:rsidR="004C0483" w:rsidRPr="002E707A" w:rsidRDefault="004C0483" w:rsidP="00A1791E">
            <w:pPr>
              <w:rPr>
                <w:sz w:val="20"/>
                <w:szCs w:val="20"/>
                <w:lang w:val="pt-BR"/>
              </w:rPr>
            </w:pPr>
            <w:r w:rsidRPr="002E707A">
              <w:rPr>
                <w:sz w:val="20"/>
                <w:szCs w:val="20"/>
                <w:lang w:val="pt-BR"/>
              </w:rPr>
              <w:t>(menos de R$1.212,00)</w:t>
            </w:r>
          </w:p>
        </w:tc>
        <w:tc>
          <w:tcPr>
            <w:tcW w:w="402" w:type="pct"/>
            <w:tcBorders>
              <w:top w:val="single" w:sz="2" w:space="0" w:color="auto"/>
              <w:left w:val="nil"/>
              <w:bottom w:val="nil"/>
              <w:right w:val="nil"/>
            </w:tcBorders>
            <w:shd w:val="clear" w:color="auto" w:fill="auto"/>
          </w:tcPr>
          <w:p w14:paraId="32BAA359" w14:textId="77777777" w:rsidR="004C0483" w:rsidRPr="002E707A" w:rsidRDefault="004C0483" w:rsidP="00A1791E">
            <w:pPr>
              <w:jc w:val="center"/>
              <w:rPr>
                <w:sz w:val="20"/>
                <w:szCs w:val="20"/>
                <w:lang w:val="pt-BR"/>
              </w:rPr>
            </w:pPr>
            <w:r w:rsidRPr="002E707A">
              <w:rPr>
                <w:sz w:val="20"/>
                <w:szCs w:val="20"/>
                <w:lang w:val="pt-BR"/>
              </w:rPr>
              <w:t>53</w:t>
            </w:r>
          </w:p>
        </w:tc>
        <w:tc>
          <w:tcPr>
            <w:tcW w:w="403" w:type="pct"/>
            <w:tcBorders>
              <w:top w:val="single" w:sz="2" w:space="0" w:color="auto"/>
              <w:left w:val="nil"/>
              <w:bottom w:val="nil"/>
              <w:right w:val="nil"/>
            </w:tcBorders>
            <w:shd w:val="clear" w:color="auto" w:fill="auto"/>
          </w:tcPr>
          <w:p w14:paraId="3D195E1B" w14:textId="77777777" w:rsidR="004C0483" w:rsidRPr="002E707A" w:rsidRDefault="004C0483" w:rsidP="00A1791E">
            <w:pPr>
              <w:jc w:val="center"/>
              <w:rPr>
                <w:sz w:val="20"/>
                <w:szCs w:val="20"/>
                <w:lang w:val="pt-BR"/>
              </w:rPr>
            </w:pPr>
            <w:r w:rsidRPr="002E707A">
              <w:rPr>
                <w:sz w:val="20"/>
                <w:szCs w:val="20"/>
                <w:lang w:val="pt-BR"/>
              </w:rPr>
              <w:t>23,6</w:t>
            </w:r>
          </w:p>
        </w:tc>
        <w:tc>
          <w:tcPr>
            <w:tcW w:w="403" w:type="pct"/>
            <w:tcBorders>
              <w:top w:val="single" w:sz="2" w:space="0" w:color="auto"/>
              <w:left w:val="nil"/>
              <w:bottom w:val="nil"/>
              <w:right w:val="nil"/>
            </w:tcBorders>
            <w:shd w:val="clear" w:color="auto" w:fill="auto"/>
          </w:tcPr>
          <w:p w14:paraId="113C044F" w14:textId="77777777" w:rsidR="004C0483" w:rsidRPr="002E707A" w:rsidRDefault="004C0483" w:rsidP="00A1791E">
            <w:pPr>
              <w:jc w:val="center"/>
              <w:rPr>
                <w:sz w:val="20"/>
                <w:szCs w:val="20"/>
                <w:lang w:val="pt-BR"/>
              </w:rPr>
            </w:pPr>
            <w:r w:rsidRPr="002E707A">
              <w:rPr>
                <w:sz w:val="20"/>
                <w:szCs w:val="20"/>
                <w:lang w:val="pt-BR"/>
              </w:rPr>
              <w:t>25</w:t>
            </w:r>
          </w:p>
        </w:tc>
        <w:tc>
          <w:tcPr>
            <w:tcW w:w="403" w:type="pct"/>
            <w:tcBorders>
              <w:top w:val="single" w:sz="2" w:space="0" w:color="auto"/>
              <w:left w:val="nil"/>
              <w:bottom w:val="nil"/>
              <w:right w:val="nil"/>
            </w:tcBorders>
            <w:shd w:val="clear" w:color="auto" w:fill="auto"/>
          </w:tcPr>
          <w:p w14:paraId="467DFDA7" w14:textId="77777777" w:rsidR="004C0483" w:rsidRPr="002E707A" w:rsidRDefault="004C0483" w:rsidP="00A1791E">
            <w:pPr>
              <w:jc w:val="center"/>
              <w:rPr>
                <w:sz w:val="20"/>
                <w:szCs w:val="20"/>
                <w:lang w:val="pt-BR"/>
              </w:rPr>
            </w:pPr>
            <w:r w:rsidRPr="002E707A">
              <w:rPr>
                <w:sz w:val="20"/>
                <w:szCs w:val="20"/>
                <w:lang w:val="pt-BR"/>
              </w:rPr>
              <w:t>17,6</w:t>
            </w:r>
          </w:p>
        </w:tc>
        <w:tc>
          <w:tcPr>
            <w:tcW w:w="403" w:type="pct"/>
            <w:tcBorders>
              <w:top w:val="single" w:sz="2" w:space="0" w:color="auto"/>
              <w:left w:val="nil"/>
              <w:bottom w:val="nil"/>
              <w:right w:val="nil"/>
            </w:tcBorders>
            <w:shd w:val="clear" w:color="auto" w:fill="auto"/>
          </w:tcPr>
          <w:p w14:paraId="6A78B6EC" w14:textId="77777777" w:rsidR="004C0483" w:rsidRPr="002E707A" w:rsidRDefault="004C0483" w:rsidP="00A1791E">
            <w:pPr>
              <w:jc w:val="center"/>
              <w:rPr>
                <w:sz w:val="20"/>
                <w:szCs w:val="20"/>
                <w:lang w:val="pt-BR"/>
              </w:rPr>
            </w:pPr>
            <w:r w:rsidRPr="002E707A">
              <w:rPr>
                <w:sz w:val="20"/>
                <w:szCs w:val="20"/>
                <w:lang w:val="pt-BR"/>
              </w:rPr>
              <w:t>2</w:t>
            </w:r>
          </w:p>
        </w:tc>
        <w:tc>
          <w:tcPr>
            <w:tcW w:w="402" w:type="pct"/>
            <w:tcBorders>
              <w:top w:val="single" w:sz="2" w:space="0" w:color="auto"/>
              <w:left w:val="nil"/>
              <w:bottom w:val="nil"/>
              <w:right w:val="nil"/>
            </w:tcBorders>
            <w:shd w:val="clear" w:color="auto" w:fill="auto"/>
          </w:tcPr>
          <w:p w14:paraId="340E71F9" w14:textId="77777777" w:rsidR="004C0483" w:rsidRPr="002E707A" w:rsidRDefault="004C0483" w:rsidP="00A1791E">
            <w:pPr>
              <w:jc w:val="center"/>
              <w:rPr>
                <w:sz w:val="20"/>
                <w:szCs w:val="20"/>
                <w:lang w:val="pt-BR"/>
              </w:rPr>
            </w:pPr>
            <w:r w:rsidRPr="002E707A">
              <w:rPr>
                <w:sz w:val="20"/>
                <w:szCs w:val="20"/>
                <w:lang w:val="pt-BR"/>
              </w:rPr>
              <w:t>13,3</w:t>
            </w:r>
          </w:p>
        </w:tc>
      </w:tr>
      <w:tr w:rsidR="004C0483" w:rsidRPr="002E707A" w14:paraId="095837EC" w14:textId="77777777" w:rsidTr="00A1791E">
        <w:trPr>
          <w:trHeight w:val="20"/>
          <w:jc w:val="center"/>
        </w:trPr>
        <w:tc>
          <w:tcPr>
            <w:tcW w:w="834" w:type="pct"/>
            <w:vMerge/>
            <w:tcBorders>
              <w:left w:val="nil"/>
              <w:right w:val="nil"/>
            </w:tcBorders>
            <w:shd w:val="clear" w:color="auto" w:fill="auto"/>
          </w:tcPr>
          <w:p w14:paraId="442F08DA" w14:textId="77777777" w:rsidR="004C0483" w:rsidRPr="002E707A" w:rsidRDefault="004C0483" w:rsidP="00A1791E">
            <w:pPr>
              <w:rPr>
                <w:b/>
                <w:sz w:val="20"/>
                <w:szCs w:val="20"/>
                <w:lang w:val="pt-BR"/>
              </w:rPr>
            </w:pPr>
          </w:p>
        </w:tc>
        <w:tc>
          <w:tcPr>
            <w:tcW w:w="1750" w:type="pct"/>
            <w:tcBorders>
              <w:top w:val="nil"/>
              <w:left w:val="nil"/>
              <w:bottom w:val="nil"/>
              <w:right w:val="nil"/>
            </w:tcBorders>
            <w:shd w:val="clear" w:color="auto" w:fill="auto"/>
          </w:tcPr>
          <w:p w14:paraId="5B737C51" w14:textId="77777777" w:rsidR="004C0483" w:rsidRPr="002E707A" w:rsidRDefault="004C0483" w:rsidP="00A1791E">
            <w:pPr>
              <w:rPr>
                <w:sz w:val="20"/>
                <w:szCs w:val="20"/>
                <w:lang w:val="pt-BR"/>
              </w:rPr>
            </w:pPr>
            <w:r w:rsidRPr="002E707A">
              <w:rPr>
                <w:sz w:val="20"/>
                <w:szCs w:val="20"/>
                <w:lang w:val="pt-BR"/>
              </w:rPr>
              <w:t xml:space="preserve">1-2 salários-mínimos </w:t>
            </w:r>
          </w:p>
          <w:p w14:paraId="7875298E" w14:textId="77777777" w:rsidR="004C0483" w:rsidRPr="002E707A" w:rsidRDefault="004C0483" w:rsidP="00A1791E">
            <w:pPr>
              <w:rPr>
                <w:sz w:val="20"/>
                <w:szCs w:val="20"/>
                <w:lang w:val="pt-BR"/>
              </w:rPr>
            </w:pPr>
            <w:r w:rsidRPr="002E707A">
              <w:rPr>
                <w:sz w:val="20"/>
                <w:szCs w:val="20"/>
                <w:lang w:val="pt-BR"/>
              </w:rPr>
              <w:t>(R$1.212,01 à R$2.424,00)</w:t>
            </w:r>
          </w:p>
        </w:tc>
        <w:tc>
          <w:tcPr>
            <w:tcW w:w="402" w:type="pct"/>
            <w:tcBorders>
              <w:top w:val="nil"/>
              <w:left w:val="nil"/>
              <w:bottom w:val="nil"/>
              <w:right w:val="nil"/>
            </w:tcBorders>
            <w:shd w:val="clear" w:color="auto" w:fill="auto"/>
          </w:tcPr>
          <w:p w14:paraId="41C82FA3" w14:textId="77777777" w:rsidR="004C0483" w:rsidRPr="002E707A" w:rsidRDefault="004C0483" w:rsidP="00A1791E">
            <w:pPr>
              <w:jc w:val="center"/>
              <w:rPr>
                <w:sz w:val="20"/>
                <w:szCs w:val="20"/>
                <w:lang w:val="pt-BR"/>
              </w:rPr>
            </w:pPr>
            <w:r w:rsidRPr="002E707A">
              <w:rPr>
                <w:sz w:val="20"/>
                <w:szCs w:val="20"/>
                <w:lang w:val="pt-BR"/>
              </w:rPr>
              <w:t>42</w:t>
            </w:r>
          </w:p>
        </w:tc>
        <w:tc>
          <w:tcPr>
            <w:tcW w:w="403" w:type="pct"/>
            <w:tcBorders>
              <w:top w:val="nil"/>
              <w:left w:val="nil"/>
              <w:bottom w:val="nil"/>
              <w:right w:val="nil"/>
            </w:tcBorders>
            <w:shd w:val="clear" w:color="auto" w:fill="auto"/>
          </w:tcPr>
          <w:p w14:paraId="37D84E37" w14:textId="77777777" w:rsidR="004C0483" w:rsidRPr="002E707A" w:rsidRDefault="004C0483" w:rsidP="00A1791E">
            <w:pPr>
              <w:jc w:val="center"/>
              <w:rPr>
                <w:sz w:val="20"/>
                <w:szCs w:val="20"/>
                <w:lang w:val="pt-BR"/>
              </w:rPr>
            </w:pPr>
            <w:r w:rsidRPr="002E707A">
              <w:rPr>
                <w:sz w:val="20"/>
                <w:szCs w:val="20"/>
                <w:lang w:val="pt-BR"/>
              </w:rPr>
              <w:t>18,7</w:t>
            </w:r>
          </w:p>
        </w:tc>
        <w:tc>
          <w:tcPr>
            <w:tcW w:w="403" w:type="pct"/>
            <w:tcBorders>
              <w:top w:val="nil"/>
              <w:left w:val="nil"/>
              <w:bottom w:val="nil"/>
              <w:right w:val="nil"/>
            </w:tcBorders>
            <w:shd w:val="clear" w:color="auto" w:fill="auto"/>
          </w:tcPr>
          <w:p w14:paraId="003D7132" w14:textId="77777777" w:rsidR="004C0483" w:rsidRPr="002E707A" w:rsidRDefault="004C0483" w:rsidP="00A1791E">
            <w:pPr>
              <w:jc w:val="center"/>
              <w:rPr>
                <w:sz w:val="20"/>
                <w:szCs w:val="20"/>
                <w:lang w:val="pt-BR"/>
              </w:rPr>
            </w:pPr>
            <w:r w:rsidRPr="002E707A">
              <w:rPr>
                <w:sz w:val="20"/>
                <w:szCs w:val="20"/>
                <w:lang w:val="pt-BR"/>
              </w:rPr>
              <w:t>28</w:t>
            </w:r>
          </w:p>
        </w:tc>
        <w:tc>
          <w:tcPr>
            <w:tcW w:w="403" w:type="pct"/>
            <w:tcBorders>
              <w:top w:val="nil"/>
              <w:left w:val="nil"/>
              <w:bottom w:val="nil"/>
              <w:right w:val="nil"/>
            </w:tcBorders>
            <w:shd w:val="clear" w:color="auto" w:fill="auto"/>
          </w:tcPr>
          <w:p w14:paraId="502C3D24" w14:textId="77777777" w:rsidR="004C0483" w:rsidRPr="002E707A" w:rsidRDefault="004C0483" w:rsidP="00A1791E">
            <w:pPr>
              <w:jc w:val="center"/>
              <w:rPr>
                <w:sz w:val="20"/>
                <w:szCs w:val="20"/>
                <w:lang w:val="pt-BR"/>
              </w:rPr>
            </w:pPr>
            <w:r w:rsidRPr="002E707A">
              <w:rPr>
                <w:sz w:val="20"/>
                <w:szCs w:val="20"/>
                <w:lang w:val="pt-BR"/>
              </w:rPr>
              <w:t>19,7</w:t>
            </w:r>
          </w:p>
        </w:tc>
        <w:tc>
          <w:tcPr>
            <w:tcW w:w="403" w:type="pct"/>
            <w:tcBorders>
              <w:top w:val="nil"/>
              <w:left w:val="nil"/>
              <w:bottom w:val="nil"/>
              <w:right w:val="nil"/>
            </w:tcBorders>
            <w:shd w:val="clear" w:color="auto" w:fill="auto"/>
          </w:tcPr>
          <w:p w14:paraId="4C326DD6" w14:textId="77777777" w:rsidR="004C0483" w:rsidRPr="002E707A" w:rsidRDefault="004C0483" w:rsidP="00A1791E">
            <w:pPr>
              <w:jc w:val="center"/>
              <w:rPr>
                <w:sz w:val="20"/>
                <w:szCs w:val="20"/>
                <w:lang w:val="pt-BR"/>
              </w:rPr>
            </w:pPr>
            <w:r w:rsidRPr="002E707A">
              <w:rPr>
                <w:sz w:val="20"/>
                <w:szCs w:val="20"/>
                <w:lang w:val="pt-BR"/>
              </w:rPr>
              <w:t>2</w:t>
            </w:r>
          </w:p>
        </w:tc>
        <w:tc>
          <w:tcPr>
            <w:tcW w:w="402" w:type="pct"/>
            <w:tcBorders>
              <w:top w:val="nil"/>
              <w:left w:val="nil"/>
              <w:bottom w:val="nil"/>
              <w:right w:val="nil"/>
            </w:tcBorders>
            <w:shd w:val="clear" w:color="auto" w:fill="auto"/>
          </w:tcPr>
          <w:p w14:paraId="45AC9836" w14:textId="77777777" w:rsidR="004C0483" w:rsidRPr="002E707A" w:rsidRDefault="004C0483" w:rsidP="00A1791E">
            <w:pPr>
              <w:jc w:val="center"/>
              <w:rPr>
                <w:sz w:val="20"/>
                <w:szCs w:val="20"/>
                <w:lang w:val="pt-BR"/>
              </w:rPr>
            </w:pPr>
            <w:r w:rsidRPr="002E707A">
              <w:rPr>
                <w:sz w:val="20"/>
                <w:szCs w:val="20"/>
                <w:lang w:val="pt-BR"/>
              </w:rPr>
              <w:t>13,3</w:t>
            </w:r>
          </w:p>
        </w:tc>
      </w:tr>
      <w:tr w:rsidR="004C0483" w:rsidRPr="002E707A" w14:paraId="2F547503" w14:textId="77777777" w:rsidTr="00A1791E">
        <w:trPr>
          <w:trHeight w:val="20"/>
          <w:jc w:val="center"/>
        </w:trPr>
        <w:tc>
          <w:tcPr>
            <w:tcW w:w="834" w:type="pct"/>
            <w:vMerge/>
            <w:tcBorders>
              <w:left w:val="nil"/>
              <w:right w:val="nil"/>
            </w:tcBorders>
            <w:shd w:val="clear" w:color="auto" w:fill="auto"/>
          </w:tcPr>
          <w:p w14:paraId="18660638" w14:textId="77777777" w:rsidR="004C0483" w:rsidRPr="002E707A" w:rsidRDefault="004C0483" w:rsidP="00A1791E">
            <w:pPr>
              <w:rPr>
                <w:b/>
                <w:sz w:val="20"/>
                <w:szCs w:val="20"/>
                <w:lang w:val="pt-BR"/>
              </w:rPr>
            </w:pPr>
          </w:p>
        </w:tc>
        <w:tc>
          <w:tcPr>
            <w:tcW w:w="1750" w:type="pct"/>
            <w:tcBorders>
              <w:top w:val="nil"/>
              <w:left w:val="nil"/>
              <w:bottom w:val="nil"/>
              <w:right w:val="nil"/>
            </w:tcBorders>
            <w:shd w:val="clear" w:color="auto" w:fill="auto"/>
          </w:tcPr>
          <w:p w14:paraId="1D094FA3" w14:textId="77777777" w:rsidR="004C0483" w:rsidRPr="002E707A" w:rsidRDefault="004C0483" w:rsidP="00A1791E">
            <w:pPr>
              <w:rPr>
                <w:sz w:val="20"/>
                <w:szCs w:val="20"/>
                <w:lang w:val="pt-BR"/>
              </w:rPr>
            </w:pPr>
            <w:r w:rsidRPr="002E707A">
              <w:rPr>
                <w:sz w:val="20"/>
                <w:szCs w:val="20"/>
                <w:lang w:val="pt-BR"/>
              </w:rPr>
              <w:t xml:space="preserve">2-4 salários-mínimos </w:t>
            </w:r>
          </w:p>
          <w:p w14:paraId="0940EA06" w14:textId="77777777" w:rsidR="004C0483" w:rsidRPr="002E707A" w:rsidRDefault="004C0483" w:rsidP="00A1791E">
            <w:pPr>
              <w:rPr>
                <w:sz w:val="20"/>
                <w:szCs w:val="20"/>
                <w:lang w:val="pt-BR"/>
              </w:rPr>
            </w:pPr>
            <w:r w:rsidRPr="002E707A">
              <w:rPr>
                <w:sz w:val="20"/>
                <w:szCs w:val="20"/>
                <w:lang w:val="pt-BR"/>
              </w:rPr>
              <w:t>(R$2.424,01 à R$4.848,00)</w:t>
            </w:r>
          </w:p>
        </w:tc>
        <w:tc>
          <w:tcPr>
            <w:tcW w:w="402" w:type="pct"/>
            <w:tcBorders>
              <w:top w:val="nil"/>
              <w:left w:val="nil"/>
              <w:bottom w:val="nil"/>
              <w:right w:val="nil"/>
            </w:tcBorders>
            <w:shd w:val="clear" w:color="auto" w:fill="auto"/>
          </w:tcPr>
          <w:p w14:paraId="1A5E9870" w14:textId="77777777" w:rsidR="004C0483" w:rsidRPr="002E707A" w:rsidRDefault="004C0483" w:rsidP="00A1791E">
            <w:pPr>
              <w:jc w:val="center"/>
              <w:rPr>
                <w:sz w:val="20"/>
                <w:szCs w:val="20"/>
                <w:lang w:val="pt-BR"/>
              </w:rPr>
            </w:pPr>
            <w:r w:rsidRPr="002E707A">
              <w:rPr>
                <w:sz w:val="20"/>
                <w:szCs w:val="20"/>
                <w:lang w:val="pt-BR"/>
              </w:rPr>
              <w:t>45</w:t>
            </w:r>
          </w:p>
        </w:tc>
        <w:tc>
          <w:tcPr>
            <w:tcW w:w="403" w:type="pct"/>
            <w:tcBorders>
              <w:top w:val="nil"/>
              <w:left w:val="nil"/>
              <w:bottom w:val="nil"/>
              <w:right w:val="nil"/>
            </w:tcBorders>
            <w:shd w:val="clear" w:color="auto" w:fill="auto"/>
          </w:tcPr>
          <w:p w14:paraId="3A0AB344" w14:textId="77777777" w:rsidR="004C0483" w:rsidRPr="002E707A" w:rsidRDefault="004C0483" w:rsidP="00A1791E">
            <w:pPr>
              <w:jc w:val="center"/>
              <w:rPr>
                <w:sz w:val="20"/>
                <w:szCs w:val="20"/>
                <w:lang w:val="pt-BR"/>
              </w:rPr>
            </w:pPr>
            <w:r w:rsidRPr="002E707A">
              <w:rPr>
                <w:sz w:val="20"/>
                <w:szCs w:val="20"/>
                <w:lang w:val="pt-BR"/>
              </w:rPr>
              <w:t>20,0</w:t>
            </w:r>
          </w:p>
        </w:tc>
        <w:tc>
          <w:tcPr>
            <w:tcW w:w="403" w:type="pct"/>
            <w:tcBorders>
              <w:top w:val="nil"/>
              <w:left w:val="nil"/>
              <w:bottom w:val="nil"/>
              <w:right w:val="nil"/>
            </w:tcBorders>
            <w:shd w:val="clear" w:color="auto" w:fill="auto"/>
          </w:tcPr>
          <w:p w14:paraId="478C027B" w14:textId="77777777" w:rsidR="004C0483" w:rsidRPr="002E707A" w:rsidRDefault="004C0483" w:rsidP="00A1791E">
            <w:pPr>
              <w:jc w:val="center"/>
              <w:rPr>
                <w:sz w:val="20"/>
                <w:szCs w:val="20"/>
                <w:lang w:val="pt-BR"/>
              </w:rPr>
            </w:pPr>
            <w:r w:rsidRPr="002E707A">
              <w:rPr>
                <w:sz w:val="20"/>
                <w:szCs w:val="20"/>
                <w:lang w:val="pt-BR"/>
              </w:rPr>
              <w:t>42</w:t>
            </w:r>
          </w:p>
        </w:tc>
        <w:tc>
          <w:tcPr>
            <w:tcW w:w="403" w:type="pct"/>
            <w:tcBorders>
              <w:top w:val="nil"/>
              <w:left w:val="nil"/>
              <w:bottom w:val="nil"/>
              <w:right w:val="nil"/>
            </w:tcBorders>
            <w:shd w:val="clear" w:color="auto" w:fill="auto"/>
          </w:tcPr>
          <w:p w14:paraId="61480D29" w14:textId="77777777" w:rsidR="004C0483" w:rsidRPr="002E707A" w:rsidRDefault="004C0483" w:rsidP="00A1791E">
            <w:pPr>
              <w:jc w:val="center"/>
              <w:rPr>
                <w:sz w:val="20"/>
                <w:szCs w:val="20"/>
                <w:lang w:val="pt-BR"/>
              </w:rPr>
            </w:pPr>
            <w:r w:rsidRPr="002E707A">
              <w:rPr>
                <w:sz w:val="20"/>
                <w:szCs w:val="20"/>
                <w:lang w:val="pt-BR"/>
              </w:rPr>
              <w:t>29,6</w:t>
            </w:r>
          </w:p>
        </w:tc>
        <w:tc>
          <w:tcPr>
            <w:tcW w:w="403" w:type="pct"/>
            <w:tcBorders>
              <w:top w:val="nil"/>
              <w:left w:val="nil"/>
              <w:bottom w:val="nil"/>
              <w:right w:val="nil"/>
            </w:tcBorders>
            <w:shd w:val="clear" w:color="auto" w:fill="auto"/>
          </w:tcPr>
          <w:p w14:paraId="242DCDFD" w14:textId="77777777" w:rsidR="004C0483" w:rsidRPr="002E707A" w:rsidRDefault="004C0483" w:rsidP="00A1791E">
            <w:pPr>
              <w:jc w:val="center"/>
              <w:rPr>
                <w:sz w:val="20"/>
                <w:szCs w:val="20"/>
                <w:lang w:val="pt-BR"/>
              </w:rPr>
            </w:pPr>
            <w:r w:rsidRPr="002E707A">
              <w:rPr>
                <w:sz w:val="20"/>
                <w:szCs w:val="20"/>
                <w:lang w:val="pt-BR"/>
              </w:rPr>
              <w:t>2</w:t>
            </w:r>
          </w:p>
        </w:tc>
        <w:tc>
          <w:tcPr>
            <w:tcW w:w="402" w:type="pct"/>
            <w:tcBorders>
              <w:top w:val="nil"/>
              <w:left w:val="nil"/>
              <w:bottom w:val="nil"/>
              <w:right w:val="nil"/>
            </w:tcBorders>
            <w:shd w:val="clear" w:color="auto" w:fill="auto"/>
          </w:tcPr>
          <w:p w14:paraId="0C443290" w14:textId="77777777" w:rsidR="004C0483" w:rsidRPr="002E707A" w:rsidRDefault="004C0483" w:rsidP="00A1791E">
            <w:pPr>
              <w:jc w:val="center"/>
              <w:rPr>
                <w:sz w:val="20"/>
                <w:szCs w:val="20"/>
                <w:lang w:val="pt-BR"/>
              </w:rPr>
            </w:pPr>
            <w:r w:rsidRPr="002E707A">
              <w:rPr>
                <w:sz w:val="20"/>
                <w:szCs w:val="20"/>
                <w:lang w:val="pt-BR"/>
              </w:rPr>
              <w:t>13,3</w:t>
            </w:r>
          </w:p>
        </w:tc>
      </w:tr>
      <w:tr w:rsidR="004C0483" w:rsidRPr="002E707A" w14:paraId="79D8A7F3" w14:textId="77777777" w:rsidTr="00A1791E">
        <w:trPr>
          <w:trHeight w:val="20"/>
          <w:jc w:val="center"/>
        </w:trPr>
        <w:tc>
          <w:tcPr>
            <w:tcW w:w="834" w:type="pct"/>
            <w:vMerge/>
            <w:tcBorders>
              <w:left w:val="nil"/>
              <w:right w:val="nil"/>
            </w:tcBorders>
            <w:shd w:val="clear" w:color="auto" w:fill="auto"/>
          </w:tcPr>
          <w:p w14:paraId="5619BE7E" w14:textId="77777777" w:rsidR="004C0483" w:rsidRPr="002E707A" w:rsidRDefault="004C0483" w:rsidP="00A1791E">
            <w:pPr>
              <w:rPr>
                <w:b/>
                <w:sz w:val="20"/>
                <w:szCs w:val="20"/>
                <w:lang w:val="pt-BR"/>
              </w:rPr>
            </w:pPr>
          </w:p>
        </w:tc>
        <w:tc>
          <w:tcPr>
            <w:tcW w:w="1750" w:type="pct"/>
            <w:tcBorders>
              <w:top w:val="nil"/>
              <w:left w:val="nil"/>
              <w:bottom w:val="nil"/>
              <w:right w:val="nil"/>
            </w:tcBorders>
            <w:shd w:val="clear" w:color="auto" w:fill="auto"/>
          </w:tcPr>
          <w:p w14:paraId="34ADCFC6" w14:textId="77777777" w:rsidR="004C0483" w:rsidRPr="002E707A" w:rsidRDefault="004C0483" w:rsidP="00A1791E">
            <w:pPr>
              <w:rPr>
                <w:sz w:val="20"/>
                <w:szCs w:val="20"/>
                <w:lang w:val="pt-BR"/>
              </w:rPr>
            </w:pPr>
            <w:r w:rsidRPr="002E707A">
              <w:rPr>
                <w:sz w:val="20"/>
                <w:szCs w:val="20"/>
                <w:lang w:val="pt-BR"/>
              </w:rPr>
              <w:t xml:space="preserve">4-10 salários-mínimos </w:t>
            </w:r>
          </w:p>
          <w:p w14:paraId="0B08BD45" w14:textId="77777777" w:rsidR="004C0483" w:rsidRPr="002E707A" w:rsidRDefault="004C0483" w:rsidP="00A1791E">
            <w:pPr>
              <w:rPr>
                <w:sz w:val="20"/>
                <w:szCs w:val="20"/>
                <w:lang w:val="pt-BR"/>
              </w:rPr>
            </w:pPr>
            <w:r w:rsidRPr="002E707A">
              <w:rPr>
                <w:sz w:val="20"/>
                <w:szCs w:val="20"/>
                <w:lang w:val="pt-BR"/>
              </w:rPr>
              <w:t>(R$4.848,01 à R$12.120,00)</w:t>
            </w:r>
          </w:p>
        </w:tc>
        <w:tc>
          <w:tcPr>
            <w:tcW w:w="402" w:type="pct"/>
            <w:tcBorders>
              <w:top w:val="nil"/>
              <w:left w:val="nil"/>
              <w:bottom w:val="nil"/>
              <w:right w:val="nil"/>
            </w:tcBorders>
            <w:shd w:val="clear" w:color="auto" w:fill="auto"/>
          </w:tcPr>
          <w:p w14:paraId="6951A77A" w14:textId="77777777" w:rsidR="004C0483" w:rsidRPr="002E707A" w:rsidRDefault="004C0483" w:rsidP="00A1791E">
            <w:pPr>
              <w:jc w:val="center"/>
              <w:rPr>
                <w:sz w:val="20"/>
                <w:szCs w:val="20"/>
                <w:lang w:val="pt-BR"/>
              </w:rPr>
            </w:pPr>
            <w:r w:rsidRPr="002E707A">
              <w:rPr>
                <w:sz w:val="20"/>
                <w:szCs w:val="20"/>
                <w:lang w:val="pt-BR"/>
              </w:rPr>
              <w:t>49</w:t>
            </w:r>
          </w:p>
        </w:tc>
        <w:tc>
          <w:tcPr>
            <w:tcW w:w="403" w:type="pct"/>
            <w:tcBorders>
              <w:top w:val="nil"/>
              <w:left w:val="nil"/>
              <w:bottom w:val="nil"/>
              <w:right w:val="nil"/>
            </w:tcBorders>
            <w:shd w:val="clear" w:color="auto" w:fill="auto"/>
          </w:tcPr>
          <w:p w14:paraId="7C92E1FC" w14:textId="77777777" w:rsidR="004C0483" w:rsidRPr="002E707A" w:rsidRDefault="004C0483" w:rsidP="00A1791E">
            <w:pPr>
              <w:jc w:val="center"/>
              <w:rPr>
                <w:sz w:val="20"/>
                <w:szCs w:val="20"/>
                <w:lang w:val="pt-BR"/>
              </w:rPr>
            </w:pPr>
            <w:r w:rsidRPr="002E707A">
              <w:rPr>
                <w:sz w:val="20"/>
                <w:szCs w:val="20"/>
                <w:lang w:val="pt-BR"/>
              </w:rPr>
              <w:t>21,8</w:t>
            </w:r>
          </w:p>
        </w:tc>
        <w:tc>
          <w:tcPr>
            <w:tcW w:w="403" w:type="pct"/>
            <w:tcBorders>
              <w:top w:val="nil"/>
              <w:left w:val="nil"/>
              <w:bottom w:val="nil"/>
              <w:right w:val="nil"/>
            </w:tcBorders>
            <w:shd w:val="clear" w:color="auto" w:fill="auto"/>
          </w:tcPr>
          <w:p w14:paraId="29F48B9E" w14:textId="77777777" w:rsidR="004C0483" w:rsidRPr="002E707A" w:rsidRDefault="004C0483" w:rsidP="00A1791E">
            <w:pPr>
              <w:jc w:val="center"/>
              <w:rPr>
                <w:sz w:val="20"/>
                <w:szCs w:val="20"/>
                <w:lang w:val="pt-BR"/>
              </w:rPr>
            </w:pPr>
            <w:r w:rsidRPr="002E707A">
              <w:rPr>
                <w:sz w:val="20"/>
                <w:szCs w:val="20"/>
                <w:lang w:val="pt-BR"/>
              </w:rPr>
              <w:t>36</w:t>
            </w:r>
          </w:p>
        </w:tc>
        <w:tc>
          <w:tcPr>
            <w:tcW w:w="403" w:type="pct"/>
            <w:tcBorders>
              <w:top w:val="nil"/>
              <w:left w:val="nil"/>
              <w:bottom w:val="nil"/>
              <w:right w:val="nil"/>
            </w:tcBorders>
            <w:shd w:val="clear" w:color="auto" w:fill="auto"/>
          </w:tcPr>
          <w:p w14:paraId="259CE4AC" w14:textId="77777777" w:rsidR="004C0483" w:rsidRPr="002E707A" w:rsidRDefault="004C0483" w:rsidP="00A1791E">
            <w:pPr>
              <w:jc w:val="center"/>
              <w:rPr>
                <w:sz w:val="20"/>
                <w:szCs w:val="20"/>
                <w:lang w:val="pt-BR"/>
              </w:rPr>
            </w:pPr>
            <w:r w:rsidRPr="002E707A">
              <w:rPr>
                <w:sz w:val="20"/>
                <w:szCs w:val="20"/>
                <w:lang w:val="pt-BR"/>
              </w:rPr>
              <w:t>25,4</w:t>
            </w:r>
          </w:p>
        </w:tc>
        <w:tc>
          <w:tcPr>
            <w:tcW w:w="403" w:type="pct"/>
            <w:tcBorders>
              <w:top w:val="nil"/>
              <w:left w:val="nil"/>
              <w:bottom w:val="nil"/>
              <w:right w:val="nil"/>
            </w:tcBorders>
            <w:shd w:val="clear" w:color="auto" w:fill="auto"/>
          </w:tcPr>
          <w:p w14:paraId="0EFD5DC6" w14:textId="77777777" w:rsidR="004C0483" w:rsidRPr="002E707A" w:rsidRDefault="004C0483" w:rsidP="00A1791E">
            <w:pPr>
              <w:jc w:val="center"/>
              <w:rPr>
                <w:sz w:val="20"/>
                <w:szCs w:val="20"/>
                <w:lang w:val="pt-BR"/>
              </w:rPr>
            </w:pPr>
            <w:r w:rsidRPr="002E707A">
              <w:rPr>
                <w:sz w:val="20"/>
                <w:szCs w:val="20"/>
                <w:lang w:val="pt-BR"/>
              </w:rPr>
              <w:t>4</w:t>
            </w:r>
          </w:p>
        </w:tc>
        <w:tc>
          <w:tcPr>
            <w:tcW w:w="402" w:type="pct"/>
            <w:tcBorders>
              <w:top w:val="nil"/>
              <w:left w:val="nil"/>
              <w:bottom w:val="nil"/>
              <w:right w:val="nil"/>
            </w:tcBorders>
            <w:shd w:val="clear" w:color="auto" w:fill="auto"/>
          </w:tcPr>
          <w:p w14:paraId="29032CC1" w14:textId="77777777" w:rsidR="004C0483" w:rsidRPr="002E707A" w:rsidRDefault="004C0483" w:rsidP="00A1791E">
            <w:pPr>
              <w:jc w:val="center"/>
              <w:rPr>
                <w:sz w:val="20"/>
                <w:szCs w:val="20"/>
                <w:lang w:val="pt-BR"/>
              </w:rPr>
            </w:pPr>
            <w:r w:rsidRPr="002E707A">
              <w:rPr>
                <w:sz w:val="20"/>
                <w:szCs w:val="20"/>
                <w:lang w:val="pt-BR"/>
              </w:rPr>
              <w:t>26,7</w:t>
            </w:r>
          </w:p>
        </w:tc>
      </w:tr>
      <w:tr w:rsidR="004C0483" w:rsidRPr="002E707A" w14:paraId="5FB9B103" w14:textId="77777777" w:rsidTr="00A1791E">
        <w:trPr>
          <w:trHeight w:val="20"/>
          <w:jc w:val="center"/>
        </w:trPr>
        <w:tc>
          <w:tcPr>
            <w:tcW w:w="834" w:type="pct"/>
            <w:vMerge/>
            <w:tcBorders>
              <w:left w:val="nil"/>
              <w:right w:val="nil"/>
            </w:tcBorders>
            <w:shd w:val="clear" w:color="auto" w:fill="auto"/>
          </w:tcPr>
          <w:p w14:paraId="07B00C31" w14:textId="77777777" w:rsidR="004C0483" w:rsidRPr="002E707A" w:rsidRDefault="004C0483" w:rsidP="00A1791E">
            <w:pPr>
              <w:rPr>
                <w:b/>
                <w:sz w:val="20"/>
                <w:szCs w:val="20"/>
                <w:lang w:val="pt-BR"/>
              </w:rPr>
            </w:pPr>
          </w:p>
        </w:tc>
        <w:tc>
          <w:tcPr>
            <w:tcW w:w="1750" w:type="pct"/>
            <w:tcBorders>
              <w:top w:val="nil"/>
              <w:left w:val="nil"/>
              <w:bottom w:val="nil"/>
              <w:right w:val="nil"/>
            </w:tcBorders>
            <w:shd w:val="clear" w:color="auto" w:fill="auto"/>
          </w:tcPr>
          <w:p w14:paraId="07D07178" w14:textId="77777777" w:rsidR="004C0483" w:rsidRPr="002E707A" w:rsidRDefault="004C0483" w:rsidP="00A1791E">
            <w:pPr>
              <w:rPr>
                <w:sz w:val="20"/>
                <w:szCs w:val="20"/>
                <w:lang w:val="pt-BR"/>
              </w:rPr>
            </w:pPr>
            <w:r w:rsidRPr="002E707A">
              <w:rPr>
                <w:sz w:val="20"/>
                <w:szCs w:val="20"/>
                <w:lang w:val="pt-BR"/>
              </w:rPr>
              <w:t xml:space="preserve">10-20 salários-mínimos </w:t>
            </w:r>
          </w:p>
          <w:p w14:paraId="629DCEE0" w14:textId="77777777" w:rsidR="004C0483" w:rsidRPr="002E707A" w:rsidRDefault="004C0483" w:rsidP="00A1791E">
            <w:pPr>
              <w:rPr>
                <w:sz w:val="20"/>
                <w:szCs w:val="20"/>
                <w:lang w:val="pt-BR"/>
              </w:rPr>
            </w:pPr>
            <w:r w:rsidRPr="002E707A">
              <w:rPr>
                <w:sz w:val="20"/>
                <w:szCs w:val="20"/>
                <w:lang w:val="pt-BR"/>
              </w:rPr>
              <w:t>(R$12.120,01 à R$24.240,00)</w:t>
            </w:r>
          </w:p>
        </w:tc>
        <w:tc>
          <w:tcPr>
            <w:tcW w:w="402" w:type="pct"/>
            <w:tcBorders>
              <w:top w:val="nil"/>
              <w:left w:val="nil"/>
              <w:bottom w:val="nil"/>
              <w:right w:val="nil"/>
            </w:tcBorders>
            <w:shd w:val="clear" w:color="auto" w:fill="auto"/>
          </w:tcPr>
          <w:p w14:paraId="5B164FC0" w14:textId="77777777" w:rsidR="004C0483" w:rsidRPr="002E707A" w:rsidRDefault="004C0483" w:rsidP="00A1791E">
            <w:pPr>
              <w:jc w:val="center"/>
              <w:rPr>
                <w:sz w:val="20"/>
                <w:szCs w:val="20"/>
                <w:lang w:val="pt-BR"/>
              </w:rPr>
            </w:pPr>
            <w:r w:rsidRPr="002E707A">
              <w:rPr>
                <w:sz w:val="20"/>
                <w:szCs w:val="20"/>
                <w:lang w:val="pt-BR"/>
              </w:rPr>
              <w:t>27</w:t>
            </w:r>
          </w:p>
        </w:tc>
        <w:tc>
          <w:tcPr>
            <w:tcW w:w="403" w:type="pct"/>
            <w:tcBorders>
              <w:top w:val="nil"/>
              <w:left w:val="nil"/>
              <w:bottom w:val="nil"/>
              <w:right w:val="nil"/>
            </w:tcBorders>
            <w:shd w:val="clear" w:color="auto" w:fill="auto"/>
          </w:tcPr>
          <w:p w14:paraId="01FE5391" w14:textId="77777777" w:rsidR="004C0483" w:rsidRPr="002E707A" w:rsidRDefault="004C0483" w:rsidP="00A1791E">
            <w:pPr>
              <w:jc w:val="center"/>
              <w:rPr>
                <w:sz w:val="20"/>
                <w:szCs w:val="20"/>
                <w:lang w:val="pt-BR"/>
              </w:rPr>
            </w:pPr>
            <w:r w:rsidRPr="002E707A">
              <w:rPr>
                <w:sz w:val="20"/>
                <w:szCs w:val="20"/>
                <w:lang w:val="pt-BR"/>
              </w:rPr>
              <w:t>12,0</w:t>
            </w:r>
          </w:p>
        </w:tc>
        <w:tc>
          <w:tcPr>
            <w:tcW w:w="403" w:type="pct"/>
            <w:tcBorders>
              <w:top w:val="nil"/>
              <w:left w:val="nil"/>
              <w:bottom w:val="nil"/>
              <w:right w:val="nil"/>
            </w:tcBorders>
            <w:shd w:val="clear" w:color="auto" w:fill="auto"/>
          </w:tcPr>
          <w:p w14:paraId="14D89AD9" w14:textId="77777777" w:rsidR="004C0483" w:rsidRPr="002E707A" w:rsidRDefault="004C0483" w:rsidP="00A1791E">
            <w:pPr>
              <w:jc w:val="center"/>
              <w:rPr>
                <w:sz w:val="20"/>
                <w:szCs w:val="20"/>
                <w:lang w:val="pt-BR"/>
              </w:rPr>
            </w:pPr>
            <w:r w:rsidRPr="002E707A">
              <w:rPr>
                <w:sz w:val="20"/>
                <w:szCs w:val="20"/>
                <w:lang w:val="pt-BR"/>
              </w:rPr>
              <w:t>10</w:t>
            </w:r>
          </w:p>
        </w:tc>
        <w:tc>
          <w:tcPr>
            <w:tcW w:w="403" w:type="pct"/>
            <w:tcBorders>
              <w:top w:val="nil"/>
              <w:left w:val="nil"/>
              <w:bottom w:val="nil"/>
              <w:right w:val="nil"/>
            </w:tcBorders>
            <w:shd w:val="clear" w:color="auto" w:fill="auto"/>
          </w:tcPr>
          <w:p w14:paraId="54B94103" w14:textId="77777777" w:rsidR="004C0483" w:rsidRPr="002E707A" w:rsidRDefault="004C0483" w:rsidP="00A1791E">
            <w:pPr>
              <w:jc w:val="center"/>
              <w:rPr>
                <w:sz w:val="20"/>
                <w:szCs w:val="20"/>
                <w:lang w:val="pt-BR"/>
              </w:rPr>
            </w:pPr>
            <w:r w:rsidRPr="002E707A">
              <w:rPr>
                <w:sz w:val="20"/>
                <w:szCs w:val="20"/>
                <w:lang w:val="pt-BR"/>
              </w:rPr>
              <w:t>7,0</w:t>
            </w:r>
          </w:p>
        </w:tc>
        <w:tc>
          <w:tcPr>
            <w:tcW w:w="403" w:type="pct"/>
            <w:tcBorders>
              <w:top w:val="nil"/>
              <w:left w:val="nil"/>
              <w:bottom w:val="nil"/>
              <w:right w:val="nil"/>
            </w:tcBorders>
            <w:shd w:val="clear" w:color="auto" w:fill="auto"/>
          </w:tcPr>
          <w:p w14:paraId="61FFFA30" w14:textId="77777777" w:rsidR="004C0483" w:rsidRPr="002E707A" w:rsidRDefault="004C0483" w:rsidP="00A1791E">
            <w:pPr>
              <w:jc w:val="center"/>
              <w:rPr>
                <w:sz w:val="20"/>
                <w:szCs w:val="20"/>
                <w:lang w:val="pt-BR"/>
              </w:rPr>
            </w:pPr>
            <w:r w:rsidRPr="002E707A">
              <w:rPr>
                <w:sz w:val="20"/>
                <w:szCs w:val="20"/>
                <w:lang w:val="pt-BR"/>
              </w:rPr>
              <w:t>4</w:t>
            </w:r>
          </w:p>
        </w:tc>
        <w:tc>
          <w:tcPr>
            <w:tcW w:w="402" w:type="pct"/>
            <w:tcBorders>
              <w:top w:val="nil"/>
              <w:left w:val="nil"/>
              <w:bottom w:val="nil"/>
              <w:right w:val="nil"/>
            </w:tcBorders>
            <w:shd w:val="clear" w:color="auto" w:fill="auto"/>
          </w:tcPr>
          <w:p w14:paraId="342DE512" w14:textId="77777777" w:rsidR="004C0483" w:rsidRPr="002E707A" w:rsidRDefault="004C0483" w:rsidP="00A1791E">
            <w:pPr>
              <w:jc w:val="center"/>
              <w:rPr>
                <w:sz w:val="20"/>
                <w:szCs w:val="20"/>
                <w:lang w:val="pt-BR"/>
              </w:rPr>
            </w:pPr>
            <w:r w:rsidRPr="002E707A">
              <w:rPr>
                <w:sz w:val="20"/>
                <w:szCs w:val="20"/>
                <w:lang w:val="pt-BR"/>
              </w:rPr>
              <w:t>26,7</w:t>
            </w:r>
          </w:p>
        </w:tc>
      </w:tr>
      <w:tr w:rsidR="004C0483" w:rsidRPr="002E707A" w14:paraId="7314AC9B" w14:textId="77777777" w:rsidTr="00A1791E">
        <w:trPr>
          <w:trHeight w:val="20"/>
          <w:jc w:val="center"/>
        </w:trPr>
        <w:tc>
          <w:tcPr>
            <w:tcW w:w="834" w:type="pct"/>
            <w:vMerge/>
            <w:tcBorders>
              <w:left w:val="nil"/>
              <w:bottom w:val="single" w:sz="4" w:space="0" w:color="auto"/>
              <w:right w:val="nil"/>
            </w:tcBorders>
            <w:shd w:val="clear" w:color="auto" w:fill="auto"/>
          </w:tcPr>
          <w:p w14:paraId="71C8B93F" w14:textId="77777777" w:rsidR="004C0483" w:rsidRPr="002E707A" w:rsidRDefault="004C0483" w:rsidP="00A1791E">
            <w:pPr>
              <w:rPr>
                <w:b/>
                <w:sz w:val="20"/>
                <w:szCs w:val="20"/>
                <w:lang w:val="pt-BR"/>
              </w:rPr>
            </w:pPr>
          </w:p>
        </w:tc>
        <w:tc>
          <w:tcPr>
            <w:tcW w:w="1750" w:type="pct"/>
            <w:tcBorders>
              <w:top w:val="nil"/>
              <w:left w:val="nil"/>
              <w:bottom w:val="single" w:sz="4" w:space="0" w:color="auto"/>
              <w:right w:val="nil"/>
            </w:tcBorders>
            <w:shd w:val="clear" w:color="auto" w:fill="auto"/>
          </w:tcPr>
          <w:p w14:paraId="3C779B13" w14:textId="77777777" w:rsidR="004C0483" w:rsidRPr="002E707A" w:rsidRDefault="004C0483" w:rsidP="00A1791E">
            <w:pPr>
              <w:rPr>
                <w:sz w:val="20"/>
                <w:szCs w:val="20"/>
                <w:lang w:val="pt-BR"/>
              </w:rPr>
            </w:pPr>
            <w:r w:rsidRPr="002E707A">
              <w:rPr>
                <w:sz w:val="20"/>
                <w:szCs w:val="20"/>
                <w:lang w:val="pt-BR"/>
              </w:rPr>
              <w:t xml:space="preserve">+ de 20 salários-mínimos </w:t>
            </w:r>
          </w:p>
          <w:p w14:paraId="5385050A" w14:textId="77777777" w:rsidR="004C0483" w:rsidRPr="002E707A" w:rsidRDefault="004C0483" w:rsidP="00A1791E">
            <w:pPr>
              <w:rPr>
                <w:sz w:val="20"/>
                <w:szCs w:val="20"/>
                <w:lang w:val="pt-BR"/>
              </w:rPr>
            </w:pPr>
            <w:r w:rsidRPr="002E707A">
              <w:rPr>
                <w:sz w:val="20"/>
                <w:szCs w:val="20"/>
                <w:lang w:val="pt-BR"/>
              </w:rPr>
              <w:t>(mais de R$24.240,00)</w:t>
            </w:r>
          </w:p>
        </w:tc>
        <w:tc>
          <w:tcPr>
            <w:tcW w:w="402" w:type="pct"/>
            <w:tcBorders>
              <w:top w:val="nil"/>
              <w:left w:val="nil"/>
              <w:bottom w:val="single" w:sz="4" w:space="0" w:color="auto"/>
              <w:right w:val="nil"/>
            </w:tcBorders>
            <w:shd w:val="clear" w:color="auto" w:fill="auto"/>
          </w:tcPr>
          <w:p w14:paraId="311F2202" w14:textId="77777777" w:rsidR="004C0483" w:rsidRPr="002E707A" w:rsidRDefault="004C0483" w:rsidP="00A1791E">
            <w:pPr>
              <w:jc w:val="center"/>
              <w:rPr>
                <w:sz w:val="20"/>
                <w:szCs w:val="20"/>
                <w:lang w:val="pt-BR"/>
              </w:rPr>
            </w:pPr>
            <w:r w:rsidRPr="002E707A">
              <w:rPr>
                <w:sz w:val="20"/>
                <w:szCs w:val="20"/>
                <w:lang w:val="pt-BR"/>
              </w:rPr>
              <w:t>9</w:t>
            </w:r>
          </w:p>
        </w:tc>
        <w:tc>
          <w:tcPr>
            <w:tcW w:w="403" w:type="pct"/>
            <w:tcBorders>
              <w:top w:val="nil"/>
              <w:left w:val="nil"/>
              <w:bottom w:val="single" w:sz="4" w:space="0" w:color="auto"/>
              <w:right w:val="nil"/>
            </w:tcBorders>
            <w:shd w:val="clear" w:color="auto" w:fill="auto"/>
          </w:tcPr>
          <w:p w14:paraId="1268643F" w14:textId="77777777" w:rsidR="004C0483" w:rsidRPr="002E707A" w:rsidRDefault="004C0483" w:rsidP="00A1791E">
            <w:pPr>
              <w:jc w:val="center"/>
              <w:rPr>
                <w:sz w:val="20"/>
                <w:szCs w:val="20"/>
                <w:lang w:val="pt-BR"/>
              </w:rPr>
            </w:pPr>
            <w:r w:rsidRPr="002E707A">
              <w:rPr>
                <w:sz w:val="20"/>
                <w:szCs w:val="20"/>
                <w:lang w:val="pt-BR"/>
              </w:rPr>
              <w:t>4,0</w:t>
            </w:r>
          </w:p>
        </w:tc>
        <w:tc>
          <w:tcPr>
            <w:tcW w:w="403" w:type="pct"/>
            <w:tcBorders>
              <w:top w:val="nil"/>
              <w:left w:val="nil"/>
              <w:bottom w:val="single" w:sz="4" w:space="0" w:color="auto"/>
              <w:right w:val="nil"/>
            </w:tcBorders>
            <w:shd w:val="clear" w:color="auto" w:fill="auto"/>
          </w:tcPr>
          <w:p w14:paraId="49DA7D3C" w14:textId="77777777" w:rsidR="004C0483" w:rsidRPr="002E707A" w:rsidRDefault="004C0483" w:rsidP="00A1791E">
            <w:pPr>
              <w:jc w:val="center"/>
              <w:rPr>
                <w:sz w:val="20"/>
                <w:szCs w:val="20"/>
                <w:lang w:val="pt-BR"/>
              </w:rPr>
            </w:pPr>
            <w:r w:rsidRPr="002E707A">
              <w:rPr>
                <w:sz w:val="20"/>
                <w:szCs w:val="20"/>
                <w:lang w:val="pt-BR"/>
              </w:rPr>
              <w:t>1</w:t>
            </w:r>
          </w:p>
        </w:tc>
        <w:tc>
          <w:tcPr>
            <w:tcW w:w="403" w:type="pct"/>
            <w:tcBorders>
              <w:top w:val="nil"/>
              <w:left w:val="nil"/>
              <w:bottom w:val="single" w:sz="4" w:space="0" w:color="auto"/>
              <w:right w:val="nil"/>
            </w:tcBorders>
            <w:shd w:val="clear" w:color="auto" w:fill="auto"/>
          </w:tcPr>
          <w:p w14:paraId="5E03310D" w14:textId="77777777" w:rsidR="004C0483" w:rsidRPr="002E707A" w:rsidRDefault="004C0483" w:rsidP="00A1791E">
            <w:pPr>
              <w:jc w:val="center"/>
              <w:rPr>
                <w:sz w:val="20"/>
                <w:szCs w:val="20"/>
                <w:lang w:val="pt-BR"/>
              </w:rPr>
            </w:pPr>
            <w:r w:rsidRPr="002E707A">
              <w:rPr>
                <w:sz w:val="20"/>
                <w:szCs w:val="20"/>
                <w:lang w:val="pt-BR"/>
              </w:rPr>
              <w:t>0,7</w:t>
            </w:r>
          </w:p>
        </w:tc>
        <w:tc>
          <w:tcPr>
            <w:tcW w:w="403" w:type="pct"/>
            <w:tcBorders>
              <w:top w:val="nil"/>
              <w:left w:val="nil"/>
              <w:bottom w:val="single" w:sz="4" w:space="0" w:color="auto"/>
              <w:right w:val="nil"/>
            </w:tcBorders>
            <w:shd w:val="clear" w:color="auto" w:fill="auto"/>
          </w:tcPr>
          <w:p w14:paraId="3B7D99C9" w14:textId="77777777" w:rsidR="004C0483" w:rsidRPr="002E707A" w:rsidRDefault="004C0483" w:rsidP="00A1791E">
            <w:pPr>
              <w:jc w:val="center"/>
              <w:rPr>
                <w:sz w:val="20"/>
                <w:szCs w:val="20"/>
                <w:lang w:val="pt-BR"/>
              </w:rPr>
            </w:pPr>
            <w:r w:rsidRPr="002E707A">
              <w:rPr>
                <w:sz w:val="20"/>
                <w:szCs w:val="20"/>
                <w:lang w:val="pt-BR"/>
              </w:rPr>
              <w:t>1</w:t>
            </w:r>
          </w:p>
        </w:tc>
        <w:tc>
          <w:tcPr>
            <w:tcW w:w="402" w:type="pct"/>
            <w:tcBorders>
              <w:top w:val="nil"/>
              <w:left w:val="nil"/>
              <w:bottom w:val="single" w:sz="4" w:space="0" w:color="auto"/>
              <w:right w:val="nil"/>
            </w:tcBorders>
            <w:shd w:val="clear" w:color="auto" w:fill="auto"/>
          </w:tcPr>
          <w:p w14:paraId="5C819A98" w14:textId="77777777" w:rsidR="004C0483" w:rsidRPr="002E707A" w:rsidRDefault="004C0483" w:rsidP="00A1791E">
            <w:pPr>
              <w:jc w:val="center"/>
              <w:rPr>
                <w:sz w:val="20"/>
                <w:szCs w:val="20"/>
                <w:lang w:val="pt-BR"/>
              </w:rPr>
            </w:pPr>
            <w:r w:rsidRPr="002E707A">
              <w:rPr>
                <w:sz w:val="20"/>
                <w:szCs w:val="20"/>
                <w:lang w:val="pt-BR"/>
              </w:rPr>
              <w:t>6,7</w:t>
            </w:r>
          </w:p>
        </w:tc>
      </w:tr>
      <w:tr w:rsidR="004C0483" w:rsidRPr="002E707A" w14:paraId="24DF94E0" w14:textId="77777777" w:rsidTr="00A1791E">
        <w:trPr>
          <w:trHeight w:val="20"/>
          <w:jc w:val="center"/>
        </w:trPr>
        <w:tc>
          <w:tcPr>
            <w:tcW w:w="834" w:type="pct"/>
            <w:vMerge w:val="restart"/>
            <w:tcBorders>
              <w:left w:val="nil"/>
              <w:right w:val="nil"/>
            </w:tcBorders>
            <w:shd w:val="clear" w:color="auto" w:fill="auto"/>
            <w:vAlign w:val="center"/>
          </w:tcPr>
          <w:p w14:paraId="7B2EAC05" w14:textId="77777777" w:rsidR="004C0483" w:rsidRPr="002E707A" w:rsidRDefault="004C0483" w:rsidP="00A1791E">
            <w:pPr>
              <w:rPr>
                <w:b/>
                <w:sz w:val="20"/>
                <w:szCs w:val="20"/>
                <w:lang w:val="pt-BR"/>
              </w:rPr>
            </w:pPr>
            <w:r w:rsidRPr="002E707A">
              <w:rPr>
                <w:b/>
                <w:sz w:val="20"/>
                <w:szCs w:val="20"/>
                <w:lang w:val="pt-BR"/>
              </w:rPr>
              <w:t>Doença Crônica</w:t>
            </w:r>
          </w:p>
        </w:tc>
        <w:tc>
          <w:tcPr>
            <w:tcW w:w="1750" w:type="pct"/>
            <w:tcBorders>
              <w:top w:val="single" w:sz="4" w:space="0" w:color="auto"/>
              <w:left w:val="nil"/>
              <w:bottom w:val="nil"/>
              <w:right w:val="nil"/>
            </w:tcBorders>
            <w:shd w:val="clear" w:color="auto" w:fill="auto"/>
          </w:tcPr>
          <w:p w14:paraId="488A2371" w14:textId="77777777" w:rsidR="004C0483" w:rsidRPr="002E707A" w:rsidRDefault="004C0483" w:rsidP="00A1791E">
            <w:pPr>
              <w:rPr>
                <w:sz w:val="20"/>
                <w:szCs w:val="20"/>
                <w:lang w:val="pt-BR"/>
              </w:rPr>
            </w:pPr>
            <w:r w:rsidRPr="002E707A">
              <w:rPr>
                <w:sz w:val="20"/>
                <w:szCs w:val="20"/>
                <w:lang w:val="pt-BR"/>
              </w:rPr>
              <w:t>Sem diagnóstico</w:t>
            </w:r>
          </w:p>
        </w:tc>
        <w:tc>
          <w:tcPr>
            <w:tcW w:w="402" w:type="pct"/>
            <w:tcBorders>
              <w:top w:val="single" w:sz="4" w:space="0" w:color="auto"/>
              <w:left w:val="nil"/>
              <w:bottom w:val="nil"/>
              <w:right w:val="nil"/>
            </w:tcBorders>
            <w:shd w:val="clear" w:color="auto" w:fill="auto"/>
          </w:tcPr>
          <w:p w14:paraId="767E87FB" w14:textId="77777777" w:rsidR="004C0483" w:rsidRPr="002E707A" w:rsidRDefault="004C0483" w:rsidP="00A1791E">
            <w:pPr>
              <w:jc w:val="center"/>
              <w:rPr>
                <w:sz w:val="20"/>
                <w:szCs w:val="20"/>
                <w:lang w:val="pt-BR"/>
              </w:rPr>
            </w:pPr>
            <w:r w:rsidRPr="002E707A">
              <w:rPr>
                <w:sz w:val="20"/>
                <w:szCs w:val="20"/>
                <w:lang w:val="pt-BR"/>
              </w:rPr>
              <w:t>12</w:t>
            </w:r>
          </w:p>
        </w:tc>
        <w:tc>
          <w:tcPr>
            <w:tcW w:w="403" w:type="pct"/>
            <w:tcBorders>
              <w:top w:val="single" w:sz="4" w:space="0" w:color="auto"/>
              <w:left w:val="nil"/>
              <w:bottom w:val="nil"/>
              <w:right w:val="nil"/>
            </w:tcBorders>
            <w:shd w:val="clear" w:color="auto" w:fill="auto"/>
          </w:tcPr>
          <w:p w14:paraId="6F339188" w14:textId="77777777" w:rsidR="004C0483" w:rsidRPr="002E707A" w:rsidRDefault="004C0483" w:rsidP="00A1791E">
            <w:pPr>
              <w:jc w:val="center"/>
              <w:rPr>
                <w:sz w:val="20"/>
                <w:szCs w:val="20"/>
                <w:lang w:val="pt-BR"/>
              </w:rPr>
            </w:pPr>
            <w:r w:rsidRPr="002E707A">
              <w:rPr>
                <w:sz w:val="20"/>
                <w:szCs w:val="20"/>
                <w:lang w:val="pt-BR"/>
              </w:rPr>
              <w:t>5,3</w:t>
            </w:r>
          </w:p>
        </w:tc>
        <w:tc>
          <w:tcPr>
            <w:tcW w:w="403" w:type="pct"/>
            <w:tcBorders>
              <w:top w:val="single" w:sz="4" w:space="0" w:color="auto"/>
              <w:left w:val="nil"/>
              <w:bottom w:val="nil"/>
              <w:right w:val="nil"/>
            </w:tcBorders>
            <w:shd w:val="clear" w:color="auto" w:fill="auto"/>
          </w:tcPr>
          <w:p w14:paraId="2862F73C" w14:textId="77777777" w:rsidR="004C0483" w:rsidRPr="002E707A" w:rsidRDefault="004C0483" w:rsidP="00A1791E">
            <w:pPr>
              <w:jc w:val="center"/>
              <w:rPr>
                <w:sz w:val="20"/>
                <w:szCs w:val="20"/>
                <w:lang w:val="pt-BR"/>
              </w:rPr>
            </w:pPr>
            <w:r w:rsidRPr="002E707A">
              <w:rPr>
                <w:sz w:val="20"/>
                <w:szCs w:val="20"/>
                <w:lang w:val="pt-BR"/>
              </w:rPr>
              <w:t>10</w:t>
            </w:r>
          </w:p>
        </w:tc>
        <w:tc>
          <w:tcPr>
            <w:tcW w:w="403" w:type="pct"/>
            <w:tcBorders>
              <w:top w:val="single" w:sz="4" w:space="0" w:color="auto"/>
              <w:left w:val="nil"/>
              <w:bottom w:val="nil"/>
              <w:right w:val="nil"/>
            </w:tcBorders>
            <w:shd w:val="clear" w:color="auto" w:fill="auto"/>
          </w:tcPr>
          <w:p w14:paraId="77B370C4" w14:textId="77777777" w:rsidR="004C0483" w:rsidRPr="002E707A" w:rsidRDefault="004C0483" w:rsidP="00A1791E">
            <w:pPr>
              <w:jc w:val="center"/>
              <w:rPr>
                <w:sz w:val="20"/>
                <w:szCs w:val="20"/>
                <w:lang w:val="pt-BR"/>
              </w:rPr>
            </w:pPr>
            <w:r w:rsidRPr="002E707A">
              <w:rPr>
                <w:sz w:val="20"/>
                <w:szCs w:val="20"/>
                <w:lang w:val="pt-BR"/>
              </w:rPr>
              <w:t>6,9</w:t>
            </w:r>
          </w:p>
        </w:tc>
        <w:tc>
          <w:tcPr>
            <w:tcW w:w="403" w:type="pct"/>
            <w:tcBorders>
              <w:top w:val="single" w:sz="4" w:space="0" w:color="auto"/>
              <w:left w:val="nil"/>
              <w:bottom w:val="nil"/>
              <w:right w:val="nil"/>
            </w:tcBorders>
            <w:shd w:val="clear" w:color="auto" w:fill="auto"/>
          </w:tcPr>
          <w:p w14:paraId="39FA0358" w14:textId="77777777" w:rsidR="004C0483" w:rsidRPr="002E707A" w:rsidRDefault="004C0483" w:rsidP="00A1791E">
            <w:pPr>
              <w:jc w:val="center"/>
              <w:rPr>
                <w:sz w:val="20"/>
                <w:szCs w:val="20"/>
                <w:lang w:val="pt-BR"/>
              </w:rPr>
            </w:pPr>
            <w:r w:rsidRPr="002E707A">
              <w:rPr>
                <w:sz w:val="20"/>
                <w:szCs w:val="20"/>
                <w:lang w:val="pt-BR"/>
              </w:rPr>
              <w:t>1</w:t>
            </w:r>
          </w:p>
        </w:tc>
        <w:tc>
          <w:tcPr>
            <w:tcW w:w="402" w:type="pct"/>
            <w:tcBorders>
              <w:top w:val="single" w:sz="4" w:space="0" w:color="auto"/>
              <w:left w:val="nil"/>
              <w:bottom w:val="nil"/>
              <w:right w:val="nil"/>
            </w:tcBorders>
            <w:shd w:val="clear" w:color="auto" w:fill="auto"/>
          </w:tcPr>
          <w:p w14:paraId="475F0F6D" w14:textId="77777777" w:rsidR="004C0483" w:rsidRPr="002E707A" w:rsidRDefault="004C0483" w:rsidP="00A1791E">
            <w:pPr>
              <w:jc w:val="center"/>
              <w:rPr>
                <w:sz w:val="20"/>
                <w:szCs w:val="20"/>
                <w:lang w:val="pt-BR"/>
              </w:rPr>
            </w:pPr>
            <w:r w:rsidRPr="002E707A">
              <w:rPr>
                <w:sz w:val="20"/>
                <w:szCs w:val="20"/>
                <w:lang w:val="pt-BR"/>
              </w:rPr>
              <w:t>6,7</w:t>
            </w:r>
          </w:p>
        </w:tc>
      </w:tr>
      <w:tr w:rsidR="004C0483" w:rsidRPr="002E707A" w14:paraId="5C2B9376" w14:textId="77777777" w:rsidTr="00A1791E">
        <w:trPr>
          <w:trHeight w:val="20"/>
          <w:jc w:val="center"/>
        </w:trPr>
        <w:tc>
          <w:tcPr>
            <w:tcW w:w="834" w:type="pct"/>
            <w:vMerge/>
            <w:tcBorders>
              <w:left w:val="nil"/>
              <w:right w:val="nil"/>
            </w:tcBorders>
            <w:shd w:val="clear" w:color="auto" w:fill="auto"/>
            <w:vAlign w:val="center"/>
          </w:tcPr>
          <w:p w14:paraId="305F2BC5" w14:textId="77777777" w:rsidR="004C0483" w:rsidRPr="002E707A" w:rsidRDefault="004C0483" w:rsidP="00A1791E">
            <w:pPr>
              <w:rPr>
                <w:b/>
                <w:sz w:val="20"/>
                <w:szCs w:val="20"/>
                <w:lang w:val="pt-BR"/>
              </w:rPr>
            </w:pPr>
          </w:p>
        </w:tc>
        <w:tc>
          <w:tcPr>
            <w:tcW w:w="1750" w:type="pct"/>
            <w:tcBorders>
              <w:top w:val="nil"/>
              <w:left w:val="nil"/>
              <w:bottom w:val="nil"/>
              <w:right w:val="nil"/>
            </w:tcBorders>
            <w:shd w:val="clear" w:color="auto" w:fill="auto"/>
          </w:tcPr>
          <w:p w14:paraId="4E1EE89A" w14:textId="77777777" w:rsidR="004C0483" w:rsidRPr="002E707A" w:rsidRDefault="004C0483" w:rsidP="00A1791E">
            <w:pPr>
              <w:rPr>
                <w:sz w:val="20"/>
                <w:szCs w:val="20"/>
                <w:lang w:val="pt-BR"/>
              </w:rPr>
            </w:pPr>
            <w:r w:rsidRPr="002E707A">
              <w:rPr>
                <w:sz w:val="20"/>
                <w:szCs w:val="20"/>
                <w:lang w:val="pt-BR"/>
              </w:rPr>
              <w:t>Uma condição</w:t>
            </w:r>
          </w:p>
        </w:tc>
        <w:tc>
          <w:tcPr>
            <w:tcW w:w="402" w:type="pct"/>
            <w:tcBorders>
              <w:top w:val="nil"/>
              <w:left w:val="nil"/>
              <w:bottom w:val="nil"/>
              <w:right w:val="nil"/>
            </w:tcBorders>
            <w:shd w:val="clear" w:color="auto" w:fill="auto"/>
          </w:tcPr>
          <w:p w14:paraId="12CE3317" w14:textId="77777777" w:rsidR="004C0483" w:rsidRPr="002E707A" w:rsidRDefault="004C0483" w:rsidP="00A1791E">
            <w:pPr>
              <w:jc w:val="center"/>
              <w:rPr>
                <w:sz w:val="20"/>
                <w:szCs w:val="20"/>
                <w:lang w:val="pt-BR"/>
              </w:rPr>
            </w:pPr>
            <w:r w:rsidRPr="002E707A">
              <w:rPr>
                <w:sz w:val="20"/>
                <w:szCs w:val="20"/>
                <w:lang w:val="pt-BR"/>
              </w:rPr>
              <w:t>201</w:t>
            </w:r>
          </w:p>
        </w:tc>
        <w:tc>
          <w:tcPr>
            <w:tcW w:w="403" w:type="pct"/>
            <w:tcBorders>
              <w:top w:val="nil"/>
              <w:left w:val="nil"/>
              <w:bottom w:val="nil"/>
              <w:right w:val="nil"/>
            </w:tcBorders>
            <w:shd w:val="clear" w:color="auto" w:fill="auto"/>
          </w:tcPr>
          <w:p w14:paraId="0B8AB65A" w14:textId="77777777" w:rsidR="004C0483" w:rsidRPr="002E707A" w:rsidRDefault="004C0483" w:rsidP="00A1791E">
            <w:pPr>
              <w:jc w:val="center"/>
              <w:rPr>
                <w:sz w:val="20"/>
                <w:szCs w:val="20"/>
                <w:lang w:val="pt-BR"/>
              </w:rPr>
            </w:pPr>
            <w:r w:rsidRPr="002E707A">
              <w:rPr>
                <w:sz w:val="20"/>
                <w:szCs w:val="20"/>
                <w:lang w:val="pt-BR"/>
              </w:rPr>
              <w:t>89,3</w:t>
            </w:r>
          </w:p>
        </w:tc>
        <w:tc>
          <w:tcPr>
            <w:tcW w:w="403" w:type="pct"/>
            <w:tcBorders>
              <w:top w:val="nil"/>
              <w:left w:val="nil"/>
              <w:bottom w:val="nil"/>
              <w:right w:val="nil"/>
            </w:tcBorders>
            <w:shd w:val="clear" w:color="auto" w:fill="auto"/>
          </w:tcPr>
          <w:p w14:paraId="638248A0" w14:textId="77777777" w:rsidR="004C0483" w:rsidRPr="002E707A" w:rsidRDefault="004C0483" w:rsidP="00A1791E">
            <w:pPr>
              <w:jc w:val="center"/>
              <w:rPr>
                <w:sz w:val="20"/>
                <w:szCs w:val="20"/>
                <w:lang w:val="pt-BR"/>
              </w:rPr>
            </w:pPr>
            <w:r w:rsidRPr="002E707A">
              <w:rPr>
                <w:sz w:val="20"/>
                <w:szCs w:val="20"/>
                <w:lang w:val="pt-BR"/>
              </w:rPr>
              <w:t>124</w:t>
            </w:r>
          </w:p>
        </w:tc>
        <w:tc>
          <w:tcPr>
            <w:tcW w:w="403" w:type="pct"/>
            <w:tcBorders>
              <w:top w:val="nil"/>
              <w:left w:val="nil"/>
              <w:bottom w:val="nil"/>
              <w:right w:val="nil"/>
            </w:tcBorders>
            <w:shd w:val="clear" w:color="auto" w:fill="auto"/>
          </w:tcPr>
          <w:p w14:paraId="1829093B" w14:textId="77777777" w:rsidR="004C0483" w:rsidRPr="002E707A" w:rsidRDefault="004C0483" w:rsidP="00A1791E">
            <w:pPr>
              <w:jc w:val="center"/>
              <w:rPr>
                <w:sz w:val="20"/>
                <w:szCs w:val="20"/>
                <w:lang w:val="pt-BR"/>
              </w:rPr>
            </w:pPr>
            <w:r w:rsidRPr="002E707A">
              <w:rPr>
                <w:sz w:val="20"/>
                <w:szCs w:val="20"/>
                <w:lang w:val="pt-BR"/>
              </w:rPr>
              <w:t>86,1</w:t>
            </w:r>
          </w:p>
        </w:tc>
        <w:tc>
          <w:tcPr>
            <w:tcW w:w="403" w:type="pct"/>
            <w:tcBorders>
              <w:top w:val="nil"/>
              <w:left w:val="nil"/>
              <w:bottom w:val="nil"/>
              <w:right w:val="nil"/>
            </w:tcBorders>
            <w:shd w:val="clear" w:color="auto" w:fill="auto"/>
          </w:tcPr>
          <w:p w14:paraId="7953CD82" w14:textId="77777777" w:rsidR="004C0483" w:rsidRPr="002E707A" w:rsidRDefault="004C0483" w:rsidP="00A1791E">
            <w:pPr>
              <w:jc w:val="center"/>
              <w:rPr>
                <w:sz w:val="20"/>
                <w:szCs w:val="20"/>
                <w:lang w:val="pt-BR"/>
              </w:rPr>
            </w:pPr>
            <w:r w:rsidRPr="002E707A">
              <w:rPr>
                <w:sz w:val="20"/>
                <w:szCs w:val="20"/>
                <w:lang w:val="pt-BR"/>
              </w:rPr>
              <w:t>11</w:t>
            </w:r>
          </w:p>
        </w:tc>
        <w:tc>
          <w:tcPr>
            <w:tcW w:w="402" w:type="pct"/>
            <w:tcBorders>
              <w:top w:val="nil"/>
              <w:left w:val="nil"/>
              <w:bottom w:val="nil"/>
              <w:right w:val="nil"/>
            </w:tcBorders>
            <w:shd w:val="clear" w:color="auto" w:fill="auto"/>
          </w:tcPr>
          <w:p w14:paraId="1EFFF375" w14:textId="77777777" w:rsidR="004C0483" w:rsidRPr="002E707A" w:rsidRDefault="004C0483" w:rsidP="00A1791E">
            <w:pPr>
              <w:jc w:val="center"/>
              <w:rPr>
                <w:sz w:val="20"/>
                <w:szCs w:val="20"/>
                <w:lang w:val="pt-BR"/>
              </w:rPr>
            </w:pPr>
            <w:r w:rsidRPr="002E707A">
              <w:rPr>
                <w:sz w:val="20"/>
                <w:szCs w:val="20"/>
                <w:lang w:val="pt-BR"/>
              </w:rPr>
              <w:t>73,3</w:t>
            </w:r>
          </w:p>
        </w:tc>
      </w:tr>
      <w:tr w:rsidR="004C0483" w:rsidRPr="002E707A" w14:paraId="1CA7AA3C" w14:textId="77777777" w:rsidTr="00A1791E">
        <w:trPr>
          <w:trHeight w:val="20"/>
          <w:jc w:val="center"/>
        </w:trPr>
        <w:tc>
          <w:tcPr>
            <w:tcW w:w="834" w:type="pct"/>
            <w:vMerge/>
            <w:tcBorders>
              <w:left w:val="nil"/>
              <w:bottom w:val="single" w:sz="4" w:space="0" w:color="auto"/>
              <w:right w:val="nil"/>
            </w:tcBorders>
            <w:shd w:val="clear" w:color="auto" w:fill="auto"/>
            <w:vAlign w:val="center"/>
          </w:tcPr>
          <w:p w14:paraId="0EC50C68" w14:textId="77777777" w:rsidR="004C0483" w:rsidRPr="002E707A" w:rsidRDefault="004C0483" w:rsidP="00A1791E">
            <w:pPr>
              <w:rPr>
                <w:b/>
                <w:sz w:val="20"/>
                <w:szCs w:val="20"/>
                <w:lang w:val="pt-BR"/>
              </w:rPr>
            </w:pPr>
          </w:p>
        </w:tc>
        <w:tc>
          <w:tcPr>
            <w:tcW w:w="1750" w:type="pct"/>
            <w:tcBorders>
              <w:top w:val="nil"/>
              <w:left w:val="nil"/>
              <w:bottom w:val="single" w:sz="4" w:space="0" w:color="auto"/>
              <w:right w:val="nil"/>
            </w:tcBorders>
            <w:shd w:val="clear" w:color="auto" w:fill="auto"/>
          </w:tcPr>
          <w:p w14:paraId="3879B2E5" w14:textId="77777777" w:rsidR="004C0483" w:rsidRPr="002E707A" w:rsidRDefault="004C0483" w:rsidP="00A1791E">
            <w:pPr>
              <w:rPr>
                <w:sz w:val="20"/>
                <w:szCs w:val="20"/>
                <w:lang w:val="pt-BR"/>
              </w:rPr>
            </w:pPr>
            <w:r w:rsidRPr="002E707A">
              <w:rPr>
                <w:sz w:val="20"/>
                <w:szCs w:val="20"/>
                <w:lang w:val="pt-BR"/>
              </w:rPr>
              <w:t>Múltiplas condições</w:t>
            </w:r>
          </w:p>
        </w:tc>
        <w:tc>
          <w:tcPr>
            <w:tcW w:w="402" w:type="pct"/>
            <w:tcBorders>
              <w:top w:val="nil"/>
              <w:left w:val="nil"/>
              <w:bottom w:val="single" w:sz="4" w:space="0" w:color="auto"/>
              <w:right w:val="nil"/>
            </w:tcBorders>
            <w:shd w:val="clear" w:color="auto" w:fill="auto"/>
          </w:tcPr>
          <w:p w14:paraId="2FD0CF1D" w14:textId="77777777" w:rsidR="004C0483" w:rsidRPr="002E707A" w:rsidRDefault="004C0483" w:rsidP="00A1791E">
            <w:pPr>
              <w:jc w:val="center"/>
              <w:rPr>
                <w:sz w:val="20"/>
                <w:szCs w:val="20"/>
                <w:lang w:val="pt-BR"/>
              </w:rPr>
            </w:pPr>
            <w:r w:rsidRPr="002E707A">
              <w:rPr>
                <w:sz w:val="20"/>
                <w:szCs w:val="20"/>
                <w:lang w:val="pt-BR"/>
              </w:rPr>
              <w:t>12</w:t>
            </w:r>
          </w:p>
        </w:tc>
        <w:tc>
          <w:tcPr>
            <w:tcW w:w="403" w:type="pct"/>
            <w:tcBorders>
              <w:top w:val="nil"/>
              <w:left w:val="nil"/>
              <w:bottom w:val="single" w:sz="4" w:space="0" w:color="auto"/>
              <w:right w:val="nil"/>
            </w:tcBorders>
            <w:shd w:val="clear" w:color="auto" w:fill="auto"/>
          </w:tcPr>
          <w:p w14:paraId="78A64FCB" w14:textId="77777777" w:rsidR="004C0483" w:rsidRPr="002E707A" w:rsidRDefault="004C0483" w:rsidP="00A1791E">
            <w:pPr>
              <w:jc w:val="center"/>
              <w:rPr>
                <w:sz w:val="20"/>
                <w:szCs w:val="20"/>
                <w:lang w:val="pt-BR"/>
              </w:rPr>
            </w:pPr>
            <w:r w:rsidRPr="002E707A">
              <w:rPr>
                <w:sz w:val="20"/>
                <w:szCs w:val="20"/>
                <w:lang w:val="pt-BR"/>
              </w:rPr>
              <w:t>5,3</w:t>
            </w:r>
          </w:p>
        </w:tc>
        <w:tc>
          <w:tcPr>
            <w:tcW w:w="403" w:type="pct"/>
            <w:tcBorders>
              <w:top w:val="nil"/>
              <w:left w:val="nil"/>
              <w:bottom w:val="single" w:sz="4" w:space="0" w:color="auto"/>
              <w:right w:val="nil"/>
            </w:tcBorders>
            <w:shd w:val="clear" w:color="auto" w:fill="auto"/>
          </w:tcPr>
          <w:p w14:paraId="1F500ACC" w14:textId="77777777" w:rsidR="004C0483" w:rsidRPr="002E707A" w:rsidRDefault="004C0483" w:rsidP="00A1791E">
            <w:pPr>
              <w:jc w:val="center"/>
              <w:rPr>
                <w:sz w:val="20"/>
                <w:szCs w:val="20"/>
                <w:lang w:val="pt-BR"/>
              </w:rPr>
            </w:pPr>
            <w:r w:rsidRPr="002E707A">
              <w:rPr>
                <w:sz w:val="20"/>
                <w:szCs w:val="20"/>
                <w:lang w:val="pt-BR"/>
              </w:rPr>
              <w:t>10</w:t>
            </w:r>
          </w:p>
        </w:tc>
        <w:tc>
          <w:tcPr>
            <w:tcW w:w="403" w:type="pct"/>
            <w:tcBorders>
              <w:top w:val="nil"/>
              <w:left w:val="nil"/>
              <w:bottom w:val="single" w:sz="4" w:space="0" w:color="auto"/>
              <w:right w:val="nil"/>
            </w:tcBorders>
            <w:shd w:val="clear" w:color="auto" w:fill="auto"/>
          </w:tcPr>
          <w:p w14:paraId="5CBAE4E3" w14:textId="77777777" w:rsidR="004C0483" w:rsidRPr="002E707A" w:rsidRDefault="004C0483" w:rsidP="00A1791E">
            <w:pPr>
              <w:jc w:val="center"/>
              <w:rPr>
                <w:sz w:val="20"/>
                <w:szCs w:val="20"/>
                <w:lang w:val="pt-BR"/>
              </w:rPr>
            </w:pPr>
            <w:r w:rsidRPr="002E707A">
              <w:rPr>
                <w:sz w:val="20"/>
                <w:szCs w:val="20"/>
                <w:lang w:val="pt-BR"/>
              </w:rPr>
              <w:t>6,9</w:t>
            </w:r>
          </w:p>
        </w:tc>
        <w:tc>
          <w:tcPr>
            <w:tcW w:w="403" w:type="pct"/>
            <w:tcBorders>
              <w:top w:val="nil"/>
              <w:left w:val="nil"/>
              <w:bottom w:val="single" w:sz="4" w:space="0" w:color="auto"/>
              <w:right w:val="nil"/>
            </w:tcBorders>
            <w:shd w:val="clear" w:color="auto" w:fill="auto"/>
          </w:tcPr>
          <w:p w14:paraId="08EBBBD3" w14:textId="77777777" w:rsidR="004C0483" w:rsidRPr="002E707A" w:rsidRDefault="004C0483" w:rsidP="00A1791E">
            <w:pPr>
              <w:jc w:val="center"/>
              <w:rPr>
                <w:sz w:val="20"/>
                <w:szCs w:val="20"/>
                <w:lang w:val="pt-BR"/>
              </w:rPr>
            </w:pPr>
            <w:r w:rsidRPr="002E707A">
              <w:rPr>
                <w:sz w:val="20"/>
                <w:szCs w:val="20"/>
                <w:lang w:val="pt-BR"/>
              </w:rPr>
              <w:t>3</w:t>
            </w:r>
          </w:p>
        </w:tc>
        <w:tc>
          <w:tcPr>
            <w:tcW w:w="402" w:type="pct"/>
            <w:tcBorders>
              <w:top w:val="nil"/>
              <w:left w:val="nil"/>
              <w:bottom w:val="single" w:sz="4" w:space="0" w:color="auto"/>
              <w:right w:val="nil"/>
            </w:tcBorders>
            <w:shd w:val="clear" w:color="auto" w:fill="auto"/>
          </w:tcPr>
          <w:p w14:paraId="56913B95" w14:textId="77777777" w:rsidR="004C0483" w:rsidRPr="002E707A" w:rsidRDefault="004C0483" w:rsidP="00A1791E">
            <w:pPr>
              <w:jc w:val="center"/>
              <w:rPr>
                <w:sz w:val="20"/>
                <w:szCs w:val="20"/>
                <w:lang w:val="pt-BR"/>
              </w:rPr>
            </w:pPr>
            <w:r w:rsidRPr="002E707A">
              <w:rPr>
                <w:sz w:val="20"/>
                <w:szCs w:val="20"/>
                <w:lang w:val="pt-BR"/>
              </w:rPr>
              <w:t>20,0</w:t>
            </w:r>
          </w:p>
        </w:tc>
      </w:tr>
      <w:tr w:rsidR="004C0483" w:rsidRPr="002E707A" w14:paraId="2CCC79CA" w14:textId="77777777" w:rsidTr="00A1791E">
        <w:trPr>
          <w:trHeight w:val="20"/>
          <w:jc w:val="center"/>
        </w:trPr>
        <w:tc>
          <w:tcPr>
            <w:tcW w:w="834" w:type="pct"/>
            <w:vMerge w:val="restart"/>
            <w:tcBorders>
              <w:left w:val="nil"/>
              <w:right w:val="nil"/>
            </w:tcBorders>
            <w:shd w:val="clear" w:color="auto" w:fill="auto"/>
            <w:vAlign w:val="center"/>
          </w:tcPr>
          <w:p w14:paraId="673A70DF" w14:textId="77777777" w:rsidR="004C0483" w:rsidRPr="002E707A" w:rsidRDefault="004C0483" w:rsidP="00A1791E">
            <w:pPr>
              <w:rPr>
                <w:b/>
                <w:sz w:val="20"/>
                <w:szCs w:val="20"/>
                <w:lang w:val="pt-BR"/>
              </w:rPr>
            </w:pPr>
            <w:r w:rsidRPr="002E707A">
              <w:rPr>
                <w:b/>
                <w:sz w:val="20"/>
                <w:szCs w:val="20"/>
                <w:lang w:val="pt-BR"/>
              </w:rPr>
              <w:t>Diagnóstico Psiquiátrico</w:t>
            </w:r>
          </w:p>
        </w:tc>
        <w:tc>
          <w:tcPr>
            <w:tcW w:w="1750" w:type="pct"/>
            <w:tcBorders>
              <w:top w:val="single" w:sz="4" w:space="0" w:color="auto"/>
              <w:left w:val="nil"/>
              <w:bottom w:val="nil"/>
              <w:right w:val="nil"/>
            </w:tcBorders>
            <w:shd w:val="clear" w:color="auto" w:fill="auto"/>
          </w:tcPr>
          <w:p w14:paraId="48091A3D" w14:textId="77777777" w:rsidR="004C0483" w:rsidRPr="002E707A" w:rsidRDefault="004C0483" w:rsidP="00A1791E">
            <w:pPr>
              <w:rPr>
                <w:sz w:val="20"/>
                <w:szCs w:val="20"/>
                <w:lang w:val="pt-BR"/>
              </w:rPr>
            </w:pPr>
            <w:r w:rsidRPr="002E707A">
              <w:rPr>
                <w:sz w:val="20"/>
                <w:szCs w:val="20"/>
                <w:lang w:val="pt-BR"/>
              </w:rPr>
              <w:t>Sem diagnóstico</w:t>
            </w:r>
          </w:p>
        </w:tc>
        <w:tc>
          <w:tcPr>
            <w:tcW w:w="402" w:type="pct"/>
            <w:tcBorders>
              <w:top w:val="single" w:sz="4" w:space="0" w:color="auto"/>
              <w:left w:val="nil"/>
              <w:bottom w:val="nil"/>
              <w:right w:val="nil"/>
            </w:tcBorders>
            <w:shd w:val="clear" w:color="auto" w:fill="auto"/>
          </w:tcPr>
          <w:p w14:paraId="20408056" w14:textId="77777777" w:rsidR="004C0483" w:rsidRPr="002E707A" w:rsidRDefault="004C0483" w:rsidP="00A1791E">
            <w:pPr>
              <w:jc w:val="center"/>
              <w:rPr>
                <w:sz w:val="20"/>
                <w:szCs w:val="20"/>
                <w:lang w:val="pt-BR"/>
              </w:rPr>
            </w:pPr>
            <w:r w:rsidRPr="002E707A">
              <w:rPr>
                <w:sz w:val="20"/>
                <w:szCs w:val="20"/>
                <w:lang w:val="pt-BR"/>
              </w:rPr>
              <w:t>7</w:t>
            </w:r>
          </w:p>
        </w:tc>
        <w:tc>
          <w:tcPr>
            <w:tcW w:w="403" w:type="pct"/>
            <w:tcBorders>
              <w:top w:val="single" w:sz="4" w:space="0" w:color="auto"/>
              <w:left w:val="nil"/>
              <w:bottom w:val="nil"/>
              <w:right w:val="nil"/>
            </w:tcBorders>
            <w:shd w:val="clear" w:color="auto" w:fill="auto"/>
          </w:tcPr>
          <w:p w14:paraId="6588257A" w14:textId="77777777" w:rsidR="004C0483" w:rsidRPr="002E707A" w:rsidRDefault="004C0483" w:rsidP="00A1791E">
            <w:pPr>
              <w:jc w:val="center"/>
              <w:rPr>
                <w:sz w:val="20"/>
                <w:szCs w:val="20"/>
                <w:lang w:val="pt-BR"/>
              </w:rPr>
            </w:pPr>
            <w:r w:rsidRPr="002E707A">
              <w:rPr>
                <w:sz w:val="20"/>
                <w:szCs w:val="20"/>
                <w:lang w:val="pt-BR"/>
              </w:rPr>
              <w:t>3,1</w:t>
            </w:r>
          </w:p>
        </w:tc>
        <w:tc>
          <w:tcPr>
            <w:tcW w:w="403" w:type="pct"/>
            <w:tcBorders>
              <w:top w:val="single" w:sz="4" w:space="0" w:color="auto"/>
              <w:left w:val="nil"/>
              <w:bottom w:val="nil"/>
              <w:right w:val="nil"/>
            </w:tcBorders>
            <w:shd w:val="clear" w:color="auto" w:fill="auto"/>
          </w:tcPr>
          <w:p w14:paraId="3312A90A" w14:textId="77777777" w:rsidR="004C0483" w:rsidRPr="002E707A" w:rsidRDefault="004C0483" w:rsidP="00A1791E">
            <w:pPr>
              <w:jc w:val="center"/>
              <w:rPr>
                <w:sz w:val="20"/>
                <w:szCs w:val="20"/>
                <w:lang w:val="pt-BR"/>
              </w:rPr>
            </w:pPr>
            <w:r w:rsidRPr="002E707A">
              <w:rPr>
                <w:sz w:val="20"/>
                <w:szCs w:val="20"/>
                <w:lang w:val="pt-BR"/>
              </w:rPr>
              <w:t>8</w:t>
            </w:r>
          </w:p>
        </w:tc>
        <w:tc>
          <w:tcPr>
            <w:tcW w:w="403" w:type="pct"/>
            <w:tcBorders>
              <w:top w:val="single" w:sz="4" w:space="0" w:color="auto"/>
              <w:left w:val="nil"/>
              <w:bottom w:val="nil"/>
              <w:right w:val="nil"/>
            </w:tcBorders>
            <w:shd w:val="clear" w:color="auto" w:fill="auto"/>
          </w:tcPr>
          <w:p w14:paraId="6DEBB7CD" w14:textId="77777777" w:rsidR="004C0483" w:rsidRPr="002E707A" w:rsidRDefault="004C0483" w:rsidP="00A1791E">
            <w:pPr>
              <w:jc w:val="center"/>
              <w:rPr>
                <w:sz w:val="20"/>
                <w:szCs w:val="20"/>
                <w:lang w:val="pt-BR"/>
              </w:rPr>
            </w:pPr>
            <w:r w:rsidRPr="002E707A">
              <w:rPr>
                <w:sz w:val="20"/>
                <w:szCs w:val="20"/>
                <w:lang w:val="pt-BR"/>
              </w:rPr>
              <w:t>5,6</w:t>
            </w:r>
          </w:p>
        </w:tc>
        <w:tc>
          <w:tcPr>
            <w:tcW w:w="403" w:type="pct"/>
            <w:tcBorders>
              <w:top w:val="single" w:sz="4" w:space="0" w:color="auto"/>
              <w:left w:val="nil"/>
              <w:bottom w:val="nil"/>
              <w:right w:val="nil"/>
            </w:tcBorders>
            <w:shd w:val="clear" w:color="auto" w:fill="auto"/>
          </w:tcPr>
          <w:p w14:paraId="06F72525" w14:textId="77777777" w:rsidR="004C0483" w:rsidRPr="002E707A" w:rsidRDefault="004C0483" w:rsidP="00A1791E">
            <w:pPr>
              <w:jc w:val="center"/>
              <w:rPr>
                <w:sz w:val="20"/>
                <w:szCs w:val="20"/>
                <w:lang w:val="pt-BR"/>
              </w:rPr>
            </w:pPr>
            <w:r w:rsidRPr="002E707A">
              <w:rPr>
                <w:sz w:val="20"/>
                <w:szCs w:val="20"/>
                <w:lang w:val="pt-BR"/>
              </w:rPr>
              <w:t>0</w:t>
            </w:r>
          </w:p>
        </w:tc>
        <w:tc>
          <w:tcPr>
            <w:tcW w:w="402" w:type="pct"/>
            <w:tcBorders>
              <w:top w:val="single" w:sz="4" w:space="0" w:color="auto"/>
              <w:left w:val="nil"/>
              <w:bottom w:val="nil"/>
              <w:right w:val="nil"/>
            </w:tcBorders>
            <w:shd w:val="clear" w:color="auto" w:fill="auto"/>
          </w:tcPr>
          <w:p w14:paraId="52589EAF" w14:textId="77777777" w:rsidR="004C0483" w:rsidRPr="002E707A" w:rsidRDefault="004C0483" w:rsidP="00A1791E">
            <w:pPr>
              <w:jc w:val="center"/>
              <w:rPr>
                <w:sz w:val="20"/>
                <w:szCs w:val="20"/>
                <w:lang w:val="pt-BR"/>
              </w:rPr>
            </w:pPr>
            <w:r w:rsidRPr="002E707A">
              <w:rPr>
                <w:sz w:val="20"/>
                <w:szCs w:val="20"/>
                <w:lang w:val="pt-BR"/>
              </w:rPr>
              <w:t>0</w:t>
            </w:r>
          </w:p>
        </w:tc>
      </w:tr>
      <w:tr w:rsidR="004C0483" w:rsidRPr="002E707A" w14:paraId="0DB1DC04" w14:textId="77777777" w:rsidTr="00A1791E">
        <w:trPr>
          <w:trHeight w:val="20"/>
          <w:jc w:val="center"/>
        </w:trPr>
        <w:tc>
          <w:tcPr>
            <w:tcW w:w="834" w:type="pct"/>
            <w:vMerge/>
            <w:tcBorders>
              <w:left w:val="nil"/>
              <w:right w:val="nil"/>
            </w:tcBorders>
            <w:shd w:val="clear" w:color="auto" w:fill="auto"/>
          </w:tcPr>
          <w:p w14:paraId="3B690889" w14:textId="77777777" w:rsidR="004C0483" w:rsidRPr="002E707A" w:rsidRDefault="004C0483" w:rsidP="00A1791E">
            <w:pPr>
              <w:rPr>
                <w:b/>
                <w:sz w:val="20"/>
                <w:szCs w:val="20"/>
                <w:lang w:val="pt-BR"/>
              </w:rPr>
            </w:pPr>
          </w:p>
        </w:tc>
        <w:tc>
          <w:tcPr>
            <w:tcW w:w="1750" w:type="pct"/>
            <w:tcBorders>
              <w:top w:val="nil"/>
              <w:left w:val="nil"/>
              <w:bottom w:val="nil"/>
              <w:right w:val="nil"/>
            </w:tcBorders>
            <w:shd w:val="clear" w:color="auto" w:fill="auto"/>
          </w:tcPr>
          <w:p w14:paraId="4779348E" w14:textId="77777777" w:rsidR="004C0483" w:rsidRPr="002E707A" w:rsidRDefault="004C0483" w:rsidP="00A1791E">
            <w:pPr>
              <w:rPr>
                <w:sz w:val="20"/>
                <w:szCs w:val="20"/>
                <w:lang w:val="pt-BR"/>
              </w:rPr>
            </w:pPr>
            <w:r w:rsidRPr="002E707A">
              <w:rPr>
                <w:sz w:val="20"/>
                <w:szCs w:val="20"/>
                <w:lang w:val="pt-BR"/>
              </w:rPr>
              <w:t>Uma condição</w:t>
            </w:r>
          </w:p>
        </w:tc>
        <w:tc>
          <w:tcPr>
            <w:tcW w:w="402" w:type="pct"/>
            <w:tcBorders>
              <w:top w:val="nil"/>
              <w:left w:val="nil"/>
              <w:bottom w:val="nil"/>
              <w:right w:val="nil"/>
            </w:tcBorders>
            <w:shd w:val="clear" w:color="auto" w:fill="auto"/>
          </w:tcPr>
          <w:p w14:paraId="0FE1FBB0" w14:textId="77777777" w:rsidR="004C0483" w:rsidRPr="002E707A" w:rsidRDefault="004C0483" w:rsidP="00A1791E">
            <w:pPr>
              <w:jc w:val="center"/>
              <w:rPr>
                <w:sz w:val="20"/>
                <w:szCs w:val="20"/>
                <w:lang w:val="pt-BR"/>
              </w:rPr>
            </w:pPr>
            <w:r w:rsidRPr="002E707A">
              <w:rPr>
                <w:sz w:val="20"/>
                <w:szCs w:val="20"/>
                <w:lang w:val="pt-BR"/>
              </w:rPr>
              <w:t>175</w:t>
            </w:r>
          </w:p>
        </w:tc>
        <w:tc>
          <w:tcPr>
            <w:tcW w:w="403" w:type="pct"/>
            <w:tcBorders>
              <w:top w:val="nil"/>
              <w:left w:val="nil"/>
              <w:bottom w:val="nil"/>
              <w:right w:val="nil"/>
            </w:tcBorders>
            <w:shd w:val="clear" w:color="auto" w:fill="auto"/>
          </w:tcPr>
          <w:p w14:paraId="6B814914" w14:textId="77777777" w:rsidR="004C0483" w:rsidRPr="002E707A" w:rsidRDefault="004C0483" w:rsidP="00A1791E">
            <w:pPr>
              <w:jc w:val="center"/>
              <w:rPr>
                <w:sz w:val="20"/>
                <w:szCs w:val="20"/>
                <w:lang w:val="pt-BR"/>
              </w:rPr>
            </w:pPr>
            <w:r w:rsidRPr="002E707A">
              <w:rPr>
                <w:sz w:val="20"/>
                <w:szCs w:val="20"/>
                <w:lang w:val="pt-BR"/>
              </w:rPr>
              <w:t>77,8</w:t>
            </w:r>
          </w:p>
        </w:tc>
        <w:tc>
          <w:tcPr>
            <w:tcW w:w="403" w:type="pct"/>
            <w:tcBorders>
              <w:top w:val="nil"/>
              <w:left w:val="nil"/>
              <w:bottom w:val="nil"/>
              <w:right w:val="nil"/>
            </w:tcBorders>
            <w:shd w:val="clear" w:color="auto" w:fill="auto"/>
          </w:tcPr>
          <w:p w14:paraId="59DD82AB" w14:textId="77777777" w:rsidR="004C0483" w:rsidRPr="002E707A" w:rsidRDefault="004C0483" w:rsidP="00A1791E">
            <w:pPr>
              <w:jc w:val="center"/>
              <w:rPr>
                <w:sz w:val="20"/>
                <w:szCs w:val="20"/>
                <w:lang w:val="pt-BR"/>
              </w:rPr>
            </w:pPr>
            <w:r w:rsidRPr="002E707A">
              <w:rPr>
                <w:sz w:val="20"/>
                <w:szCs w:val="20"/>
                <w:lang w:val="pt-BR"/>
              </w:rPr>
              <w:t>96</w:t>
            </w:r>
          </w:p>
        </w:tc>
        <w:tc>
          <w:tcPr>
            <w:tcW w:w="403" w:type="pct"/>
            <w:tcBorders>
              <w:top w:val="nil"/>
              <w:left w:val="nil"/>
              <w:bottom w:val="nil"/>
              <w:right w:val="nil"/>
            </w:tcBorders>
            <w:shd w:val="clear" w:color="auto" w:fill="auto"/>
          </w:tcPr>
          <w:p w14:paraId="21EAC472" w14:textId="77777777" w:rsidR="004C0483" w:rsidRPr="002E707A" w:rsidRDefault="004C0483" w:rsidP="00A1791E">
            <w:pPr>
              <w:jc w:val="center"/>
              <w:rPr>
                <w:sz w:val="20"/>
                <w:szCs w:val="20"/>
                <w:lang w:val="pt-BR"/>
              </w:rPr>
            </w:pPr>
            <w:r w:rsidRPr="002E707A">
              <w:rPr>
                <w:sz w:val="20"/>
                <w:szCs w:val="20"/>
                <w:lang w:val="pt-BR"/>
              </w:rPr>
              <w:t>66,7</w:t>
            </w:r>
          </w:p>
        </w:tc>
        <w:tc>
          <w:tcPr>
            <w:tcW w:w="403" w:type="pct"/>
            <w:tcBorders>
              <w:top w:val="nil"/>
              <w:left w:val="nil"/>
              <w:bottom w:val="nil"/>
              <w:right w:val="nil"/>
            </w:tcBorders>
            <w:shd w:val="clear" w:color="auto" w:fill="auto"/>
          </w:tcPr>
          <w:p w14:paraId="467F1996" w14:textId="77777777" w:rsidR="004C0483" w:rsidRPr="002E707A" w:rsidRDefault="004C0483" w:rsidP="00A1791E">
            <w:pPr>
              <w:jc w:val="center"/>
              <w:rPr>
                <w:sz w:val="20"/>
                <w:szCs w:val="20"/>
                <w:lang w:val="pt-BR"/>
              </w:rPr>
            </w:pPr>
            <w:r w:rsidRPr="002E707A">
              <w:rPr>
                <w:sz w:val="20"/>
                <w:szCs w:val="20"/>
                <w:lang w:val="pt-BR"/>
              </w:rPr>
              <w:t>11</w:t>
            </w:r>
          </w:p>
        </w:tc>
        <w:tc>
          <w:tcPr>
            <w:tcW w:w="402" w:type="pct"/>
            <w:tcBorders>
              <w:top w:val="nil"/>
              <w:left w:val="nil"/>
              <w:bottom w:val="nil"/>
              <w:right w:val="nil"/>
            </w:tcBorders>
            <w:shd w:val="clear" w:color="auto" w:fill="auto"/>
          </w:tcPr>
          <w:p w14:paraId="150576F9" w14:textId="77777777" w:rsidR="004C0483" w:rsidRPr="002E707A" w:rsidRDefault="004C0483" w:rsidP="00A1791E">
            <w:pPr>
              <w:jc w:val="center"/>
              <w:rPr>
                <w:sz w:val="20"/>
                <w:szCs w:val="20"/>
                <w:lang w:val="pt-BR"/>
              </w:rPr>
            </w:pPr>
            <w:r w:rsidRPr="002E707A">
              <w:rPr>
                <w:sz w:val="20"/>
                <w:szCs w:val="20"/>
                <w:lang w:val="pt-BR"/>
              </w:rPr>
              <w:t>73,3</w:t>
            </w:r>
          </w:p>
        </w:tc>
      </w:tr>
      <w:tr w:rsidR="004C0483" w:rsidRPr="002E707A" w14:paraId="3FCE5DF5" w14:textId="77777777" w:rsidTr="00A1791E">
        <w:trPr>
          <w:trHeight w:val="20"/>
          <w:jc w:val="center"/>
        </w:trPr>
        <w:tc>
          <w:tcPr>
            <w:tcW w:w="834" w:type="pct"/>
            <w:vMerge/>
            <w:tcBorders>
              <w:left w:val="nil"/>
              <w:bottom w:val="single" w:sz="4" w:space="0" w:color="auto"/>
              <w:right w:val="nil"/>
            </w:tcBorders>
            <w:shd w:val="clear" w:color="auto" w:fill="auto"/>
          </w:tcPr>
          <w:p w14:paraId="7B5249B6" w14:textId="77777777" w:rsidR="004C0483" w:rsidRPr="002E707A" w:rsidRDefault="004C0483" w:rsidP="00A1791E">
            <w:pPr>
              <w:rPr>
                <w:b/>
                <w:sz w:val="20"/>
                <w:szCs w:val="20"/>
                <w:lang w:val="pt-BR"/>
              </w:rPr>
            </w:pPr>
          </w:p>
        </w:tc>
        <w:tc>
          <w:tcPr>
            <w:tcW w:w="1750" w:type="pct"/>
            <w:tcBorders>
              <w:top w:val="nil"/>
              <w:left w:val="nil"/>
              <w:bottom w:val="single" w:sz="4" w:space="0" w:color="auto"/>
              <w:right w:val="nil"/>
            </w:tcBorders>
            <w:shd w:val="clear" w:color="auto" w:fill="auto"/>
          </w:tcPr>
          <w:p w14:paraId="1EE2B72B" w14:textId="77777777" w:rsidR="004C0483" w:rsidRPr="002E707A" w:rsidRDefault="004C0483" w:rsidP="00A1791E">
            <w:pPr>
              <w:rPr>
                <w:sz w:val="20"/>
                <w:szCs w:val="20"/>
                <w:lang w:val="pt-BR"/>
              </w:rPr>
            </w:pPr>
            <w:r w:rsidRPr="002E707A">
              <w:rPr>
                <w:sz w:val="20"/>
                <w:szCs w:val="20"/>
                <w:lang w:val="pt-BR"/>
              </w:rPr>
              <w:t>Múltiplas condições</w:t>
            </w:r>
          </w:p>
        </w:tc>
        <w:tc>
          <w:tcPr>
            <w:tcW w:w="402" w:type="pct"/>
            <w:tcBorders>
              <w:top w:val="nil"/>
              <w:left w:val="nil"/>
              <w:bottom w:val="single" w:sz="4" w:space="0" w:color="auto"/>
              <w:right w:val="nil"/>
            </w:tcBorders>
            <w:shd w:val="clear" w:color="auto" w:fill="auto"/>
          </w:tcPr>
          <w:p w14:paraId="7A999D65" w14:textId="77777777" w:rsidR="004C0483" w:rsidRPr="002E707A" w:rsidRDefault="004C0483" w:rsidP="00A1791E">
            <w:pPr>
              <w:jc w:val="center"/>
              <w:rPr>
                <w:sz w:val="20"/>
                <w:szCs w:val="20"/>
                <w:lang w:val="pt-BR"/>
              </w:rPr>
            </w:pPr>
            <w:r w:rsidRPr="002E707A">
              <w:rPr>
                <w:sz w:val="20"/>
                <w:szCs w:val="20"/>
                <w:lang w:val="pt-BR"/>
              </w:rPr>
              <w:t>43</w:t>
            </w:r>
          </w:p>
        </w:tc>
        <w:tc>
          <w:tcPr>
            <w:tcW w:w="403" w:type="pct"/>
            <w:tcBorders>
              <w:top w:val="nil"/>
              <w:left w:val="nil"/>
              <w:bottom w:val="single" w:sz="4" w:space="0" w:color="auto"/>
              <w:right w:val="nil"/>
            </w:tcBorders>
            <w:shd w:val="clear" w:color="auto" w:fill="auto"/>
          </w:tcPr>
          <w:p w14:paraId="72383568" w14:textId="77777777" w:rsidR="004C0483" w:rsidRPr="002E707A" w:rsidRDefault="004C0483" w:rsidP="00A1791E">
            <w:pPr>
              <w:jc w:val="center"/>
              <w:rPr>
                <w:sz w:val="20"/>
                <w:szCs w:val="20"/>
                <w:lang w:val="pt-BR"/>
              </w:rPr>
            </w:pPr>
            <w:r w:rsidRPr="002E707A">
              <w:rPr>
                <w:sz w:val="20"/>
                <w:szCs w:val="20"/>
                <w:lang w:val="pt-BR"/>
              </w:rPr>
              <w:t>19,1</w:t>
            </w:r>
          </w:p>
        </w:tc>
        <w:tc>
          <w:tcPr>
            <w:tcW w:w="403" w:type="pct"/>
            <w:tcBorders>
              <w:top w:val="nil"/>
              <w:left w:val="nil"/>
              <w:bottom w:val="single" w:sz="4" w:space="0" w:color="auto"/>
              <w:right w:val="nil"/>
            </w:tcBorders>
            <w:shd w:val="clear" w:color="auto" w:fill="auto"/>
          </w:tcPr>
          <w:p w14:paraId="7165D196" w14:textId="77777777" w:rsidR="004C0483" w:rsidRPr="002E707A" w:rsidRDefault="004C0483" w:rsidP="00A1791E">
            <w:pPr>
              <w:jc w:val="center"/>
              <w:rPr>
                <w:sz w:val="20"/>
                <w:szCs w:val="20"/>
                <w:lang w:val="pt-BR"/>
              </w:rPr>
            </w:pPr>
            <w:r w:rsidRPr="002E707A">
              <w:rPr>
                <w:sz w:val="20"/>
                <w:szCs w:val="20"/>
                <w:lang w:val="pt-BR"/>
              </w:rPr>
              <w:t>40</w:t>
            </w:r>
          </w:p>
        </w:tc>
        <w:tc>
          <w:tcPr>
            <w:tcW w:w="403" w:type="pct"/>
            <w:tcBorders>
              <w:top w:val="nil"/>
              <w:left w:val="nil"/>
              <w:bottom w:val="single" w:sz="4" w:space="0" w:color="auto"/>
              <w:right w:val="nil"/>
            </w:tcBorders>
            <w:shd w:val="clear" w:color="auto" w:fill="auto"/>
          </w:tcPr>
          <w:p w14:paraId="6A265C9A" w14:textId="77777777" w:rsidR="004C0483" w:rsidRPr="002E707A" w:rsidRDefault="004C0483" w:rsidP="00A1791E">
            <w:pPr>
              <w:jc w:val="center"/>
              <w:rPr>
                <w:sz w:val="20"/>
                <w:szCs w:val="20"/>
                <w:lang w:val="pt-BR"/>
              </w:rPr>
            </w:pPr>
            <w:r w:rsidRPr="002E707A">
              <w:rPr>
                <w:sz w:val="20"/>
                <w:szCs w:val="20"/>
                <w:lang w:val="pt-BR"/>
              </w:rPr>
              <w:t>27,8</w:t>
            </w:r>
          </w:p>
        </w:tc>
        <w:tc>
          <w:tcPr>
            <w:tcW w:w="403" w:type="pct"/>
            <w:tcBorders>
              <w:top w:val="nil"/>
              <w:left w:val="nil"/>
              <w:bottom w:val="single" w:sz="4" w:space="0" w:color="auto"/>
              <w:right w:val="nil"/>
            </w:tcBorders>
            <w:shd w:val="clear" w:color="auto" w:fill="auto"/>
          </w:tcPr>
          <w:p w14:paraId="5CBB7C8D" w14:textId="77777777" w:rsidR="004C0483" w:rsidRPr="002E707A" w:rsidRDefault="004C0483" w:rsidP="00A1791E">
            <w:pPr>
              <w:jc w:val="center"/>
              <w:rPr>
                <w:sz w:val="20"/>
                <w:szCs w:val="20"/>
                <w:lang w:val="pt-BR"/>
              </w:rPr>
            </w:pPr>
            <w:r w:rsidRPr="002E707A">
              <w:rPr>
                <w:sz w:val="20"/>
                <w:szCs w:val="20"/>
                <w:lang w:val="pt-BR"/>
              </w:rPr>
              <w:t>4</w:t>
            </w:r>
          </w:p>
        </w:tc>
        <w:tc>
          <w:tcPr>
            <w:tcW w:w="402" w:type="pct"/>
            <w:tcBorders>
              <w:top w:val="nil"/>
              <w:left w:val="nil"/>
              <w:bottom w:val="single" w:sz="4" w:space="0" w:color="auto"/>
              <w:right w:val="nil"/>
            </w:tcBorders>
            <w:shd w:val="clear" w:color="auto" w:fill="auto"/>
          </w:tcPr>
          <w:p w14:paraId="1FA609B0" w14:textId="77777777" w:rsidR="004C0483" w:rsidRPr="002E707A" w:rsidRDefault="004C0483" w:rsidP="00A1791E">
            <w:pPr>
              <w:jc w:val="center"/>
              <w:rPr>
                <w:sz w:val="20"/>
                <w:szCs w:val="20"/>
                <w:lang w:val="pt-BR"/>
              </w:rPr>
            </w:pPr>
            <w:r w:rsidRPr="002E707A">
              <w:rPr>
                <w:sz w:val="20"/>
                <w:szCs w:val="20"/>
                <w:lang w:val="pt-BR"/>
              </w:rPr>
              <w:t>26,7</w:t>
            </w:r>
          </w:p>
        </w:tc>
      </w:tr>
      <w:tr w:rsidR="004C0483" w:rsidRPr="002E707A" w14:paraId="690A4BC4" w14:textId="77777777" w:rsidTr="00A1791E">
        <w:trPr>
          <w:trHeight w:val="20"/>
          <w:jc w:val="center"/>
        </w:trPr>
        <w:tc>
          <w:tcPr>
            <w:tcW w:w="834" w:type="pct"/>
            <w:tcBorders>
              <w:left w:val="nil"/>
              <w:bottom w:val="single" w:sz="4" w:space="0" w:color="auto"/>
              <w:right w:val="nil"/>
            </w:tcBorders>
            <w:shd w:val="clear" w:color="auto" w:fill="auto"/>
            <w:vAlign w:val="center"/>
          </w:tcPr>
          <w:p w14:paraId="6AF7629B" w14:textId="77777777" w:rsidR="004C0483" w:rsidRPr="002E707A" w:rsidRDefault="004C0483" w:rsidP="00A1791E">
            <w:pPr>
              <w:rPr>
                <w:b/>
                <w:sz w:val="20"/>
                <w:szCs w:val="20"/>
                <w:lang w:val="pt-BR"/>
              </w:rPr>
            </w:pPr>
            <w:r w:rsidRPr="002E707A">
              <w:rPr>
                <w:b/>
                <w:sz w:val="20"/>
                <w:szCs w:val="20"/>
                <w:lang w:val="pt-BR"/>
              </w:rPr>
              <w:t>Variável</w:t>
            </w:r>
          </w:p>
        </w:tc>
        <w:tc>
          <w:tcPr>
            <w:tcW w:w="1750" w:type="pct"/>
            <w:tcBorders>
              <w:top w:val="single" w:sz="4" w:space="0" w:color="auto"/>
              <w:left w:val="nil"/>
              <w:bottom w:val="single" w:sz="4" w:space="0" w:color="auto"/>
              <w:right w:val="nil"/>
            </w:tcBorders>
            <w:shd w:val="clear" w:color="auto" w:fill="auto"/>
          </w:tcPr>
          <w:p w14:paraId="2F8ED603" w14:textId="77777777" w:rsidR="004C0483" w:rsidRPr="002E707A" w:rsidRDefault="004C0483" w:rsidP="00A1791E">
            <w:pPr>
              <w:rPr>
                <w:sz w:val="20"/>
                <w:szCs w:val="20"/>
                <w:lang w:val="pt-BR"/>
              </w:rPr>
            </w:pPr>
          </w:p>
        </w:tc>
        <w:tc>
          <w:tcPr>
            <w:tcW w:w="402" w:type="pct"/>
            <w:tcBorders>
              <w:top w:val="single" w:sz="4" w:space="0" w:color="auto"/>
              <w:left w:val="nil"/>
              <w:bottom w:val="single" w:sz="4" w:space="0" w:color="auto"/>
              <w:right w:val="nil"/>
            </w:tcBorders>
            <w:shd w:val="clear" w:color="auto" w:fill="auto"/>
          </w:tcPr>
          <w:p w14:paraId="15B4F4C1" w14:textId="77777777" w:rsidR="004C0483" w:rsidRPr="002E707A" w:rsidRDefault="004C0483" w:rsidP="00A1791E">
            <w:pPr>
              <w:jc w:val="center"/>
              <w:rPr>
                <w:b/>
                <w:bCs/>
                <w:sz w:val="20"/>
                <w:szCs w:val="20"/>
                <w:lang w:val="pt-BR"/>
              </w:rPr>
            </w:pPr>
            <w:r w:rsidRPr="002E707A">
              <w:rPr>
                <w:b/>
                <w:bCs/>
                <w:sz w:val="20"/>
                <w:szCs w:val="20"/>
                <w:lang w:val="pt-BR"/>
              </w:rPr>
              <w:t>M</w:t>
            </w:r>
          </w:p>
        </w:tc>
        <w:tc>
          <w:tcPr>
            <w:tcW w:w="403" w:type="pct"/>
            <w:tcBorders>
              <w:top w:val="single" w:sz="4" w:space="0" w:color="auto"/>
              <w:left w:val="nil"/>
              <w:bottom w:val="single" w:sz="4" w:space="0" w:color="auto"/>
              <w:right w:val="nil"/>
            </w:tcBorders>
            <w:shd w:val="clear" w:color="auto" w:fill="auto"/>
          </w:tcPr>
          <w:p w14:paraId="5A1E4469" w14:textId="77777777" w:rsidR="004C0483" w:rsidRPr="002E707A" w:rsidRDefault="004C0483" w:rsidP="00A1791E">
            <w:pPr>
              <w:jc w:val="center"/>
              <w:rPr>
                <w:b/>
                <w:bCs/>
                <w:sz w:val="20"/>
                <w:szCs w:val="20"/>
                <w:lang w:val="pt-BR"/>
              </w:rPr>
            </w:pPr>
            <w:r w:rsidRPr="002E707A">
              <w:rPr>
                <w:b/>
                <w:bCs/>
                <w:sz w:val="20"/>
                <w:szCs w:val="20"/>
                <w:lang w:val="pt-BR"/>
              </w:rPr>
              <w:t>DP</w:t>
            </w:r>
          </w:p>
        </w:tc>
        <w:tc>
          <w:tcPr>
            <w:tcW w:w="403" w:type="pct"/>
            <w:tcBorders>
              <w:top w:val="single" w:sz="4" w:space="0" w:color="auto"/>
              <w:left w:val="nil"/>
              <w:bottom w:val="single" w:sz="4" w:space="0" w:color="auto"/>
              <w:right w:val="nil"/>
            </w:tcBorders>
            <w:shd w:val="clear" w:color="auto" w:fill="auto"/>
          </w:tcPr>
          <w:p w14:paraId="5633681B" w14:textId="77777777" w:rsidR="004C0483" w:rsidRPr="002E707A" w:rsidRDefault="004C0483" w:rsidP="00A1791E">
            <w:pPr>
              <w:jc w:val="center"/>
              <w:rPr>
                <w:b/>
                <w:bCs/>
                <w:sz w:val="20"/>
                <w:szCs w:val="20"/>
                <w:lang w:val="pt-BR"/>
              </w:rPr>
            </w:pPr>
            <w:r w:rsidRPr="002E707A">
              <w:rPr>
                <w:b/>
                <w:bCs/>
                <w:sz w:val="20"/>
                <w:szCs w:val="20"/>
                <w:lang w:val="pt-BR"/>
              </w:rPr>
              <w:t>M</w:t>
            </w:r>
          </w:p>
        </w:tc>
        <w:tc>
          <w:tcPr>
            <w:tcW w:w="403" w:type="pct"/>
            <w:tcBorders>
              <w:top w:val="single" w:sz="4" w:space="0" w:color="auto"/>
              <w:left w:val="nil"/>
              <w:bottom w:val="single" w:sz="4" w:space="0" w:color="auto"/>
              <w:right w:val="nil"/>
            </w:tcBorders>
            <w:shd w:val="clear" w:color="auto" w:fill="auto"/>
          </w:tcPr>
          <w:p w14:paraId="0D2DA63C" w14:textId="77777777" w:rsidR="004C0483" w:rsidRPr="002E707A" w:rsidRDefault="004C0483" w:rsidP="00A1791E">
            <w:pPr>
              <w:jc w:val="center"/>
              <w:rPr>
                <w:b/>
                <w:bCs/>
                <w:sz w:val="20"/>
                <w:szCs w:val="20"/>
                <w:lang w:val="pt-BR"/>
              </w:rPr>
            </w:pPr>
            <w:r w:rsidRPr="002E707A">
              <w:rPr>
                <w:b/>
                <w:bCs/>
                <w:sz w:val="20"/>
                <w:szCs w:val="20"/>
                <w:lang w:val="pt-BR"/>
              </w:rPr>
              <w:t>DP</w:t>
            </w:r>
          </w:p>
        </w:tc>
        <w:tc>
          <w:tcPr>
            <w:tcW w:w="403" w:type="pct"/>
            <w:tcBorders>
              <w:top w:val="single" w:sz="4" w:space="0" w:color="auto"/>
              <w:left w:val="nil"/>
              <w:bottom w:val="single" w:sz="4" w:space="0" w:color="auto"/>
              <w:right w:val="nil"/>
            </w:tcBorders>
            <w:shd w:val="clear" w:color="auto" w:fill="auto"/>
          </w:tcPr>
          <w:p w14:paraId="2B4EF7C8" w14:textId="77777777" w:rsidR="004C0483" w:rsidRPr="002E707A" w:rsidRDefault="004C0483" w:rsidP="00A1791E">
            <w:pPr>
              <w:jc w:val="center"/>
              <w:rPr>
                <w:b/>
                <w:bCs/>
                <w:sz w:val="20"/>
                <w:szCs w:val="20"/>
                <w:lang w:val="pt-BR"/>
              </w:rPr>
            </w:pPr>
            <w:r w:rsidRPr="002E707A">
              <w:rPr>
                <w:b/>
                <w:bCs/>
                <w:sz w:val="20"/>
                <w:szCs w:val="20"/>
                <w:lang w:val="pt-BR"/>
              </w:rPr>
              <w:t>M</w:t>
            </w:r>
          </w:p>
        </w:tc>
        <w:tc>
          <w:tcPr>
            <w:tcW w:w="402" w:type="pct"/>
            <w:tcBorders>
              <w:top w:val="single" w:sz="4" w:space="0" w:color="auto"/>
              <w:left w:val="nil"/>
              <w:bottom w:val="single" w:sz="4" w:space="0" w:color="auto"/>
              <w:right w:val="nil"/>
            </w:tcBorders>
            <w:shd w:val="clear" w:color="auto" w:fill="auto"/>
          </w:tcPr>
          <w:p w14:paraId="0F847F0A" w14:textId="77777777" w:rsidR="004C0483" w:rsidRPr="002E707A" w:rsidRDefault="004C0483" w:rsidP="00A1791E">
            <w:pPr>
              <w:jc w:val="center"/>
              <w:rPr>
                <w:b/>
                <w:bCs/>
                <w:sz w:val="20"/>
                <w:szCs w:val="20"/>
                <w:lang w:val="pt-BR"/>
              </w:rPr>
            </w:pPr>
            <w:r w:rsidRPr="002E707A">
              <w:rPr>
                <w:b/>
                <w:bCs/>
                <w:sz w:val="20"/>
                <w:szCs w:val="20"/>
                <w:lang w:val="pt-BR"/>
              </w:rPr>
              <w:t>DP</w:t>
            </w:r>
          </w:p>
        </w:tc>
      </w:tr>
      <w:tr w:rsidR="004C0483" w:rsidRPr="002E707A" w14:paraId="51A39E1C" w14:textId="77777777" w:rsidTr="00A1791E">
        <w:trPr>
          <w:trHeight w:val="20"/>
          <w:jc w:val="center"/>
        </w:trPr>
        <w:tc>
          <w:tcPr>
            <w:tcW w:w="834" w:type="pct"/>
            <w:tcBorders>
              <w:top w:val="single" w:sz="4" w:space="0" w:color="auto"/>
              <w:left w:val="nil"/>
              <w:bottom w:val="nil"/>
              <w:right w:val="nil"/>
            </w:tcBorders>
            <w:shd w:val="clear" w:color="auto" w:fill="auto"/>
            <w:vAlign w:val="center"/>
          </w:tcPr>
          <w:p w14:paraId="4B0993B1" w14:textId="77777777" w:rsidR="004C0483" w:rsidRPr="002E707A" w:rsidRDefault="004C0483" w:rsidP="00A1791E">
            <w:pPr>
              <w:rPr>
                <w:b/>
                <w:sz w:val="20"/>
                <w:szCs w:val="20"/>
                <w:lang w:val="pt-BR"/>
              </w:rPr>
            </w:pPr>
            <w:r w:rsidRPr="002E707A">
              <w:rPr>
                <w:b/>
                <w:sz w:val="20"/>
                <w:szCs w:val="20"/>
                <w:lang w:val="pt-BR"/>
              </w:rPr>
              <w:t>Idade</w:t>
            </w:r>
          </w:p>
        </w:tc>
        <w:tc>
          <w:tcPr>
            <w:tcW w:w="1750" w:type="pct"/>
            <w:tcBorders>
              <w:top w:val="single" w:sz="4" w:space="0" w:color="auto"/>
              <w:left w:val="nil"/>
              <w:bottom w:val="nil"/>
              <w:right w:val="nil"/>
            </w:tcBorders>
            <w:shd w:val="clear" w:color="auto" w:fill="auto"/>
          </w:tcPr>
          <w:p w14:paraId="4973BFF2" w14:textId="77777777" w:rsidR="004C0483" w:rsidRPr="002E707A" w:rsidRDefault="004C0483" w:rsidP="00A1791E">
            <w:pPr>
              <w:rPr>
                <w:sz w:val="20"/>
                <w:szCs w:val="20"/>
                <w:lang w:val="pt-BR"/>
              </w:rPr>
            </w:pPr>
          </w:p>
        </w:tc>
        <w:tc>
          <w:tcPr>
            <w:tcW w:w="402" w:type="pct"/>
            <w:tcBorders>
              <w:top w:val="single" w:sz="4" w:space="0" w:color="auto"/>
              <w:left w:val="nil"/>
              <w:bottom w:val="nil"/>
              <w:right w:val="nil"/>
            </w:tcBorders>
            <w:shd w:val="clear" w:color="auto" w:fill="auto"/>
          </w:tcPr>
          <w:p w14:paraId="78978E2A" w14:textId="77777777" w:rsidR="004C0483" w:rsidRPr="002E707A" w:rsidRDefault="004C0483" w:rsidP="00A1791E">
            <w:pPr>
              <w:jc w:val="center"/>
              <w:rPr>
                <w:sz w:val="20"/>
                <w:szCs w:val="20"/>
                <w:lang w:val="pt-BR"/>
              </w:rPr>
            </w:pPr>
            <w:r w:rsidRPr="002E707A">
              <w:rPr>
                <w:sz w:val="20"/>
                <w:szCs w:val="20"/>
                <w:lang w:val="pt-BR"/>
              </w:rPr>
              <w:t>32,65</w:t>
            </w:r>
          </w:p>
        </w:tc>
        <w:tc>
          <w:tcPr>
            <w:tcW w:w="403" w:type="pct"/>
            <w:tcBorders>
              <w:top w:val="single" w:sz="4" w:space="0" w:color="auto"/>
              <w:left w:val="nil"/>
              <w:bottom w:val="nil"/>
              <w:right w:val="nil"/>
            </w:tcBorders>
            <w:shd w:val="clear" w:color="auto" w:fill="auto"/>
          </w:tcPr>
          <w:p w14:paraId="6935C6A2" w14:textId="77777777" w:rsidR="004C0483" w:rsidRPr="002E707A" w:rsidRDefault="004C0483" w:rsidP="00A1791E">
            <w:pPr>
              <w:jc w:val="center"/>
              <w:rPr>
                <w:sz w:val="20"/>
                <w:szCs w:val="20"/>
                <w:lang w:val="pt-BR"/>
              </w:rPr>
            </w:pPr>
            <w:r w:rsidRPr="002E707A">
              <w:rPr>
                <w:sz w:val="20"/>
                <w:szCs w:val="20"/>
                <w:lang w:val="pt-BR"/>
              </w:rPr>
              <w:t>10,01</w:t>
            </w:r>
          </w:p>
        </w:tc>
        <w:tc>
          <w:tcPr>
            <w:tcW w:w="403" w:type="pct"/>
            <w:tcBorders>
              <w:top w:val="single" w:sz="4" w:space="0" w:color="auto"/>
              <w:left w:val="nil"/>
              <w:bottom w:val="nil"/>
              <w:right w:val="nil"/>
            </w:tcBorders>
            <w:shd w:val="clear" w:color="auto" w:fill="auto"/>
          </w:tcPr>
          <w:p w14:paraId="4F122BE9" w14:textId="77777777" w:rsidR="004C0483" w:rsidRPr="002E707A" w:rsidRDefault="004C0483" w:rsidP="00A1791E">
            <w:pPr>
              <w:jc w:val="center"/>
              <w:rPr>
                <w:sz w:val="20"/>
                <w:szCs w:val="20"/>
                <w:lang w:val="pt-BR"/>
              </w:rPr>
            </w:pPr>
            <w:r w:rsidRPr="002E707A">
              <w:rPr>
                <w:sz w:val="20"/>
                <w:szCs w:val="20"/>
                <w:lang w:val="pt-BR"/>
              </w:rPr>
              <w:t>33,32</w:t>
            </w:r>
          </w:p>
        </w:tc>
        <w:tc>
          <w:tcPr>
            <w:tcW w:w="403" w:type="pct"/>
            <w:tcBorders>
              <w:top w:val="single" w:sz="4" w:space="0" w:color="auto"/>
              <w:left w:val="nil"/>
              <w:bottom w:val="nil"/>
              <w:right w:val="nil"/>
            </w:tcBorders>
            <w:shd w:val="clear" w:color="auto" w:fill="auto"/>
          </w:tcPr>
          <w:p w14:paraId="072B7B8A" w14:textId="77777777" w:rsidR="004C0483" w:rsidRPr="002E707A" w:rsidRDefault="004C0483" w:rsidP="00A1791E">
            <w:pPr>
              <w:jc w:val="center"/>
              <w:rPr>
                <w:sz w:val="20"/>
                <w:szCs w:val="20"/>
                <w:lang w:val="pt-BR"/>
              </w:rPr>
            </w:pPr>
            <w:r w:rsidRPr="002E707A">
              <w:rPr>
                <w:sz w:val="20"/>
                <w:szCs w:val="20"/>
                <w:lang w:val="pt-BR"/>
              </w:rPr>
              <w:t>11,05</w:t>
            </w:r>
          </w:p>
        </w:tc>
        <w:tc>
          <w:tcPr>
            <w:tcW w:w="403" w:type="pct"/>
            <w:tcBorders>
              <w:top w:val="single" w:sz="4" w:space="0" w:color="auto"/>
              <w:left w:val="nil"/>
              <w:bottom w:val="nil"/>
              <w:right w:val="nil"/>
            </w:tcBorders>
            <w:shd w:val="clear" w:color="auto" w:fill="auto"/>
          </w:tcPr>
          <w:p w14:paraId="2A2F1435" w14:textId="77777777" w:rsidR="004C0483" w:rsidRPr="002E707A" w:rsidRDefault="004C0483" w:rsidP="00A1791E">
            <w:pPr>
              <w:jc w:val="center"/>
              <w:rPr>
                <w:sz w:val="20"/>
                <w:szCs w:val="20"/>
                <w:lang w:val="pt-BR"/>
              </w:rPr>
            </w:pPr>
            <w:r w:rsidRPr="002E707A">
              <w:rPr>
                <w:sz w:val="20"/>
                <w:szCs w:val="20"/>
                <w:lang w:val="pt-BR"/>
              </w:rPr>
              <w:t>38,47</w:t>
            </w:r>
          </w:p>
        </w:tc>
        <w:tc>
          <w:tcPr>
            <w:tcW w:w="402" w:type="pct"/>
            <w:tcBorders>
              <w:top w:val="single" w:sz="4" w:space="0" w:color="auto"/>
              <w:left w:val="nil"/>
              <w:bottom w:val="nil"/>
              <w:right w:val="nil"/>
            </w:tcBorders>
            <w:shd w:val="clear" w:color="auto" w:fill="auto"/>
          </w:tcPr>
          <w:p w14:paraId="6B26FC22" w14:textId="77777777" w:rsidR="004C0483" w:rsidRPr="002E707A" w:rsidRDefault="004C0483" w:rsidP="00A1791E">
            <w:pPr>
              <w:jc w:val="center"/>
              <w:rPr>
                <w:sz w:val="20"/>
                <w:szCs w:val="20"/>
                <w:lang w:val="pt-BR"/>
              </w:rPr>
            </w:pPr>
            <w:r w:rsidRPr="002E707A">
              <w:rPr>
                <w:sz w:val="20"/>
                <w:szCs w:val="20"/>
                <w:lang w:val="pt-BR"/>
              </w:rPr>
              <w:t>11,87</w:t>
            </w:r>
          </w:p>
        </w:tc>
      </w:tr>
      <w:tr w:rsidR="004C0483" w:rsidRPr="002E707A" w14:paraId="5BDA32EC" w14:textId="77777777" w:rsidTr="00E251DE">
        <w:trPr>
          <w:trHeight w:val="20"/>
          <w:jc w:val="center"/>
        </w:trPr>
        <w:tc>
          <w:tcPr>
            <w:tcW w:w="834" w:type="pct"/>
            <w:tcBorders>
              <w:top w:val="nil"/>
              <w:left w:val="nil"/>
              <w:bottom w:val="nil"/>
              <w:right w:val="nil"/>
            </w:tcBorders>
            <w:shd w:val="clear" w:color="auto" w:fill="auto"/>
            <w:vAlign w:val="center"/>
          </w:tcPr>
          <w:p w14:paraId="0CF57875" w14:textId="77777777" w:rsidR="004C0483" w:rsidRPr="002E707A" w:rsidRDefault="004C0483" w:rsidP="00A1791E">
            <w:pPr>
              <w:rPr>
                <w:b/>
                <w:sz w:val="20"/>
                <w:szCs w:val="20"/>
                <w:lang w:val="pt-BR"/>
              </w:rPr>
            </w:pPr>
            <w:r w:rsidRPr="002E707A">
              <w:rPr>
                <w:b/>
                <w:sz w:val="20"/>
                <w:szCs w:val="20"/>
                <w:lang w:val="pt-BR"/>
              </w:rPr>
              <w:t>Tempo de Uso*</w:t>
            </w:r>
          </w:p>
        </w:tc>
        <w:tc>
          <w:tcPr>
            <w:tcW w:w="1750" w:type="pct"/>
            <w:tcBorders>
              <w:top w:val="nil"/>
              <w:left w:val="nil"/>
              <w:bottom w:val="nil"/>
              <w:right w:val="nil"/>
            </w:tcBorders>
            <w:shd w:val="clear" w:color="auto" w:fill="auto"/>
          </w:tcPr>
          <w:p w14:paraId="401AE3A4" w14:textId="77777777" w:rsidR="004C0483" w:rsidRPr="002E707A" w:rsidRDefault="004C0483" w:rsidP="00A1791E">
            <w:pPr>
              <w:rPr>
                <w:sz w:val="20"/>
                <w:szCs w:val="20"/>
                <w:lang w:val="pt-BR"/>
              </w:rPr>
            </w:pPr>
          </w:p>
        </w:tc>
        <w:tc>
          <w:tcPr>
            <w:tcW w:w="402" w:type="pct"/>
            <w:tcBorders>
              <w:top w:val="nil"/>
              <w:left w:val="nil"/>
              <w:bottom w:val="nil"/>
              <w:right w:val="nil"/>
            </w:tcBorders>
            <w:shd w:val="clear" w:color="auto" w:fill="auto"/>
            <w:vAlign w:val="center"/>
          </w:tcPr>
          <w:p w14:paraId="629BDAD3" w14:textId="77777777" w:rsidR="004C0483" w:rsidRPr="002E707A" w:rsidRDefault="004C0483" w:rsidP="00A1791E">
            <w:pPr>
              <w:jc w:val="center"/>
              <w:rPr>
                <w:sz w:val="20"/>
                <w:szCs w:val="20"/>
                <w:lang w:val="pt-BR"/>
              </w:rPr>
            </w:pPr>
            <w:r w:rsidRPr="002E707A">
              <w:rPr>
                <w:sz w:val="20"/>
                <w:szCs w:val="20"/>
                <w:lang w:val="pt-BR"/>
              </w:rPr>
              <w:t>5,69</w:t>
            </w:r>
          </w:p>
        </w:tc>
        <w:tc>
          <w:tcPr>
            <w:tcW w:w="403" w:type="pct"/>
            <w:tcBorders>
              <w:top w:val="nil"/>
              <w:left w:val="nil"/>
              <w:bottom w:val="nil"/>
              <w:right w:val="nil"/>
            </w:tcBorders>
            <w:shd w:val="clear" w:color="auto" w:fill="auto"/>
            <w:vAlign w:val="center"/>
          </w:tcPr>
          <w:p w14:paraId="1026BF1A" w14:textId="77777777" w:rsidR="004C0483" w:rsidRPr="002E707A" w:rsidRDefault="004C0483" w:rsidP="00A1791E">
            <w:pPr>
              <w:jc w:val="center"/>
              <w:rPr>
                <w:sz w:val="20"/>
                <w:szCs w:val="20"/>
                <w:lang w:val="pt-BR"/>
              </w:rPr>
            </w:pPr>
            <w:r w:rsidRPr="002E707A">
              <w:rPr>
                <w:sz w:val="20"/>
                <w:szCs w:val="20"/>
                <w:lang w:val="pt-BR"/>
              </w:rPr>
              <w:t>7,10</w:t>
            </w:r>
          </w:p>
        </w:tc>
        <w:tc>
          <w:tcPr>
            <w:tcW w:w="403" w:type="pct"/>
            <w:tcBorders>
              <w:top w:val="nil"/>
              <w:left w:val="nil"/>
              <w:bottom w:val="nil"/>
              <w:right w:val="nil"/>
            </w:tcBorders>
            <w:shd w:val="clear" w:color="auto" w:fill="auto"/>
            <w:vAlign w:val="center"/>
          </w:tcPr>
          <w:p w14:paraId="397DF1E2" w14:textId="77777777" w:rsidR="004C0483" w:rsidRPr="002E707A" w:rsidRDefault="004C0483" w:rsidP="00A1791E">
            <w:pPr>
              <w:jc w:val="center"/>
              <w:rPr>
                <w:sz w:val="20"/>
                <w:szCs w:val="20"/>
                <w:lang w:val="pt-BR"/>
              </w:rPr>
            </w:pPr>
            <w:r w:rsidRPr="002E707A">
              <w:rPr>
                <w:sz w:val="20"/>
                <w:szCs w:val="20"/>
                <w:lang w:val="pt-BR"/>
              </w:rPr>
              <w:t>8,14</w:t>
            </w:r>
          </w:p>
        </w:tc>
        <w:tc>
          <w:tcPr>
            <w:tcW w:w="403" w:type="pct"/>
            <w:tcBorders>
              <w:top w:val="nil"/>
              <w:left w:val="nil"/>
              <w:bottom w:val="nil"/>
              <w:right w:val="nil"/>
            </w:tcBorders>
            <w:shd w:val="clear" w:color="auto" w:fill="auto"/>
            <w:vAlign w:val="center"/>
          </w:tcPr>
          <w:p w14:paraId="2FB52FBD" w14:textId="77777777" w:rsidR="004C0483" w:rsidRPr="002E707A" w:rsidRDefault="004C0483" w:rsidP="00A1791E">
            <w:pPr>
              <w:jc w:val="center"/>
              <w:rPr>
                <w:sz w:val="20"/>
                <w:szCs w:val="20"/>
                <w:lang w:val="pt-BR"/>
              </w:rPr>
            </w:pPr>
            <w:r w:rsidRPr="002E707A">
              <w:rPr>
                <w:sz w:val="20"/>
                <w:szCs w:val="20"/>
                <w:lang w:val="pt-BR"/>
              </w:rPr>
              <w:t>8,46</w:t>
            </w:r>
          </w:p>
        </w:tc>
        <w:tc>
          <w:tcPr>
            <w:tcW w:w="403" w:type="pct"/>
            <w:tcBorders>
              <w:top w:val="nil"/>
              <w:left w:val="nil"/>
              <w:bottom w:val="nil"/>
              <w:right w:val="nil"/>
            </w:tcBorders>
            <w:shd w:val="clear" w:color="auto" w:fill="auto"/>
            <w:vAlign w:val="center"/>
          </w:tcPr>
          <w:p w14:paraId="54F527D2" w14:textId="77777777" w:rsidR="004C0483" w:rsidRPr="002E707A" w:rsidRDefault="004C0483" w:rsidP="00A1791E">
            <w:pPr>
              <w:jc w:val="center"/>
              <w:rPr>
                <w:sz w:val="20"/>
                <w:szCs w:val="20"/>
                <w:lang w:val="pt-BR"/>
              </w:rPr>
            </w:pPr>
            <w:r w:rsidRPr="002E707A">
              <w:rPr>
                <w:sz w:val="20"/>
                <w:szCs w:val="20"/>
                <w:lang w:val="pt-BR"/>
              </w:rPr>
              <w:t>5,52</w:t>
            </w:r>
          </w:p>
        </w:tc>
        <w:tc>
          <w:tcPr>
            <w:tcW w:w="402" w:type="pct"/>
            <w:tcBorders>
              <w:top w:val="nil"/>
              <w:left w:val="nil"/>
              <w:bottom w:val="nil"/>
              <w:right w:val="nil"/>
            </w:tcBorders>
            <w:shd w:val="clear" w:color="auto" w:fill="auto"/>
            <w:vAlign w:val="center"/>
          </w:tcPr>
          <w:p w14:paraId="5C058C0A" w14:textId="77777777" w:rsidR="004C0483" w:rsidRPr="002E707A" w:rsidRDefault="004C0483" w:rsidP="00A1791E">
            <w:pPr>
              <w:jc w:val="center"/>
              <w:rPr>
                <w:sz w:val="20"/>
                <w:szCs w:val="20"/>
                <w:lang w:val="pt-BR"/>
              </w:rPr>
            </w:pPr>
            <w:r w:rsidRPr="002E707A">
              <w:rPr>
                <w:sz w:val="20"/>
                <w:szCs w:val="20"/>
                <w:lang w:val="pt-BR"/>
              </w:rPr>
              <w:t>8,18</w:t>
            </w:r>
          </w:p>
        </w:tc>
      </w:tr>
      <w:tr w:rsidR="004C0483" w:rsidRPr="002E707A" w14:paraId="2C2C2098" w14:textId="77777777" w:rsidTr="00E251DE">
        <w:trPr>
          <w:trHeight w:val="20"/>
          <w:jc w:val="center"/>
        </w:trPr>
        <w:tc>
          <w:tcPr>
            <w:tcW w:w="834" w:type="pct"/>
            <w:tcBorders>
              <w:top w:val="nil"/>
              <w:left w:val="nil"/>
              <w:bottom w:val="single" w:sz="4" w:space="0" w:color="auto"/>
              <w:right w:val="nil"/>
            </w:tcBorders>
            <w:shd w:val="clear" w:color="auto" w:fill="auto"/>
            <w:vAlign w:val="center"/>
          </w:tcPr>
          <w:p w14:paraId="5CE07906" w14:textId="77777777" w:rsidR="004C0483" w:rsidRPr="002E707A" w:rsidRDefault="004C0483" w:rsidP="00A1791E">
            <w:pPr>
              <w:rPr>
                <w:b/>
                <w:sz w:val="20"/>
                <w:szCs w:val="20"/>
                <w:lang w:val="pt-BR"/>
              </w:rPr>
            </w:pPr>
            <w:r w:rsidRPr="002E707A">
              <w:rPr>
                <w:b/>
                <w:sz w:val="20"/>
                <w:szCs w:val="20"/>
                <w:lang w:val="pt-BR"/>
              </w:rPr>
              <w:t>Idade de Início</w:t>
            </w:r>
          </w:p>
        </w:tc>
        <w:tc>
          <w:tcPr>
            <w:tcW w:w="1750" w:type="pct"/>
            <w:tcBorders>
              <w:top w:val="nil"/>
              <w:left w:val="nil"/>
              <w:bottom w:val="single" w:sz="4" w:space="0" w:color="auto"/>
              <w:right w:val="nil"/>
            </w:tcBorders>
            <w:shd w:val="clear" w:color="auto" w:fill="auto"/>
          </w:tcPr>
          <w:p w14:paraId="2A8FCD99" w14:textId="77777777" w:rsidR="004C0483" w:rsidRPr="002E707A" w:rsidRDefault="004C0483" w:rsidP="00A1791E">
            <w:pPr>
              <w:rPr>
                <w:sz w:val="20"/>
                <w:szCs w:val="20"/>
                <w:lang w:val="pt-BR"/>
              </w:rPr>
            </w:pPr>
          </w:p>
        </w:tc>
        <w:tc>
          <w:tcPr>
            <w:tcW w:w="402" w:type="pct"/>
            <w:tcBorders>
              <w:top w:val="nil"/>
              <w:left w:val="nil"/>
              <w:bottom w:val="single" w:sz="4" w:space="0" w:color="auto"/>
              <w:right w:val="nil"/>
            </w:tcBorders>
            <w:shd w:val="clear" w:color="auto" w:fill="auto"/>
            <w:vAlign w:val="center"/>
          </w:tcPr>
          <w:p w14:paraId="69CF2811" w14:textId="77777777" w:rsidR="004C0483" w:rsidRPr="002E707A" w:rsidRDefault="004C0483" w:rsidP="00A1791E">
            <w:pPr>
              <w:jc w:val="center"/>
              <w:rPr>
                <w:sz w:val="20"/>
                <w:szCs w:val="20"/>
                <w:lang w:val="pt-BR"/>
              </w:rPr>
            </w:pPr>
            <w:r w:rsidRPr="002E707A">
              <w:rPr>
                <w:sz w:val="20"/>
                <w:szCs w:val="20"/>
                <w:lang w:val="pt-BR"/>
              </w:rPr>
              <w:t>19,46</w:t>
            </w:r>
          </w:p>
        </w:tc>
        <w:tc>
          <w:tcPr>
            <w:tcW w:w="403" w:type="pct"/>
            <w:tcBorders>
              <w:top w:val="nil"/>
              <w:left w:val="nil"/>
              <w:bottom w:val="single" w:sz="4" w:space="0" w:color="auto"/>
              <w:right w:val="nil"/>
            </w:tcBorders>
            <w:shd w:val="clear" w:color="auto" w:fill="auto"/>
            <w:vAlign w:val="center"/>
          </w:tcPr>
          <w:p w14:paraId="4B410AF0" w14:textId="77777777" w:rsidR="004C0483" w:rsidRPr="002E707A" w:rsidRDefault="004C0483" w:rsidP="00A1791E">
            <w:pPr>
              <w:jc w:val="center"/>
              <w:rPr>
                <w:sz w:val="20"/>
                <w:szCs w:val="20"/>
                <w:lang w:val="pt-BR"/>
              </w:rPr>
            </w:pPr>
            <w:r w:rsidRPr="002E707A">
              <w:rPr>
                <w:sz w:val="20"/>
                <w:szCs w:val="20"/>
                <w:lang w:val="pt-BR"/>
              </w:rPr>
              <w:t>4,95</w:t>
            </w:r>
          </w:p>
        </w:tc>
        <w:tc>
          <w:tcPr>
            <w:tcW w:w="403" w:type="pct"/>
            <w:tcBorders>
              <w:top w:val="nil"/>
              <w:left w:val="nil"/>
              <w:bottom w:val="single" w:sz="4" w:space="0" w:color="auto"/>
              <w:right w:val="nil"/>
            </w:tcBorders>
            <w:shd w:val="clear" w:color="auto" w:fill="auto"/>
            <w:vAlign w:val="center"/>
          </w:tcPr>
          <w:p w14:paraId="194D6F35" w14:textId="77777777" w:rsidR="004C0483" w:rsidRPr="002E707A" w:rsidRDefault="004C0483" w:rsidP="00A1791E">
            <w:pPr>
              <w:jc w:val="center"/>
              <w:rPr>
                <w:sz w:val="20"/>
                <w:szCs w:val="20"/>
                <w:lang w:val="pt-BR"/>
              </w:rPr>
            </w:pPr>
            <w:r w:rsidRPr="002E707A">
              <w:rPr>
                <w:sz w:val="20"/>
                <w:szCs w:val="20"/>
                <w:lang w:val="pt-BR"/>
              </w:rPr>
              <w:t>17,45</w:t>
            </w:r>
          </w:p>
        </w:tc>
        <w:tc>
          <w:tcPr>
            <w:tcW w:w="403" w:type="pct"/>
            <w:tcBorders>
              <w:top w:val="nil"/>
              <w:left w:val="nil"/>
              <w:bottom w:val="single" w:sz="4" w:space="0" w:color="auto"/>
              <w:right w:val="nil"/>
            </w:tcBorders>
            <w:shd w:val="clear" w:color="auto" w:fill="auto"/>
            <w:vAlign w:val="center"/>
          </w:tcPr>
          <w:p w14:paraId="4AB00BCF" w14:textId="77777777" w:rsidR="004C0483" w:rsidRPr="002E707A" w:rsidRDefault="004C0483" w:rsidP="00A1791E">
            <w:pPr>
              <w:jc w:val="center"/>
              <w:rPr>
                <w:sz w:val="20"/>
                <w:szCs w:val="20"/>
                <w:lang w:val="pt-BR"/>
              </w:rPr>
            </w:pPr>
            <w:r w:rsidRPr="002E707A">
              <w:rPr>
                <w:sz w:val="20"/>
                <w:szCs w:val="20"/>
                <w:lang w:val="pt-BR"/>
              </w:rPr>
              <w:t>3,41</w:t>
            </w:r>
          </w:p>
        </w:tc>
        <w:tc>
          <w:tcPr>
            <w:tcW w:w="403" w:type="pct"/>
            <w:tcBorders>
              <w:top w:val="nil"/>
              <w:left w:val="nil"/>
              <w:bottom w:val="single" w:sz="4" w:space="0" w:color="auto"/>
              <w:right w:val="nil"/>
            </w:tcBorders>
            <w:shd w:val="clear" w:color="auto" w:fill="auto"/>
            <w:vAlign w:val="center"/>
          </w:tcPr>
          <w:p w14:paraId="5EC1EFF2" w14:textId="77777777" w:rsidR="004C0483" w:rsidRPr="002E707A" w:rsidRDefault="004C0483" w:rsidP="00A1791E">
            <w:pPr>
              <w:jc w:val="center"/>
              <w:rPr>
                <w:sz w:val="20"/>
                <w:szCs w:val="20"/>
                <w:lang w:val="pt-BR"/>
              </w:rPr>
            </w:pPr>
            <w:r w:rsidRPr="002E707A">
              <w:rPr>
                <w:sz w:val="20"/>
                <w:szCs w:val="20"/>
                <w:lang w:val="pt-BR"/>
              </w:rPr>
              <w:t>23,80</w:t>
            </w:r>
          </w:p>
        </w:tc>
        <w:tc>
          <w:tcPr>
            <w:tcW w:w="402" w:type="pct"/>
            <w:tcBorders>
              <w:top w:val="nil"/>
              <w:left w:val="nil"/>
              <w:bottom w:val="single" w:sz="4" w:space="0" w:color="auto"/>
              <w:right w:val="nil"/>
            </w:tcBorders>
            <w:shd w:val="clear" w:color="auto" w:fill="auto"/>
            <w:vAlign w:val="center"/>
          </w:tcPr>
          <w:p w14:paraId="511EF865" w14:textId="77777777" w:rsidR="004C0483" w:rsidRPr="002E707A" w:rsidRDefault="004C0483" w:rsidP="00A1791E">
            <w:pPr>
              <w:jc w:val="center"/>
              <w:rPr>
                <w:sz w:val="20"/>
                <w:szCs w:val="20"/>
                <w:lang w:val="pt-BR"/>
              </w:rPr>
            </w:pPr>
            <w:r w:rsidRPr="002E707A">
              <w:rPr>
                <w:sz w:val="20"/>
                <w:szCs w:val="20"/>
                <w:lang w:val="pt-BR"/>
              </w:rPr>
              <w:t>10,14</w:t>
            </w:r>
          </w:p>
        </w:tc>
      </w:tr>
    </w:tbl>
    <w:p w14:paraId="33EB4242" w14:textId="77777777" w:rsidR="004C0483" w:rsidRPr="002E707A" w:rsidRDefault="004C0483" w:rsidP="004C0483">
      <w:pPr>
        <w:rPr>
          <w:i/>
          <w:iCs/>
          <w:sz w:val="20"/>
          <w:szCs w:val="20"/>
          <w:lang w:val="pt-BR"/>
        </w:rPr>
      </w:pPr>
      <w:r w:rsidRPr="002E707A">
        <w:rPr>
          <w:b/>
          <w:bCs/>
          <w:i/>
          <w:iCs/>
          <w:sz w:val="20"/>
          <w:szCs w:val="20"/>
          <w:lang w:val="pt-BR"/>
        </w:rPr>
        <w:t>Nota:</w:t>
      </w:r>
      <w:r w:rsidRPr="002E707A">
        <w:rPr>
          <w:i/>
          <w:iCs/>
          <w:sz w:val="20"/>
          <w:szCs w:val="20"/>
          <w:lang w:val="pt-BR"/>
        </w:rPr>
        <w:t xml:space="preserve"> ¹ Baixo Consumo/Fumado; ² Alto Consumo/Fumado; ³ Baixo Consumo/Ingeríveis; *Em anos</w:t>
      </w:r>
    </w:p>
    <w:p w14:paraId="14DE4632" w14:textId="77777777" w:rsidR="004C0483" w:rsidRPr="002E707A" w:rsidRDefault="004C0483" w:rsidP="004C0483">
      <w:pPr>
        <w:shd w:val="clear" w:color="auto" w:fill="FFFFFF"/>
        <w:spacing w:line="360" w:lineRule="auto"/>
        <w:jc w:val="both"/>
        <w:rPr>
          <w:lang w:val="pt-BR"/>
        </w:rPr>
      </w:pPr>
    </w:p>
    <w:p w14:paraId="4136DD79" w14:textId="77777777" w:rsidR="0079756D" w:rsidRDefault="0079756D" w:rsidP="0079756D">
      <w:pPr>
        <w:shd w:val="clear" w:color="auto" w:fill="FFFFFF"/>
        <w:spacing w:line="360" w:lineRule="auto"/>
        <w:ind w:firstLine="700"/>
        <w:jc w:val="both"/>
        <w:rPr>
          <w:lang w:val="pt-BR"/>
        </w:rPr>
      </w:pPr>
      <w:r w:rsidRPr="002E707A">
        <w:rPr>
          <w:lang w:val="pt-BR"/>
        </w:rPr>
        <w:t>Finalmente, quanto aos diagnósticos psiquiátricos, os resultados indicam que ter um diagnóstico psiquiátrico aumenta consideravelmente as chances de pertencer ao grupo Baixo Consumo/Ingeríveis, frente ao grupo de referência; ao passo que a presença de múltiplos diagnósticos psiquiátricos aumenta ainda mais essa probabilidade.</w:t>
      </w:r>
    </w:p>
    <w:p w14:paraId="27968FC4" w14:textId="326A8069" w:rsidR="00FA66F5" w:rsidRPr="002E707A" w:rsidRDefault="00FA66F5" w:rsidP="00FA66F5">
      <w:pPr>
        <w:shd w:val="clear" w:color="auto" w:fill="FFFFFF"/>
        <w:spacing w:line="360" w:lineRule="auto"/>
        <w:jc w:val="both"/>
        <w:rPr>
          <w:sz w:val="20"/>
          <w:szCs w:val="20"/>
          <w:lang w:val="pt-BR"/>
        </w:rPr>
      </w:pPr>
      <w:r w:rsidRPr="002E707A">
        <w:rPr>
          <w:sz w:val="20"/>
          <w:szCs w:val="20"/>
          <w:lang w:val="pt-BR"/>
        </w:rPr>
        <w:t>Tabela 6</w:t>
      </w:r>
    </w:p>
    <w:p w14:paraId="5616077A" w14:textId="77777777" w:rsidR="00FA66F5" w:rsidRPr="002E707A" w:rsidRDefault="00FA66F5" w:rsidP="00FA66F5">
      <w:pPr>
        <w:shd w:val="clear" w:color="auto" w:fill="FFFFFF"/>
        <w:spacing w:line="360" w:lineRule="auto"/>
        <w:jc w:val="both"/>
        <w:rPr>
          <w:i/>
          <w:iCs/>
          <w:sz w:val="20"/>
          <w:szCs w:val="20"/>
          <w:lang w:val="pt-BR"/>
        </w:rPr>
      </w:pPr>
      <w:r w:rsidRPr="002E707A">
        <w:rPr>
          <w:i/>
          <w:iCs/>
          <w:sz w:val="20"/>
          <w:szCs w:val="20"/>
          <w:lang w:val="pt-BR"/>
        </w:rPr>
        <w:t xml:space="preserve">Coeficientes de regressão logística multinominal das variáveis sociodemográficas como preditoras das classes latentes. </w:t>
      </w:r>
    </w:p>
    <w:tbl>
      <w:tblPr>
        <w:tblStyle w:val="Estilo1"/>
        <w:tblW w:w="5000" w:type="pct"/>
        <w:tblLook w:val="04A0" w:firstRow="1" w:lastRow="0" w:firstColumn="1" w:lastColumn="0" w:noHBand="0" w:noVBand="1"/>
      </w:tblPr>
      <w:tblGrid>
        <w:gridCol w:w="3755"/>
        <w:gridCol w:w="1889"/>
        <w:gridCol w:w="668"/>
        <w:gridCol w:w="2368"/>
        <w:gridCol w:w="724"/>
      </w:tblGrid>
      <w:tr w:rsidR="00FA66F5" w:rsidRPr="006B162E" w14:paraId="1DEEF9F2" w14:textId="77777777" w:rsidTr="00A1791E">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1996" w:type="pct"/>
            <w:vMerge w:val="restart"/>
            <w:tcBorders>
              <w:top w:val="single" w:sz="4" w:space="0" w:color="auto"/>
            </w:tcBorders>
            <w:shd w:val="clear" w:color="auto" w:fill="auto"/>
            <w:noWrap/>
            <w:vAlign w:val="center"/>
            <w:hideMark/>
          </w:tcPr>
          <w:p w14:paraId="2629B2C8" w14:textId="77777777" w:rsidR="00FA66F5" w:rsidRPr="006B162E" w:rsidRDefault="00FA66F5" w:rsidP="00A1791E">
            <w:pPr>
              <w:jc w:val="center"/>
              <w:rPr>
                <w:sz w:val="22"/>
                <w:lang w:val="pt-BR" w:eastAsia="pt-BR"/>
              </w:rPr>
            </w:pPr>
            <w:r w:rsidRPr="006B162E">
              <w:rPr>
                <w:b/>
                <w:bCs/>
                <w:sz w:val="22"/>
                <w:lang w:val="pt-BR" w:eastAsia="pt-BR"/>
              </w:rPr>
              <w:t>Variáveis</w:t>
            </w:r>
          </w:p>
        </w:tc>
        <w:tc>
          <w:tcPr>
            <w:tcW w:w="1004" w:type="pct"/>
            <w:shd w:val="clear" w:color="auto" w:fill="auto"/>
            <w:noWrap/>
            <w:hideMark/>
          </w:tcPr>
          <w:p w14:paraId="28BC65DE" w14:textId="77777777" w:rsidR="00FA66F5" w:rsidRPr="006B162E" w:rsidRDefault="00FA66F5" w:rsidP="00A1791E">
            <w:pPr>
              <w:jc w:val="center"/>
              <w:cnfStyle w:val="100000000000" w:firstRow="1" w:lastRow="0" w:firstColumn="0" w:lastColumn="0" w:oddVBand="0" w:evenVBand="0" w:oddHBand="0" w:evenHBand="0" w:firstRowFirstColumn="0" w:firstRowLastColumn="0" w:lastRowFirstColumn="0" w:lastRowLastColumn="0"/>
              <w:rPr>
                <w:sz w:val="22"/>
                <w:lang w:val="pt-BR" w:eastAsia="pt-BR"/>
              </w:rPr>
            </w:pPr>
            <w:r w:rsidRPr="006B162E">
              <w:rPr>
                <w:sz w:val="22"/>
                <w:lang w:val="pt-BR" w:eastAsia="pt-BR"/>
              </w:rPr>
              <w:t xml:space="preserve">Alto </w:t>
            </w:r>
            <w:proofErr w:type="spellStart"/>
            <w:r w:rsidRPr="006B162E">
              <w:rPr>
                <w:sz w:val="22"/>
                <w:lang w:val="pt-BR" w:eastAsia="pt-BR"/>
              </w:rPr>
              <w:t>Cons</w:t>
            </w:r>
            <w:proofErr w:type="spellEnd"/>
            <w:r w:rsidRPr="006B162E">
              <w:rPr>
                <w:sz w:val="22"/>
                <w:lang w:val="pt-BR" w:eastAsia="pt-BR"/>
              </w:rPr>
              <w:t>/</w:t>
            </w:r>
            <w:proofErr w:type="spellStart"/>
            <w:r w:rsidRPr="006B162E">
              <w:rPr>
                <w:sz w:val="22"/>
                <w:lang w:val="pt-BR" w:eastAsia="pt-BR"/>
              </w:rPr>
              <w:t>Fum</w:t>
            </w:r>
            <w:proofErr w:type="spellEnd"/>
            <w:r w:rsidRPr="006B162E">
              <w:rPr>
                <w:sz w:val="22"/>
                <w:lang w:val="pt-BR" w:eastAsia="pt-BR"/>
              </w:rPr>
              <w:t>.</w:t>
            </w:r>
          </w:p>
        </w:tc>
        <w:tc>
          <w:tcPr>
            <w:tcW w:w="355" w:type="pct"/>
            <w:shd w:val="clear" w:color="auto" w:fill="auto"/>
            <w:noWrap/>
            <w:hideMark/>
          </w:tcPr>
          <w:p w14:paraId="5E9CCCDD" w14:textId="77777777" w:rsidR="00FA66F5" w:rsidRPr="006B162E" w:rsidRDefault="00FA66F5" w:rsidP="00A1791E">
            <w:pPr>
              <w:jc w:val="center"/>
              <w:cnfStyle w:val="100000000000" w:firstRow="1" w:lastRow="0" w:firstColumn="0" w:lastColumn="0" w:oddVBand="0" w:evenVBand="0" w:oddHBand="0" w:evenHBand="0" w:firstRowFirstColumn="0" w:firstRowLastColumn="0" w:lastRowFirstColumn="0" w:lastRowLastColumn="0"/>
              <w:rPr>
                <w:sz w:val="22"/>
                <w:lang w:val="pt-BR" w:eastAsia="pt-BR"/>
              </w:rPr>
            </w:pPr>
          </w:p>
        </w:tc>
        <w:tc>
          <w:tcPr>
            <w:tcW w:w="1259" w:type="pct"/>
            <w:shd w:val="clear" w:color="auto" w:fill="auto"/>
            <w:noWrap/>
            <w:hideMark/>
          </w:tcPr>
          <w:p w14:paraId="406C249C" w14:textId="77777777" w:rsidR="00FA66F5" w:rsidRPr="006B162E" w:rsidRDefault="00FA66F5" w:rsidP="00A1791E">
            <w:pPr>
              <w:jc w:val="center"/>
              <w:cnfStyle w:val="100000000000" w:firstRow="1" w:lastRow="0" w:firstColumn="0" w:lastColumn="0" w:oddVBand="0" w:evenVBand="0" w:oddHBand="0" w:evenHBand="0" w:firstRowFirstColumn="0" w:firstRowLastColumn="0" w:lastRowFirstColumn="0" w:lastRowLastColumn="0"/>
              <w:rPr>
                <w:sz w:val="22"/>
                <w:lang w:val="pt-BR" w:eastAsia="pt-BR"/>
              </w:rPr>
            </w:pPr>
            <w:r w:rsidRPr="006B162E">
              <w:rPr>
                <w:sz w:val="22"/>
                <w:lang w:val="pt-BR" w:eastAsia="pt-BR"/>
              </w:rPr>
              <w:t>Baixo Cons./</w:t>
            </w:r>
            <w:proofErr w:type="spellStart"/>
            <w:r w:rsidRPr="006B162E">
              <w:rPr>
                <w:sz w:val="22"/>
                <w:lang w:val="pt-BR" w:eastAsia="pt-BR"/>
              </w:rPr>
              <w:t>Ingerív</w:t>
            </w:r>
            <w:proofErr w:type="spellEnd"/>
            <w:r w:rsidRPr="006B162E">
              <w:rPr>
                <w:sz w:val="22"/>
                <w:lang w:val="pt-BR" w:eastAsia="pt-BR"/>
              </w:rPr>
              <w:t>.</w:t>
            </w:r>
          </w:p>
        </w:tc>
        <w:tc>
          <w:tcPr>
            <w:tcW w:w="385" w:type="pct"/>
            <w:shd w:val="clear" w:color="auto" w:fill="auto"/>
            <w:noWrap/>
            <w:hideMark/>
          </w:tcPr>
          <w:p w14:paraId="0FC544D9" w14:textId="77777777" w:rsidR="00FA66F5" w:rsidRPr="006B162E" w:rsidRDefault="00FA66F5" w:rsidP="00A1791E">
            <w:pPr>
              <w:jc w:val="center"/>
              <w:cnfStyle w:val="100000000000" w:firstRow="1" w:lastRow="0" w:firstColumn="0" w:lastColumn="0" w:oddVBand="0" w:evenVBand="0" w:oddHBand="0" w:evenHBand="0" w:firstRowFirstColumn="0" w:firstRowLastColumn="0" w:lastRowFirstColumn="0" w:lastRowLastColumn="0"/>
              <w:rPr>
                <w:sz w:val="22"/>
                <w:lang w:val="pt-BR" w:eastAsia="pt-BR"/>
              </w:rPr>
            </w:pPr>
          </w:p>
        </w:tc>
      </w:tr>
      <w:tr w:rsidR="00FA66F5" w:rsidRPr="006B162E" w14:paraId="6386A22A" w14:textId="77777777" w:rsidTr="00A1791E">
        <w:trPr>
          <w:trHeight w:val="315"/>
        </w:trPr>
        <w:tc>
          <w:tcPr>
            <w:cnfStyle w:val="001000000000" w:firstRow="0" w:lastRow="0" w:firstColumn="1" w:lastColumn="0" w:oddVBand="0" w:evenVBand="0" w:oddHBand="0" w:evenHBand="0" w:firstRowFirstColumn="0" w:firstRowLastColumn="0" w:lastRowFirstColumn="0" w:lastRowLastColumn="0"/>
            <w:tcW w:w="1996" w:type="pct"/>
            <w:vMerge/>
            <w:tcBorders>
              <w:top w:val="single" w:sz="4" w:space="0" w:color="auto"/>
              <w:bottom w:val="single" w:sz="4" w:space="0" w:color="auto"/>
            </w:tcBorders>
            <w:shd w:val="clear" w:color="auto" w:fill="auto"/>
            <w:noWrap/>
            <w:hideMark/>
          </w:tcPr>
          <w:p w14:paraId="73F78CD5" w14:textId="77777777" w:rsidR="00FA66F5" w:rsidRPr="006B162E" w:rsidRDefault="00FA66F5" w:rsidP="00A1791E">
            <w:pPr>
              <w:jc w:val="center"/>
              <w:rPr>
                <w:b/>
                <w:bCs/>
                <w:sz w:val="22"/>
                <w:lang w:val="pt-BR" w:eastAsia="pt-BR"/>
              </w:rPr>
            </w:pPr>
          </w:p>
        </w:tc>
        <w:tc>
          <w:tcPr>
            <w:tcW w:w="1004" w:type="pct"/>
            <w:tcBorders>
              <w:top w:val="single" w:sz="4" w:space="0" w:color="auto"/>
              <w:bottom w:val="single" w:sz="4" w:space="0" w:color="auto"/>
            </w:tcBorders>
            <w:shd w:val="clear" w:color="auto" w:fill="auto"/>
            <w:noWrap/>
            <w:hideMark/>
          </w:tcPr>
          <w:p w14:paraId="7AE2B200"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b/>
                <w:bCs/>
                <w:sz w:val="22"/>
                <w:lang w:val="pt-BR" w:eastAsia="pt-BR"/>
              </w:rPr>
            </w:pPr>
            <w:proofErr w:type="spellStart"/>
            <w:r w:rsidRPr="006B162E">
              <w:rPr>
                <w:b/>
                <w:bCs/>
                <w:sz w:val="22"/>
                <w:lang w:val="pt-BR" w:eastAsia="pt-BR"/>
              </w:rPr>
              <w:t>Coef</w:t>
            </w:r>
            <w:proofErr w:type="spellEnd"/>
            <w:r w:rsidRPr="006B162E">
              <w:rPr>
                <w:b/>
                <w:bCs/>
                <w:sz w:val="22"/>
                <w:lang w:val="pt-BR" w:eastAsia="pt-BR"/>
              </w:rPr>
              <w:t>. (S.E.)</w:t>
            </w:r>
          </w:p>
        </w:tc>
        <w:tc>
          <w:tcPr>
            <w:tcW w:w="355" w:type="pct"/>
            <w:tcBorders>
              <w:top w:val="single" w:sz="4" w:space="0" w:color="auto"/>
              <w:bottom w:val="single" w:sz="4" w:space="0" w:color="auto"/>
            </w:tcBorders>
            <w:shd w:val="clear" w:color="auto" w:fill="auto"/>
            <w:noWrap/>
            <w:hideMark/>
          </w:tcPr>
          <w:p w14:paraId="65D3961F"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b/>
                <w:bCs/>
                <w:sz w:val="22"/>
                <w:lang w:val="pt-BR" w:eastAsia="pt-BR"/>
              </w:rPr>
            </w:pPr>
            <w:r w:rsidRPr="006B162E">
              <w:rPr>
                <w:b/>
                <w:bCs/>
                <w:sz w:val="22"/>
                <w:lang w:val="pt-BR" w:eastAsia="pt-BR"/>
              </w:rPr>
              <w:t>OR</w:t>
            </w:r>
          </w:p>
        </w:tc>
        <w:tc>
          <w:tcPr>
            <w:tcW w:w="1259" w:type="pct"/>
            <w:tcBorders>
              <w:top w:val="single" w:sz="4" w:space="0" w:color="auto"/>
              <w:bottom w:val="single" w:sz="4" w:space="0" w:color="auto"/>
            </w:tcBorders>
            <w:shd w:val="clear" w:color="auto" w:fill="auto"/>
            <w:noWrap/>
            <w:hideMark/>
          </w:tcPr>
          <w:p w14:paraId="0133014D"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b/>
                <w:bCs/>
                <w:sz w:val="22"/>
                <w:lang w:val="pt-BR" w:eastAsia="pt-BR"/>
              </w:rPr>
            </w:pPr>
            <w:proofErr w:type="spellStart"/>
            <w:r w:rsidRPr="006B162E">
              <w:rPr>
                <w:b/>
                <w:bCs/>
                <w:sz w:val="22"/>
                <w:lang w:val="pt-BR" w:eastAsia="pt-BR"/>
              </w:rPr>
              <w:t>Coef</w:t>
            </w:r>
            <w:proofErr w:type="spellEnd"/>
            <w:r w:rsidRPr="006B162E">
              <w:rPr>
                <w:b/>
                <w:bCs/>
                <w:sz w:val="22"/>
                <w:lang w:val="pt-BR" w:eastAsia="pt-BR"/>
              </w:rPr>
              <w:t>. (S.E.)</w:t>
            </w:r>
          </w:p>
        </w:tc>
        <w:tc>
          <w:tcPr>
            <w:tcW w:w="385" w:type="pct"/>
            <w:tcBorders>
              <w:top w:val="single" w:sz="4" w:space="0" w:color="auto"/>
              <w:bottom w:val="single" w:sz="4" w:space="0" w:color="auto"/>
            </w:tcBorders>
            <w:shd w:val="clear" w:color="auto" w:fill="auto"/>
            <w:noWrap/>
            <w:hideMark/>
          </w:tcPr>
          <w:p w14:paraId="1CC598E1"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b/>
                <w:bCs/>
                <w:sz w:val="22"/>
                <w:lang w:val="pt-BR" w:eastAsia="pt-BR"/>
              </w:rPr>
            </w:pPr>
            <w:r w:rsidRPr="006B162E">
              <w:rPr>
                <w:b/>
                <w:bCs/>
                <w:sz w:val="22"/>
                <w:lang w:val="pt-BR" w:eastAsia="pt-BR"/>
              </w:rPr>
              <w:t>OR</w:t>
            </w:r>
          </w:p>
        </w:tc>
      </w:tr>
      <w:tr w:rsidR="00FA66F5" w:rsidRPr="006B162E" w14:paraId="1306EFEA" w14:textId="77777777" w:rsidTr="00A179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6" w:type="pct"/>
            <w:tcBorders>
              <w:top w:val="single" w:sz="4" w:space="0" w:color="auto"/>
            </w:tcBorders>
            <w:shd w:val="clear" w:color="auto" w:fill="auto"/>
            <w:noWrap/>
          </w:tcPr>
          <w:p w14:paraId="3F0813F7" w14:textId="77777777" w:rsidR="00FA66F5" w:rsidRPr="006B162E" w:rsidRDefault="00FA66F5" w:rsidP="00A1791E">
            <w:pPr>
              <w:rPr>
                <w:sz w:val="20"/>
                <w:szCs w:val="20"/>
                <w:lang w:val="pt-BR" w:eastAsia="pt-BR"/>
              </w:rPr>
            </w:pPr>
            <w:r w:rsidRPr="006B162E">
              <w:rPr>
                <w:sz w:val="20"/>
                <w:szCs w:val="20"/>
                <w:lang w:val="pt-BR" w:eastAsia="pt-BR"/>
              </w:rPr>
              <w:t>Renda Individual</w:t>
            </w:r>
          </w:p>
        </w:tc>
        <w:tc>
          <w:tcPr>
            <w:tcW w:w="1004" w:type="pct"/>
            <w:tcBorders>
              <w:top w:val="single" w:sz="4" w:space="0" w:color="auto"/>
            </w:tcBorders>
            <w:shd w:val="clear" w:color="auto" w:fill="auto"/>
            <w:noWrap/>
          </w:tcPr>
          <w:p w14:paraId="33F2BFB3"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r w:rsidRPr="006B162E">
              <w:rPr>
                <w:sz w:val="20"/>
                <w:szCs w:val="20"/>
                <w:lang w:val="pt-BR" w:eastAsia="pt-BR"/>
              </w:rPr>
              <w:t>-0,03 (0,11)</w:t>
            </w:r>
          </w:p>
        </w:tc>
        <w:tc>
          <w:tcPr>
            <w:tcW w:w="355" w:type="pct"/>
            <w:tcBorders>
              <w:top w:val="single" w:sz="4" w:space="0" w:color="auto"/>
            </w:tcBorders>
            <w:shd w:val="clear" w:color="auto" w:fill="auto"/>
            <w:noWrap/>
          </w:tcPr>
          <w:p w14:paraId="02B10F1F"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r w:rsidRPr="006B162E">
              <w:rPr>
                <w:sz w:val="20"/>
                <w:szCs w:val="20"/>
                <w:lang w:val="pt-BR" w:eastAsia="pt-BR"/>
              </w:rPr>
              <w:t>0,97</w:t>
            </w:r>
          </w:p>
        </w:tc>
        <w:tc>
          <w:tcPr>
            <w:tcW w:w="1259" w:type="pct"/>
            <w:tcBorders>
              <w:top w:val="single" w:sz="4" w:space="0" w:color="auto"/>
            </w:tcBorders>
            <w:shd w:val="clear" w:color="auto" w:fill="auto"/>
            <w:noWrap/>
          </w:tcPr>
          <w:p w14:paraId="5D9DCA9D"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r w:rsidRPr="006B162E">
              <w:rPr>
                <w:sz w:val="20"/>
                <w:szCs w:val="20"/>
                <w:lang w:val="pt-BR" w:eastAsia="pt-BR"/>
              </w:rPr>
              <w:t>0,17 (0,26)</w:t>
            </w:r>
          </w:p>
        </w:tc>
        <w:tc>
          <w:tcPr>
            <w:tcW w:w="385" w:type="pct"/>
            <w:tcBorders>
              <w:top w:val="single" w:sz="4" w:space="0" w:color="auto"/>
            </w:tcBorders>
            <w:shd w:val="clear" w:color="auto" w:fill="auto"/>
            <w:noWrap/>
          </w:tcPr>
          <w:p w14:paraId="0972C547"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r w:rsidRPr="006B162E">
              <w:rPr>
                <w:sz w:val="20"/>
                <w:szCs w:val="20"/>
                <w:lang w:val="pt-BR" w:eastAsia="pt-BR"/>
              </w:rPr>
              <w:t>1,19</w:t>
            </w:r>
          </w:p>
        </w:tc>
      </w:tr>
      <w:tr w:rsidR="00FA66F5" w:rsidRPr="006B162E" w14:paraId="32E22A85" w14:textId="77777777" w:rsidTr="00A1791E">
        <w:trPr>
          <w:trHeight w:val="300"/>
        </w:trPr>
        <w:tc>
          <w:tcPr>
            <w:cnfStyle w:val="001000000000" w:firstRow="0" w:lastRow="0" w:firstColumn="1" w:lastColumn="0" w:oddVBand="0" w:evenVBand="0" w:oddHBand="0" w:evenHBand="0" w:firstRowFirstColumn="0" w:firstRowLastColumn="0" w:lastRowFirstColumn="0" w:lastRowLastColumn="0"/>
            <w:tcW w:w="1996" w:type="pct"/>
            <w:shd w:val="clear" w:color="auto" w:fill="auto"/>
            <w:noWrap/>
          </w:tcPr>
          <w:p w14:paraId="0C2EA38D" w14:textId="77777777" w:rsidR="00FA66F5" w:rsidRPr="006B162E" w:rsidRDefault="00FA66F5" w:rsidP="00A1791E">
            <w:pPr>
              <w:rPr>
                <w:sz w:val="20"/>
                <w:szCs w:val="20"/>
                <w:lang w:val="pt-BR" w:eastAsia="pt-BR"/>
              </w:rPr>
            </w:pPr>
            <w:r w:rsidRPr="006B162E">
              <w:rPr>
                <w:sz w:val="20"/>
                <w:szCs w:val="20"/>
                <w:lang w:val="pt-BR" w:eastAsia="pt-BR"/>
              </w:rPr>
              <w:t>Escolaridade</w:t>
            </w:r>
          </w:p>
        </w:tc>
        <w:tc>
          <w:tcPr>
            <w:tcW w:w="1004" w:type="pct"/>
            <w:shd w:val="clear" w:color="auto" w:fill="auto"/>
            <w:noWrap/>
          </w:tcPr>
          <w:p w14:paraId="74450CE5"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6B162E">
              <w:rPr>
                <w:sz w:val="20"/>
                <w:szCs w:val="20"/>
                <w:lang w:val="pt-BR" w:eastAsia="pt-BR"/>
              </w:rPr>
              <w:t>-0,03 (0,15)</w:t>
            </w:r>
          </w:p>
        </w:tc>
        <w:tc>
          <w:tcPr>
            <w:tcW w:w="355" w:type="pct"/>
            <w:shd w:val="clear" w:color="auto" w:fill="auto"/>
            <w:noWrap/>
          </w:tcPr>
          <w:p w14:paraId="180CA1A2"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6B162E">
              <w:rPr>
                <w:sz w:val="20"/>
                <w:szCs w:val="20"/>
                <w:lang w:val="pt-BR" w:eastAsia="pt-BR"/>
              </w:rPr>
              <w:t>0,96</w:t>
            </w:r>
          </w:p>
        </w:tc>
        <w:tc>
          <w:tcPr>
            <w:tcW w:w="1259" w:type="pct"/>
            <w:shd w:val="clear" w:color="auto" w:fill="auto"/>
            <w:noWrap/>
          </w:tcPr>
          <w:p w14:paraId="37A181D1"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6B162E">
              <w:rPr>
                <w:sz w:val="20"/>
                <w:szCs w:val="20"/>
                <w:lang w:val="pt-BR" w:eastAsia="pt-BR"/>
              </w:rPr>
              <w:t>0,27 (0,38)</w:t>
            </w:r>
          </w:p>
        </w:tc>
        <w:tc>
          <w:tcPr>
            <w:tcW w:w="385" w:type="pct"/>
            <w:shd w:val="clear" w:color="auto" w:fill="auto"/>
            <w:noWrap/>
          </w:tcPr>
          <w:p w14:paraId="49FE1115"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6B162E">
              <w:rPr>
                <w:sz w:val="20"/>
                <w:szCs w:val="20"/>
                <w:lang w:val="pt-BR" w:eastAsia="pt-BR"/>
              </w:rPr>
              <w:t>1,31</w:t>
            </w:r>
          </w:p>
        </w:tc>
      </w:tr>
      <w:tr w:rsidR="00FA66F5" w:rsidRPr="006B162E" w14:paraId="224A3BD2" w14:textId="77777777" w:rsidTr="00A179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6" w:type="pct"/>
            <w:shd w:val="clear" w:color="auto" w:fill="auto"/>
            <w:noWrap/>
          </w:tcPr>
          <w:p w14:paraId="29860CA1" w14:textId="77777777" w:rsidR="00FA66F5" w:rsidRPr="006B162E" w:rsidRDefault="00FA66F5" w:rsidP="00A1791E">
            <w:pPr>
              <w:rPr>
                <w:sz w:val="20"/>
                <w:szCs w:val="20"/>
                <w:lang w:val="pt-BR" w:eastAsia="pt-BR"/>
              </w:rPr>
            </w:pPr>
            <w:r w:rsidRPr="006B162E">
              <w:rPr>
                <w:sz w:val="20"/>
                <w:szCs w:val="20"/>
                <w:lang w:val="pt-BR" w:eastAsia="pt-BR"/>
              </w:rPr>
              <w:t>Tempo de Uso</w:t>
            </w:r>
          </w:p>
        </w:tc>
        <w:tc>
          <w:tcPr>
            <w:tcW w:w="1004" w:type="pct"/>
            <w:shd w:val="clear" w:color="auto" w:fill="auto"/>
            <w:noWrap/>
          </w:tcPr>
          <w:p w14:paraId="169F4DF0"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r w:rsidRPr="006B162E">
              <w:rPr>
                <w:sz w:val="20"/>
                <w:szCs w:val="20"/>
                <w:lang w:val="pt-BR" w:eastAsia="pt-BR"/>
              </w:rPr>
              <w:t>0,04 (0,02)*</w:t>
            </w:r>
          </w:p>
        </w:tc>
        <w:tc>
          <w:tcPr>
            <w:tcW w:w="355" w:type="pct"/>
            <w:shd w:val="clear" w:color="auto" w:fill="auto"/>
            <w:noWrap/>
          </w:tcPr>
          <w:p w14:paraId="787DB4AB"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r w:rsidRPr="006B162E">
              <w:rPr>
                <w:sz w:val="20"/>
                <w:szCs w:val="20"/>
                <w:lang w:val="pt-BR" w:eastAsia="pt-BR"/>
              </w:rPr>
              <w:t>1,04</w:t>
            </w:r>
          </w:p>
        </w:tc>
        <w:tc>
          <w:tcPr>
            <w:tcW w:w="1259" w:type="pct"/>
            <w:shd w:val="clear" w:color="auto" w:fill="auto"/>
            <w:noWrap/>
          </w:tcPr>
          <w:p w14:paraId="09890514"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r w:rsidRPr="006B162E">
              <w:rPr>
                <w:sz w:val="20"/>
                <w:szCs w:val="20"/>
                <w:lang w:val="pt-BR" w:eastAsia="pt-BR"/>
              </w:rPr>
              <w:t>0,03 (0,04)</w:t>
            </w:r>
          </w:p>
        </w:tc>
        <w:tc>
          <w:tcPr>
            <w:tcW w:w="385" w:type="pct"/>
            <w:shd w:val="clear" w:color="auto" w:fill="auto"/>
            <w:noWrap/>
          </w:tcPr>
          <w:p w14:paraId="6894749B"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r w:rsidRPr="006B162E">
              <w:rPr>
                <w:sz w:val="20"/>
                <w:szCs w:val="20"/>
                <w:lang w:val="pt-BR" w:eastAsia="pt-BR"/>
              </w:rPr>
              <w:t>1,03</w:t>
            </w:r>
          </w:p>
        </w:tc>
      </w:tr>
      <w:tr w:rsidR="00FA66F5" w:rsidRPr="006B162E" w14:paraId="55682B86" w14:textId="77777777" w:rsidTr="00A1791E">
        <w:trPr>
          <w:trHeight w:val="300"/>
        </w:trPr>
        <w:tc>
          <w:tcPr>
            <w:cnfStyle w:val="001000000000" w:firstRow="0" w:lastRow="0" w:firstColumn="1" w:lastColumn="0" w:oddVBand="0" w:evenVBand="0" w:oddHBand="0" w:evenHBand="0" w:firstRowFirstColumn="0" w:firstRowLastColumn="0" w:lastRowFirstColumn="0" w:lastRowLastColumn="0"/>
            <w:tcW w:w="1996" w:type="pct"/>
            <w:shd w:val="clear" w:color="auto" w:fill="auto"/>
            <w:noWrap/>
          </w:tcPr>
          <w:p w14:paraId="14E5B524" w14:textId="77777777" w:rsidR="00FA66F5" w:rsidRPr="006B162E" w:rsidRDefault="00FA66F5" w:rsidP="00A1791E">
            <w:pPr>
              <w:rPr>
                <w:sz w:val="20"/>
                <w:szCs w:val="20"/>
                <w:lang w:val="pt-BR" w:eastAsia="pt-BR"/>
              </w:rPr>
            </w:pPr>
            <w:r w:rsidRPr="006B162E">
              <w:rPr>
                <w:sz w:val="20"/>
                <w:szCs w:val="20"/>
                <w:lang w:val="pt-BR" w:eastAsia="pt-BR"/>
              </w:rPr>
              <w:t>Idade de Início</w:t>
            </w:r>
          </w:p>
        </w:tc>
        <w:tc>
          <w:tcPr>
            <w:tcW w:w="1004" w:type="pct"/>
            <w:shd w:val="clear" w:color="auto" w:fill="auto"/>
            <w:noWrap/>
          </w:tcPr>
          <w:p w14:paraId="4B62F55A"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6B162E">
              <w:rPr>
                <w:sz w:val="20"/>
                <w:szCs w:val="20"/>
                <w:lang w:val="pt-BR" w:eastAsia="pt-BR"/>
              </w:rPr>
              <w:t>-0,11 (0,03)**</w:t>
            </w:r>
          </w:p>
        </w:tc>
        <w:tc>
          <w:tcPr>
            <w:tcW w:w="355" w:type="pct"/>
            <w:shd w:val="clear" w:color="auto" w:fill="auto"/>
            <w:noWrap/>
          </w:tcPr>
          <w:p w14:paraId="2E6B5E47"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6B162E">
              <w:rPr>
                <w:sz w:val="20"/>
                <w:szCs w:val="20"/>
                <w:lang w:val="pt-BR" w:eastAsia="pt-BR"/>
              </w:rPr>
              <w:t>0,89</w:t>
            </w:r>
          </w:p>
        </w:tc>
        <w:tc>
          <w:tcPr>
            <w:tcW w:w="1259" w:type="pct"/>
            <w:shd w:val="clear" w:color="auto" w:fill="auto"/>
            <w:noWrap/>
          </w:tcPr>
          <w:p w14:paraId="680CA8CD"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6B162E">
              <w:rPr>
                <w:sz w:val="20"/>
                <w:szCs w:val="20"/>
                <w:lang w:val="pt-BR" w:eastAsia="pt-BR"/>
              </w:rPr>
              <w:t>0,10 (0,04)*</w:t>
            </w:r>
          </w:p>
        </w:tc>
        <w:tc>
          <w:tcPr>
            <w:tcW w:w="385" w:type="pct"/>
            <w:shd w:val="clear" w:color="auto" w:fill="auto"/>
            <w:noWrap/>
          </w:tcPr>
          <w:p w14:paraId="48B4A69A"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6B162E">
              <w:rPr>
                <w:sz w:val="20"/>
                <w:szCs w:val="20"/>
                <w:lang w:val="pt-BR" w:eastAsia="pt-BR"/>
              </w:rPr>
              <w:t>1,10</w:t>
            </w:r>
          </w:p>
        </w:tc>
      </w:tr>
      <w:tr w:rsidR="00FA66F5" w:rsidRPr="006B162E" w14:paraId="1A6A4D5C" w14:textId="77777777" w:rsidTr="00A179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6" w:type="pct"/>
            <w:shd w:val="clear" w:color="auto" w:fill="auto"/>
            <w:noWrap/>
          </w:tcPr>
          <w:p w14:paraId="185A9BC2" w14:textId="77777777" w:rsidR="00FA66F5" w:rsidRPr="006B162E" w:rsidRDefault="00FA66F5" w:rsidP="00A1791E">
            <w:pPr>
              <w:rPr>
                <w:b/>
                <w:bCs/>
                <w:sz w:val="20"/>
                <w:szCs w:val="20"/>
                <w:lang w:val="pt-BR" w:eastAsia="pt-BR"/>
              </w:rPr>
            </w:pPr>
            <w:r w:rsidRPr="006B162E">
              <w:rPr>
                <w:b/>
                <w:bCs/>
                <w:sz w:val="20"/>
                <w:szCs w:val="20"/>
                <w:lang w:val="pt-BR" w:eastAsia="pt-BR"/>
              </w:rPr>
              <w:t xml:space="preserve">Etnia </w:t>
            </w:r>
          </w:p>
        </w:tc>
        <w:tc>
          <w:tcPr>
            <w:tcW w:w="1004" w:type="pct"/>
            <w:shd w:val="clear" w:color="auto" w:fill="auto"/>
            <w:noWrap/>
          </w:tcPr>
          <w:p w14:paraId="6716206A"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p>
        </w:tc>
        <w:tc>
          <w:tcPr>
            <w:tcW w:w="355" w:type="pct"/>
            <w:shd w:val="clear" w:color="auto" w:fill="auto"/>
            <w:noWrap/>
          </w:tcPr>
          <w:p w14:paraId="56E67286"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p>
        </w:tc>
        <w:tc>
          <w:tcPr>
            <w:tcW w:w="1259" w:type="pct"/>
            <w:shd w:val="clear" w:color="auto" w:fill="auto"/>
            <w:noWrap/>
          </w:tcPr>
          <w:p w14:paraId="61C46DB9"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p>
        </w:tc>
        <w:tc>
          <w:tcPr>
            <w:tcW w:w="385" w:type="pct"/>
            <w:shd w:val="clear" w:color="auto" w:fill="auto"/>
            <w:noWrap/>
          </w:tcPr>
          <w:p w14:paraId="47B23364"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p>
        </w:tc>
      </w:tr>
      <w:tr w:rsidR="00FA66F5" w:rsidRPr="006B162E" w14:paraId="6BBE5142" w14:textId="77777777" w:rsidTr="00A1791E">
        <w:trPr>
          <w:trHeight w:val="300"/>
        </w:trPr>
        <w:tc>
          <w:tcPr>
            <w:cnfStyle w:val="001000000000" w:firstRow="0" w:lastRow="0" w:firstColumn="1" w:lastColumn="0" w:oddVBand="0" w:evenVBand="0" w:oddHBand="0" w:evenHBand="0" w:firstRowFirstColumn="0" w:firstRowLastColumn="0" w:lastRowFirstColumn="0" w:lastRowLastColumn="0"/>
            <w:tcW w:w="1996" w:type="pct"/>
            <w:shd w:val="clear" w:color="auto" w:fill="auto"/>
            <w:noWrap/>
          </w:tcPr>
          <w:p w14:paraId="7B268794" w14:textId="77777777" w:rsidR="00FA66F5" w:rsidRPr="006B162E" w:rsidRDefault="00FA66F5" w:rsidP="00A1791E">
            <w:pPr>
              <w:rPr>
                <w:i/>
                <w:iCs/>
                <w:sz w:val="20"/>
                <w:szCs w:val="20"/>
                <w:lang w:val="pt-BR" w:eastAsia="pt-BR"/>
              </w:rPr>
            </w:pPr>
            <w:r w:rsidRPr="006B162E">
              <w:rPr>
                <w:i/>
                <w:iCs/>
                <w:sz w:val="20"/>
                <w:szCs w:val="20"/>
                <w:lang w:val="pt-BR" w:eastAsia="pt-BR"/>
              </w:rPr>
              <w:t xml:space="preserve">  Brancos</w:t>
            </w:r>
          </w:p>
        </w:tc>
        <w:tc>
          <w:tcPr>
            <w:tcW w:w="1004" w:type="pct"/>
            <w:shd w:val="clear" w:color="auto" w:fill="auto"/>
            <w:noWrap/>
          </w:tcPr>
          <w:p w14:paraId="102C2BB5"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i/>
                <w:iCs/>
                <w:sz w:val="20"/>
                <w:szCs w:val="20"/>
                <w:lang w:val="pt-BR" w:eastAsia="pt-BR"/>
              </w:rPr>
            </w:pPr>
            <w:r w:rsidRPr="006B162E">
              <w:rPr>
                <w:i/>
                <w:iCs/>
                <w:sz w:val="20"/>
                <w:szCs w:val="20"/>
                <w:lang w:val="pt-BR" w:eastAsia="pt-BR"/>
              </w:rPr>
              <w:t>-</w:t>
            </w:r>
          </w:p>
        </w:tc>
        <w:tc>
          <w:tcPr>
            <w:tcW w:w="355" w:type="pct"/>
            <w:shd w:val="clear" w:color="auto" w:fill="auto"/>
            <w:noWrap/>
          </w:tcPr>
          <w:p w14:paraId="09958ACF"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i/>
                <w:iCs/>
                <w:sz w:val="20"/>
                <w:szCs w:val="20"/>
                <w:lang w:val="pt-BR" w:eastAsia="pt-BR"/>
              </w:rPr>
            </w:pPr>
            <w:r w:rsidRPr="006B162E">
              <w:rPr>
                <w:i/>
                <w:iCs/>
                <w:sz w:val="20"/>
                <w:szCs w:val="20"/>
                <w:lang w:val="pt-BR" w:eastAsia="pt-BR"/>
              </w:rPr>
              <w:t>-</w:t>
            </w:r>
          </w:p>
        </w:tc>
        <w:tc>
          <w:tcPr>
            <w:tcW w:w="1259" w:type="pct"/>
            <w:shd w:val="clear" w:color="auto" w:fill="auto"/>
            <w:noWrap/>
          </w:tcPr>
          <w:p w14:paraId="48FAE8B0"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i/>
                <w:iCs/>
                <w:sz w:val="20"/>
                <w:szCs w:val="20"/>
                <w:lang w:val="pt-BR" w:eastAsia="pt-BR"/>
              </w:rPr>
            </w:pPr>
            <w:r w:rsidRPr="006B162E">
              <w:rPr>
                <w:i/>
                <w:iCs/>
                <w:sz w:val="20"/>
                <w:szCs w:val="20"/>
                <w:lang w:val="pt-BR" w:eastAsia="pt-BR"/>
              </w:rPr>
              <w:t>-</w:t>
            </w:r>
          </w:p>
        </w:tc>
        <w:tc>
          <w:tcPr>
            <w:tcW w:w="385" w:type="pct"/>
            <w:shd w:val="clear" w:color="auto" w:fill="auto"/>
            <w:noWrap/>
          </w:tcPr>
          <w:p w14:paraId="5CBD7856"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i/>
                <w:iCs/>
                <w:sz w:val="20"/>
                <w:szCs w:val="20"/>
                <w:lang w:val="pt-BR" w:eastAsia="pt-BR"/>
              </w:rPr>
            </w:pPr>
            <w:r w:rsidRPr="006B162E">
              <w:rPr>
                <w:i/>
                <w:iCs/>
                <w:sz w:val="20"/>
                <w:szCs w:val="20"/>
                <w:lang w:val="pt-BR" w:eastAsia="pt-BR"/>
              </w:rPr>
              <w:t>-</w:t>
            </w:r>
          </w:p>
        </w:tc>
      </w:tr>
      <w:tr w:rsidR="00FA66F5" w:rsidRPr="006B162E" w14:paraId="4B3E4711" w14:textId="77777777" w:rsidTr="00A179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6" w:type="pct"/>
            <w:shd w:val="clear" w:color="auto" w:fill="auto"/>
            <w:noWrap/>
          </w:tcPr>
          <w:p w14:paraId="7F403EE5" w14:textId="77777777" w:rsidR="00FA66F5" w:rsidRPr="006B162E" w:rsidRDefault="00FA66F5" w:rsidP="00A1791E">
            <w:pPr>
              <w:rPr>
                <w:sz w:val="20"/>
                <w:szCs w:val="20"/>
                <w:lang w:val="pt-BR" w:eastAsia="pt-BR"/>
              </w:rPr>
            </w:pPr>
            <w:r w:rsidRPr="006B162E">
              <w:rPr>
                <w:sz w:val="20"/>
                <w:szCs w:val="20"/>
                <w:lang w:val="pt-BR" w:eastAsia="pt-BR"/>
              </w:rPr>
              <w:t xml:space="preserve">  Não-Brancos</w:t>
            </w:r>
          </w:p>
        </w:tc>
        <w:tc>
          <w:tcPr>
            <w:tcW w:w="1004" w:type="pct"/>
            <w:shd w:val="clear" w:color="auto" w:fill="auto"/>
            <w:noWrap/>
          </w:tcPr>
          <w:p w14:paraId="5EB9C303"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r w:rsidRPr="006B162E">
              <w:rPr>
                <w:sz w:val="20"/>
                <w:szCs w:val="20"/>
                <w:lang w:val="pt-BR" w:eastAsia="pt-BR"/>
              </w:rPr>
              <w:t>0,43 (0,25)</w:t>
            </w:r>
          </w:p>
        </w:tc>
        <w:tc>
          <w:tcPr>
            <w:tcW w:w="355" w:type="pct"/>
            <w:shd w:val="clear" w:color="auto" w:fill="auto"/>
            <w:noWrap/>
          </w:tcPr>
          <w:p w14:paraId="177B329E"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r w:rsidRPr="006B162E">
              <w:rPr>
                <w:sz w:val="20"/>
                <w:szCs w:val="20"/>
                <w:lang w:val="pt-BR" w:eastAsia="pt-BR"/>
              </w:rPr>
              <w:t>1,54</w:t>
            </w:r>
          </w:p>
        </w:tc>
        <w:tc>
          <w:tcPr>
            <w:tcW w:w="1259" w:type="pct"/>
            <w:shd w:val="clear" w:color="auto" w:fill="auto"/>
            <w:noWrap/>
          </w:tcPr>
          <w:p w14:paraId="6C5199C8"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r w:rsidRPr="006B162E">
              <w:rPr>
                <w:sz w:val="20"/>
                <w:szCs w:val="20"/>
                <w:lang w:val="pt-BR" w:eastAsia="pt-BR"/>
              </w:rPr>
              <w:t>0,48 (0,61)</w:t>
            </w:r>
          </w:p>
        </w:tc>
        <w:tc>
          <w:tcPr>
            <w:tcW w:w="385" w:type="pct"/>
            <w:shd w:val="clear" w:color="auto" w:fill="auto"/>
            <w:noWrap/>
          </w:tcPr>
          <w:p w14:paraId="11858B50"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r w:rsidRPr="006B162E">
              <w:rPr>
                <w:sz w:val="20"/>
                <w:szCs w:val="20"/>
                <w:lang w:val="pt-BR" w:eastAsia="pt-BR"/>
              </w:rPr>
              <w:t>1,62</w:t>
            </w:r>
          </w:p>
        </w:tc>
      </w:tr>
      <w:tr w:rsidR="00FA66F5" w:rsidRPr="006B162E" w14:paraId="2DAB7D39" w14:textId="77777777" w:rsidTr="00A1791E">
        <w:trPr>
          <w:trHeight w:val="300"/>
        </w:trPr>
        <w:tc>
          <w:tcPr>
            <w:cnfStyle w:val="001000000000" w:firstRow="0" w:lastRow="0" w:firstColumn="1" w:lastColumn="0" w:oddVBand="0" w:evenVBand="0" w:oddHBand="0" w:evenHBand="0" w:firstRowFirstColumn="0" w:firstRowLastColumn="0" w:lastRowFirstColumn="0" w:lastRowLastColumn="0"/>
            <w:tcW w:w="1996" w:type="pct"/>
            <w:shd w:val="clear" w:color="auto" w:fill="auto"/>
            <w:noWrap/>
          </w:tcPr>
          <w:p w14:paraId="2F392A33" w14:textId="77777777" w:rsidR="00FA66F5" w:rsidRPr="006B162E" w:rsidRDefault="00FA66F5" w:rsidP="00A1791E">
            <w:pPr>
              <w:rPr>
                <w:b/>
                <w:bCs/>
                <w:sz w:val="20"/>
                <w:szCs w:val="20"/>
                <w:lang w:val="pt-BR" w:eastAsia="pt-BR"/>
              </w:rPr>
            </w:pPr>
            <w:r w:rsidRPr="006B162E">
              <w:rPr>
                <w:b/>
                <w:bCs/>
                <w:sz w:val="20"/>
                <w:szCs w:val="20"/>
                <w:lang w:val="pt-BR" w:eastAsia="pt-BR"/>
              </w:rPr>
              <w:t>Diagnóstico Psiquiátrico</w:t>
            </w:r>
          </w:p>
        </w:tc>
        <w:tc>
          <w:tcPr>
            <w:tcW w:w="1004" w:type="pct"/>
            <w:shd w:val="clear" w:color="auto" w:fill="auto"/>
            <w:noWrap/>
          </w:tcPr>
          <w:p w14:paraId="3F14A3E5" w14:textId="77777777" w:rsidR="00FA66F5" w:rsidRPr="006B162E" w:rsidRDefault="00FA66F5" w:rsidP="00A1791E">
            <w:pPr>
              <w:cnfStyle w:val="000000000000" w:firstRow="0" w:lastRow="0" w:firstColumn="0" w:lastColumn="0" w:oddVBand="0" w:evenVBand="0" w:oddHBand="0" w:evenHBand="0" w:firstRowFirstColumn="0" w:firstRowLastColumn="0" w:lastRowFirstColumn="0" w:lastRowLastColumn="0"/>
              <w:rPr>
                <w:b/>
                <w:bCs/>
                <w:sz w:val="20"/>
                <w:szCs w:val="20"/>
                <w:lang w:val="pt-BR" w:eastAsia="pt-BR"/>
              </w:rPr>
            </w:pPr>
          </w:p>
        </w:tc>
        <w:tc>
          <w:tcPr>
            <w:tcW w:w="355" w:type="pct"/>
            <w:shd w:val="clear" w:color="auto" w:fill="auto"/>
            <w:noWrap/>
          </w:tcPr>
          <w:p w14:paraId="15E058F8"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p>
        </w:tc>
        <w:tc>
          <w:tcPr>
            <w:tcW w:w="1259" w:type="pct"/>
            <w:shd w:val="clear" w:color="auto" w:fill="auto"/>
            <w:noWrap/>
          </w:tcPr>
          <w:p w14:paraId="5AC1CE3A"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p>
        </w:tc>
        <w:tc>
          <w:tcPr>
            <w:tcW w:w="385" w:type="pct"/>
            <w:shd w:val="clear" w:color="auto" w:fill="auto"/>
            <w:noWrap/>
          </w:tcPr>
          <w:p w14:paraId="58116062"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p>
        </w:tc>
      </w:tr>
      <w:tr w:rsidR="00FA66F5" w:rsidRPr="006B162E" w14:paraId="28574D0F" w14:textId="77777777" w:rsidTr="00A179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6" w:type="pct"/>
            <w:shd w:val="clear" w:color="auto" w:fill="auto"/>
            <w:noWrap/>
          </w:tcPr>
          <w:p w14:paraId="26EFC395" w14:textId="77777777" w:rsidR="00FA66F5" w:rsidRPr="006B162E" w:rsidRDefault="00FA66F5" w:rsidP="00A1791E">
            <w:pPr>
              <w:rPr>
                <w:i/>
                <w:iCs/>
                <w:sz w:val="20"/>
                <w:szCs w:val="20"/>
                <w:lang w:val="pt-BR" w:eastAsia="pt-BR"/>
              </w:rPr>
            </w:pPr>
            <w:r w:rsidRPr="006B162E">
              <w:rPr>
                <w:i/>
                <w:iCs/>
                <w:sz w:val="20"/>
                <w:szCs w:val="20"/>
                <w:lang w:val="pt-BR" w:eastAsia="pt-BR"/>
              </w:rPr>
              <w:t xml:space="preserve">  Sem diagnóstico</w:t>
            </w:r>
          </w:p>
        </w:tc>
        <w:tc>
          <w:tcPr>
            <w:tcW w:w="1004" w:type="pct"/>
            <w:shd w:val="clear" w:color="auto" w:fill="auto"/>
            <w:noWrap/>
          </w:tcPr>
          <w:p w14:paraId="572EF6BB"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i/>
                <w:iCs/>
                <w:sz w:val="20"/>
                <w:szCs w:val="20"/>
                <w:lang w:val="pt-BR" w:eastAsia="pt-BR"/>
              </w:rPr>
            </w:pPr>
            <w:r w:rsidRPr="006B162E">
              <w:rPr>
                <w:i/>
                <w:iCs/>
                <w:sz w:val="20"/>
                <w:szCs w:val="20"/>
                <w:lang w:val="pt-BR" w:eastAsia="pt-BR"/>
              </w:rPr>
              <w:t>-</w:t>
            </w:r>
          </w:p>
        </w:tc>
        <w:tc>
          <w:tcPr>
            <w:tcW w:w="355" w:type="pct"/>
            <w:shd w:val="clear" w:color="auto" w:fill="auto"/>
            <w:noWrap/>
          </w:tcPr>
          <w:p w14:paraId="3FBC4856"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i/>
                <w:iCs/>
                <w:sz w:val="20"/>
                <w:szCs w:val="20"/>
                <w:lang w:val="pt-BR" w:eastAsia="pt-BR"/>
              </w:rPr>
            </w:pPr>
            <w:r w:rsidRPr="006B162E">
              <w:rPr>
                <w:i/>
                <w:iCs/>
                <w:sz w:val="20"/>
                <w:szCs w:val="20"/>
                <w:lang w:val="pt-BR" w:eastAsia="pt-BR"/>
              </w:rPr>
              <w:t>-</w:t>
            </w:r>
          </w:p>
        </w:tc>
        <w:tc>
          <w:tcPr>
            <w:tcW w:w="1259" w:type="pct"/>
            <w:shd w:val="clear" w:color="auto" w:fill="auto"/>
            <w:noWrap/>
          </w:tcPr>
          <w:p w14:paraId="352FF45E"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i/>
                <w:iCs/>
                <w:sz w:val="20"/>
                <w:szCs w:val="20"/>
                <w:lang w:val="pt-BR" w:eastAsia="pt-BR"/>
              </w:rPr>
            </w:pPr>
            <w:r w:rsidRPr="006B162E">
              <w:rPr>
                <w:i/>
                <w:iCs/>
                <w:sz w:val="20"/>
                <w:szCs w:val="20"/>
                <w:lang w:val="pt-BR" w:eastAsia="pt-BR"/>
              </w:rPr>
              <w:t>-</w:t>
            </w:r>
          </w:p>
        </w:tc>
        <w:tc>
          <w:tcPr>
            <w:tcW w:w="385" w:type="pct"/>
            <w:shd w:val="clear" w:color="auto" w:fill="auto"/>
            <w:noWrap/>
          </w:tcPr>
          <w:p w14:paraId="0BBE8DEC"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i/>
                <w:iCs/>
                <w:sz w:val="20"/>
                <w:szCs w:val="20"/>
                <w:lang w:val="pt-BR" w:eastAsia="pt-BR"/>
              </w:rPr>
            </w:pPr>
            <w:r w:rsidRPr="006B162E">
              <w:rPr>
                <w:i/>
                <w:iCs/>
                <w:sz w:val="20"/>
                <w:szCs w:val="20"/>
                <w:lang w:val="pt-BR" w:eastAsia="pt-BR"/>
              </w:rPr>
              <w:t>-</w:t>
            </w:r>
          </w:p>
        </w:tc>
      </w:tr>
      <w:tr w:rsidR="00FA66F5" w:rsidRPr="006B162E" w14:paraId="63C7C464" w14:textId="77777777" w:rsidTr="00A1791E">
        <w:trPr>
          <w:trHeight w:val="300"/>
        </w:trPr>
        <w:tc>
          <w:tcPr>
            <w:cnfStyle w:val="001000000000" w:firstRow="0" w:lastRow="0" w:firstColumn="1" w:lastColumn="0" w:oddVBand="0" w:evenVBand="0" w:oddHBand="0" w:evenHBand="0" w:firstRowFirstColumn="0" w:firstRowLastColumn="0" w:lastRowFirstColumn="0" w:lastRowLastColumn="0"/>
            <w:tcW w:w="1996" w:type="pct"/>
            <w:shd w:val="clear" w:color="auto" w:fill="auto"/>
            <w:noWrap/>
          </w:tcPr>
          <w:p w14:paraId="38340660" w14:textId="77777777" w:rsidR="00FA66F5" w:rsidRPr="006B162E" w:rsidRDefault="00FA66F5" w:rsidP="00A1791E">
            <w:pPr>
              <w:rPr>
                <w:sz w:val="20"/>
                <w:szCs w:val="20"/>
                <w:lang w:val="pt-BR" w:eastAsia="pt-BR"/>
              </w:rPr>
            </w:pPr>
            <w:r w:rsidRPr="006B162E">
              <w:rPr>
                <w:sz w:val="20"/>
                <w:szCs w:val="20"/>
                <w:lang w:val="pt-BR" w:eastAsia="pt-BR"/>
              </w:rPr>
              <w:lastRenderedPageBreak/>
              <w:t xml:space="preserve">  Um diagnóstico</w:t>
            </w:r>
          </w:p>
        </w:tc>
        <w:tc>
          <w:tcPr>
            <w:tcW w:w="1004" w:type="pct"/>
            <w:shd w:val="clear" w:color="auto" w:fill="auto"/>
            <w:noWrap/>
          </w:tcPr>
          <w:p w14:paraId="3EE5671E"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6B162E">
              <w:rPr>
                <w:sz w:val="20"/>
                <w:szCs w:val="20"/>
                <w:lang w:val="pt-BR" w:eastAsia="pt-BR"/>
              </w:rPr>
              <w:t>-0,47 (0,59)</w:t>
            </w:r>
          </w:p>
        </w:tc>
        <w:tc>
          <w:tcPr>
            <w:tcW w:w="355" w:type="pct"/>
            <w:shd w:val="clear" w:color="auto" w:fill="auto"/>
            <w:noWrap/>
          </w:tcPr>
          <w:p w14:paraId="01B1C65D"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6B162E">
              <w:rPr>
                <w:sz w:val="20"/>
                <w:szCs w:val="20"/>
                <w:lang w:val="pt-BR" w:eastAsia="pt-BR"/>
              </w:rPr>
              <w:t>4,98</w:t>
            </w:r>
          </w:p>
        </w:tc>
        <w:tc>
          <w:tcPr>
            <w:tcW w:w="1259" w:type="pct"/>
            <w:shd w:val="clear" w:color="auto" w:fill="auto"/>
            <w:noWrap/>
          </w:tcPr>
          <w:p w14:paraId="1C1396CF"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6B162E">
              <w:rPr>
                <w:sz w:val="20"/>
                <w:szCs w:val="20"/>
                <w:lang w:val="pt-BR" w:eastAsia="pt-BR"/>
              </w:rPr>
              <w:t>11,89 (0,82)***</w:t>
            </w:r>
          </w:p>
        </w:tc>
        <w:tc>
          <w:tcPr>
            <w:tcW w:w="385" w:type="pct"/>
            <w:shd w:val="clear" w:color="auto" w:fill="auto"/>
            <w:noWrap/>
          </w:tcPr>
          <w:p w14:paraId="368D3F72"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6B162E">
              <w:rPr>
                <w:sz w:val="20"/>
                <w:szCs w:val="20"/>
                <w:lang w:val="pt-BR" w:eastAsia="pt-BR"/>
              </w:rPr>
              <w:t>4,63</w:t>
            </w:r>
          </w:p>
        </w:tc>
      </w:tr>
      <w:tr w:rsidR="00FA66F5" w:rsidRPr="006B162E" w14:paraId="19628074" w14:textId="77777777" w:rsidTr="00A179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6" w:type="pct"/>
            <w:shd w:val="clear" w:color="auto" w:fill="auto"/>
            <w:noWrap/>
          </w:tcPr>
          <w:p w14:paraId="01C61137" w14:textId="77777777" w:rsidR="00FA66F5" w:rsidRPr="006B162E" w:rsidRDefault="00FA66F5" w:rsidP="00A1791E">
            <w:pPr>
              <w:rPr>
                <w:sz w:val="20"/>
                <w:szCs w:val="20"/>
                <w:lang w:val="pt-BR" w:eastAsia="pt-BR"/>
              </w:rPr>
            </w:pPr>
            <w:r w:rsidRPr="006B162E">
              <w:rPr>
                <w:b/>
                <w:bCs/>
                <w:sz w:val="20"/>
                <w:szCs w:val="20"/>
                <w:lang w:val="pt-BR" w:eastAsia="pt-BR"/>
              </w:rPr>
              <w:t xml:space="preserve">  </w:t>
            </w:r>
            <w:r w:rsidRPr="006B162E">
              <w:rPr>
                <w:sz w:val="20"/>
                <w:szCs w:val="20"/>
                <w:lang w:val="pt-BR" w:eastAsia="pt-BR"/>
              </w:rPr>
              <w:t>Múltiplos diagnósticos</w:t>
            </w:r>
          </w:p>
        </w:tc>
        <w:tc>
          <w:tcPr>
            <w:tcW w:w="1004" w:type="pct"/>
            <w:shd w:val="clear" w:color="auto" w:fill="auto"/>
            <w:noWrap/>
          </w:tcPr>
          <w:p w14:paraId="268F1923"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r w:rsidRPr="006B162E">
              <w:rPr>
                <w:sz w:val="20"/>
                <w:szCs w:val="20"/>
                <w:lang w:val="pt-BR" w:eastAsia="pt-BR"/>
              </w:rPr>
              <w:t>0,23 (0,61)</w:t>
            </w:r>
          </w:p>
        </w:tc>
        <w:tc>
          <w:tcPr>
            <w:tcW w:w="355" w:type="pct"/>
            <w:shd w:val="clear" w:color="auto" w:fill="auto"/>
            <w:noWrap/>
          </w:tcPr>
          <w:p w14:paraId="5AC4295C"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r w:rsidRPr="006B162E">
              <w:rPr>
                <w:sz w:val="20"/>
                <w:szCs w:val="20"/>
                <w:lang w:val="pt-BR" w:eastAsia="pt-BR"/>
              </w:rPr>
              <w:t>1,26</w:t>
            </w:r>
          </w:p>
        </w:tc>
        <w:tc>
          <w:tcPr>
            <w:tcW w:w="1259" w:type="pct"/>
            <w:shd w:val="clear" w:color="auto" w:fill="auto"/>
            <w:noWrap/>
          </w:tcPr>
          <w:p w14:paraId="32739081"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r w:rsidRPr="006B162E">
              <w:rPr>
                <w:sz w:val="20"/>
                <w:szCs w:val="20"/>
                <w:lang w:val="pt-BR" w:eastAsia="pt-BR"/>
              </w:rPr>
              <w:t>12,11 (0,91)***</w:t>
            </w:r>
          </w:p>
        </w:tc>
        <w:tc>
          <w:tcPr>
            <w:tcW w:w="385" w:type="pct"/>
            <w:shd w:val="clear" w:color="auto" w:fill="auto"/>
            <w:noWrap/>
          </w:tcPr>
          <w:p w14:paraId="167B75CA"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r w:rsidRPr="006B162E">
              <w:rPr>
                <w:sz w:val="20"/>
                <w:szCs w:val="20"/>
                <w:lang w:val="pt-BR" w:eastAsia="pt-BR"/>
              </w:rPr>
              <w:t>5,78</w:t>
            </w:r>
          </w:p>
        </w:tc>
      </w:tr>
      <w:tr w:rsidR="00FA66F5" w:rsidRPr="006B162E" w14:paraId="1B2E0C87" w14:textId="77777777" w:rsidTr="00A1791E">
        <w:trPr>
          <w:trHeight w:val="300"/>
        </w:trPr>
        <w:tc>
          <w:tcPr>
            <w:cnfStyle w:val="001000000000" w:firstRow="0" w:lastRow="0" w:firstColumn="1" w:lastColumn="0" w:oddVBand="0" w:evenVBand="0" w:oddHBand="0" w:evenHBand="0" w:firstRowFirstColumn="0" w:firstRowLastColumn="0" w:lastRowFirstColumn="0" w:lastRowLastColumn="0"/>
            <w:tcW w:w="1996" w:type="pct"/>
            <w:shd w:val="clear" w:color="auto" w:fill="auto"/>
            <w:noWrap/>
          </w:tcPr>
          <w:p w14:paraId="72E6B336" w14:textId="77777777" w:rsidR="00FA66F5" w:rsidRPr="006B162E" w:rsidRDefault="00FA66F5" w:rsidP="00A1791E">
            <w:pPr>
              <w:rPr>
                <w:b/>
                <w:bCs/>
                <w:sz w:val="20"/>
                <w:szCs w:val="20"/>
                <w:lang w:val="pt-BR" w:eastAsia="pt-BR"/>
              </w:rPr>
            </w:pPr>
            <w:r w:rsidRPr="006B162E">
              <w:rPr>
                <w:b/>
                <w:bCs/>
                <w:sz w:val="20"/>
                <w:szCs w:val="20"/>
                <w:lang w:val="pt-BR" w:eastAsia="pt-BR"/>
              </w:rPr>
              <w:t>Doenças Crônicas</w:t>
            </w:r>
          </w:p>
        </w:tc>
        <w:tc>
          <w:tcPr>
            <w:tcW w:w="1004" w:type="pct"/>
            <w:shd w:val="clear" w:color="auto" w:fill="auto"/>
            <w:noWrap/>
          </w:tcPr>
          <w:p w14:paraId="17760CFD"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p>
        </w:tc>
        <w:tc>
          <w:tcPr>
            <w:tcW w:w="355" w:type="pct"/>
            <w:shd w:val="clear" w:color="auto" w:fill="auto"/>
            <w:noWrap/>
          </w:tcPr>
          <w:p w14:paraId="26DD0ED1"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p>
        </w:tc>
        <w:tc>
          <w:tcPr>
            <w:tcW w:w="1259" w:type="pct"/>
            <w:shd w:val="clear" w:color="auto" w:fill="auto"/>
            <w:noWrap/>
          </w:tcPr>
          <w:p w14:paraId="098E37A7"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p>
        </w:tc>
        <w:tc>
          <w:tcPr>
            <w:tcW w:w="385" w:type="pct"/>
            <w:shd w:val="clear" w:color="auto" w:fill="auto"/>
            <w:noWrap/>
          </w:tcPr>
          <w:p w14:paraId="2FF9BF56"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p>
        </w:tc>
      </w:tr>
      <w:tr w:rsidR="00FA66F5" w:rsidRPr="006B162E" w14:paraId="382C11BA" w14:textId="77777777" w:rsidTr="00A179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6" w:type="pct"/>
            <w:shd w:val="clear" w:color="auto" w:fill="auto"/>
            <w:noWrap/>
          </w:tcPr>
          <w:p w14:paraId="50A3590E" w14:textId="77777777" w:rsidR="00FA66F5" w:rsidRPr="006B162E" w:rsidRDefault="00FA66F5" w:rsidP="00A1791E">
            <w:pPr>
              <w:rPr>
                <w:i/>
                <w:iCs/>
                <w:sz w:val="20"/>
                <w:szCs w:val="20"/>
                <w:lang w:val="pt-BR" w:eastAsia="pt-BR"/>
              </w:rPr>
            </w:pPr>
            <w:r w:rsidRPr="006B162E">
              <w:rPr>
                <w:i/>
                <w:iCs/>
                <w:sz w:val="20"/>
                <w:szCs w:val="20"/>
                <w:lang w:val="pt-BR" w:eastAsia="pt-BR"/>
              </w:rPr>
              <w:t xml:space="preserve">  Sem doenças crônicas</w:t>
            </w:r>
          </w:p>
        </w:tc>
        <w:tc>
          <w:tcPr>
            <w:tcW w:w="1004" w:type="pct"/>
            <w:shd w:val="clear" w:color="auto" w:fill="auto"/>
            <w:noWrap/>
          </w:tcPr>
          <w:p w14:paraId="259C48E7"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i/>
                <w:iCs/>
                <w:sz w:val="20"/>
                <w:szCs w:val="20"/>
                <w:lang w:val="pt-BR" w:eastAsia="pt-BR"/>
              </w:rPr>
            </w:pPr>
            <w:r w:rsidRPr="006B162E">
              <w:rPr>
                <w:i/>
                <w:iCs/>
                <w:sz w:val="20"/>
                <w:szCs w:val="20"/>
                <w:lang w:val="pt-BR" w:eastAsia="pt-BR"/>
              </w:rPr>
              <w:t>-</w:t>
            </w:r>
          </w:p>
        </w:tc>
        <w:tc>
          <w:tcPr>
            <w:tcW w:w="355" w:type="pct"/>
            <w:shd w:val="clear" w:color="auto" w:fill="auto"/>
            <w:noWrap/>
          </w:tcPr>
          <w:p w14:paraId="77A57F16"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i/>
                <w:iCs/>
                <w:sz w:val="20"/>
                <w:szCs w:val="20"/>
                <w:lang w:val="pt-BR" w:eastAsia="pt-BR"/>
              </w:rPr>
            </w:pPr>
            <w:r w:rsidRPr="006B162E">
              <w:rPr>
                <w:i/>
                <w:iCs/>
                <w:sz w:val="20"/>
                <w:szCs w:val="20"/>
                <w:lang w:val="pt-BR" w:eastAsia="pt-BR"/>
              </w:rPr>
              <w:t>-</w:t>
            </w:r>
          </w:p>
        </w:tc>
        <w:tc>
          <w:tcPr>
            <w:tcW w:w="1259" w:type="pct"/>
            <w:shd w:val="clear" w:color="auto" w:fill="auto"/>
            <w:noWrap/>
          </w:tcPr>
          <w:p w14:paraId="23095F89"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i/>
                <w:iCs/>
                <w:sz w:val="20"/>
                <w:szCs w:val="20"/>
                <w:lang w:val="pt-BR" w:eastAsia="pt-BR"/>
              </w:rPr>
            </w:pPr>
            <w:r w:rsidRPr="006B162E">
              <w:rPr>
                <w:i/>
                <w:iCs/>
                <w:sz w:val="20"/>
                <w:szCs w:val="20"/>
                <w:lang w:val="pt-BR" w:eastAsia="pt-BR"/>
              </w:rPr>
              <w:t>-</w:t>
            </w:r>
          </w:p>
        </w:tc>
        <w:tc>
          <w:tcPr>
            <w:tcW w:w="385" w:type="pct"/>
            <w:shd w:val="clear" w:color="auto" w:fill="auto"/>
            <w:noWrap/>
          </w:tcPr>
          <w:p w14:paraId="39A2DE04"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i/>
                <w:iCs/>
                <w:sz w:val="20"/>
                <w:szCs w:val="20"/>
                <w:lang w:val="pt-BR" w:eastAsia="pt-BR"/>
              </w:rPr>
            </w:pPr>
            <w:r w:rsidRPr="006B162E">
              <w:rPr>
                <w:i/>
                <w:iCs/>
                <w:sz w:val="20"/>
                <w:szCs w:val="20"/>
                <w:lang w:val="pt-BR" w:eastAsia="pt-BR"/>
              </w:rPr>
              <w:t>-</w:t>
            </w:r>
          </w:p>
        </w:tc>
      </w:tr>
      <w:tr w:rsidR="00FA66F5" w:rsidRPr="006B162E" w14:paraId="557B60C9" w14:textId="77777777" w:rsidTr="00A1791E">
        <w:trPr>
          <w:trHeight w:val="300"/>
        </w:trPr>
        <w:tc>
          <w:tcPr>
            <w:cnfStyle w:val="001000000000" w:firstRow="0" w:lastRow="0" w:firstColumn="1" w:lastColumn="0" w:oddVBand="0" w:evenVBand="0" w:oddHBand="0" w:evenHBand="0" w:firstRowFirstColumn="0" w:firstRowLastColumn="0" w:lastRowFirstColumn="0" w:lastRowLastColumn="0"/>
            <w:tcW w:w="1996" w:type="pct"/>
            <w:shd w:val="clear" w:color="auto" w:fill="auto"/>
            <w:noWrap/>
          </w:tcPr>
          <w:p w14:paraId="0DB0D0FC" w14:textId="77777777" w:rsidR="00FA66F5" w:rsidRPr="006B162E" w:rsidRDefault="00FA66F5" w:rsidP="00A1791E">
            <w:pPr>
              <w:rPr>
                <w:sz w:val="20"/>
                <w:szCs w:val="20"/>
                <w:lang w:val="pt-BR" w:eastAsia="pt-BR"/>
              </w:rPr>
            </w:pPr>
            <w:r w:rsidRPr="006B162E">
              <w:rPr>
                <w:sz w:val="20"/>
                <w:szCs w:val="20"/>
                <w:lang w:val="pt-BR" w:eastAsia="pt-BR"/>
              </w:rPr>
              <w:t xml:space="preserve">  Uma doença crônica</w:t>
            </w:r>
          </w:p>
        </w:tc>
        <w:tc>
          <w:tcPr>
            <w:tcW w:w="1004" w:type="pct"/>
            <w:shd w:val="clear" w:color="auto" w:fill="auto"/>
            <w:noWrap/>
          </w:tcPr>
          <w:p w14:paraId="534E00CD"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6B162E">
              <w:rPr>
                <w:sz w:val="20"/>
                <w:szCs w:val="20"/>
                <w:lang w:val="pt-BR" w:eastAsia="pt-BR"/>
              </w:rPr>
              <w:t>-0,00 (0,51)</w:t>
            </w:r>
          </w:p>
        </w:tc>
        <w:tc>
          <w:tcPr>
            <w:tcW w:w="355" w:type="pct"/>
            <w:shd w:val="clear" w:color="auto" w:fill="auto"/>
            <w:noWrap/>
          </w:tcPr>
          <w:p w14:paraId="7281AD95"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6B162E">
              <w:rPr>
                <w:sz w:val="20"/>
                <w:szCs w:val="20"/>
                <w:lang w:val="pt-BR" w:eastAsia="pt-BR"/>
              </w:rPr>
              <w:t>0,99</w:t>
            </w:r>
          </w:p>
        </w:tc>
        <w:tc>
          <w:tcPr>
            <w:tcW w:w="1259" w:type="pct"/>
            <w:shd w:val="clear" w:color="auto" w:fill="auto"/>
            <w:noWrap/>
          </w:tcPr>
          <w:p w14:paraId="73ED29A8"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6B162E">
              <w:rPr>
                <w:sz w:val="20"/>
                <w:szCs w:val="20"/>
                <w:lang w:val="pt-BR" w:eastAsia="pt-BR"/>
              </w:rPr>
              <w:t>-1,17 (1,15)</w:t>
            </w:r>
          </w:p>
        </w:tc>
        <w:tc>
          <w:tcPr>
            <w:tcW w:w="385" w:type="pct"/>
            <w:shd w:val="clear" w:color="auto" w:fill="auto"/>
            <w:noWrap/>
          </w:tcPr>
          <w:p w14:paraId="6C640E09" w14:textId="77777777" w:rsidR="00FA66F5" w:rsidRPr="006B162E" w:rsidRDefault="00FA66F5" w:rsidP="00A1791E">
            <w:pPr>
              <w:jc w:val="center"/>
              <w:cnfStyle w:val="000000000000" w:firstRow="0" w:lastRow="0" w:firstColumn="0" w:lastColumn="0" w:oddVBand="0" w:evenVBand="0" w:oddHBand="0" w:evenHBand="0" w:firstRowFirstColumn="0" w:firstRowLastColumn="0" w:lastRowFirstColumn="0" w:lastRowLastColumn="0"/>
              <w:rPr>
                <w:sz w:val="20"/>
                <w:szCs w:val="20"/>
                <w:lang w:val="pt-BR" w:eastAsia="pt-BR"/>
              </w:rPr>
            </w:pPr>
            <w:r w:rsidRPr="006B162E">
              <w:rPr>
                <w:sz w:val="20"/>
                <w:szCs w:val="20"/>
                <w:lang w:val="pt-BR" w:eastAsia="pt-BR"/>
              </w:rPr>
              <w:t>0,31</w:t>
            </w:r>
          </w:p>
        </w:tc>
      </w:tr>
      <w:tr w:rsidR="00FA66F5" w:rsidRPr="006B162E" w14:paraId="386C001A" w14:textId="77777777" w:rsidTr="00A1791E">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96" w:type="pct"/>
            <w:shd w:val="clear" w:color="auto" w:fill="auto"/>
            <w:noWrap/>
          </w:tcPr>
          <w:p w14:paraId="793CE00C" w14:textId="77777777" w:rsidR="00FA66F5" w:rsidRPr="006B162E" w:rsidRDefault="00FA66F5" w:rsidP="00A1791E">
            <w:pPr>
              <w:rPr>
                <w:i/>
                <w:iCs/>
                <w:sz w:val="20"/>
                <w:szCs w:val="20"/>
                <w:lang w:val="pt-BR" w:eastAsia="pt-BR"/>
              </w:rPr>
            </w:pPr>
            <w:r w:rsidRPr="006B162E">
              <w:rPr>
                <w:sz w:val="20"/>
                <w:szCs w:val="20"/>
                <w:lang w:val="pt-BR" w:eastAsia="pt-BR"/>
              </w:rPr>
              <w:t xml:space="preserve">  Múltiplas doenças crônicas</w:t>
            </w:r>
          </w:p>
        </w:tc>
        <w:tc>
          <w:tcPr>
            <w:tcW w:w="1004" w:type="pct"/>
            <w:shd w:val="clear" w:color="auto" w:fill="auto"/>
            <w:noWrap/>
          </w:tcPr>
          <w:p w14:paraId="2F6C352E"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r w:rsidRPr="006B162E">
              <w:rPr>
                <w:sz w:val="20"/>
                <w:szCs w:val="20"/>
                <w:lang w:val="pt-BR" w:eastAsia="pt-BR"/>
              </w:rPr>
              <w:t>0,21 (0,71)</w:t>
            </w:r>
          </w:p>
        </w:tc>
        <w:tc>
          <w:tcPr>
            <w:tcW w:w="355" w:type="pct"/>
            <w:shd w:val="clear" w:color="auto" w:fill="auto"/>
            <w:noWrap/>
          </w:tcPr>
          <w:p w14:paraId="6540F343"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r w:rsidRPr="006B162E">
              <w:rPr>
                <w:sz w:val="20"/>
                <w:szCs w:val="20"/>
                <w:lang w:val="pt-BR" w:eastAsia="pt-BR"/>
              </w:rPr>
              <w:t>1,23</w:t>
            </w:r>
          </w:p>
        </w:tc>
        <w:tc>
          <w:tcPr>
            <w:tcW w:w="1259" w:type="pct"/>
            <w:shd w:val="clear" w:color="auto" w:fill="auto"/>
            <w:noWrap/>
          </w:tcPr>
          <w:p w14:paraId="07C12B1C" w14:textId="77777777" w:rsidR="00FA66F5" w:rsidRPr="006B162E" w:rsidRDefault="00FA66F5" w:rsidP="00A1791E">
            <w:pPr>
              <w:jc w:val="center"/>
              <w:cnfStyle w:val="000000010000" w:firstRow="0" w:lastRow="0" w:firstColumn="0" w:lastColumn="0" w:oddVBand="0" w:evenVBand="0" w:oddHBand="0" w:evenHBand="1" w:firstRowFirstColumn="0" w:firstRowLastColumn="0" w:lastRowFirstColumn="0" w:lastRowLastColumn="0"/>
              <w:rPr>
                <w:sz w:val="20"/>
                <w:szCs w:val="20"/>
                <w:lang w:val="pt-BR" w:eastAsia="pt-BR"/>
              </w:rPr>
            </w:pPr>
            <w:r w:rsidRPr="006B162E">
              <w:rPr>
                <w:sz w:val="20"/>
                <w:szCs w:val="20"/>
                <w:lang w:val="pt-BR" w:eastAsia="pt-BR"/>
              </w:rPr>
              <w:t>-0,58 (1,39)</w:t>
            </w:r>
          </w:p>
        </w:tc>
        <w:tc>
          <w:tcPr>
            <w:tcW w:w="385" w:type="pct"/>
            <w:shd w:val="clear" w:color="auto" w:fill="auto"/>
            <w:noWrap/>
          </w:tcPr>
          <w:p w14:paraId="189F7584" w14:textId="77777777" w:rsidR="00FA66F5" w:rsidRPr="006B162E" w:rsidRDefault="00FA66F5" w:rsidP="00A1791E">
            <w:pPr>
              <w:cnfStyle w:val="000000010000" w:firstRow="0" w:lastRow="0" w:firstColumn="0" w:lastColumn="0" w:oddVBand="0" w:evenVBand="0" w:oddHBand="0" w:evenHBand="1" w:firstRowFirstColumn="0" w:firstRowLastColumn="0" w:lastRowFirstColumn="0" w:lastRowLastColumn="0"/>
              <w:rPr>
                <w:sz w:val="20"/>
                <w:szCs w:val="20"/>
                <w:lang w:val="pt-BR" w:eastAsia="pt-BR"/>
              </w:rPr>
            </w:pPr>
            <w:r w:rsidRPr="006B162E">
              <w:rPr>
                <w:sz w:val="20"/>
                <w:szCs w:val="20"/>
                <w:lang w:val="pt-BR" w:eastAsia="pt-BR"/>
              </w:rPr>
              <w:t>0,56</w:t>
            </w:r>
          </w:p>
        </w:tc>
      </w:tr>
    </w:tbl>
    <w:p w14:paraId="6BE41215" w14:textId="0564E7A6" w:rsidR="00FA66F5" w:rsidRPr="00FA66F5" w:rsidRDefault="00FA66F5" w:rsidP="00FA66F5">
      <w:pPr>
        <w:pStyle w:val="Legenda"/>
        <w:spacing w:line="360" w:lineRule="auto"/>
        <w:ind w:firstLine="0"/>
        <w:rPr>
          <w:color w:val="auto"/>
          <w:sz w:val="20"/>
          <w:szCs w:val="20"/>
        </w:rPr>
      </w:pPr>
      <w:r w:rsidRPr="006B162E">
        <w:rPr>
          <w:color w:val="auto"/>
          <w:sz w:val="20"/>
          <w:szCs w:val="20"/>
        </w:rPr>
        <w:t xml:space="preserve">Nota: OR – </w:t>
      </w:r>
      <w:proofErr w:type="spellStart"/>
      <w:r w:rsidRPr="006B162E">
        <w:rPr>
          <w:color w:val="auto"/>
          <w:sz w:val="20"/>
          <w:szCs w:val="20"/>
        </w:rPr>
        <w:t>Odds</w:t>
      </w:r>
      <w:proofErr w:type="spellEnd"/>
      <w:r w:rsidRPr="006B162E">
        <w:rPr>
          <w:color w:val="auto"/>
          <w:sz w:val="20"/>
          <w:szCs w:val="20"/>
        </w:rPr>
        <w:t xml:space="preserve"> </w:t>
      </w:r>
      <w:proofErr w:type="spellStart"/>
      <w:r w:rsidRPr="006B162E">
        <w:rPr>
          <w:color w:val="auto"/>
          <w:sz w:val="20"/>
          <w:szCs w:val="20"/>
        </w:rPr>
        <w:t>Ratio</w:t>
      </w:r>
      <w:proofErr w:type="spellEnd"/>
      <w:r w:rsidRPr="006B162E">
        <w:rPr>
          <w:color w:val="auto"/>
          <w:sz w:val="20"/>
          <w:szCs w:val="20"/>
        </w:rPr>
        <w:t xml:space="preserve">; </w:t>
      </w:r>
      <w:proofErr w:type="spellStart"/>
      <w:r w:rsidRPr="006B162E">
        <w:rPr>
          <w:color w:val="auto"/>
          <w:sz w:val="20"/>
          <w:szCs w:val="20"/>
        </w:rPr>
        <w:t>Coef</w:t>
      </w:r>
      <w:proofErr w:type="spellEnd"/>
      <w:r w:rsidRPr="006B162E">
        <w:rPr>
          <w:color w:val="auto"/>
          <w:sz w:val="20"/>
          <w:szCs w:val="20"/>
        </w:rPr>
        <w:t xml:space="preserve">. – </w:t>
      </w:r>
      <w:proofErr w:type="gramStart"/>
      <w:r w:rsidRPr="006B162E">
        <w:rPr>
          <w:color w:val="auto"/>
          <w:sz w:val="20"/>
          <w:szCs w:val="20"/>
        </w:rPr>
        <w:t>coeficiente</w:t>
      </w:r>
      <w:proofErr w:type="gramEnd"/>
      <w:r w:rsidRPr="006B162E">
        <w:rPr>
          <w:color w:val="auto"/>
          <w:sz w:val="20"/>
          <w:szCs w:val="20"/>
        </w:rPr>
        <w:t xml:space="preserve"> de regressão; S.E. – erro padrão da regressão; * p &lt; 0,05; ** p &lt; 0,01; *** p &lt; 0,0001; em itálico estão destacadas as categorias de referência para a análise.</w:t>
      </w:r>
    </w:p>
    <w:p w14:paraId="37265434" w14:textId="77777777" w:rsidR="00EF0BCF" w:rsidRPr="002E707A" w:rsidRDefault="00EF0BCF" w:rsidP="00EF0BCF">
      <w:pPr>
        <w:shd w:val="clear" w:color="auto" w:fill="FFFFFF"/>
        <w:spacing w:line="360" w:lineRule="auto"/>
        <w:jc w:val="center"/>
        <w:rPr>
          <w:b/>
          <w:lang w:val="pt-BR"/>
        </w:rPr>
      </w:pPr>
      <w:r w:rsidRPr="002E707A">
        <w:rPr>
          <w:b/>
          <w:lang w:val="pt-BR"/>
        </w:rPr>
        <w:t xml:space="preserve">Discussão </w:t>
      </w:r>
    </w:p>
    <w:p w14:paraId="7C4FA2B5" w14:textId="2F95BDAF" w:rsidR="00535243" w:rsidRPr="006B162E" w:rsidRDefault="00EF0BCF" w:rsidP="00FA66F5">
      <w:pPr>
        <w:shd w:val="clear" w:color="auto" w:fill="FFFFFF"/>
        <w:spacing w:line="360" w:lineRule="auto"/>
        <w:ind w:firstLine="700"/>
        <w:jc w:val="both"/>
        <w:rPr>
          <w:lang w:val="pt-BR"/>
        </w:rPr>
      </w:pPr>
      <w:r w:rsidRPr="002E707A">
        <w:rPr>
          <w:lang w:val="pt-BR"/>
        </w:rPr>
        <w:t>O propósito deste estudo foi compreender os diferentes perfis de uso de Cannabis e seus determinantes</w:t>
      </w:r>
      <w:r w:rsidR="00085881">
        <w:rPr>
          <w:lang w:val="pt-BR"/>
        </w:rPr>
        <w:t xml:space="preserve"> </w:t>
      </w:r>
      <w:r w:rsidRPr="002E707A">
        <w:rPr>
          <w:lang w:val="pt-BR"/>
        </w:rPr>
        <w:t xml:space="preserve">sociodemográficos em uma amostra da população brasileira. Utilizou-se, inicialmente, a Análise de Classes Latentes (LCA) para a identificação das classes caracterizadas pelos diferentes padrões de uso. No conhecimento dos autores, esse foi o primeiro estudo que avaliou os padrões de uso de Cannabis e seus determinantes a partir de uma análise centrada no indivíduo, como a LCA, com uma amostra de brasileiros. Essa escolha assume que a possibilidade de que amostra tenha sido extraída de uma população heterogênea no que tange aos hábitos de uso, analisando, portanto, a relação entre os participantes e a </w:t>
      </w:r>
      <w:proofErr w:type="spellStart"/>
      <w:r w:rsidRPr="002E707A">
        <w:rPr>
          <w:lang w:val="pt-BR"/>
        </w:rPr>
        <w:t>coocorrência</w:t>
      </w:r>
      <w:proofErr w:type="spellEnd"/>
      <w:r w:rsidRPr="002E707A">
        <w:rPr>
          <w:lang w:val="pt-BR"/>
        </w:rPr>
        <w:t xml:space="preserve"> de suas características na compreensão de seus agrupamentos, ao passo que as análises tradicionais avaliam a relação entre as variáveis (</w:t>
      </w:r>
      <w:proofErr w:type="spellStart"/>
      <w:r w:rsidRPr="002E707A">
        <w:rPr>
          <w:lang w:val="pt-BR"/>
        </w:rPr>
        <w:t>Cloutier</w:t>
      </w:r>
      <w:proofErr w:type="spellEnd"/>
      <w:r w:rsidRPr="002E707A">
        <w:rPr>
          <w:i/>
          <w:lang w:val="pt-BR"/>
        </w:rPr>
        <w:t xml:space="preserve"> et al.</w:t>
      </w:r>
      <w:r w:rsidRPr="002E707A">
        <w:rPr>
          <w:lang w:val="pt-BR"/>
        </w:rPr>
        <w:t xml:space="preserve">, 2019). Desse modo, permite-se uma avaliação mais compreensiva dos padrões de consumo. </w:t>
      </w:r>
    </w:p>
    <w:p w14:paraId="594C586D" w14:textId="77777777" w:rsidR="007A1428" w:rsidRPr="002E707A" w:rsidRDefault="007A1428" w:rsidP="007A1428">
      <w:pPr>
        <w:shd w:val="clear" w:color="auto" w:fill="FFFFFF"/>
        <w:spacing w:line="360" w:lineRule="auto"/>
        <w:ind w:firstLine="700"/>
        <w:jc w:val="both"/>
        <w:rPr>
          <w:lang w:val="pt-BR"/>
        </w:rPr>
      </w:pPr>
      <w:r w:rsidRPr="002E707A">
        <w:rPr>
          <w:lang w:val="pt-BR"/>
        </w:rPr>
        <w:t>Os resultados da LCA revelaram que os participantes podem ser agrupados em três classes, refletindo a realidade brasileira. Nota-se que duas dessas classes foram compostas por usuários que consomem Cannabis de forma fumada. Embora não existam dados específicos sobre os métodos de consumo no Brasil, o uso fumado é historicamente o mais comum, devido à maneira como a maconha foi introduzida no país, com forte influência cultural dos africanos escravizados sobre as camadas populares desde a colonização (De Pinho, 2015). Assim, é esperado que o uso fumado permaneça predominante atualmente.</w:t>
      </w:r>
    </w:p>
    <w:p w14:paraId="60E94388" w14:textId="52078C11" w:rsidR="007A1428" w:rsidRPr="002E707A" w:rsidRDefault="007A1428" w:rsidP="007A1428">
      <w:pPr>
        <w:shd w:val="clear" w:color="auto" w:fill="FFFFFF"/>
        <w:spacing w:line="360" w:lineRule="auto"/>
        <w:ind w:firstLine="700"/>
        <w:jc w:val="both"/>
        <w:rPr>
          <w:lang w:val="pt-BR"/>
        </w:rPr>
      </w:pPr>
      <w:r w:rsidRPr="002E707A">
        <w:rPr>
          <w:lang w:val="pt-BR"/>
        </w:rPr>
        <w:t>Por outro lado, o outro perfil identificado se caracteriza pelo consumo, principalmente, por meio de comestíveis/óleos. Essa classe, apesar de ser a menos numerosa, é a mais consistente entre as soluções com diferente número de classes e demonstra um padrão específico de uma parcela reduzida, mas significativa da amostra. Tal padrão está fortemente associado à busca dos efeitos medicinais da Cannabis</w:t>
      </w:r>
      <w:r w:rsidR="00FA66F5">
        <w:rPr>
          <w:lang w:val="pt-BR"/>
        </w:rPr>
        <w:t>,</w:t>
      </w:r>
      <w:r w:rsidRPr="002E707A">
        <w:rPr>
          <w:lang w:val="pt-BR"/>
        </w:rPr>
        <w:t xml:space="preserve"> por uma série de motivos.</w:t>
      </w:r>
    </w:p>
    <w:p w14:paraId="6FD0B4DC" w14:textId="77777777" w:rsidR="007A1428" w:rsidRPr="002E707A" w:rsidRDefault="007A1428" w:rsidP="007A1428">
      <w:pPr>
        <w:shd w:val="clear" w:color="auto" w:fill="FFFFFF"/>
        <w:spacing w:line="360" w:lineRule="auto"/>
        <w:ind w:firstLine="700"/>
        <w:jc w:val="both"/>
        <w:rPr>
          <w:lang w:val="pt-BR"/>
        </w:rPr>
      </w:pPr>
      <w:r w:rsidRPr="002E707A">
        <w:rPr>
          <w:lang w:val="pt-BR"/>
        </w:rPr>
        <w:lastRenderedPageBreak/>
        <w:t>O primeiro é o modo de consumo: ao contrário do uso fumado, a ingestão de canabinóides têm uma absorção mais lenta e efeitos mais duradouros (</w:t>
      </w:r>
      <w:proofErr w:type="spellStart"/>
      <w:r w:rsidRPr="002E707A">
        <w:rPr>
          <w:lang w:val="pt-BR"/>
        </w:rPr>
        <w:t>Schlienz</w:t>
      </w:r>
      <w:proofErr w:type="spellEnd"/>
      <w:r w:rsidRPr="002E707A">
        <w:rPr>
          <w:lang w:val="pt-BR"/>
        </w:rPr>
        <w:t xml:space="preserve"> et al., 2020). Por isso, os tratamentos medicinais frequentemente utilizam produtos ingeríveis, oferecendo ação prolongada sem os riscos da inalação da fumaça (Chaves et al., 2020; Mazza, 2021). Associado a isso, a análise de regressão logística, realizada posteriormente, demonstrou que os participantes com pelo menos </w:t>
      </w:r>
      <w:proofErr w:type="gramStart"/>
      <w:r w:rsidRPr="002E707A">
        <w:rPr>
          <w:lang w:val="pt-BR"/>
        </w:rPr>
        <w:t>um diagnóstico psiquiátrico tinham</w:t>
      </w:r>
      <w:proofErr w:type="gramEnd"/>
      <w:r w:rsidRPr="002E707A">
        <w:rPr>
          <w:lang w:val="pt-BR"/>
        </w:rPr>
        <w:t xml:space="preserve"> significativamente mais chances de pertencer a esse grupo, em comparação aos usuários fumantes, reforçando a associação com o uso medicinal. Detalhes adicionais dessa análise serão discutidos mais adiante.</w:t>
      </w:r>
    </w:p>
    <w:p w14:paraId="34B750D0" w14:textId="77777777" w:rsidR="007A1428" w:rsidRPr="002E707A" w:rsidRDefault="007A1428" w:rsidP="007A1428">
      <w:pPr>
        <w:shd w:val="clear" w:color="auto" w:fill="FFFFFF"/>
        <w:spacing w:line="360" w:lineRule="auto"/>
        <w:ind w:firstLine="700"/>
        <w:jc w:val="both"/>
        <w:rPr>
          <w:lang w:val="pt-BR"/>
        </w:rPr>
      </w:pPr>
      <w:r w:rsidRPr="002E707A">
        <w:rPr>
          <w:lang w:val="pt-BR"/>
        </w:rPr>
        <w:t>Em relação à frequência e dosagem, aspecto relevante quanto à caracterização dos grupos, aqueles que apresentaram uso fumado se diferenciaram, principalmente, pela intensidade de uso. Um grupo usa Cannabis de forma frequente e em doses altas, enquanto o outro usa com menos frequência e em doses menores. Tal diferença pode ser explicada pela cronicidade dos padrões sugeridos.</w:t>
      </w:r>
    </w:p>
    <w:p w14:paraId="77A3FCD2" w14:textId="77777777" w:rsidR="007A1428" w:rsidRPr="002E707A" w:rsidRDefault="007A1428" w:rsidP="007A1428">
      <w:pPr>
        <w:shd w:val="clear" w:color="auto" w:fill="FFFFFF"/>
        <w:spacing w:line="360" w:lineRule="auto"/>
        <w:ind w:firstLine="700"/>
        <w:jc w:val="both"/>
        <w:rPr>
          <w:lang w:val="pt-BR"/>
        </w:rPr>
      </w:pPr>
      <w:r w:rsidRPr="002E707A">
        <w:rPr>
          <w:lang w:val="pt-BR"/>
        </w:rPr>
        <w:t>Uma análise de variância (ANOVA) adicional revelou diferenças significativas na idade de início do uso de Cannabis entre os grupos (F = 15,92, p &lt; 0,001), com o grupo Alto Consumo/Fumada apresentando a menor média entre todos os grupos (M = 17,45), antes dos 18 anos. Na mesma direção, a ANOVA (F = 4,54, p = 0,01) indicou que esse grupo também mantém o padrão de consumo por mais tempo.</w:t>
      </w:r>
    </w:p>
    <w:p w14:paraId="69270C82" w14:textId="77777777" w:rsidR="007A1428" w:rsidRPr="002E707A" w:rsidRDefault="007A1428" w:rsidP="007A1428">
      <w:pPr>
        <w:shd w:val="clear" w:color="auto" w:fill="FFFFFF"/>
        <w:spacing w:line="360" w:lineRule="auto"/>
        <w:ind w:firstLine="700"/>
        <w:jc w:val="both"/>
        <w:rPr>
          <w:lang w:val="pt-BR"/>
        </w:rPr>
      </w:pPr>
      <w:r w:rsidRPr="002E707A">
        <w:rPr>
          <w:lang w:val="pt-BR"/>
        </w:rPr>
        <w:t>Considerando que o consumo de certos canabinóides, em especial o THC, pode gerar tolerância nos usuários (</w:t>
      </w:r>
      <w:proofErr w:type="spellStart"/>
      <w:r w:rsidRPr="002E707A">
        <w:rPr>
          <w:lang w:val="pt-BR"/>
        </w:rPr>
        <w:t>Ibáñez</w:t>
      </w:r>
      <w:proofErr w:type="spellEnd"/>
      <w:r w:rsidRPr="002E707A">
        <w:rPr>
          <w:lang w:val="pt-BR"/>
        </w:rPr>
        <w:t xml:space="preserve">-Jiménez et al., 2023), é possível especular que o uso contínuo tenha levado indivíduos com consumo consistente a aumentarem a quantidade de Cannabis para obter os mesmos efeitos. Esse padrão, em específico, embora comum, parece ser aquele mais associado ao consumo abusivo e às consequências negativas mais frequentes e intensas do uso de Cannabis (Henriques et al., 2020). </w:t>
      </w:r>
    </w:p>
    <w:p w14:paraId="1A17B9C3" w14:textId="77777777" w:rsidR="007A1428" w:rsidRPr="002E707A" w:rsidRDefault="007A1428" w:rsidP="007A1428">
      <w:pPr>
        <w:shd w:val="clear" w:color="auto" w:fill="FFFFFF"/>
        <w:spacing w:line="360" w:lineRule="auto"/>
        <w:ind w:firstLine="700"/>
        <w:jc w:val="both"/>
        <w:rPr>
          <w:lang w:val="pt-BR"/>
        </w:rPr>
      </w:pPr>
      <w:r w:rsidRPr="002E707A">
        <w:rPr>
          <w:lang w:val="pt-BR"/>
        </w:rPr>
        <w:t>Ademais, os resultados sobre o tipo de produto consumido confirmam a predominância do uso de maconha prensada no país (Couto, 2020). Com exceção do grupo Baixo Consumo/Ingeríveis, todos os grupos apontaram a preponderância do uso daquele produto em específico, ainda que, no grupo Baixo Consumo/Fumado, o consumo de variantes de maior qualidade tenha sido mais frequente.</w:t>
      </w:r>
    </w:p>
    <w:p w14:paraId="38BF1B8A" w14:textId="66A60963" w:rsidR="007A1428" w:rsidRPr="002E707A" w:rsidRDefault="007A1428" w:rsidP="007A1428">
      <w:pPr>
        <w:shd w:val="clear" w:color="auto" w:fill="FFFFFF"/>
        <w:spacing w:line="360" w:lineRule="auto"/>
        <w:ind w:firstLine="700"/>
        <w:jc w:val="both"/>
        <w:rPr>
          <w:lang w:val="pt-BR"/>
        </w:rPr>
      </w:pPr>
      <w:r w:rsidRPr="002E707A">
        <w:rPr>
          <w:lang w:val="pt-BR"/>
        </w:rPr>
        <w:t xml:space="preserve">A maconha prensada, fenômeno particular da América do Sul, resulta da compressão mecânica das flores secas de Cannabis para reduzir volume e facilitar o transporte ilegal, imposto </w:t>
      </w:r>
      <w:r w:rsidRPr="002E707A">
        <w:rPr>
          <w:lang w:val="pt-BR"/>
        </w:rPr>
        <w:lastRenderedPageBreak/>
        <w:t>por políticas proibicionistas rigorosas na região (Maxx, 2017). No entanto, sua produção é precária, sem os devidos cuidados de segurança, higiene e acondicionamento (Gonzále</w:t>
      </w:r>
      <w:r w:rsidR="00FD3244">
        <w:rPr>
          <w:lang w:val="pt-BR"/>
        </w:rPr>
        <w:t>z</w:t>
      </w:r>
      <w:r w:rsidRPr="002E707A">
        <w:rPr>
          <w:lang w:val="pt-BR"/>
        </w:rPr>
        <w:t>, 2018). Diante disso, a identificação de diferentes perfis de consumo de prensado deve alertar profissionais de saúde e formuladores de políticas públicas, pois essa variedade pode conter substâncias nocivas, como amônia e patógenos biológicos (Maxx, 2017). Além disso, as políticas de drogas atuais, ineficazes em reduzir o consumo (</w:t>
      </w:r>
      <w:r w:rsidRPr="00653CB4">
        <w:rPr>
          <w:lang w:val="pt-BR"/>
        </w:rPr>
        <w:t>Holanda, 2023</w:t>
      </w:r>
      <w:r w:rsidRPr="002E707A">
        <w:rPr>
          <w:lang w:val="pt-BR"/>
        </w:rPr>
        <w:t>), acabam incentivando a criação de artifícios para atender à demanda, em especial, a partir do mercado ilegal, sem regulamentação ou compromisso com a saúde dos consumidores.</w:t>
      </w:r>
    </w:p>
    <w:p w14:paraId="16905075" w14:textId="2FBF1315" w:rsidR="007A1428" w:rsidRPr="002E707A" w:rsidRDefault="007A1428" w:rsidP="007A1428">
      <w:pPr>
        <w:shd w:val="clear" w:color="auto" w:fill="FFFFFF"/>
        <w:spacing w:line="360" w:lineRule="auto"/>
        <w:ind w:firstLine="700"/>
        <w:jc w:val="both"/>
        <w:rPr>
          <w:lang w:val="pt-BR"/>
        </w:rPr>
      </w:pPr>
      <w:r w:rsidRPr="002E707A">
        <w:rPr>
          <w:lang w:val="pt-BR"/>
        </w:rPr>
        <w:t xml:space="preserve">No que tange aos determinantes sociodemográficos dos padrões de consumo, ao contrário do que foi inicialmente </w:t>
      </w:r>
      <w:proofErr w:type="spellStart"/>
      <w:r w:rsidRPr="002E707A">
        <w:rPr>
          <w:lang w:val="pt-BR"/>
        </w:rPr>
        <w:t>hipotetizado</w:t>
      </w:r>
      <w:proofErr w:type="spellEnd"/>
      <w:r w:rsidRPr="002E707A">
        <w:rPr>
          <w:lang w:val="pt-BR"/>
        </w:rPr>
        <w:t>, variáveis como renda, escolaridade, etnia e presença de doenças crônicas não previram o pertencimento às classes latentes propostas. Apesar da hipótese inicial de que uma maior renda facilitaria o consumo de Cannabis, a renda dos participantes não influenciou significativamente no padrão de consumo. Esses resultados contrastam com a literatura recente, que frequentemente relaciona o status socioeconômico ao uso de Cannabis (</w:t>
      </w:r>
      <w:proofErr w:type="spellStart"/>
      <w:r w:rsidR="00AB4844" w:rsidRPr="002E707A">
        <w:rPr>
          <w:lang w:val="pt-BR"/>
        </w:rPr>
        <w:t>Knaappila</w:t>
      </w:r>
      <w:proofErr w:type="spellEnd"/>
      <w:r w:rsidR="00AB4844" w:rsidRPr="002E707A">
        <w:rPr>
          <w:lang w:val="pt-BR"/>
        </w:rPr>
        <w:t xml:space="preserve"> et al., 2020</w:t>
      </w:r>
      <w:r w:rsidRPr="002E707A">
        <w:rPr>
          <w:lang w:val="pt-BR"/>
        </w:rPr>
        <w:t xml:space="preserve">). Contudo, </w:t>
      </w:r>
      <w:proofErr w:type="spellStart"/>
      <w:r w:rsidRPr="002E707A">
        <w:rPr>
          <w:lang w:val="pt-BR"/>
        </w:rPr>
        <w:t>Gette</w:t>
      </w:r>
      <w:proofErr w:type="spellEnd"/>
      <w:r w:rsidRPr="002E707A">
        <w:rPr>
          <w:lang w:val="pt-BR"/>
        </w:rPr>
        <w:t xml:space="preserve"> et al. (2020) indicam que o status socioeconômico não previu o consumo de maconha em uma amostra de participantes composta por jovens universitários latinos, sugerindo uma normalização cultural. Nesse sentido, pode-se estimar que, no contexto brasileiro, os hábitos de consumo parecem tão integrados à rotina e cultura do grupo avaliado que variações de renda não afetam os padrões de uso, considerando esses produtos como itens essenciais.</w:t>
      </w:r>
    </w:p>
    <w:p w14:paraId="396B4B62" w14:textId="77777777" w:rsidR="007A1428" w:rsidRPr="002E707A" w:rsidRDefault="007A1428" w:rsidP="007A1428">
      <w:pPr>
        <w:shd w:val="clear" w:color="auto" w:fill="FFFFFF"/>
        <w:spacing w:line="360" w:lineRule="auto"/>
        <w:ind w:firstLine="700"/>
        <w:jc w:val="both"/>
        <w:rPr>
          <w:lang w:val="pt-BR"/>
        </w:rPr>
      </w:pPr>
      <w:r w:rsidRPr="002E707A">
        <w:rPr>
          <w:lang w:val="pt-BR"/>
        </w:rPr>
        <w:t xml:space="preserve">Ainda nessa perspectiva, a ausência de escolaridade como preditor significativo dos padrões de consumo pode ser explicada pela relação complexa entre educação e percepção de riscos. Embora a revisão de </w:t>
      </w:r>
      <w:proofErr w:type="spellStart"/>
      <w:r w:rsidRPr="002E707A">
        <w:rPr>
          <w:lang w:val="pt-BR"/>
        </w:rPr>
        <w:t>Siddiqui</w:t>
      </w:r>
      <w:proofErr w:type="spellEnd"/>
      <w:r w:rsidRPr="002E707A">
        <w:rPr>
          <w:lang w:val="pt-BR"/>
        </w:rPr>
        <w:t xml:space="preserve"> et al. (2022) indique que níveis mais altos de escolaridade estão associados a menor consumo de Cannabis devido à maior percepção de riscos, o estudo de </w:t>
      </w:r>
      <w:proofErr w:type="spellStart"/>
      <w:r w:rsidRPr="002E707A">
        <w:rPr>
          <w:lang w:val="pt-BR"/>
        </w:rPr>
        <w:t>Gette</w:t>
      </w:r>
      <w:proofErr w:type="spellEnd"/>
      <w:r w:rsidRPr="002E707A">
        <w:rPr>
          <w:lang w:val="pt-BR"/>
        </w:rPr>
        <w:t xml:space="preserve"> et al. (2020) sugere que o nível de educação formal não garante essa percepção. De fato, enquanto a percepção de riscos está ligada à redução do consumo, a escolaridade não apresentou o mesmo efeito. Isso sugere que o contato com informações sobre os benefícios e a segurança do uso de Cannabis pode levar até mesmo indivíduos com alta escolaridade a adotar atitudes mais positivas em relação à planta (</w:t>
      </w:r>
      <w:proofErr w:type="spellStart"/>
      <w:r w:rsidRPr="002E707A">
        <w:rPr>
          <w:lang w:val="pt-BR"/>
        </w:rPr>
        <w:t>Siddiqui</w:t>
      </w:r>
      <w:proofErr w:type="spellEnd"/>
      <w:r w:rsidRPr="002E707A">
        <w:rPr>
          <w:lang w:val="pt-BR"/>
        </w:rPr>
        <w:t xml:space="preserve"> et al., 2022), possibilitando diferentes padrões de consumo.</w:t>
      </w:r>
    </w:p>
    <w:p w14:paraId="6437AEE3" w14:textId="77777777" w:rsidR="007A1428" w:rsidRPr="002E707A" w:rsidRDefault="007A1428" w:rsidP="007A1428">
      <w:pPr>
        <w:shd w:val="clear" w:color="auto" w:fill="FFFFFF"/>
        <w:spacing w:line="360" w:lineRule="auto"/>
        <w:ind w:firstLine="700"/>
        <w:jc w:val="both"/>
        <w:rPr>
          <w:lang w:val="pt-BR"/>
        </w:rPr>
      </w:pPr>
      <w:r w:rsidRPr="002E707A">
        <w:rPr>
          <w:lang w:val="pt-BR"/>
        </w:rPr>
        <w:t>Em verdade, tais benefícios têm se tornado cada vez mais conhecidos e assimilados pela população, haja vista a ampla divulgação em meios jornalísticos e científicos sobre a temática (</w:t>
      </w:r>
      <w:r w:rsidRPr="00325BAB">
        <w:rPr>
          <w:lang w:val="pt-BR"/>
        </w:rPr>
        <w:t xml:space="preserve">The Gallup </w:t>
      </w:r>
      <w:proofErr w:type="spellStart"/>
      <w:r w:rsidRPr="00325BAB">
        <w:rPr>
          <w:lang w:val="pt-BR"/>
        </w:rPr>
        <w:t>Organization</w:t>
      </w:r>
      <w:proofErr w:type="spellEnd"/>
      <w:r w:rsidRPr="00325BAB">
        <w:rPr>
          <w:lang w:val="pt-BR"/>
        </w:rPr>
        <w:t>, 2021</w:t>
      </w:r>
      <w:r w:rsidRPr="002E707A">
        <w:rPr>
          <w:lang w:val="pt-BR"/>
        </w:rPr>
        <w:t xml:space="preserve">). A ampla difusão do consumo de Cannabis parece ainda ser sustentada </w:t>
      </w:r>
      <w:r w:rsidRPr="002E707A">
        <w:rPr>
          <w:lang w:val="pt-BR"/>
        </w:rPr>
        <w:lastRenderedPageBreak/>
        <w:t>pela não significância da etnia como uma variável preditora dos padrões de consumo. Embora a longa tradição de uso da planta pelos povos afro-indígenas brasileiros sugira um consumo mais intenso por indivíduos não-brancos, os resultados deste estudo indicam que a etnia não é determinante para o pertencimento a nenhuma das classes latentes.</w:t>
      </w:r>
    </w:p>
    <w:p w14:paraId="473D34D3" w14:textId="68830EB5" w:rsidR="007A1428" w:rsidRPr="002E707A" w:rsidRDefault="007A1428" w:rsidP="007A1428">
      <w:pPr>
        <w:shd w:val="clear" w:color="auto" w:fill="FFFFFF"/>
        <w:spacing w:line="360" w:lineRule="auto"/>
        <w:ind w:firstLine="700"/>
        <w:jc w:val="both"/>
        <w:rPr>
          <w:lang w:val="pt-BR"/>
        </w:rPr>
      </w:pPr>
      <w:r w:rsidRPr="002E707A">
        <w:rPr>
          <w:lang w:val="pt-BR"/>
        </w:rPr>
        <w:t xml:space="preserve">Nesse aspecto, autores como </w:t>
      </w:r>
      <w:proofErr w:type="spellStart"/>
      <w:r w:rsidRPr="002E707A">
        <w:rPr>
          <w:lang w:val="pt-BR"/>
        </w:rPr>
        <w:t>Warf</w:t>
      </w:r>
      <w:proofErr w:type="spellEnd"/>
      <w:r w:rsidRPr="002E707A">
        <w:rPr>
          <w:lang w:val="pt-BR"/>
        </w:rPr>
        <w:t xml:space="preserve"> (2014) defendem que, desde a década de 1960, a Cannabis foi integrada às práticas ocidentais como símbolo de contracultura, sendo adotada por intelectuais, artistas e outros grupos influenciados pelos ideais de liberdade e harmonia. Isso ajudou a quebrar o estigma associado à maconha, como sendo, em muitos lugares, uma “droga dos pretos e pobres”. Essa tendência de difusão mais ampla se reafirma na medida em que os estudos científicos a respeito da Cannabis medicinal vêm a público, gerando uma mudança significativa na opinião pública em favor da planta</w:t>
      </w:r>
      <w:r w:rsidR="00BA3247">
        <w:rPr>
          <w:lang w:val="pt-BR"/>
        </w:rPr>
        <w:t xml:space="preserve">. Considerando o perfil geral da amostra, é ainda relevante pensar que estar alcançou predominante aqueles dentro do perfil descrito pelo autor como tendo uma crescente aceitação frente ao uso da planta </w:t>
      </w:r>
      <w:r w:rsidR="00C400F4">
        <w:rPr>
          <w:lang w:val="pt-BR"/>
        </w:rPr>
        <w:t xml:space="preserve">há cerca de seis décadas, a saber: brancos, com alta escolaridade e de classes sociais médias e altas. </w:t>
      </w:r>
    </w:p>
    <w:p w14:paraId="12204DE2" w14:textId="77777777" w:rsidR="007A1428" w:rsidRPr="002E707A" w:rsidRDefault="007A1428" w:rsidP="007A1428">
      <w:pPr>
        <w:shd w:val="clear" w:color="auto" w:fill="FFFFFF"/>
        <w:spacing w:line="360" w:lineRule="auto"/>
        <w:ind w:firstLine="700"/>
        <w:jc w:val="both"/>
        <w:rPr>
          <w:lang w:val="pt-BR"/>
        </w:rPr>
      </w:pPr>
      <w:r w:rsidRPr="002E707A">
        <w:rPr>
          <w:lang w:val="pt-BR"/>
        </w:rPr>
        <w:t>Apesar da predominância do uso não medicinal da Cannabis no Brasil, os resultados do presente estudo também sugerem que a presença de certas patologias se mostra um elemento importante na determinação dos padrões de consumo. Nota-se, em um primeiro momento, que, na amostra estudada, a maior parte dos participantes apresentam algum tipo de doença crônica ou transtorno psiquiátrico diagnosticados. No entanto, ao contrário do esperado, apenas os diagnósticos psiquiátricos foram capazes de predizer o pertencimento, especificamente, ao grupo de Baixo consumo/Consumíveis.</w:t>
      </w:r>
    </w:p>
    <w:p w14:paraId="7C5898A9" w14:textId="77777777" w:rsidR="007A1428" w:rsidRPr="002E707A" w:rsidRDefault="007A1428" w:rsidP="007A1428">
      <w:pPr>
        <w:shd w:val="clear" w:color="auto" w:fill="FFFFFF"/>
        <w:spacing w:line="360" w:lineRule="auto"/>
        <w:ind w:firstLine="700"/>
        <w:jc w:val="both"/>
        <w:rPr>
          <w:lang w:val="pt-BR"/>
        </w:rPr>
      </w:pPr>
      <w:r w:rsidRPr="002E707A">
        <w:rPr>
          <w:lang w:val="pt-BR"/>
        </w:rPr>
        <w:t xml:space="preserve">No Brasil, a Cannabis medicinal é majoritariamente utilizada para tratar transtornos mentais/comportamentais (Grella </w:t>
      </w:r>
      <w:r w:rsidRPr="002E707A">
        <w:rPr>
          <w:i/>
          <w:lang w:val="pt-BR"/>
        </w:rPr>
        <w:t>et al</w:t>
      </w:r>
      <w:r w:rsidRPr="002E707A">
        <w:rPr>
          <w:lang w:val="pt-BR"/>
        </w:rPr>
        <w:t>., 2014). No mesmo sentido, o Anuário da Cannabis Medicinal de 2023 (Kaya Mind, 2023) apontou a ansiedade e o Transtorno do Espectro Autista (TEA) como as condições mais frequentes para prescrição. Sendo assim, é coerente pensar que a presença de pelo menos um transtorno psiquiátrico possa indicar consistentemente o pertencimento ao grupo de Baixo Consumo/Ingeríveis, que se caracteriza pelo uso medicinal.</w:t>
      </w:r>
    </w:p>
    <w:p w14:paraId="6DE5891F" w14:textId="558ABA46" w:rsidR="007A1428" w:rsidRPr="002E707A" w:rsidRDefault="007A1428" w:rsidP="007A1428">
      <w:pPr>
        <w:shd w:val="clear" w:color="auto" w:fill="FFFFFF"/>
        <w:spacing w:line="360" w:lineRule="auto"/>
        <w:ind w:firstLine="700"/>
        <w:jc w:val="both"/>
        <w:rPr>
          <w:lang w:val="pt-BR"/>
        </w:rPr>
      </w:pPr>
      <w:r w:rsidRPr="002E707A">
        <w:rPr>
          <w:lang w:val="pt-BR"/>
        </w:rPr>
        <w:t>No entanto, duas questões se sobressaem diante desses resultados. Primeiramente, a não significância dos diagnósticos de doenças crônicas na predição dos padrões de uso, apesar das pesquisas mostrarem o potencial terapêutico da Cannabis para o tratamento de diversas condições crônicas contempladas pela pesquisa</w:t>
      </w:r>
      <w:r w:rsidR="00203031">
        <w:rPr>
          <w:lang w:val="pt-BR"/>
        </w:rPr>
        <w:t>.</w:t>
      </w:r>
      <w:r w:rsidRPr="002E707A">
        <w:rPr>
          <w:lang w:val="pt-BR"/>
        </w:rPr>
        <w:t xml:space="preserve"> É possível que, pelo menos no Brasil, ainda haja alguma </w:t>
      </w:r>
      <w:r w:rsidRPr="002E707A">
        <w:rPr>
          <w:lang w:val="pt-BR"/>
        </w:rPr>
        <w:lastRenderedPageBreak/>
        <w:t xml:space="preserve">resistência para o tratamento alternativo dessas condições por meio do uso de Cannabis, seja por parte dos pacientes ou dos profissionais prescritores, ao contrário do que acontece com os transtornos mentais. Além disso, a amostra pode não incluir pacientes com doenças crônicas que não respondem a outros tratamentos, </w:t>
      </w:r>
      <w:r w:rsidR="009D6441">
        <w:rPr>
          <w:lang w:val="pt-BR"/>
        </w:rPr>
        <w:t>como orienta o Conselho Federal de Medicina (</w:t>
      </w:r>
      <w:r w:rsidR="00AC419F">
        <w:rPr>
          <w:lang w:val="pt-BR"/>
        </w:rPr>
        <w:t>CFM, 2022).</w:t>
      </w:r>
    </w:p>
    <w:p w14:paraId="0438366E" w14:textId="4D115ECF" w:rsidR="007A1428" w:rsidRPr="002E707A" w:rsidRDefault="007A1428" w:rsidP="007A1428">
      <w:pPr>
        <w:shd w:val="clear" w:color="auto" w:fill="FFFFFF"/>
        <w:spacing w:line="360" w:lineRule="auto"/>
        <w:ind w:firstLine="700"/>
        <w:jc w:val="both"/>
        <w:rPr>
          <w:lang w:val="pt-BR"/>
        </w:rPr>
      </w:pPr>
      <w:r w:rsidRPr="002E707A">
        <w:rPr>
          <w:lang w:val="pt-BR"/>
        </w:rPr>
        <w:t>Contudo, outro elemento marcante é que a presença dessas condições, sejam físicas ou mentais, não influencia o pertencimento à classe com padrão de consumo mais elevado, contrariando as evidências já estabelecidas pela literatura, uma vez que estudos apontam que a presença de transtornos mentais se mostra positivamente associada à frequência do uso de Cannabis (</w:t>
      </w:r>
      <w:proofErr w:type="spellStart"/>
      <w:r w:rsidRPr="002E707A">
        <w:rPr>
          <w:lang w:val="pt-BR"/>
        </w:rPr>
        <w:t>Johnstad</w:t>
      </w:r>
      <w:proofErr w:type="spellEnd"/>
      <w:r w:rsidRPr="002E707A">
        <w:rPr>
          <w:lang w:val="pt-BR"/>
        </w:rPr>
        <w:t>, 2024). Do mesmo modo, condições como dores crônicas ou problemas de sono também costumam estar vinculados a um consumo mais intenso (</w:t>
      </w:r>
      <w:proofErr w:type="spellStart"/>
      <w:r w:rsidRPr="002E707A">
        <w:rPr>
          <w:lang w:val="pt-BR"/>
        </w:rPr>
        <w:t>Boehnke</w:t>
      </w:r>
      <w:proofErr w:type="spellEnd"/>
      <w:r w:rsidRPr="002E707A">
        <w:rPr>
          <w:lang w:val="pt-BR"/>
        </w:rPr>
        <w:t xml:space="preserve"> et al., 2019; </w:t>
      </w:r>
      <w:proofErr w:type="spellStart"/>
      <w:r w:rsidRPr="002E707A">
        <w:rPr>
          <w:lang w:val="pt-BR"/>
        </w:rPr>
        <w:t>AminiLari</w:t>
      </w:r>
      <w:proofErr w:type="spellEnd"/>
      <w:r w:rsidRPr="002E707A">
        <w:rPr>
          <w:lang w:val="pt-BR"/>
        </w:rPr>
        <w:t>, 2022). Em ambos os casos, o uso não é necessariamente medicinal, pois a maioria dos usuários o faz por conta própria, buscando os efeitos terapêuticos sem prescrição.</w:t>
      </w:r>
      <w:r w:rsidR="00613393">
        <w:rPr>
          <w:lang w:val="pt-BR"/>
        </w:rPr>
        <w:t xml:space="preserve"> </w:t>
      </w:r>
      <w:r w:rsidR="00555F5F">
        <w:rPr>
          <w:lang w:val="pt-BR"/>
        </w:rPr>
        <w:t>Nesse ponto, r</w:t>
      </w:r>
      <w:r w:rsidRPr="002E707A">
        <w:rPr>
          <w:lang w:val="pt-BR"/>
        </w:rPr>
        <w:t>essalta-se</w:t>
      </w:r>
      <w:r w:rsidR="00555F5F">
        <w:rPr>
          <w:lang w:val="pt-BR"/>
        </w:rPr>
        <w:t xml:space="preserve"> </w:t>
      </w:r>
      <w:r w:rsidRPr="002E707A">
        <w:rPr>
          <w:lang w:val="pt-BR"/>
        </w:rPr>
        <w:t xml:space="preserve">o alto nível de escolaridade demonstrado pela amostra em questão. Embora não tenha influenciado na redução geral do uso, como esperado, pode ter levado os participantes, cientes dos riscos, a evitar o uso automedicado e fumado em caso de problemas de saúde, já que o uso indiscriminado, nestas situações, pode levar a desfechos negativos. </w:t>
      </w:r>
    </w:p>
    <w:p w14:paraId="0F600B3B" w14:textId="77777777" w:rsidR="00217AE2" w:rsidRDefault="007A1428" w:rsidP="007A1428">
      <w:pPr>
        <w:shd w:val="clear" w:color="auto" w:fill="FFFFFF"/>
        <w:spacing w:line="360" w:lineRule="auto"/>
        <w:ind w:firstLine="700"/>
        <w:jc w:val="both"/>
        <w:rPr>
          <w:lang w:val="pt-BR"/>
        </w:rPr>
      </w:pPr>
      <w:r w:rsidRPr="002E707A">
        <w:rPr>
          <w:lang w:val="pt-BR"/>
        </w:rPr>
        <w:t>Por fim, observou-se que um maior tempo de uso aumenta a probabilidade de pertencer ao grupo Alto Consumo/Fumado e que a idade de início está negativamente relacionada a esse grupo e positivamente ao grupo Baixo Consumo/Ingeríveis. Quanto a este primeiro aspecto, é notório que quanto maior o tempo de uso, mais provável é a manutenção de um padrão intenso e crônico. Isso ocorre, principalmente, porque o uso continuado leva à tolerância aos canabinóides, exigindo maior consumo para obter os mesmos efeitos</w:t>
      </w:r>
      <w:r w:rsidR="00613393">
        <w:rPr>
          <w:lang w:val="pt-BR"/>
        </w:rPr>
        <w:t xml:space="preserve"> (</w:t>
      </w:r>
      <w:proofErr w:type="spellStart"/>
      <w:r w:rsidR="00865DD5" w:rsidRPr="002E707A">
        <w:rPr>
          <w:lang w:val="pt-BR"/>
        </w:rPr>
        <w:t>Ibáñez</w:t>
      </w:r>
      <w:proofErr w:type="spellEnd"/>
      <w:r w:rsidR="00865DD5" w:rsidRPr="002E707A">
        <w:rPr>
          <w:lang w:val="pt-BR"/>
        </w:rPr>
        <w:t>-Jiménez et al., 2023</w:t>
      </w:r>
      <w:r w:rsidR="00613393">
        <w:rPr>
          <w:lang w:val="pt-BR"/>
        </w:rPr>
        <w:t>)</w:t>
      </w:r>
      <w:r w:rsidRPr="002E707A">
        <w:rPr>
          <w:lang w:val="pt-BR"/>
        </w:rPr>
        <w:t xml:space="preserve">. Desse modo, o tempo de manutenção do padrão de uso também se mostrou, no presente estudo, significativo para determinar o pertencimento ao grupo de maior intensidade de uso. </w:t>
      </w:r>
    </w:p>
    <w:p w14:paraId="65A91CBA" w14:textId="039C79A6" w:rsidR="007A1428" w:rsidRPr="002E707A" w:rsidRDefault="007A1428" w:rsidP="007A1428">
      <w:pPr>
        <w:shd w:val="clear" w:color="auto" w:fill="FFFFFF"/>
        <w:spacing w:line="360" w:lineRule="auto"/>
        <w:ind w:firstLine="700"/>
        <w:jc w:val="both"/>
        <w:rPr>
          <w:lang w:val="pt-BR"/>
        </w:rPr>
      </w:pPr>
      <w:r w:rsidRPr="002E707A">
        <w:rPr>
          <w:lang w:val="pt-BR"/>
        </w:rPr>
        <w:t xml:space="preserve">Adicionalmente, o uso precoce de Cannabis está associado a uma maior tendência a um padrão de uso </w:t>
      </w:r>
      <w:r w:rsidR="00CC4787">
        <w:rPr>
          <w:lang w:val="pt-BR"/>
        </w:rPr>
        <w:t>intenso</w:t>
      </w:r>
      <w:r w:rsidRPr="002E707A">
        <w:rPr>
          <w:lang w:val="pt-BR"/>
        </w:rPr>
        <w:t>.</w:t>
      </w:r>
      <w:r w:rsidR="00217AE2">
        <w:rPr>
          <w:lang w:val="pt-BR"/>
        </w:rPr>
        <w:t xml:space="preserve"> </w:t>
      </w:r>
      <w:r w:rsidRPr="002E707A">
        <w:rPr>
          <w:lang w:val="pt-BR"/>
        </w:rPr>
        <w:t>Para além disso, o uso de Cannabis na adolescência, principalmente como forma de lidar com estresse e problemas cotidianos, compromete o desenvolvimento de estratégias de enfrentamento desassociadas ao uso de substâncias (Lee-</w:t>
      </w:r>
      <w:proofErr w:type="spellStart"/>
      <w:r w:rsidRPr="002E707A">
        <w:rPr>
          <w:lang w:val="pt-BR"/>
        </w:rPr>
        <w:t>Winn</w:t>
      </w:r>
      <w:proofErr w:type="spellEnd"/>
      <w:r w:rsidRPr="002E707A">
        <w:rPr>
          <w:lang w:val="pt-BR"/>
        </w:rPr>
        <w:t xml:space="preserve">, </w:t>
      </w:r>
      <w:proofErr w:type="spellStart"/>
      <w:r w:rsidRPr="002E707A">
        <w:rPr>
          <w:lang w:val="pt-BR"/>
        </w:rPr>
        <w:t>Mendelson</w:t>
      </w:r>
      <w:proofErr w:type="spellEnd"/>
      <w:r w:rsidRPr="002E707A">
        <w:rPr>
          <w:lang w:val="pt-BR"/>
        </w:rPr>
        <w:t xml:space="preserve">, Johnson, 2018), levando a um consumo mais intenso e recorrente ao longo do tempo, devido à tolerância e à função reguladora da substância no repertório dos usuários. Nessa direção, observou-se que o grupo Alto Consumo/Fumado foi o único com média de idade de início na adolescência, fase crítica do </w:t>
      </w:r>
      <w:r w:rsidRPr="002E707A">
        <w:rPr>
          <w:lang w:val="pt-BR"/>
        </w:rPr>
        <w:lastRenderedPageBreak/>
        <w:t xml:space="preserve">desenvolvimento </w:t>
      </w:r>
      <w:proofErr w:type="spellStart"/>
      <w:r w:rsidRPr="002E707A">
        <w:rPr>
          <w:lang w:val="pt-BR"/>
        </w:rPr>
        <w:t>neurocognitivo</w:t>
      </w:r>
      <w:proofErr w:type="spellEnd"/>
      <w:r w:rsidRPr="002E707A">
        <w:rPr>
          <w:lang w:val="pt-BR"/>
        </w:rPr>
        <w:t xml:space="preserve"> e psicossocial do indivíduo (Larsen, Luna, 2018; </w:t>
      </w:r>
      <w:r w:rsidRPr="00F32A22">
        <w:rPr>
          <w:lang w:val="pt-BR"/>
        </w:rPr>
        <w:t>De</w:t>
      </w:r>
      <w:r w:rsidR="00AC147F" w:rsidRPr="00F32A22">
        <w:rPr>
          <w:lang w:val="pt-BR"/>
        </w:rPr>
        <w:t xml:space="preserve"> </w:t>
      </w:r>
      <w:r w:rsidRPr="00F32A22">
        <w:rPr>
          <w:lang w:val="pt-BR"/>
        </w:rPr>
        <w:t>Carvalho-Veiga, Gomes, 2020</w:t>
      </w:r>
      <w:r w:rsidRPr="002E707A">
        <w:rPr>
          <w:lang w:val="pt-BR"/>
        </w:rPr>
        <w:t>), o que já tem sido apontado como preditor significativo de maiores níveis de consumo, bem como da frequência e intensidade de consequências negativas a longo prazo (Lee-</w:t>
      </w:r>
      <w:proofErr w:type="spellStart"/>
      <w:r w:rsidRPr="002E707A">
        <w:rPr>
          <w:lang w:val="pt-BR"/>
        </w:rPr>
        <w:t>Winn</w:t>
      </w:r>
      <w:proofErr w:type="spellEnd"/>
      <w:r w:rsidRPr="002E707A">
        <w:rPr>
          <w:lang w:val="pt-BR"/>
        </w:rPr>
        <w:t xml:space="preserve">, </w:t>
      </w:r>
      <w:proofErr w:type="spellStart"/>
      <w:r w:rsidRPr="002E707A">
        <w:rPr>
          <w:lang w:val="pt-BR"/>
        </w:rPr>
        <w:t>Mendelson</w:t>
      </w:r>
      <w:proofErr w:type="spellEnd"/>
      <w:r w:rsidRPr="002E707A">
        <w:rPr>
          <w:lang w:val="pt-BR"/>
        </w:rPr>
        <w:t>, Johnson, 2018).</w:t>
      </w:r>
    </w:p>
    <w:p w14:paraId="23BFECC1" w14:textId="77777777" w:rsidR="007A1428" w:rsidRPr="002E707A" w:rsidRDefault="007A1428" w:rsidP="007A1428">
      <w:pPr>
        <w:shd w:val="clear" w:color="auto" w:fill="FFFFFF"/>
        <w:spacing w:line="360" w:lineRule="auto"/>
        <w:ind w:firstLine="700"/>
        <w:jc w:val="both"/>
        <w:rPr>
          <w:lang w:val="pt-BR"/>
        </w:rPr>
      </w:pPr>
      <w:r w:rsidRPr="002E707A">
        <w:rPr>
          <w:lang w:val="pt-BR"/>
        </w:rPr>
        <w:t xml:space="preserve">Ademais, a idade de início do uso também se mostrou um preditor significativo para o pertencimento ao grupo Baixo Consumo/Ingeríveis, o que se alinha parcialmente com </w:t>
      </w:r>
      <w:proofErr w:type="spellStart"/>
      <w:r w:rsidRPr="002E707A">
        <w:rPr>
          <w:lang w:val="pt-BR"/>
        </w:rPr>
        <w:t>Ueno</w:t>
      </w:r>
      <w:proofErr w:type="spellEnd"/>
      <w:r w:rsidRPr="002E707A">
        <w:rPr>
          <w:lang w:val="pt-BR"/>
        </w:rPr>
        <w:t xml:space="preserve"> et al. (2021). Esses autores observaram que o uso de produtos fumáveis e comestíveis tende a diminuir com a idade, enquanto o uso de óleos e tinturas se mantém, independentemente de gênero ou idade. Embora a categoria "Comestíveis" e "Óleos" tenha sido fundida na análise, é possível que o padrão do grupo Baixo Consumo/Ingeríveis se volte para o uso medicinal, priorizando óleos/tinturas. Nessa direção, o Anuário de Cannabis Medicinal de 2023 (Kaya Mind, 2023) corrobora essa ideia, mostrando que a maioria dos pacientes medicinais está na faixa etária de 30 a 49 anos, próxima à idade de início do grupo, sugerindo que o início tardio do uso está ligado a fins medicinais.</w:t>
      </w:r>
    </w:p>
    <w:p w14:paraId="14EA7225" w14:textId="77777777" w:rsidR="007A1428" w:rsidRPr="002E707A" w:rsidRDefault="007A1428" w:rsidP="007A1428">
      <w:pPr>
        <w:shd w:val="clear" w:color="auto" w:fill="FFFFFF"/>
        <w:spacing w:line="360" w:lineRule="auto"/>
        <w:jc w:val="center"/>
        <w:rPr>
          <w:lang w:val="pt-BR"/>
        </w:rPr>
      </w:pPr>
      <w:r w:rsidRPr="002E707A">
        <w:rPr>
          <w:b/>
          <w:lang w:val="pt-BR"/>
        </w:rPr>
        <w:t>Considerações Finais</w:t>
      </w:r>
      <w:r w:rsidRPr="002E707A">
        <w:rPr>
          <w:lang w:val="pt-BR"/>
        </w:rPr>
        <w:t xml:space="preserve"> </w:t>
      </w:r>
    </w:p>
    <w:p w14:paraId="7277A3C2" w14:textId="77777777" w:rsidR="00C93280" w:rsidRDefault="00D42C47" w:rsidP="007A1428">
      <w:pPr>
        <w:shd w:val="clear" w:color="auto" w:fill="FFFFFF"/>
        <w:spacing w:line="360" w:lineRule="auto"/>
        <w:ind w:firstLine="700"/>
        <w:jc w:val="both"/>
        <w:rPr>
          <w:lang w:val="pt-BR"/>
        </w:rPr>
      </w:pPr>
      <w:r w:rsidRPr="006B162E">
        <w:rPr>
          <w:lang w:val="pt-BR"/>
        </w:rPr>
        <w:t>Considera-se que o presente estudo foi capaz de atingir seus objetivos propostos, na medida em que foi capaz de prover evidências, não somente dos padrões de uso de uma amostra de usuários brasileiros, mas também esclarecer os determinantes desses hábitos, expandindo e diversificando os achados presentes na literatura a esse respeito.</w:t>
      </w:r>
      <w:r>
        <w:rPr>
          <w:lang w:val="pt-BR"/>
        </w:rPr>
        <w:t xml:space="preserve"> </w:t>
      </w:r>
      <w:r w:rsidR="00564A66">
        <w:rPr>
          <w:lang w:val="pt-BR"/>
        </w:rPr>
        <w:t>Foi possível confirmar</w:t>
      </w:r>
      <w:r w:rsidR="007A1428" w:rsidRPr="002E707A">
        <w:rPr>
          <w:lang w:val="pt-BR"/>
        </w:rPr>
        <w:t xml:space="preserve"> o tipo de produto e forma de consumo prevalentes</w:t>
      </w:r>
      <w:r w:rsidR="00564A66">
        <w:rPr>
          <w:lang w:val="pt-BR"/>
        </w:rPr>
        <w:t xml:space="preserve"> entre os brasileiros</w:t>
      </w:r>
      <w:r w:rsidR="007A1428" w:rsidRPr="002E707A">
        <w:rPr>
          <w:lang w:val="pt-BR"/>
        </w:rPr>
        <w:t>, destacando como as políticas de drogas vigentes influenciam hábitos de maior risco à saúde. Observou-se também o uso medicinal como um padrão emergente, embora ainda minoritário, refletindo a recente abertura legal no Brasil, limitada por obstáculos que restringem o acesso aos produtos canabinóides a uma parcela reduzida da população.</w:t>
      </w:r>
    </w:p>
    <w:p w14:paraId="38E87286" w14:textId="151F727B" w:rsidR="007A1428" w:rsidRPr="002E707A" w:rsidRDefault="007A1428" w:rsidP="007A1428">
      <w:pPr>
        <w:shd w:val="clear" w:color="auto" w:fill="FFFFFF"/>
        <w:spacing w:line="360" w:lineRule="auto"/>
        <w:ind w:firstLine="700"/>
        <w:jc w:val="both"/>
        <w:rPr>
          <w:lang w:val="pt-BR"/>
        </w:rPr>
      </w:pPr>
      <w:r w:rsidRPr="002E707A">
        <w:rPr>
          <w:lang w:val="pt-BR"/>
        </w:rPr>
        <w:t>Além disso, os padrões de uso e seus determinantes apresentaram diferenças em relação à literatura internacional. Elementos como escolaridade, renda e etnia não foram preditores significativos, sugerindo que fatores culturais exercem maior influência no Brasil. Desse modo, a diversidade dos usuários reforça a necessidade de considerar contextos históricos e culturais para compreender o consumo de Cannabis no país.</w:t>
      </w:r>
    </w:p>
    <w:p w14:paraId="487E4A95" w14:textId="77777777" w:rsidR="007A1428" w:rsidRPr="002E707A" w:rsidRDefault="007A1428" w:rsidP="007A1428">
      <w:pPr>
        <w:shd w:val="clear" w:color="auto" w:fill="FFFFFF"/>
        <w:spacing w:line="360" w:lineRule="auto"/>
        <w:ind w:firstLine="700"/>
        <w:jc w:val="both"/>
        <w:rPr>
          <w:lang w:val="pt-BR"/>
        </w:rPr>
      </w:pPr>
      <w:r w:rsidRPr="002E707A">
        <w:rPr>
          <w:lang w:val="pt-BR"/>
        </w:rPr>
        <w:t xml:space="preserve">Notou-se, ainda, que diagnósticos psiquiátricos influenciam o uso medicinal da maconha, contrariando estudos que associam esses casos a padrões mais intensos. Essa relação, como </w:t>
      </w:r>
      <w:proofErr w:type="spellStart"/>
      <w:r w:rsidRPr="002E707A">
        <w:rPr>
          <w:lang w:val="pt-BR"/>
        </w:rPr>
        <w:t>hipotetizado</w:t>
      </w:r>
      <w:proofErr w:type="spellEnd"/>
      <w:r w:rsidRPr="002E707A">
        <w:rPr>
          <w:lang w:val="pt-BR"/>
        </w:rPr>
        <w:t xml:space="preserve"> anteriormente, pode estar ligada ao alto nível de escolaridade da amostra, que, embora </w:t>
      </w:r>
      <w:r w:rsidRPr="002E707A">
        <w:rPr>
          <w:lang w:val="pt-BR"/>
        </w:rPr>
        <w:lastRenderedPageBreak/>
        <w:t>não seja um determinante direto, parece atuar como moderador em conjunto com outros fatores, como condições de saúde física e mental.</w:t>
      </w:r>
    </w:p>
    <w:p w14:paraId="30001B82" w14:textId="23B27D58" w:rsidR="007A1428" w:rsidRPr="002E707A" w:rsidRDefault="007A1428" w:rsidP="007A1428">
      <w:pPr>
        <w:shd w:val="clear" w:color="auto" w:fill="FFFFFF"/>
        <w:spacing w:line="360" w:lineRule="auto"/>
        <w:ind w:firstLine="700"/>
        <w:jc w:val="both"/>
        <w:rPr>
          <w:lang w:val="pt-BR"/>
        </w:rPr>
      </w:pPr>
      <w:r w:rsidRPr="002E707A">
        <w:rPr>
          <w:lang w:val="pt-BR"/>
        </w:rPr>
        <w:t xml:space="preserve">Apesar das contribuições, a pesquisa também apresentou limitações, como a amostra reduzida e a falta de representatividade </w:t>
      </w:r>
      <w:r w:rsidR="007A5442">
        <w:rPr>
          <w:lang w:val="pt-BR"/>
        </w:rPr>
        <w:t xml:space="preserve">adequada de certos </w:t>
      </w:r>
      <w:r w:rsidRPr="002E707A">
        <w:rPr>
          <w:lang w:val="pt-BR"/>
        </w:rPr>
        <w:t>grupos sociodemográficos. Estudos futuros devem empregar amostras maiores e probabilísticas, ampliando o poder estatístico e a representatividade, além de explorar os impactos dos padrões de consumo em diferentes grupos de risco. Espera-se, portanto, que esses achados contribuam para a compreensão do uso de Cannabis no Brasil e subsidiem o desenvolvimento de políticas públicas mais alinhadas à diversidade cultural e histórica do país, valorizando as múltiplas possibilidades de uso dessa planta milenar.</w:t>
      </w:r>
    </w:p>
    <w:p w14:paraId="6CD8B4A8" w14:textId="079C7A41" w:rsidR="006F7E7E" w:rsidRPr="003812B5" w:rsidRDefault="00CD7EC5" w:rsidP="00DB0374">
      <w:pPr>
        <w:pStyle w:val="Ttulosinternos"/>
      </w:pPr>
      <w:proofErr w:type="spellStart"/>
      <w:r w:rsidRPr="003812B5">
        <w:t>Referências</w:t>
      </w:r>
      <w:proofErr w:type="spellEnd"/>
    </w:p>
    <w:p w14:paraId="16CE82A1" w14:textId="4D959E71" w:rsidR="00594317" w:rsidRPr="003812B5" w:rsidRDefault="00594317" w:rsidP="00CE7D65">
      <w:pPr>
        <w:ind w:left="720" w:hanging="720"/>
        <w:jc w:val="both"/>
        <w:rPr>
          <w:lang w:val="en-US"/>
        </w:rPr>
      </w:pPr>
    </w:p>
    <w:p w14:paraId="71EEAB5F" w14:textId="77777777" w:rsidR="008A2DB6" w:rsidRPr="003812B5" w:rsidRDefault="008A2DB6" w:rsidP="004D7442">
      <w:pPr>
        <w:shd w:val="clear" w:color="auto" w:fill="FFFFFF"/>
        <w:spacing w:line="360" w:lineRule="auto"/>
        <w:ind w:left="709" w:hanging="709"/>
        <w:rPr>
          <w:lang w:val="en-US"/>
        </w:rPr>
      </w:pPr>
      <w:proofErr w:type="spellStart"/>
      <w:r w:rsidRPr="003812B5">
        <w:rPr>
          <w:lang w:val="en-US"/>
        </w:rPr>
        <w:t>AminiLari</w:t>
      </w:r>
      <w:proofErr w:type="spellEnd"/>
      <w:r w:rsidRPr="003812B5">
        <w:rPr>
          <w:lang w:val="en-US"/>
        </w:rPr>
        <w:t xml:space="preserve">, M., </w:t>
      </w:r>
      <w:proofErr w:type="spellStart"/>
      <w:r w:rsidRPr="003812B5">
        <w:rPr>
          <w:lang w:val="en-US"/>
        </w:rPr>
        <w:t>Kithulegoda</w:t>
      </w:r>
      <w:proofErr w:type="spellEnd"/>
      <w:r w:rsidRPr="003812B5">
        <w:rPr>
          <w:lang w:val="en-US"/>
        </w:rPr>
        <w:t xml:space="preserve">, N., Strachan, P., MacKillop, J., Wang, L., Pallapothu, S., ... </w:t>
      </w:r>
      <w:r w:rsidRPr="001A66A8">
        <w:rPr>
          <w:lang w:val="en-US"/>
        </w:rPr>
        <w:t xml:space="preserve">&amp; Busse, J. W. (2022). </w:t>
      </w:r>
      <w:r w:rsidRPr="003812B5">
        <w:rPr>
          <w:lang w:val="en-US"/>
        </w:rPr>
        <w:t xml:space="preserve">Benefits and concerns regarding use of cannabis for therapeutic purposes among people living with chronic pain: a qualitative research study. </w:t>
      </w:r>
      <w:r w:rsidRPr="003812B5">
        <w:rPr>
          <w:i/>
          <w:iCs/>
          <w:lang w:val="en-US"/>
        </w:rPr>
        <w:t>Pain Medicine</w:t>
      </w:r>
      <w:r w:rsidRPr="003812B5">
        <w:rPr>
          <w:lang w:val="en-US"/>
        </w:rPr>
        <w:t xml:space="preserve">, </w:t>
      </w:r>
      <w:r w:rsidRPr="003812B5">
        <w:rPr>
          <w:i/>
          <w:iCs/>
          <w:lang w:val="en-US"/>
        </w:rPr>
        <w:t>23</w:t>
      </w:r>
      <w:r w:rsidRPr="003812B5">
        <w:rPr>
          <w:lang w:val="en-US"/>
        </w:rPr>
        <w:t>(11), 1828-1836. https://doi.org/10.1093/pm/pnac085</w:t>
      </w:r>
    </w:p>
    <w:p w14:paraId="6C314D8D" w14:textId="77777777" w:rsidR="008A2DB6" w:rsidRPr="00F32A22" w:rsidRDefault="008A2DB6" w:rsidP="004D7442">
      <w:pPr>
        <w:shd w:val="clear" w:color="auto" w:fill="FFFFFF"/>
        <w:spacing w:line="360" w:lineRule="auto"/>
        <w:ind w:left="709" w:hanging="709"/>
        <w:rPr>
          <w:rFonts w:eastAsia="Arial"/>
          <w:lang w:val="pt-BR"/>
        </w:rPr>
      </w:pPr>
      <w:proofErr w:type="spellStart"/>
      <w:r w:rsidRPr="003812B5">
        <w:rPr>
          <w:rFonts w:eastAsia="Arial"/>
          <w:lang w:val="en-US"/>
        </w:rPr>
        <w:t>Asparouhov</w:t>
      </w:r>
      <w:proofErr w:type="spellEnd"/>
      <w:r w:rsidRPr="003812B5">
        <w:rPr>
          <w:rFonts w:eastAsia="Arial"/>
          <w:lang w:val="en-US"/>
        </w:rPr>
        <w:t xml:space="preserve">, T., &amp; </w:t>
      </w:r>
      <w:proofErr w:type="spellStart"/>
      <w:r w:rsidRPr="003812B5">
        <w:rPr>
          <w:rFonts w:eastAsia="Arial"/>
          <w:lang w:val="en-US"/>
        </w:rPr>
        <w:t>Muthén</w:t>
      </w:r>
      <w:proofErr w:type="spellEnd"/>
      <w:r w:rsidRPr="003812B5">
        <w:rPr>
          <w:rFonts w:eastAsia="Arial"/>
          <w:lang w:val="en-US"/>
        </w:rPr>
        <w:t xml:space="preserve">, B. (2012). Using </w:t>
      </w:r>
      <w:proofErr w:type="spellStart"/>
      <w:r w:rsidRPr="003812B5">
        <w:rPr>
          <w:rFonts w:eastAsia="Arial"/>
          <w:lang w:val="en-US"/>
        </w:rPr>
        <w:t>Mplus</w:t>
      </w:r>
      <w:proofErr w:type="spellEnd"/>
      <w:r w:rsidRPr="003812B5">
        <w:rPr>
          <w:rFonts w:eastAsia="Arial"/>
          <w:lang w:val="en-US"/>
        </w:rPr>
        <w:t xml:space="preserve"> TECH11 and TECH14 to test the number of latent classes. </w:t>
      </w:r>
      <w:r w:rsidRPr="00F32A22">
        <w:rPr>
          <w:rFonts w:eastAsia="Arial"/>
          <w:i/>
          <w:iCs/>
          <w:lang w:val="pt-BR"/>
        </w:rPr>
        <w:t>Mplus web notes</w:t>
      </w:r>
      <w:r w:rsidRPr="00F32A22">
        <w:rPr>
          <w:rFonts w:eastAsia="Arial"/>
          <w:lang w:val="pt-BR"/>
        </w:rPr>
        <w:t xml:space="preserve">, </w:t>
      </w:r>
      <w:r w:rsidRPr="00F32A22">
        <w:rPr>
          <w:rFonts w:eastAsia="Arial"/>
          <w:i/>
          <w:iCs/>
          <w:lang w:val="pt-BR"/>
        </w:rPr>
        <w:t>14</w:t>
      </w:r>
      <w:r w:rsidRPr="00F32A22">
        <w:rPr>
          <w:rFonts w:eastAsia="Arial"/>
          <w:lang w:val="pt-BR"/>
        </w:rPr>
        <w:t>(22), 1-17.</w:t>
      </w:r>
    </w:p>
    <w:p w14:paraId="3A7905BF" w14:textId="77777777" w:rsidR="008A2DB6" w:rsidRPr="002E707A" w:rsidRDefault="008A2DB6" w:rsidP="004D7442">
      <w:pPr>
        <w:shd w:val="clear" w:color="auto" w:fill="FFFFFF"/>
        <w:spacing w:line="360" w:lineRule="auto"/>
        <w:ind w:left="709" w:hanging="709"/>
        <w:rPr>
          <w:color w:val="1155CC"/>
          <w:u w:val="single"/>
          <w:lang w:val="pt-BR"/>
        </w:rPr>
      </w:pPr>
      <w:r w:rsidRPr="002E707A">
        <w:rPr>
          <w:lang w:val="pt-BR"/>
        </w:rPr>
        <w:t xml:space="preserve">Barcelos, I., &amp; </w:t>
      </w:r>
      <w:proofErr w:type="spellStart"/>
      <w:r w:rsidRPr="002E707A">
        <w:rPr>
          <w:lang w:val="pt-BR"/>
        </w:rPr>
        <w:t>Domenici</w:t>
      </w:r>
      <w:proofErr w:type="spellEnd"/>
      <w:r w:rsidRPr="002E707A">
        <w:rPr>
          <w:lang w:val="pt-BR"/>
        </w:rPr>
        <w:t xml:space="preserve">, T. (2019, 6 de maio). São Paulo condena mais negros por tráfico, mesmo que portem menos drogas. </w:t>
      </w:r>
      <w:r w:rsidRPr="002E707A">
        <w:rPr>
          <w:i/>
          <w:lang w:val="pt-BR"/>
        </w:rPr>
        <w:t>Notícias UOL</w:t>
      </w:r>
      <w:r w:rsidRPr="002E707A">
        <w:rPr>
          <w:lang w:val="pt-BR"/>
        </w:rPr>
        <w:t>.</w:t>
      </w:r>
      <w:hyperlink r:id="rId11">
        <w:r w:rsidRPr="002E707A">
          <w:rPr>
            <w:lang w:val="pt-BR"/>
          </w:rPr>
          <w:t xml:space="preserve"> </w:t>
        </w:r>
      </w:hyperlink>
      <w:r w:rsidRPr="002E707A">
        <w:rPr>
          <w:lang w:val="pt-BR"/>
        </w:rPr>
        <w:t>https://noticias.uol.com.br/cotidiano/ultimas-noticias/2019/05/06/sao-paulo-condena-mais-negros-por-trafico-mesmo-que-portem-menos-drogas.htm</w:t>
      </w:r>
    </w:p>
    <w:p w14:paraId="4FDE3D0A" w14:textId="77777777" w:rsidR="008A2DB6" w:rsidRPr="003812B5" w:rsidRDefault="008A2DB6" w:rsidP="004D7442">
      <w:pPr>
        <w:shd w:val="clear" w:color="auto" w:fill="FFFFFF"/>
        <w:spacing w:line="360" w:lineRule="auto"/>
        <w:ind w:left="709" w:hanging="709"/>
        <w:rPr>
          <w:lang w:val="en-US"/>
        </w:rPr>
      </w:pPr>
      <w:r w:rsidRPr="003812B5">
        <w:rPr>
          <w:lang w:val="en-US"/>
        </w:rPr>
        <w:t xml:space="preserve">Boehnke, K. F., Gagnier, J. J., Matallana, L., &amp; Williams, D. A. (2021). Cannabidiol use for fibromyalgia: prevalence of use and perceptions of effectiveness in a large online survey. </w:t>
      </w:r>
      <w:r w:rsidRPr="003812B5">
        <w:rPr>
          <w:i/>
          <w:iCs/>
          <w:lang w:val="en-US"/>
        </w:rPr>
        <w:t>The journal of pain</w:t>
      </w:r>
      <w:r w:rsidRPr="003812B5">
        <w:rPr>
          <w:lang w:val="en-US"/>
        </w:rPr>
        <w:t xml:space="preserve">, </w:t>
      </w:r>
      <w:r w:rsidRPr="003812B5">
        <w:rPr>
          <w:i/>
          <w:iCs/>
          <w:lang w:val="en-US"/>
        </w:rPr>
        <w:t>22</w:t>
      </w:r>
      <w:r w:rsidRPr="003812B5">
        <w:rPr>
          <w:lang w:val="en-US"/>
        </w:rPr>
        <w:t>(5), 556-566. https://doi.org/10.1016/j.jpain.2020.12.001</w:t>
      </w:r>
    </w:p>
    <w:p w14:paraId="1BD87B82" w14:textId="77777777" w:rsidR="008A2DB6" w:rsidRPr="00F32A22" w:rsidRDefault="008A2DB6" w:rsidP="004D7442">
      <w:pPr>
        <w:shd w:val="clear" w:color="auto" w:fill="FFFFFF"/>
        <w:spacing w:line="360" w:lineRule="auto"/>
        <w:ind w:left="709" w:hanging="709"/>
        <w:rPr>
          <w:rFonts w:eastAsia="Arial"/>
          <w:lang w:val="pt-BR"/>
        </w:rPr>
      </w:pPr>
      <w:proofErr w:type="spellStart"/>
      <w:r w:rsidRPr="003812B5">
        <w:rPr>
          <w:rFonts w:eastAsia="Arial"/>
          <w:lang w:val="en-US"/>
        </w:rPr>
        <w:t>Celeux</w:t>
      </w:r>
      <w:proofErr w:type="spellEnd"/>
      <w:r w:rsidRPr="003812B5">
        <w:rPr>
          <w:rFonts w:eastAsia="Arial"/>
          <w:lang w:val="en-US"/>
        </w:rPr>
        <w:t xml:space="preserve">, G., &amp; </w:t>
      </w:r>
      <w:proofErr w:type="spellStart"/>
      <w:r w:rsidRPr="003812B5">
        <w:rPr>
          <w:rFonts w:eastAsia="Arial"/>
          <w:lang w:val="en-US"/>
        </w:rPr>
        <w:t>Soromenho</w:t>
      </w:r>
      <w:proofErr w:type="spellEnd"/>
      <w:r w:rsidRPr="003812B5">
        <w:rPr>
          <w:rFonts w:eastAsia="Arial"/>
          <w:lang w:val="en-US"/>
        </w:rPr>
        <w:t xml:space="preserve">, G. (1996). An entropy criterion for assessing the number of clusters in a mixture model. </w:t>
      </w:r>
      <w:r w:rsidRPr="00F32A22">
        <w:rPr>
          <w:rFonts w:eastAsia="Arial"/>
          <w:i/>
          <w:iCs/>
          <w:lang w:val="pt-BR"/>
        </w:rPr>
        <w:t>Journal of classification</w:t>
      </w:r>
      <w:r w:rsidRPr="00F32A22">
        <w:rPr>
          <w:rFonts w:eastAsia="Arial"/>
          <w:lang w:val="pt-BR"/>
        </w:rPr>
        <w:t xml:space="preserve">, </w:t>
      </w:r>
      <w:r w:rsidRPr="00F32A22">
        <w:rPr>
          <w:rFonts w:eastAsia="Arial"/>
          <w:i/>
          <w:iCs/>
          <w:lang w:val="pt-BR"/>
        </w:rPr>
        <w:t>13</w:t>
      </w:r>
      <w:r w:rsidRPr="00F32A22">
        <w:rPr>
          <w:rFonts w:eastAsia="Arial"/>
          <w:lang w:val="pt-BR"/>
        </w:rPr>
        <w:t>, 195-212. https://doi.org/10.1007/Bf01246098</w:t>
      </w:r>
    </w:p>
    <w:p w14:paraId="5B06D9A8" w14:textId="77777777" w:rsidR="008A2DB6" w:rsidRPr="001F346A" w:rsidRDefault="008A2DB6" w:rsidP="004D7442">
      <w:pPr>
        <w:shd w:val="clear" w:color="auto" w:fill="FFFFFF"/>
        <w:spacing w:line="360" w:lineRule="auto"/>
        <w:ind w:left="709" w:hanging="709"/>
        <w:rPr>
          <w:lang w:val="pt-BR"/>
        </w:rPr>
      </w:pPr>
      <w:r>
        <w:rPr>
          <w:lang w:val="pt-BR"/>
        </w:rPr>
        <w:t xml:space="preserve">CFM. </w:t>
      </w:r>
      <w:r w:rsidRPr="00555F5F">
        <w:rPr>
          <w:lang w:val="pt-BR"/>
        </w:rPr>
        <w:t xml:space="preserve">Conselho Federal de Medicina. (2022). </w:t>
      </w:r>
      <w:r w:rsidRPr="00555F5F">
        <w:rPr>
          <w:i/>
          <w:iCs/>
          <w:lang w:val="pt-BR"/>
        </w:rPr>
        <w:t>Resolução CFM nº 2.324, de 11 de outubro de 2022</w:t>
      </w:r>
      <w:r w:rsidRPr="00555F5F">
        <w:rPr>
          <w:lang w:val="pt-BR"/>
        </w:rPr>
        <w:t>. Diário Oficial da União.</w:t>
      </w:r>
      <w:r w:rsidRPr="00555F5F">
        <w:rPr>
          <w:b/>
          <w:bCs/>
          <w:lang w:val="pt-BR"/>
        </w:rPr>
        <w:t xml:space="preserve"> </w:t>
      </w:r>
      <w:r w:rsidRPr="00555F5F">
        <w:rPr>
          <w:lang w:val="pt-BR"/>
        </w:rPr>
        <w:t>https://sistemas.cfm.org.br/normas/visualizar/resolucoes/BR/2022/2324</w:t>
      </w:r>
    </w:p>
    <w:p w14:paraId="30D8DB0C" w14:textId="77777777" w:rsidR="008A2DB6" w:rsidRPr="00F32A22" w:rsidRDefault="008A2DB6" w:rsidP="004D7442">
      <w:pPr>
        <w:shd w:val="clear" w:color="auto" w:fill="FFFFFF"/>
        <w:spacing w:line="360" w:lineRule="auto"/>
        <w:ind w:left="709" w:hanging="709"/>
        <w:rPr>
          <w:rFonts w:eastAsia="Arial"/>
          <w:lang w:val="pt-BR"/>
        </w:rPr>
      </w:pPr>
      <w:r w:rsidRPr="003812B5">
        <w:rPr>
          <w:rFonts w:eastAsia="Arial"/>
          <w:lang w:val="en-US"/>
        </w:rPr>
        <w:lastRenderedPageBreak/>
        <w:t xml:space="preserve">Cloutier, R. M., Kearns, N. T., Knapp, A. A., Contractor, A. A., &amp; Blumenthal, H. (2019). Heterogeneous patterns of marijuana use motives using latent profile analysis. </w:t>
      </w:r>
      <w:r w:rsidRPr="00F32A22">
        <w:rPr>
          <w:rFonts w:eastAsia="Arial"/>
          <w:i/>
          <w:iCs/>
          <w:lang w:val="pt-BR"/>
        </w:rPr>
        <w:t>Substance use &amp; misuse</w:t>
      </w:r>
      <w:r w:rsidRPr="00F32A22">
        <w:rPr>
          <w:rFonts w:eastAsia="Arial"/>
          <w:lang w:val="pt-BR"/>
        </w:rPr>
        <w:t xml:space="preserve">, </w:t>
      </w:r>
      <w:r w:rsidRPr="00F32A22">
        <w:rPr>
          <w:rFonts w:eastAsia="Arial"/>
          <w:i/>
          <w:iCs/>
          <w:lang w:val="pt-BR"/>
        </w:rPr>
        <w:t>54</w:t>
      </w:r>
      <w:r w:rsidRPr="00F32A22">
        <w:rPr>
          <w:rFonts w:eastAsia="Arial"/>
          <w:lang w:val="pt-BR"/>
        </w:rPr>
        <w:t>(9), 1485-1498.</w:t>
      </w:r>
      <w:r w:rsidRPr="00F32A22">
        <w:rPr>
          <w:lang w:val="pt-BR"/>
        </w:rPr>
        <w:t xml:space="preserve"> </w:t>
      </w:r>
      <w:r w:rsidRPr="00F32A22">
        <w:rPr>
          <w:rFonts w:eastAsia="Arial"/>
          <w:lang w:val="pt-BR"/>
        </w:rPr>
        <w:t>https://doi.org/10.1080/10826084.2019.1588325</w:t>
      </w:r>
    </w:p>
    <w:p w14:paraId="0A582D1C" w14:textId="77777777" w:rsidR="008A2DB6" w:rsidRPr="009B41CD" w:rsidRDefault="008A2DB6" w:rsidP="004D7442">
      <w:pPr>
        <w:shd w:val="clear" w:color="auto" w:fill="FFFFFF"/>
        <w:spacing w:line="360" w:lineRule="auto"/>
        <w:ind w:left="709" w:hanging="709"/>
        <w:rPr>
          <w:lang w:val="pt-BR"/>
        </w:rPr>
      </w:pPr>
      <w:r w:rsidRPr="009B41CD">
        <w:rPr>
          <w:lang w:val="pt-BR"/>
        </w:rPr>
        <w:t xml:space="preserve">Couto, A. C. (2020). Fronteiras e estrutura espacial do narcotráfico na Amazônia. </w:t>
      </w:r>
      <w:r w:rsidRPr="009B41CD">
        <w:rPr>
          <w:i/>
          <w:iCs/>
          <w:lang w:val="pt-BR"/>
        </w:rPr>
        <w:t>Boletim Gaúcho de Geografia</w:t>
      </w:r>
      <w:r w:rsidRPr="009B41CD">
        <w:rPr>
          <w:lang w:val="pt-BR"/>
        </w:rPr>
        <w:t xml:space="preserve">, </w:t>
      </w:r>
      <w:r w:rsidRPr="009B41CD">
        <w:rPr>
          <w:i/>
          <w:iCs/>
          <w:lang w:val="pt-BR"/>
        </w:rPr>
        <w:t>47</w:t>
      </w:r>
      <w:r w:rsidRPr="009B41CD">
        <w:rPr>
          <w:lang w:val="pt-BR"/>
        </w:rPr>
        <w:t>(1).</w:t>
      </w:r>
    </w:p>
    <w:p w14:paraId="73C7452A" w14:textId="77777777" w:rsidR="008A2DB6" w:rsidRPr="001A66A8" w:rsidRDefault="008A2DB6" w:rsidP="004D7442">
      <w:pPr>
        <w:shd w:val="clear" w:color="auto" w:fill="FFFFFF"/>
        <w:spacing w:line="360" w:lineRule="auto"/>
        <w:ind w:left="709" w:hanging="709"/>
        <w:rPr>
          <w:lang w:val="en-US"/>
        </w:rPr>
      </w:pPr>
      <w:r w:rsidRPr="00F32A22">
        <w:rPr>
          <w:lang w:val="pt-BR"/>
        </w:rPr>
        <w:t xml:space="preserve">Chaves, C., Bittencourt, P. C. T., &amp; Pelegrini, A. (2020). </w:t>
      </w:r>
      <w:r w:rsidRPr="003812B5">
        <w:rPr>
          <w:lang w:val="en-US"/>
        </w:rPr>
        <w:t xml:space="preserve">Ingestion of a THC-rich cannabis oil in people with fibromyalgia: A randomized, double-blind, placebo-controlled clinical trial. </w:t>
      </w:r>
      <w:r w:rsidRPr="001A66A8">
        <w:rPr>
          <w:i/>
          <w:lang w:val="en-US"/>
        </w:rPr>
        <w:t>Pain Medicine (Malden, Mass.), 21</w:t>
      </w:r>
      <w:r w:rsidRPr="001A66A8">
        <w:rPr>
          <w:lang w:val="en-US"/>
        </w:rPr>
        <w:t>(10), 2212–2218.</w:t>
      </w:r>
      <w:hyperlink r:id="rId12">
        <w:r w:rsidRPr="001A66A8">
          <w:rPr>
            <w:lang w:val="en-US"/>
          </w:rPr>
          <w:t xml:space="preserve"> </w:t>
        </w:r>
      </w:hyperlink>
      <w:r w:rsidRPr="001A66A8">
        <w:rPr>
          <w:lang w:val="en-US"/>
        </w:rPr>
        <w:t>https://doi.org/10.1093/pm/pnaa303</w:t>
      </w:r>
    </w:p>
    <w:p w14:paraId="3EB54CBA" w14:textId="77777777" w:rsidR="008A2DB6" w:rsidRDefault="008A2DB6" w:rsidP="004D7442">
      <w:pPr>
        <w:shd w:val="clear" w:color="auto" w:fill="FFFFFF"/>
        <w:spacing w:line="360" w:lineRule="auto"/>
        <w:ind w:left="709" w:hanging="709"/>
        <w:rPr>
          <w:lang w:val="en-US"/>
        </w:rPr>
      </w:pPr>
      <w:r w:rsidRPr="004E7C94">
        <w:t>D</w:t>
      </w:r>
      <w:r w:rsidRPr="00D45C17">
        <w:t xml:space="preserve">e Carvalho, N. A., &amp; Veiga, F. H. (2022). </w:t>
      </w:r>
      <w:r w:rsidRPr="00D45C17">
        <w:rPr>
          <w:lang w:val="en-US"/>
        </w:rPr>
        <w:t xml:space="preserve">Psychosocial development research in adolescence: A scoping review. </w:t>
      </w:r>
      <w:r w:rsidRPr="00D45C17">
        <w:rPr>
          <w:i/>
          <w:iCs/>
          <w:lang w:val="en-US"/>
        </w:rPr>
        <w:t>Trends in Psychology</w:t>
      </w:r>
      <w:r w:rsidRPr="00D45C17">
        <w:rPr>
          <w:lang w:val="en-US"/>
        </w:rPr>
        <w:t xml:space="preserve">, </w:t>
      </w:r>
      <w:r w:rsidRPr="00D45C17">
        <w:rPr>
          <w:i/>
          <w:iCs/>
          <w:lang w:val="en-US"/>
        </w:rPr>
        <w:t>30</w:t>
      </w:r>
      <w:r w:rsidRPr="00D45C17">
        <w:rPr>
          <w:lang w:val="en-US"/>
        </w:rPr>
        <w:t>(4), 640-669.</w:t>
      </w:r>
      <w:r w:rsidRPr="004E7C94">
        <w:rPr>
          <w:lang w:val="en-US"/>
        </w:rPr>
        <w:t xml:space="preserve"> http://doi.org/10.1007/s43076-022-00143-0</w:t>
      </w:r>
    </w:p>
    <w:p w14:paraId="4C4D47C6" w14:textId="77777777" w:rsidR="008A2DB6" w:rsidRPr="003812B5" w:rsidRDefault="008A2DB6" w:rsidP="004D7442">
      <w:pPr>
        <w:shd w:val="clear" w:color="auto" w:fill="FFFFFF"/>
        <w:spacing w:line="360" w:lineRule="auto"/>
        <w:ind w:left="709" w:hanging="709"/>
        <w:rPr>
          <w:rFonts w:eastAsia="Arial"/>
          <w:lang w:val="en-US"/>
        </w:rPr>
      </w:pPr>
      <w:r w:rsidRPr="003812B5">
        <w:rPr>
          <w:rFonts w:eastAsia="Arial"/>
          <w:lang w:val="en-US"/>
        </w:rPr>
        <w:t xml:space="preserve">De Pinho, A. (1975). Social and medical aspects of the use of cannabis in Brazil. </w:t>
      </w:r>
      <w:r w:rsidRPr="003812B5">
        <w:rPr>
          <w:rFonts w:eastAsia="Arial"/>
          <w:i/>
          <w:iCs/>
          <w:lang w:val="en-US"/>
        </w:rPr>
        <w:t>Cannabis and culture</w:t>
      </w:r>
      <w:r w:rsidRPr="003812B5">
        <w:rPr>
          <w:rFonts w:eastAsia="Arial"/>
          <w:lang w:val="en-US"/>
        </w:rPr>
        <w:t>, 293-302.</w:t>
      </w:r>
    </w:p>
    <w:p w14:paraId="4BC7465A" w14:textId="77777777" w:rsidR="008A2DB6" w:rsidRPr="003812B5" w:rsidRDefault="008A2DB6" w:rsidP="004D7442">
      <w:pPr>
        <w:shd w:val="clear" w:color="auto" w:fill="FFFFFF"/>
        <w:spacing w:line="360" w:lineRule="auto"/>
        <w:ind w:left="709" w:hanging="709"/>
        <w:rPr>
          <w:lang w:val="en-US"/>
        </w:rPr>
      </w:pPr>
      <w:r w:rsidRPr="003812B5">
        <w:rPr>
          <w:lang w:val="en-US"/>
        </w:rPr>
        <w:t xml:space="preserve">Gette, J. A., Cundiff, J. M., </w:t>
      </w:r>
      <w:proofErr w:type="spellStart"/>
      <w:r w:rsidRPr="003812B5">
        <w:rPr>
          <w:lang w:val="en-US"/>
        </w:rPr>
        <w:t>Gissandaner</w:t>
      </w:r>
      <w:proofErr w:type="spellEnd"/>
      <w:r w:rsidRPr="003812B5">
        <w:rPr>
          <w:lang w:val="en-US"/>
        </w:rPr>
        <w:t xml:space="preserve">, T. D., &amp; Littlefield, A. K. (2022). Relations between cannabis use, socioeconomic status, and risk perceptions in a Hispanic/Latinx population. </w:t>
      </w:r>
      <w:r w:rsidRPr="003812B5">
        <w:rPr>
          <w:i/>
          <w:iCs/>
          <w:lang w:val="en-US"/>
        </w:rPr>
        <w:t>Journal of Ethnicity in Substance Abuse</w:t>
      </w:r>
      <w:r w:rsidRPr="003812B5">
        <w:rPr>
          <w:lang w:val="en-US"/>
        </w:rPr>
        <w:t xml:space="preserve">, </w:t>
      </w:r>
      <w:r w:rsidRPr="003812B5">
        <w:rPr>
          <w:i/>
          <w:iCs/>
          <w:lang w:val="en-US"/>
        </w:rPr>
        <w:t>21</w:t>
      </w:r>
      <w:r w:rsidRPr="003812B5">
        <w:rPr>
          <w:lang w:val="en-US"/>
        </w:rPr>
        <w:t>(4), 1432-1451. https://doi.org/10.1080/15332640.2020.1861496</w:t>
      </w:r>
    </w:p>
    <w:p w14:paraId="36E2D937" w14:textId="77777777" w:rsidR="008A2DB6" w:rsidRPr="002E707A" w:rsidRDefault="008A2DB6" w:rsidP="004D7442">
      <w:pPr>
        <w:shd w:val="clear" w:color="auto" w:fill="FFFFFF"/>
        <w:spacing w:line="360" w:lineRule="auto"/>
        <w:ind w:left="709" w:hanging="709"/>
        <w:rPr>
          <w:lang w:val="pt-BR"/>
        </w:rPr>
      </w:pPr>
      <w:r w:rsidRPr="003812B5">
        <w:rPr>
          <w:lang w:val="en-US"/>
        </w:rPr>
        <w:t xml:space="preserve">González, M. (2018). </w:t>
      </w:r>
      <w:r w:rsidRPr="00DF6F7B">
        <w:rPr>
          <w:i/>
          <w:iCs/>
          <w:lang w:val="pt-BR"/>
        </w:rPr>
        <w:t>Perfil químico de amostras de canábis apreendidas no estado do Rio Grande do Sul</w:t>
      </w:r>
      <w:r w:rsidRPr="00DF6F7B">
        <w:rPr>
          <w:lang w:val="pt-BR"/>
        </w:rPr>
        <w:t xml:space="preserve"> [Dissertação de mestrado, Faculdade de Farmácia, Universidade Federal do Rio Grande do Sul].</w:t>
      </w:r>
    </w:p>
    <w:p w14:paraId="37B3E9C0" w14:textId="77777777" w:rsidR="008A2DB6" w:rsidRPr="00CC6083" w:rsidRDefault="008A2DB6" w:rsidP="004D7442">
      <w:pPr>
        <w:shd w:val="clear" w:color="auto" w:fill="FFFFFF"/>
        <w:spacing w:line="360" w:lineRule="auto"/>
        <w:ind w:left="709" w:hanging="709"/>
        <w:rPr>
          <w:rFonts w:eastAsia="Arial"/>
          <w:lang w:val="pt-BR"/>
        </w:rPr>
      </w:pPr>
      <w:proofErr w:type="spellStart"/>
      <w:r w:rsidRPr="003812B5">
        <w:rPr>
          <w:rFonts w:eastAsia="Arial"/>
          <w:lang w:val="en-US"/>
        </w:rPr>
        <w:t>Gorfinkel</w:t>
      </w:r>
      <w:proofErr w:type="spellEnd"/>
      <w:r w:rsidRPr="003812B5">
        <w:rPr>
          <w:rFonts w:eastAsia="Arial"/>
          <w:lang w:val="en-US"/>
        </w:rPr>
        <w:t xml:space="preserve">, L. R., Stohl, M., &amp; Hasin, D. (2020). Association of depression with past-month cannabis use among US adults aged 20 to 59 years, 2005 to 2016. </w:t>
      </w:r>
      <w:r w:rsidRPr="00DF6F7B">
        <w:rPr>
          <w:rFonts w:eastAsia="Arial"/>
          <w:i/>
          <w:iCs/>
          <w:lang w:val="pt-BR"/>
        </w:rPr>
        <w:t>JAMA network open</w:t>
      </w:r>
      <w:r w:rsidRPr="00DF6F7B">
        <w:rPr>
          <w:rFonts w:eastAsia="Arial"/>
          <w:lang w:val="pt-BR"/>
        </w:rPr>
        <w:t xml:space="preserve">, </w:t>
      </w:r>
      <w:r w:rsidRPr="00DF6F7B">
        <w:rPr>
          <w:rFonts w:eastAsia="Arial"/>
          <w:i/>
          <w:iCs/>
          <w:lang w:val="pt-BR"/>
        </w:rPr>
        <w:t>3</w:t>
      </w:r>
      <w:r w:rsidRPr="00DF6F7B">
        <w:rPr>
          <w:rFonts w:eastAsia="Arial"/>
          <w:lang w:val="pt-BR"/>
        </w:rPr>
        <w:t>(8), e2013802-e2013802.</w:t>
      </w:r>
      <w:r w:rsidRPr="002E707A">
        <w:rPr>
          <w:rFonts w:eastAsia="Arial"/>
          <w:lang w:val="pt-BR"/>
        </w:rPr>
        <w:t xml:space="preserve"> https://doi.org/10.1001/jamanetworkopen.2020.13802</w:t>
      </w:r>
    </w:p>
    <w:p w14:paraId="0C1B2B44" w14:textId="77777777" w:rsidR="008A2DB6" w:rsidRPr="003812B5" w:rsidRDefault="008A2DB6" w:rsidP="004D7442">
      <w:pPr>
        <w:spacing w:line="360" w:lineRule="auto"/>
        <w:ind w:left="709" w:hanging="709"/>
        <w:rPr>
          <w:lang w:val="en-US"/>
        </w:rPr>
      </w:pPr>
      <w:r w:rsidRPr="00AB4002">
        <w:rPr>
          <w:lang w:val="pt-BR"/>
        </w:rPr>
        <w:t xml:space="preserve">Grella, C. E., Rodriguez, L., &amp; Kim, T. (2014). </w:t>
      </w:r>
      <w:r w:rsidRPr="003812B5">
        <w:rPr>
          <w:lang w:val="en-US"/>
        </w:rPr>
        <w:t xml:space="preserve">Patterns of medical marijuana </w:t>
      </w:r>
      <w:proofErr w:type="gramStart"/>
      <w:r w:rsidRPr="003812B5">
        <w:rPr>
          <w:lang w:val="en-US"/>
        </w:rPr>
        <w:t>use</w:t>
      </w:r>
      <w:proofErr w:type="gramEnd"/>
      <w:r w:rsidRPr="003812B5">
        <w:rPr>
          <w:lang w:val="en-US"/>
        </w:rPr>
        <w:t xml:space="preserve"> among individuals sampled from medical marijuana dispensaries in Los Angeles. </w:t>
      </w:r>
      <w:r w:rsidRPr="003812B5">
        <w:rPr>
          <w:i/>
          <w:iCs/>
          <w:lang w:val="en-US"/>
        </w:rPr>
        <w:t>Journal of psychoactive drugs</w:t>
      </w:r>
      <w:r w:rsidRPr="003812B5">
        <w:rPr>
          <w:lang w:val="en-US"/>
        </w:rPr>
        <w:t xml:space="preserve">, </w:t>
      </w:r>
      <w:r w:rsidRPr="003812B5">
        <w:rPr>
          <w:i/>
          <w:iCs/>
          <w:lang w:val="en-US"/>
        </w:rPr>
        <w:t>46</w:t>
      </w:r>
      <w:r w:rsidRPr="003812B5">
        <w:rPr>
          <w:lang w:val="en-US"/>
        </w:rPr>
        <w:t>(4), 263-272. https://doi.org/10.1080/02791072.2014.944960</w:t>
      </w:r>
    </w:p>
    <w:p w14:paraId="0957923E" w14:textId="77777777" w:rsidR="008A2DB6" w:rsidRPr="00B95BAF" w:rsidRDefault="008A2DB6" w:rsidP="004D7442">
      <w:pPr>
        <w:shd w:val="clear" w:color="auto" w:fill="FFFFFF"/>
        <w:spacing w:line="360" w:lineRule="auto"/>
        <w:ind w:left="709" w:hanging="709"/>
        <w:rPr>
          <w:lang w:val="pt-BR"/>
        </w:rPr>
      </w:pPr>
      <w:r w:rsidRPr="003812B5">
        <w:rPr>
          <w:lang w:val="en-US"/>
        </w:rPr>
        <w:t xml:space="preserve">Gunn, R. L., Aston, E. R., Sokolovsky, A. W., White, H. R., &amp; Jackson, K. M. (2020). Complex cannabis </w:t>
      </w:r>
      <w:proofErr w:type="gramStart"/>
      <w:r w:rsidRPr="003812B5">
        <w:rPr>
          <w:lang w:val="en-US"/>
        </w:rPr>
        <w:t>use</w:t>
      </w:r>
      <w:proofErr w:type="gramEnd"/>
      <w:r w:rsidRPr="003812B5">
        <w:rPr>
          <w:lang w:val="en-US"/>
        </w:rPr>
        <w:t xml:space="preserve"> patterns: Associations with cannabis consequences and cannabis use disorder symptomatology. </w:t>
      </w:r>
      <w:proofErr w:type="spellStart"/>
      <w:r w:rsidRPr="00B95BAF">
        <w:rPr>
          <w:i/>
          <w:iCs/>
          <w:lang w:val="pt-BR"/>
        </w:rPr>
        <w:t>Addictive</w:t>
      </w:r>
      <w:proofErr w:type="spellEnd"/>
      <w:r w:rsidRPr="00B95BAF">
        <w:rPr>
          <w:i/>
          <w:iCs/>
          <w:lang w:val="pt-BR"/>
        </w:rPr>
        <w:t xml:space="preserve"> </w:t>
      </w:r>
      <w:proofErr w:type="spellStart"/>
      <w:r w:rsidRPr="00B95BAF">
        <w:rPr>
          <w:i/>
          <w:iCs/>
          <w:lang w:val="pt-BR"/>
        </w:rPr>
        <w:t>behaviors</w:t>
      </w:r>
      <w:proofErr w:type="spellEnd"/>
      <w:r w:rsidRPr="00B95BAF">
        <w:rPr>
          <w:lang w:val="pt-BR"/>
        </w:rPr>
        <w:t xml:space="preserve">, </w:t>
      </w:r>
      <w:r w:rsidRPr="00B95BAF">
        <w:rPr>
          <w:i/>
          <w:iCs/>
          <w:lang w:val="pt-BR"/>
        </w:rPr>
        <w:t>105</w:t>
      </w:r>
      <w:r w:rsidRPr="00B95BAF">
        <w:rPr>
          <w:lang w:val="pt-BR"/>
        </w:rPr>
        <w:t>, 106329.</w:t>
      </w:r>
      <w:r w:rsidRPr="002E707A">
        <w:rPr>
          <w:lang w:val="pt-BR"/>
        </w:rPr>
        <w:t xml:space="preserve"> https://doi.org/10.1016/j.addbeh.2020.106329</w:t>
      </w:r>
    </w:p>
    <w:p w14:paraId="7F921362" w14:textId="77777777" w:rsidR="008A2DB6" w:rsidRPr="002E707A" w:rsidRDefault="008A2DB6" w:rsidP="004D7442">
      <w:pPr>
        <w:shd w:val="clear" w:color="auto" w:fill="FFFFFF"/>
        <w:spacing w:line="360" w:lineRule="auto"/>
        <w:ind w:left="709" w:hanging="709"/>
        <w:rPr>
          <w:lang w:val="pt-BR"/>
        </w:rPr>
      </w:pPr>
      <w:r w:rsidRPr="002E707A">
        <w:rPr>
          <w:lang w:val="pt-BR"/>
        </w:rPr>
        <w:lastRenderedPageBreak/>
        <w:t xml:space="preserve">Henriques, A. L. </w:t>
      </w:r>
      <w:proofErr w:type="spellStart"/>
      <w:r w:rsidRPr="002E707A">
        <w:rPr>
          <w:lang w:val="pt-BR"/>
        </w:rPr>
        <w:t>da</w:t>
      </w:r>
      <w:proofErr w:type="spellEnd"/>
      <w:r w:rsidRPr="002E707A">
        <w:rPr>
          <w:lang w:val="pt-BR"/>
        </w:rPr>
        <w:t xml:space="preserve"> C. R., Amorim, D. S., Cardoso, D. V., de Mello, L. V., &amp; Damasceno, M. R. (2020). </w:t>
      </w:r>
      <w:r w:rsidRPr="003812B5">
        <w:rPr>
          <w:lang w:val="en-US"/>
        </w:rPr>
        <w:t xml:space="preserve">Relationship of cannabis use with the development of mental disorders: Bibliographic review. </w:t>
      </w:r>
      <w:proofErr w:type="spellStart"/>
      <w:r w:rsidRPr="002E707A">
        <w:rPr>
          <w:i/>
          <w:lang w:val="pt-BR"/>
        </w:rPr>
        <w:t>Brazilian</w:t>
      </w:r>
      <w:proofErr w:type="spellEnd"/>
      <w:r w:rsidRPr="002E707A">
        <w:rPr>
          <w:i/>
          <w:lang w:val="pt-BR"/>
        </w:rPr>
        <w:t xml:space="preserve"> </w:t>
      </w:r>
      <w:proofErr w:type="spellStart"/>
      <w:r w:rsidRPr="002E707A">
        <w:rPr>
          <w:i/>
          <w:lang w:val="pt-BR"/>
        </w:rPr>
        <w:t>Journal</w:t>
      </w:r>
      <w:proofErr w:type="spellEnd"/>
      <w:r w:rsidRPr="002E707A">
        <w:rPr>
          <w:i/>
          <w:lang w:val="pt-BR"/>
        </w:rPr>
        <w:t xml:space="preserve"> </w:t>
      </w:r>
      <w:proofErr w:type="spellStart"/>
      <w:r w:rsidRPr="002E707A">
        <w:rPr>
          <w:i/>
          <w:lang w:val="pt-BR"/>
        </w:rPr>
        <w:t>of</w:t>
      </w:r>
      <w:proofErr w:type="spellEnd"/>
      <w:r w:rsidRPr="002E707A">
        <w:rPr>
          <w:i/>
          <w:lang w:val="pt-BR"/>
        </w:rPr>
        <w:t xml:space="preserve"> </w:t>
      </w:r>
      <w:proofErr w:type="spellStart"/>
      <w:r w:rsidRPr="002E707A">
        <w:rPr>
          <w:i/>
          <w:lang w:val="pt-BR"/>
        </w:rPr>
        <w:t>Development</w:t>
      </w:r>
      <w:proofErr w:type="spellEnd"/>
      <w:r w:rsidRPr="002E707A">
        <w:rPr>
          <w:i/>
          <w:lang w:val="pt-BR"/>
        </w:rPr>
        <w:t>, 6</w:t>
      </w:r>
      <w:r w:rsidRPr="002E707A">
        <w:rPr>
          <w:lang w:val="pt-BR"/>
        </w:rPr>
        <w:t>(11), 89255–89264.</w:t>
      </w:r>
    </w:p>
    <w:p w14:paraId="21FEA604" w14:textId="77777777" w:rsidR="008A2DB6" w:rsidRDefault="008A2DB6" w:rsidP="004D7442">
      <w:pPr>
        <w:shd w:val="clear" w:color="auto" w:fill="FFFFFF"/>
        <w:spacing w:line="360" w:lineRule="auto"/>
        <w:ind w:left="709" w:hanging="709"/>
        <w:rPr>
          <w:lang w:val="pt-BR"/>
        </w:rPr>
      </w:pPr>
      <w:r w:rsidRPr="00A65A8D">
        <w:rPr>
          <w:lang w:val="pt-BR"/>
        </w:rPr>
        <w:t xml:space="preserve">Holanda, L. C. (2023). </w:t>
      </w:r>
      <w:r w:rsidRPr="00A65A8D">
        <w:rPr>
          <w:i/>
          <w:iCs/>
          <w:lang w:val="pt-BR"/>
        </w:rPr>
        <w:t>Efeitos do uso da cannabis e da guerra às drogas sobre a saúde dos usuários</w:t>
      </w:r>
      <w:r w:rsidRPr="00A65A8D">
        <w:rPr>
          <w:lang w:val="pt-BR"/>
        </w:rPr>
        <w:t xml:space="preserve"> [Tese de doutorado em Psicologia, Universidade Federal do Ceará].</w:t>
      </w:r>
    </w:p>
    <w:p w14:paraId="4133B468" w14:textId="77777777" w:rsidR="008A2DB6" w:rsidRPr="003812B5" w:rsidRDefault="008A2DB6" w:rsidP="004D7442">
      <w:pPr>
        <w:shd w:val="clear" w:color="auto" w:fill="FFFFFF"/>
        <w:spacing w:line="360" w:lineRule="auto"/>
        <w:ind w:left="709" w:hanging="709"/>
        <w:rPr>
          <w:lang w:val="en-US"/>
        </w:rPr>
      </w:pPr>
      <w:r w:rsidRPr="003812B5">
        <w:rPr>
          <w:lang w:val="en-US"/>
        </w:rPr>
        <w:t xml:space="preserve">Huestis, M. A. (2005). Pharmacokinetics and metabolism of the plant cannabinoids, delta9-tetrahydrocannabinol, cannabidiol and cannabinol. In </w:t>
      </w:r>
      <w:r w:rsidRPr="003812B5">
        <w:rPr>
          <w:i/>
          <w:lang w:val="en-US"/>
        </w:rPr>
        <w:t>Handbook of Experimental Pharmacology</w:t>
      </w:r>
      <w:r w:rsidRPr="003812B5">
        <w:rPr>
          <w:lang w:val="en-US"/>
        </w:rPr>
        <w:t xml:space="preserve"> (Vol. 168, pp. 657–690).</w:t>
      </w:r>
      <w:hyperlink r:id="rId13">
        <w:r w:rsidRPr="003812B5">
          <w:rPr>
            <w:lang w:val="en-US"/>
          </w:rPr>
          <w:t xml:space="preserve"> </w:t>
        </w:r>
      </w:hyperlink>
      <w:r w:rsidRPr="003812B5">
        <w:rPr>
          <w:lang w:val="en-US"/>
        </w:rPr>
        <w:t>https://doi.org/10.1007/3-540-26573-2_23</w:t>
      </w:r>
    </w:p>
    <w:p w14:paraId="779CC229" w14:textId="77777777" w:rsidR="008A2DB6" w:rsidRPr="002E707A" w:rsidRDefault="008A2DB6" w:rsidP="004D7442">
      <w:pPr>
        <w:shd w:val="clear" w:color="auto" w:fill="FFFFFF"/>
        <w:spacing w:line="360" w:lineRule="auto"/>
        <w:ind w:left="709" w:hanging="709"/>
        <w:rPr>
          <w:lang w:val="pt-BR"/>
        </w:rPr>
      </w:pPr>
      <w:proofErr w:type="spellStart"/>
      <w:r w:rsidRPr="002E707A">
        <w:rPr>
          <w:lang w:val="pt-BR"/>
        </w:rPr>
        <w:t>Ibáñez</w:t>
      </w:r>
      <w:proofErr w:type="spellEnd"/>
      <w:r w:rsidRPr="002E707A">
        <w:rPr>
          <w:lang w:val="pt-BR"/>
        </w:rPr>
        <w:t xml:space="preserve">-Jiménez, E., Miguez, G., </w:t>
      </w:r>
      <w:proofErr w:type="spellStart"/>
      <w:r w:rsidRPr="002E707A">
        <w:rPr>
          <w:lang w:val="pt-BR"/>
        </w:rPr>
        <w:t>Quezada</w:t>
      </w:r>
      <w:proofErr w:type="spellEnd"/>
      <w:r w:rsidRPr="002E707A">
        <w:rPr>
          <w:lang w:val="pt-BR"/>
        </w:rPr>
        <w:t xml:space="preserve">-Scholz, V. E., Alfaro, F., Bertin, F., Aguilar, C., ... &amp; </w:t>
      </w:r>
      <w:proofErr w:type="spellStart"/>
      <w:r w:rsidRPr="002E707A">
        <w:rPr>
          <w:lang w:val="pt-BR"/>
        </w:rPr>
        <w:t>Laborda</w:t>
      </w:r>
      <w:proofErr w:type="spellEnd"/>
      <w:r w:rsidRPr="002E707A">
        <w:rPr>
          <w:lang w:val="pt-BR"/>
        </w:rPr>
        <w:t xml:space="preserve">, M. A. (2023). Cannabis </w:t>
      </w:r>
      <w:proofErr w:type="spellStart"/>
      <w:r w:rsidRPr="002E707A">
        <w:rPr>
          <w:lang w:val="pt-BR"/>
        </w:rPr>
        <w:t>tolerance</w:t>
      </w:r>
      <w:proofErr w:type="spellEnd"/>
      <w:r w:rsidRPr="002E707A">
        <w:rPr>
          <w:lang w:val="pt-BR"/>
        </w:rPr>
        <w:t xml:space="preserve">: A </w:t>
      </w:r>
      <w:proofErr w:type="spellStart"/>
      <w:r w:rsidRPr="002E707A">
        <w:rPr>
          <w:lang w:val="pt-BR"/>
        </w:rPr>
        <w:t>scope</w:t>
      </w:r>
      <w:proofErr w:type="spellEnd"/>
      <w:r w:rsidRPr="002E707A">
        <w:rPr>
          <w:lang w:val="pt-BR"/>
        </w:rPr>
        <w:t xml:space="preserve"> review. </w:t>
      </w:r>
      <w:r w:rsidRPr="002E707A">
        <w:rPr>
          <w:i/>
          <w:lang w:val="pt-BR"/>
        </w:rPr>
        <w:t xml:space="preserve">Revista Interamericana de </w:t>
      </w:r>
      <w:proofErr w:type="spellStart"/>
      <w:r w:rsidRPr="002E707A">
        <w:rPr>
          <w:i/>
          <w:lang w:val="pt-BR"/>
        </w:rPr>
        <w:t>Psicología</w:t>
      </w:r>
      <w:proofErr w:type="spellEnd"/>
      <w:r w:rsidRPr="002E707A">
        <w:rPr>
          <w:i/>
          <w:lang w:val="pt-BR"/>
        </w:rPr>
        <w:t>/</w:t>
      </w:r>
      <w:proofErr w:type="spellStart"/>
      <w:r w:rsidRPr="002E707A">
        <w:rPr>
          <w:i/>
          <w:lang w:val="pt-BR"/>
        </w:rPr>
        <w:t>Interamerican</w:t>
      </w:r>
      <w:proofErr w:type="spellEnd"/>
      <w:r w:rsidRPr="002E707A">
        <w:rPr>
          <w:i/>
          <w:lang w:val="pt-BR"/>
        </w:rPr>
        <w:t xml:space="preserve"> </w:t>
      </w:r>
      <w:proofErr w:type="spellStart"/>
      <w:r w:rsidRPr="002E707A">
        <w:rPr>
          <w:i/>
          <w:lang w:val="pt-BR"/>
        </w:rPr>
        <w:t>Journal</w:t>
      </w:r>
      <w:proofErr w:type="spellEnd"/>
      <w:r w:rsidRPr="002E707A">
        <w:rPr>
          <w:i/>
          <w:lang w:val="pt-BR"/>
        </w:rPr>
        <w:t xml:space="preserve"> </w:t>
      </w:r>
      <w:proofErr w:type="spellStart"/>
      <w:r w:rsidRPr="002E707A">
        <w:rPr>
          <w:i/>
          <w:lang w:val="pt-BR"/>
        </w:rPr>
        <w:t>of</w:t>
      </w:r>
      <w:proofErr w:type="spellEnd"/>
      <w:r w:rsidRPr="002E707A">
        <w:rPr>
          <w:i/>
          <w:lang w:val="pt-BR"/>
        </w:rPr>
        <w:t xml:space="preserve"> </w:t>
      </w:r>
      <w:proofErr w:type="spellStart"/>
      <w:r w:rsidRPr="002E707A">
        <w:rPr>
          <w:i/>
          <w:lang w:val="pt-BR"/>
        </w:rPr>
        <w:t>Psychology</w:t>
      </w:r>
      <w:proofErr w:type="spellEnd"/>
      <w:r w:rsidRPr="002E707A">
        <w:rPr>
          <w:i/>
          <w:lang w:val="pt-BR"/>
        </w:rPr>
        <w:t>, 57</w:t>
      </w:r>
      <w:r w:rsidRPr="002E707A">
        <w:rPr>
          <w:lang w:val="pt-BR"/>
        </w:rPr>
        <w:t>(3), e1925. https://doi.org/10.30849/ripijp.v57i3.1925</w:t>
      </w:r>
    </w:p>
    <w:p w14:paraId="53D18A91" w14:textId="77777777" w:rsidR="008A2DB6" w:rsidRPr="003812B5" w:rsidRDefault="008A2DB6" w:rsidP="004D7442">
      <w:pPr>
        <w:shd w:val="clear" w:color="auto" w:fill="FFFFFF"/>
        <w:spacing w:line="360" w:lineRule="auto"/>
        <w:ind w:left="709" w:hanging="709"/>
        <w:rPr>
          <w:lang w:val="en-US"/>
        </w:rPr>
      </w:pPr>
      <w:r w:rsidRPr="00F32A22">
        <w:rPr>
          <w:lang w:val="en-US"/>
        </w:rPr>
        <w:t xml:space="preserve">Johnstad, P. G. (2024). </w:t>
      </w:r>
      <w:r w:rsidRPr="003812B5">
        <w:rPr>
          <w:lang w:val="en-US"/>
        </w:rPr>
        <w:t xml:space="preserve">Unhealthy behaviors associated with mental health disorders: a systematic comparative review of diet quality, sedentary behavior, and cannabis and tobacco use. </w:t>
      </w:r>
      <w:r w:rsidRPr="003812B5">
        <w:rPr>
          <w:i/>
          <w:iCs/>
          <w:lang w:val="en-US"/>
        </w:rPr>
        <w:t>Frontiers in Public Health</w:t>
      </w:r>
      <w:r w:rsidRPr="003812B5">
        <w:rPr>
          <w:lang w:val="en-US"/>
        </w:rPr>
        <w:t xml:space="preserve">, </w:t>
      </w:r>
      <w:r w:rsidRPr="003812B5">
        <w:rPr>
          <w:i/>
          <w:iCs/>
          <w:lang w:val="en-US"/>
        </w:rPr>
        <w:t>11</w:t>
      </w:r>
      <w:r w:rsidRPr="003812B5">
        <w:rPr>
          <w:lang w:val="en-US"/>
        </w:rPr>
        <w:t>, 1268339. https://doi.org/10.3389/fpubh.2023.1268339</w:t>
      </w:r>
    </w:p>
    <w:p w14:paraId="28BDB744" w14:textId="77777777" w:rsidR="008A2DB6" w:rsidRPr="003812B5" w:rsidRDefault="008A2DB6" w:rsidP="004D7442">
      <w:pPr>
        <w:shd w:val="clear" w:color="auto" w:fill="FFFFFF"/>
        <w:spacing w:line="360" w:lineRule="auto"/>
        <w:ind w:left="709" w:hanging="709"/>
        <w:rPr>
          <w:lang w:val="en-US"/>
        </w:rPr>
      </w:pPr>
      <w:r w:rsidRPr="003812B5">
        <w:rPr>
          <w:lang w:val="en-US"/>
        </w:rPr>
        <w:t xml:space="preserve">Kaya Mind. </w:t>
      </w:r>
      <w:r w:rsidRPr="00E60A22">
        <w:rPr>
          <w:lang w:val="pt-BR"/>
        </w:rPr>
        <w:t xml:space="preserve">(2023). </w:t>
      </w:r>
      <w:r w:rsidRPr="00E60A22">
        <w:rPr>
          <w:i/>
          <w:iCs/>
          <w:lang w:val="pt-BR"/>
        </w:rPr>
        <w:t>Anuário da cannabis medicinal no Brasil 2023.</w:t>
      </w:r>
      <w:r w:rsidRPr="00E60A22">
        <w:rPr>
          <w:lang w:val="pt-BR"/>
        </w:rPr>
        <w:t xml:space="preserve"> </w:t>
      </w:r>
      <w:r w:rsidRPr="003812B5">
        <w:rPr>
          <w:lang w:val="en-US"/>
        </w:rPr>
        <w:t>Retrieved February 26, 2025, from https://kayamind.com/anuario-da-cannabis-medicinal-no-brasil-2023/</w:t>
      </w:r>
    </w:p>
    <w:p w14:paraId="112C7656" w14:textId="77777777" w:rsidR="008A2DB6" w:rsidRPr="003812B5" w:rsidRDefault="008A2DB6" w:rsidP="004D7442">
      <w:pPr>
        <w:shd w:val="clear" w:color="auto" w:fill="FFFFFF"/>
        <w:spacing w:line="360" w:lineRule="auto"/>
        <w:ind w:left="709" w:hanging="709"/>
        <w:rPr>
          <w:lang w:val="en-US"/>
        </w:rPr>
      </w:pPr>
      <w:proofErr w:type="spellStart"/>
      <w:r w:rsidRPr="003812B5">
        <w:rPr>
          <w:lang w:val="en-US"/>
        </w:rPr>
        <w:t>Knaappila</w:t>
      </w:r>
      <w:proofErr w:type="spellEnd"/>
      <w:r w:rsidRPr="003812B5">
        <w:rPr>
          <w:lang w:val="en-US"/>
        </w:rPr>
        <w:t xml:space="preserve">, N., </w:t>
      </w:r>
      <w:proofErr w:type="spellStart"/>
      <w:r w:rsidRPr="003812B5">
        <w:rPr>
          <w:lang w:val="en-US"/>
        </w:rPr>
        <w:t>Marttunen</w:t>
      </w:r>
      <w:proofErr w:type="spellEnd"/>
      <w:r w:rsidRPr="003812B5">
        <w:rPr>
          <w:lang w:val="en-US"/>
        </w:rPr>
        <w:t xml:space="preserve">, M., Fröjd, S., Lindberg, N., &amp; </w:t>
      </w:r>
      <w:proofErr w:type="spellStart"/>
      <w:r w:rsidRPr="003812B5">
        <w:rPr>
          <w:lang w:val="en-US"/>
        </w:rPr>
        <w:t>Kaltiala</w:t>
      </w:r>
      <w:proofErr w:type="spellEnd"/>
      <w:r w:rsidRPr="003812B5">
        <w:rPr>
          <w:lang w:val="en-US"/>
        </w:rPr>
        <w:t xml:space="preserve">, R. (2020). Changes in cannabis use according to socioeconomic status among Finnish adolescents from 2000 to 2015. </w:t>
      </w:r>
      <w:r w:rsidRPr="003812B5">
        <w:rPr>
          <w:i/>
          <w:iCs/>
          <w:lang w:val="en-US"/>
        </w:rPr>
        <w:t>Journal of cannabis research</w:t>
      </w:r>
      <w:r w:rsidRPr="003812B5">
        <w:rPr>
          <w:lang w:val="en-US"/>
        </w:rPr>
        <w:t xml:space="preserve">, </w:t>
      </w:r>
      <w:r w:rsidRPr="003812B5">
        <w:rPr>
          <w:i/>
          <w:iCs/>
          <w:lang w:val="en-US"/>
        </w:rPr>
        <w:t>2</w:t>
      </w:r>
      <w:r w:rsidRPr="003812B5">
        <w:rPr>
          <w:lang w:val="en-US"/>
        </w:rPr>
        <w:t>, 1-9. https://doi.org/10.1186/s42238-020-00052-y</w:t>
      </w:r>
    </w:p>
    <w:p w14:paraId="71C4716B" w14:textId="77777777" w:rsidR="008A2DB6" w:rsidRPr="003812B5" w:rsidRDefault="008A2DB6" w:rsidP="004D7442">
      <w:pPr>
        <w:shd w:val="clear" w:color="auto" w:fill="FFFFFF"/>
        <w:spacing w:line="360" w:lineRule="auto"/>
        <w:ind w:left="709" w:hanging="709"/>
        <w:rPr>
          <w:rFonts w:eastAsia="Arial"/>
          <w:lang w:val="en-US"/>
        </w:rPr>
      </w:pPr>
      <w:r w:rsidRPr="003812B5">
        <w:rPr>
          <w:rFonts w:eastAsia="Arial"/>
          <w:lang w:val="en-US"/>
        </w:rPr>
        <w:t xml:space="preserve">Knapp, A. A., Lee, D. C., </w:t>
      </w:r>
      <w:proofErr w:type="spellStart"/>
      <w:r w:rsidRPr="003812B5">
        <w:rPr>
          <w:rFonts w:eastAsia="Arial"/>
          <w:lang w:val="en-US"/>
        </w:rPr>
        <w:t>Borodovsky</w:t>
      </w:r>
      <w:proofErr w:type="spellEnd"/>
      <w:r w:rsidRPr="003812B5">
        <w:rPr>
          <w:rFonts w:eastAsia="Arial"/>
          <w:lang w:val="en-US"/>
        </w:rPr>
        <w:t>, J. T., Auty, S. G., Gabrielli, J., &amp; Budney, A. J. (2019). Emerging trends in cannabis administration among adolescent cannabis users. Journal of Adolescent Health, 64(4), 487-493. https://doi.org/10.1016/j.jadohealth.2018.07.012</w:t>
      </w:r>
    </w:p>
    <w:p w14:paraId="18400E35" w14:textId="77777777" w:rsidR="008A2DB6" w:rsidRPr="003812B5" w:rsidRDefault="008A2DB6" w:rsidP="004D7442">
      <w:pPr>
        <w:shd w:val="clear" w:color="auto" w:fill="FFFFFF"/>
        <w:spacing w:line="360" w:lineRule="auto"/>
        <w:ind w:left="709" w:hanging="709"/>
        <w:rPr>
          <w:lang w:val="en-US"/>
        </w:rPr>
      </w:pPr>
      <w:r w:rsidRPr="003812B5">
        <w:rPr>
          <w:lang w:val="en-US"/>
        </w:rPr>
        <w:t xml:space="preserve">Kurtzman, E. T., &amp; Young-Wolff, K. C. (2021). Why do Americans use </w:t>
      </w:r>
      <w:proofErr w:type="gramStart"/>
      <w:r w:rsidRPr="003812B5">
        <w:rPr>
          <w:lang w:val="en-US"/>
        </w:rPr>
        <w:t>marijuana?.</w:t>
      </w:r>
      <w:proofErr w:type="gramEnd"/>
      <w:r w:rsidRPr="003812B5">
        <w:rPr>
          <w:lang w:val="en-US"/>
        </w:rPr>
        <w:t xml:space="preserve"> </w:t>
      </w:r>
      <w:r w:rsidRPr="003812B5">
        <w:rPr>
          <w:i/>
          <w:iCs/>
          <w:lang w:val="en-US"/>
        </w:rPr>
        <w:t>Drug and alcohol dependence</w:t>
      </w:r>
      <w:r w:rsidRPr="003812B5">
        <w:rPr>
          <w:lang w:val="en-US"/>
        </w:rPr>
        <w:t xml:space="preserve">, </w:t>
      </w:r>
      <w:r w:rsidRPr="003812B5">
        <w:rPr>
          <w:i/>
          <w:iCs/>
          <w:lang w:val="en-US"/>
        </w:rPr>
        <w:t>226</w:t>
      </w:r>
      <w:r w:rsidRPr="003812B5">
        <w:rPr>
          <w:lang w:val="en-US"/>
        </w:rPr>
        <w:t>, 108880. https://doi.org/10.1016/j.drugalcdep.2021.108880</w:t>
      </w:r>
    </w:p>
    <w:p w14:paraId="6C6DD64D" w14:textId="77777777" w:rsidR="008A2DB6" w:rsidRPr="003812B5" w:rsidRDefault="008A2DB6" w:rsidP="004D7442">
      <w:pPr>
        <w:shd w:val="clear" w:color="auto" w:fill="FFFFFF"/>
        <w:spacing w:line="360" w:lineRule="auto"/>
        <w:ind w:left="709" w:hanging="709"/>
        <w:rPr>
          <w:lang w:val="en-US"/>
        </w:rPr>
      </w:pPr>
      <w:r w:rsidRPr="003812B5">
        <w:rPr>
          <w:lang w:val="en-US"/>
        </w:rPr>
        <w:t xml:space="preserve">Larsen, B., &amp; Luna, B. (2018). Adolescence </w:t>
      </w:r>
      <w:proofErr w:type="gramStart"/>
      <w:r w:rsidRPr="003812B5">
        <w:rPr>
          <w:lang w:val="en-US"/>
        </w:rPr>
        <w:t>as</w:t>
      </w:r>
      <w:proofErr w:type="gramEnd"/>
      <w:r w:rsidRPr="003812B5">
        <w:rPr>
          <w:lang w:val="en-US"/>
        </w:rPr>
        <w:t xml:space="preserve"> a neurobiological critical period for the development of higher-order cognition. </w:t>
      </w:r>
      <w:r w:rsidRPr="003812B5">
        <w:rPr>
          <w:i/>
          <w:iCs/>
          <w:lang w:val="en-US"/>
        </w:rPr>
        <w:t>Neuroscience &amp; Biobehavioral Reviews</w:t>
      </w:r>
      <w:r w:rsidRPr="003812B5">
        <w:rPr>
          <w:lang w:val="en-US"/>
        </w:rPr>
        <w:t xml:space="preserve">, </w:t>
      </w:r>
      <w:r w:rsidRPr="003812B5">
        <w:rPr>
          <w:i/>
          <w:iCs/>
          <w:lang w:val="en-US"/>
        </w:rPr>
        <w:t>94</w:t>
      </w:r>
      <w:r w:rsidRPr="003812B5">
        <w:rPr>
          <w:lang w:val="en-US"/>
        </w:rPr>
        <w:t>, 179-195. https://doi.org/10.1016/j.neubiorev.2018.09.005</w:t>
      </w:r>
    </w:p>
    <w:p w14:paraId="4CC33A03" w14:textId="77777777" w:rsidR="008A2DB6" w:rsidRPr="00D3706C" w:rsidRDefault="008A2DB6" w:rsidP="004D7442">
      <w:pPr>
        <w:shd w:val="clear" w:color="auto" w:fill="FFFFFF"/>
        <w:spacing w:line="360" w:lineRule="auto"/>
        <w:ind w:left="709" w:hanging="709"/>
        <w:rPr>
          <w:lang w:val="pt-BR"/>
        </w:rPr>
      </w:pPr>
      <w:r w:rsidRPr="003812B5">
        <w:rPr>
          <w:lang w:val="en-US"/>
        </w:rPr>
        <w:t xml:space="preserve">Lee-Winn, A. E., Mendelson, T., &amp; Johnson, R. M. (2018). Associations between coping and marijuana use in a nationally representative sample of adolescents in the United States. </w:t>
      </w:r>
      <w:proofErr w:type="spellStart"/>
      <w:r w:rsidRPr="00D3706C">
        <w:rPr>
          <w:i/>
          <w:iCs/>
          <w:lang w:val="pt-BR"/>
        </w:rPr>
        <w:t>Addictive</w:t>
      </w:r>
      <w:proofErr w:type="spellEnd"/>
      <w:r w:rsidRPr="00D3706C">
        <w:rPr>
          <w:i/>
          <w:iCs/>
          <w:lang w:val="pt-BR"/>
        </w:rPr>
        <w:t xml:space="preserve"> </w:t>
      </w:r>
      <w:proofErr w:type="spellStart"/>
      <w:r w:rsidRPr="00D3706C">
        <w:rPr>
          <w:i/>
          <w:iCs/>
          <w:lang w:val="pt-BR"/>
        </w:rPr>
        <w:t>behaviors</w:t>
      </w:r>
      <w:proofErr w:type="spellEnd"/>
      <w:r w:rsidRPr="00D3706C">
        <w:rPr>
          <w:lang w:val="pt-BR"/>
        </w:rPr>
        <w:t xml:space="preserve">, </w:t>
      </w:r>
      <w:r w:rsidRPr="00D3706C">
        <w:rPr>
          <w:i/>
          <w:iCs/>
          <w:lang w:val="pt-BR"/>
        </w:rPr>
        <w:t>80</w:t>
      </w:r>
      <w:r w:rsidRPr="00D3706C">
        <w:rPr>
          <w:lang w:val="pt-BR"/>
        </w:rPr>
        <w:t>, 130-134.</w:t>
      </w:r>
      <w:r w:rsidRPr="002E707A">
        <w:rPr>
          <w:lang w:val="pt-BR"/>
        </w:rPr>
        <w:t xml:space="preserve"> https://doi.org/10.1016/j.addbeh.2018.01.008</w:t>
      </w:r>
    </w:p>
    <w:p w14:paraId="7895709C" w14:textId="77777777" w:rsidR="008A2DB6" w:rsidRPr="003812B5" w:rsidRDefault="008A2DB6" w:rsidP="004D7442">
      <w:pPr>
        <w:shd w:val="clear" w:color="auto" w:fill="FFFFFF"/>
        <w:spacing w:line="360" w:lineRule="auto"/>
        <w:ind w:left="709" w:hanging="709"/>
        <w:rPr>
          <w:color w:val="1155CC"/>
          <w:u w:val="single"/>
          <w:lang w:val="en-US"/>
        </w:rPr>
      </w:pPr>
      <w:r w:rsidRPr="002E707A">
        <w:rPr>
          <w:lang w:val="pt-BR"/>
        </w:rPr>
        <w:lastRenderedPageBreak/>
        <w:t xml:space="preserve">Levada, L. P., da Silva, K. C. B., Alves, A. R. B., de Lima e Silva, N. B., Soares, T. F., Raposo, H. F. P., &amp; de Oliveira, I. P. C. G. (2024). </w:t>
      </w:r>
      <w:r w:rsidRPr="003812B5">
        <w:rPr>
          <w:lang w:val="en-US"/>
        </w:rPr>
        <w:t xml:space="preserve">A narrative literature review on the use of cannabidiol in the treatment of anxiety. </w:t>
      </w:r>
      <w:r w:rsidRPr="003812B5">
        <w:rPr>
          <w:i/>
          <w:lang w:val="en-US"/>
        </w:rPr>
        <w:t>Brazilian Journal of Implantology and Health Sciences, 6</w:t>
      </w:r>
      <w:r w:rsidRPr="003812B5">
        <w:rPr>
          <w:lang w:val="en-US"/>
        </w:rPr>
        <w:t>(2), 2257–2266.</w:t>
      </w:r>
      <w:hyperlink r:id="rId14">
        <w:r w:rsidRPr="003812B5">
          <w:rPr>
            <w:lang w:val="en-US"/>
          </w:rPr>
          <w:t xml:space="preserve"> </w:t>
        </w:r>
      </w:hyperlink>
      <w:r w:rsidRPr="003812B5">
        <w:rPr>
          <w:lang w:val="en-US"/>
        </w:rPr>
        <w:t>https://doi.org/10.36557/2674-8169.2024v6n2p2257-2266</w:t>
      </w:r>
    </w:p>
    <w:p w14:paraId="180E039D" w14:textId="77777777" w:rsidR="008A2DB6" w:rsidRPr="002E707A" w:rsidRDefault="008A2DB6" w:rsidP="004D7442">
      <w:pPr>
        <w:shd w:val="clear" w:color="auto" w:fill="FFFFFF"/>
        <w:spacing w:line="360" w:lineRule="auto"/>
        <w:ind w:left="709" w:hanging="709"/>
        <w:rPr>
          <w:color w:val="1155CC"/>
          <w:u w:val="single"/>
          <w:lang w:val="pt-BR"/>
        </w:rPr>
      </w:pPr>
      <w:r w:rsidRPr="003812B5">
        <w:rPr>
          <w:lang w:val="en-US"/>
        </w:rPr>
        <w:t xml:space="preserve">Lowe, D. J. E., </w:t>
      </w:r>
      <w:proofErr w:type="spellStart"/>
      <w:r w:rsidRPr="003812B5">
        <w:rPr>
          <w:lang w:val="en-US"/>
        </w:rPr>
        <w:t>Sasiadek</w:t>
      </w:r>
      <w:proofErr w:type="spellEnd"/>
      <w:r w:rsidRPr="003812B5">
        <w:rPr>
          <w:lang w:val="en-US"/>
        </w:rPr>
        <w:t xml:space="preserve">, J. D., Coles, A. S., &amp; George, T. P. (2019). Cannabis and mental illness: A review. </w:t>
      </w:r>
      <w:r w:rsidRPr="003812B5">
        <w:rPr>
          <w:i/>
          <w:lang w:val="en-US"/>
        </w:rPr>
        <w:t>European Archives of Psychiatry and Clinical Neuroscience, 269</w:t>
      </w:r>
      <w:r w:rsidRPr="003812B5">
        <w:rPr>
          <w:lang w:val="en-US"/>
        </w:rPr>
        <w:t>(1), 107-120.</w:t>
      </w:r>
      <w:hyperlink r:id="rId15">
        <w:r w:rsidRPr="003812B5">
          <w:rPr>
            <w:lang w:val="en-US"/>
          </w:rPr>
          <w:t xml:space="preserve"> </w:t>
        </w:r>
      </w:hyperlink>
      <w:r w:rsidRPr="002E707A">
        <w:rPr>
          <w:lang w:val="pt-BR"/>
        </w:rPr>
        <w:t>https://doi.org/10.1007/s00406-018-0970-7</w:t>
      </w:r>
    </w:p>
    <w:p w14:paraId="6CAD6A16" w14:textId="77777777" w:rsidR="008A2DB6" w:rsidRPr="002E707A" w:rsidRDefault="008A2DB6" w:rsidP="004D7442">
      <w:pPr>
        <w:shd w:val="clear" w:color="auto" w:fill="FFFFFF"/>
        <w:spacing w:line="360" w:lineRule="auto"/>
        <w:ind w:left="709" w:hanging="709"/>
        <w:rPr>
          <w:lang w:val="pt-BR"/>
        </w:rPr>
      </w:pPr>
      <w:r w:rsidRPr="002E707A">
        <w:rPr>
          <w:lang w:val="pt-BR"/>
        </w:rPr>
        <w:t>Maxx, M. (2017, agosto 21). Como nasce o “prensado”. A Pública. https://apublica.org/2017/08/como-nasce-o-prensado/</w:t>
      </w:r>
    </w:p>
    <w:p w14:paraId="53CBB5D8" w14:textId="77777777" w:rsidR="008A2DB6" w:rsidRPr="003812B5" w:rsidRDefault="008A2DB6" w:rsidP="004D7442">
      <w:pPr>
        <w:shd w:val="clear" w:color="auto" w:fill="FFFFFF"/>
        <w:spacing w:line="360" w:lineRule="auto"/>
        <w:ind w:left="709" w:hanging="709"/>
        <w:rPr>
          <w:lang w:val="en-US"/>
        </w:rPr>
      </w:pPr>
      <w:r w:rsidRPr="003812B5">
        <w:rPr>
          <w:lang w:val="en-US"/>
        </w:rPr>
        <w:t xml:space="preserve">Mazza, M. (2021). Medical cannabis for the treatment of fibromyalgia syndrome: A retrospective, open-label case series. </w:t>
      </w:r>
      <w:r w:rsidRPr="003812B5">
        <w:rPr>
          <w:i/>
          <w:lang w:val="en-US"/>
        </w:rPr>
        <w:t>Journal of Cannabis Research, 3</w:t>
      </w:r>
      <w:r w:rsidRPr="003812B5">
        <w:rPr>
          <w:lang w:val="en-US"/>
        </w:rPr>
        <w:t>(1), 1-18. https://doi.org/10.1186/s42238-021-00060-6</w:t>
      </w:r>
    </w:p>
    <w:p w14:paraId="490BF004" w14:textId="77777777" w:rsidR="008A2DB6" w:rsidRPr="003812B5" w:rsidRDefault="008A2DB6" w:rsidP="004D7442">
      <w:pPr>
        <w:shd w:val="clear" w:color="auto" w:fill="FFFFFF"/>
        <w:spacing w:line="360" w:lineRule="auto"/>
        <w:ind w:left="709" w:hanging="709"/>
        <w:rPr>
          <w:lang w:val="en-US"/>
        </w:rPr>
      </w:pPr>
      <w:proofErr w:type="spellStart"/>
      <w:r w:rsidRPr="003812B5">
        <w:rPr>
          <w:lang w:val="en-US"/>
        </w:rPr>
        <w:t>Muthén</w:t>
      </w:r>
      <w:proofErr w:type="spellEnd"/>
      <w:r w:rsidRPr="003812B5">
        <w:rPr>
          <w:lang w:val="en-US"/>
        </w:rPr>
        <w:t xml:space="preserve">, B., &amp; </w:t>
      </w:r>
      <w:proofErr w:type="spellStart"/>
      <w:r w:rsidRPr="003812B5">
        <w:rPr>
          <w:lang w:val="en-US"/>
        </w:rPr>
        <w:t>Asparouhov</w:t>
      </w:r>
      <w:proofErr w:type="spellEnd"/>
      <w:r w:rsidRPr="003812B5">
        <w:rPr>
          <w:lang w:val="en-US"/>
        </w:rPr>
        <w:t xml:space="preserve">, T. (2012). Bayesian structural equation modeling: A more flexible representation of substantive theory. </w:t>
      </w:r>
      <w:r w:rsidRPr="003812B5">
        <w:rPr>
          <w:i/>
          <w:lang w:val="en-US"/>
        </w:rPr>
        <w:t>Psychological Methods, 17</w:t>
      </w:r>
      <w:r w:rsidRPr="003812B5">
        <w:rPr>
          <w:lang w:val="en-US"/>
        </w:rPr>
        <w:t>(3), 313–335. https://doi.org/10.1037/a0026802</w:t>
      </w:r>
    </w:p>
    <w:p w14:paraId="6A03AD68" w14:textId="77777777" w:rsidR="008A2DB6" w:rsidRPr="00F32A22" w:rsidRDefault="008A2DB6" w:rsidP="004D7442">
      <w:pPr>
        <w:shd w:val="clear" w:color="auto" w:fill="FFFFFF"/>
        <w:spacing w:line="360" w:lineRule="auto"/>
        <w:ind w:left="709" w:hanging="709"/>
        <w:rPr>
          <w:rFonts w:eastAsia="Arial"/>
          <w:lang w:val="pt-BR"/>
        </w:rPr>
      </w:pPr>
      <w:proofErr w:type="spellStart"/>
      <w:r w:rsidRPr="003812B5">
        <w:rPr>
          <w:rFonts w:eastAsia="Arial"/>
          <w:lang w:val="en-US"/>
        </w:rPr>
        <w:t>Muthén</w:t>
      </w:r>
      <w:proofErr w:type="spellEnd"/>
      <w:r w:rsidRPr="003812B5">
        <w:rPr>
          <w:rFonts w:eastAsia="Arial"/>
          <w:lang w:val="en-US"/>
        </w:rPr>
        <w:t xml:space="preserve">, L. K., &amp; </w:t>
      </w:r>
      <w:proofErr w:type="spellStart"/>
      <w:r w:rsidRPr="003812B5">
        <w:rPr>
          <w:rFonts w:eastAsia="Arial"/>
          <w:lang w:val="en-US"/>
        </w:rPr>
        <w:t>Muthén</w:t>
      </w:r>
      <w:proofErr w:type="spellEnd"/>
      <w:r w:rsidRPr="003812B5">
        <w:rPr>
          <w:rFonts w:eastAsia="Arial"/>
          <w:lang w:val="en-US"/>
        </w:rPr>
        <w:t xml:space="preserve">, B. O. (2018). </w:t>
      </w:r>
      <w:proofErr w:type="spellStart"/>
      <w:r w:rsidRPr="003812B5">
        <w:rPr>
          <w:rFonts w:eastAsia="Arial"/>
          <w:lang w:val="en-US"/>
        </w:rPr>
        <w:t>Mplus</w:t>
      </w:r>
      <w:proofErr w:type="spellEnd"/>
      <w:r w:rsidRPr="003812B5">
        <w:rPr>
          <w:rFonts w:eastAsia="Arial"/>
          <w:lang w:val="en-US"/>
        </w:rPr>
        <w:t>: Statistical Analysis with Latent Variables. </w:t>
      </w:r>
      <w:r w:rsidRPr="00F32A22">
        <w:rPr>
          <w:rFonts w:eastAsia="Arial"/>
          <w:lang w:val="pt-BR"/>
        </w:rPr>
        <w:t>User's Guide.</w:t>
      </w:r>
    </w:p>
    <w:p w14:paraId="2A205476" w14:textId="77777777" w:rsidR="008A2DB6" w:rsidRPr="003934B3" w:rsidRDefault="008A2DB6" w:rsidP="004D7442">
      <w:pPr>
        <w:shd w:val="clear" w:color="auto" w:fill="FFFFFF"/>
        <w:spacing w:line="360" w:lineRule="auto"/>
        <w:ind w:left="709" w:hanging="709"/>
        <w:rPr>
          <w:lang w:val="pt-BR"/>
        </w:rPr>
      </w:pPr>
      <w:r w:rsidRPr="003934B3">
        <w:rPr>
          <w:lang w:val="pt-BR"/>
        </w:rPr>
        <w:t xml:space="preserve">Pierro Neto, P. A., Pierro, L. M. C., &amp; Fernandes, S. T. (2023). Cannabis: 12.000 anos de experiências e preconceitos. </w:t>
      </w:r>
      <w:proofErr w:type="spellStart"/>
      <w:r w:rsidRPr="003934B3">
        <w:rPr>
          <w:i/>
          <w:iCs/>
          <w:lang w:val="pt-BR"/>
        </w:rPr>
        <w:t>BrJP</w:t>
      </w:r>
      <w:proofErr w:type="spellEnd"/>
      <w:r w:rsidRPr="003934B3">
        <w:rPr>
          <w:lang w:val="pt-BR"/>
        </w:rPr>
        <w:t xml:space="preserve">, </w:t>
      </w:r>
      <w:r w:rsidRPr="003934B3">
        <w:rPr>
          <w:i/>
          <w:iCs/>
          <w:lang w:val="pt-BR"/>
        </w:rPr>
        <w:t>6</w:t>
      </w:r>
      <w:r w:rsidRPr="003934B3">
        <w:rPr>
          <w:lang w:val="pt-BR"/>
        </w:rPr>
        <w:t>, 80-84.</w:t>
      </w:r>
      <w:r w:rsidRPr="002E707A">
        <w:rPr>
          <w:lang w:val="pt-BR"/>
        </w:rPr>
        <w:t xml:space="preserve"> https://doi.org/10.5935/2595-0118.20230055-pt</w:t>
      </w:r>
    </w:p>
    <w:p w14:paraId="3554F900" w14:textId="77777777" w:rsidR="008A2DB6" w:rsidRPr="003812B5" w:rsidRDefault="008A2DB6" w:rsidP="004D7442">
      <w:pPr>
        <w:spacing w:line="360" w:lineRule="auto"/>
        <w:ind w:left="709" w:hanging="709"/>
        <w:rPr>
          <w:lang w:val="en-US"/>
        </w:rPr>
      </w:pPr>
      <w:r w:rsidRPr="003812B5">
        <w:rPr>
          <w:lang w:val="en-US"/>
        </w:rPr>
        <w:t xml:space="preserve">Schlienz, N. J., Spindle, T. R., Cone, E. J., Herrmann, E. S., Bigelow, G. E., Mitchell, J. M., ... </w:t>
      </w:r>
      <w:r w:rsidRPr="001A66A8">
        <w:rPr>
          <w:lang w:val="en-US"/>
        </w:rPr>
        <w:t xml:space="preserve">&amp; Vandrey, R. (2020). </w:t>
      </w:r>
      <w:r w:rsidRPr="003812B5">
        <w:rPr>
          <w:lang w:val="en-US"/>
        </w:rPr>
        <w:t xml:space="preserve">Pharmacodynamic dose effects of oral cannabis ingestion in healthy adults who infrequently use cannabis. </w:t>
      </w:r>
      <w:r w:rsidRPr="003812B5">
        <w:rPr>
          <w:i/>
          <w:iCs/>
          <w:lang w:val="en-US"/>
        </w:rPr>
        <w:t>Drug and alcohol dependence</w:t>
      </w:r>
      <w:r w:rsidRPr="003812B5">
        <w:rPr>
          <w:lang w:val="en-US"/>
        </w:rPr>
        <w:t xml:space="preserve">, </w:t>
      </w:r>
      <w:r w:rsidRPr="003812B5">
        <w:rPr>
          <w:i/>
          <w:iCs/>
          <w:lang w:val="en-US"/>
        </w:rPr>
        <w:t>211</w:t>
      </w:r>
      <w:r w:rsidRPr="003812B5">
        <w:rPr>
          <w:lang w:val="en-US"/>
        </w:rPr>
        <w:t>, 107969. https://doi.org/10.1016/j.drugalcdep.2020.107969</w:t>
      </w:r>
    </w:p>
    <w:p w14:paraId="17E14F71" w14:textId="77777777" w:rsidR="008A2DB6" w:rsidRPr="003812B5" w:rsidRDefault="008A2DB6" w:rsidP="004D7442">
      <w:pPr>
        <w:spacing w:line="360" w:lineRule="auto"/>
        <w:ind w:left="709" w:hanging="709"/>
        <w:rPr>
          <w:lang w:val="en-US"/>
        </w:rPr>
      </w:pPr>
      <w:r w:rsidRPr="003812B5">
        <w:rPr>
          <w:lang w:val="en-US"/>
        </w:rPr>
        <w:t xml:space="preserve">Schoeler, T., Theobald, D., </w:t>
      </w:r>
      <w:proofErr w:type="spellStart"/>
      <w:r w:rsidRPr="003812B5">
        <w:rPr>
          <w:lang w:val="en-US"/>
        </w:rPr>
        <w:t>Pingault</w:t>
      </w:r>
      <w:proofErr w:type="spellEnd"/>
      <w:r w:rsidRPr="003812B5">
        <w:rPr>
          <w:lang w:val="en-US"/>
        </w:rPr>
        <w:t xml:space="preserve">, J. B., Farrington, D. P., </w:t>
      </w:r>
      <w:proofErr w:type="spellStart"/>
      <w:r w:rsidRPr="003812B5">
        <w:rPr>
          <w:lang w:val="en-US"/>
        </w:rPr>
        <w:t>Coid</w:t>
      </w:r>
      <w:proofErr w:type="spellEnd"/>
      <w:r w:rsidRPr="003812B5">
        <w:rPr>
          <w:lang w:val="en-US"/>
        </w:rPr>
        <w:t xml:space="preserve">, J. W., &amp; Bhattacharyya, S. (2018). Developmental sensitivity to cannabis </w:t>
      </w:r>
      <w:proofErr w:type="gramStart"/>
      <w:r w:rsidRPr="003812B5">
        <w:rPr>
          <w:lang w:val="en-US"/>
        </w:rPr>
        <w:t>use</w:t>
      </w:r>
      <w:proofErr w:type="gramEnd"/>
      <w:r w:rsidRPr="003812B5">
        <w:rPr>
          <w:lang w:val="en-US"/>
        </w:rPr>
        <w:t xml:space="preserve"> patterns and risk for major depressive disorder in mid-life: findings from 40 years of follow-up. </w:t>
      </w:r>
      <w:r w:rsidRPr="003812B5">
        <w:rPr>
          <w:i/>
          <w:iCs/>
          <w:lang w:val="en-US"/>
        </w:rPr>
        <w:t>Psychological medicine</w:t>
      </w:r>
      <w:r w:rsidRPr="003812B5">
        <w:rPr>
          <w:lang w:val="en-US"/>
        </w:rPr>
        <w:t xml:space="preserve">, </w:t>
      </w:r>
      <w:r w:rsidRPr="003812B5">
        <w:rPr>
          <w:i/>
          <w:iCs/>
          <w:lang w:val="en-US"/>
        </w:rPr>
        <w:t>48</w:t>
      </w:r>
      <w:r w:rsidRPr="003812B5">
        <w:rPr>
          <w:lang w:val="en-US"/>
        </w:rPr>
        <w:t xml:space="preserve">(13), 2169-2176. https://doi.org/10.1017/S0033291717003658 </w:t>
      </w:r>
    </w:p>
    <w:p w14:paraId="39B15EBE" w14:textId="77777777" w:rsidR="008A2DB6" w:rsidRPr="00F32A22" w:rsidRDefault="008A2DB6" w:rsidP="004D7442">
      <w:pPr>
        <w:shd w:val="clear" w:color="auto" w:fill="FFFFFF"/>
        <w:spacing w:line="360" w:lineRule="auto"/>
        <w:ind w:left="709" w:hanging="709"/>
        <w:rPr>
          <w:color w:val="1155CC"/>
          <w:u w:val="single"/>
          <w:lang w:val="en-US"/>
        </w:rPr>
      </w:pPr>
      <w:r w:rsidRPr="003812B5">
        <w:rPr>
          <w:lang w:val="en-US"/>
        </w:rPr>
        <w:t xml:space="preserve">Sharpe, L., Sinclair, J., Kramer, A., de Wit, H., &amp; Bidwell, L. C. (2020). Cannabis, a cause for anxiety? A critical appraisal of the anxiogenic and anxiolytic properties. </w:t>
      </w:r>
      <w:r w:rsidRPr="00F32A22">
        <w:rPr>
          <w:i/>
          <w:lang w:val="en-US"/>
        </w:rPr>
        <w:t>Journal of Translational Medicine, 18</w:t>
      </w:r>
      <w:r w:rsidRPr="00F32A22">
        <w:rPr>
          <w:lang w:val="en-US"/>
        </w:rPr>
        <w:t>(1), 1–21.</w:t>
      </w:r>
      <w:hyperlink r:id="rId16">
        <w:r w:rsidRPr="00F32A22">
          <w:rPr>
            <w:lang w:val="en-US"/>
          </w:rPr>
          <w:t xml:space="preserve"> </w:t>
        </w:r>
      </w:hyperlink>
      <w:r w:rsidRPr="00F32A22">
        <w:rPr>
          <w:lang w:val="en-US"/>
        </w:rPr>
        <w:t>https://doi.org/10.1186/s12967-020-02362-y</w:t>
      </w:r>
    </w:p>
    <w:p w14:paraId="648C7DCE" w14:textId="77777777" w:rsidR="008A2DB6" w:rsidRPr="003812B5" w:rsidRDefault="008A2DB6" w:rsidP="004D7442">
      <w:pPr>
        <w:shd w:val="clear" w:color="auto" w:fill="FFFFFF"/>
        <w:spacing w:line="360" w:lineRule="auto"/>
        <w:ind w:left="709" w:hanging="709"/>
        <w:rPr>
          <w:lang w:val="en-US"/>
        </w:rPr>
      </w:pPr>
      <w:r w:rsidRPr="00F32A22">
        <w:rPr>
          <w:lang w:val="en-US"/>
        </w:rPr>
        <w:lastRenderedPageBreak/>
        <w:t xml:space="preserve">Siddiqui, S. A., Singh, P., Khan, S., Fernando, I., Baklanov, I. S., Ambartsumov, T. G., &amp; Ibrahim, S. A. (2022). </w:t>
      </w:r>
      <w:r w:rsidRPr="003812B5">
        <w:rPr>
          <w:lang w:val="en-US"/>
        </w:rPr>
        <w:t xml:space="preserve">Cultural, social and psychological factors of the conservative consumer towards legal cannabis use—A review since 2013. </w:t>
      </w:r>
      <w:r w:rsidRPr="003812B5">
        <w:rPr>
          <w:i/>
          <w:iCs/>
          <w:lang w:val="en-US"/>
        </w:rPr>
        <w:t>Sustainability</w:t>
      </w:r>
      <w:r w:rsidRPr="003812B5">
        <w:rPr>
          <w:lang w:val="en-US"/>
        </w:rPr>
        <w:t xml:space="preserve">, </w:t>
      </w:r>
      <w:r w:rsidRPr="003812B5">
        <w:rPr>
          <w:i/>
          <w:iCs/>
          <w:lang w:val="en-US"/>
        </w:rPr>
        <w:t>14</w:t>
      </w:r>
      <w:r w:rsidRPr="003812B5">
        <w:rPr>
          <w:lang w:val="en-US"/>
        </w:rPr>
        <w:t>(17), 10993. https://doi.org/10.3390/su141710993</w:t>
      </w:r>
      <w:r w:rsidRPr="003812B5">
        <w:rPr>
          <w:lang w:val="en-US"/>
        </w:rPr>
        <w:tab/>
      </w:r>
    </w:p>
    <w:p w14:paraId="7CC33F6B" w14:textId="77777777" w:rsidR="008A2DB6" w:rsidRPr="003812B5" w:rsidRDefault="008A2DB6" w:rsidP="004D7442">
      <w:pPr>
        <w:shd w:val="clear" w:color="auto" w:fill="FFFFFF"/>
        <w:spacing w:line="360" w:lineRule="auto"/>
        <w:ind w:left="709" w:hanging="709"/>
        <w:rPr>
          <w:lang w:val="en-US"/>
        </w:rPr>
      </w:pPr>
      <w:r w:rsidRPr="003812B5">
        <w:rPr>
          <w:lang w:val="en-US"/>
        </w:rPr>
        <w:t xml:space="preserve">Sinha, P., Calfee, C. S., &amp; Delucchi, K. L. (2021). Practitioner’s guide to latent class analysis: methodological considerations and common pitfalls. </w:t>
      </w:r>
      <w:r w:rsidRPr="003812B5">
        <w:rPr>
          <w:i/>
          <w:iCs/>
          <w:lang w:val="en-US"/>
        </w:rPr>
        <w:t>Critical care medicine</w:t>
      </w:r>
      <w:r w:rsidRPr="003812B5">
        <w:rPr>
          <w:lang w:val="en-US"/>
        </w:rPr>
        <w:t xml:space="preserve">, </w:t>
      </w:r>
      <w:r w:rsidRPr="003812B5">
        <w:rPr>
          <w:i/>
          <w:iCs/>
          <w:lang w:val="en-US"/>
        </w:rPr>
        <w:t>49</w:t>
      </w:r>
      <w:r w:rsidRPr="003812B5">
        <w:rPr>
          <w:lang w:val="en-US"/>
        </w:rPr>
        <w:t>(1), e63-e79. http://doi.org/10.1097/CCM.0000000000004710</w:t>
      </w:r>
    </w:p>
    <w:p w14:paraId="6964E82D" w14:textId="77777777" w:rsidR="008A2DB6" w:rsidRPr="003812B5" w:rsidRDefault="008A2DB6" w:rsidP="004D7442">
      <w:pPr>
        <w:shd w:val="clear" w:color="auto" w:fill="FFFFFF"/>
        <w:spacing w:line="360" w:lineRule="auto"/>
        <w:ind w:left="709" w:hanging="709"/>
        <w:rPr>
          <w:lang w:val="en-US"/>
        </w:rPr>
      </w:pPr>
      <w:proofErr w:type="spellStart"/>
      <w:r w:rsidRPr="003812B5">
        <w:rPr>
          <w:rFonts w:eastAsia="Arial"/>
          <w:lang w:val="en-US"/>
        </w:rPr>
        <w:t>Spurk</w:t>
      </w:r>
      <w:proofErr w:type="spellEnd"/>
      <w:r w:rsidRPr="003812B5">
        <w:rPr>
          <w:rFonts w:eastAsia="Arial"/>
          <w:lang w:val="en-US"/>
        </w:rPr>
        <w:t xml:space="preserve">, D., Hirschi, A., Wang, M., Valero, D., &amp; Kauffeld, S. (2020). Latent profile analysis: A review and “how to” guide of its application within vocational behavior research. </w:t>
      </w:r>
      <w:r w:rsidRPr="003812B5">
        <w:rPr>
          <w:rFonts w:eastAsia="Arial"/>
          <w:i/>
          <w:iCs/>
          <w:lang w:val="en-US"/>
        </w:rPr>
        <w:t>Journal of vocational behavior</w:t>
      </w:r>
      <w:r w:rsidRPr="003812B5">
        <w:rPr>
          <w:rFonts w:eastAsia="Arial"/>
          <w:lang w:val="en-US"/>
        </w:rPr>
        <w:t xml:space="preserve">, </w:t>
      </w:r>
      <w:r w:rsidRPr="003812B5">
        <w:rPr>
          <w:rFonts w:eastAsia="Arial"/>
          <w:i/>
          <w:iCs/>
          <w:lang w:val="en-US"/>
        </w:rPr>
        <w:t>120</w:t>
      </w:r>
      <w:r w:rsidRPr="003812B5">
        <w:rPr>
          <w:rFonts w:eastAsia="Arial"/>
          <w:lang w:val="en-US"/>
        </w:rPr>
        <w:t>, 103445.</w:t>
      </w:r>
      <w:r w:rsidRPr="003812B5">
        <w:rPr>
          <w:lang w:val="en-US"/>
        </w:rPr>
        <w:t xml:space="preserve"> </w:t>
      </w:r>
      <w:r w:rsidRPr="003812B5">
        <w:rPr>
          <w:rFonts w:eastAsia="Arial"/>
          <w:lang w:val="en-US"/>
        </w:rPr>
        <w:t>https://doi.org/10.1016/j.jvb.2020.103445</w:t>
      </w:r>
    </w:p>
    <w:p w14:paraId="5F2BED5F" w14:textId="77777777" w:rsidR="008A2DB6" w:rsidRPr="003812B5" w:rsidRDefault="008A2DB6" w:rsidP="004D7442">
      <w:pPr>
        <w:shd w:val="clear" w:color="auto" w:fill="FFFFFF"/>
        <w:spacing w:line="360" w:lineRule="auto"/>
        <w:ind w:left="709" w:hanging="709"/>
        <w:rPr>
          <w:lang w:val="en-US"/>
        </w:rPr>
      </w:pPr>
      <w:r w:rsidRPr="003812B5">
        <w:rPr>
          <w:lang w:val="en-US"/>
        </w:rPr>
        <w:t xml:space="preserve">Strand, N. H., Maloney, J., Kraus, M., Wie, C., Turkiewicz, M., Gomez, D. A., ... </w:t>
      </w:r>
      <w:r w:rsidRPr="00F32A22">
        <w:rPr>
          <w:lang w:val="en-US"/>
        </w:rPr>
        <w:t xml:space="preserve">&amp; Harbell, M. W. (2023). </w:t>
      </w:r>
      <w:r w:rsidRPr="003812B5">
        <w:rPr>
          <w:lang w:val="en-US"/>
        </w:rPr>
        <w:t xml:space="preserve">Cannabis for the treatment of fibromyalgia: a systematic review. </w:t>
      </w:r>
      <w:r w:rsidRPr="003812B5">
        <w:rPr>
          <w:i/>
          <w:iCs/>
          <w:lang w:val="en-US"/>
        </w:rPr>
        <w:t>Biomedicines</w:t>
      </w:r>
      <w:r w:rsidRPr="003812B5">
        <w:rPr>
          <w:lang w:val="en-US"/>
        </w:rPr>
        <w:t xml:space="preserve">, </w:t>
      </w:r>
      <w:r w:rsidRPr="003812B5">
        <w:rPr>
          <w:i/>
          <w:iCs/>
          <w:lang w:val="en-US"/>
        </w:rPr>
        <w:t>11</w:t>
      </w:r>
      <w:r w:rsidRPr="003812B5">
        <w:rPr>
          <w:lang w:val="en-US"/>
        </w:rPr>
        <w:t>(6), 1621. https://doi.org/10.3390/biomedicines11061621</w:t>
      </w:r>
    </w:p>
    <w:p w14:paraId="333E4C59" w14:textId="77777777" w:rsidR="008A2DB6" w:rsidRPr="003812B5" w:rsidRDefault="008A2DB6" w:rsidP="004D7442">
      <w:pPr>
        <w:shd w:val="clear" w:color="auto" w:fill="FFFFFF"/>
        <w:spacing w:line="360" w:lineRule="auto"/>
        <w:ind w:left="709" w:hanging="709"/>
        <w:rPr>
          <w:lang w:val="en-US"/>
        </w:rPr>
      </w:pPr>
      <w:r w:rsidRPr="003812B5">
        <w:rPr>
          <w:lang w:val="en-US"/>
        </w:rPr>
        <w:t xml:space="preserve">The Gallup Organization. Support for legal marijuana holds at </w:t>
      </w:r>
      <w:proofErr w:type="gramStart"/>
      <w:r w:rsidRPr="003812B5">
        <w:rPr>
          <w:lang w:val="en-US"/>
        </w:rPr>
        <w:t>record</w:t>
      </w:r>
      <w:proofErr w:type="gramEnd"/>
      <w:r w:rsidRPr="003812B5">
        <w:rPr>
          <w:lang w:val="en-US"/>
        </w:rPr>
        <w:t xml:space="preserve"> high of 68%. Gallup [Internet]. 2021. Available from: https://news.gallup.com/poll/356939/support-legal-marijuana-holds-record-high.aspx</w:t>
      </w:r>
    </w:p>
    <w:p w14:paraId="7803CF51" w14:textId="77777777" w:rsidR="008A2DB6" w:rsidRPr="006A1AB3" w:rsidRDefault="008A2DB6" w:rsidP="004D7442">
      <w:pPr>
        <w:shd w:val="clear" w:color="auto" w:fill="FFFFFF"/>
        <w:spacing w:line="360" w:lineRule="auto"/>
        <w:ind w:left="709" w:hanging="709"/>
        <w:rPr>
          <w:lang w:val="pt-BR"/>
        </w:rPr>
      </w:pPr>
      <w:r w:rsidRPr="006A1AB3">
        <w:rPr>
          <w:lang w:val="pt-BR"/>
        </w:rPr>
        <w:t xml:space="preserve">Torcato, C. E. M. (2016). </w:t>
      </w:r>
      <w:r w:rsidRPr="006A1AB3">
        <w:rPr>
          <w:i/>
          <w:iCs/>
          <w:lang w:val="pt-BR"/>
        </w:rPr>
        <w:t>A história das drogas e sua proibição no Brasil: Da Colônia à República</w:t>
      </w:r>
      <w:r w:rsidRPr="006A1AB3">
        <w:rPr>
          <w:lang w:val="pt-BR"/>
        </w:rPr>
        <w:t xml:space="preserve"> [Tese de doutorado, Universidade de São Paulo].</w:t>
      </w:r>
    </w:p>
    <w:p w14:paraId="45354039" w14:textId="77777777" w:rsidR="008A2DB6" w:rsidRPr="003812B5" w:rsidRDefault="008A2DB6" w:rsidP="004D7442">
      <w:pPr>
        <w:shd w:val="clear" w:color="auto" w:fill="FFFFFF"/>
        <w:spacing w:line="360" w:lineRule="auto"/>
        <w:ind w:left="709" w:hanging="709"/>
        <w:rPr>
          <w:lang w:val="en-US"/>
        </w:rPr>
      </w:pPr>
      <w:r w:rsidRPr="003812B5">
        <w:rPr>
          <w:lang w:val="en-US"/>
        </w:rPr>
        <w:t xml:space="preserve">Ueno, L. F., Mian, M. N., Altman, B. R., Giandelone, E., Luce, M., &amp; Earleywine, M. (2021). Age-related differences in cannabis product use. </w:t>
      </w:r>
      <w:r w:rsidRPr="003812B5">
        <w:rPr>
          <w:i/>
          <w:iCs/>
          <w:lang w:val="en-US"/>
        </w:rPr>
        <w:t>Journal of psychoactive drugs</w:t>
      </w:r>
      <w:r w:rsidRPr="003812B5">
        <w:rPr>
          <w:lang w:val="en-US"/>
        </w:rPr>
        <w:t xml:space="preserve">, </w:t>
      </w:r>
      <w:r w:rsidRPr="003812B5">
        <w:rPr>
          <w:i/>
          <w:iCs/>
          <w:lang w:val="en-US"/>
        </w:rPr>
        <w:t>53</w:t>
      </w:r>
      <w:r w:rsidRPr="003812B5">
        <w:rPr>
          <w:lang w:val="en-US"/>
        </w:rPr>
        <w:t>(4), 312-318. https://doi.org/10.1080/02791072.2020.1870778</w:t>
      </w:r>
    </w:p>
    <w:p w14:paraId="26EDB6D5" w14:textId="77777777" w:rsidR="008A2DB6" w:rsidRPr="003812B5" w:rsidRDefault="008A2DB6" w:rsidP="004D7442">
      <w:pPr>
        <w:shd w:val="clear" w:color="auto" w:fill="FFFFFF"/>
        <w:spacing w:line="360" w:lineRule="auto"/>
        <w:ind w:left="709" w:hanging="709"/>
        <w:rPr>
          <w:lang w:val="en-US"/>
        </w:rPr>
      </w:pPr>
      <w:r w:rsidRPr="003812B5">
        <w:rPr>
          <w:lang w:val="en-US"/>
        </w:rPr>
        <w:t xml:space="preserve">United Nations Office on Drugs and Crime. (2024). </w:t>
      </w:r>
      <w:r w:rsidRPr="003812B5">
        <w:rPr>
          <w:i/>
          <w:iCs/>
          <w:lang w:val="en-US"/>
        </w:rPr>
        <w:t>World drug report</w:t>
      </w:r>
      <w:r w:rsidRPr="003812B5">
        <w:rPr>
          <w:lang w:val="en-US"/>
        </w:rPr>
        <w:t>. United Nations. https://www.unodc.org/unodc/en/data-and-analysis/wdr2024-drug-market-trends.html</w:t>
      </w:r>
    </w:p>
    <w:p w14:paraId="088BC0FB" w14:textId="77777777" w:rsidR="008A2DB6" w:rsidRPr="00D81BF8" w:rsidRDefault="008A2DB6" w:rsidP="004D7442">
      <w:pPr>
        <w:shd w:val="clear" w:color="auto" w:fill="FFFFFF"/>
        <w:spacing w:line="360" w:lineRule="auto"/>
        <w:ind w:left="709" w:hanging="709"/>
        <w:rPr>
          <w:rFonts w:eastAsia="Arial"/>
          <w:lang w:val="pt-BR"/>
        </w:rPr>
      </w:pPr>
      <w:r w:rsidRPr="003812B5">
        <w:rPr>
          <w:rFonts w:eastAsia="Arial"/>
          <w:lang w:val="en-US"/>
        </w:rPr>
        <w:t xml:space="preserve">Warf, B. (2014). High points: an historical geography of cannabis. </w:t>
      </w:r>
      <w:proofErr w:type="spellStart"/>
      <w:r w:rsidRPr="00D81BF8">
        <w:rPr>
          <w:rFonts w:eastAsia="Arial"/>
          <w:i/>
          <w:iCs/>
          <w:lang w:val="pt-BR"/>
        </w:rPr>
        <w:t>Geographical</w:t>
      </w:r>
      <w:proofErr w:type="spellEnd"/>
      <w:r w:rsidRPr="00D81BF8">
        <w:rPr>
          <w:rFonts w:eastAsia="Arial"/>
          <w:i/>
          <w:iCs/>
          <w:lang w:val="pt-BR"/>
        </w:rPr>
        <w:t xml:space="preserve"> Review</w:t>
      </w:r>
      <w:r w:rsidRPr="00D81BF8">
        <w:rPr>
          <w:rFonts w:eastAsia="Arial"/>
          <w:lang w:val="pt-BR"/>
        </w:rPr>
        <w:t xml:space="preserve">, </w:t>
      </w:r>
      <w:r w:rsidRPr="00D81BF8">
        <w:rPr>
          <w:rFonts w:eastAsia="Arial"/>
          <w:i/>
          <w:iCs/>
          <w:lang w:val="pt-BR"/>
        </w:rPr>
        <w:t>104</w:t>
      </w:r>
      <w:r w:rsidRPr="00D81BF8">
        <w:rPr>
          <w:rFonts w:eastAsia="Arial"/>
          <w:lang w:val="pt-BR"/>
        </w:rPr>
        <w:t>(4), 414-438.</w:t>
      </w:r>
      <w:r w:rsidRPr="002E707A">
        <w:rPr>
          <w:lang w:val="pt-BR"/>
        </w:rPr>
        <w:t xml:space="preserve"> </w:t>
      </w:r>
      <w:r w:rsidRPr="002E707A">
        <w:rPr>
          <w:rFonts w:eastAsia="Arial"/>
          <w:lang w:val="pt-BR"/>
        </w:rPr>
        <w:t>https://doi.org/10.1111/j.1931-0846.2014.12038.x</w:t>
      </w:r>
    </w:p>
    <w:p w14:paraId="5CA55FC8" w14:textId="77777777" w:rsidR="00CE7D65" w:rsidRPr="002E707A" w:rsidRDefault="00CE7D65" w:rsidP="00CE7D65">
      <w:pPr>
        <w:ind w:left="720" w:hanging="720"/>
        <w:jc w:val="both"/>
        <w:rPr>
          <w:lang w:val="pt-BR"/>
        </w:rPr>
      </w:pPr>
    </w:p>
    <w:sectPr w:rsidR="00CE7D65" w:rsidRPr="002E707A" w:rsidSect="00E251DE">
      <w:headerReference w:type="even" r:id="rId17"/>
      <w:headerReference w:type="default" r:id="rId18"/>
      <w:footerReference w:type="even" r:id="rId19"/>
      <w:footerReference w:type="default" r:id="rId20"/>
      <w:pgSz w:w="12240" w:h="15840"/>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6E6AD" w14:textId="77777777" w:rsidR="00733676" w:rsidRDefault="00733676" w:rsidP="00C413D4">
      <w:r>
        <w:separator/>
      </w:r>
    </w:p>
  </w:endnote>
  <w:endnote w:type="continuationSeparator" w:id="0">
    <w:p w14:paraId="7D343C55" w14:textId="77777777" w:rsidR="00733676" w:rsidRDefault="00733676" w:rsidP="00C413D4">
      <w:r>
        <w:continuationSeparator/>
      </w:r>
    </w:p>
  </w:endnote>
  <w:endnote w:type="continuationNotice" w:id="1">
    <w:p w14:paraId="65541891" w14:textId="77777777" w:rsidR="00733676" w:rsidRDefault="007336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inionPro-Cn">
    <w:altName w:val="Cambria"/>
    <w:panose1 w:val="00000000000000000000"/>
    <w:charset w:val="00"/>
    <w:family w:val="roman"/>
    <w:notTrueType/>
    <w:pitch w:val="default"/>
  </w:font>
  <w:font w:name="Arial Unicode MS">
    <w:panose1 w:val="020B0604020202020204"/>
    <w:charset w:val="86"/>
    <w:family w:val="roman"/>
    <w:pitch w:val="default"/>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502D2" w14:textId="77777777" w:rsidR="00733676" w:rsidRDefault="00733676" w:rsidP="00C413D4">
      <w:r>
        <w:separator/>
      </w:r>
    </w:p>
  </w:footnote>
  <w:footnote w:type="continuationSeparator" w:id="0">
    <w:p w14:paraId="46668D71" w14:textId="77777777" w:rsidR="00733676" w:rsidRDefault="00733676" w:rsidP="00C413D4">
      <w:r>
        <w:continuationSeparator/>
      </w:r>
    </w:p>
  </w:footnote>
  <w:footnote w:type="continuationNotice" w:id="1">
    <w:p w14:paraId="10655878" w14:textId="77777777" w:rsidR="00733676" w:rsidRDefault="007336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20193" w14:textId="5CB7BBA5" w:rsidR="007C3C14" w:rsidRPr="00031DEF" w:rsidRDefault="00031DEF" w:rsidP="00031DEF">
    <w:pPr>
      <w:pStyle w:val="Cabealho"/>
      <w:jc w:val="center"/>
      <w:rPr>
        <w:lang w:val="pt-BR"/>
      </w:rPr>
    </w:pPr>
    <w:proofErr w:type="spellStart"/>
    <w:r w:rsidRPr="00031DEF">
      <w:rPr>
        <w:rFonts w:ascii="Times" w:hAnsi="Times" w:cs="Times New Roman (Body CS)"/>
        <w:smallCaps/>
        <w:sz w:val="20"/>
        <w:szCs w:val="20"/>
        <w:lang w:val="es-ES"/>
      </w:rPr>
      <w:t>Padrões</w:t>
    </w:r>
    <w:proofErr w:type="spellEnd"/>
    <w:r w:rsidRPr="00031DEF">
      <w:rPr>
        <w:rFonts w:ascii="Times" w:hAnsi="Times" w:cs="Times New Roman (Body CS)"/>
        <w:smallCaps/>
        <w:sz w:val="20"/>
        <w:szCs w:val="20"/>
        <w:lang w:val="es-ES"/>
      </w:rPr>
      <w:t xml:space="preserve"> </w:t>
    </w:r>
    <w:r>
      <w:rPr>
        <w:rFonts w:ascii="Times" w:hAnsi="Times" w:cs="Times New Roman (Body CS)"/>
        <w:smallCaps/>
        <w:sz w:val="20"/>
        <w:szCs w:val="20"/>
        <w:lang w:val="es-ES"/>
      </w:rPr>
      <w:t>d</w:t>
    </w:r>
    <w:r w:rsidRPr="00031DEF">
      <w:rPr>
        <w:rFonts w:ascii="Times" w:hAnsi="Times" w:cs="Times New Roman (Body CS)"/>
        <w:smallCaps/>
        <w:sz w:val="20"/>
        <w:szCs w:val="20"/>
        <w:lang w:val="es-ES"/>
      </w:rPr>
      <w:t xml:space="preserve">e Uso </w:t>
    </w:r>
    <w:r>
      <w:rPr>
        <w:rFonts w:ascii="Times" w:hAnsi="Times" w:cs="Times New Roman (Body CS)"/>
        <w:smallCaps/>
        <w:sz w:val="20"/>
        <w:szCs w:val="20"/>
        <w:lang w:val="es-ES"/>
      </w:rPr>
      <w:t>d</w:t>
    </w:r>
    <w:r w:rsidRPr="00031DEF">
      <w:rPr>
        <w:rFonts w:ascii="Times" w:hAnsi="Times" w:cs="Times New Roman (Body CS)"/>
        <w:smallCaps/>
        <w:sz w:val="20"/>
        <w:szCs w:val="20"/>
        <w:lang w:val="es-ES"/>
      </w:rPr>
      <w:t xml:space="preserve">e Cannabis </w:t>
    </w:r>
    <w:r>
      <w:rPr>
        <w:rFonts w:ascii="Times" w:hAnsi="Times" w:cs="Times New Roman (Body CS)"/>
        <w:smallCaps/>
        <w:sz w:val="20"/>
        <w:szCs w:val="20"/>
        <w:lang w:val="es-ES"/>
      </w:rPr>
      <w:t>e</w:t>
    </w:r>
    <w:r w:rsidRPr="00031DEF">
      <w:rPr>
        <w:rFonts w:ascii="Times" w:hAnsi="Times" w:cs="Times New Roman (Body CS)"/>
        <w:smallCaps/>
        <w:sz w:val="20"/>
        <w:szCs w:val="20"/>
        <w:lang w:val="es-ES"/>
      </w:rPr>
      <w:t xml:space="preserve"> </w:t>
    </w:r>
    <w:proofErr w:type="spellStart"/>
    <w:r>
      <w:rPr>
        <w:rFonts w:ascii="Times" w:hAnsi="Times" w:cs="Times New Roman (Body CS)"/>
        <w:smallCaps/>
        <w:sz w:val="20"/>
        <w:szCs w:val="20"/>
        <w:lang w:val="es-ES"/>
      </w:rPr>
      <w:t>s</w:t>
    </w:r>
    <w:r w:rsidRPr="00031DEF">
      <w:rPr>
        <w:rFonts w:ascii="Times" w:hAnsi="Times" w:cs="Times New Roman (Body CS)"/>
        <w:smallCaps/>
        <w:sz w:val="20"/>
        <w:szCs w:val="20"/>
        <w:lang w:val="es-ES"/>
      </w:rPr>
      <w:t>eus</w:t>
    </w:r>
    <w:proofErr w:type="spellEnd"/>
    <w:r w:rsidRPr="00031DEF">
      <w:rPr>
        <w:rFonts w:ascii="Times" w:hAnsi="Times" w:cs="Times New Roman (Body CS)"/>
        <w:smallCaps/>
        <w:sz w:val="20"/>
        <w:szCs w:val="20"/>
        <w:lang w:val="es-ES"/>
      </w:rPr>
      <w:t xml:space="preserve"> Determinantes Sociodemográficos </w:t>
    </w:r>
    <w:r>
      <w:rPr>
        <w:rFonts w:ascii="Times" w:hAnsi="Times" w:cs="Times New Roman (Body CS)"/>
        <w:smallCaps/>
        <w:sz w:val="20"/>
        <w:szCs w:val="20"/>
        <w:lang w:val="es-ES"/>
      </w:rPr>
      <w:t>e</w:t>
    </w:r>
    <w:r w:rsidRPr="00031DEF">
      <w:rPr>
        <w:rFonts w:ascii="Times" w:hAnsi="Times" w:cs="Times New Roman (Body CS)"/>
        <w:smallCaps/>
        <w:sz w:val="20"/>
        <w:szCs w:val="20"/>
        <w:lang w:val="es-ES"/>
      </w:rPr>
      <w:t xml:space="preserve">m </w:t>
    </w:r>
    <w:proofErr w:type="spellStart"/>
    <w:r>
      <w:rPr>
        <w:rFonts w:ascii="Times" w:hAnsi="Times" w:cs="Times New Roman (Body CS)"/>
        <w:smallCaps/>
        <w:sz w:val="20"/>
        <w:szCs w:val="20"/>
        <w:lang w:val="es-ES"/>
      </w:rPr>
      <w:t>u</w:t>
    </w:r>
    <w:r w:rsidRPr="00031DEF">
      <w:rPr>
        <w:rFonts w:ascii="Times" w:hAnsi="Times" w:cs="Times New Roman (Body CS)"/>
        <w:smallCaps/>
        <w:sz w:val="20"/>
        <w:szCs w:val="20"/>
        <w:lang w:val="es-ES"/>
      </w:rPr>
      <w:t>ma</w:t>
    </w:r>
    <w:proofErr w:type="spellEnd"/>
    <w:r w:rsidRPr="00031DEF">
      <w:rPr>
        <w:rFonts w:ascii="Times" w:hAnsi="Times" w:cs="Times New Roman (Body CS)"/>
        <w:smallCaps/>
        <w:sz w:val="20"/>
        <w:szCs w:val="20"/>
        <w:lang w:val="es-ES"/>
      </w:rPr>
      <w:t xml:space="preserve"> </w:t>
    </w:r>
    <w:proofErr w:type="spellStart"/>
    <w:r w:rsidRPr="00031DEF">
      <w:rPr>
        <w:rFonts w:ascii="Times" w:hAnsi="Times" w:cs="Times New Roman (Body CS)"/>
        <w:smallCaps/>
        <w:sz w:val="20"/>
        <w:szCs w:val="20"/>
        <w:lang w:val="es-ES"/>
      </w:rPr>
      <w:t>Amostra</w:t>
    </w:r>
    <w:proofErr w:type="spellEnd"/>
    <w:r w:rsidRPr="00031DEF">
      <w:rPr>
        <w:rFonts w:ascii="Times" w:hAnsi="Times" w:cs="Times New Roman (Body CS)"/>
        <w:smallCaps/>
        <w:sz w:val="20"/>
        <w:szCs w:val="20"/>
        <w:lang w:val="es-ES"/>
      </w:rPr>
      <w:t xml:space="preserve"> </w:t>
    </w:r>
    <w:r>
      <w:rPr>
        <w:rFonts w:ascii="Times" w:hAnsi="Times" w:cs="Times New Roman (Body CS)"/>
        <w:smallCaps/>
        <w:sz w:val="20"/>
        <w:szCs w:val="20"/>
        <w:lang w:val="es-ES"/>
      </w:rPr>
      <w:t>d</w:t>
    </w:r>
    <w:r w:rsidRPr="00031DEF">
      <w:rPr>
        <w:rFonts w:ascii="Times" w:hAnsi="Times" w:cs="Times New Roman (Body CS)"/>
        <w:smallCaps/>
        <w:sz w:val="20"/>
        <w:szCs w:val="20"/>
        <w:lang w:val="es-ES"/>
      </w:rPr>
      <w:t>e Adultos Brasileiros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46D6078A" w:rsidR="007C3C14" w:rsidRPr="0027261B" w:rsidRDefault="00CD7EC5" w:rsidP="00977250">
    <w:pPr>
      <w:pStyle w:val="Cabealh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70CA4F13"/>
    <w:multiLevelType w:val="hybridMultilevel"/>
    <w:tmpl w:val="9B3A9A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529104248">
    <w:abstractNumId w:val="11"/>
  </w:num>
  <w:num w:numId="2" w16cid:durableId="988365821">
    <w:abstractNumId w:val="4"/>
  </w:num>
  <w:num w:numId="3" w16cid:durableId="1256401991">
    <w:abstractNumId w:val="5"/>
  </w:num>
  <w:num w:numId="4" w16cid:durableId="2078699814">
    <w:abstractNumId w:val="6"/>
  </w:num>
  <w:num w:numId="5" w16cid:durableId="1384712658">
    <w:abstractNumId w:val="7"/>
  </w:num>
  <w:num w:numId="6" w16cid:durableId="1675180031">
    <w:abstractNumId w:val="9"/>
  </w:num>
  <w:num w:numId="7" w16cid:durableId="1100687789">
    <w:abstractNumId w:val="0"/>
  </w:num>
  <w:num w:numId="8" w16cid:durableId="576132824">
    <w:abstractNumId w:val="1"/>
  </w:num>
  <w:num w:numId="9" w16cid:durableId="336426940">
    <w:abstractNumId w:val="2"/>
  </w:num>
  <w:num w:numId="10" w16cid:durableId="886648373">
    <w:abstractNumId w:val="3"/>
  </w:num>
  <w:num w:numId="11" w16cid:durableId="1657492331">
    <w:abstractNumId w:val="8"/>
  </w:num>
  <w:num w:numId="12" w16cid:durableId="350229866">
    <w:abstractNumId w:val="10"/>
  </w:num>
  <w:num w:numId="13" w16cid:durableId="499740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14A"/>
    <w:rsid w:val="000252A0"/>
    <w:rsid w:val="00031DEF"/>
    <w:rsid w:val="000365CA"/>
    <w:rsid w:val="000378AC"/>
    <w:rsid w:val="00045868"/>
    <w:rsid w:val="0006100D"/>
    <w:rsid w:val="00076F0A"/>
    <w:rsid w:val="00082D68"/>
    <w:rsid w:val="00085881"/>
    <w:rsid w:val="0008687C"/>
    <w:rsid w:val="000A0548"/>
    <w:rsid w:val="000B1BEB"/>
    <w:rsid w:val="000B3DF7"/>
    <w:rsid w:val="000C79F7"/>
    <w:rsid w:val="000C7BAE"/>
    <w:rsid w:val="000E3B16"/>
    <w:rsid w:val="000E44FE"/>
    <w:rsid w:val="00107993"/>
    <w:rsid w:val="0012201C"/>
    <w:rsid w:val="001253E7"/>
    <w:rsid w:val="00127870"/>
    <w:rsid w:val="00130E72"/>
    <w:rsid w:val="001334D5"/>
    <w:rsid w:val="00134285"/>
    <w:rsid w:val="001516ED"/>
    <w:rsid w:val="00152150"/>
    <w:rsid w:val="00153DC5"/>
    <w:rsid w:val="001566F6"/>
    <w:rsid w:val="00162D58"/>
    <w:rsid w:val="001756F5"/>
    <w:rsid w:val="00190C08"/>
    <w:rsid w:val="00196252"/>
    <w:rsid w:val="001A5DB3"/>
    <w:rsid w:val="001A66A8"/>
    <w:rsid w:val="001C3FA5"/>
    <w:rsid w:val="001D07AD"/>
    <w:rsid w:val="001E2550"/>
    <w:rsid w:val="001E792F"/>
    <w:rsid w:val="001F09C2"/>
    <w:rsid w:val="001F7509"/>
    <w:rsid w:val="00203031"/>
    <w:rsid w:val="00206B05"/>
    <w:rsid w:val="0021483B"/>
    <w:rsid w:val="00216AFF"/>
    <w:rsid w:val="00217AE2"/>
    <w:rsid w:val="00222DFE"/>
    <w:rsid w:val="002338C2"/>
    <w:rsid w:val="00234E5C"/>
    <w:rsid w:val="00246D04"/>
    <w:rsid w:val="0025485B"/>
    <w:rsid w:val="002624E0"/>
    <w:rsid w:val="00263892"/>
    <w:rsid w:val="00265FDD"/>
    <w:rsid w:val="00271502"/>
    <w:rsid w:val="0027261B"/>
    <w:rsid w:val="00276645"/>
    <w:rsid w:val="002902B5"/>
    <w:rsid w:val="00294547"/>
    <w:rsid w:val="00297AFB"/>
    <w:rsid w:val="002A0A7A"/>
    <w:rsid w:val="002A1618"/>
    <w:rsid w:val="002A6326"/>
    <w:rsid w:val="002A69D0"/>
    <w:rsid w:val="002B2297"/>
    <w:rsid w:val="002B79EE"/>
    <w:rsid w:val="002C009C"/>
    <w:rsid w:val="002C1EB1"/>
    <w:rsid w:val="002C3A8D"/>
    <w:rsid w:val="002C7C6D"/>
    <w:rsid w:val="002C7DF0"/>
    <w:rsid w:val="002D1053"/>
    <w:rsid w:val="002E0320"/>
    <w:rsid w:val="002E3147"/>
    <w:rsid w:val="002E707A"/>
    <w:rsid w:val="002F02CA"/>
    <w:rsid w:val="002F070D"/>
    <w:rsid w:val="002F257B"/>
    <w:rsid w:val="002F38C8"/>
    <w:rsid w:val="00302C5C"/>
    <w:rsid w:val="0032000F"/>
    <w:rsid w:val="00325BAB"/>
    <w:rsid w:val="00340374"/>
    <w:rsid w:val="00346FE6"/>
    <w:rsid w:val="003710EA"/>
    <w:rsid w:val="00371366"/>
    <w:rsid w:val="003812B5"/>
    <w:rsid w:val="003909A7"/>
    <w:rsid w:val="00397DDF"/>
    <w:rsid w:val="003A544A"/>
    <w:rsid w:val="003C4AA4"/>
    <w:rsid w:val="003D21B8"/>
    <w:rsid w:val="003E4B06"/>
    <w:rsid w:val="003F69A2"/>
    <w:rsid w:val="003F6AA1"/>
    <w:rsid w:val="004065AB"/>
    <w:rsid w:val="0042142D"/>
    <w:rsid w:val="00430C97"/>
    <w:rsid w:val="004439E1"/>
    <w:rsid w:val="00443BEF"/>
    <w:rsid w:val="00447E89"/>
    <w:rsid w:val="00464A9D"/>
    <w:rsid w:val="00475FC0"/>
    <w:rsid w:val="00476C54"/>
    <w:rsid w:val="00483D6B"/>
    <w:rsid w:val="0048651A"/>
    <w:rsid w:val="004A5B8B"/>
    <w:rsid w:val="004B3060"/>
    <w:rsid w:val="004B554A"/>
    <w:rsid w:val="004C0483"/>
    <w:rsid w:val="004C0823"/>
    <w:rsid w:val="004D5719"/>
    <w:rsid w:val="004D7442"/>
    <w:rsid w:val="004F0F5C"/>
    <w:rsid w:val="00510E52"/>
    <w:rsid w:val="0053468D"/>
    <w:rsid w:val="00535243"/>
    <w:rsid w:val="00542090"/>
    <w:rsid w:val="005502F0"/>
    <w:rsid w:val="00555F5F"/>
    <w:rsid w:val="00564A66"/>
    <w:rsid w:val="00565C3D"/>
    <w:rsid w:val="00576894"/>
    <w:rsid w:val="005841B6"/>
    <w:rsid w:val="00586EF1"/>
    <w:rsid w:val="0059034C"/>
    <w:rsid w:val="00594317"/>
    <w:rsid w:val="005B24FF"/>
    <w:rsid w:val="005B5614"/>
    <w:rsid w:val="005D736B"/>
    <w:rsid w:val="005E5F3C"/>
    <w:rsid w:val="005E6F6B"/>
    <w:rsid w:val="005F126C"/>
    <w:rsid w:val="005F613C"/>
    <w:rsid w:val="0061199D"/>
    <w:rsid w:val="00613393"/>
    <w:rsid w:val="00616996"/>
    <w:rsid w:val="00620A71"/>
    <w:rsid w:val="00630C44"/>
    <w:rsid w:val="00653CB4"/>
    <w:rsid w:val="00661E42"/>
    <w:rsid w:val="00667978"/>
    <w:rsid w:val="006867E1"/>
    <w:rsid w:val="00691E03"/>
    <w:rsid w:val="006937D3"/>
    <w:rsid w:val="006A1BA2"/>
    <w:rsid w:val="006A6E16"/>
    <w:rsid w:val="006B0812"/>
    <w:rsid w:val="006B088F"/>
    <w:rsid w:val="006B0A32"/>
    <w:rsid w:val="006B162E"/>
    <w:rsid w:val="006C091B"/>
    <w:rsid w:val="006C21BC"/>
    <w:rsid w:val="006F6924"/>
    <w:rsid w:val="006F7E7E"/>
    <w:rsid w:val="00700F77"/>
    <w:rsid w:val="00704ECD"/>
    <w:rsid w:val="00724F5C"/>
    <w:rsid w:val="00733676"/>
    <w:rsid w:val="00740A40"/>
    <w:rsid w:val="00741D68"/>
    <w:rsid w:val="00742E4A"/>
    <w:rsid w:val="007461B8"/>
    <w:rsid w:val="00770AE4"/>
    <w:rsid w:val="00772A5D"/>
    <w:rsid w:val="007740F4"/>
    <w:rsid w:val="00774659"/>
    <w:rsid w:val="00791FED"/>
    <w:rsid w:val="007920BE"/>
    <w:rsid w:val="00795D57"/>
    <w:rsid w:val="0079756D"/>
    <w:rsid w:val="007A1428"/>
    <w:rsid w:val="007A2734"/>
    <w:rsid w:val="007A5442"/>
    <w:rsid w:val="007A59D3"/>
    <w:rsid w:val="007A7C7C"/>
    <w:rsid w:val="007A7CDC"/>
    <w:rsid w:val="007C3C14"/>
    <w:rsid w:val="007E34D6"/>
    <w:rsid w:val="007E3B8D"/>
    <w:rsid w:val="007F2567"/>
    <w:rsid w:val="008114AC"/>
    <w:rsid w:val="008151AB"/>
    <w:rsid w:val="00816268"/>
    <w:rsid w:val="00824D3A"/>
    <w:rsid w:val="00834233"/>
    <w:rsid w:val="00863414"/>
    <w:rsid w:val="00865DD5"/>
    <w:rsid w:val="00872EFD"/>
    <w:rsid w:val="00880120"/>
    <w:rsid w:val="008901BE"/>
    <w:rsid w:val="008A2DB6"/>
    <w:rsid w:val="008B0AB8"/>
    <w:rsid w:val="008B0F10"/>
    <w:rsid w:val="008C338C"/>
    <w:rsid w:val="008C409A"/>
    <w:rsid w:val="008C60A8"/>
    <w:rsid w:val="008C775E"/>
    <w:rsid w:val="008D509E"/>
    <w:rsid w:val="009032D5"/>
    <w:rsid w:val="00903DEB"/>
    <w:rsid w:val="009070A6"/>
    <w:rsid w:val="00924640"/>
    <w:rsid w:val="0093217A"/>
    <w:rsid w:val="00937697"/>
    <w:rsid w:val="0096085C"/>
    <w:rsid w:val="00962899"/>
    <w:rsid w:val="00966343"/>
    <w:rsid w:val="009713BC"/>
    <w:rsid w:val="009749F5"/>
    <w:rsid w:val="00977250"/>
    <w:rsid w:val="00987440"/>
    <w:rsid w:val="00993241"/>
    <w:rsid w:val="009A583F"/>
    <w:rsid w:val="009A74C1"/>
    <w:rsid w:val="009B3EF3"/>
    <w:rsid w:val="009C2434"/>
    <w:rsid w:val="009C661A"/>
    <w:rsid w:val="009D2551"/>
    <w:rsid w:val="009D6441"/>
    <w:rsid w:val="009E41C1"/>
    <w:rsid w:val="00A2008C"/>
    <w:rsid w:val="00A30790"/>
    <w:rsid w:val="00A32751"/>
    <w:rsid w:val="00A32A81"/>
    <w:rsid w:val="00A3334E"/>
    <w:rsid w:val="00A457D0"/>
    <w:rsid w:val="00A516C7"/>
    <w:rsid w:val="00A56261"/>
    <w:rsid w:val="00A613F3"/>
    <w:rsid w:val="00A62218"/>
    <w:rsid w:val="00A62EEE"/>
    <w:rsid w:val="00A741BB"/>
    <w:rsid w:val="00A871FB"/>
    <w:rsid w:val="00A87D27"/>
    <w:rsid w:val="00AB4844"/>
    <w:rsid w:val="00AC0FD7"/>
    <w:rsid w:val="00AC147F"/>
    <w:rsid w:val="00AC419F"/>
    <w:rsid w:val="00AC5287"/>
    <w:rsid w:val="00AD3238"/>
    <w:rsid w:val="00AD3DD9"/>
    <w:rsid w:val="00AE48D4"/>
    <w:rsid w:val="00B01539"/>
    <w:rsid w:val="00B02133"/>
    <w:rsid w:val="00B06283"/>
    <w:rsid w:val="00B11E90"/>
    <w:rsid w:val="00B20851"/>
    <w:rsid w:val="00B35B61"/>
    <w:rsid w:val="00B511FB"/>
    <w:rsid w:val="00B52A2C"/>
    <w:rsid w:val="00B5301D"/>
    <w:rsid w:val="00B60E75"/>
    <w:rsid w:val="00B6522A"/>
    <w:rsid w:val="00B70C3C"/>
    <w:rsid w:val="00B74B02"/>
    <w:rsid w:val="00B74D71"/>
    <w:rsid w:val="00B83A6E"/>
    <w:rsid w:val="00B845A1"/>
    <w:rsid w:val="00B954B8"/>
    <w:rsid w:val="00B957C4"/>
    <w:rsid w:val="00B9678D"/>
    <w:rsid w:val="00BA31D4"/>
    <w:rsid w:val="00BA3247"/>
    <w:rsid w:val="00BB2D34"/>
    <w:rsid w:val="00BC2AFB"/>
    <w:rsid w:val="00BD26F5"/>
    <w:rsid w:val="00BD4DDE"/>
    <w:rsid w:val="00BF59E7"/>
    <w:rsid w:val="00C1153E"/>
    <w:rsid w:val="00C32362"/>
    <w:rsid w:val="00C36560"/>
    <w:rsid w:val="00C400F4"/>
    <w:rsid w:val="00C413D4"/>
    <w:rsid w:val="00C43335"/>
    <w:rsid w:val="00C64ECF"/>
    <w:rsid w:val="00C81807"/>
    <w:rsid w:val="00C84812"/>
    <w:rsid w:val="00C93280"/>
    <w:rsid w:val="00CA12CE"/>
    <w:rsid w:val="00CA3BFF"/>
    <w:rsid w:val="00CA3C92"/>
    <w:rsid w:val="00CA4928"/>
    <w:rsid w:val="00CB2948"/>
    <w:rsid w:val="00CC4787"/>
    <w:rsid w:val="00CD14F6"/>
    <w:rsid w:val="00CD7EC5"/>
    <w:rsid w:val="00CE7D65"/>
    <w:rsid w:val="00CF040A"/>
    <w:rsid w:val="00CF1BB1"/>
    <w:rsid w:val="00CF2776"/>
    <w:rsid w:val="00CF4E1F"/>
    <w:rsid w:val="00CF5D21"/>
    <w:rsid w:val="00D02A4E"/>
    <w:rsid w:val="00D14AC8"/>
    <w:rsid w:val="00D23EEC"/>
    <w:rsid w:val="00D42C47"/>
    <w:rsid w:val="00D43B0F"/>
    <w:rsid w:val="00D455DD"/>
    <w:rsid w:val="00D50A66"/>
    <w:rsid w:val="00D56012"/>
    <w:rsid w:val="00D609BB"/>
    <w:rsid w:val="00D76874"/>
    <w:rsid w:val="00D84EF5"/>
    <w:rsid w:val="00D94A3F"/>
    <w:rsid w:val="00DB0374"/>
    <w:rsid w:val="00DB4A71"/>
    <w:rsid w:val="00DB6400"/>
    <w:rsid w:val="00DD40EE"/>
    <w:rsid w:val="00DE1119"/>
    <w:rsid w:val="00DE7EB8"/>
    <w:rsid w:val="00E11A43"/>
    <w:rsid w:val="00E13B46"/>
    <w:rsid w:val="00E20EA6"/>
    <w:rsid w:val="00E23C9E"/>
    <w:rsid w:val="00E24430"/>
    <w:rsid w:val="00E251DE"/>
    <w:rsid w:val="00E25900"/>
    <w:rsid w:val="00E26883"/>
    <w:rsid w:val="00E30D36"/>
    <w:rsid w:val="00E3671F"/>
    <w:rsid w:val="00E416F6"/>
    <w:rsid w:val="00E431C5"/>
    <w:rsid w:val="00E449A9"/>
    <w:rsid w:val="00E50D50"/>
    <w:rsid w:val="00E55124"/>
    <w:rsid w:val="00E878E7"/>
    <w:rsid w:val="00E97D42"/>
    <w:rsid w:val="00EA6646"/>
    <w:rsid w:val="00EB213C"/>
    <w:rsid w:val="00EB4FCC"/>
    <w:rsid w:val="00EC63F8"/>
    <w:rsid w:val="00ED2663"/>
    <w:rsid w:val="00EE49BF"/>
    <w:rsid w:val="00EF0BCF"/>
    <w:rsid w:val="00F21272"/>
    <w:rsid w:val="00F32A22"/>
    <w:rsid w:val="00F53E28"/>
    <w:rsid w:val="00F76693"/>
    <w:rsid w:val="00F92F1A"/>
    <w:rsid w:val="00F94D18"/>
    <w:rsid w:val="00FA224E"/>
    <w:rsid w:val="00FA66F5"/>
    <w:rsid w:val="00FB0419"/>
    <w:rsid w:val="00FB11B4"/>
    <w:rsid w:val="00FC5C57"/>
    <w:rsid w:val="00FD2D27"/>
    <w:rsid w:val="00FD3244"/>
    <w:rsid w:val="1B530F03"/>
    <w:rsid w:val="2648DDD1"/>
    <w:rsid w:val="49C00847"/>
    <w:rsid w:val="4FC330ED"/>
    <w:rsid w:val="620DA3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5:docId w15:val="{56D3D50A-B189-4D6F-90F6-B274CD17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har"/>
    <w:uiPriority w:val="9"/>
    <w:qFormat/>
    <w:rsid w:val="0053524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pt-BR" w:eastAsia="en-US"/>
      <w14:ligatures w14:val="standardContextua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53524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pt-BR" w:eastAsia="en-US"/>
      <w14:ligatures w14:val="standardContextual"/>
    </w:rPr>
  </w:style>
  <w:style w:type="paragraph" w:styleId="Ttulo4">
    <w:name w:val="heading 4"/>
    <w:basedOn w:val="Normal"/>
    <w:next w:val="Normal"/>
    <w:link w:val="Ttulo4Char"/>
    <w:uiPriority w:val="9"/>
    <w:semiHidden/>
    <w:unhideWhenUsed/>
    <w:qFormat/>
    <w:rsid w:val="0053524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pt-BR" w:eastAsia="en-US"/>
      <w14:ligatures w14:val="standardContextual"/>
    </w:rPr>
  </w:style>
  <w:style w:type="paragraph" w:styleId="Ttulo5">
    <w:name w:val="heading 5"/>
    <w:basedOn w:val="Normal"/>
    <w:next w:val="Normal"/>
    <w:link w:val="Ttulo5Char"/>
    <w:uiPriority w:val="9"/>
    <w:semiHidden/>
    <w:unhideWhenUsed/>
    <w:qFormat/>
    <w:rsid w:val="0053524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pt-BR" w:eastAsia="en-US"/>
      <w14:ligatures w14:val="standardContextual"/>
    </w:rPr>
  </w:style>
  <w:style w:type="paragraph" w:styleId="Ttulo6">
    <w:name w:val="heading 6"/>
    <w:basedOn w:val="Normal"/>
    <w:next w:val="Normal"/>
    <w:link w:val="Ttulo6Char"/>
    <w:uiPriority w:val="9"/>
    <w:semiHidden/>
    <w:unhideWhenUsed/>
    <w:qFormat/>
    <w:rsid w:val="0053524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pt-BR" w:eastAsia="en-US"/>
      <w14:ligatures w14:val="standardContextual"/>
    </w:rPr>
  </w:style>
  <w:style w:type="paragraph" w:styleId="Ttulo7">
    <w:name w:val="heading 7"/>
    <w:basedOn w:val="Normal"/>
    <w:next w:val="Normal"/>
    <w:link w:val="Ttulo7Char"/>
    <w:uiPriority w:val="9"/>
    <w:semiHidden/>
    <w:unhideWhenUsed/>
    <w:qFormat/>
    <w:rsid w:val="0053524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pt-BR" w:eastAsia="en-US"/>
      <w14:ligatures w14:val="standardContextual"/>
    </w:rPr>
  </w:style>
  <w:style w:type="paragraph" w:styleId="Ttulo8">
    <w:name w:val="heading 8"/>
    <w:basedOn w:val="Normal"/>
    <w:next w:val="Normal"/>
    <w:link w:val="Ttulo8Char"/>
    <w:uiPriority w:val="9"/>
    <w:semiHidden/>
    <w:unhideWhenUsed/>
    <w:qFormat/>
    <w:rsid w:val="0053524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pt-BR" w:eastAsia="en-US"/>
      <w14:ligatures w14:val="standardContextual"/>
    </w:rPr>
  </w:style>
  <w:style w:type="paragraph" w:styleId="Ttulo9">
    <w:name w:val="heading 9"/>
    <w:basedOn w:val="Normal"/>
    <w:next w:val="Normal"/>
    <w:link w:val="Ttulo9Char"/>
    <w:uiPriority w:val="9"/>
    <w:semiHidden/>
    <w:unhideWhenUsed/>
    <w:qFormat/>
    <w:rsid w:val="0053524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pt-BR"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DB0374"/>
    <w:pPr>
      <w:jc w:val="center"/>
      <w:outlineLvl w:val="0"/>
    </w:pPr>
    <w:rPr>
      <w:b/>
      <w:lang w:val="en-US" w:eastAsia="en-US"/>
    </w:rPr>
  </w:style>
  <w:style w:type="paragraph" w:customStyle="1" w:styleId="SubtituloInterno">
    <w:name w:val="Subtitulo Interno"/>
    <w:basedOn w:val="Normal"/>
    <w:autoRedefine/>
    <w:qFormat/>
    <w:rsid w:val="00152150"/>
    <w:pPr>
      <w:spacing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DB0374"/>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SimplesTabela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character" w:styleId="Refdecomentrio">
    <w:name w:val="annotation reference"/>
    <w:basedOn w:val="Fontepargpadro"/>
    <w:uiPriority w:val="99"/>
    <w:semiHidden/>
    <w:unhideWhenUsed/>
    <w:rsid w:val="00B5301D"/>
    <w:rPr>
      <w:sz w:val="16"/>
      <w:szCs w:val="16"/>
    </w:rPr>
  </w:style>
  <w:style w:type="paragraph" w:styleId="Textodecomentrio">
    <w:name w:val="annotation text"/>
    <w:basedOn w:val="Normal"/>
    <w:link w:val="TextodecomentrioChar"/>
    <w:uiPriority w:val="99"/>
    <w:unhideWhenUsed/>
    <w:rsid w:val="00B5301D"/>
    <w:pPr>
      <w:spacing w:after="160"/>
    </w:pPr>
    <w:rPr>
      <w:rFonts w:asciiTheme="minorHAnsi" w:eastAsiaTheme="minorHAnsi" w:hAnsiTheme="minorHAnsi" w:cstheme="minorBidi"/>
      <w:kern w:val="2"/>
      <w:sz w:val="20"/>
      <w:szCs w:val="20"/>
      <w:lang w:val="pt-BR" w:eastAsia="en-US"/>
      <w14:ligatures w14:val="standardContextual"/>
    </w:rPr>
  </w:style>
  <w:style w:type="character" w:customStyle="1" w:styleId="TextodecomentrioChar">
    <w:name w:val="Texto de comentário Char"/>
    <w:basedOn w:val="Fontepargpadro"/>
    <w:link w:val="Textodecomentrio"/>
    <w:uiPriority w:val="99"/>
    <w:rsid w:val="00B5301D"/>
    <w:rPr>
      <w:kern w:val="2"/>
      <w:sz w:val="20"/>
      <w:szCs w:val="20"/>
      <w:lang w:val="pt-BR"/>
      <w14:ligatures w14:val="standardContextual"/>
    </w:rPr>
  </w:style>
  <w:style w:type="paragraph" w:styleId="Legenda">
    <w:name w:val="caption"/>
    <w:basedOn w:val="Normal"/>
    <w:next w:val="Normal"/>
    <w:uiPriority w:val="35"/>
    <w:unhideWhenUsed/>
    <w:qFormat/>
    <w:rsid w:val="0093217A"/>
    <w:pPr>
      <w:spacing w:after="200"/>
      <w:ind w:firstLine="709"/>
      <w:jc w:val="both"/>
    </w:pPr>
    <w:rPr>
      <w:rFonts w:eastAsiaTheme="minorHAnsi"/>
      <w:i/>
      <w:iCs/>
      <w:color w:val="44546A" w:themeColor="text2"/>
      <w:sz w:val="18"/>
      <w:szCs w:val="18"/>
      <w:lang w:val="pt-BR" w:eastAsia="en-US"/>
    </w:rPr>
  </w:style>
  <w:style w:type="character" w:customStyle="1" w:styleId="Ttulo1Char">
    <w:name w:val="Título 1 Char"/>
    <w:basedOn w:val="Fontepargpadro"/>
    <w:link w:val="Ttulo1"/>
    <w:uiPriority w:val="9"/>
    <w:rsid w:val="00535243"/>
    <w:rPr>
      <w:rFonts w:asciiTheme="majorHAnsi" w:eastAsiaTheme="majorEastAsia" w:hAnsiTheme="majorHAnsi" w:cstheme="majorBidi"/>
      <w:color w:val="2F5496" w:themeColor="accent1" w:themeShade="BF"/>
      <w:kern w:val="2"/>
      <w:sz w:val="40"/>
      <w:szCs w:val="40"/>
      <w:lang w:val="pt-BR"/>
      <w14:ligatures w14:val="standardContextual"/>
    </w:rPr>
  </w:style>
  <w:style w:type="character" w:customStyle="1" w:styleId="Ttulo3Char">
    <w:name w:val="Título 3 Char"/>
    <w:basedOn w:val="Fontepargpadro"/>
    <w:link w:val="Ttulo3"/>
    <w:uiPriority w:val="9"/>
    <w:semiHidden/>
    <w:rsid w:val="00535243"/>
    <w:rPr>
      <w:rFonts w:eastAsiaTheme="majorEastAsia" w:cstheme="majorBidi"/>
      <w:color w:val="2F5496" w:themeColor="accent1" w:themeShade="BF"/>
      <w:kern w:val="2"/>
      <w:sz w:val="28"/>
      <w:szCs w:val="28"/>
      <w:lang w:val="pt-BR"/>
      <w14:ligatures w14:val="standardContextual"/>
    </w:rPr>
  </w:style>
  <w:style w:type="character" w:customStyle="1" w:styleId="Ttulo4Char">
    <w:name w:val="Título 4 Char"/>
    <w:basedOn w:val="Fontepargpadro"/>
    <w:link w:val="Ttulo4"/>
    <w:uiPriority w:val="9"/>
    <w:semiHidden/>
    <w:rsid w:val="00535243"/>
    <w:rPr>
      <w:rFonts w:eastAsiaTheme="majorEastAsia" w:cstheme="majorBidi"/>
      <w:i/>
      <w:iCs/>
      <w:color w:val="2F5496" w:themeColor="accent1" w:themeShade="BF"/>
      <w:kern w:val="2"/>
      <w:sz w:val="22"/>
      <w:szCs w:val="22"/>
      <w:lang w:val="pt-BR"/>
      <w14:ligatures w14:val="standardContextual"/>
    </w:rPr>
  </w:style>
  <w:style w:type="character" w:customStyle="1" w:styleId="Ttulo5Char">
    <w:name w:val="Título 5 Char"/>
    <w:basedOn w:val="Fontepargpadro"/>
    <w:link w:val="Ttulo5"/>
    <w:uiPriority w:val="9"/>
    <w:semiHidden/>
    <w:rsid w:val="00535243"/>
    <w:rPr>
      <w:rFonts w:eastAsiaTheme="majorEastAsia" w:cstheme="majorBidi"/>
      <w:color w:val="2F5496" w:themeColor="accent1" w:themeShade="BF"/>
      <w:kern w:val="2"/>
      <w:sz w:val="22"/>
      <w:szCs w:val="22"/>
      <w:lang w:val="pt-BR"/>
      <w14:ligatures w14:val="standardContextual"/>
    </w:rPr>
  </w:style>
  <w:style w:type="character" w:customStyle="1" w:styleId="Ttulo6Char">
    <w:name w:val="Título 6 Char"/>
    <w:basedOn w:val="Fontepargpadro"/>
    <w:link w:val="Ttulo6"/>
    <w:uiPriority w:val="9"/>
    <w:semiHidden/>
    <w:rsid w:val="00535243"/>
    <w:rPr>
      <w:rFonts w:eastAsiaTheme="majorEastAsia" w:cstheme="majorBidi"/>
      <w:i/>
      <w:iCs/>
      <w:color w:val="595959" w:themeColor="text1" w:themeTint="A6"/>
      <w:kern w:val="2"/>
      <w:sz w:val="22"/>
      <w:szCs w:val="22"/>
      <w:lang w:val="pt-BR"/>
      <w14:ligatures w14:val="standardContextual"/>
    </w:rPr>
  </w:style>
  <w:style w:type="character" w:customStyle="1" w:styleId="Ttulo7Char">
    <w:name w:val="Título 7 Char"/>
    <w:basedOn w:val="Fontepargpadro"/>
    <w:link w:val="Ttulo7"/>
    <w:uiPriority w:val="9"/>
    <w:semiHidden/>
    <w:rsid w:val="00535243"/>
    <w:rPr>
      <w:rFonts w:eastAsiaTheme="majorEastAsia" w:cstheme="majorBidi"/>
      <w:color w:val="595959" w:themeColor="text1" w:themeTint="A6"/>
      <w:kern w:val="2"/>
      <w:sz w:val="22"/>
      <w:szCs w:val="22"/>
      <w:lang w:val="pt-BR"/>
      <w14:ligatures w14:val="standardContextual"/>
    </w:rPr>
  </w:style>
  <w:style w:type="character" w:customStyle="1" w:styleId="Ttulo8Char">
    <w:name w:val="Título 8 Char"/>
    <w:basedOn w:val="Fontepargpadro"/>
    <w:link w:val="Ttulo8"/>
    <w:uiPriority w:val="9"/>
    <w:semiHidden/>
    <w:rsid w:val="00535243"/>
    <w:rPr>
      <w:rFonts w:eastAsiaTheme="majorEastAsia" w:cstheme="majorBidi"/>
      <w:i/>
      <w:iCs/>
      <w:color w:val="272727" w:themeColor="text1" w:themeTint="D8"/>
      <w:kern w:val="2"/>
      <w:sz w:val="22"/>
      <w:szCs w:val="22"/>
      <w:lang w:val="pt-BR"/>
      <w14:ligatures w14:val="standardContextual"/>
    </w:rPr>
  </w:style>
  <w:style w:type="character" w:customStyle="1" w:styleId="Ttulo9Char">
    <w:name w:val="Título 9 Char"/>
    <w:basedOn w:val="Fontepargpadro"/>
    <w:link w:val="Ttulo9"/>
    <w:uiPriority w:val="9"/>
    <w:semiHidden/>
    <w:rsid w:val="00535243"/>
    <w:rPr>
      <w:rFonts w:eastAsiaTheme="majorEastAsia" w:cstheme="majorBidi"/>
      <w:color w:val="272727" w:themeColor="text1" w:themeTint="D8"/>
      <w:kern w:val="2"/>
      <w:sz w:val="22"/>
      <w:szCs w:val="22"/>
      <w:lang w:val="pt-BR"/>
      <w14:ligatures w14:val="standardContextual"/>
    </w:rPr>
  </w:style>
  <w:style w:type="paragraph" w:styleId="Ttulo">
    <w:name w:val="Title"/>
    <w:basedOn w:val="Normal"/>
    <w:next w:val="Normal"/>
    <w:link w:val="TtuloChar"/>
    <w:uiPriority w:val="10"/>
    <w:qFormat/>
    <w:rsid w:val="00535243"/>
    <w:pPr>
      <w:spacing w:after="80"/>
      <w:contextualSpacing/>
    </w:pPr>
    <w:rPr>
      <w:rFonts w:asciiTheme="majorHAnsi" w:eastAsiaTheme="majorEastAsia" w:hAnsiTheme="majorHAnsi" w:cstheme="majorBidi"/>
      <w:spacing w:val="-10"/>
      <w:kern w:val="28"/>
      <w:sz w:val="56"/>
      <w:szCs w:val="56"/>
      <w:lang w:val="pt-BR" w:eastAsia="en-US"/>
      <w14:ligatures w14:val="standardContextual"/>
    </w:rPr>
  </w:style>
  <w:style w:type="character" w:customStyle="1" w:styleId="TtuloChar">
    <w:name w:val="Título Char"/>
    <w:basedOn w:val="Fontepargpadro"/>
    <w:link w:val="Ttulo"/>
    <w:uiPriority w:val="10"/>
    <w:rsid w:val="00535243"/>
    <w:rPr>
      <w:rFonts w:asciiTheme="majorHAnsi" w:eastAsiaTheme="majorEastAsia" w:hAnsiTheme="majorHAnsi" w:cstheme="majorBidi"/>
      <w:spacing w:val="-10"/>
      <w:kern w:val="28"/>
      <w:sz w:val="56"/>
      <w:szCs w:val="56"/>
      <w:lang w:val="pt-BR"/>
      <w14:ligatures w14:val="standardContextual"/>
    </w:rPr>
  </w:style>
  <w:style w:type="paragraph" w:styleId="Subttulo">
    <w:name w:val="Subtitle"/>
    <w:basedOn w:val="Normal"/>
    <w:next w:val="Normal"/>
    <w:link w:val="SubttuloChar"/>
    <w:uiPriority w:val="11"/>
    <w:qFormat/>
    <w:rsid w:val="0053524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pt-BR" w:eastAsia="en-US"/>
      <w14:ligatures w14:val="standardContextual"/>
    </w:rPr>
  </w:style>
  <w:style w:type="character" w:customStyle="1" w:styleId="SubttuloChar">
    <w:name w:val="Subtítulo Char"/>
    <w:basedOn w:val="Fontepargpadro"/>
    <w:link w:val="Subttulo"/>
    <w:uiPriority w:val="11"/>
    <w:rsid w:val="00535243"/>
    <w:rPr>
      <w:rFonts w:eastAsiaTheme="majorEastAsia" w:cstheme="majorBidi"/>
      <w:color w:val="595959" w:themeColor="text1" w:themeTint="A6"/>
      <w:spacing w:val="15"/>
      <w:kern w:val="2"/>
      <w:sz w:val="28"/>
      <w:szCs w:val="28"/>
      <w:lang w:val="pt-BR"/>
      <w14:ligatures w14:val="standardContextual"/>
    </w:rPr>
  </w:style>
  <w:style w:type="paragraph" w:styleId="Citao">
    <w:name w:val="Quote"/>
    <w:basedOn w:val="Normal"/>
    <w:next w:val="Normal"/>
    <w:link w:val="CitaoChar"/>
    <w:uiPriority w:val="29"/>
    <w:qFormat/>
    <w:rsid w:val="0053524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pt-BR" w:eastAsia="en-US"/>
      <w14:ligatures w14:val="standardContextual"/>
    </w:rPr>
  </w:style>
  <w:style w:type="character" w:customStyle="1" w:styleId="CitaoChar">
    <w:name w:val="Citação Char"/>
    <w:basedOn w:val="Fontepargpadro"/>
    <w:link w:val="Citao"/>
    <w:uiPriority w:val="29"/>
    <w:rsid w:val="00535243"/>
    <w:rPr>
      <w:i/>
      <w:iCs/>
      <w:color w:val="404040" w:themeColor="text1" w:themeTint="BF"/>
      <w:kern w:val="2"/>
      <w:sz w:val="22"/>
      <w:szCs w:val="22"/>
      <w:lang w:val="pt-BR"/>
      <w14:ligatures w14:val="standardContextual"/>
    </w:rPr>
  </w:style>
  <w:style w:type="paragraph" w:styleId="PargrafodaLista">
    <w:name w:val="List Paragraph"/>
    <w:basedOn w:val="Normal"/>
    <w:uiPriority w:val="34"/>
    <w:qFormat/>
    <w:rsid w:val="00535243"/>
    <w:pPr>
      <w:spacing w:after="160" w:line="259" w:lineRule="auto"/>
      <w:ind w:left="720"/>
      <w:contextualSpacing/>
    </w:pPr>
    <w:rPr>
      <w:rFonts w:asciiTheme="minorHAnsi" w:eastAsiaTheme="minorHAnsi" w:hAnsiTheme="minorHAnsi" w:cstheme="minorBidi"/>
      <w:kern w:val="2"/>
      <w:sz w:val="22"/>
      <w:szCs w:val="22"/>
      <w:lang w:val="pt-BR" w:eastAsia="en-US"/>
      <w14:ligatures w14:val="standardContextual"/>
    </w:rPr>
  </w:style>
  <w:style w:type="character" w:styleId="nfaseIntensa">
    <w:name w:val="Intense Emphasis"/>
    <w:basedOn w:val="Fontepargpadro"/>
    <w:uiPriority w:val="21"/>
    <w:qFormat/>
    <w:rsid w:val="00535243"/>
    <w:rPr>
      <w:i/>
      <w:iCs/>
      <w:color w:val="2F5496" w:themeColor="accent1" w:themeShade="BF"/>
    </w:rPr>
  </w:style>
  <w:style w:type="paragraph" w:styleId="CitaoIntensa">
    <w:name w:val="Intense Quote"/>
    <w:basedOn w:val="Normal"/>
    <w:next w:val="Normal"/>
    <w:link w:val="CitaoIntensaChar"/>
    <w:uiPriority w:val="30"/>
    <w:qFormat/>
    <w:rsid w:val="0053524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pt-BR" w:eastAsia="en-US"/>
      <w14:ligatures w14:val="standardContextual"/>
    </w:rPr>
  </w:style>
  <w:style w:type="character" w:customStyle="1" w:styleId="CitaoIntensaChar">
    <w:name w:val="Citação Intensa Char"/>
    <w:basedOn w:val="Fontepargpadro"/>
    <w:link w:val="CitaoIntensa"/>
    <w:uiPriority w:val="30"/>
    <w:rsid w:val="00535243"/>
    <w:rPr>
      <w:i/>
      <w:iCs/>
      <w:color w:val="2F5496" w:themeColor="accent1" w:themeShade="BF"/>
      <w:kern w:val="2"/>
      <w:sz w:val="22"/>
      <w:szCs w:val="22"/>
      <w:lang w:val="pt-BR"/>
      <w14:ligatures w14:val="standardContextual"/>
    </w:rPr>
  </w:style>
  <w:style w:type="character" w:styleId="RefernciaIntensa">
    <w:name w:val="Intense Reference"/>
    <w:basedOn w:val="Fontepargpadro"/>
    <w:uiPriority w:val="32"/>
    <w:qFormat/>
    <w:rsid w:val="00535243"/>
    <w:rPr>
      <w:b/>
      <w:bCs/>
      <w:smallCaps/>
      <w:color w:val="2F5496" w:themeColor="accent1" w:themeShade="BF"/>
      <w:spacing w:val="5"/>
    </w:rPr>
  </w:style>
  <w:style w:type="paragraph" w:styleId="Assuntodocomentrio">
    <w:name w:val="annotation subject"/>
    <w:basedOn w:val="Textodecomentrio"/>
    <w:next w:val="Textodecomentrio"/>
    <w:link w:val="AssuntodocomentrioChar"/>
    <w:uiPriority w:val="99"/>
    <w:semiHidden/>
    <w:unhideWhenUsed/>
    <w:rsid w:val="00535243"/>
    <w:rPr>
      <w:b/>
      <w:bCs/>
    </w:rPr>
  </w:style>
  <w:style w:type="character" w:customStyle="1" w:styleId="AssuntodocomentrioChar">
    <w:name w:val="Assunto do comentário Char"/>
    <w:basedOn w:val="TextodecomentrioChar"/>
    <w:link w:val="Assuntodocomentrio"/>
    <w:uiPriority w:val="99"/>
    <w:semiHidden/>
    <w:rsid w:val="00535243"/>
    <w:rPr>
      <w:b/>
      <w:bCs/>
      <w:kern w:val="2"/>
      <w:sz w:val="20"/>
      <w:szCs w:val="20"/>
      <w:lang w:val="pt-BR"/>
      <w14:ligatures w14:val="standardContextual"/>
    </w:rPr>
  </w:style>
  <w:style w:type="character" w:styleId="TextodoEspaoReservado">
    <w:name w:val="Placeholder Text"/>
    <w:basedOn w:val="Fontepargpadro"/>
    <w:uiPriority w:val="99"/>
    <w:semiHidden/>
    <w:rsid w:val="00535243"/>
    <w:rPr>
      <w:color w:val="666666"/>
    </w:rPr>
  </w:style>
  <w:style w:type="table" w:customStyle="1" w:styleId="Estilo1">
    <w:name w:val="Estilo1"/>
    <w:basedOn w:val="Tabelanormal"/>
    <w:uiPriority w:val="99"/>
    <w:rsid w:val="00535243"/>
    <w:rPr>
      <w:rFonts w:ascii="Times New Roman" w:hAnsi="Times New Roman"/>
      <w:szCs w:val="22"/>
      <w:lang w:val="pt-BR"/>
    </w:rPr>
    <w:tblPr>
      <w:tblStyleRowBandSize w:val="1"/>
      <w:tblBorders>
        <w:top w:val="single" w:sz="4" w:space="0" w:color="auto"/>
        <w:bottom w:val="single" w:sz="4" w:space="0" w:color="auto"/>
      </w:tblBorders>
    </w:tblPr>
    <w:tblStylePr w:type="firstRow">
      <w:pPr>
        <w:jc w:val="left"/>
      </w:pPr>
      <w:rPr>
        <w:rFonts w:ascii="Times New Roman" w:hAnsi="Times New Roman"/>
        <w:b/>
        <w:sz w:val="24"/>
      </w:rPr>
      <w:tblPr/>
      <w:tcPr>
        <w:tcBorders>
          <w:bottom w:val="single" w:sz="4" w:space="0" w:color="auto"/>
        </w:tcBorders>
      </w:tcPr>
    </w:tblStylePr>
    <w:tblStylePr w:type="firstCol">
      <w:rPr>
        <w:b w:val="0"/>
      </w:rPr>
    </w:tblStylePr>
    <w:tblStylePr w:type="band2Horz">
      <w:rPr>
        <w:rFonts w:ascii="Times New Roman" w:hAnsi="Times New Roman"/>
      </w:rPr>
      <w:tblPr/>
      <w:tcPr>
        <w:shd w:val="clear" w:color="auto" w:fill="D9D9D9" w:themeFill="background1" w:themeFillShade="D9"/>
      </w:tcPr>
    </w:tblStylePr>
    <w:tblStylePr w:type="nwCell">
      <w:rPr>
        <w:b w:val="0"/>
      </w:rPr>
    </w:tblStylePr>
    <w:tblStylePr w:type="swCell">
      <w:rPr>
        <w:b w:val="0"/>
      </w:rPr>
    </w:tblStylePr>
  </w:style>
  <w:style w:type="character" w:customStyle="1" w:styleId="fontstyle01">
    <w:name w:val="fontstyle01"/>
    <w:basedOn w:val="Fontepargpadro"/>
    <w:rsid w:val="00535243"/>
    <w:rPr>
      <w:rFonts w:ascii="MinionPro-Cn" w:hAnsi="MinionPro-Cn" w:hint="default"/>
      <w:b w:val="0"/>
      <w:bCs w:val="0"/>
      <w:i w:val="0"/>
      <w:iCs w:val="0"/>
      <w:color w:val="000000"/>
      <w:sz w:val="22"/>
      <w:szCs w:val="22"/>
    </w:rPr>
  </w:style>
  <w:style w:type="table" w:customStyle="1" w:styleId="TableNormal1">
    <w:name w:val="Table Normal1"/>
    <w:rsid w:val="00B957C4"/>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styleId="Reviso">
    <w:name w:val="Revision"/>
    <w:hidden/>
    <w:uiPriority w:val="99"/>
    <w:semiHidden/>
    <w:rsid w:val="00E13B46"/>
    <w:rPr>
      <w:rFonts w:ascii="Times New Roman" w:eastAsia="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
      <w:bodyDiv w:val="1"/>
      <w:marLeft w:val="0"/>
      <w:marRight w:val="0"/>
      <w:marTop w:val="0"/>
      <w:marBottom w:val="0"/>
      <w:divBdr>
        <w:top w:val="none" w:sz="0" w:space="0" w:color="auto"/>
        <w:left w:val="none" w:sz="0" w:space="0" w:color="auto"/>
        <w:bottom w:val="none" w:sz="0" w:space="0" w:color="auto"/>
        <w:right w:val="none" w:sz="0" w:space="0" w:color="auto"/>
      </w:divBdr>
    </w:div>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280308581">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190795710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29854610">
      <w:bodyDiv w:val="1"/>
      <w:marLeft w:val="0"/>
      <w:marRight w:val="0"/>
      <w:marTop w:val="0"/>
      <w:marBottom w:val="0"/>
      <w:divBdr>
        <w:top w:val="none" w:sz="0" w:space="0" w:color="auto"/>
        <w:left w:val="none" w:sz="0" w:space="0" w:color="auto"/>
        <w:bottom w:val="none" w:sz="0" w:space="0" w:color="auto"/>
        <w:right w:val="none" w:sz="0" w:space="0" w:color="auto"/>
      </w:divBdr>
      <w:divsChild>
        <w:div w:id="1550804202">
          <w:marLeft w:val="0"/>
          <w:marRight w:val="0"/>
          <w:marTop w:val="0"/>
          <w:marBottom w:val="0"/>
          <w:divBdr>
            <w:top w:val="none" w:sz="0" w:space="0" w:color="auto"/>
            <w:left w:val="none" w:sz="0" w:space="0" w:color="auto"/>
            <w:bottom w:val="none" w:sz="0" w:space="0" w:color="auto"/>
            <w:right w:val="none" w:sz="0" w:space="0" w:color="auto"/>
          </w:divBdr>
        </w:div>
      </w:divsChild>
    </w:div>
    <w:div w:id="308944560">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35807346">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560632757">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03840851">
      <w:bodyDiv w:val="1"/>
      <w:marLeft w:val="0"/>
      <w:marRight w:val="0"/>
      <w:marTop w:val="0"/>
      <w:marBottom w:val="0"/>
      <w:divBdr>
        <w:top w:val="none" w:sz="0" w:space="0" w:color="auto"/>
        <w:left w:val="none" w:sz="0" w:space="0" w:color="auto"/>
        <w:bottom w:val="none" w:sz="0" w:space="0" w:color="auto"/>
        <w:right w:val="none" w:sz="0" w:space="0" w:color="auto"/>
      </w:divBdr>
    </w:div>
    <w:div w:id="418336474">
      <w:bodyDiv w:val="1"/>
      <w:marLeft w:val="0"/>
      <w:marRight w:val="0"/>
      <w:marTop w:val="0"/>
      <w:marBottom w:val="0"/>
      <w:divBdr>
        <w:top w:val="none" w:sz="0" w:space="0" w:color="auto"/>
        <w:left w:val="none" w:sz="0" w:space="0" w:color="auto"/>
        <w:bottom w:val="none" w:sz="0" w:space="0" w:color="auto"/>
        <w:right w:val="none" w:sz="0" w:space="0" w:color="auto"/>
      </w:divBdr>
      <w:divsChild>
        <w:div w:id="178278109">
          <w:marLeft w:val="0"/>
          <w:marRight w:val="0"/>
          <w:marTop w:val="0"/>
          <w:marBottom w:val="0"/>
          <w:divBdr>
            <w:top w:val="none" w:sz="0" w:space="0" w:color="auto"/>
            <w:left w:val="none" w:sz="0" w:space="0" w:color="auto"/>
            <w:bottom w:val="none" w:sz="0" w:space="0" w:color="auto"/>
            <w:right w:val="none" w:sz="0" w:space="0" w:color="auto"/>
          </w:divBdr>
        </w:div>
      </w:divsChild>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620916981">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18420147">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90245105">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1712463305">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sChild>
    </w:div>
    <w:div w:id="928079656">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8192191">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yperlink" Target="https://doi.org/10.1007/3-540-26573-2_2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93/pm/pnaa30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86/s12967-020-02362-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ticias.uol.com.br/cotidiano/ultimas-noticias/2019/05/06/sao-paulo-condena-mais-negros-por-trafico-mesmo-que-portem-menos-drogas.htm" TargetMode="External"/><Relationship Id="rId5" Type="http://schemas.openxmlformats.org/officeDocument/2006/relationships/webSettings" Target="webSettings.xml"/><Relationship Id="rId15" Type="http://schemas.openxmlformats.org/officeDocument/2006/relationships/hyperlink" Target="https://doi.org/10.1007/s00406-018-0970-7" TargetMode="External"/><Relationship Id="rId10" Type="http://schemas.openxmlformats.org/officeDocument/2006/relationships/image" Target="media/image2.sv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36557/2674-8169.2024v6n2p2257-2266"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22</Pages>
  <Words>8567</Words>
  <Characters>46263</Characters>
  <DocSecurity>0</DocSecurity>
  <Lines>385</Lines>
  <Paragraphs>109</Paragraphs>
  <ScaleCrop>false</ScaleCrop>
  <Company/>
  <LinksUpToDate>false</LinksUpToDate>
  <CharactersWithSpaces>54721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2025-05-30T11:36:00Z</cp:lastPrinted>
  <dcterms:created xsi:type="dcterms:W3CDTF">2025-05-29T19:03:00Z</dcterms:created>
  <dcterms:modified xsi:type="dcterms:W3CDTF">2025-06-05T14:46:00Z</dcterms:modified>
</cp:coreProperties>
</file>