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AEDBB" w14:textId="617FFBD6" w:rsidR="00200A0D" w:rsidRPr="00764FC9" w:rsidRDefault="00764FC9" w:rsidP="00764FC9">
      <w:pPr>
        <w:jc w:val="center"/>
        <w:rPr>
          <w:b/>
          <w:lang w:val="en-US"/>
        </w:rPr>
      </w:pPr>
      <w:r w:rsidRPr="00764FC9">
        <w:rPr>
          <w:b/>
          <w:color w:val="000000"/>
          <w:sz w:val="36"/>
          <w:szCs w:val="36"/>
          <w:lang w:val="en-US"/>
        </w:rPr>
        <w:t>Exploratory study of binegativity experiences in Mexican bisexual women</w:t>
      </w:r>
    </w:p>
    <w:p w14:paraId="108F1DF1" w14:textId="77777777" w:rsidR="00200A0D" w:rsidRPr="00764FC9" w:rsidRDefault="00000000">
      <w:pPr>
        <w:rPr>
          <w:rFonts w:ascii="Times" w:eastAsia="Times" w:hAnsi="Times" w:cs="Times"/>
          <w:i/>
          <w:sz w:val="28"/>
          <w:szCs w:val="28"/>
          <w:lang w:val="en-US"/>
        </w:rPr>
      </w:pPr>
      <w:r>
        <w:rPr>
          <w:noProof/>
        </w:rPr>
        <mc:AlternateContent>
          <mc:Choice Requires="wpg">
            <w:drawing>
              <wp:anchor distT="4294967295" distB="4294967295" distL="114300" distR="114300" simplePos="0" relativeHeight="251658240" behindDoc="0" locked="0" layoutInCell="1" hidden="0" allowOverlap="1" wp14:anchorId="398D7818" wp14:editId="0344F7E8">
                <wp:simplePos x="0" y="0"/>
                <wp:positionH relativeFrom="column">
                  <wp:posOffset>1</wp:posOffset>
                </wp:positionH>
                <wp:positionV relativeFrom="paragraph">
                  <wp:posOffset>55896</wp:posOffset>
                </wp:positionV>
                <wp:extent cx="6172200" cy="25400"/>
                <wp:effectExtent l="0" t="0" r="0" b="0"/>
                <wp:wrapNone/>
                <wp:docPr id="23" name="Conector recto de flech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72200" cy="25400"/>
                <wp:effectExtent b="0" l="0" r="0" t="0"/>
                <wp:wrapNone/>
                <wp:docPr id="2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72200" cy="25400"/>
                        </a:xfrm>
                        <a:prstGeom prst="rect"/>
                        <a:ln/>
                      </pic:spPr>
                    </pic:pic>
                  </a:graphicData>
                </a:graphic>
              </wp:anchor>
            </w:drawing>
          </mc:Fallback>
        </mc:AlternateContent>
      </w:r>
    </w:p>
    <w:p w14:paraId="5D7C5588" w14:textId="77777777" w:rsidR="00200A0D" w:rsidRPr="00764FC9" w:rsidRDefault="00200A0D">
      <w:pPr>
        <w:rPr>
          <w:b/>
          <w:sz w:val="20"/>
          <w:szCs w:val="20"/>
          <w:lang w:val="en-US"/>
        </w:rPr>
      </w:pPr>
    </w:p>
    <w:p w14:paraId="05EA17FA" w14:textId="77777777" w:rsidR="00200A0D" w:rsidRPr="002456A7" w:rsidRDefault="00000000">
      <w:pPr>
        <w:pBdr>
          <w:top w:val="nil"/>
          <w:left w:val="nil"/>
          <w:bottom w:val="nil"/>
          <w:right w:val="nil"/>
          <w:between w:val="nil"/>
        </w:pBdr>
        <w:spacing w:after="120"/>
        <w:jc w:val="center"/>
        <w:rPr>
          <w:b/>
          <w:smallCaps/>
          <w:color w:val="000000"/>
          <w:sz w:val="20"/>
          <w:szCs w:val="20"/>
          <w:lang w:val="en-US"/>
        </w:rPr>
      </w:pPr>
      <w:r w:rsidRPr="002456A7">
        <w:rPr>
          <w:b/>
          <w:smallCaps/>
          <w:color w:val="000000"/>
          <w:sz w:val="20"/>
          <w:szCs w:val="20"/>
          <w:lang w:val="en-US"/>
        </w:rPr>
        <w:t>Abstract</w:t>
      </w:r>
    </w:p>
    <w:p w14:paraId="11D2A993" w14:textId="5D2C70FC" w:rsidR="00200A0D" w:rsidRPr="00764FC9" w:rsidRDefault="00764FC9">
      <w:pPr>
        <w:rPr>
          <w:sz w:val="20"/>
          <w:szCs w:val="20"/>
          <w:lang w:val="en-US"/>
        </w:rPr>
      </w:pPr>
      <w:r w:rsidRPr="00764FC9">
        <w:rPr>
          <w:sz w:val="20"/>
          <w:szCs w:val="20"/>
          <w:lang w:val="en-US"/>
        </w:rPr>
        <w:t>Bisexual people experience specific stereotypes, prejudices, and discrimination known as binegativity. Bisexual women face a double condition of oppression, so their experiences navigating their sexuality are different from those of bisexual men. Therefore, this study aimed to explore and describe the manifestations of binegativity in the Mexican context based on the stories of 153 bisexual women between the ages of 18 and 49. Using a qualitative approach through content analysis, the results revealed the presence of three types of prejudices toward bisexuality related to inappropriate sexual behavior, dismissal of bisexuality, and deviance from the norm. In addition, four forms of discrimination were identified: a) segregation/exclusion, b) invalidation, c) fetishization and objectification, and d) violence. The conclusions of this study underscore that discrimination based on being a bisexual woman is a palpable and precise reality in multiple microsocial contexts of Mexican women's lives, thus having profound implications for their identity, health, and well-being.</w:t>
      </w:r>
    </w:p>
    <w:p w14:paraId="59C02546" w14:textId="77777777" w:rsidR="00200A0D" w:rsidRPr="00764FC9" w:rsidRDefault="00000000">
      <w:pPr>
        <w:rPr>
          <w:b/>
          <w:sz w:val="20"/>
          <w:szCs w:val="20"/>
          <w:lang w:val="en-US"/>
        </w:rPr>
      </w:pPr>
      <w:r w:rsidRPr="00764FC9">
        <w:rPr>
          <w:b/>
          <w:sz w:val="20"/>
          <w:szCs w:val="20"/>
          <w:lang w:val="en-US"/>
        </w:rPr>
        <w:t>Keywords</w:t>
      </w:r>
    </w:p>
    <w:p w14:paraId="589CB5C6" w14:textId="5A43C905" w:rsidR="00200A0D" w:rsidRDefault="00764FC9">
      <w:pPr>
        <w:jc w:val="both"/>
        <w:rPr>
          <w:sz w:val="20"/>
          <w:szCs w:val="20"/>
          <w:lang w:val="en-US"/>
        </w:rPr>
      </w:pPr>
      <w:r w:rsidRPr="00764FC9">
        <w:rPr>
          <w:sz w:val="20"/>
          <w:szCs w:val="20"/>
          <w:lang w:val="en-US"/>
        </w:rPr>
        <w:t>Binegativity, biphobia, bisexuality, discrimination, Mexican women.</w:t>
      </w:r>
    </w:p>
    <w:p w14:paraId="59587770" w14:textId="77777777" w:rsidR="00764FC9" w:rsidRPr="00764FC9" w:rsidRDefault="00764FC9">
      <w:pPr>
        <w:jc w:val="both"/>
        <w:rPr>
          <w:sz w:val="20"/>
          <w:szCs w:val="20"/>
          <w:lang w:val="en-US"/>
        </w:rPr>
      </w:pPr>
    </w:p>
    <w:p w14:paraId="0EF63FE1" w14:textId="77777777" w:rsidR="00200A0D" w:rsidRDefault="00000000">
      <w:pPr>
        <w:pBdr>
          <w:top w:val="nil"/>
          <w:left w:val="nil"/>
          <w:bottom w:val="nil"/>
          <w:right w:val="nil"/>
          <w:between w:val="nil"/>
        </w:pBdr>
        <w:spacing w:after="120"/>
        <w:jc w:val="center"/>
        <w:rPr>
          <w:b/>
          <w:smallCaps/>
          <w:color w:val="000000"/>
          <w:sz w:val="20"/>
          <w:szCs w:val="20"/>
        </w:rPr>
      </w:pPr>
      <w:r>
        <w:rPr>
          <w:b/>
          <w:smallCaps/>
          <w:color w:val="000000"/>
          <w:sz w:val="20"/>
          <w:szCs w:val="20"/>
        </w:rPr>
        <w:t>Resumen</w:t>
      </w:r>
    </w:p>
    <w:p w14:paraId="6C1E809B" w14:textId="6FBDC3E7" w:rsidR="00200A0D" w:rsidRDefault="00764FC9">
      <w:pPr>
        <w:jc w:val="both"/>
        <w:rPr>
          <w:i/>
          <w:sz w:val="20"/>
          <w:szCs w:val="20"/>
        </w:rPr>
      </w:pPr>
      <w:r w:rsidRPr="00764FC9">
        <w:rPr>
          <w:sz w:val="20"/>
          <w:szCs w:val="20"/>
        </w:rPr>
        <w:t>Las personas bisexuales experimentan estereotipos, prejuicios y discriminación específicos conocidos como binegatividad. Las mujeres bisexuales mantienen una doble condición de opresión, por lo que sus experiencias al navegar su sexualidad son diferentes a las de los hombres bisexuales. Por ello, el presente estudio tuvo como objetivo explorar y describir las manifestaciones de la binegatividad en el contexto mexicano a partir de los relatos de 153 mujeres bisexuales de entre 18 y 49 años. Empleando un enfoque cualitativo a través del análisis de contenido, los resultados revelaron la presencia de tres tipos de prejuicios hacia la bisexualidad relacionados con la conducta sexual inadecuada, la desestimación de la bisexualidad y la desviación de la norma. Además, se identificaron cuatro formas de discriminación: a) segregación/exclusión, b) invalidación, c) fetichización y objetificación y d) violencias. Las conclusiones de este estudio subrayan que la discriminación por ser mujer bisexual es una realidad palpable y precisa en múltiples contextos microsociales de la vida de las mujeres mexicanas, por lo que tiene profundas implicaciones en su identidad, salud y bienestar.</w:t>
      </w:r>
    </w:p>
    <w:p w14:paraId="6938B2CB" w14:textId="77777777" w:rsidR="00200A0D" w:rsidRDefault="00200A0D">
      <w:pPr>
        <w:rPr>
          <w:sz w:val="20"/>
          <w:szCs w:val="20"/>
        </w:rPr>
      </w:pPr>
    </w:p>
    <w:p w14:paraId="3F2FF295" w14:textId="77777777" w:rsidR="00200A0D" w:rsidRDefault="00000000">
      <w:pPr>
        <w:jc w:val="both"/>
        <w:rPr>
          <w:b/>
          <w:sz w:val="20"/>
          <w:szCs w:val="20"/>
        </w:rPr>
      </w:pPr>
      <w:r>
        <w:rPr>
          <w:b/>
          <w:sz w:val="20"/>
          <w:szCs w:val="20"/>
        </w:rPr>
        <w:t>Palabras clave</w:t>
      </w:r>
    </w:p>
    <w:p w14:paraId="4043F346" w14:textId="21D8CA72" w:rsidR="00200A0D" w:rsidRDefault="00764FC9">
      <w:pPr>
        <w:jc w:val="both"/>
        <w:rPr>
          <w:sz w:val="20"/>
          <w:szCs w:val="20"/>
        </w:rPr>
      </w:pPr>
      <w:r w:rsidRPr="00764FC9">
        <w:rPr>
          <w:sz w:val="20"/>
          <w:szCs w:val="20"/>
        </w:rPr>
        <w:t>Binegatividad, bifobia, bisexualidad, discriminación, mujeres mexicanas.</w:t>
      </w:r>
      <w:r>
        <w:rPr>
          <w:noProof/>
        </w:rPr>
        <w:drawing>
          <wp:anchor distT="0" distB="0" distL="114300" distR="114300" simplePos="0" relativeHeight="251659264" behindDoc="0" locked="0" layoutInCell="1" hidden="0" allowOverlap="1" wp14:anchorId="07E721D4" wp14:editId="49096B61">
            <wp:simplePos x="0" y="0"/>
            <wp:positionH relativeFrom="column">
              <wp:posOffset>5400675</wp:posOffset>
            </wp:positionH>
            <wp:positionV relativeFrom="paragraph">
              <wp:posOffset>0</wp:posOffset>
            </wp:positionV>
            <wp:extent cx="396000" cy="259200"/>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6000" cy="259200"/>
                    </a:xfrm>
                    <a:prstGeom prst="rect">
                      <a:avLst/>
                    </a:prstGeom>
                    <a:ln/>
                  </pic:spPr>
                </pic:pic>
              </a:graphicData>
            </a:graphic>
          </wp:anchor>
        </w:drawing>
      </w:r>
    </w:p>
    <w:p w14:paraId="09D8A1A5" w14:textId="77777777" w:rsidR="00200A0D" w:rsidRDefault="00200A0D">
      <w:pPr>
        <w:rPr>
          <w:b/>
        </w:rPr>
      </w:pPr>
    </w:p>
    <w:p w14:paraId="43B0105C" w14:textId="77777777" w:rsidR="00764FC9" w:rsidRPr="00B54C64" w:rsidRDefault="00000000">
      <w:pPr>
        <w:pBdr>
          <w:top w:val="nil"/>
          <w:left w:val="nil"/>
          <w:bottom w:val="nil"/>
          <w:right w:val="nil"/>
          <w:between w:val="nil"/>
        </w:pBdr>
        <w:jc w:val="center"/>
        <w:rPr>
          <w:b/>
          <w:bCs/>
          <w:color w:val="000000"/>
        </w:rPr>
      </w:pPr>
      <w:r>
        <w:br w:type="page"/>
      </w:r>
      <w:r w:rsidR="00764FC9" w:rsidRPr="00B54C64">
        <w:rPr>
          <w:b/>
          <w:bCs/>
          <w:color w:val="000000"/>
        </w:rPr>
        <w:lastRenderedPageBreak/>
        <w:t>Estudio exploratorio de experiencias de binegatividad en mujeres bisexuales mexicanas</w:t>
      </w:r>
    </w:p>
    <w:p w14:paraId="4E9D5F21" w14:textId="3C4BD17A" w:rsidR="00200A0D" w:rsidRDefault="00000000">
      <w:pPr>
        <w:pBdr>
          <w:top w:val="nil"/>
          <w:left w:val="nil"/>
          <w:bottom w:val="nil"/>
          <w:right w:val="nil"/>
          <w:between w:val="nil"/>
        </w:pBdr>
        <w:jc w:val="center"/>
        <w:rPr>
          <w:b/>
          <w:color w:val="000000"/>
        </w:rPr>
      </w:pPr>
      <w:r>
        <w:rPr>
          <w:b/>
          <w:color w:val="000000"/>
        </w:rPr>
        <w:t>Introducción</w:t>
      </w:r>
    </w:p>
    <w:p w14:paraId="55792946" w14:textId="77777777" w:rsidR="00764FC9" w:rsidRPr="00764FC9" w:rsidRDefault="00764FC9" w:rsidP="00764FC9">
      <w:pPr>
        <w:pBdr>
          <w:top w:val="nil"/>
          <w:left w:val="nil"/>
          <w:bottom w:val="nil"/>
          <w:right w:val="nil"/>
          <w:between w:val="nil"/>
        </w:pBdr>
        <w:spacing w:line="360" w:lineRule="auto"/>
        <w:ind w:firstLine="708"/>
        <w:jc w:val="both"/>
        <w:rPr>
          <w:color w:val="000000"/>
        </w:rPr>
      </w:pPr>
      <w:r w:rsidRPr="00764FC9">
        <w:rPr>
          <w:color w:val="000000"/>
        </w:rPr>
        <w:t>En años recientes, se ha ganado mayor profundización y representación hacia las vivencias de las diversas orientaciones sexuales, viéndolas como un aspecto de la sexualidad que va más allá de la atracción. En este sentido, la bisexualidad ha sido reconocida como una gran parte de la comunidad LGBTTTIQ+ en México, pues las personas bisexuales conforman el 51.7% de la población que tiene una orientación diferente a la heterosexual, de acuerdo con la Encuesta Nacional sobre Diversidad Sexual y de Género (ENDISEG; Instituto Nacional de Estadística, Geografía e Informática, 2021). A pesar de ello, esta orientación sexual ha sido excluida de las conversaciones y ha sido objeto de prejuicios sociales que van desde el rechazo hasta la invalidación, debido a que se trata de una estructura que sale de la dicotomía sexual que mantiene la heterosexualidad y la homosexualidad como identidades opuestas (Garelick et al., 2017; Salinas, 2022) y, por lo tanto, puede evocar respuestas sociales distintas en comparación con sus pares gays y lesbianas (Garr-Schultz &amp; Gardner, 2021), por lo que aún mantiene una lucha para construir un lugar de aceptación y validación hacia sus características y experiencias (DeCapua, 2017).</w:t>
      </w:r>
    </w:p>
    <w:p w14:paraId="24314AA8" w14:textId="77777777" w:rsidR="00764FC9" w:rsidRPr="00764FC9" w:rsidRDefault="00764FC9" w:rsidP="00764FC9">
      <w:pPr>
        <w:pBdr>
          <w:top w:val="nil"/>
          <w:left w:val="nil"/>
          <w:bottom w:val="nil"/>
          <w:right w:val="nil"/>
          <w:between w:val="nil"/>
        </w:pBdr>
        <w:spacing w:line="360" w:lineRule="auto"/>
        <w:ind w:firstLine="708"/>
        <w:jc w:val="both"/>
        <w:rPr>
          <w:color w:val="000000"/>
        </w:rPr>
      </w:pPr>
      <w:r w:rsidRPr="00764FC9">
        <w:rPr>
          <w:color w:val="000000"/>
        </w:rPr>
        <w:t xml:space="preserve">En este sentido, en la última década se ha señalado a las personas bisexuales como una población invisible y excluida en ámbitos como la atención pública, el activismo político, los medios de comunicación, la investigación sanitaria y el mismo conjunto LGBTTTIQ+ como comunidad, los cuales se han centrado en gran medida en las mujeres lesbianas y los hombres gays (Garelick et al., 2017; Pennasilico &amp; Amodeo, 2019). </w:t>
      </w:r>
    </w:p>
    <w:p w14:paraId="1209DBE9" w14:textId="77777777" w:rsidR="00764FC9" w:rsidRPr="00764FC9" w:rsidRDefault="00764FC9" w:rsidP="00764FC9">
      <w:pPr>
        <w:pBdr>
          <w:top w:val="nil"/>
          <w:left w:val="nil"/>
          <w:bottom w:val="nil"/>
          <w:right w:val="nil"/>
          <w:between w:val="nil"/>
        </w:pBdr>
        <w:spacing w:line="360" w:lineRule="auto"/>
        <w:jc w:val="both"/>
        <w:rPr>
          <w:b/>
          <w:bCs/>
          <w:i/>
          <w:iCs/>
          <w:color w:val="000000"/>
        </w:rPr>
      </w:pPr>
      <w:r w:rsidRPr="00764FC9">
        <w:rPr>
          <w:b/>
          <w:bCs/>
          <w:i/>
          <w:iCs/>
          <w:color w:val="000000"/>
        </w:rPr>
        <w:t>Bisexualidad, Binegatividad y Bifobia</w:t>
      </w:r>
    </w:p>
    <w:p w14:paraId="1F463B0F" w14:textId="77777777" w:rsidR="00764FC9" w:rsidRPr="00764FC9" w:rsidRDefault="00764FC9" w:rsidP="00764FC9">
      <w:pPr>
        <w:pBdr>
          <w:top w:val="nil"/>
          <w:left w:val="nil"/>
          <w:bottom w:val="nil"/>
          <w:right w:val="nil"/>
          <w:between w:val="nil"/>
        </w:pBdr>
        <w:spacing w:line="360" w:lineRule="auto"/>
        <w:ind w:firstLine="708"/>
        <w:jc w:val="both"/>
        <w:rPr>
          <w:color w:val="000000"/>
        </w:rPr>
      </w:pPr>
      <w:r w:rsidRPr="00764FC9">
        <w:rPr>
          <w:color w:val="000000"/>
        </w:rPr>
        <w:t>La bisexualidad tiene una construcción conceptual compleja, pues sus definiciones son múltiples y contemplan aspectos tan diversos como la atracción, las vivencias y las cuestiones identitarias. Inicialmente, esta orientación ha sido definida como la atracción hacia más de un género (Pennasilico &amp; Amodeo, 2019) o bien, como la atracción o el contacto sexual tanto con personas del mismo sexo como con personas del sexo contrario; cuya ocurrencia no es necesariamente simultánea (Garelick et al., 2017). Una definición más completa de bisexualidad es la propuesta por el INEGI (2021) que la describe como “la capacidad de una persona de sentir una atracción erótica afectiva por personas de un género diferente al suyo y de su mismo género, así como la capacidad de mantener relaciones íntimas y sexuales con ellas. Esto no implica que sea con la misma intensidad, al mismo tiempo, de la misma forma, ni que sienta atracción por todas las personas de su mismo género o del otro” (p. 70).</w:t>
      </w:r>
    </w:p>
    <w:p w14:paraId="645477E1" w14:textId="77777777" w:rsidR="00764FC9" w:rsidRPr="00764FC9" w:rsidRDefault="00764FC9" w:rsidP="00764FC9">
      <w:pPr>
        <w:pBdr>
          <w:top w:val="nil"/>
          <w:left w:val="nil"/>
          <w:bottom w:val="nil"/>
          <w:right w:val="nil"/>
          <w:between w:val="nil"/>
        </w:pBdr>
        <w:spacing w:line="360" w:lineRule="auto"/>
        <w:ind w:firstLine="708"/>
        <w:jc w:val="both"/>
        <w:rPr>
          <w:color w:val="000000"/>
        </w:rPr>
      </w:pPr>
      <w:r w:rsidRPr="00764FC9">
        <w:rPr>
          <w:color w:val="000000"/>
        </w:rPr>
        <w:lastRenderedPageBreak/>
        <w:t xml:space="preserve">En este tenor, a pesar de que su estudio se encuentra en desarrollo, es común encontrar el abordaje de la bisexualidad integrado al de otras identidades disidentes, como si se tratara de un conjunto homogéneo. Así, a pesar de que las orientaciones no heteronormativas comparten experiencias, el considerarlas homogéneas ha contribuido a la invisibilización de características específicas (Cipriano et al., 2022). Un ejemplo de ello es que las vivencias de rechazo, opresión y discriminación que experimentan las personas bisexuales, así como otras orientaciones sexuales, comenzaron siendo estudiadas bajo el constructo de homofobia, debido a la consideración de que las orientaciones no heterosexuales comparten experiencias (Vonlanthen &amp; Roy-Charland, 2024), teniendo como centro las vivencias de hombres gay. Afortunadamente, desde principios de la década pasada hay estudios que emplean ya términos como como lesbofobia y bifobia, evidenciando así necesidades y experiencias específicas de cada orientación sexual (Obradors-Campos, 2011). </w:t>
      </w:r>
    </w:p>
    <w:p w14:paraId="1787CCE1" w14:textId="77777777" w:rsidR="00764FC9" w:rsidRPr="00764FC9" w:rsidRDefault="00764FC9" w:rsidP="00764FC9">
      <w:pPr>
        <w:pBdr>
          <w:top w:val="nil"/>
          <w:left w:val="nil"/>
          <w:bottom w:val="nil"/>
          <w:right w:val="nil"/>
          <w:between w:val="nil"/>
        </w:pBdr>
        <w:spacing w:line="360" w:lineRule="auto"/>
        <w:ind w:firstLine="708"/>
        <w:jc w:val="both"/>
        <w:rPr>
          <w:color w:val="000000"/>
        </w:rPr>
      </w:pPr>
      <w:r w:rsidRPr="00764FC9">
        <w:rPr>
          <w:color w:val="000000"/>
        </w:rPr>
        <w:t>A partir de ello, el término binegatividad, también denominado bifobia, ha sido utilizado para señalar los estereotipos, prejuicios y discriminaciones que reciben las personas que se identifican o que son percibidas como bisexuales (Consejo Nacional para Prevenir la Discriminación, 2023), lo que incluye violencias, borrado epistémico y degradación a través de representaciones negativas. Este tipo de actitudes está asociado con concepciones hegemónicas como el heterosexismo, la monosexualidad y el binarismo de género (Obradors-Campos, 2011; Vonlanthen &amp; Roy-Charland, 2024). Es importante señalar que la binegatividad puede presentarse tanto dentro como fuera de la comunidad, lo cual resulta en una doble discriminación que no todas las minorías sexuales experimentan (Garelick et al., 2017; Velasco et al., 2024; Wandrey et al., 2015).</w:t>
      </w:r>
    </w:p>
    <w:p w14:paraId="4FCB9AEB" w14:textId="127115C6" w:rsidR="00764FC9" w:rsidRPr="00764FC9" w:rsidRDefault="00764FC9" w:rsidP="00764FC9">
      <w:pPr>
        <w:pBdr>
          <w:top w:val="nil"/>
          <w:left w:val="nil"/>
          <w:bottom w:val="nil"/>
          <w:right w:val="nil"/>
          <w:between w:val="nil"/>
        </w:pBdr>
        <w:spacing w:line="360" w:lineRule="auto"/>
        <w:ind w:firstLine="708"/>
        <w:jc w:val="both"/>
        <w:rPr>
          <w:color w:val="000000"/>
        </w:rPr>
      </w:pPr>
      <w:r w:rsidRPr="00764FC9">
        <w:rPr>
          <w:color w:val="000000"/>
        </w:rPr>
        <w:t>Los prejuicios hacia la bisexualidad incluyen una variedad de concepciones que parten de considerarla como una etapa de transición o de experimentación para eventualmente decidir ser gay o lesbiana, así como el ser considerada/o como heterosexual al establecer una relación con el sexo opuesto y como lesbiana/gay al relacionarse con el mismo sexo (</w:t>
      </w:r>
      <w:r w:rsidRPr="00AC7BE0">
        <w:t>Hayfield et al., 2018</w:t>
      </w:r>
      <w:r w:rsidRPr="00764FC9">
        <w:rPr>
          <w:color w:val="000000"/>
        </w:rPr>
        <w:t>). A las personas bisexuales se les ha adjudicado también falta de responsabilidad afectiva y sexual, lo cual hace pensar que tienen una</w:t>
      </w:r>
      <w:r w:rsidR="00F35236">
        <w:rPr>
          <w:color w:val="000000"/>
        </w:rPr>
        <w:t xml:space="preserve"> menor capacidad para la monogamia que las personas que sienten atracción por un solo género, además de considerarlas</w:t>
      </w:r>
      <w:r w:rsidRPr="00764FC9">
        <w:rPr>
          <w:color w:val="000000"/>
        </w:rPr>
        <w:t xml:space="preserve"> personas neuróticas, incapaces de amar, obsesionadas con el sexo, así como sin la valentía de salir completamente del clóset (Isolani et al., 2024). Un dato relevante del marcaje de género es que la bisexualidad en mujeres ha sido sexualizada, resultado principalmente de la influencia de la pornografía, mientras que a los hombres bisexuales se le atribuye la imposibilidad de sentir atracción por </w:t>
      </w:r>
      <w:r w:rsidRPr="00764FC9">
        <w:rPr>
          <w:color w:val="000000"/>
        </w:rPr>
        <w:lastRenderedPageBreak/>
        <w:t>ambos sexos, por lo que se le suele clasificar directamente como gay cuando establecen relaciones con alguien del mismo sexo (Pennasilico &amp; Amodeo, 2019).</w:t>
      </w:r>
    </w:p>
    <w:p w14:paraId="510318A4" w14:textId="77777777" w:rsidR="00764FC9" w:rsidRPr="00764FC9" w:rsidRDefault="00764FC9" w:rsidP="00764FC9">
      <w:pPr>
        <w:pBdr>
          <w:top w:val="nil"/>
          <w:left w:val="nil"/>
          <w:bottom w:val="nil"/>
          <w:right w:val="nil"/>
          <w:between w:val="nil"/>
        </w:pBdr>
        <w:spacing w:line="360" w:lineRule="auto"/>
        <w:ind w:firstLine="708"/>
        <w:jc w:val="both"/>
        <w:rPr>
          <w:color w:val="000000"/>
        </w:rPr>
      </w:pPr>
      <w:r w:rsidRPr="00764FC9">
        <w:rPr>
          <w:color w:val="000000"/>
        </w:rPr>
        <w:t>La discriminación dentro de la bifobia puede ser expresada a través de microagresiones, violencia, abuso y rechazo de la familia y amigos (Velasco et al., 2024). Sin embargo, una vivencia específica en esta población se trata del borrado bisexual (bisexual erasure), que hace referencia a las formas o tendencias en que se cuestiona, niega, pospone, elide o se hace invisible la existencia de la bisexualidad como una forma válida y madura de deseo (MacDowall, 2009; Morgenroth et al., 2021), lo que está ligado a la invisibilidad bisexual, que es una falta sustancial de consideración y representación en diferentes plataformas y contextos (Pennasilico &amp; Amodeo, 2019).</w:t>
      </w:r>
    </w:p>
    <w:p w14:paraId="7ED51B4C" w14:textId="77777777" w:rsidR="00764FC9" w:rsidRPr="00764FC9" w:rsidRDefault="00764FC9" w:rsidP="00764FC9">
      <w:pPr>
        <w:pBdr>
          <w:top w:val="nil"/>
          <w:left w:val="nil"/>
          <w:bottom w:val="nil"/>
          <w:right w:val="nil"/>
          <w:between w:val="nil"/>
        </w:pBdr>
        <w:spacing w:line="360" w:lineRule="auto"/>
        <w:ind w:firstLine="708"/>
        <w:jc w:val="both"/>
        <w:rPr>
          <w:color w:val="000000"/>
        </w:rPr>
      </w:pPr>
      <w:r w:rsidRPr="00764FC9">
        <w:rPr>
          <w:color w:val="000000"/>
        </w:rPr>
        <w:t>Vonlanthen &amp; Roy-Charland (2024) puntualizan que estas actitudes traen consigo diferentes consecuencias que pueden encontrarse en distintos contextos. En el bienestar se observa un impacto en la identidad, la binegatividad interiorizada y el sentido de vida, mientras que en la salud mental existe la posibilidad de depresión, ansiedad y consumo de sustancias. En las relaciones interpersonales se ve afectada la satisfacción y se presentan agresiones y victimizaciones relacionadas con violencia de pareja. Además, las personas bisexuales adoptan mecanismos de defensa relacionados con el hacerse pasar por heterosexuales, ignorar los insultos, mencionar desde el inicio su orientación sexual para evitar comportamientos bifóbicos, hipersexualización y la adaptabilidad de la identidad a requisitos heteronormativos o queer, según sea el caso.</w:t>
      </w:r>
    </w:p>
    <w:p w14:paraId="50853D00" w14:textId="77777777" w:rsidR="00764FC9" w:rsidRPr="00764FC9" w:rsidRDefault="00764FC9" w:rsidP="00764FC9">
      <w:pPr>
        <w:pBdr>
          <w:top w:val="nil"/>
          <w:left w:val="nil"/>
          <w:bottom w:val="nil"/>
          <w:right w:val="nil"/>
          <w:between w:val="nil"/>
        </w:pBdr>
        <w:spacing w:line="360" w:lineRule="auto"/>
        <w:jc w:val="both"/>
        <w:rPr>
          <w:b/>
          <w:bCs/>
          <w:i/>
          <w:iCs/>
          <w:color w:val="000000"/>
        </w:rPr>
      </w:pPr>
      <w:r w:rsidRPr="00764FC9">
        <w:rPr>
          <w:b/>
          <w:bCs/>
          <w:i/>
          <w:iCs/>
          <w:color w:val="000000"/>
        </w:rPr>
        <w:t>Binegatividad en Mujeres Bisexuales</w:t>
      </w:r>
    </w:p>
    <w:p w14:paraId="228215B9" w14:textId="77777777" w:rsidR="00764FC9" w:rsidRPr="00764FC9" w:rsidRDefault="00764FC9" w:rsidP="00764FC9">
      <w:pPr>
        <w:pBdr>
          <w:top w:val="nil"/>
          <w:left w:val="nil"/>
          <w:bottom w:val="nil"/>
          <w:right w:val="nil"/>
          <w:between w:val="nil"/>
        </w:pBdr>
        <w:spacing w:line="360" w:lineRule="auto"/>
        <w:ind w:firstLine="708"/>
        <w:jc w:val="both"/>
        <w:rPr>
          <w:color w:val="000000"/>
        </w:rPr>
      </w:pPr>
      <w:r w:rsidRPr="00764FC9">
        <w:rPr>
          <w:color w:val="000000"/>
        </w:rPr>
        <w:t>Sin embargo, a pesar de existir algunas vivencias bisexuales comunes, la peculiaridad de que la bisexualidad sea independiente al género da lugar a experiencias específicas de acuerdo con la interacción de una multiplicidad de identidades sociales en cada persona. En este sentido, las mujeres bisexuales presentan una interseccionalidad de estados oprimidos: el de ser mujer y el de una orientación sexual no heteronormativa, lo que nos permite puntualizar que sus experiencias son diferentes de las de los hombres bisexuales (Wandrey et al., 2015).</w:t>
      </w:r>
    </w:p>
    <w:p w14:paraId="7388232F" w14:textId="77777777" w:rsidR="00764FC9" w:rsidRPr="00764FC9" w:rsidRDefault="00764FC9" w:rsidP="00764FC9">
      <w:pPr>
        <w:pBdr>
          <w:top w:val="nil"/>
          <w:left w:val="nil"/>
          <w:bottom w:val="nil"/>
          <w:right w:val="nil"/>
          <w:between w:val="nil"/>
        </w:pBdr>
        <w:spacing w:line="360" w:lineRule="auto"/>
        <w:ind w:firstLine="708"/>
        <w:jc w:val="both"/>
        <w:rPr>
          <w:color w:val="000000"/>
        </w:rPr>
      </w:pPr>
      <w:r w:rsidRPr="00764FC9">
        <w:rPr>
          <w:color w:val="000000"/>
        </w:rPr>
        <w:t xml:space="preserve">Al respecto, las mujeres que se identifican como bisexuales deben afrontar el proceso de salir del armario en un contexto en el que su sexualidad es explotada para el placer sexual de hombres heterosexuales, debido a que la bisexualidad en mujeres suele ser sexualizada y fetichizada en los medios audiovisuales, lo que se puede observar en la pornografía dirigida a hombres heterosexuales y en la publicidad que incluye a dos mujeres teniendo una interacción física y sexual; además de la presión ejercida hacia ellas en las relaciones románticas de cumplir con fantasías sexuales masculinas en torno a tríos (Morgenroth et al., 2021; Velasco et al., 2024; </w:t>
      </w:r>
      <w:r w:rsidRPr="00764FC9">
        <w:rPr>
          <w:color w:val="000000"/>
        </w:rPr>
        <w:lastRenderedPageBreak/>
        <w:t>Wandrey et al., 2015). Asimismo, las mujeres bisexuales también experimentan presión de involucrarse sexual o románticamente con personas de diferentes géneros para que su identidad sea considerada válida (Cipriano et al., 2022), pues se les apunta que no es suficiente la presencia del deseo o la atracción y que la orientación sexual no es válida hasta comprobarse a partir de la experiencia.</w:t>
      </w:r>
    </w:p>
    <w:p w14:paraId="48BABF21" w14:textId="77777777" w:rsidR="00764FC9" w:rsidRPr="00764FC9" w:rsidRDefault="00764FC9" w:rsidP="00764FC9">
      <w:pPr>
        <w:pBdr>
          <w:top w:val="nil"/>
          <w:left w:val="nil"/>
          <w:bottom w:val="nil"/>
          <w:right w:val="nil"/>
          <w:between w:val="nil"/>
        </w:pBdr>
        <w:spacing w:line="360" w:lineRule="auto"/>
        <w:ind w:firstLine="708"/>
        <w:jc w:val="both"/>
        <w:rPr>
          <w:color w:val="000000"/>
        </w:rPr>
      </w:pPr>
      <w:r w:rsidRPr="00764FC9">
        <w:rPr>
          <w:color w:val="000000"/>
        </w:rPr>
        <w:t>Por su parte, a ellas se les adjudica prejuicios específicos que rondan en atribuir su orientación sexual a una exploración temporal y que es elegida para llamar la atención o la aprobación de los hombres (Morgenroth et al., 2021). Aunado a ello, en ellas se presenta el mito del privilegio heterosexual, en donde se considera que las mujeres bisexuales establecen relaciones con hombres para cumplir con la heteronorma y evitar el rechazo social; sin embargo, este tipo de prejuicios refuerzan la tendencia a reducir la sexualidad a la experiencia observable, excluyendo el derecho a construcciones identitarias y a otros aspectos de la orientación sexual, como lo es el deseo y la atracción (Salinas, 2022).</w:t>
      </w:r>
    </w:p>
    <w:p w14:paraId="4FD3755F" w14:textId="3F4334F9" w:rsidR="00764FC9" w:rsidRDefault="00764FC9" w:rsidP="00764FC9">
      <w:pPr>
        <w:pBdr>
          <w:top w:val="nil"/>
          <w:left w:val="nil"/>
          <w:bottom w:val="nil"/>
          <w:right w:val="nil"/>
          <w:between w:val="nil"/>
        </w:pBdr>
        <w:spacing w:line="360" w:lineRule="auto"/>
        <w:ind w:firstLine="708"/>
        <w:jc w:val="both"/>
        <w:rPr>
          <w:color w:val="000000"/>
        </w:rPr>
      </w:pPr>
      <w:r w:rsidRPr="00764FC9">
        <w:rPr>
          <w:color w:val="000000"/>
        </w:rPr>
        <w:t>En contextos angloparlantes, la aproximación a esta población ha señalado que las mujeres plurisexuales son un grupo vulnerable, debido a que experimentan tasas significativamente más altas de afectaciones a la salud mental y física y victimización de violencia de pareja y sexual en comparación a hombres y mujeres de otras identidades sexuales (Cipriano et al., 2022). A partir de ello, resalta la necesidad de analizar la influencia que tiene la heteronormatividad, expresada en discriminación y opresión, en las mujeres bisexuales, pues la lucha entre sus deseos y las exigencias del entorno moldean el proceso a través del cual construyen su identidad (Salinas, 2022). Lo anterior, aunado a que la literatura interesada en las realidades bisexuales y la existencia de la bifobia sigue siendo relativamente escasa (Vonlanthen &amp; Roy-Charland, 2024), y principalmente desarrollada en contextos angloparlantes, hacen necesaria la profundización de las vivencias de binegatividad y bifobia en las mujeres que permita entender las dinámicas en las que se dan este tipo de violencias en un contexto mexicano. Es por lo anterior que el objetivo de este trabajo es el de explorar y describir las manifestaciones de la binegatividad en el contexto mexicano a partir de los relatos de mujeres bisexuales.</w:t>
      </w:r>
    </w:p>
    <w:p w14:paraId="22FCC34E" w14:textId="77777777" w:rsidR="00200A0D" w:rsidRDefault="00000000">
      <w:pPr>
        <w:pBdr>
          <w:top w:val="nil"/>
          <w:left w:val="nil"/>
          <w:bottom w:val="nil"/>
          <w:right w:val="nil"/>
          <w:between w:val="nil"/>
        </w:pBdr>
        <w:jc w:val="center"/>
        <w:rPr>
          <w:b/>
          <w:color w:val="000000"/>
        </w:rPr>
      </w:pPr>
      <w:r>
        <w:rPr>
          <w:b/>
          <w:color w:val="000000"/>
        </w:rPr>
        <w:t>Método</w:t>
      </w:r>
    </w:p>
    <w:p w14:paraId="55DD5DCD" w14:textId="3B69623C" w:rsidR="00200A0D" w:rsidRDefault="00764FC9">
      <w:pPr>
        <w:pBdr>
          <w:top w:val="nil"/>
          <w:left w:val="nil"/>
          <w:bottom w:val="nil"/>
          <w:right w:val="nil"/>
          <w:between w:val="nil"/>
        </w:pBdr>
        <w:spacing w:line="360" w:lineRule="auto"/>
        <w:ind w:firstLine="708"/>
        <w:jc w:val="both"/>
        <w:rPr>
          <w:color w:val="000000"/>
        </w:rPr>
      </w:pPr>
      <w:r w:rsidRPr="00764FC9">
        <w:rPr>
          <w:color w:val="000000"/>
        </w:rPr>
        <w:t>Para la presente investigación, se utilizó un enfoque cualitativo de corte transversal. Este estudio utilizó un subconjunto de datos de un estudio principal que investigó las definiciones asociadas a la bisexualidad y las implicaciones del uso de la etiqueta en jóvenes bisexuales. Como componente de esta investigación, las participantes compartieron sus experiencias específicamente relacionadas con las actitudes de binegatividad.</w:t>
      </w:r>
    </w:p>
    <w:p w14:paraId="2EB0F8A0" w14:textId="77777777" w:rsidR="00764FC9" w:rsidRPr="00764FC9" w:rsidRDefault="00764FC9" w:rsidP="00764FC9">
      <w:pPr>
        <w:spacing w:line="360" w:lineRule="auto"/>
        <w:rPr>
          <w:b/>
          <w:bCs/>
          <w:i/>
          <w:iCs/>
          <w:kern w:val="2"/>
          <w:lang w:val="es-US" w:eastAsia="es-MX"/>
          <w14:ligatures w14:val="standardContextual"/>
        </w:rPr>
      </w:pPr>
      <w:r w:rsidRPr="00764FC9">
        <w:rPr>
          <w:b/>
          <w:bCs/>
          <w:i/>
          <w:iCs/>
          <w:kern w:val="2"/>
          <w:lang w:val="es-US" w:eastAsia="es-MX"/>
          <w14:ligatures w14:val="standardContextual"/>
        </w:rPr>
        <w:lastRenderedPageBreak/>
        <w:t>Población y muestreo</w:t>
      </w:r>
    </w:p>
    <w:p w14:paraId="563ED08A" w14:textId="77777777" w:rsidR="00764FC9" w:rsidRPr="00764FC9" w:rsidRDefault="00764FC9" w:rsidP="00764FC9">
      <w:pPr>
        <w:spacing w:line="360" w:lineRule="auto"/>
        <w:ind w:firstLine="708"/>
        <w:rPr>
          <w:rFonts w:eastAsia="Arial"/>
          <w:kern w:val="2"/>
          <w:lang w:val="es-US" w:eastAsia="es-MX"/>
          <w14:ligatures w14:val="standardContextual"/>
        </w:rPr>
      </w:pPr>
      <w:r w:rsidRPr="00764FC9">
        <w:rPr>
          <w:rFonts w:eastAsia="Arial"/>
          <w:kern w:val="2"/>
          <w:lang w:val="es-US" w:eastAsia="es-MX"/>
          <w14:ligatures w14:val="standardContextual"/>
        </w:rPr>
        <w:t>Los criterios de inclusión fueron los siguientes: 1) Identificarse como bisexual; 2) Ser mujer cisgénero; 3) Ser originaria de México; 4) Tener acceso a internet y un dispositivo que permitiera el manejo del formulario. Al respecto, se especificó como criterio de exclusión el identificarse con otras etiquetas plurisexuales, debido a que, a pesar de compartir algunas características, en este estudio nos enfocamos en las implicaciones del uso de la etiqueta bisexual.</w:t>
      </w:r>
    </w:p>
    <w:p w14:paraId="42D323BC" w14:textId="77777777" w:rsidR="00764FC9" w:rsidRPr="00764FC9" w:rsidRDefault="00764FC9" w:rsidP="00764FC9">
      <w:pPr>
        <w:spacing w:line="360" w:lineRule="auto"/>
        <w:ind w:firstLine="708"/>
        <w:rPr>
          <w:rFonts w:eastAsia="Arial"/>
          <w:kern w:val="2"/>
          <w:lang w:val="es-US" w:eastAsia="es-MX"/>
          <w14:ligatures w14:val="standardContextual"/>
        </w:rPr>
      </w:pPr>
      <w:r w:rsidRPr="00764FC9">
        <w:rPr>
          <w:rFonts w:eastAsia="Arial"/>
          <w:kern w:val="2"/>
          <w:lang w:val="es-US" w:eastAsia="es-MX"/>
          <w14:ligatures w14:val="standardContextual"/>
        </w:rPr>
        <w:t xml:space="preserve">De esta forma, la selección de las participantes se hizo a través de técnicas de muestreo no probabilísticas de bola de nieve o de cadena, “en donde se identifican los casos de interés a partir de alguien que conozca a alguien que puede resultar un buen candidato para participar” (Martínez-Salgado, 2012, p. 616), debido a la dificultad de acceso a la población, por lo que se les pidió compartir el formulario con otras mujeres bisexuales. Además, se realizó un muestreo intencional no probabilístico por cuotas, a través de su difusión en las redes sociales </w:t>
      </w:r>
      <w:r w:rsidRPr="00764FC9">
        <w:rPr>
          <w:rFonts w:eastAsia="Arial"/>
          <w:i/>
          <w:iCs/>
          <w:kern w:val="2"/>
          <w:lang w:val="es-US" w:eastAsia="es-MX"/>
          <w14:ligatures w14:val="standardContextual"/>
        </w:rPr>
        <w:t>Facebook</w:t>
      </w:r>
      <w:r w:rsidRPr="00764FC9">
        <w:rPr>
          <w:rFonts w:eastAsia="Arial"/>
          <w:kern w:val="2"/>
          <w:lang w:val="es-US" w:eastAsia="es-MX"/>
          <w14:ligatures w14:val="standardContextual"/>
        </w:rPr>
        <w:t xml:space="preserve"> e </w:t>
      </w:r>
      <w:r w:rsidRPr="00764FC9">
        <w:rPr>
          <w:rFonts w:eastAsia="Arial"/>
          <w:i/>
          <w:iCs/>
          <w:kern w:val="2"/>
          <w:lang w:val="es-US" w:eastAsia="es-MX"/>
          <w14:ligatures w14:val="standardContextual"/>
        </w:rPr>
        <w:t>Instagram</w:t>
      </w:r>
      <w:r w:rsidRPr="00764FC9">
        <w:rPr>
          <w:rFonts w:eastAsia="Arial"/>
          <w:kern w:val="2"/>
          <w:lang w:val="es-US" w:eastAsia="es-MX"/>
          <w14:ligatures w14:val="standardContextual"/>
        </w:rPr>
        <w:t>.</w:t>
      </w:r>
    </w:p>
    <w:p w14:paraId="390EC8D3" w14:textId="77777777" w:rsidR="00764FC9" w:rsidRPr="00764FC9" w:rsidRDefault="00764FC9" w:rsidP="00764FC9">
      <w:pPr>
        <w:spacing w:line="360" w:lineRule="auto"/>
        <w:ind w:firstLine="708"/>
        <w:rPr>
          <w:rFonts w:eastAsia="Arial"/>
          <w:kern w:val="2"/>
          <w:lang w:val="es-US" w:eastAsia="es-MX"/>
          <w14:ligatures w14:val="standardContextual"/>
        </w:rPr>
      </w:pPr>
      <w:r w:rsidRPr="00764FC9">
        <w:rPr>
          <w:rFonts w:eastAsia="Arial"/>
          <w:kern w:val="2"/>
          <w:lang w:val="es-US" w:eastAsia="es-MX"/>
          <w14:ligatures w14:val="standardContextual"/>
        </w:rPr>
        <w:t>Se obtuvieron un total de 496 respuestas totales, de las cuales 352 fueron de mujeres cisgénero. A partir de ello, se realizó una selección de respuestas en donde se descartaron aquellas en donde no se había vivido o se conocía ninguna experiencia de binegatividad, las experiencias de rechazo que eran hacia las disidencias sexuales pero que no estaban directamente relacionadas con la bisexualidad, que se trataran de creencias y no de experiencias, que fueran respuestas cortas, ambiguas o que no especificaran cuáles experiencias o el contexto en que ocurrían, estas últimas descartadas por considerar el alcance de la saturación teórica al ya no encontrar nuevos datos (Ortega-Bastidas, 2020). Se concluyó con 153 mujeres, pertenecientes a 26 estados de México, encontrando una mayor concentración en CDMX, Estado de México y Puebla, de edades comprendidas entre los 18 y los 49 años.</w:t>
      </w:r>
    </w:p>
    <w:p w14:paraId="073B2537" w14:textId="77777777" w:rsidR="00764FC9" w:rsidRPr="00764FC9" w:rsidRDefault="00764FC9" w:rsidP="00764FC9">
      <w:pPr>
        <w:spacing w:line="360" w:lineRule="auto"/>
        <w:rPr>
          <w:rFonts w:eastAsia="Arial"/>
          <w:b/>
          <w:bCs/>
          <w:i/>
          <w:iCs/>
          <w:kern w:val="2"/>
          <w:lang w:val="es-US" w:eastAsia="es-MX"/>
          <w14:ligatures w14:val="standardContextual"/>
        </w:rPr>
      </w:pPr>
      <w:r w:rsidRPr="00764FC9">
        <w:rPr>
          <w:rFonts w:eastAsia="Arial"/>
          <w:b/>
          <w:bCs/>
          <w:i/>
          <w:iCs/>
          <w:kern w:val="2"/>
          <w:lang w:val="es-US" w:eastAsia="es-MX"/>
          <w14:ligatures w14:val="standardContextual"/>
        </w:rPr>
        <w:t>Instrumento</w:t>
      </w:r>
    </w:p>
    <w:p w14:paraId="030F6B4D" w14:textId="77777777" w:rsidR="00764FC9" w:rsidRPr="00764FC9" w:rsidRDefault="00764FC9" w:rsidP="00764FC9">
      <w:pPr>
        <w:spacing w:line="360" w:lineRule="auto"/>
        <w:ind w:firstLine="708"/>
        <w:rPr>
          <w:rFonts w:eastAsia="Arial"/>
          <w:kern w:val="2"/>
          <w:lang w:val="es-US" w:eastAsia="es-MX"/>
          <w14:ligatures w14:val="standardContextual"/>
        </w:rPr>
      </w:pPr>
      <w:r w:rsidRPr="00764FC9">
        <w:rPr>
          <w:rFonts w:eastAsia="Arial"/>
          <w:kern w:val="2"/>
          <w:lang w:val="es-US" w:eastAsia="es-MX"/>
          <w14:ligatures w14:val="standardContextual"/>
        </w:rPr>
        <w:t>Para la profundización de las experiencias de binegatividad recibidas, se diseñó un cuestionario de preguntas abiertas, en donde la pregunta inicial retomada en este estudio fue la siguiente: “Describe cuáles son las experiencias de rechazo que has enfrentado o que has observado en relación con tu bisexualidad o la de otras personas que conoces.”, de este modo, se reunieron vivencias y percepciones desde la narración escrita de las mujeres bisexuales.</w:t>
      </w:r>
    </w:p>
    <w:p w14:paraId="019424EB" w14:textId="77777777" w:rsidR="00764FC9" w:rsidRPr="00764FC9" w:rsidRDefault="00764FC9" w:rsidP="00764FC9">
      <w:pPr>
        <w:spacing w:line="360" w:lineRule="auto"/>
        <w:rPr>
          <w:i/>
          <w:iCs/>
          <w:kern w:val="2"/>
          <w:lang w:val="es-US" w:eastAsia="es-MX"/>
          <w14:ligatures w14:val="standardContextual"/>
        </w:rPr>
      </w:pPr>
      <w:r w:rsidRPr="00764FC9">
        <w:rPr>
          <w:rFonts w:eastAsia="Arial"/>
          <w:b/>
          <w:bCs/>
          <w:i/>
          <w:iCs/>
          <w:kern w:val="2"/>
          <w:lang w:val="es-US" w:eastAsia="es-MX"/>
          <w14:ligatures w14:val="standardContextual"/>
        </w:rPr>
        <w:t>Procedimiento</w:t>
      </w:r>
    </w:p>
    <w:p w14:paraId="2B590AD7" w14:textId="418B551D" w:rsidR="00764FC9" w:rsidRPr="00764FC9" w:rsidRDefault="00764FC9" w:rsidP="00764FC9">
      <w:pPr>
        <w:spacing w:line="360" w:lineRule="auto"/>
        <w:ind w:firstLine="708"/>
        <w:rPr>
          <w:rFonts w:eastAsia="Arial"/>
          <w:kern w:val="2"/>
          <w:lang w:val="es-US" w:eastAsia="es-MX"/>
          <w14:ligatures w14:val="standardContextual"/>
        </w:rPr>
      </w:pPr>
      <w:r w:rsidRPr="00764FC9">
        <w:rPr>
          <w:rFonts w:eastAsia="Arial"/>
          <w:kern w:val="2"/>
          <w:lang w:val="es-US" w:eastAsia="es-MX"/>
          <w14:ligatures w14:val="standardContextual"/>
        </w:rPr>
        <w:t xml:space="preserve">El cuestionario fue compartido a través de un Formulario de </w:t>
      </w:r>
      <w:r w:rsidRPr="00764FC9">
        <w:rPr>
          <w:rFonts w:eastAsia="Arial"/>
          <w:i/>
          <w:iCs/>
          <w:kern w:val="2"/>
          <w:lang w:val="es-US" w:eastAsia="es-MX"/>
          <w14:ligatures w14:val="standardContextual"/>
        </w:rPr>
        <w:t>Google</w:t>
      </w:r>
      <w:r w:rsidRPr="00764FC9">
        <w:rPr>
          <w:rFonts w:eastAsia="Arial"/>
          <w:kern w:val="2"/>
          <w:lang w:val="es-US" w:eastAsia="es-MX"/>
          <w14:ligatures w14:val="standardContextual"/>
        </w:rPr>
        <w:t xml:space="preserve">. Al inicio se les presentó una carta consentimiento informado, en donde se explicó el objetico de la </w:t>
      </w:r>
      <w:r w:rsidRPr="00764FC9">
        <w:rPr>
          <w:rFonts w:eastAsia="Arial"/>
          <w:kern w:val="2"/>
          <w:lang w:val="es-US" w:eastAsia="es-MX"/>
          <w14:ligatures w14:val="standardContextual"/>
        </w:rPr>
        <w:lastRenderedPageBreak/>
        <w:t>investigación y se les reiteró la voluntariedad de la participación, su derecho a rehusarse o abandonar el estudio y la confidencialidad en el manejo de la información compartida, y se declaró que no existía ningún tipo de compensación, de acuerdo con las normas establecidas por la Asociación Americana de Psicología (APA. 2017)</w:t>
      </w:r>
      <w:r w:rsidR="007C7491">
        <w:rPr>
          <w:rFonts w:eastAsia="Arial"/>
          <w:kern w:val="2"/>
          <w:lang w:val="es-US" w:eastAsia="es-MX"/>
          <w14:ligatures w14:val="standardContextual"/>
        </w:rPr>
        <w:t>,</w:t>
      </w:r>
      <w:r w:rsidRPr="00764FC9">
        <w:rPr>
          <w:rFonts w:eastAsia="Arial"/>
          <w:kern w:val="2"/>
          <w:lang w:val="es-US" w:eastAsia="es-MX"/>
          <w14:ligatures w14:val="standardContextual"/>
        </w:rPr>
        <w:t xml:space="preserve"> el Código Ético de las y los Psicólogos Mexicanos (Federación Nacional de Colegios, Sociedades y Asociaciones de Psicólogos de México, A. C., 2018)</w:t>
      </w:r>
      <w:r w:rsidR="007C7491">
        <w:rPr>
          <w:rFonts w:eastAsia="Arial"/>
          <w:kern w:val="2"/>
          <w:lang w:val="es-US" w:eastAsia="es-MX"/>
          <w14:ligatures w14:val="standardContextual"/>
        </w:rPr>
        <w:t xml:space="preserve"> y </w:t>
      </w:r>
      <w:r w:rsidR="007C7491" w:rsidRPr="007C7491">
        <w:rPr>
          <w:rFonts w:eastAsia="Arial"/>
          <w:kern w:val="2"/>
          <w:lang w:eastAsia="es-MX"/>
          <w14:ligatures w14:val="standardContextual"/>
        </w:rPr>
        <w:t>la Declaración Universal de Principios Éticos para Psicólogas y Psicólogos (IAAP &amp; IUPsyS, 2008</w:t>
      </w:r>
      <w:r w:rsidR="007C7491">
        <w:rPr>
          <w:rFonts w:eastAsia="Arial"/>
          <w:kern w:val="2"/>
          <w:lang w:eastAsia="es-MX"/>
          <w14:ligatures w14:val="standardContextual"/>
        </w:rPr>
        <w:t>)</w:t>
      </w:r>
      <w:r w:rsidRPr="00764FC9">
        <w:rPr>
          <w:rFonts w:eastAsia="Arial"/>
          <w:kern w:val="2"/>
          <w:lang w:val="es-US" w:eastAsia="es-MX"/>
          <w14:ligatures w14:val="standardContextual"/>
        </w:rPr>
        <w:t>. Aunado a ello, las citas directas integradas en este estudio mantienen seudónimos para garantizar el anonimato.</w:t>
      </w:r>
    </w:p>
    <w:p w14:paraId="12019ED0" w14:textId="77777777" w:rsidR="00764FC9" w:rsidRPr="00764FC9" w:rsidRDefault="00764FC9" w:rsidP="00764FC9">
      <w:pPr>
        <w:spacing w:line="360" w:lineRule="auto"/>
        <w:rPr>
          <w:rFonts w:eastAsia="Arial"/>
          <w:b/>
          <w:bCs/>
          <w:i/>
          <w:iCs/>
          <w:kern w:val="2"/>
          <w:lang w:val="es-US" w:eastAsia="es-MX"/>
          <w14:ligatures w14:val="standardContextual"/>
        </w:rPr>
      </w:pPr>
      <w:r w:rsidRPr="00764FC9">
        <w:rPr>
          <w:rFonts w:eastAsia="Arial"/>
          <w:b/>
          <w:bCs/>
          <w:i/>
          <w:iCs/>
          <w:kern w:val="2"/>
          <w:lang w:val="es-US" w:eastAsia="es-MX"/>
          <w14:ligatures w14:val="standardContextual"/>
        </w:rPr>
        <w:t>Análisis de datos</w:t>
      </w:r>
    </w:p>
    <w:p w14:paraId="6336478C" w14:textId="77777777" w:rsidR="00764FC9" w:rsidRPr="00764FC9" w:rsidRDefault="00764FC9" w:rsidP="00764FC9">
      <w:pPr>
        <w:spacing w:line="360" w:lineRule="auto"/>
        <w:ind w:firstLine="708"/>
        <w:rPr>
          <w:rFonts w:eastAsia="Arial"/>
          <w:kern w:val="2"/>
          <w:lang w:val="es-US" w:eastAsia="es-MX"/>
          <w14:ligatures w14:val="standardContextual"/>
        </w:rPr>
      </w:pPr>
      <w:r w:rsidRPr="00764FC9">
        <w:rPr>
          <w:rFonts w:eastAsia="Arial"/>
          <w:kern w:val="2"/>
          <w:lang w:val="es-US" w:eastAsia="es-MX"/>
          <w14:ligatures w14:val="standardContextual"/>
        </w:rPr>
        <w:t>El manejo de las respuestas se realizó a través de un análisis de contenido cualitativo de la información, el cual consiste en un proceso de clasificación, codificación e identificación de temas o patrones en el lenguaje, en conjunto con su significado contextual, con el fin proporcionar una estructura sistematizada que permita la comprensión de un fenómeno (Hsieh &amp; Shannon, 2005). Por lo cual, aunado a la cantidad de las respuestas, la calidad de estas también fue considerada en la selección.</w:t>
      </w:r>
    </w:p>
    <w:p w14:paraId="602FEB74" w14:textId="77777777" w:rsidR="00200A0D" w:rsidRDefault="00000000">
      <w:pPr>
        <w:pBdr>
          <w:top w:val="nil"/>
          <w:left w:val="nil"/>
          <w:bottom w:val="nil"/>
          <w:right w:val="nil"/>
          <w:between w:val="nil"/>
        </w:pBdr>
        <w:jc w:val="center"/>
        <w:rPr>
          <w:b/>
          <w:color w:val="000000"/>
        </w:rPr>
      </w:pPr>
      <w:r>
        <w:rPr>
          <w:b/>
          <w:color w:val="000000"/>
        </w:rPr>
        <w:t>Resultados</w:t>
      </w:r>
    </w:p>
    <w:p w14:paraId="6E155C28" w14:textId="77777777" w:rsidR="00764FC9" w:rsidRPr="00764FC9" w:rsidRDefault="00764FC9" w:rsidP="00764FC9">
      <w:pPr>
        <w:spacing w:line="360" w:lineRule="auto"/>
        <w:ind w:firstLine="708"/>
        <w:rPr>
          <w:kern w:val="2"/>
          <w:lang w:val="es-US" w:eastAsia="es-MX"/>
          <w14:ligatures w14:val="standardContextual"/>
        </w:rPr>
      </w:pPr>
      <w:r w:rsidRPr="00764FC9">
        <w:rPr>
          <w:kern w:val="2"/>
          <w:lang w:val="es-US" w:eastAsia="es-MX"/>
          <w14:ligatures w14:val="standardContextual"/>
        </w:rPr>
        <w:t>A partir del análisis de contenido cualitativo de la información, se extrajo un total de 34 códigos, los cuales se exponen en la Tabla 1. Al respecto, se encontró contenido relacionado tanto con los prejuicios asociados a la bisexualidad como con los actos discriminatorios experimentados y los respectivos entornos físicos o de situación en donde se presentan dichas actitudes.</w:t>
      </w:r>
    </w:p>
    <w:p w14:paraId="447D5BE6" w14:textId="77777777" w:rsidR="00764FC9" w:rsidRPr="00764FC9" w:rsidRDefault="00764FC9" w:rsidP="00764FC9">
      <w:pPr>
        <w:spacing w:line="360" w:lineRule="auto"/>
        <w:rPr>
          <w:b/>
          <w:bCs/>
          <w:kern w:val="2"/>
          <w:sz w:val="20"/>
          <w:szCs w:val="20"/>
          <w:lang w:val="es-US" w:eastAsia="es-MX"/>
          <w14:ligatures w14:val="standardContextual"/>
        </w:rPr>
      </w:pPr>
      <w:r w:rsidRPr="00764FC9">
        <w:rPr>
          <w:b/>
          <w:bCs/>
          <w:kern w:val="2"/>
          <w:sz w:val="20"/>
          <w:szCs w:val="20"/>
          <w:lang w:val="es-US" w:eastAsia="es-MX"/>
          <w14:ligatures w14:val="standardContextual"/>
        </w:rPr>
        <w:t>Tabla 1</w:t>
      </w:r>
    </w:p>
    <w:p w14:paraId="183B59A7" w14:textId="77777777" w:rsidR="00764FC9" w:rsidRPr="00764FC9" w:rsidRDefault="00764FC9" w:rsidP="00764FC9">
      <w:pPr>
        <w:spacing w:line="360" w:lineRule="auto"/>
        <w:rPr>
          <w:i/>
          <w:iCs/>
          <w:kern w:val="2"/>
          <w:sz w:val="20"/>
          <w:szCs w:val="20"/>
          <w:lang w:val="es-US" w:eastAsia="es-MX"/>
          <w14:ligatures w14:val="standardContextual"/>
        </w:rPr>
      </w:pPr>
      <w:r w:rsidRPr="00764FC9">
        <w:rPr>
          <w:i/>
          <w:iCs/>
          <w:kern w:val="2"/>
          <w:sz w:val="20"/>
          <w:szCs w:val="20"/>
          <w:lang w:val="es-US" w:eastAsia="es-MX"/>
          <w14:ligatures w14:val="standardContextual"/>
        </w:rPr>
        <w:t>Códigos obtenidos desde las respuestas de las informantes</w:t>
      </w:r>
    </w:p>
    <w:tbl>
      <w:tblPr>
        <w:tblStyle w:val="Tablaconcuadrcula1"/>
        <w:tblW w:w="9375" w:type="dxa"/>
        <w:jc w:val="center"/>
        <w:tblBorders>
          <w:left w:val="none" w:sz="0" w:space="0" w:color="auto"/>
          <w:right w:val="none" w:sz="0" w:space="0" w:color="auto"/>
        </w:tblBorders>
        <w:tblLook w:val="04A0" w:firstRow="1" w:lastRow="0" w:firstColumn="1" w:lastColumn="0" w:noHBand="0" w:noVBand="1"/>
      </w:tblPr>
      <w:tblGrid>
        <w:gridCol w:w="3840"/>
        <w:gridCol w:w="1095"/>
        <w:gridCol w:w="3555"/>
        <w:gridCol w:w="885"/>
      </w:tblGrid>
      <w:tr w:rsidR="00764FC9" w:rsidRPr="00764FC9" w14:paraId="1CD0D8EE" w14:textId="77777777" w:rsidTr="00485619">
        <w:trPr>
          <w:trHeight w:val="300"/>
          <w:jc w:val="center"/>
        </w:trPr>
        <w:tc>
          <w:tcPr>
            <w:tcW w:w="3840" w:type="dxa"/>
            <w:tcBorders>
              <w:right w:val="nil"/>
            </w:tcBorders>
            <w:vAlign w:val="center"/>
          </w:tcPr>
          <w:p w14:paraId="37EB2001" w14:textId="77777777" w:rsidR="00764FC9" w:rsidRPr="00764FC9" w:rsidRDefault="00764FC9" w:rsidP="0079451A">
            <w:pPr>
              <w:jc w:val="center"/>
              <w:rPr>
                <w:b/>
                <w:bCs/>
                <w:sz w:val="20"/>
                <w:szCs w:val="20"/>
                <w:lang w:val="es-US" w:eastAsia="es-MX"/>
              </w:rPr>
            </w:pPr>
            <w:r w:rsidRPr="00764FC9">
              <w:rPr>
                <w:b/>
                <w:bCs/>
                <w:sz w:val="20"/>
                <w:szCs w:val="20"/>
                <w:lang w:val="es-US" w:eastAsia="es-MX"/>
              </w:rPr>
              <w:t>Códigos</w:t>
            </w:r>
          </w:p>
        </w:tc>
        <w:tc>
          <w:tcPr>
            <w:tcW w:w="1095" w:type="dxa"/>
            <w:tcBorders>
              <w:left w:val="nil"/>
              <w:right w:val="nil"/>
            </w:tcBorders>
            <w:vAlign w:val="center"/>
          </w:tcPr>
          <w:p w14:paraId="52379304" w14:textId="77777777" w:rsidR="00764FC9" w:rsidRPr="00764FC9" w:rsidRDefault="00764FC9" w:rsidP="0079451A">
            <w:pPr>
              <w:jc w:val="center"/>
              <w:rPr>
                <w:b/>
                <w:bCs/>
                <w:sz w:val="20"/>
                <w:szCs w:val="20"/>
                <w:lang w:val="es-US" w:eastAsia="es-MX"/>
              </w:rPr>
            </w:pPr>
            <w:r w:rsidRPr="00764FC9">
              <w:rPr>
                <w:b/>
                <w:bCs/>
                <w:sz w:val="20"/>
                <w:szCs w:val="20"/>
                <w:lang w:val="es-US" w:eastAsia="es-MX"/>
              </w:rPr>
              <w:t>Citas</w:t>
            </w:r>
          </w:p>
        </w:tc>
        <w:tc>
          <w:tcPr>
            <w:tcW w:w="3555" w:type="dxa"/>
            <w:tcBorders>
              <w:left w:val="nil"/>
              <w:right w:val="nil"/>
            </w:tcBorders>
            <w:vAlign w:val="center"/>
          </w:tcPr>
          <w:p w14:paraId="390FD353" w14:textId="77777777" w:rsidR="00764FC9" w:rsidRPr="00764FC9" w:rsidRDefault="00764FC9" w:rsidP="0079451A">
            <w:pPr>
              <w:jc w:val="center"/>
              <w:rPr>
                <w:b/>
                <w:bCs/>
                <w:sz w:val="20"/>
                <w:szCs w:val="20"/>
                <w:lang w:val="es-US" w:eastAsia="es-MX"/>
              </w:rPr>
            </w:pPr>
            <w:r w:rsidRPr="00764FC9">
              <w:rPr>
                <w:b/>
                <w:bCs/>
                <w:sz w:val="20"/>
                <w:szCs w:val="20"/>
                <w:lang w:val="es-US" w:eastAsia="es-MX"/>
              </w:rPr>
              <w:t>Códigos</w:t>
            </w:r>
          </w:p>
        </w:tc>
        <w:tc>
          <w:tcPr>
            <w:tcW w:w="885" w:type="dxa"/>
            <w:tcBorders>
              <w:left w:val="nil"/>
              <w:bottom w:val="single" w:sz="4" w:space="0" w:color="auto"/>
            </w:tcBorders>
            <w:vAlign w:val="center"/>
          </w:tcPr>
          <w:p w14:paraId="2F2AECF2" w14:textId="77777777" w:rsidR="00764FC9" w:rsidRPr="00764FC9" w:rsidRDefault="00764FC9" w:rsidP="0079451A">
            <w:pPr>
              <w:jc w:val="center"/>
              <w:rPr>
                <w:b/>
                <w:bCs/>
                <w:sz w:val="20"/>
                <w:szCs w:val="20"/>
                <w:lang w:val="es-US" w:eastAsia="es-MX"/>
              </w:rPr>
            </w:pPr>
            <w:r w:rsidRPr="00764FC9">
              <w:rPr>
                <w:b/>
                <w:bCs/>
                <w:sz w:val="20"/>
                <w:szCs w:val="20"/>
                <w:lang w:val="es-US" w:eastAsia="es-MX"/>
              </w:rPr>
              <w:t>Citas</w:t>
            </w:r>
          </w:p>
        </w:tc>
      </w:tr>
      <w:tr w:rsidR="00764FC9" w:rsidRPr="00764FC9" w14:paraId="506868B5" w14:textId="77777777" w:rsidTr="00485619">
        <w:trPr>
          <w:trHeight w:val="300"/>
          <w:jc w:val="center"/>
        </w:trPr>
        <w:tc>
          <w:tcPr>
            <w:tcW w:w="3840" w:type="dxa"/>
            <w:tcBorders>
              <w:right w:val="nil"/>
            </w:tcBorders>
            <w:vAlign w:val="center"/>
          </w:tcPr>
          <w:p w14:paraId="131EF436" w14:textId="77777777" w:rsidR="00764FC9" w:rsidRPr="00764FC9" w:rsidRDefault="00764FC9" w:rsidP="0079451A">
            <w:pPr>
              <w:jc w:val="center"/>
              <w:rPr>
                <w:sz w:val="20"/>
                <w:szCs w:val="20"/>
                <w:lang w:val="es-US" w:eastAsia="es-MX"/>
              </w:rPr>
            </w:pPr>
            <w:r w:rsidRPr="00764FC9">
              <w:rPr>
                <w:sz w:val="20"/>
                <w:szCs w:val="20"/>
                <w:lang w:val="es-US" w:eastAsia="es-MX"/>
              </w:rPr>
              <w:t>Binegatividad desde la familia</w:t>
            </w:r>
          </w:p>
        </w:tc>
        <w:tc>
          <w:tcPr>
            <w:tcW w:w="1095" w:type="dxa"/>
            <w:tcBorders>
              <w:left w:val="nil"/>
              <w:right w:val="nil"/>
            </w:tcBorders>
            <w:vAlign w:val="center"/>
          </w:tcPr>
          <w:p w14:paraId="258B759D" w14:textId="77777777" w:rsidR="00764FC9" w:rsidRPr="00764FC9" w:rsidRDefault="00764FC9" w:rsidP="0079451A">
            <w:pPr>
              <w:jc w:val="center"/>
              <w:rPr>
                <w:sz w:val="20"/>
                <w:szCs w:val="20"/>
                <w:lang w:val="es-US" w:eastAsia="es-MX"/>
              </w:rPr>
            </w:pPr>
            <w:r w:rsidRPr="00764FC9">
              <w:rPr>
                <w:sz w:val="20"/>
                <w:szCs w:val="20"/>
                <w:lang w:val="es-US" w:eastAsia="es-MX"/>
              </w:rPr>
              <w:t>43</w:t>
            </w:r>
          </w:p>
        </w:tc>
        <w:tc>
          <w:tcPr>
            <w:tcW w:w="3555" w:type="dxa"/>
            <w:tcBorders>
              <w:left w:val="nil"/>
              <w:right w:val="nil"/>
            </w:tcBorders>
            <w:vAlign w:val="center"/>
          </w:tcPr>
          <w:p w14:paraId="722BD223" w14:textId="77777777" w:rsidR="00764FC9" w:rsidRPr="00764FC9" w:rsidRDefault="00764FC9" w:rsidP="0079451A">
            <w:pPr>
              <w:jc w:val="center"/>
              <w:rPr>
                <w:sz w:val="20"/>
                <w:szCs w:val="20"/>
                <w:lang w:val="es-US" w:eastAsia="es-MX"/>
              </w:rPr>
            </w:pPr>
            <w:r w:rsidRPr="00764FC9">
              <w:rPr>
                <w:sz w:val="20"/>
                <w:szCs w:val="20"/>
                <w:lang w:val="es-US" w:eastAsia="es-MX"/>
              </w:rPr>
              <w:t>Invalidación por relación sexoafectiva con hombres</w:t>
            </w:r>
          </w:p>
        </w:tc>
        <w:tc>
          <w:tcPr>
            <w:tcW w:w="885" w:type="dxa"/>
            <w:tcBorders>
              <w:left w:val="nil"/>
            </w:tcBorders>
            <w:vAlign w:val="center"/>
          </w:tcPr>
          <w:p w14:paraId="16297B35" w14:textId="77777777" w:rsidR="00764FC9" w:rsidRPr="00764FC9" w:rsidRDefault="00764FC9" w:rsidP="0079451A">
            <w:pPr>
              <w:jc w:val="center"/>
              <w:rPr>
                <w:sz w:val="20"/>
                <w:szCs w:val="20"/>
                <w:lang w:val="es-US" w:eastAsia="es-MX"/>
              </w:rPr>
            </w:pPr>
            <w:r w:rsidRPr="00764FC9">
              <w:rPr>
                <w:sz w:val="20"/>
                <w:szCs w:val="20"/>
                <w:lang w:val="es-US" w:eastAsia="es-MX"/>
              </w:rPr>
              <w:t>9</w:t>
            </w:r>
          </w:p>
        </w:tc>
      </w:tr>
      <w:tr w:rsidR="00764FC9" w:rsidRPr="00764FC9" w14:paraId="7F61FAED" w14:textId="77777777" w:rsidTr="00485619">
        <w:trPr>
          <w:trHeight w:val="300"/>
          <w:jc w:val="center"/>
        </w:trPr>
        <w:tc>
          <w:tcPr>
            <w:tcW w:w="3840" w:type="dxa"/>
            <w:tcBorders>
              <w:right w:val="nil"/>
            </w:tcBorders>
            <w:vAlign w:val="center"/>
          </w:tcPr>
          <w:p w14:paraId="5085DA65" w14:textId="77777777" w:rsidR="00764FC9" w:rsidRPr="00764FC9" w:rsidRDefault="00764FC9" w:rsidP="0079451A">
            <w:pPr>
              <w:jc w:val="center"/>
              <w:rPr>
                <w:sz w:val="20"/>
                <w:szCs w:val="20"/>
                <w:lang w:val="es-US" w:eastAsia="es-MX"/>
              </w:rPr>
            </w:pPr>
            <w:r w:rsidRPr="00764FC9">
              <w:rPr>
                <w:sz w:val="20"/>
                <w:szCs w:val="20"/>
                <w:lang w:val="es-US" w:eastAsia="es-MX"/>
              </w:rPr>
              <w:t>Prejuicio de promiscuidad</w:t>
            </w:r>
          </w:p>
        </w:tc>
        <w:tc>
          <w:tcPr>
            <w:tcW w:w="1095" w:type="dxa"/>
            <w:tcBorders>
              <w:left w:val="nil"/>
              <w:right w:val="nil"/>
            </w:tcBorders>
            <w:vAlign w:val="center"/>
          </w:tcPr>
          <w:p w14:paraId="3A182B16" w14:textId="77777777" w:rsidR="00764FC9" w:rsidRPr="00764FC9" w:rsidRDefault="00764FC9" w:rsidP="0079451A">
            <w:pPr>
              <w:jc w:val="center"/>
              <w:rPr>
                <w:sz w:val="20"/>
                <w:szCs w:val="20"/>
                <w:lang w:val="es-US" w:eastAsia="es-MX"/>
              </w:rPr>
            </w:pPr>
            <w:r w:rsidRPr="00764FC9">
              <w:rPr>
                <w:sz w:val="20"/>
                <w:szCs w:val="20"/>
                <w:lang w:val="es-US" w:eastAsia="es-MX"/>
              </w:rPr>
              <w:t>36</w:t>
            </w:r>
          </w:p>
        </w:tc>
        <w:tc>
          <w:tcPr>
            <w:tcW w:w="3555" w:type="dxa"/>
            <w:tcBorders>
              <w:left w:val="nil"/>
              <w:right w:val="nil"/>
            </w:tcBorders>
            <w:vAlign w:val="center"/>
          </w:tcPr>
          <w:p w14:paraId="4C39AF07" w14:textId="77777777" w:rsidR="00764FC9" w:rsidRPr="00764FC9" w:rsidRDefault="00764FC9" w:rsidP="0079451A">
            <w:pPr>
              <w:jc w:val="center"/>
              <w:rPr>
                <w:sz w:val="20"/>
                <w:szCs w:val="20"/>
                <w:lang w:val="es-US" w:eastAsia="es-MX"/>
              </w:rPr>
            </w:pPr>
            <w:r w:rsidRPr="00764FC9">
              <w:rPr>
                <w:sz w:val="20"/>
                <w:szCs w:val="20"/>
                <w:lang w:val="es-US" w:eastAsia="es-MX"/>
              </w:rPr>
              <w:t>Morbo hacia la bisexualidad</w:t>
            </w:r>
          </w:p>
        </w:tc>
        <w:tc>
          <w:tcPr>
            <w:tcW w:w="885" w:type="dxa"/>
            <w:tcBorders>
              <w:left w:val="nil"/>
            </w:tcBorders>
            <w:vAlign w:val="center"/>
          </w:tcPr>
          <w:p w14:paraId="5BFC76AF" w14:textId="77777777" w:rsidR="00764FC9" w:rsidRPr="00764FC9" w:rsidRDefault="00764FC9" w:rsidP="0079451A">
            <w:pPr>
              <w:jc w:val="center"/>
              <w:rPr>
                <w:sz w:val="20"/>
                <w:szCs w:val="20"/>
                <w:lang w:val="es-US" w:eastAsia="es-MX"/>
              </w:rPr>
            </w:pPr>
            <w:r w:rsidRPr="00764FC9">
              <w:rPr>
                <w:sz w:val="20"/>
                <w:szCs w:val="20"/>
                <w:lang w:val="es-US" w:eastAsia="es-MX"/>
              </w:rPr>
              <w:t>9</w:t>
            </w:r>
          </w:p>
        </w:tc>
      </w:tr>
      <w:tr w:rsidR="00764FC9" w:rsidRPr="00764FC9" w14:paraId="14AC375A" w14:textId="77777777" w:rsidTr="00485619">
        <w:trPr>
          <w:trHeight w:val="300"/>
          <w:jc w:val="center"/>
        </w:trPr>
        <w:tc>
          <w:tcPr>
            <w:tcW w:w="3840" w:type="dxa"/>
            <w:tcBorders>
              <w:right w:val="nil"/>
            </w:tcBorders>
            <w:vAlign w:val="center"/>
          </w:tcPr>
          <w:p w14:paraId="6CE450C1" w14:textId="77777777" w:rsidR="00764FC9" w:rsidRPr="00764FC9" w:rsidRDefault="00764FC9" w:rsidP="0079451A">
            <w:pPr>
              <w:jc w:val="center"/>
              <w:rPr>
                <w:sz w:val="20"/>
                <w:szCs w:val="20"/>
                <w:lang w:val="es-US" w:eastAsia="es-MX"/>
              </w:rPr>
            </w:pPr>
            <w:r w:rsidRPr="00764FC9">
              <w:rPr>
                <w:sz w:val="20"/>
                <w:szCs w:val="20"/>
                <w:lang w:val="es-US" w:eastAsia="es-MX"/>
              </w:rPr>
              <w:t>Desestimación de la bisexualidad</w:t>
            </w:r>
          </w:p>
        </w:tc>
        <w:tc>
          <w:tcPr>
            <w:tcW w:w="1095" w:type="dxa"/>
            <w:tcBorders>
              <w:left w:val="nil"/>
              <w:right w:val="nil"/>
            </w:tcBorders>
            <w:vAlign w:val="center"/>
          </w:tcPr>
          <w:p w14:paraId="0DFAE34B" w14:textId="77777777" w:rsidR="00764FC9" w:rsidRPr="00764FC9" w:rsidRDefault="00764FC9" w:rsidP="0079451A">
            <w:pPr>
              <w:jc w:val="center"/>
              <w:rPr>
                <w:sz w:val="20"/>
                <w:szCs w:val="20"/>
                <w:lang w:val="es-US" w:eastAsia="es-MX"/>
              </w:rPr>
            </w:pPr>
            <w:r w:rsidRPr="00764FC9">
              <w:rPr>
                <w:sz w:val="20"/>
                <w:szCs w:val="20"/>
                <w:lang w:val="es-US" w:eastAsia="es-MX"/>
              </w:rPr>
              <w:t>28</w:t>
            </w:r>
          </w:p>
        </w:tc>
        <w:tc>
          <w:tcPr>
            <w:tcW w:w="3555" w:type="dxa"/>
            <w:tcBorders>
              <w:left w:val="nil"/>
              <w:right w:val="nil"/>
            </w:tcBorders>
            <w:vAlign w:val="center"/>
          </w:tcPr>
          <w:p w14:paraId="6CEE6C5D" w14:textId="77777777" w:rsidR="00764FC9" w:rsidRPr="00764FC9" w:rsidRDefault="00764FC9" w:rsidP="0079451A">
            <w:pPr>
              <w:jc w:val="center"/>
              <w:rPr>
                <w:sz w:val="20"/>
                <w:szCs w:val="20"/>
                <w:lang w:val="es-US" w:eastAsia="es-MX"/>
              </w:rPr>
            </w:pPr>
            <w:r w:rsidRPr="00764FC9">
              <w:rPr>
                <w:sz w:val="20"/>
                <w:szCs w:val="20"/>
                <w:lang w:val="es-US" w:eastAsia="es-MX"/>
              </w:rPr>
              <w:t>Repulsión por prejuicio de enfermedad o peligro</w:t>
            </w:r>
          </w:p>
        </w:tc>
        <w:tc>
          <w:tcPr>
            <w:tcW w:w="885" w:type="dxa"/>
            <w:tcBorders>
              <w:left w:val="nil"/>
            </w:tcBorders>
            <w:vAlign w:val="center"/>
          </w:tcPr>
          <w:p w14:paraId="11C02DDD" w14:textId="77777777" w:rsidR="00764FC9" w:rsidRPr="00764FC9" w:rsidRDefault="00764FC9" w:rsidP="0079451A">
            <w:pPr>
              <w:jc w:val="center"/>
              <w:rPr>
                <w:sz w:val="20"/>
                <w:szCs w:val="20"/>
                <w:lang w:val="es-US" w:eastAsia="es-MX"/>
              </w:rPr>
            </w:pPr>
            <w:r w:rsidRPr="00764FC9">
              <w:rPr>
                <w:sz w:val="20"/>
                <w:szCs w:val="20"/>
                <w:lang w:val="es-US" w:eastAsia="es-MX"/>
              </w:rPr>
              <w:t>9</w:t>
            </w:r>
          </w:p>
        </w:tc>
      </w:tr>
      <w:tr w:rsidR="00764FC9" w:rsidRPr="00764FC9" w14:paraId="06CCA7D1" w14:textId="77777777" w:rsidTr="0079451A">
        <w:trPr>
          <w:trHeight w:val="255"/>
          <w:jc w:val="center"/>
        </w:trPr>
        <w:tc>
          <w:tcPr>
            <w:tcW w:w="3840" w:type="dxa"/>
            <w:tcBorders>
              <w:right w:val="nil"/>
            </w:tcBorders>
            <w:vAlign w:val="center"/>
          </w:tcPr>
          <w:p w14:paraId="2DD436C9" w14:textId="77777777" w:rsidR="00764FC9" w:rsidRPr="00764FC9" w:rsidRDefault="00764FC9" w:rsidP="0079451A">
            <w:pPr>
              <w:jc w:val="center"/>
              <w:rPr>
                <w:sz w:val="20"/>
                <w:szCs w:val="20"/>
                <w:lang w:val="es-US" w:eastAsia="es-MX"/>
              </w:rPr>
            </w:pPr>
            <w:r w:rsidRPr="00764FC9">
              <w:rPr>
                <w:sz w:val="20"/>
                <w:szCs w:val="20"/>
                <w:lang w:val="es-US" w:eastAsia="es-MX"/>
              </w:rPr>
              <w:t>Binegatividad desde las mujeres lesbianas</w:t>
            </w:r>
          </w:p>
        </w:tc>
        <w:tc>
          <w:tcPr>
            <w:tcW w:w="1095" w:type="dxa"/>
            <w:tcBorders>
              <w:left w:val="nil"/>
              <w:right w:val="nil"/>
            </w:tcBorders>
            <w:vAlign w:val="center"/>
          </w:tcPr>
          <w:p w14:paraId="4146949C" w14:textId="77777777" w:rsidR="00764FC9" w:rsidRPr="00764FC9" w:rsidRDefault="00764FC9" w:rsidP="0079451A">
            <w:pPr>
              <w:jc w:val="center"/>
              <w:rPr>
                <w:sz w:val="20"/>
                <w:szCs w:val="20"/>
                <w:lang w:val="es-US" w:eastAsia="es-MX"/>
              </w:rPr>
            </w:pPr>
            <w:r w:rsidRPr="00764FC9">
              <w:rPr>
                <w:sz w:val="20"/>
                <w:szCs w:val="20"/>
                <w:lang w:val="es-US" w:eastAsia="es-MX"/>
              </w:rPr>
              <w:t>25</w:t>
            </w:r>
          </w:p>
        </w:tc>
        <w:tc>
          <w:tcPr>
            <w:tcW w:w="3555" w:type="dxa"/>
            <w:tcBorders>
              <w:left w:val="nil"/>
              <w:right w:val="nil"/>
            </w:tcBorders>
            <w:vAlign w:val="center"/>
          </w:tcPr>
          <w:p w14:paraId="4BC00B79" w14:textId="77777777" w:rsidR="00764FC9" w:rsidRPr="00764FC9" w:rsidRDefault="00764FC9" w:rsidP="0079451A">
            <w:pPr>
              <w:jc w:val="center"/>
              <w:rPr>
                <w:sz w:val="20"/>
                <w:szCs w:val="20"/>
                <w:lang w:val="es-US" w:eastAsia="es-MX"/>
              </w:rPr>
            </w:pPr>
            <w:r w:rsidRPr="00764FC9">
              <w:rPr>
                <w:sz w:val="20"/>
                <w:szCs w:val="20"/>
                <w:lang w:val="es-US" w:eastAsia="es-MX"/>
              </w:rPr>
              <w:t>Anticipación de la binegatividad</w:t>
            </w:r>
          </w:p>
        </w:tc>
        <w:tc>
          <w:tcPr>
            <w:tcW w:w="885" w:type="dxa"/>
            <w:tcBorders>
              <w:left w:val="nil"/>
            </w:tcBorders>
            <w:vAlign w:val="center"/>
          </w:tcPr>
          <w:p w14:paraId="218502E4" w14:textId="77777777" w:rsidR="00764FC9" w:rsidRPr="00764FC9" w:rsidRDefault="00764FC9" w:rsidP="0079451A">
            <w:pPr>
              <w:jc w:val="center"/>
              <w:rPr>
                <w:sz w:val="20"/>
                <w:szCs w:val="20"/>
                <w:lang w:val="es-US" w:eastAsia="es-MX"/>
              </w:rPr>
            </w:pPr>
            <w:r w:rsidRPr="00764FC9">
              <w:rPr>
                <w:sz w:val="20"/>
                <w:szCs w:val="20"/>
                <w:lang w:val="es-US" w:eastAsia="es-MX"/>
              </w:rPr>
              <w:t>8</w:t>
            </w:r>
          </w:p>
        </w:tc>
      </w:tr>
      <w:tr w:rsidR="00764FC9" w:rsidRPr="00764FC9" w14:paraId="465256D9" w14:textId="77777777" w:rsidTr="00485619">
        <w:trPr>
          <w:trHeight w:val="300"/>
          <w:jc w:val="center"/>
        </w:trPr>
        <w:tc>
          <w:tcPr>
            <w:tcW w:w="3840" w:type="dxa"/>
            <w:tcBorders>
              <w:right w:val="nil"/>
            </w:tcBorders>
            <w:vAlign w:val="center"/>
          </w:tcPr>
          <w:p w14:paraId="744EBF3C" w14:textId="77777777" w:rsidR="00764FC9" w:rsidRPr="00764FC9" w:rsidRDefault="00764FC9" w:rsidP="0079451A">
            <w:pPr>
              <w:jc w:val="center"/>
              <w:rPr>
                <w:sz w:val="20"/>
                <w:szCs w:val="20"/>
                <w:lang w:val="es-US" w:eastAsia="es-MX"/>
              </w:rPr>
            </w:pPr>
            <w:r w:rsidRPr="00764FC9">
              <w:rPr>
                <w:sz w:val="20"/>
                <w:szCs w:val="20"/>
                <w:lang w:val="es-US" w:eastAsia="es-MX"/>
              </w:rPr>
              <w:t>Binegatividad desde los hombres heterosexuales</w:t>
            </w:r>
          </w:p>
        </w:tc>
        <w:tc>
          <w:tcPr>
            <w:tcW w:w="1095" w:type="dxa"/>
            <w:tcBorders>
              <w:left w:val="nil"/>
              <w:right w:val="nil"/>
            </w:tcBorders>
            <w:vAlign w:val="center"/>
          </w:tcPr>
          <w:p w14:paraId="0C0B577D" w14:textId="77777777" w:rsidR="00764FC9" w:rsidRPr="00764FC9" w:rsidRDefault="00764FC9" w:rsidP="0079451A">
            <w:pPr>
              <w:jc w:val="center"/>
              <w:rPr>
                <w:sz w:val="20"/>
                <w:szCs w:val="20"/>
                <w:lang w:val="es-US" w:eastAsia="es-MX"/>
              </w:rPr>
            </w:pPr>
            <w:r w:rsidRPr="00764FC9">
              <w:rPr>
                <w:sz w:val="20"/>
                <w:szCs w:val="20"/>
                <w:lang w:val="es-US" w:eastAsia="es-MX"/>
              </w:rPr>
              <w:t>25</w:t>
            </w:r>
          </w:p>
        </w:tc>
        <w:tc>
          <w:tcPr>
            <w:tcW w:w="3555" w:type="dxa"/>
            <w:tcBorders>
              <w:left w:val="nil"/>
              <w:right w:val="nil"/>
            </w:tcBorders>
            <w:vAlign w:val="center"/>
          </w:tcPr>
          <w:p w14:paraId="2A27FF19" w14:textId="77777777" w:rsidR="00764FC9" w:rsidRPr="00764FC9" w:rsidRDefault="00764FC9" w:rsidP="0079451A">
            <w:pPr>
              <w:jc w:val="center"/>
              <w:rPr>
                <w:sz w:val="20"/>
                <w:szCs w:val="20"/>
                <w:lang w:val="es-US" w:eastAsia="es-MX"/>
              </w:rPr>
            </w:pPr>
            <w:r w:rsidRPr="00764FC9">
              <w:rPr>
                <w:sz w:val="20"/>
                <w:szCs w:val="20"/>
                <w:lang w:val="es-US" w:eastAsia="es-MX"/>
              </w:rPr>
              <w:t>Binegatividad desde la comunidad LGBTIQ+</w:t>
            </w:r>
          </w:p>
        </w:tc>
        <w:tc>
          <w:tcPr>
            <w:tcW w:w="885" w:type="dxa"/>
            <w:tcBorders>
              <w:left w:val="nil"/>
            </w:tcBorders>
            <w:vAlign w:val="center"/>
          </w:tcPr>
          <w:p w14:paraId="5B722DC2" w14:textId="77777777" w:rsidR="00764FC9" w:rsidRPr="00764FC9" w:rsidRDefault="00764FC9" w:rsidP="0079451A">
            <w:pPr>
              <w:jc w:val="center"/>
              <w:rPr>
                <w:sz w:val="20"/>
                <w:szCs w:val="20"/>
                <w:lang w:val="es-US" w:eastAsia="es-MX"/>
              </w:rPr>
            </w:pPr>
            <w:r w:rsidRPr="00764FC9">
              <w:rPr>
                <w:sz w:val="20"/>
                <w:szCs w:val="20"/>
                <w:lang w:val="es-US" w:eastAsia="es-MX"/>
              </w:rPr>
              <w:t>8</w:t>
            </w:r>
          </w:p>
        </w:tc>
      </w:tr>
      <w:tr w:rsidR="00764FC9" w:rsidRPr="00764FC9" w14:paraId="3DF4C52D" w14:textId="77777777" w:rsidTr="00485619">
        <w:trPr>
          <w:trHeight w:val="300"/>
          <w:jc w:val="center"/>
        </w:trPr>
        <w:tc>
          <w:tcPr>
            <w:tcW w:w="3840" w:type="dxa"/>
            <w:tcBorders>
              <w:right w:val="nil"/>
            </w:tcBorders>
            <w:vAlign w:val="center"/>
          </w:tcPr>
          <w:p w14:paraId="5FDAA7D5" w14:textId="77777777" w:rsidR="00764FC9" w:rsidRPr="00764FC9" w:rsidRDefault="00764FC9" w:rsidP="0079451A">
            <w:pPr>
              <w:jc w:val="center"/>
              <w:rPr>
                <w:sz w:val="20"/>
                <w:szCs w:val="20"/>
                <w:lang w:val="es-US" w:eastAsia="es-MX"/>
              </w:rPr>
            </w:pPr>
            <w:r w:rsidRPr="00764FC9">
              <w:rPr>
                <w:sz w:val="20"/>
                <w:szCs w:val="20"/>
                <w:lang w:val="es-US" w:eastAsia="es-MX"/>
              </w:rPr>
              <w:t>Prejuicio de indecisión</w:t>
            </w:r>
          </w:p>
        </w:tc>
        <w:tc>
          <w:tcPr>
            <w:tcW w:w="1095" w:type="dxa"/>
            <w:tcBorders>
              <w:left w:val="nil"/>
              <w:right w:val="nil"/>
            </w:tcBorders>
            <w:vAlign w:val="center"/>
          </w:tcPr>
          <w:p w14:paraId="626590E3" w14:textId="77777777" w:rsidR="00764FC9" w:rsidRPr="00764FC9" w:rsidRDefault="00764FC9" w:rsidP="0079451A">
            <w:pPr>
              <w:jc w:val="center"/>
              <w:rPr>
                <w:sz w:val="20"/>
                <w:szCs w:val="20"/>
                <w:lang w:val="es-US" w:eastAsia="es-MX"/>
              </w:rPr>
            </w:pPr>
            <w:r w:rsidRPr="00764FC9">
              <w:rPr>
                <w:sz w:val="20"/>
                <w:szCs w:val="20"/>
                <w:lang w:val="es-US" w:eastAsia="es-MX"/>
              </w:rPr>
              <w:t>25</w:t>
            </w:r>
          </w:p>
        </w:tc>
        <w:tc>
          <w:tcPr>
            <w:tcW w:w="3555" w:type="dxa"/>
            <w:tcBorders>
              <w:left w:val="nil"/>
              <w:right w:val="nil"/>
            </w:tcBorders>
            <w:vAlign w:val="center"/>
          </w:tcPr>
          <w:p w14:paraId="6D742DA1" w14:textId="77777777" w:rsidR="00764FC9" w:rsidRPr="00764FC9" w:rsidRDefault="00764FC9" w:rsidP="0079451A">
            <w:pPr>
              <w:jc w:val="center"/>
              <w:rPr>
                <w:sz w:val="20"/>
                <w:szCs w:val="20"/>
                <w:lang w:val="es-US" w:eastAsia="es-MX"/>
              </w:rPr>
            </w:pPr>
            <w:r w:rsidRPr="00764FC9">
              <w:rPr>
                <w:sz w:val="20"/>
                <w:szCs w:val="20"/>
                <w:lang w:val="es-US" w:eastAsia="es-MX"/>
              </w:rPr>
              <w:t>Violencia verbal</w:t>
            </w:r>
          </w:p>
        </w:tc>
        <w:tc>
          <w:tcPr>
            <w:tcW w:w="885" w:type="dxa"/>
            <w:tcBorders>
              <w:left w:val="nil"/>
            </w:tcBorders>
            <w:vAlign w:val="center"/>
          </w:tcPr>
          <w:p w14:paraId="1D07592D" w14:textId="77777777" w:rsidR="00764FC9" w:rsidRPr="00764FC9" w:rsidRDefault="00764FC9" w:rsidP="0079451A">
            <w:pPr>
              <w:jc w:val="center"/>
              <w:rPr>
                <w:sz w:val="20"/>
                <w:szCs w:val="20"/>
                <w:lang w:val="es-US" w:eastAsia="es-MX"/>
              </w:rPr>
            </w:pPr>
            <w:r w:rsidRPr="00764FC9">
              <w:rPr>
                <w:sz w:val="20"/>
                <w:szCs w:val="20"/>
                <w:lang w:val="es-US" w:eastAsia="es-MX"/>
              </w:rPr>
              <w:t>7</w:t>
            </w:r>
          </w:p>
        </w:tc>
      </w:tr>
      <w:tr w:rsidR="00764FC9" w:rsidRPr="00764FC9" w14:paraId="66E1A44B" w14:textId="77777777" w:rsidTr="00485619">
        <w:trPr>
          <w:trHeight w:val="300"/>
          <w:jc w:val="center"/>
        </w:trPr>
        <w:tc>
          <w:tcPr>
            <w:tcW w:w="3840" w:type="dxa"/>
            <w:tcBorders>
              <w:right w:val="nil"/>
            </w:tcBorders>
            <w:vAlign w:val="center"/>
          </w:tcPr>
          <w:p w14:paraId="723D212B" w14:textId="77777777" w:rsidR="00764FC9" w:rsidRPr="00764FC9" w:rsidRDefault="00764FC9" w:rsidP="0079451A">
            <w:pPr>
              <w:jc w:val="center"/>
              <w:rPr>
                <w:sz w:val="20"/>
                <w:szCs w:val="20"/>
                <w:lang w:val="es-US" w:eastAsia="es-MX"/>
              </w:rPr>
            </w:pPr>
            <w:r w:rsidRPr="00764FC9">
              <w:rPr>
                <w:sz w:val="20"/>
                <w:szCs w:val="20"/>
                <w:lang w:val="es-US" w:eastAsia="es-MX"/>
              </w:rPr>
              <w:t>Prejuicio de temporalidad</w:t>
            </w:r>
          </w:p>
        </w:tc>
        <w:tc>
          <w:tcPr>
            <w:tcW w:w="1095" w:type="dxa"/>
            <w:tcBorders>
              <w:left w:val="nil"/>
              <w:right w:val="nil"/>
            </w:tcBorders>
            <w:vAlign w:val="center"/>
          </w:tcPr>
          <w:p w14:paraId="2E2E55F3" w14:textId="77777777" w:rsidR="00764FC9" w:rsidRPr="00764FC9" w:rsidRDefault="00764FC9" w:rsidP="0079451A">
            <w:pPr>
              <w:jc w:val="center"/>
              <w:rPr>
                <w:sz w:val="20"/>
                <w:szCs w:val="20"/>
                <w:lang w:val="es-US" w:eastAsia="es-MX"/>
              </w:rPr>
            </w:pPr>
            <w:r w:rsidRPr="00764FC9">
              <w:rPr>
                <w:sz w:val="20"/>
                <w:szCs w:val="20"/>
                <w:lang w:val="es-US" w:eastAsia="es-MX"/>
              </w:rPr>
              <w:t>23</w:t>
            </w:r>
          </w:p>
        </w:tc>
        <w:tc>
          <w:tcPr>
            <w:tcW w:w="3555" w:type="dxa"/>
            <w:tcBorders>
              <w:left w:val="nil"/>
              <w:right w:val="nil"/>
            </w:tcBorders>
            <w:vAlign w:val="center"/>
          </w:tcPr>
          <w:p w14:paraId="42A41156" w14:textId="77777777" w:rsidR="00764FC9" w:rsidRPr="00764FC9" w:rsidRDefault="00764FC9" w:rsidP="0079451A">
            <w:pPr>
              <w:jc w:val="center"/>
              <w:rPr>
                <w:sz w:val="20"/>
                <w:szCs w:val="20"/>
                <w:lang w:val="es-US" w:eastAsia="es-MX"/>
              </w:rPr>
            </w:pPr>
            <w:r w:rsidRPr="00764FC9">
              <w:rPr>
                <w:sz w:val="20"/>
                <w:szCs w:val="20"/>
                <w:lang w:val="es-US" w:eastAsia="es-MX"/>
              </w:rPr>
              <w:t>Binegatividad desde el espacio laboral</w:t>
            </w:r>
          </w:p>
        </w:tc>
        <w:tc>
          <w:tcPr>
            <w:tcW w:w="885" w:type="dxa"/>
            <w:tcBorders>
              <w:left w:val="nil"/>
            </w:tcBorders>
            <w:vAlign w:val="center"/>
          </w:tcPr>
          <w:p w14:paraId="2B39E3B7" w14:textId="77777777" w:rsidR="00764FC9" w:rsidRPr="00764FC9" w:rsidRDefault="00764FC9" w:rsidP="0079451A">
            <w:pPr>
              <w:jc w:val="center"/>
              <w:rPr>
                <w:sz w:val="20"/>
                <w:szCs w:val="20"/>
                <w:lang w:val="es-US" w:eastAsia="es-MX"/>
              </w:rPr>
            </w:pPr>
            <w:r w:rsidRPr="00764FC9">
              <w:rPr>
                <w:sz w:val="20"/>
                <w:szCs w:val="20"/>
                <w:lang w:val="es-US" w:eastAsia="es-MX"/>
              </w:rPr>
              <w:t>6</w:t>
            </w:r>
          </w:p>
        </w:tc>
      </w:tr>
      <w:tr w:rsidR="00764FC9" w:rsidRPr="00764FC9" w14:paraId="5BF7910F" w14:textId="77777777" w:rsidTr="00485619">
        <w:trPr>
          <w:trHeight w:val="300"/>
          <w:jc w:val="center"/>
        </w:trPr>
        <w:tc>
          <w:tcPr>
            <w:tcW w:w="3840" w:type="dxa"/>
            <w:tcBorders>
              <w:right w:val="nil"/>
            </w:tcBorders>
            <w:vAlign w:val="center"/>
          </w:tcPr>
          <w:p w14:paraId="7968AFA7" w14:textId="77777777" w:rsidR="00764FC9" w:rsidRPr="00764FC9" w:rsidRDefault="00764FC9" w:rsidP="0079451A">
            <w:pPr>
              <w:jc w:val="center"/>
              <w:rPr>
                <w:sz w:val="20"/>
                <w:szCs w:val="20"/>
                <w:lang w:val="es-US" w:eastAsia="es-MX"/>
              </w:rPr>
            </w:pPr>
            <w:r w:rsidRPr="00764FC9">
              <w:rPr>
                <w:sz w:val="20"/>
                <w:szCs w:val="20"/>
                <w:lang w:val="es-US" w:eastAsia="es-MX"/>
              </w:rPr>
              <w:t>Prejuicio de infidelidad</w:t>
            </w:r>
          </w:p>
        </w:tc>
        <w:tc>
          <w:tcPr>
            <w:tcW w:w="1095" w:type="dxa"/>
            <w:tcBorders>
              <w:left w:val="nil"/>
              <w:right w:val="nil"/>
            </w:tcBorders>
            <w:vAlign w:val="center"/>
          </w:tcPr>
          <w:p w14:paraId="402794C7" w14:textId="77777777" w:rsidR="00764FC9" w:rsidRPr="00764FC9" w:rsidRDefault="00764FC9" w:rsidP="0079451A">
            <w:pPr>
              <w:jc w:val="center"/>
              <w:rPr>
                <w:sz w:val="20"/>
                <w:szCs w:val="20"/>
                <w:lang w:val="es-US" w:eastAsia="es-MX"/>
              </w:rPr>
            </w:pPr>
            <w:r w:rsidRPr="00764FC9">
              <w:rPr>
                <w:sz w:val="20"/>
                <w:szCs w:val="20"/>
                <w:lang w:val="es-US" w:eastAsia="es-MX"/>
              </w:rPr>
              <w:t>21</w:t>
            </w:r>
          </w:p>
        </w:tc>
        <w:tc>
          <w:tcPr>
            <w:tcW w:w="3555" w:type="dxa"/>
            <w:tcBorders>
              <w:left w:val="nil"/>
              <w:right w:val="nil"/>
            </w:tcBorders>
            <w:vAlign w:val="center"/>
          </w:tcPr>
          <w:p w14:paraId="49835A8D" w14:textId="77777777" w:rsidR="00764FC9" w:rsidRPr="00764FC9" w:rsidRDefault="00764FC9" w:rsidP="0079451A">
            <w:pPr>
              <w:jc w:val="center"/>
              <w:rPr>
                <w:sz w:val="20"/>
                <w:szCs w:val="20"/>
                <w:lang w:val="es-US" w:eastAsia="es-MX"/>
              </w:rPr>
            </w:pPr>
            <w:r w:rsidRPr="00764FC9">
              <w:rPr>
                <w:sz w:val="20"/>
                <w:szCs w:val="20"/>
                <w:lang w:val="es-US" w:eastAsia="es-MX"/>
              </w:rPr>
              <w:t>Evitación de la bisexualidad como tema de conversación</w:t>
            </w:r>
          </w:p>
        </w:tc>
        <w:tc>
          <w:tcPr>
            <w:tcW w:w="885" w:type="dxa"/>
            <w:tcBorders>
              <w:left w:val="nil"/>
            </w:tcBorders>
            <w:vAlign w:val="center"/>
          </w:tcPr>
          <w:p w14:paraId="4F35BF45" w14:textId="77777777" w:rsidR="00764FC9" w:rsidRPr="00764FC9" w:rsidRDefault="00764FC9" w:rsidP="0079451A">
            <w:pPr>
              <w:jc w:val="center"/>
              <w:rPr>
                <w:sz w:val="20"/>
                <w:szCs w:val="20"/>
                <w:lang w:val="es-US" w:eastAsia="es-MX"/>
              </w:rPr>
            </w:pPr>
            <w:r w:rsidRPr="00764FC9">
              <w:rPr>
                <w:sz w:val="20"/>
                <w:szCs w:val="20"/>
                <w:lang w:val="es-US" w:eastAsia="es-MX"/>
              </w:rPr>
              <w:t>6</w:t>
            </w:r>
          </w:p>
        </w:tc>
      </w:tr>
      <w:tr w:rsidR="00764FC9" w:rsidRPr="00764FC9" w14:paraId="02B05458" w14:textId="77777777" w:rsidTr="00485619">
        <w:trPr>
          <w:trHeight w:val="300"/>
          <w:jc w:val="center"/>
        </w:trPr>
        <w:tc>
          <w:tcPr>
            <w:tcW w:w="3840" w:type="dxa"/>
            <w:tcBorders>
              <w:right w:val="nil"/>
            </w:tcBorders>
            <w:vAlign w:val="center"/>
          </w:tcPr>
          <w:p w14:paraId="4384C1DE" w14:textId="77777777" w:rsidR="00764FC9" w:rsidRPr="00764FC9" w:rsidRDefault="00764FC9" w:rsidP="0079451A">
            <w:pPr>
              <w:jc w:val="center"/>
              <w:rPr>
                <w:sz w:val="20"/>
                <w:szCs w:val="20"/>
                <w:lang w:val="es-US" w:eastAsia="es-MX"/>
              </w:rPr>
            </w:pPr>
            <w:r w:rsidRPr="00764FC9">
              <w:rPr>
                <w:sz w:val="20"/>
                <w:szCs w:val="20"/>
                <w:lang w:val="es-US" w:eastAsia="es-MX"/>
              </w:rPr>
              <w:t>Rechazo por la bisexualidad</w:t>
            </w:r>
          </w:p>
        </w:tc>
        <w:tc>
          <w:tcPr>
            <w:tcW w:w="1095" w:type="dxa"/>
            <w:tcBorders>
              <w:left w:val="nil"/>
              <w:right w:val="nil"/>
            </w:tcBorders>
            <w:vAlign w:val="center"/>
          </w:tcPr>
          <w:p w14:paraId="570E3E2F" w14:textId="77777777" w:rsidR="00764FC9" w:rsidRPr="00764FC9" w:rsidRDefault="00764FC9" w:rsidP="0079451A">
            <w:pPr>
              <w:jc w:val="center"/>
              <w:rPr>
                <w:sz w:val="20"/>
                <w:szCs w:val="20"/>
                <w:lang w:val="es-US" w:eastAsia="es-MX"/>
              </w:rPr>
            </w:pPr>
            <w:r w:rsidRPr="00764FC9">
              <w:rPr>
                <w:sz w:val="20"/>
                <w:szCs w:val="20"/>
                <w:lang w:val="es-US" w:eastAsia="es-MX"/>
              </w:rPr>
              <w:t>20</w:t>
            </w:r>
          </w:p>
        </w:tc>
        <w:tc>
          <w:tcPr>
            <w:tcW w:w="3555" w:type="dxa"/>
            <w:tcBorders>
              <w:left w:val="nil"/>
              <w:right w:val="nil"/>
            </w:tcBorders>
            <w:vAlign w:val="center"/>
          </w:tcPr>
          <w:p w14:paraId="5874776D" w14:textId="77777777" w:rsidR="00764FC9" w:rsidRPr="00764FC9" w:rsidRDefault="00764FC9" w:rsidP="0079451A">
            <w:pPr>
              <w:jc w:val="center"/>
              <w:rPr>
                <w:sz w:val="20"/>
                <w:szCs w:val="20"/>
                <w:lang w:val="es-US" w:eastAsia="es-MX"/>
              </w:rPr>
            </w:pPr>
            <w:r w:rsidRPr="00764FC9">
              <w:rPr>
                <w:sz w:val="20"/>
                <w:szCs w:val="20"/>
                <w:lang w:val="es-US" w:eastAsia="es-MX"/>
              </w:rPr>
              <w:t>Prejuicio de que no se es confiable</w:t>
            </w:r>
          </w:p>
        </w:tc>
        <w:tc>
          <w:tcPr>
            <w:tcW w:w="885" w:type="dxa"/>
            <w:tcBorders>
              <w:left w:val="nil"/>
            </w:tcBorders>
            <w:vAlign w:val="center"/>
          </w:tcPr>
          <w:p w14:paraId="07166F16" w14:textId="77777777" w:rsidR="00764FC9" w:rsidRPr="00764FC9" w:rsidRDefault="00764FC9" w:rsidP="0079451A">
            <w:pPr>
              <w:jc w:val="center"/>
              <w:rPr>
                <w:sz w:val="20"/>
                <w:szCs w:val="20"/>
                <w:lang w:val="es-US" w:eastAsia="es-MX"/>
              </w:rPr>
            </w:pPr>
            <w:r w:rsidRPr="00764FC9">
              <w:rPr>
                <w:sz w:val="20"/>
                <w:szCs w:val="20"/>
                <w:lang w:val="es-US" w:eastAsia="es-MX"/>
              </w:rPr>
              <w:t>6</w:t>
            </w:r>
          </w:p>
        </w:tc>
      </w:tr>
      <w:tr w:rsidR="00764FC9" w:rsidRPr="00764FC9" w14:paraId="2D25F332" w14:textId="77777777" w:rsidTr="00485619">
        <w:trPr>
          <w:trHeight w:val="300"/>
          <w:jc w:val="center"/>
        </w:trPr>
        <w:tc>
          <w:tcPr>
            <w:tcW w:w="3840" w:type="dxa"/>
            <w:tcBorders>
              <w:right w:val="nil"/>
            </w:tcBorders>
            <w:vAlign w:val="center"/>
          </w:tcPr>
          <w:p w14:paraId="41A07408" w14:textId="77777777" w:rsidR="00764FC9" w:rsidRPr="00764FC9" w:rsidRDefault="00764FC9" w:rsidP="0079451A">
            <w:pPr>
              <w:jc w:val="center"/>
              <w:rPr>
                <w:sz w:val="20"/>
                <w:szCs w:val="20"/>
                <w:lang w:val="es-US" w:eastAsia="es-MX"/>
              </w:rPr>
            </w:pPr>
            <w:r w:rsidRPr="00764FC9">
              <w:rPr>
                <w:sz w:val="20"/>
                <w:szCs w:val="20"/>
                <w:lang w:val="es-US" w:eastAsia="es-MX"/>
              </w:rPr>
              <w:t>Binegatividad en las relaciones sexoafectivas</w:t>
            </w:r>
          </w:p>
        </w:tc>
        <w:tc>
          <w:tcPr>
            <w:tcW w:w="1095" w:type="dxa"/>
            <w:tcBorders>
              <w:left w:val="nil"/>
              <w:right w:val="nil"/>
            </w:tcBorders>
            <w:vAlign w:val="center"/>
          </w:tcPr>
          <w:p w14:paraId="43903C5D" w14:textId="77777777" w:rsidR="00764FC9" w:rsidRPr="00764FC9" w:rsidRDefault="00764FC9" w:rsidP="0079451A">
            <w:pPr>
              <w:jc w:val="center"/>
              <w:rPr>
                <w:sz w:val="20"/>
                <w:szCs w:val="20"/>
                <w:lang w:val="es-US" w:eastAsia="es-MX"/>
              </w:rPr>
            </w:pPr>
            <w:r w:rsidRPr="00764FC9">
              <w:rPr>
                <w:sz w:val="20"/>
                <w:szCs w:val="20"/>
                <w:lang w:val="es-US" w:eastAsia="es-MX"/>
              </w:rPr>
              <w:t>19</w:t>
            </w:r>
          </w:p>
        </w:tc>
        <w:tc>
          <w:tcPr>
            <w:tcW w:w="3555" w:type="dxa"/>
            <w:tcBorders>
              <w:left w:val="nil"/>
              <w:right w:val="nil"/>
            </w:tcBorders>
            <w:vAlign w:val="center"/>
          </w:tcPr>
          <w:p w14:paraId="0F688405" w14:textId="77777777" w:rsidR="00764FC9" w:rsidRPr="00764FC9" w:rsidRDefault="00764FC9" w:rsidP="0079451A">
            <w:pPr>
              <w:jc w:val="center"/>
              <w:rPr>
                <w:sz w:val="20"/>
                <w:szCs w:val="20"/>
                <w:lang w:val="es-US" w:eastAsia="es-MX"/>
              </w:rPr>
            </w:pPr>
            <w:r w:rsidRPr="00764FC9">
              <w:rPr>
                <w:sz w:val="20"/>
                <w:szCs w:val="20"/>
                <w:lang w:val="es-US" w:eastAsia="es-MX"/>
              </w:rPr>
              <w:t>Binegatividad institucional</w:t>
            </w:r>
          </w:p>
        </w:tc>
        <w:tc>
          <w:tcPr>
            <w:tcW w:w="885" w:type="dxa"/>
            <w:tcBorders>
              <w:left w:val="nil"/>
            </w:tcBorders>
            <w:vAlign w:val="center"/>
          </w:tcPr>
          <w:p w14:paraId="379D6B30" w14:textId="77777777" w:rsidR="00764FC9" w:rsidRPr="00764FC9" w:rsidRDefault="00764FC9" w:rsidP="0079451A">
            <w:pPr>
              <w:jc w:val="center"/>
              <w:rPr>
                <w:sz w:val="20"/>
                <w:szCs w:val="20"/>
                <w:lang w:val="es-US" w:eastAsia="es-MX"/>
              </w:rPr>
            </w:pPr>
            <w:r w:rsidRPr="00764FC9">
              <w:rPr>
                <w:sz w:val="20"/>
                <w:szCs w:val="20"/>
                <w:lang w:val="es-US" w:eastAsia="es-MX"/>
              </w:rPr>
              <w:t>5</w:t>
            </w:r>
          </w:p>
        </w:tc>
      </w:tr>
      <w:tr w:rsidR="00764FC9" w:rsidRPr="00764FC9" w14:paraId="6C4D1699" w14:textId="77777777" w:rsidTr="00485619">
        <w:trPr>
          <w:trHeight w:val="300"/>
          <w:jc w:val="center"/>
        </w:trPr>
        <w:tc>
          <w:tcPr>
            <w:tcW w:w="3840" w:type="dxa"/>
            <w:tcBorders>
              <w:right w:val="nil"/>
            </w:tcBorders>
            <w:vAlign w:val="center"/>
          </w:tcPr>
          <w:p w14:paraId="23EF8814" w14:textId="77777777" w:rsidR="00764FC9" w:rsidRPr="00764FC9" w:rsidRDefault="00764FC9" w:rsidP="0079451A">
            <w:pPr>
              <w:jc w:val="center"/>
              <w:rPr>
                <w:sz w:val="20"/>
                <w:szCs w:val="20"/>
                <w:lang w:val="es-US" w:eastAsia="es-MX"/>
              </w:rPr>
            </w:pPr>
            <w:r w:rsidRPr="00764FC9">
              <w:rPr>
                <w:sz w:val="20"/>
                <w:szCs w:val="20"/>
                <w:lang w:val="es-US" w:eastAsia="es-MX"/>
              </w:rPr>
              <w:lastRenderedPageBreak/>
              <w:t>Binegatividad desde las amistades</w:t>
            </w:r>
          </w:p>
        </w:tc>
        <w:tc>
          <w:tcPr>
            <w:tcW w:w="1095" w:type="dxa"/>
            <w:tcBorders>
              <w:left w:val="nil"/>
              <w:right w:val="nil"/>
            </w:tcBorders>
            <w:vAlign w:val="center"/>
          </w:tcPr>
          <w:p w14:paraId="3744229C" w14:textId="77777777" w:rsidR="00764FC9" w:rsidRPr="00764FC9" w:rsidRDefault="00764FC9" w:rsidP="0079451A">
            <w:pPr>
              <w:jc w:val="center"/>
              <w:rPr>
                <w:sz w:val="20"/>
                <w:szCs w:val="20"/>
                <w:lang w:val="es-US" w:eastAsia="es-MX"/>
              </w:rPr>
            </w:pPr>
            <w:r w:rsidRPr="00764FC9">
              <w:rPr>
                <w:sz w:val="20"/>
                <w:szCs w:val="20"/>
                <w:lang w:val="es-US" w:eastAsia="es-MX"/>
              </w:rPr>
              <w:t>17</w:t>
            </w:r>
          </w:p>
        </w:tc>
        <w:tc>
          <w:tcPr>
            <w:tcW w:w="3555" w:type="dxa"/>
            <w:tcBorders>
              <w:left w:val="nil"/>
              <w:right w:val="nil"/>
            </w:tcBorders>
            <w:vAlign w:val="center"/>
          </w:tcPr>
          <w:p w14:paraId="4BF08F1E" w14:textId="77777777" w:rsidR="00764FC9" w:rsidRPr="00764FC9" w:rsidRDefault="00764FC9" w:rsidP="0079451A">
            <w:pPr>
              <w:jc w:val="center"/>
              <w:rPr>
                <w:sz w:val="20"/>
                <w:szCs w:val="20"/>
                <w:lang w:val="es-US" w:eastAsia="es-MX"/>
              </w:rPr>
            </w:pPr>
            <w:r w:rsidRPr="00764FC9">
              <w:rPr>
                <w:sz w:val="20"/>
                <w:szCs w:val="20"/>
                <w:lang w:val="es-US" w:eastAsia="es-MX"/>
              </w:rPr>
              <w:t>Violencia de control</w:t>
            </w:r>
          </w:p>
        </w:tc>
        <w:tc>
          <w:tcPr>
            <w:tcW w:w="885" w:type="dxa"/>
            <w:tcBorders>
              <w:left w:val="nil"/>
            </w:tcBorders>
            <w:vAlign w:val="center"/>
          </w:tcPr>
          <w:p w14:paraId="66AF4092" w14:textId="77777777" w:rsidR="00764FC9" w:rsidRPr="00764FC9" w:rsidRDefault="00764FC9" w:rsidP="0079451A">
            <w:pPr>
              <w:jc w:val="center"/>
              <w:rPr>
                <w:sz w:val="20"/>
                <w:szCs w:val="20"/>
                <w:lang w:val="es-US" w:eastAsia="es-MX"/>
              </w:rPr>
            </w:pPr>
            <w:r w:rsidRPr="00764FC9">
              <w:rPr>
                <w:sz w:val="20"/>
                <w:szCs w:val="20"/>
                <w:lang w:val="es-US" w:eastAsia="es-MX"/>
              </w:rPr>
              <w:t>5</w:t>
            </w:r>
          </w:p>
        </w:tc>
      </w:tr>
      <w:tr w:rsidR="00764FC9" w:rsidRPr="00764FC9" w14:paraId="729826B0" w14:textId="77777777" w:rsidTr="00485619">
        <w:trPr>
          <w:trHeight w:val="300"/>
          <w:jc w:val="center"/>
        </w:trPr>
        <w:tc>
          <w:tcPr>
            <w:tcW w:w="3840" w:type="dxa"/>
            <w:tcBorders>
              <w:right w:val="nil"/>
            </w:tcBorders>
            <w:vAlign w:val="center"/>
          </w:tcPr>
          <w:p w14:paraId="6468EB8F" w14:textId="77777777" w:rsidR="00764FC9" w:rsidRPr="00764FC9" w:rsidRDefault="00764FC9" w:rsidP="0079451A">
            <w:pPr>
              <w:jc w:val="center"/>
              <w:rPr>
                <w:sz w:val="20"/>
                <w:szCs w:val="20"/>
                <w:lang w:val="es-US" w:eastAsia="es-MX"/>
              </w:rPr>
            </w:pPr>
            <w:r w:rsidRPr="00764FC9">
              <w:rPr>
                <w:sz w:val="20"/>
                <w:szCs w:val="20"/>
                <w:lang w:val="es-US" w:eastAsia="es-MX"/>
              </w:rPr>
              <w:t>Prejuicio de confusión</w:t>
            </w:r>
          </w:p>
        </w:tc>
        <w:tc>
          <w:tcPr>
            <w:tcW w:w="1095" w:type="dxa"/>
            <w:tcBorders>
              <w:left w:val="nil"/>
              <w:right w:val="nil"/>
            </w:tcBorders>
            <w:vAlign w:val="center"/>
          </w:tcPr>
          <w:p w14:paraId="2821B015" w14:textId="77777777" w:rsidR="00764FC9" w:rsidRPr="00764FC9" w:rsidRDefault="00764FC9" w:rsidP="0079451A">
            <w:pPr>
              <w:jc w:val="center"/>
              <w:rPr>
                <w:sz w:val="20"/>
                <w:szCs w:val="20"/>
                <w:lang w:val="es-US" w:eastAsia="es-MX"/>
              </w:rPr>
            </w:pPr>
            <w:r w:rsidRPr="00764FC9">
              <w:rPr>
                <w:sz w:val="20"/>
                <w:szCs w:val="20"/>
                <w:lang w:val="es-US" w:eastAsia="es-MX"/>
              </w:rPr>
              <w:t>17</w:t>
            </w:r>
          </w:p>
        </w:tc>
        <w:tc>
          <w:tcPr>
            <w:tcW w:w="3555" w:type="dxa"/>
            <w:tcBorders>
              <w:left w:val="nil"/>
              <w:right w:val="nil"/>
            </w:tcBorders>
            <w:vAlign w:val="center"/>
          </w:tcPr>
          <w:p w14:paraId="2F6CD505" w14:textId="77777777" w:rsidR="00764FC9" w:rsidRPr="00764FC9" w:rsidRDefault="00764FC9" w:rsidP="0079451A">
            <w:pPr>
              <w:jc w:val="center"/>
              <w:rPr>
                <w:sz w:val="20"/>
                <w:szCs w:val="20"/>
                <w:lang w:val="es-US" w:eastAsia="es-MX"/>
              </w:rPr>
            </w:pPr>
            <w:r w:rsidRPr="00764FC9">
              <w:rPr>
                <w:sz w:val="20"/>
                <w:szCs w:val="20"/>
                <w:lang w:val="es-US" w:eastAsia="es-MX"/>
              </w:rPr>
              <w:t>Prejuicio de anormalidad</w:t>
            </w:r>
          </w:p>
        </w:tc>
        <w:tc>
          <w:tcPr>
            <w:tcW w:w="885" w:type="dxa"/>
            <w:tcBorders>
              <w:left w:val="nil"/>
            </w:tcBorders>
            <w:vAlign w:val="center"/>
          </w:tcPr>
          <w:p w14:paraId="7D34EDEA" w14:textId="77777777" w:rsidR="00764FC9" w:rsidRPr="00764FC9" w:rsidRDefault="00764FC9" w:rsidP="0079451A">
            <w:pPr>
              <w:jc w:val="center"/>
              <w:rPr>
                <w:sz w:val="20"/>
                <w:szCs w:val="20"/>
                <w:lang w:val="es-US" w:eastAsia="es-MX"/>
              </w:rPr>
            </w:pPr>
            <w:r w:rsidRPr="00764FC9">
              <w:rPr>
                <w:sz w:val="20"/>
                <w:szCs w:val="20"/>
                <w:lang w:val="es-US" w:eastAsia="es-MX"/>
              </w:rPr>
              <w:t>4</w:t>
            </w:r>
          </w:p>
        </w:tc>
      </w:tr>
      <w:tr w:rsidR="00764FC9" w:rsidRPr="00764FC9" w14:paraId="527A7856" w14:textId="77777777" w:rsidTr="00485619">
        <w:trPr>
          <w:trHeight w:val="300"/>
          <w:jc w:val="center"/>
        </w:trPr>
        <w:tc>
          <w:tcPr>
            <w:tcW w:w="3840" w:type="dxa"/>
            <w:tcBorders>
              <w:right w:val="nil"/>
            </w:tcBorders>
            <w:vAlign w:val="center"/>
          </w:tcPr>
          <w:p w14:paraId="5211115E" w14:textId="77777777" w:rsidR="00764FC9" w:rsidRPr="00764FC9" w:rsidRDefault="00764FC9" w:rsidP="0079451A">
            <w:pPr>
              <w:jc w:val="center"/>
              <w:rPr>
                <w:sz w:val="20"/>
                <w:szCs w:val="20"/>
                <w:lang w:val="es-US" w:eastAsia="es-MX"/>
              </w:rPr>
            </w:pPr>
            <w:r w:rsidRPr="00764FC9">
              <w:rPr>
                <w:sz w:val="20"/>
                <w:szCs w:val="20"/>
                <w:lang w:val="es-US" w:eastAsia="es-MX"/>
              </w:rPr>
              <w:t>Distanciamiento de la mujer bisexual</w:t>
            </w:r>
          </w:p>
        </w:tc>
        <w:tc>
          <w:tcPr>
            <w:tcW w:w="1095" w:type="dxa"/>
            <w:tcBorders>
              <w:left w:val="nil"/>
              <w:right w:val="nil"/>
            </w:tcBorders>
            <w:vAlign w:val="center"/>
          </w:tcPr>
          <w:p w14:paraId="73D41E7C" w14:textId="77777777" w:rsidR="00764FC9" w:rsidRPr="00764FC9" w:rsidRDefault="00764FC9" w:rsidP="0079451A">
            <w:pPr>
              <w:jc w:val="center"/>
              <w:rPr>
                <w:sz w:val="20"/>
                <w:szCs w:val="20"/>
                <w:lang w:val="es-US" w:eastAsia="es-MX"/>
              </w:rPr>
            </w:pPr>
            <w:r w:rsidRPr="00764FC9">
              <w:rPr>
                <w:sz w:val="20"/>
                <w:szCs w:val="20"/>
                <w:lang w:val="es-US" w:eastAsia="es-MX"/>
              </w:rPr>
              <w:t>15</w:t>
            </w:r>
          </w:p>
        </w:tc>
        <w:tc>
          <w:tcPr>
            <w:tcW w:w="3555" w:type="dxa"/>
            <w:tcBorders>
              <w:left w:val="nil"/>
              <w:right w:val="nil"/>
            </w:tcBorders>
            <w:vAlign w:val="center"/>
          </w:tcPr>
          <w:p w14:paraId="2BA264FF" w14:textId="77777777" w:rsidR="00764FC9" w:rsidRPr="00764FC9" w:rsidRDefault="00764FC9" w:rsidP="0079451A">
            <w:pPr>
              <w:jc w:val="center"/>
              <w:rPr>
                <w:sz w:val="20"/>
                <w:szCs w:val="20"/>
                <w:lang w:val="es-US" w:eastAsia="es-MX"/>
              </w:rPr>
            </w:pPr>
            <w:r w:rsidRPr="00764FC9">
              <w:rPr>
                <w:sz w:val="20"/>
                <w:szCs w:val="20"/>
                <w:lang w:val="es-US" w:eastAsia="es-MX"/>
              </w:rPr>
              <w:t>Prejuicio de pecado</w:t>
            </w:r>
          </w:p>
        </w:tc>
        <w:tc>
          <w:tcPr>
            <w:tcW w:w="885" w:type="dxa"/>
            <w:tcBorders>
              <w:left w:val="nil"/>
            </w:tcBorders>
            <w:vAlign w:val="center"/>
          </w:tcPr>
          <w:p w14:paraId="10095E7C" w14:textId="77777777" w:rsidR="00764FC9" w:rsidRPr="00764FC9" w:rsidRDefault="00764FC9" w:rsidP="0079451A">
            <w:pPr>
              <w:jc w:val="center"/>
              <w:rPr>
                <w:sz w:val="20"/>
                <w:szCs w:val="20"/>
                <w:lang w:val="es-US" w:eastAsia="es-MX"/>
              </w:rPr>
            </w:pPr>
            <w:r w:rsidRPr="00764FC9">
              <w:rPr>
                <w:sz w:val="20"/>
                <w:szCs w:val="20"/>
                <w:lang w:val="es-US" w:eastAsia="es-MX"/>
              </w:rPr>
              <w:t>4</w:t>
            </w:r>
          </w:p>
        </w:tc>
      </w:tr>
      <w:tr w:rsidR="00764FC9" w:rsidRPr="00764FC9" w14:paraId="5349CBAC" w14:textId="77777777" w:rsidTr="00485619">
        <w:trPr>
          <w:trHeight w:val="300"/>
          <w:jc w:val="center"/>
        </w:trPr>
        <w:tc>
          <w:tcPr>
            <w:tcW w:w="3840" w:type="dxa"/>
            <w:tcBorders>
              <w:right w:val="nil"/>
            </w:tcBorders>
            <w:vAlign w:val="center"/>
          </w:tcPr>
          <w:p w14:paraId="3F676B69" w14:textId="77777777" w:rsidR="00764FC9" w:rsidRPr="00764FC9" w:rsidRDefault="00764FC9" w:rsidP="0079451A">
            <w:pPr>
              <w:jc w:val="center"/>
              <w:rPr>
                <w:sz w:val="20"/>
                <w:szCs w:val="20"/>
                <w:lang w:val="es-US" w:eastAsia="es-MX"/>
              </w:rPr>
            </w:pPr>
            <w:r w:rsidRPr="00764FC9">
              <w:rPr>
                <w:sz w:val="20"/>
                <w:szCs w:val="20"/>
                <w:lang w:val="es-US" w:eastAsia="es-MX"/>
              </w:rPr>
              <w:t>Asunción de lesbianismo</w:t>
            </w:r>
          </w:p>
        </w:tc>
        <w:tc>
          <w:tcPr>
            <w:tcW w:w="1095" w:type="dxa"/>
            <w:tcBorders>
              <w:left w:val="nil"/>
              <w:right w:val="nil"/>
            </w:tcBorders>
            <w:vAlign w:val="center"/>
          </w:tcPr>
          <w:p w14:paraId="7D9071C2" w14:textId="77777777" w:rsidR="00764FC9" w:rsidRPr="00764FC9" w:rsidRDefault="00764FC9" w:rsidP="0079451A">
            <w:pPr>
              <w:jc w:val="center"/>
              <w:rPr>
                <w:sz w:val="20"/>
                <w:szCs w:val="20"/>
                <w:lang w:val="es-US" w:eastAsia="es-MX"/>
              </w:rPr>
            </w:pPr>
            <w:r w:rsidRPr="00764FC9">
              <w:rPr>
                <w:sz w:val="20"/>
                <w:szCs w:val="20"/>
                <w:lang w:val="es-US" w:eastAsia="es-MX"/>
              </w:rPr>
              <w:t>14</w:t>
            </w:r>
          </w:p>
        </w:tc>
        <w:tc>
          <w:tcPr>
            <w:tcW w:w="3555" w:type="dxa"/>
            <w:tcBorders>
              <w:left w:val="nil"/>
              <w:right w:val="nil"/>
            </w:tcBorders>
            <w:vAlign w:val="center"/>
          </w:tcPr>
          <w:p w14:paraId="29691EC8" w14:textId="77777777" w:rsidR="00764FC9" w:rsidRPr="00764FC9" w:rsidRDefault="00764FC9" w:rsidP="0079451A">
            <w:pPr>
              <w:jc w:val="center"/>
              <w:rPr>
                <w:sz w:val="20"/>
                <w:szCs w:val="20"/>
                <w:lang w:val="es-US" w:eastAsia="es-MX"/>
              </w:rPr>
            </w:pPr>
            <w:r w:rsidRPr="00764FC9">
              <w:rPr>
                <w:sz w:val="20"/>
                <w:szCs w:val="20"/>
                <w:lang w:val="es-US" w:eastAsia="es-MX"/>
              </w:rPr>
              <w:t>Violencia física</w:t>
            </w:r>
          </w:p>
        </w:tc>
        <w:tc>
          <w:tcPr>
            <w:tcW w:w="885" w:type="dxa"/>
            <w:tcBorders>
              <w:left w:val="nil"/>
            </w:tcBorders>
            <w:vAlign w:val="center"/>
          </w:tcPr>
          <w:p w14:paraId="40CEA983" w14:textId="77777777" w:rsidR="00764FC9" w:rsidRPr="00764FC9" w:rsidRDefault="00764FC9" w:rsidP="0079451A">
            <w:pPr>
              <w:jc w:val="center"/>
              <w:rPr>
                <w:sz w:val="20"/>
                <w:szCs w:val="20"/>
                <w:lang w:val="es-US" w:eastAsia="es-MX"/>
              </w:rPr>
            </w:pPr>
            <w:r w:rsidRPr="00764FC9">
              <w:rPr>
                <w:sz w:val="20"/>
                <w:szCs w:val="20"/>
                <w:lang w:val="es-US" w:eastAsia="es-MX"/>
              </w:rPr>
              <w:t>4</w:t>
            </w:r>
          </w:p>
        </w:tc>
      </w:tr>
      <w:tr w:rsidR="00764FC9" w:rsidRPr="00764FC9" w14:paraId="5BAF1DC1" w14:textId="77777777" w:rsidTr="00485619">
        <w:trPr>
          <w:trHeight w:val="300"/>
          <w:jc w:val="center"/>
        </w:trPr>
        <w:tc>
          <w:tcPr>
            <w:tcW w:w="3840" w:type="dxa"/>
            <w:tcBorders>
              <w:right w:val="nil"/>
            </w:tcBorders>
            <w:vAlign w:val="center"/>
          </w:tcPr>
          <w:p w14:paraId="51177175" w14:textId="77777777" w:rsidR="00764FC9" w:rsidRPr="00764FC9" w:rsidRDefault="00764FC9" w:rsidP="0079451A">
            <w:pPr>
              <w:jc w:val="center"/>
              <w:rPr>
                <w:sz w:val="20"/>
                <w:szCs w:val="20"/>
                <w:lang w:val="es-US" w:eastAsia="es-MX"/>
              </w:rPr>
            </w:pPr>
            <w:r w:rsidRPr="00764FC9">
              <w:rPr>
                <w:sz w:val="20"/>
                <w:szCs w:val="20"/>
                <w:lang w:val="es-US" w:eastAsia="es-MX"/>
              </w:rPr>
              <w:t>Propuestas sexuales</w:t>
            </w:r>
          </w:p>
        </w:tc>
        <w:tc>
          <w:tcPr>
            <w:tcW w:w="1095" w:type="dxa"/>
            <w:tcBorders>
              <w:left w:val="nil"/>
              <w:right w:val="nil"/>
            </w:tcBorders>
            <w:vAlign w:val="center"/>
          </w:tcPr>
          <w:p w14:paraId="0B686588" w14:textId="77777777" w:rsidR="00764FC9" w:rsidRPr="00764FC9" w:rsidRDefault="00764FC9" w:rsidP="0079451A">
            <w:pPr>
              <w:jc w:val="center"/>
              <w:rPr>
                <w:sz w:val="20"/>
                <w:szCs w:val="20"/>
                <w:lang w:val="es-US" w:eastAsia="es-MX"/>
              </w:rPr>
            </w:pPr>
            <w:r w:rsidRPr="00764FC9">
              <w:rPr>
                <w:sz w:val="20"/>
                <w:szCs w:val="20"/>
                <w:lang w:val="es-US" w:eastAsia="es-MX"/>
              </w:rPr>
              <w:t>14</w:t>
            </w:r>
          </w:p>
        </w:tc>
        <w:tc>
          <w:tcPr>
            <w:tcW w:w="3555" w:type="dxa"/>
            <w:tcBorders>
              <w:left w:val="nil"/>
              <w:right w:val="nil"/>
            </w:tcBorders>
            <w:vAlign w:val="center"/>
          </w:tcPr>
          <w:p w14:paraId="3F0BC595" w14:textId="77777777" w:rsidR="00764FC9" w:rsidRPr="00764FC9" w:rsidRDefault="00764FC9" w:rsidP="0079451A">
            <w:pPr>
              <w:jc w:val="center"/>
              <w:rPr>
                <w:sz w:val="20"/>
                <w:szCs w:val="20"/>
                <w:lang w:val="es-US" w:eastAsia="es-MX"/>
              </w:rPr>
            </w:pPr>
            <w:r w:rsidRPr="00764FC9">
              <w:rPr>
                <w:sz w:val="20"/>
                <w:szCs w:val="20"/>
                <w:lang w:val="es-US" w:eastAsia="es-MX"/>
              </w:rPr>
              <w:t>Binegatividad desde los adultos mayores</w:t>
            </w:r>
          </w:p>
        </w:tc>
        <w:tc>
          <w:tcPr>
            <w:tcW w:w="885" w:type="dxa"/>
            <w:tcBorders>
              <w:left w:val="nil"/>
            </w:tcBorders>
            <w:vAlign w:val="center"/>
          </w:tcPr>
          <w:p w14:paraId="41A7C14A" w14:textId="77777777" w:rsidR="00764FC9" w:rsidRPr="00764FC9" w:rsidRDefault="00764FC9" w:rsidP="0079451A">
            <w:pPr>
              <w:jc w:val="center"/>
              <w:rPr>
                <w:sz w:val="20"/>
                <w:szCs w:val="20"/>
                <w:lang w:val="es-US" w:eastAsia="es-MX"/>
              </w:rPr>
            </w:pPr>
            <w:r w:rsidRPr="00764FC9">
              <w:rPr>
                <w:sz w:val="20"/>
                <w:szCs w:val="20"/>
                <w:lang w:val="es-US" w:eastAsia="es-MX"/>
              </w:rPr>
              <w:t>3</w:t>
            </w:r>
          </w:p>
        </w:tc>
      </w:tr>
      <w:tr w:rsidR="00764FC9" w:rsidRPr="00764FC9" w14:paraId="1EB97341" w14:textId="77777777" w:rsidTr="00485619">
        <w:trPr>
          <w:trHeight w:val="300"/>
          <w:jc w:val="center"/>
        </w:trPr>
        <w:tc>
          <w:tcPr>
            <w:tcW w:w="3840" w:type="dxa"/>
            <w:tcBorders>
              <w:right w:val="nil"/>
            </w:tcBorders>
            <w:vAlign w:val="center"/>
          </w:tcPr>
          <w:p w14:paraId="68156833" w14:textId="77777777" w:rsidR="00764FC9" w:rsidRPr="00764FC9" w:rsidRDefault="00764FC9" w:rsidP="0079451A">
            <w:pPr>
              <w:jc w:val="center"/>
              <w:rPr>
                <w:sz w:val="20"/>
                <w:szCs w:val="20"/>
                <w:lang w:val="es-US" w:eastAsia="es-MX"/>
              </w:rPr>
            </w:pPr>
            <w:r w:rsidRPr="00764FC9">
              <w:rPr>
                <w:sz w:val="20"/>
                <w:szCs w:val="20"/>
                <w:lang w:val="es-US" w:eastAsia="es-MX"/>
              </w:rPr>
              <w:t>Asunción de la heterosexualidad</w:t>
            </w:r>
          </w:p>
        </w:tc>
        <w:tc>
          <w:tcPr>
            <w:tcW w:w="1095" w:type="dxa"/>
            <w:tcBorders>
              <w:left w:val="nil"/>
              <w:right w:val="nil"/>
            </w:tcBorders>
            <w:vAlign w:val="center"/>
          </w:tcPr>
          <w:p w14:paraId="184B6CBB" w14:textId="77777777" w:rsidR="00764FC9" w:rsidRPr="00764FC9" w:rsidRDefault="00764FC9" w:rsidP="0079451A">
            <w:pPr>
              <w:jc w:val="center"/>
              <w:rPr>
                <w:sz w:val="20"/>
                <w:szCs w:val="20"/>
                <w:lang w:val="es-US" w:eastAsia="es-MX"/>
              </w:rPr>
            </w:pPr>
            <w:r w:rsidRPr="00764FC9">
              <w:rPr>
                <w:sz w:val="20"/>
                <w:szCs w:val="20"/>
                <w:lang w:val="es-US" w:eastAsia="es-MX"/>
              </w:rPr>
              <w:t>11</w:t>
            </w:r>
          </w:p>
        </w:tc>
        <w:tc>
          <w:tcPr>
            <w:tcW w:w="3555" w:type="dxa"/>
            <w:tcBorders>
              <w:left w:val="nil"/>
              <w:right w:val="nil"/>
            </w:tcBorders>
            <w:vAlign w:val="center"/>
          </w:tcPr>
          <w:p w14:paraId="2097139C" w14:textId="77777777" w:rsidR="00764FC9" w:rsidRPr="00764FC9" w:rsidRDefault="00764FC9" w:rsidP="0079451A">
            <w:pPr>
              <w:jc w:val="center"/>
              <w:rPr>
                <w:sz w:val="20"/>
                <w:szCs w:val="20"/>
                <w:lang w:val="es-US" w:eastAsia="es-MX"/>
              </w:rPr>
            </w:pPr>
            <w:r w:rsidRPr="00764FC9">
              <w:rPr>
                <w:sz w:val="20"/>
                <w:szCs w:val="20"/>
                <w:lang w:val="es-US" w:eastAsia="es-MX"/>
              </w:rPr>
              <w:t>Invalidación por admiración</w:t>
            </w:r>
          </w:p>
        </w:tc>
        <w:tc>
          <w:tcPr>
            <w:tcW w:w="885" w:type="dxa"/>
            <w:tcBorders>
              <w:left w:val="nil"/>
            </w:tcBorders>
            <w:vAlign w:val="center"/>
          </w:tcPr>
          <w:p w14:paraId="5ED7FAB2" w14:textId="77777777" w:rsidR="00764FC9" w:rsidRPr="00764FC9" w:rsidRDefault="00764FC9" w:rsidP="0079451A">
            <w:pPr>
              <w:jc w:val="center"/>
              <w:rPr>
                <w:sz w:val="20"/>
                <w:szCs w:val="20"/>
                <w:lang w:val="es-US" w:eastAsia="es-MX"/>
              </w:rPr>
            </w:pPr>
            <w:r w:rsidRPr="00764FC9">
              <w:rPr>
                <w:sz w:val="20"/>
                <w:szCs w:val="20"/>
                <w:lang w:val="es-US" w:eastAsia="es-MX"/>
              </w:rPr>
              <w:t>2</w:t>
            </w:r>
          </w:p>
        </w:tc>
      </w:tr>
      <w:tr w:rsidR="00764FC9" w:rsidRPr="00764FC9" w14:paraId="4B3AEE08" w14:textId="77777777" w:rsidTr="00485619">
        <w:trPr>
          <w:trHeight w:val="300"/>
          <w:jc w:val="center"/>
        </w:trPr>
        <w:tc>
          <w:tcPr>
            <w:tcW w:w="3840" w:type="dxa"/>
            <w:tcBorders>
              <w:right w:val="nil"/>
            </w:tcBorders>
            <w:vAlign w:val="center"/>
          </w:tcPr>
          <w:p w14:paraId="4B87505E" w14:textId="77777777" w:rsidR="00764FC9" w:rsidRPr="00764FC9" w:rsidRDefault="00764FC9" w:rsidP="0079451A">
            <w:pPr>
              <w:jc w:val="center"/>
              <w:rPr>
                <w:sz w:val="20"/>
                <w:szCs w:val="20"/>
                <w:lang w:val="es-US" w:eastAsia="es-MX"/>
              </w:rPr>
            </w:pPr>
            <w:r w:rsidRPr="00764FC9">
              <w:rPr>
                <w:sz w:val="20"/>
                <w:szCs w:val="20"/>
                <w:lang w:val="es-US" w:eastAsia="es-MX"/>
              </w:rPr>
              <w:t>Prejuicio de moda</w:t>
            </w:r>
          </w:p>
        </w:tc>
        <w:tc>
          <w:tcPr>
            <w:tcW w:w="1095" w:type="dxa"/>
            <w:tcBorders>
              <w:left w:val="nil"/>
              <w:right w:val="nil"/>
            </w:tcBorders>
            <w:vAlign w:val="center"/>
          </w:tcPr>
          <w:p w14:paraId="2122F221" w14:textId="77777777" w:rsidR="00764FC9" w:rsidRPr="00764FC9" w:rsidRDefault="00764FC9" w:rsidP="0079451A">
            <w:pPr>
              <w:jc w:val="center"/>
              <w:rPr>
                <w:sz w:val="20"/>
                <w:szCs w:val="20"/>
                <w:lang w:val="es-US" w:eastAsia="es-MX"/>
              </w:rPr>
            </w:pPr>
            <w:r w:rsidRPr="00764FC9">
              <w:rPr>
                <w:sz w:val="20"/>
                <w:szCs w:val="20"/>
                <w:lang w:val="es-US" w:eastAsia="es-MX"/>
              </w:rPr>
              <w:t>11</w:t>
            </w:r>
          </w:p>
        </w:tc>
        <w:tc>
          <w:tcPr>
            <w:tcW w:w="3555" w:type="dxa"/>
            <w:tcBorders>
              <w:left w:val="nil"/>
              <w:right w:val="nil"/>
            </w:tcBorders>
            <w:vAlign w:val="center"/>
          </w:tcPr>
          <w:p w14:paraId="54AF9682" w14:textId="77777777" w:rsidR="00764FC9" w:rsidRPr="00764FC9" w:rsidRDefault="00764FC9" w:rsidP="0079451A">
            <w:pPr>
              <w:jc w:val="center"/>
              <w:rPr>
                <w:sz w:val="20"/>
                <w:szCs w:val="20"/>
                <w:lang w:val="es-US" w:eastAsia="es-MX"/>
              </w:rPr>
            </w:pPr>
            <w:r w:rsidRPr="00764FC9">
              <w:rPr>
                <w:sz w:val="20"/>
                <w:szCs w:val="20"/>
                <w:lang w:val="es-US" w:eastAsia="es-MX"/>
              </w:rPr>
              <w:t>Prejuicio de inmadurez</w:t>
            </w:r>
          </w:p>
        </w:tc>
        <w:tc>
          <w:tcPr>
            <w:tcW w:w="885" w:type="dxa"/>
            <w:tcBorders>
              <w:left w:val="nil"/>
            </w:tcBorders>
            <w:vAlign w:val="center"/>
          </w:tcPr>
          <w:p w14:paraId="6F2DCDBE" w14:textId="77777777" w:rsidR="00764FC9" w:rsidRPr="00764FC9" w:rsidRDefault="00764FC9" w:rsidP="0079451A">
            <w:pPr>
              <w:jc w:val="center"/>
              <w:rPr>
                <w:sz w:val="20"/>
                <w:szCs w:val="20"/>
                <w:lang w:val="es-US" w:eastAsia="es-MX"/>
              </w:rPr>
            </w:pPr>
            <w:r w:rsidRPr="00764FC9">
              <w:rPr>
                <w:sz w:val="20"/>
                <w:szCs w:val="20"/>
                <w:lang w:val="es-US" w:eastAsia="es-MX"/>
              </w:rPr>
              <w:t>2</w:t>
            </w:r>
          </w:p>
        </w:tc>
      </w:tr>
    </w:tbl>
    <w:p w14:paraId="2ECA7410" w14:textId="77777777" w:rsidR="00764FC9" w:rsidRPr="00764FC9" w:rsidRDefault="00764FC9" w:rsidP="00764FC9">
      <w:pPr>
        <w:spacing w:line="360" w:lineRule="auto"/>
        <w:ind w:firstLine="708"/>
        <w:rPr>
          <w:kern w:val="2"/>
          <w:lang w:val="es-US" w:eastAsia="es-MX"/>
          <w14:ligatures w14:val="standardContextual"/>
        </w:rPr>
      </w:pPr>
      <w:r w:rsidRPr="00764FC9">
        <w:rPr>
          <w:kern w:val="2"/>
          <w:lang w:val="es-US" w:eastAsia="es-MX"/>
          <w14:ligatures w14:val="standardContextual"/>
        </w:rPr>
        <w:t>En este sentido, como se mencionó anteriormente, la binegatividad se compone tanto de creencias y actitudes negativas hacia la bisexualidad como de distintos tipos de discriminación a partir del rechazo hacia los comportamientos que están asociados con la misma. Por lo tanto, la clasificación de los códigos de realizó a través de su cercanía conceptual, en donde primero se categorizó a aquellos que refirieran específicamente creencias y juicios negativos que las participantes identificaron que otras personas tenían hacia la bisexualidad, lo que dio lugar al conjunto denominado “Prejuicios adjudicados a la bisexualidad”, el cual presenta tres subconjuntos. Por su parte, las conductas observables y las interacciones concretas de rechazo vividas, verbales o físicas, a partir de la expresión de la bisexualidad que las participantes narraron, fueron agrupados en el conjunto de “Discriminación a partir de la bisexualidad”. Este modelo teórico se puede apreciar con mayor precisión en la Figura 1.</w:t>
      </w:r>
      <w:r w:rsidRPr="00764FC9">
        <w:rPr>
          <w:noProof/>
          <w:lang w:val="es-US" w:eastAsia="es-MX"/>
        </w:rPr>
        <w:t xml:space="preserve"> </w:t>
      </w:r>
    </w:p>
    <w:p w14:paraId="27D34469" w14:textId="77777777" w:rsidR="00764FC9" w:rsidRPr="00764FC9" w:rsidRDefault="00764FC9" w:rsidP="00764FC9">
      <w:pPr>
        <w:spacing w:line="360" w:lineRule="auto"/>
        <w:rPr>
          <w:b/>
          <w:bCs/>
          <w:kern w:val="2"/>
          <w:lang w:val="es-US" w:eastAsia="es-MX"/>
          <w14:ligatures w14:val="standardContextual"/>
        </w:rPr>
      </w:pPr>
      <w:r w:rsidRPr="00764FC9">
        <w:rPr>
          <w:b/>
          <w:bCs/>
          <w:kern w:val="2"/>
          <w:lang w:val="es-US" w:eastAsia="es-MX"/>
          <w14:ligatures w14:val="standardContextual"/>
        </w:rPr>
        <w:t>Figura 1</w:t>
      </w:r>
    </w:p>
    <w:p w14:paraId="6EF42544" w14:textId="77777777" w:rsidR="00764FC9" w:rsidRPr="00764FC9" w:rsidRDefault="00764FC9" w:rsidP="00764FC9">
      <w:pPr>
        <w:spacing w:line="360" w:lineRule="auto"/>
        <w:rPr>
          <w:i/>
          <w:iCs/>
          <w:kern w:val="2"/>
          <w:lang w:val="es-US" w:eastAsia="es-MX"/>
          <w14:ligatures w14:val="standardContextual"/>
        </w:rPr>
      </w:pPr>
      <w:r w:rsidRPr="00764FC9">
        <w:rPr>
          <w:i/>
          <w:iCs/>
          <w:kern w:val="2"/>
          <w:lang w:val="es-US" w:eastAsia="es-MX"/>
          <w14:ligatures w14:val="standardContextual"/>
        </w:rPr>
        <w:t>Modelo Teórico de la Binegatividad en Mujeres Mexicanas</w:t>
      </w:r>
    </w:p>
    <w:p w14:paraId="27469997" w14:textId="77777777" w:rsidR="00764FC9" w:rsidRPr="00764FC9" w:rsidRDefault="00764FC9" w:rsidP="00764FC9">
      <w:pPr>
        <w:spacing w:line="360" w:lineRule="auto"/>
        <w:rPr>
          <w:kern w:val="2"/>
          <w:lang w:val="es-US" w:eastAsia="es-MX"/>
          <w14:ligatures w14:val="standardContextual"/>
        </w:rPr>
      </w:pPr>
      <w:r w:rsidRPr="00764FC9">
        <w:rPr>
          <w:i/>
          <w:iCs/>
          <w:noProof/>
          <w:lang w:val="es-US" w:eastAsia="es-MX"/>
        </w:rPr>
        <mc:AlternateContent>
          <mc:Choice Requires="wpg">
            <w:drawing>
              <wp:anchor distT="0" distB="0" distL="114300" distR="114300" simplePos="0" relativeHeight="251661312" behindDoc="0" locked="0" layoutInCell="1" allowOverlap="1" wp14:anchorId="772C09AC" wp14:editId="6F7C06F7">
                <wp:simplePos x="0" y="0"/>
                <wp:positionH relativeFrom="margin">
                  <wp:align>center</wp:align>
                </wp:positionH>
                <wp:positionV relativeFrom="paragraph">
                  <wp:posOffset>0</wp:posOffset>
                </wp:positionV>
                <wp:extent cx="6429375" cy="2012315"/>
                <wp:effectExtent l="0" t="0" r="9525" b="6985"/>
                <wp:wrapSquare wrapText="bothSides"/>
                <wp:docPr id="97288530"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2012762"/>
                          <a:chOff x="1062852" y="1064918"/>
                          <a:chExt cx="73290" cy="20129"/>
                        </a:xfrm>
                      </wpg:grpSpPr>
                      <wps:wsp>
                        <wps:cNvPr id="352837443" name="Text Box 3"/>
                        <wps:cNvSpPr txBox="1">
                          <a:spLocks noChangeArrowheads="1"/>
                        </wps:cNvSpPr>
                        <wps:spPr bwMode="auto">
                          <a:xfrm>
                            <a:off x="1090422" y="1064918"/>
                            <a:ext cx="21945" cy="434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F68216" w14:textId="77777777" w:rsidR="00764FC9" w:rsidRPr="00D87184" w:rsidRDefault="00764FC9" w:rsidP="00764FC9">
                              <w:pPr>
                                <w:widowControl w:val="0"/>
                                <w:jc w:val="center"/>
                                <w:rPr>
                                  <w:sz w:val="20"/>
                                  <w:szCs w:val="20"/>
                                </w:rPr>
                              </w:pPr>
                              <w:r w:rsidRPr="00D87184">
                                <w:rPr>
                                  <w:sz w:val="20"/>
                                  <w:szCs w:val="20"/>
                                </w:rPr>
                                <w:t>Binegatividad recibida en mujeres bisexuales mexicanas</w:t>
                              </w:r>
                            </w:p>
                          </w:txbxContent>
                        </wps:txbx>
                        <wps:bodyPr rot="0" vert="horz" wrap="square" lIns="36576" tIns="36576" rIns="36576" bIns="36576" anchor="ctr" anchorCtr="0" upright="1">
                          <a:noAutofit/>
                        </wps:bodyPr>
                      </wps:wsp>
                      <wps:wsp>
                        <wps:cNvPr id="1351797394" name="Text Box 4"/>
                        <wps:cNvSpPr txBox="1">
                          <a:spLocks noChangeArrowheads="1"/>
                        </wps:cNvSpPr>
                        <wps:spPr bwMode="auto">
                          <a:xfrm>
                            <a:off x="1076288" y="1072720"/>
                            <a:ext cx="11808" cy="424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5E959FC" w14:textId="77777777" w:rsidR="00764FC9" w:rsidRPr="00D87184" w:rsidRDefault="00764FC9" w:rsidP="00764FC9">
                              <w:pPr>
                                <w:widowControl w:val="0"/>
                                <w:jc w:val="center"/>
                                <w:rPr>
                                  <w:sz w:val="20"/>
                                  <w:szCs w:val="20"/>
                                </w:rPr>
                              </w:pPr>
                              <w:r w:rsidRPr="00D87184">
                                <w:rPr>
                                  <w:sz w:val="20"/>
                                  <w:szCs w:val="20"/>
                                </w:rPr>
                                <w:t>Prejuicios</w:t>
                              </w:r>
                            </w:p>
                          </w:txbxContent>
                        </wps:txbx>
                        <wps:bodyPr rot="0" vert="horz" wrap="square" lIns="36576" tIns="36576" rIns="36576" bIns="36576" anchor="ctr" anchorCtr="0" upright="1">
                          <a:noAutofit/>
                        </wps:bodyPr>
                      </wps:wsp>
                      <wps:wsp>
                        <wps:cNvPr id="635820605" name="Text Box 5"/>
                        <wps:cNvSpPr txBox="1">
                          <a:spLocks noChangeArrowheads="1"/>
                        </wps:cNvSpPr>
                        <wps:spPr bwMode="auto">
                          <a:xfrm>
                            <a:off x="1111473" y="1072720"/>
                            <a:ext cx="11807" cy="424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2E0A23" w14:textId="77777777" w:rsidR="00764FC9" w:rsidRPr="00D87184" w:rsidRDefault="00764FC9" w:rsidP="00764FC9">
                              <w:pPr>
                                <w:widowControl w:val="0"/>
                                <w:jc w:val="center"/>
                                <w:rPr>
                                  <w:sz w:val="20"/>
                                  <w:szCs w:val="20"/>
                                </w:rPr>
                              </w:pPr>
                              <w:r w:rsidRPr="00D87184">
                                <w:rPr>
                                  <w:sz w:val="20"/>
                                  <w:szCs w:val="20"/>
                                </w:rPr>
                                <w:t>Discriminación</w:t>
                              </w:r>
                            </w:p>
                          </w:txbxContent>
                        </wps:txbx>
                        <wps:bodyPr rot="0" vert="horz" wrap="square" lIns="36576" tIns="36576" rIns="36576" bIns="36576" anchor="ctr" anchorCtr="0" upright="1">
                          <a:noAutofit/>
                        </wps:bodyPr>
                      </wps:wsp>
                      <wps:wsp>
                        <wps:cNvPr id="300116309" name="AutoShape 6"/>
                        <wps:cNvCnPr>
                          <a:cxnSpLocks noChangeShapeType="1"/>
                          <a:stCxn id="352837443" idx="2"/>
                          <a:endCxn id="1351797394" idx="0"/>
                        </wps:cNvCnPr>
                        <wps:spPr bwMode="auto">
                          <a:xfrm rot="5400000">
                            <a:off x="1090063" y="1061390"/>
                            <a:ext cx="3459" cy="19202"/>
                          </a:xfrm>
                          <a:prstGeom prst="bentConnector3">
                            <a:avLst>
                              <a:gd name="adj1" fmla="val 50000"/>
                            </a:avLst>
                          </a:prstGeom>
                          <a:noFill/>
                          <a:ln w="127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28503305" name="AutoShape 7"/>
                        <wps:cNvCnPr>
                          <a:cxnSpLocks noChangeShapeType="1"/>
                          <a:stCxn id="352837443" idx="2"/>
                          <a:endCxn id="635820605" idx="0"/>
                        </wps:cNvCnPr>
                        <wps:spPr bwMode="auto">
                          <a:xfrm rot="16200000" flipH="1">
                            <a:off x="1107655" y="1063000"/>
                            <a:ext cx="3459" cy="15982"/>
                          </a:xfrm>
                          <a:prstGeom prst="bentConnector3">
                            <a:avLst>
                              <a:gd name="adj1" fmla="val 50000"/>
                            </a:avLst>
                          </a:prstGeom>
                          <a:noFill/>
                          <a:ln w="127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559735403" name="Text Box 8"/>
                        <wps:cNvSpPr txBox="1">
                          <a:spLocks noChangeArrowheads="1"/>
                        </wps:cNvSpPr>
                        <wps:spPr bwMode="auto">
                          <a:xfrm>
                            <a:off x="1062852" y="1079079"/>
                            <a:ext cx="13436" cy="562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47C8A4" w14:textId="77777777" w:rsidR="00764FC9" w:rsidRPr="00D87184" w:rsidRDefault="00764FC9" w:rsidP="00764FC9">
                              <w:pPr>
                                <w:widowControl w:val="0"/>
                                <w:jc w:val="center"/>
                                <w:rPr>
                                  <w:sz w:val="20"/>
                                  <w:szCs w:val="20"/>
                                </w:rPr>
                              </w:pPr>
                              <w:r w:rsidRPr="00D87184">
                                <w:rPr>
                                  <w:sz w:val="20"/>
                                  <w:szCs w:val="20"/>
                                </w:rPr>
                                <w:t>Relacionados con la conducta sexual inadecuada</w:t>
                              </w:r>
                            </w:p>
                          </w:txbxContent>
                        </wps:txbx>
                        <wps:bodyPr rot="0" vert="horz" wrap="square" lIns="36576" tIns="36576" rIns="36576" bIns="36576" anchor="ctr" anchorCtr="0" upright="1">
                          <a:noAutofit/>
                        </wps:bodyPr>
                      </wps:wsp>
                      <wps:wsp>
                        <wps:cNvPr id="392412507" name="Text Box 9"/>
                        <wps:cNvSpPr txBox="1">
                          <a:spLocks noChangeArrowheads="1"/>
                        </wps:cNvSpPr>
                        <wps:spPr bwMode="auto">
                          <a:xfrm>
                            <a:off x="1088096" y="1079086"/>
                            <a:ext cx="11161" cy="424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91305" w14:textId="77777777" w:rsidR="00764FC9" w:rsidRPr="00D87184" w:rsidRDefault="00764FC9" w:rsidP="00764FC9">
                              <w:pPr>
                                <w:widowControl w:val="0"/>
                                <w:jc w:val="center"/>
                                <w:rPr>
                                  <w:sz w:val="20"/>
                                  <w:szCs w:val="20"/>
                                </w:rPr>
                              </w:pPr>
                              <w:r w:rsidRPr="00D87184">
                                <w:rPr>
                                  <w:sz w:val="20"/>
                                  <w:szCs w:val="20"/>
                                </w:rPr>
                                <w:t>De desviación de la norma</w:t>
                              </w:r>
                            </w:p>
                          </w:txbxContent>
                        </wps:txbx>
                        <wps:bodyPr rot="0" vert="horz" wrap="square" lIns="36576" tIns="36576" rIns="36576" bIns="36576" anchor="ctr" anchorCtr="0" upright="1">
                          <a:noAutofit/>
                        </wps:bodyPr>
                      </wps:wsp>
                      <wps:wsp>
                        <wps:cNvPr id="1424023057" name="Text Box 10"/>
                        <wps:cNvSpPr txBox="1">
                          <a:spLocks noChangeArrowheads="1"/>
                        </wps:cNvSpPr>
                        <wps:spPr bwMode="auto">
                          <a:xfrm>
                            <a:off x="1075338" y="1079081"/>
                            <a:ext cx="12758" cy="596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18B7FAF" w14:textId="77777777" w:rsidR="00764FC9" w:rsidRPr="00D87184" w:rsidRDefault="00764FC9" w:rsidP="00764FC9">
                              <w:pPr>
                                <w:widowControl w:val="0"/>
                                <w:jc w:val="center"/>
                                <w:rPr>
                                  <w:sz w:val="20"/>
                                  <w:szCs w:val="20"/>
                                </w:rPr>
                              </w:pPr>
                              <w:r w:rsidRPr="00D87184">
                                <w:rPr>
                                  <w:sz w:val="20"/>
                                  <w:szCs w:val="20"/>
                                </w:rPr>
                                <w:t>Para la desestimación de la bisexualidad</w:t>
                              </w:r>
                            </w:p>
                          </w:txbxContent>
                        </wps:txbx>
                        <wps:bodyPr rot="0" vert="horz" wrap="square" lIns="36576" tIns="36576" rIns="36576" bIns="36576" anchor="ctr" anchorCtr="0" upright="1">
                          <a:noAutofit/>
                        </wps:bodyPr>
                      </wps:wsp>
                      <wps:wsp>
                        <wps:cNvPr id="1468636231" name="Text Box 11"/>
                        <wps:cNvSpPr txBox="1">
                          <a:spLocks noChangeArrowheads="1"/>
                        </wps:cNvSpPr>
                        <wps:spPr bwMode="auto">
                          <a:xfrm>
                            <a:off x="1099257" y="1079086"/>
                            <a:ext cx="9184" cy="424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AE2062" w14:textId="77777777" w:rsidR="00764FC9" w:rsidRPr="00D87184" w:rsidRDefault="00764FC9" w:rsidP="00764FC9">
                              <w:pPr>
                                <w:widowControl w:val="0"/>
                                <w:jc w:val="center"/>
                                <w:rPr>
                                  <w:sz w:val="20"/>
                                  <w:szCs w:val="20"/>
                                </w:rPr>
                              </w:pPr>
                              <w:r w:rsidRPr="00D87184">
                                <w:rPr>
                                  <w:sz w:val="20"/>
                                  <w:szCs w:val="20"/>
                                </w:rPr>
                                <w:t>Segregación/ Exclusión</w:t>
                              </w:r>
                            </w:p>
                          </w:txbxContent>
                        </wps:txbx>
                        <wps:bodyPr rot="0" vert="horz" wrap="square" lIns="36576" tIns="36576" rIns="36576" bIns="36576" anchor="ctr" anchorCtr="0" upright="1">
                          <a:noAutofit/>
                        </wps:bodyPr>
                      </wps:wsp>
                      <wps:wsp>
                        <wps:cNvPr id="1052426305" name="Text Box 12"/>
                        <wps:cNvSpPr txBox="1">
                          <a:spLocks noChangeArrowheads="1"/>
                        </wps:cNvSpPr>
                        <wps:spPr bwMode="auto">
                          <a:xfrm>
                            <a:off x="1108441" y="1079086"/>
                            <a:ext cx="9124" cy="424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1F7B6" w14:textId="77777777" w:rsidR="00764FC9" w:rsidRPr="00D87184" w:rsidRDefault="00764FC9" w:rsidP="00764FC9">
                              <w:pPr>
                                <w:widowControl w:val="0"/>
                                <w:jc w:val="center"/>
                                <w:rPr>
                                  <w:sz w:val="20"/>
                                  <w:szCs w:val="20"/>
                                </w:rPr>
                              </w:pPr>
                              <w:r w:rsidRPr="00D87184">
                                <w:rPr>
                                  <w:sz w:val="20"/>
                                  <w:szCs w:val="20"/>
                                </w:rPr>
                                <w:t>Invalidación</w:t>
                              </w:r>
                            </w:p>
                          </w:txbxContent>
                        </wps:txbx>
                        <wps:bodyPr rot="0" vert="horz" wrap="square" lIns="36576" tIns="36576" rIns="36576" bIns="36576" anchor="ctr" anchorCtr="0" upright="1">
                          <a:noAutofit/>
                        </wps:bodyPr>
                      </wps:wsp>
                      <wps:wsp>
                        <wps:cNvPr id="1617612171" name="Text Box 13"/>
                        <wps:cNvSpPr txBox="1">
                          <a:spLocks noChangeArrowheads="1"/>
                        </wps:cNvSpPr>
                        <wps:spPr bwMode="auto">
                          <a:xfrm>
                            <a:off x="1116979" y="1079086"/>
                            <a:ext cx="11012" cy="424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115407" w14:textId="77777777" w:rsidR="00764FC9" w:rsidRPr="00D87184" w:rsidRDefault="00764FC9" w:rsidP="00764FC9">
                              <w:pPr>
                                <w:widowControl w:val="0"/>
                                <w:jc w:val="center"/>
                                <w:rPr>
                                  <w:sz w:val="20"/>
                                  <w:szCs w:val="20"/>
                                </w:rPr>
                              </w:pPr>
                              <w:r w:rsidRPr="00D87184">
                                <w:rPr>
                                  <w:sz w:val="20"/>
                                  <w:szCs w:val="20"/>
                                </w:rPr>
                                <w:t>Fetichización y objetificación</w:t>
                              </w:r>
                            </w:p>
                          </w:txbxContent>
                        </wps:txbx>
                        <wps:bodyPr rot="0" vert="horz" wrap="square" lIns="36576" tIns="36576" rIns="36576" bIns="36576" anchor="ctr" anchorCtr="0" upright="1">
                          <a:noAutofit/>
                        </wps:bodyPr>
                      </wps:wsp>
                      <wps:wsp>
                        <wps:cNvPr id="1161048942" name="Text Box 14"/>
                        <wps:cNvSpPr txBox="1">
                          <a:spLocks noChangeArrowheads="1"/>
                        </wps:cNvSpPr>
                        <wps:spPr bwMode="auto">
                          <a:xfrm>
                            <a:off x="1127991" y="1079086"/>
                            <a:ext cx="8151" cy="424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6A82A4" w14:textId="77777777" w:rsidR="00764FC9" w:rsidRPr="00D87184" w:rsidRDefault="00764FC9" w:rsidP="00764FC9">
                              <w:pPr>
                                <w:widowControl w:val="0"/>
                                <w:jc w:val="center"/>
                                <w:rPr>
                                  <w:sz w:val="20"/>
                                  <w:szCs w:val="20"/>
                                </w:rPr>
                              </w:pPr>
                              <w:r w:rsidRPr="00D87184">
                                <w:rPr>
                                  <w:sz w:val="20"/>
                                  <w:szCs w:val="20"/>
                                </w:rPr>
                                <w:t>Violencias</w:t>
                              </w:r>
                            </w:p>
                          </w:txbxContent>
                        </wps:txbx>
                        <wps:bodyPr rot="0" vert="horz" wrap="square" lIns="36576" tIns="36576" rIns="36576" bIns="36576" anchor="ctr" anchorCtr="0" upright="1">
                          <a:noAutofit/>
                        </wps:bodyPr>
                      </wps:wsp>
                      <wps:wsp>
                        <wps:cNvPr id="1366387008" name="AutoShape 15"/>
                        <wps:cNvCnPr>
                          <a:cxnSpLocks noChangeShapeType="1"/>
                          <a:stCxn id="1351797394" idx="2"/>
                          <a:endCxn id="1559735403" idx="0"/>
                        </wps:cNvCnPr>
                        <wps:spPr bwMode="auto">
                          <a:xfrm rot="5400000">
                            <a:off x="1074823" y="1071710"/>
                            <a:ext cx="2115" cy="12622"/>
                          </a:xfrm>
                          <a:prstGeom prst="bentConnector3">
                            <a:avLst>
                              <a:gd name="adj1" fmla="val 50000"/>
                            </a:avLst>
                          </a:prstGeom>
                          <a:noFill/>
                          <a:ln w="127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423740615" name="AutoShape 16"/>
                        <wps:cNvCnPr>
                          <a:cxnSpLocks noChangeShapeType="1"/>
                          <a:stCxn id="1351797394" idx="2"/>
                          <a:endCxn id="392412507" idx="0"/>
                        </wps:cNvCnPr>
                        <wps:spPr bwMode="auto">
                          <a:xfrm rot="16200000" flipH="1">
                            <a:off x="1086874" y="1072282"/>
                            <a:ext cx="2122" cy="11485"/>
                          </a:xfrm>
                          <a:prstGeom prst="bentConnector3">
                            <a:avLst>
                              <a:gd name="adj1" fmla="val 50000"/>
                            </a:avLst>
                          </a:prstGeom>
                          <a:noFill/>
                          <a:ln w="127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527395373" name="AutoShape 17"/>
                        <wps:cNvCnPr>
                          <a:cxnSpLocks noChangeShapeType="1"/>
                        </wps:cNvCnPr>
                        <wps:spPr bwMode="auto">
                          <a:xfrm>
                            <a:off x="1082172" y="1077004"/>
                            <a:ext cx="0" cy="2186"/>
                          </a:xfrm>
                          <a:prstGeom prst="straightConnector1">
                            <a:avLst/>
                          </a:prstGeom>
                          <a:noFill/>
                          <a:ln w="127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45338126" name="AutoShape 18"/>
                        <wps:cNvCnPr>
                          <a:cxnSpLocks noChangeShapeType="1"/>
                          <a:stCxn id="635820605" idx="2"/>
                          <a:endCxn id="1468636231" idx="0"/>
                        </wps:cNvCnPr>
                        <wps:spPr bwMode="auto">
                          <a:xfrm rot="5400000">
                            <a:off x="1109552" y="1071261"/>
                            <a:ext cx="2122" cy="13527"/>
                          </a:xfrm>
                          <a:prstGeom prst="bentConnector3">
                            <a:avLst>
                              <a:gd name="adj1" fmla="val 50000"/>
                            </a:avLst>
                          </a:prstGeom>
                          <a:noFill/>
                          <a:ln w="127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033233798" name="AutoShape 19"/>
                        <wps:cNvCnPr>
                          <a:cxnSpLocks noChangeShapeType="1"/>
                          <a:stCxn id="635820605" idx="2"/>
                          <a:endCxn id="1161048942" idx="0"/>
                        </wps:cNvCnPr>
                        <wps:spPr bwMode="auto">
                          <a:xfrm rot="16200000" flipH="1">
                            <a:off x="1123660" y="1070680"/>
                            <a:ext cx="2122" cy="14690"/>
                          </a:xfrm>
                          <a:prstGeom prst="bentConnector3">
                            <a:avLst>
                              <a:gd name="adj1" fmla="val 50000"/>
                            </a:avLst>
                          </a:prstGeom>
                          <a:noFill/>
                          <a:ln w="127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348427003" name="AutoShape 20"/>
                        <wps:cNvCnPr>
                          <a:cxnSpLocks noChangeShapeType="1"/>
                          <a:stCxn id="635820605" idx="2"/>
                          <a:endCxn id="1052426305" idx="0"/>
                        </wps:cNvCnPr>
                        <wps:spPr bwMode="auto">
                          <a:xfrm rot="5400000">
                            <a:off x="1114129" y="1075838"/>
                            <a:ext cx="2122" cy="4373"/>
                          </a:xfrm>
                          <a:prstGeom prst="bentConnector3">
                            <a:avLst>
                              <a:gd name="adj1" fmla="val 50000"/>
                            </a:avLst>
                          </a:prstGeom>
                          <a:noFill/>
                          <a:ln w="127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75839497" name="AutoShape 21"/>
                        <wps:cNvCnPr>
                          <a:cxnSpLocks noChangeShapeType="1"/>
                          <a:stCxn id="635820605" idx="2"/>
                          <a:endCxn id="1617612171" idx="0"/>
                        </wps:cNvCnPr>
                        <wps:spPr bwMode="auto">
                          <a:xfrm rot="16200000" flipH="1">
                            <a:off x="1118870" y="1075470"/>
                            <a:ext cx="2122" cy="5109"/>
                          </a:xfrm>
                          <a:prstGeom prst="bentConnector3">
                            <a:avLst>
                              <a:gd name="adj1" fmla="val 50000"/>
                            </a:avLst>
                          </a:prstGeom>
                          <a:noFill/>
                          <a:ln w="127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V relativeFrom="margin">
                  <wp14:pctHeight>0</wp14:pctHeight>
                </wp14:sizeRelV>
              </wp:anchor>
            </w:drawing>
          </mc:Choice>
          <mc:Fallback>
            <w:pict>
              <v:group w14:anchorId="772C09AC" id="Grupo 1" o:spid="_x0000_s1026" style="position:absolute;margin-left:0;margin-top:0;width:506.25pt;height:158.45pt;z-index:251661312;mso-position-horizontal:center;mso-position-horizontal-relative:margin;mso-height-relative:margin" coordorigin="10628,10649" coordsize="73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">
                <v:shapetype id="_x0000_t202" coordsize="21600,21600" o:spt="202" path="m,l,21600r21600,l21600,xe">
                  <v:stroke joinstyle="miter"/>
                  <v:path gradientshapeok="t" o:connecttype="rect"/>
                </v:shapetype>
                <v:shape id="Text Box 3" o:spid="_x0000_s1027" type="#_x0000_t202" style="position:absolute;left:10904;top:10649;width:219;height: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" filled="f" fillcolor="#5b9bd5" stroked="f" strokecolor="black [0]" strokeweight="2pt">
                  <v:textbox inset="2.88pt,2.88pt,2.88pt,2.88pt">
                    <w:txbxContent>
                      <w:p w14:paraId="52F68216" w14:textId="77777777" w:rsidR="00764FC9" w:rsidRPr="00D87184" w:rsidRDefault="00764FC9" w:rsidP="00764FC9">
                        <w:pPr>
                          <w:widowControl w:val="0"/>
                          <w:jc w:val="center"/>
                          <w:rPr>
                            <w:sz w:val="20"/>
                            <w:szCs w:val="20"/>
                          </w:rPr>
                        </w:pPr>
                        <w:r w:rsidRPr="00D87184">
                          <w:rPr>
                            <w:sz w:val="20"/>
                            <w:szCs w:val="20"/>
                          </w:rPr>
                          <w:t>Binegatividad recibida en mujeres bisexuales mexicanas</w:t>
                        </w:r>
                      </w:p>
                    </w:txbxContent>
                  </v:textbox>
                </v:shape>
                <v:shape id="Text Box 4" o:spid="_x0000_s1028" type="#_x0000_t202" style="position:absolute;left:10762;top:10727;width:118;height: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" filled="f" fillcolor="#5b9bd5" stroked="f" strokecolor="black [0]" strokeweight="2pt">
                  <v:textbox inset="2.88pt,2.88pt,2.88pt,2.88pt">
                    <w:txbxContent>
                      <w:p w14:paraId="55E959FC" w14:textId="77777777" w:rsidR="00764FC9" w:rsidRPr="00D87184" w:rsidRDefault="00764FC9" w:rsidP="00764FC9">
                        <w:pPr>
                          <w:widowControl w:val="0"/>
                          <w:jc w:val="center"/>
                          <w:rPr>
                            <w:sz w:val="20"/>
                            <w:szCs w:val="20"/>
                          </w:rPr>
                        </w:pPr>
                        <w:r w:rsidRPr="00D87184">
                          <w:rPr>
                            <w:sz w:val="20"/>
                            <w:szCs w:val="20"/>
                          </w:rPr>
                          <w:t>Prejuicios</w:t>
                        </w:r>
                      </w:p>
                    </w:txbxContent>
                  </v:textbox>
                </v:shape>
                <v:shape id="Text Box 5" o:spid="_x0000_s1029" type="#_x0000_t202" style="position:absolute;left:11114;top:10727;width:118;height: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" filled="f" fillcolor="#5b9bd5" stroked="f" strokecolor="black [0]" strokeweight="2pt">
                  <v:textbox inset="2.88pt,2.88pt,2.88pt,2.88pt">
                    <w:txbxContent>
                      <w:p w14:paraId="742E0A23" w14:textId="77777777" w:rsidR="00764FC9" w:rsidRPr="00D87184" w:rsidRDefault="00764FC9" w:rsidP="00764FC9">
                        <w:pPr>
                          <w:widowControl w:val="0"/>
                          <w:jc w:val="center"/>
                          <w:rPr>
                            <w:sz w:val="20"/>
                            <w:szCs w:val="20"/>
                          </w:rPr>
                        </w:pPr>
                        <w:r w:rsidRPr="00D87184">
                          <w:rPr>
                            <w:sz w:val="20"/>
                            <w:szCs w:val="20"/>
                          </w:rPr>
                          <w:t>Discriminación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 o:spid="_x0000_s1030" type="#_x0000_t34" style="position:absolute;left:10899;top:10614;width:35;height:1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" strokeweight="1pt">
                  <v:stroke endarrow="block"/>
                  <v:shadow color="black [0]"/>
                </v:shape>
                <v:shape id="AutoShape 7" o:spid="_x0000_s1031" type="#_x0000_t34" style="position:absolute;left:11075;top:10630;width:35;height:1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" strokeweight="1pt">
                  <v:stroke endarrow="block"/>
                  <v:shadow color="black [0]"/>
                </v:shape>
                <v:shape id="Text Box 8" o:spid="_x0000_s1032" type="#_x0000_t202" style="position:absolute;left:10628;top:10790;width:134;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" filled="f" fillcolor="#5b9bd5" stroked="f" strokecolor="black [0]" strokeweight="2pt">
                  <v:textbox inset="2.88pt,2.88pt,2.88pt,2.88pt">
                    <w:txbxContent>
                      <w:p w14:paraId="2547C8A4" w14:textId="77777777" w:rsidR="00764FC9" w:rsidRPr="00D87184" w:rsidRDefault="00764FC9" w:rsidP="00764FC9">
                        <w:pPr>
                          <w:widowControl w:val="0"/>
                          <w:jc w:val="center"/>
                          <w:rPr>
                            <w:sz w:val="20"/>
                            <w:szCs w:val="20"/>
                          </w:rPr>
                        </w:pPr>
                        <w:r w:rsidRPr="00D87184">
                          <w:rPr>
                            <w:sz w:val="20"/>
                            <w:szCs w:val="20"/>
                          </w:rPr>
                          <w:t>Relacionados con la conducta sexual inadecuada</w:t>
                        </w:r>
                      </w:p>
                    </w:txbxContent>
                  </v:textbox>
                </v:shape>
                <v:shape id="Text Box 9" o:spid="_x0000_s1033" type="#_x0000_t202" style="position:absolute;left:10880;top:10790;width:112;height: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" filled="f" fillcolor="#5b9bd5" stroked="f" strokecolor="black [0]" strokeweight="2pt">
                  <v:textbox inset="2.88pt,2.88pt,2.88pt,2.88pt">
                    <w:txbxContent>
                      <w:p w14:paraId="4DE91305" w14:textId="77777777" w:rsidR="00764FC9" w:rsidRPr="00D87184" w:rsidRDefault="00764FC9" w:rsidP="00764FC9">
                        <w:pPr>
                          <w:widowControl w:val="0"/>
                          <w:jc w:val="center"/>
                          <w:rPr>
                            <w:sz w:val="20"/>
                            <w:szCs w:val="20"/>
                          </w:rPr>
                        </w:pPr>
                        <w:r w:rsidRPr="00D87184">
                          <w:rPr>
                            <w:sz w:val="20"/>
                            <w:szCs w:val="20"/>
                          </w:rPr>
                          <w:t>De desviación de la norma</w:t>
                        </w:r>
                      </w:p>
                    </w:txbxContent>
                  </v:textbox>
                </v:shape>
                <v:shape id="Text Box 10" o:spid="_x0000_s1034" type="#_x0000_t202" style="position:absolute;left:10753;top:10790;width:127;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" filled="f" fillcolor="#5b9bd5" stroked="f" strokecolor="black [0]" strokeweight="2pt">
                  <v:textbox inset="2.88pt,2.88pt,2.88pt,2.88pt">
                    <w:txbxContent>
                      <w:p w14:paraId="018B7FAF" w14:textId="77777777" w:rsidR="00764FC9" w:rsidRPr="00D87184" w:rsidRDefault="00764FC9" w:rsidP="00764FC9">
                        <w:pPr>
                          <w:widowControl w:val="0"/>
                          <w:jc w:val="center"/>
                          <w:rPr>
                            <w:sz w:val="20"/>
                            <w:szCs w:val="20"/>
                          </w:rPr>
                        </w:pPr>
                        <w:r w:rsidRPr="00D87184">
                          <w:rPr>
                            <w:sz w:val="20"/>
                            <w:szCs w:val="20"/>
                          </w:rPr>
                          <w:t>Para la desestimación de la bisexualidad</w:t>
                        </w:r>
                      </w:p>
                    </w:txbxContent>
                  </v:textbox>
                </v:shape>
                <v:shape id="Text Box 11" o:spid="_x0000_s1035" type="#_x0000_t202" style="position:absolute;left:10992;top:10790;width:92;height: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" filled="f" fillcolor="#5b9bd5" stroked="f" strokecolor="black [0]" strokeweight="2pt">
                  <v:textbox inset="2.88pt,2.88pt,2.88pt,2.88pt">
                    <w:txbxContent>
                      <w:p w14:paraId="5FAE2062" w14:textId="77777777" w:rsidR="00764FC9" w:rsidRPr="00D87184" w:rsidRDefault="00764FC9" w:rsidP="00764FC9">
                        <w:pPr>
                          <w:widowControl w:val="0"/>
                          <w:jc w:val="center"/>
                          <w:rPr>
                            <w:sz w:val="20"/>
                            <w:szCs w:val="20"/>
                          </w:rPr>
                        </w:pPr>
                        <w:r w:rsidRPr="00D87184">
                          <w:rPr>
                            <w:sz w:val="20"/>
                            <w:szCs w:val="20"/>
                          </w:rPr>
                          <w:t>Segregación/ Exclusión</w:t>
                        </w:r>
                      </w:p>
                    </w:txbxContent>
                  </v:textbox>
                </v:shape>
                <v:shape id="Text Box 12" o:spid="_x0000_s1036" type="#_x0000_t202" style="position:absolute;left:11084;top:10790;width:91;height: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" filled="f" fillcolor="#5b9bd5" stroked="f" strokecolor="black [0]" strokeweight="2pt">
                  <v:textbox inset="2.88pt,2.88pt,2.88pt,2.88pt">
                    <w:txbxContent>
                      <w:p w14:paraId="1A01F7B6" w14:textId="77777777" w:rsidR="00764FC9" w:rsidRPr="00D87184" w:rsidRDefault="00764FC9" w:rsidP="00764FC9">
                        <w:pPr>
                          <w:widowControl w:val="0"/>
                          <w:jc w:val="center"/>
                          <w:rPr>
                            <w:sz w:val="20"/>
                            <w:szCs w:val="20"/>
                          </w:rPr>
                        </w:pPr>
                        <w:r w:rsidRPr="00D87184">
                          <w:rPr>
                            <w:sz w:val="20"/>
                            <w:szCs w:val="20"/>
                          </w:rPr>
                          <w:t>Invalidación</w:t>
                        </w:r>
                      </w:p>
                    </w:txbxContent>
                  </v:textbox>
                </v:shape>
                <v:shape id="Text Box 13" o:spid="_x0000_s1037" type="#_x0000_t202" style="position:absolute;left:11169;top:10790;width:110;height: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" filled="f" fillcolor="#5b9bd5" stroked="f" strokecolor="black [0]" strokeweight="2pt">
                  <v:textbox inset="2.88pt,2.88pt,2.88pt,2.88pt">
                    <w:txbxContent>
                      <w:p w14:paraId="13115407" w14:textId="77777777" w:rsidR="00764FC9" w:rsidRPr="00D87184" w:rsidRDefault="00764FC9" w:rsidP="00764FC9">
                        <w:pPr>
                          <w:widowControl w:val="0"/>
                          <w:jc w:val="center"/>
                          <w:rPr>
                            <w:sz w:val="20"/>
                            <w:szCs w:val="20"/>
                          </w:rPr>
                        </w:pPr>
                        <w:r w:rsidRPr="00D87184">
                          <w:rPr>
                            <w:sz w:val="20"/>
                            <w:szCs w:val="20"/>
                          </w:rPr>
                          <w:t>Fetichización y objetificación</w:t>
                        </w:r>
                      </w:p>
                    </w:txbxContent>
                  </v:textbox>
                </v:shape>
                <v:shape id="Text Box 14" o:spid="_x0000_s1038" type="#_x0000_t202" style="position:absolute;left:11279;top:10790;width:82;height: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" filled="f" fillcolor="#5b9bd5" stroked="f" strokecolor="black [0]" strokeweight="2pt">
                  <v:textbox inset="2.88pt,2.88pt,2.88pt,2.88pt">
                    <w:txbxContent>
                      <w:p w14:paraId="696A82A4" w14:textId="77777777" w:rsidR="00764FC9" w:rsidRPr="00D87184" w:rsidRDefault="00764FC9" w:rsidP="00764FC9">
                        <w:pPr>
                          <w:widowControl w:val="0"/>
                          <w:jc w:val="center"/>
                          <w:rPr>
                            <w:sz w:val="20"/>
                            <w:szCs w:val="20"/>
                          </w:rPr>
                        </w:pPr>
                        <w:r w:rsidRPr="00D87184">
                          <w:rPr>
                            <w:sz w:val="20"/>
                            <w:szCs w:val="20"/>
                          </w:rPr>
                          <w:t>Violencias</w:t>
                        </w:r>
                      </w:p>
                    </w:txbxContent>
                  </v:textbox>
                </v:shape>
                <v:shape id="AutoShape 15" o:spid="_x0000_s1039" type="#_x0000_t34" style="position:absolute;left:10747;top:10717;width:21;height:12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" strokeweight="1pt">
                  <v:stroke endarrow="block"/>
                  <v:shadow color="black [0]"/>
                </v:shape>
                <v:shape id="AutoShape 16" o:spid="_x0000_s1040" type="#_x0000_t34" style="position:absolute;left:10868;top:10722;width:21;height:11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" strokeweight="1pt">
                  <v:stroke endarrow="block"/>
                  <v:shadow color="black [0]"/>
                </v:shape>
                <v:shapetype id="_x0000_t32" coordsize="21600,21600" o:spt="32" o:oned="t" path="m,l21600,21600e" filled="f">
                  <v:path arrowok="t" fillok="f" o:connecttype="none"/>
                  <o:lock v:ext="edit" shapetype="t"/>
                </v:shapetype>
                <v:shape id="AutoShape 17" o:spid="_x0000_s1041" type="#_x0000_t32" style="position:absolute;left:10821;top:10770;width:0;height: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" strokeweight="1pt">
                  <v:stroke endarrow="block"/>
                  <v:shadow color="black [0]"/>
                </v:shape>
                <v:shape id="AutoShape 18" o:spid="_x0000_s1042" type="#_x0000_t34" style="position:absolute;left:11095;top:10712;width:21;height:13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" strokeweight="1pt">
                  <v:stroke endarrow="block"/>
                  <v:shadow color="black [0]"/>
                </v:shape>
                <v:shape id="AutoShape 19" o:spid="_x0000_s1043" type="#_x0000_t34" style="position:absolute;left:11236;top:10706;width:21;height:14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" strokeweight="1pt">
                  <v:stroke endarrow="block"/>
                  <v:shadow color="black [0]"/>
                </v:shape>
                <v:shape id="AutoShape 20" o:spid="_x0000_s1044" type="#_x0000_t34" style="position:absolute;left:11141;top:10758;width:21;height: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" strokeweight="1pt">
                  <v:stroke endarrow="block"/>
                  <v:shadow color="black [0]"/>
                </v:shape>
                <v:shape id="AutoShape 21" o:spid="_x0000_s1045" type="#_x0000_t34" style="position:absolute;left:11188;top:10754;width:21;height:5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" strokeweight="1pt">
                  <v:stroke endarrow="block"/>
                  <v:shadow color="black [0]"/>
                </v:shape>
                <w10:wrap type="square" anchorx="margin"/>
              </v:group>
            </w:pict>
          </mc:Fallback>
        </mc:AlternateContent>
      </w:r>
      <w:r w:rsidRPr="00764FC9">
        <w:rPr>
          <w:i/>
          <w:iCs/>
          <w:kern w:val="2"/>
          <w:lang w:val="es-US" w:eastAsia="es-MX"/>
          <w14:ligatures w14:val="standardContextual"/>
        </w:rPr>
        <w:t>Nota:</w:t>
      </w:r>
      <w:r w:rsidRPr="00764FC9">
        <w:rPr>
          <w:kern w:val="2"/>
          <w:lang w:val="es-US" w:eastAsia="es-MX"/>
          <w14:ligatures w14:val="standardContextual"/>
        </w:rPr>
        <w:t xml:space="preserve"> Elaboración propia.</w:t>
      </w:r>
    </w:p>
    <w:p w14:paraId="5A7F014F" w14:textId="77777777" w:rsidR="00764FC9" w:rsidRPr="00764FC9" w:rsidRDefault="00764FC9" w:rsidP="00764FC9">
      <w:pPr>
        <w:spacing w:line="360" w:lineRule="auto"/>
        <w:ind w:firstLine="708"/>
        <w:rPr>
          <w:noProof/>
          <w:lang w:val="es-US" w:eastAsia="es-MX"/>
        </w:rPr>
      </w:pPr>
      <w:r w:rsidRPr="00764FC9">
        <w:rPr>
          <w:kern w:val="2"/>
          <w:lang w:val="es-US" w:eastAsia="es-MX"/>
          <w14:ligatures w14:val="standardContextual"/>
        </w:rPr>
        <w:t xml:space="preserve">Por otro lado, para comprender en qué contextos específicos se manifestaban los actos de discriminación y prejuicio, se utilizó la función de tablas de co-ocurrencias del software ATLAS.ti. Esta herramienta permitió identificar y cuantificar las veces que un tipo de prejuicio o acto aparecía junto con un lugar o grupo en los relatos de las participantes. A continuación, se describe cada subconjunto a mayor profundidad, integrando su contexto y </w:t>
      </w:r>
      <w:r w:rsidRPr="00764FC9">
        <w:rPr>
          <w:kern w:val="2"/>
          <w:lang w:val="es-US" w:eastAsia="es-MX"/>
          <w14:ligatures w14:val="standardContextual"/>
        </w:rPr>
        <w:lastRenderedPageBreak/>
        <w:t>citas textuales extraídas de las interacciones. Para garantizar la confidencialidad de las fuentes, se han utilizado seudónimos en lugar de sus nombres reales.</w:t>
      </w:r>
    </w:p>
    <w:p w14:paraId="55620A2A" w14:textId="77777777" w:rsidR="00764FC9" w:rsidRPr="00764FC9" w:rsidRDefault="00764FC9" w:rsidP="00764FC9">
      <w:pPr>
        <w:spacing w:line="360" w:lineRule="auto"/>
        <w:rPr>
          <w:b/>
          <w:bCs/>
          <w:i/>
          <w:iCs/>
          <w:kern w:val="2"/>
          <w:lang w:val="es-US" w:eastAsia="es-MX"/>
          <w14:ligatures w14:val="standardContextual"/>
        </w:rPr>
      </w:pPr>
      <w:r w:rsidRPr="00764FC9">
        <w:rPr>
          <w:b/>
          <w:bCs/>
          <w:i/>
          <w:iCs/>
          <w:kern w:val="2"/>
          <w:lang w:val="es-US" w:eastAsia="es-MX"/>
          <w14:ligatures w14:val="standardContextual"/>
        </w:rPr>
        <w:t>Conjunto 1: Prejuicios adjudicados a la bisexualidad</w:t>
      </w:r>
    </w:p>
    <w:p w14:paraId="2D2CDEA0" w14:textId="77777777" w:rsidR="00764FC9" w:rsidRPr="00764FC9" w:rsidRDefault="00764FC9" w:rsidP="00764FC9">
      <w:pPr>
        <w:spacing w:line="360" w:lineRule="auto"/>
        <w:rPr>
          <w:kern w:val="2"/>
          <w:lang w:val="es-US" w:eastAsia="es-MX"/>
          <w14:ligatures w14:val="standardContextual"/>
        </w:rPr>
      </w:pPr>
      <w:r w:rsidRPr="00764FC9">
        <w:rPr>
          <w:kern w:val="2"/>
          <w:lang w:val="es-US" w:eastAsia="es-MX"/>
          <w14:ligatures w14:val="standardContextual"/>
        </w:rPr>
        <w:tab/>
        <w:t>El primer conjunto de elementos encontrado gira alrededor de los prejuicios asociados a la bisexualidad, el cual se entiende como la actitud o juicio negativos hacia la bisexualidad que surgen a partir del sesgo, la generalización y el desconocimiento. A partir de ello, se encuentran 3 subconjuntos: Prejuicios relacionados con la conducta sexual, Prejuicios para la desestimación de la bisexualidad y Prejuicios de desviación de la norma.</w:t>
      </w:r>
    </w:p>
    <w:p w14:paraId="2D657326" w14:textId="77777777" w:rsidR="00764FC9" w:rsidRPr="00764FC9" w:rsidRDefault="00764FC9" w:rsidP="00764FC9">
      <w:pPr>
        <w:spacing w:line="360" w:lineRule="auto"/>
        <w:rPr>
          <w:i/>
          <w:iCs/>
          <w:kern w:val="2"/>
          <w:lang w:val="es-US" w:eastAsia="es-MX"/>
          <w14:ligatures w14:val="standardContextual"/>
        </w:rPr>
      </w:pPr>
      <w:r w:rsidRPr="00764FC9">
        <w:rPr>
          <w:i/>
          <w:iCs/>
          <w:kern w:val="2"/>
          <w:lang w:val="es-US" w:eastAsia="es-MX"/>
          <w14:ligatures w14:val="standardContextual"/>
        </w:rPr>
        <w:t>Subconjunto 1: Prejuicios relacionados con la conducta sexual inadecuada</w:t>
      </w:r>
    </w:p>
    <w:p w14:paraId="27FF362C" w14:textId="77777777" w:rsidR="00764FC9" w:rsidRPr="00764FC9" w:rsidRDefault="00764FC9" w:rsidP="00764FC9">
      <w:pPr>
        <w:spacing w:line="360" w:lineRule="auto"/>
        <w:ind w:firstLine="708"/>
        <w:rPr>
          <w:kern w:val="2"/>
          <w:lang w:val="es-US" w:eastAsia="es-MX"/>
          <w14:ligatures w14:val="standardContextual"/>
        </w:rPr>
      </w:pPr>
      <w:r w:rsidRPr="00764FC9">
        <w:rPr>
          <w:kern w:val="2"/>
          <w:lang w:val="es-US" w:eastAsia="es-MX"/>
          <w14:ligatures w14:val="standardContextual"/>
        </w:rPr>
        <w:t>Este subconjunto hace referencia a las creencias y actitudes de la bisexualidad en torno a una predisposición inherente a la inestabilidad relacional y a la búsqueda constante de múltiples parejas y de encuentros sexuales debido a la atracción hacia ambos géneros, ya que se les percibe con un "doble" deseo o una necesidad constante de satisfacerse con diferentes géneros. Por tanto, está conformado por los siguientes códigos: “prejuicio de promiscuidad” y “prejuicio de infidelidad”.</w:t>
      </w:r>
    </w:p>
    <w:p w14:paraId="04CE06C3" w14:textId="77777777" w:rsidR="00764FC9" w:rsidRPr="00764FC9" w:rsidRDefault="00764FC9" w:rsidP="00764FC9">
      <w:pPr>
        <w:spacing w:line="360" w:lineRule="auto"/>
        <w:ind w:left="708"/>
        <w:rPr>
          <w:kern w:val="2"/>
          <w:lang w:val="es-US" w:eastAsia="es-MX"/>
          <w14:ligatures w14:val="standardContextual"/>
        </w:rPr>
      </w:pPr>
      <w:r w:rsidRPr="00764FC9">
        <w:rPr>
          <w:kern w:val="2"/>
          <w:lang w:val="es-US" w:eastAsia="es-MX"/>
          <w14:ligatures w14:val="standardContextual"/>
        </w:rPr>
        <w:t>“La gente tiende a tener prejuicios, creen que te vas a abalanzar contra todos porque eres promiscua, o tus parejas creen que les vas a ser infiel y prefieren no iniciar una relación contigo” - Ana, 34 años, Quintana Roo.</w:t>
      </w:r>
    </w:p>
    <w:p w14:paraId="6EE612F8" w14:textId="77777777" w:rsidR="00764FC9" w:rsidRPr="00764FC9" w:rsidRDefault="00764FC9" w:rsidP="00764FC9">
      <w:pPr>
        <w:spacing w:line="360" w:lineRule="auto"/>
        <w:ind w:firstLine="708"/>
        <w:rPr>
          <w:kern w:val="2"/>
          <w:lang w:val="es-US" w:eastAsia="es-MX"/>
          <w14:ligatures w14:val="standardContextual"/>
        </w:rPr>
      </w:pPr>
      <w:r w:rsidRPr="00764FC9">
        <w:rPr>
          <w:kern w:val="2"/>
          <w:lang w:val="es-US" w:eastAsia="es-MX"/>
          <w14:ligatures w14:val="standardContextual"/>
        </w:rPr>
        <w:t>Este tipo de prejuicio se observa mayormente en las relaciones establecidas con mujeres lesbianas, en donde se asume que las participantes van a decidir ser infieles con un hombre heterosexual. Además, está asociado con la desconfianza en el establecimiento de relaciones, tanto de amistad como en relaciones sexoafectivas, en donde se les cela y se les supervisa las amistades.</w:t>
      </w:r>
    </w:p>
    <w:p w14:paraId="0B72B3C6" w14:textId="77777777" w:rsidR="00764FC9" w:rsidRPr="00764FC9" w:rsidRDefault="00764FC9" w:rsidP="00764FC9">
      <w:pPr>
        <w:spacing w:line="360" w:lineRule="auto"/>
        <w:rPr>
          <w:i/>
          <w:iCs/>
          <w:kern w:val="2"/>
          <w:lang w:val="es-US" w:eastAsia="es-MX"/>
          <w14:ligatures w14:val="standardContextual"/>
        </w:rPr>
      </w:pPr>
      <w:r w:rsidRPr="00764FC9">
        <w:rPr>
          <w:i/>
          <w:iCs/>
          <w:kern w:val="2"/>
          <w:lang w:val="es-US" w:eastAsia="es-MX"/>
          <w14:ligatures w14:val="standardContextual"/>
        </w:rPr>
        <w:t>Subconjunto 2: Prejuicios para la desestimación de la bisexualidad</w:t>
      </w:r>
    </w:p>
    <w:p w14:paraId="4A677A30" w14:textId="77777777" w:rsidR="00764FC9" w:rsidRPr="00764FC9" w:rsidRDefault="00764FC9" w:rsidP="00764FC9">
      <w:pPr>
        <w:spacing w:line="360" w:lineRule="auto"/>
        <w:rPr>
          <w:kern w:val="2"/>
          <w:lang w:val="es-US" w:eastAsia="es-MX"/>
          <w14:ligatures w14:val="standardContextual"/>
        </w:rPr>
      </w:pPr>
      <w:r w:rsidRPr="00764FC9">
        <w:rPr>
          <w:kern w:val="2"/>
          <w:lang w:val="es-US" w:eastAsia="es-MX"/>
          <w14:ligatures w14:val="standardContextual"/>
        </w:rPr>
        <w:tab/>
        <w:t>A partir de la idea de que la bisexualidad no es una orientación sexual genuina y estable, toda expresión de esta es invalidada a través de considerar que es una etapa transitoria, de exploración y de curiosidad. Este subconjunto está compuesto por los siguientes códigos: “prejuicio de indecisión”, “prejuicio de temporalidad”, “prejuicio de confusión”, “prejuicio de moda” y “prejuicio de inmadurez” y es posible ejemplificarlo a partir de la siguiente cita.</w:t>
      </w:r>
    </w:p>
    <w:p w14:paraId="7EC7534F" w14:textId="77777777" w:rsidR="00764FC9" w:rsidRPr="00764FC9" w:rsidRDefault="00764FC9" w:rsidP="00764FC9">
      <w:pPr>
        <w:spacing w:line="360" w:lineRule="auto"/>
        <w:ind w:left="708"/>
        <w:rPr>
          <w:kern w:val="2"/>
          <w:lang w:val="es-US" w:eastAsia="es-MX"/>
          <w14:ligatures w14:val="standardContextual"/>
        </w:rPr>
      </w:pPr>
      <w:r w:rsidRPr="00764FC9">
        <w:rPr>
          <w:kern w:val="2"/>
          <w:lang w:val="es-US" w:eastAsia="es-MX"/>
          <w14:ligatures w14:val="standardContextual"/>
        </w:rPr>
        <w:t>“</w:t>
      </w:r>
      <w:r w:rsidRPr="00764FC9">
        <w:rPr>
          <w:kern w:val="2"/>
          <w:lang w:val="es-MX" w:eastAsia="es-MX"/>
          <w14:ligatures w14:val="standardContextual"/>
        </w:rPr>
        <w:t xml:space="preserve">Mis familiares sólo lo toman como una etapa (una etapa de 7 años), piensan que estoy indecisa ya que he estado atraída a mujeres y a hombres por igual, ellos lo saben, pero no están convencidos. Tampoco falta el pseudo argumento de que como bisexual estoy </w:t>
      </w:r>
      <w:r w:rsidRPr="00764FC9">
        <w:rPr>
          <w:kern w:val="2"/>
          <w:lang w:val="es-MX" w:eastAsia="es-MX"/>
          <w14:ligatures w14:val="standardContextual"/>
        </w:rPr>
        <w:lastRenderedPageBreak/>
        <w:t>genéticamente predispuesta a cambiar de orientación de un momento a otro dependiendo de quién me atraiga</w:t>
      </w:r>
      <w:r w:rsidRPr="00764FC9">
        <w:rPr>
          <w:kern w:val="2"/>
          <w:lang w:val="es-US" w:eastAsia="es-MX"/>
          <w14:ligatures w14:val="standardContextual"/>
        </w:rPr>
        <w:t>” - Julieta, 19 años, CDMX.</w:t>
      </w:r>
    </w:p>
    <w:p w14:paraId="3FD3EFAA" w14:textId="77777777" w:rsidR="00764FC9" w:rsidRPr="00764FC9" w:rsidRDefault="00764FC9" w:rsidP="00764FC9">
      <w:pPr>
        <w:spacing w:line="360" w:lineRule="auto"/>
        <w:ind w:firstLine="708"/>
        <w:rPr>
          <w:kern w:val="2"/>
          <w:lang w:val="es-US" w:eastAsia="es-MX"/>
          <w14:ligatures w14:val="standardContextual"/>
        </w:rPr>
      </w:pPr>
      <w:r w:rsidRPr="00764FC9">
        <w:rPr>
          <w:kern w:val="2"/>
          <w:lang w:val="es-US" w:eastAsia="es-MX"/>
          <w14:ligatures w14:val="standardContextual"/>
        </w:rPr>
        <w:t>Se considera que la bisexualidad sólo es algo pasajero, una fase o una etapa que va a culminar con la decisión de nombrarse heterosexual o lesbiana. Se les dice que su deseo bisexual surge de la curiosidad, la confusión y las ganas de experimentar. Además, se les considera indecisas por no atreverse a nombrarse lesbiana. Estas actitudes se presentan en mayormente en la familia y con hombres heterosexuales, con el objetivo de desestimar y con mujeres lesbianas, a partir de la desconfianza.</w:t>
      </w:r>
    </w:p>
    <w:p w14:paraId="409E313D" w14:textId="77777777" w:rsidR="00764FC9" w:rsidRPr="00764FC9" w:rsidRDefault="00764FC9" w:rsidP="00764FC9">
      <w:pPr>
        <w:spacing w:line="360" w:lineRule="auto"/>
        <w:rPr>
          <w:i/>
          <w:iCs/>
          <w:kern w:val="2"/>
          <w:lang w:val="es-US" w:eastAsia="es-MX"/>
          <w14:ligatures w14:val="standardContextual"/>
        </w:rPr>
      </w:pPr>
      <w:r w:rsidRPr="00764FC9">
        <w:rPr>
          <w:i/>
          <w:iCs/>
          <w:kern w:val="2"/>
          <w:lang w:val="es-US" w:eastAsia="es-MX"/>
          <w14:ligatures w14:val="standardContextual"/>
        </w:rPr>
        <w:t>Subconjunto 3: Prejuicios de desviación de la norma</w:t>
      </w:r>
    </w:p>
    <w:p w14:paraId="0FD3BAE5" w14:textId="77777777" w:rsidR="00764FC9" w:rsidRPr="00764FC9" w:rsidRDefault="00764FC9" w:rsidP="00764FC9">
      <w:pPr>
        <w:spacing w:line="360" w:lineRule="auto"/>
        <w:ind w:firstLine="708"/>
        <w:rPr>
          <w:kern w:val="2"/>
          <w:lang w:val="es-US" w:eastAsia="es-MX"/>
          <w14:ligatures w14:val="standardContextual"/>
        </w:rPr>
      </w:pPr>
      <w:r w:rsidRPr="00764FC9">
        <w:rPr>
          <w:kern w:val="2"/>
          <w:lang w:val="es-US" w:eastAsia="es-MX"/>
          <w14:ligatures w14:val="standardContextual"/>
        </w:rPr>
        <w:t>En este subconjunto, se encuentra una aversión y temor hacia unas las mujeres bisexuales, fundamentado en la creencia irracional de que representan una amenaza a la salud, la normalidad social o el orden moral establecido, por lo que deben ser alejadas. Este subconjunto se compone de los códigos “repulsión por prejuicio de enfermedad o peligro”, “prejuicio de anormalidad” y “prejuicio de pecado” y se identifican en la cita a continuación:</w:t>
      </w:r>
    </w:p>
    <w:p w14:paraId="48B58C7A" w14:textId="77777777" w:rsidR="00764FC9" w:rsidRPr="00764FC9" w:rsidRDefault="00764FC9" w:rsidP="00764FC9">
      <w:pPr>
        <w:spacing w:line="360" w:lineRule="auto"/>
        <w:ind w:left="708"/>
        <w:rPr>
          <w:kern w:val="2"/>
          <w:lang w:val="es-US" w:eastAsia="es-MX"/>
          <w14:ligatures w14:val="standardContextual"/>
        </w:rPr>
      </w:pPr>
      <w:r w:rsidRPr="00764FC9">
        <w:rPr>
          <w:kern w:val="2"/>
          <w:lang w:val="es-US" w:eastAsia="es-MX"/>
          <w14:ligatures w14:val="standardContextual"/>
        </w:rPr>
        <w:t>“</w:t>
      </w:r>
      <w:r w:rsidRPr="00764FC9">
        <w:rPr>
          <w:kern w:val="2"/>
          <w:lang w:val="es-MX" w:eastAsia="es-MX"/>
          <w14:ligatures w14:val="standardContextual"/>
        </w:rPr>
        <w:t>Hay personas en mi trabajo, familia, amigos y parejas que han demostrado su desaprobación a mis preferencias. Consideran que es sucio, que es mentira, que es pecado, que solo quiero llamar la atención. Mi mamá por ejemplo al saberlo me dijo que era mentira, que nadie en la familia era así y que por eso yo no debía serlo. Cómo si ella pensara que es algo que se herida o genético</w:t>
      </w:r>
      <w:r w:rsidRPr="00764FC9">
        <w:rPr>
          <w:kern w:val="2"/>
          <w:lang w:val="es-US" w:eastAsia="es-MX"/>
          <w14:ligatures w14:val="standardContextual"/>
        </w:rPr>
        <w:t>” - Victoria, 27 años, Estado de México.</w:t>
      </w:r>
    </w:p>
    <w:p w14:paraId="77DB0161" w14:textId="77777777" w:rsidR="00764FC9" w:rsidRPr="00764FC9" w:rsidRDefault="00764FC9" w:rsidP="00764FC9">
      <w:pPr>
        <w:spacing w:line="360" w:lineRule="auto"/>
        <w:ind w:firstLine="708"/>
        <w:rPr>
          <w:kern w:val="2"/>
          <w:lang w:val="es-US" w:eastAsia="es-MX"/>
          <w14:ligatures w14:val="standardContextual"/>
        </w:rPr>
      </w:pPr>
      <w:r w:rsidRPr="00764FC9">
        <w:rPr>
          <w:kern w:val="2"/>
          <w:lang w:val="es-US" w:eastAsia="es-MX"/>
          <w14:ligatures w14:val="standardContextual"/>
        </w:rPr>
        <w:t>Se da principalmente en la familia, en donde se presenta la dificultad de aceptación debido a que se trata de un comportamiento sexual no hegemónico, por lo que les preocupa las reacciones de familiares extensos y conocidos. Al respecto, las participantes refieren demostraciones de asco y repulsión, en donde se les considera sucias y pervertidas, principalmente por el temor a lo desconocido, al pecado o por el miedo al contagio de la bisexualidad o a Infecciones de Transmisión Sexual.</w:t>
      </w:r>
    </w:p>
    <w:p w14:paraId="27D0D702" w14:textId="77777777" w:rsidR="00764FC9" w:rsidRPr="00764FC9" w:rsidRDefault="00764FC9" w:rsidP="00764FC9">
      <w:pPr>
        <w:spacing w:line="360" w:lineRule="auto"/>
        <w:rPr>
          <w:b/>
          <w:bCs/>
          <w:i/>
          <w:iCs/>
          <w:kern w:val="2"/>
          <w:lang w:val="es-US" w:eastAsia="es-MX"/>
          <w14:ligatures w14:val="standardContextual"/>
        </w:rPr>
      </w:pPr>
      <w:r w:rsidRPr="00764FC9">
        <w:rPr>
          <w:b/>
          <w:bCs/>
          <w:i/>
          <w:iCs/>
          <w:kern w:val="2"/>
          <w:lang w:val="es-US" w:eastAsia="es-MX"/>
          <w14:ligatures w14:val="standardContextual"/>
        </w:rPr>
        <w:t>Conjunto 2: Discriminación a partir de la bisexualidad</w:t>
      </w:r>
    </w:p>
    <w:p w14:paraId="11D52971" w14:textId="77777777" w:rsidR="00764FC9" w:rsidRPr="00764FC9" w:rsidRDefault="00764FC9" w:rsidP="00764FC9">
      <w:pPr>
        <w:spacing w:line="360" w:lineRule="auto"/>
        <w:rPr>
          <w:kern w:val="2"/>
          <w:lang w:val="es-US" w:eastAsia="es-MX"/>
          <w14:ligatures w14:val="standardContextual"/>
        </w:rPr>
      </w:pPr>
      <w:r w:rsidRPr="00764FC9">
        <w:rPr>
          <w:kern w:val="2"/>
          <w:lang w:val="es-US" w:eastAsia="es-MX"/>
          <w14:ligatures w14:val="standardContextual"/>
        </w:rPr>
        <w:tab/>
        <w:t>Por su parte, el segundo conjunto está asociado con la discriminación recibida a partir de haber salida del clóset y de la expresión de la bisexualidad, desde el uso de la etiqueta hasta el establecimiento de relaciones. Estas acciones se basan en la distinción, exclusión, segregación, hostigamiento, violencia o restricción para impedir o anular la libertad de la mujer bisexual en el ejercicio de su sexualidad. A partir de ello, este conjunto se compone de los siguientes 4 subconjuntos: Segregación/exclusión, invalidación, sexualización y violencias.</w:t>
      </w:r>
    </w:p>
    <w:p w14:paraId="39A392FE" w14:textId="77777777" w:rsidR="00764FC9" w:rsidRPr="00764FC9" w:rsidRDefault="00764FC9" w:rsidP="00764FC9">
      <w:pPr>
        <w:spacing w:line="360" w:lineRule="auto"/>
        <w:rPr>
          <w:i/>
          <w:iCs/>
          <w:kern w:val="2"/>
          <w:lang w:val="es-US" w:eastAsia="es-MX"/>
          <w14:ligatures w14:val="standardContextual"/>
        </w:rPr>
      </w:pPr>
      <w:r w:rsidRPr="00764FC9">
        <w:rPr>
          <w:i/>
          <w:iCs/>
          <w:kern w:val="2"/>
          <w:lang w:val="es-US" w:eastAsia="es-MX"/>
          <w14:ligatures w14:val="standardContextual"/>
        </w:rPr>
        <w:lastRenderedPageBreak/>
        <w:t>Subconjunto 1: Segregación / Exclusión</w:t>
      </w:r>
    </w:p>
    <w:p w14:paraId="534AE3ED" w14:textId="77777777" w:rsidR="00764FC9" w:rsidRPr="00764FC9" w:rsidRDefault="00764FC9" w:rsidP="00764FC9">
      <w:pPr>
        <w:spacing w:line="360" w:lineRule="auto"/>
        <w:ind w:firstLine="708"/>
        <w:rPr>
          <w:kern w:val="2"/>
          <w:lang w:val="es-US" w:eastAsia="es-MX"/>
          <w14:ligatures w14:val="standardContextual"/>
        </w:rPr>
      </w:pPr>
      <w:r w:rsidRPr="00764FC9">
        <w:rPr>
          <w:kern w:val="2"/>
          <w:lang w:val="es-US" w:eastAsia="es-MX"/>
          <w14:ligatures w14:val="standardContextual"/>
        </w:rPr>
        <w:t>En este subconjunto se presentan conductas relacionadas con el separar, apartar o impedir la presencia a las participantes o temas relacionados con su bisexualidad a partir de la salida del clóset. Está compuesto por los siguientes códigos: “rechazo por la bisexualidad”, “distanciamiento de la mujer bisexual” y “evitación de la bisexualidad como tema de conversación”.</w:t>
      </w:r>
    </w:p>
    <w:p w14:paraId="7B16EA23" w14:textId="77777777" w:rsidR="00764FC9" w:rsidRPr="00764FC9" w:rsidRDefault="00764FC9" w:rsidP="00764FC9">
      <w:pPr>
        <w:spacing w:line="360" w:lineRule="auto"/>
        <w:ind w:firstLine="708"/>
        <w:rPr>
          <w:kern w:val="2"/>
          <w:lang w:val="es-US" w:eastAsia="es-MX"/>
          <w14:ligatures w14:val="standardContextual"/>
        </w:rPr>
      </w:pPr>
      <w:r w:rsidRPr="00764FC9">
        <w:rPr>
          <w:kern w:val="2"/>
          <w:lang w:val="es-US" w:eastAsia="es-MX"/>
          <w14:ligatures w14:val="standardContextual"/>
        </w:rPr>
        <w:t>En las relaciones sexoafectivas, principalmente con mujeres lesbianas, se les rechaza una vez que mencionan que son bisexuales, debido a los prejuicios de promiscuidad que se tiene de la orientación sexual. En las amistades se observa desde el alejarse de la mujer bisexual, dejarles de hablar, eliminarla de los grupos, evitar la convivencia uno a uno, excluirla de eventos grupales y cambiar la dinámica establecida en la relación. Esto ocurre por dos motivos: rechazo a la bisexualidad en sí misma o por miedo a que la mujer bisexual les coquetee. Lo anterior se observa en los siguientes ejemplos:</w:t>
      </w:r>
    </w:p>
    <w:p w14:paraId="39214843" w14:textId="77777777" w:rsidR="00764FC9" w:rsidRPr="00764FC9" w:rsidRDefault="00764FC9" w:rsidP="00764FC9">
      <w:pPr>
        <w:spacing w:line="360" w:lineRule="auto"/>
        <w:ind w:left="708"/>
        <w:rPr>
          <w:kern w:val="2"/>
          <w:lang w:val="es-US" w:eastAsia="es-MX"/>
          <w14:ligatures w14:val="standardContextual"/>
        </w:rPr>
      </w:pPr>
      <w:r w:rsidRPr="00764FC9">
        <w:rPr>
          <w:kern w:val="2"/>
          <w:lang w:val="es-US" w:eastAsia="es-MX"/>
          <w14:ligatures w14:val="standardContextual"/>
        </w:rPr>
        <w:t>“</w:t>
      </w:r>
      <w:r w:rsidRPr="00764FC9">
        <w:rPr>
          <w:kern w:val="2"/>
          <w:lang w:val="es-MX" w:eastAsia="es-MX"/>
          <w14:ligatures w14:val="standardContextual"/>
        </w:rPr>
        <w:t>Pues me han dejado de hablar, me han sexualizado sin mi consentimiento y me tratan como si fuera extraña</w:t>
      </w:r>
      <w:r w:rsidRPr="00764FC9">
        <w:rPr>
          <w:kern w:val="2"/>
          <w:lang w:val="es-US" w:eastAsia="es-MX"/>
          <w14:ligatures w14:val="standardContextual"/>
        </w:rPr>
        <w:t>” - Elizabeth, 26 años, Guanajuato.</w:t>
      </w:r>
    </w:p>
    <w:p w14:paraId="4CDDFC72" w14:textId="77777777" w:rsidR="00764FC9" w:rsidRPr="00764FC9" w:rsidRDefault="00764FC9" w:rsidP="00764FC9">
      <w:pPr>
        <w:spacing w:line="360" w:lineRule="auto"/>
        <w:ind w:left="708"/>
        <w:rPr>
          <w:kern w:val="2"/>
          <w:lang w:val="es-US" w:eastAsia="es-MX"/>
          <w14:ligatures w14:val="standardContextual"/>
        </w:rPr>
      </w:pPr>
      <w:r w:rsidRPr="00764FC9">
        <w:rPr>
          <w:kern w:val="2"/>
          <w:lang w:val="es-US" w:eastAsia="es-MX"/>
          <w14:ligatures w14:val="standardContextual"/>
        </w:rPr>
        <w:t>“</w:t>
      </w:r>
      <w:r w:rsidRPr="00764FC9">
        <w:rPr>
          <w:kern w:val="2"/>
          <w:lang w:val="es-MX" w:eastAsia="es-MX"/>
          <w14:ligatures w14:val="standardContextual"/>
        </w:rPr>
        <w:t>En secundaria tenía amigas que cuando sabían que era bi me evitaban por pensar que las iba a querer besar</w:t>
      </w:r>
      <w:r w:rsidRPr="00764FC9">
        <w:rPr>
          <w:kern w:val="2"/>
          <w:lang w:val="es-US" w:eastAsia="es-MX"/>
          <w14:ligatures w14:val="standardContextual"/>
        </w:rPr>
        <w:t>” - Sara, 22 años, Puebla.</w:t>
      </w:r>
    </w:p>
    <w:p w14:paraId="7B2A6D8A" w14:textId="77777777" w:rsidR="00764FC9" w:rsidRPr="00764FC9" w:rsidRDefault="00764FC9" w:rsidP="00764FC9">
      <w:pPr>
        <w:spacing w:line="360" w:lineRule="auto"/>
        <w:ind w:firstLine="708"/>
        <w:rPr>
          <w:kern w:val="2"/>
          <w:lang w:val="es-MX" w:eastAsia="es-MX"/>
          <w14:ligatures w14:val="standardContextual"/>
        </w:rPr>
      </w:pPr>
      <w:r w:rsidRPr="00764FC9">
        <w:rPr>
          <w:kern w:val="2"/>
          <w:lang w:val="es-US" w:eastAsia="es-MX"/>
          <w14:ligatures w14:val="standardContextual"/>
        </w:rPr>
        <w:t>En la familia se expresa explícitamente con el pedirles que cambien y que se decidan porque ser bisexual es incorrecto, además de evitar hablar de ello en el contexto familiar tanto nuclear como extenso e ignorar que se salió del clóset.</w:t>
      </w:r>
    </w:p>
    <w:p w14:paraId="25B935F4" w14:textId="77777777" w:rsidR="00764FC9" w:rsidRPr="00764FC9" w:rsidRDefault="00764FC9" w:rsidP="00764FC9">
      <w:pPr>
        <w:spacing w:line="360" w:lineRule="auto"/>
        <w:rPr>
          <w:i/>
          <w:iCs/>
          <w:kern w:val="2"/>
          <w:lang w:val="es-US" w:eastAsia="es-MX"/>
          <w14:ligatures w14:val="standardContextual"/>
        </w:rPr>
      </w:pPr>
      <w:r w:rsidRPr="00764FC9">
        <w:rPr>
          <w:i/>
          <w:iCs/>
          <w:kern w:val="2"/>
          <w:lang w:val="es-US" w:eastAsia="es-MX"/>
          <w14:ligatures w14:val="standardContextual"/>
        </w:rPr>
        <w:t>Subconjunto 2: Invalidación</w:t>
      </w:r>
    </w:p>
    <w:p w14:paraId="4D579DFE" w14:textId="77777777" w:rsidR="00764FC9" w:rsidRPr="00764FC9" w:rsidRDefault="00764FC9" w:rsidP="00764FC9">
      <w:pPr>
        <w:spacing w:line="360" w:lineRule="auto"/>
        <w:ind w:firstLine="708"/>
        <w:rPr>
          <w:kern w:val="2"/>
          <w:lang w:val="es-US" w:eastAsia="es-MX"/>
          <w14:ligatures w14:val="standardContextual"/>
        </w:rPr>
      </w:pPr>
      <w:r w:rsidRPr="00764FC9">
        <w:rPr>
          <w:kern w:val="2"/>
          <w:lang w:val="es-US" w:eastAsia="es-MX"/>
          <w14:ligatures w14:val="standardContextual"/>
        </w:rPr>
        <w:t>Esta categoría describe el conjunto de actos que buscan negar o invalidar la existencia de la bisexualidad como una orientación sexual real y legítima a través de deslegitimar las relaciones, deseos y comportamientos asociados a la bisexualidad. Se compone de los siguientes códigos: “desestimación de la bisexualidad”, “asunción de lesbianismo”, “asunción de heterosexualidad”, “invalidación por relación sexoafectiva con hombres” e “invalidación por admiración”, lo cual puede observarse en la siguiente cita:</w:t>
      </w:r>
    </w:p>
    <w:p w14:paraId="3554F6A3" w14:textId="77777777" w:rsidR="00764FC9" w:rsidRPr="00764FC9" w:rsidRDefault="00764FC9" w:rsidP="00764FC9">
      <w:pPr>
        <w:spacing w:line="360" w:lineRule="auto"/>
        <w:ind w:left="708"/>
        <w:rPr>
          <w:kern w:val="2"/>
          <w:lang w:val="es-US" w:eastAsia="es-MX"/>
          <w14:ligatures w14:val="standardContextual"/>
        </w:rPr>
      </w:pPr>
      <w:r w:rsidRPr="00764FC9">
        <w:rPr>
          <w:kern w:val="2"/>
          <w:lang w:val="es-US" w:eastAsia="es-MX"/>
          <w14:ligatures w14:val="standardContextual"/>
        </w:rPr>
        <w:t>“</w:t>
      </w:r>
      <w:r w:rsidRPr="00764FC9">
        <w:rPr>
          <w:kern w:val="2"/>
          <w:lang w:val="es-MX" w:eastAsia="es-MX"/>
          <w14:ligatures w14:val="standardContextual"/>
        </w:rPr>
        <w:t xml:space="preserve">Que un ex date me dijera que ‘no sé lo que quiero y que por eso soy bisexual’, que en la prepa me dijeran que ‘la bisexualidad no existe’ (no fue la primera lesbiana que me lo decía y noto cierto patrón de esa población de negar mi orientación), que me dijeran que ‘estoy en mi etapa bicuriosa’ cuando ya había tenido parejas hombres y mujeres, que un ex me dijera que por estar con él era hetero (claro que se enfureció cuando le dije que, si era así, él era bisexual por andar conmigo), que mi reciente ex me haya </w:t>
      </w:r>
      <w:r w:rsidRPr="00764FC9">
        <w:rPr>
          <w:kern w:val="2"/>
          <w:lang w:val="es-MX" w:eastAsia="es-MX"/>
          <w14:ligatures w14:val="standardContextual"/>
        </w:rPr>
        <w:lastRenderedPageBreak/>
        <w:t>usado de carnada para ligarse a chicas que lo odiaban pero que querían conmigo, llegando a pasarse por mí en redes, etc.</w:t>
      </w:r>
      <w:r w:rsidRPr="00764FC9">
        <w:rPr>
          <w:kern w:val="2"/>
          <w:lang w:val="es-US" w:eastAsia="es-MX"/>
          <w14:ligatures w14:val="standardContextual"/>
        </w:rPr>
        <w:t>” - Casandra, 31 años, Nuevo León.</w:t>
      </w:r>
    </w:p>
    <w:p w14:paraId="17868B22" w14:textId="77777777" w:rsidR="00764FC9" w:rsidRPr="00764FC9" w:rsidRDefault="00764FC9" w:rsidP="00764FC9">
      <w:pPr>
        <w:spacing w:line="360" w:lineRule="auto"/>
        <w:ind w:firstLine="708"/>
        <w:rPr>
          <w:kern w:val="2"/>
          <w:lang w:val="es-US" w:eastAsia="es-MX"/>
          <w14:ligatures w14:val="standardContextual"/>
        </w:rPr>
      </w:pPr>
      <w:r w:rsidRPr="00764FC9">
        <w:rPr>
          <w:kern w:val="2"/>
          <w:lang w:val="es-US" w:eastAsia="es-MX"/>
          <w14:ligatures w14:val="standardContextual"/>
        </w:rPr>
        <w:t>Se les considera lesbianas o heterosexuales a pesar de nombrarse bisexuales para negar o evitar su orientación sexual y al establecer relaciones monógamas, en donde su orientación es definida por el género de su pareja. Se les dice que no pueden ser bisexuales porque han observado relaciones establecidas sola o principalmente con hombres, que la bisexualidad no existe o que sus deseos por otras mujeres son por admiración. Las participantes refieren que no se les toma en serio, que no les creen o que consideran que están exagerando.</w:t>
      </w:r>
    </w:p>
    <w:p w14:paraId="1F944882" w14:textId="77777777" w:rsidR="00764FC9" w:rsidRPr="00764FC9" w:rsidRDefault="00764FC9" w:rsidP="00764FC9">
      <w:pPr>
        <w:spacing w:line="360" w:lineRule="auto"/>
        <w:rPr>
          <w:i/>
          <w:iCs/>
          <w:kern w:val="2"/>
          <w:lang w:val="es-US" w:eastAsia="es-MX"/>
          <w14:ligatures w14:val="standardContextual"/>
        </w:rPr>
      </w:pPr>
      <w:r w:rsidRPr="00764FC9">
        <w:rPr>
          <w:i/>
          <w:iCs/>
          <w:kern w:val="2"/>
          <w:lang w:val="es-US" w:eastAsia="es-MX"/>
          <w14:ligatures w14:val="standardContextual"/>
        </w:rPr>
        <w:t>Subconjunto 3: Fetichización y objetificación</w:t>
      </w:r>
    </w:p>
    <w:p w14:paraId="16AE5CB3" w14:textId="77777777" w:rsidR="00764FC9" w:rsidRPr="00764FC9" w:rsidRDefault="00764FC9" w:rsidP="00764FC9">
      <w:pPr>
        <w:spacing w:line="360" w:lineRule="auto"/>
        <w:ind w:firstLine="708"/>
        <w:rPr>
          <w:kern w:val="2"/>
          <w:lang w:val="es-US" w:eastAsia="es-MX"/>
          <w14:ligatures w14:val="standardContextual"/>
        </w:rPr>
      </w:pPr>
      <w:r w:rsidRPr="00764FC9">
        <w:rPr>
          <w:kern w:val="2"/>
          <w:lang w:val="es-US" w:eastAsia="es-MX"/>
          <w14:ligatures w14:val="standardContextual"/>
        </w:rPr>
        <w:t>Esta categoría describe la reducción de la bisexualidad femenina a un objeto de deseo sexual específicamente para la gratificación masculina heterosexual. Se le considera un comportamiento sexual convierten en una fantasía sexual o una invitación implícita a encuentros sexuales, a menudo ignorando la autonomía, los sentimientos y la identidad completa de la mujer bisexual. Este subconjunto se compone de los códigos “propuestas sexuales” y “morbo hacia la bisexualidad” y se observa en la cita a continuación:</w:t>
      </w:r>
    </w:p>
    <w:p w14:paraId="3A26FEB8" w14:textId="77777777" w:rsidR="00764FC9" w:rsidRPr="00764FC9" w:rsidRDefault="00764FC9" w:rsidP="00764FC9">
      <w:pPr>
        <w:spacing w:line="360" w:lineRule="auto"/>
        <w:ind w:left="708"/>
        <w:rPr>
          <w:kern w:val="2"/>
          <w:lang w:val="es-US" w:eastAsia="es-MX"/>
          <w14:ligatures w14:val="standardContextual"/>
        </w:rPr>
      </w:pPr>
      <w:r w:rsidRPr="00764FC9">
        <w:rPr>
          <w:kern w:val="2"/>
          <w:lang w:val="es-US" w:eastAsia="es-MX"/>
          <w14:ligatures w14:val="standardContextual"/>
        </w:rPr>
        <w:t>“</w:t>
      </w:r>
      <w:r w:rsidRPr="00764FC9">
        <w:rPr>
          <w:kern w:val="2"/>
          <w:lang w:val="es-MX" w:eastAsia="es-MX"/>
          <w14:ligatures w14:val="standardContextual"/>
        </w:rPr>
        <w:t>Principalmente al salir con hombres cis-hetero, cuando en la charla surge el tema de mi orientación sexual, llegan a sexualizarme demasiado e insisten en tríos o en verme teniendo sexo con una mujer</w:t>
      </w:r>
      <w:r w:rsidRPr="00764FC9">
        <w:rPr>
          <w:kern w:val="2"/>
          <w:lang w:val="es-US" w:eastAsia="es-MX"/>
          <w14:ligatures w14:val="standardContextual"/>
        </w:rPr>
        <w:t>” - Paula, 24 años, Michoacán.</w:t>
      </w:r>
    </w:p>
    <w:p w14:paraId="05069B75" w14:textId="77777777" w:rsidR="00764FC9" w:rsidRPr="00764FC9" w:rsidRDefault="00764FC9" w:rsidP="00764FC9">
      <w:pPr>
        <w:spacing w:line="360" w:lineRule="auto"/>
        <w:ind w:firstLine="708"/>
        <w:rPr>
          <w:kern w:val="2"/>
          <w:lang w:val="es-MX" w:eastAsia="es-MX"/>
          <w14:ligatures w14:val="standardContextual"/>
        </w:rPr>
      </w:pPr>
      <w:r w:rsidRPr="00764FC9">
        <w:rPr>
          <w:kern w:val="2"/>
          <w:lang w:val="es-US" w:eastAsia="es-MX"/>
          <w14:ligatures w14:val="standardContextual"/>
        </w:rPr>
        <w:t xml:space="preserve">Al respecto, las participantes refieren en gran cantidad que se les ha propuesto tríos, se les ha pedido observarlas tener relaciones sexuales con otra mujer o considerar este tipo de relaciones como </w:t>
      </w:r>
      <w:r w:rsidRPr="00764FC9">
        <w:rPr>
          <w:i/>
          <w:iCs/>
          <w:kern w:val="2"/>
          <w:lang w:val="es-US" w:eastAsia="es-MX"/>
          <w14:ligatures w14:val="standardContextual"/>
        </w:rPr>
        <w:t>sexys</w:t>
      </w:r>
      <w:r w:rsidRPr="00764FC9">
        <w:rPr>
          <w:kern w:val="2"/>
          <w:lang w:val="es-US" w:eastAsia="es-MX"/>
          <w14:ligatures w14:val="standardContextual"/>
        </w:rPr>
        <w:t>.</w:t>
      </w:r>
    </w:p>
    <w:p w14:paraId="69869D56" w14:textId="77777777" w:rsidR="00764FC9" w:rsidRPr="00764FC9" w:rsidRDefault="00764FC9" w:rsidP="00764FC9">
      <w:pPr>
        <w:spacing w:line="360" w:lineRule="auto"/>
        <w:rPr>
          <w:i/>
          <w:iCs/>
          <w:kern w:val="2"/>
          <w:lang w:val="es-US" w:eastAsia="es-MX"/>
          <w14:ligatures w14:val="standardContextual"/>
        </w:rPr>
      </w:pPr>
      <w:r w:rsidRPr="00764FC9">
        <w:rPr>
          <w:i/>
          <w:iCs/>
          <w:kern w:val="2"/>
          <w:lang w:val="es-US" w:eastAsia="es-MX"/>
          <w14:ligatures w14:val="standardContextual"/>
        </w:rPr>
        <w:t>Subconjunto 4: Violencias</w:t>
      </w:r>
    </w:p>
    <w:p w14:paraId="6C4ED12B" w14:textId="77777777" w:rsidR="00764FC9" w:rsidRPr="00764FC9" w:rsidRDefault="00764FC9" w:rsidP="00764FC9">
      <w:pPr>
        <w:spacing w:line="360" w:lineRule="auto"/>
        <w:ind w:firstLine="708"/>
        <w:rPr>
          <w:kern w:val="2"/>
          <w:lang w:val="es-US" w:eastAsia="es-MX"/>
          <w14:ligatures w14:val="standardContextual"/>
        </w:rPr>
      </w:pPr>
      <w:r w:rsidRPr="00764FC9">
        <w:rPr>
          <w:kern w:val="2"/>
          <w:lang w:val="es-US" w:eastAsia="es-MX"/>
          <w14:ligatures w14:val="standardContextual"/>
        </w:rPr>
        <w:t>Esta categoría describe las formas de violencia que las mujeres bisexuales experimentan en sus propias familias, motivadas por la incomprensión, el rechazo o el miedo hacia su orientación sexual. Esta violencia a menudo se disfraza de intentos de "corregir" o "proteger" a la mujer bisexual, reflejando una bifobia internalizada dentro del sistema familiar y una adherencia a normas heteronormativas. Esta categoría está compuesta por los códigos “violencia verbal”, “violencia de control” y “violencia física” y es posible identificarla en la siguiente cita:</w:t>
      </w:r>
    </w:p>
    <w:p w14:paraId="26BB522A" w14:textId="77777777" w:rsidR="00764FC9" w:rsidRPr="00764FC9" w:rsidRDefault="00764FC9" w:rsidP="00764FC9">
      <w:pPr>
        <w:spacing w:line="360" w:lineRule="auto"/>
        <w:ind w:left="708"/>
        <w:rPr>
          <w:kern w:val="2"/>
          <w:lang w:val="es-US" w:eastAsia="es-MX"/>
          <w14:ligatures w14:val="standardContextual"/>
        </w:rPr>
      </w:pPr>
      <w:r w:rsidRPr="00764FC9">
        <w:rPr>
          <w:kern w:val="2"/>
          <w:lang w:val="es-US" w:eastAsia="es-MX"/>
          <w14:ligatures w14:val="standardContextual"/>
        </w:rPr>
        <w:t>“</w:t>
      </w:r>
      <w:r w:rsidRPr="00764FC9">
        <w:rPr>
          <w:kern w:val="2"/>
          <w:lang w:val="es-MX" w:eastAsia="es-MX"/>
          <w14:ligatures w14:val="standardContextual"/>
        </w:rPr>
        <w:t>Mi familia fueron las únicas personas que me discriminaron por no ser heterosexual, negándome permisos para salir, insinuar que no era la persona que conocían, supervisar mi relación con mis amistades, sugerir que empezara a salir con un hombre cada que podían, forzarme a tomar terapia para ‘volver a ser yo’, etc. Mi hermana en una ocasión me insultó específicamente por ser bisexual</w:t>
      </w:r>
      <w:r w:rsidRPr="00764FC9">
        <w:rPr>
          <w:kern w:val="2"/>
          <w:lang w:val="es-US" w:eastAsia="es-MX"/>
          <w14:ligatures w14:val="standardContextual"/>
        </w:rPr>
        <w:t>” - Aurora, 24 años, Veracruz.</w:t>
      </w:r>
    </w:p>
    <w:p w14:paraId="7B4BCC54" w14:textId="77777777" w:rsidR="00764FC9" w:rsidRPr="00764FC9" w:rsidRDefault="00764FC9" w:rsidP="00764FC9">
      <w:pPr>
        <w:spacing w:line="360" w:lineRule="auto"/>
        <w:ind w:firstLine="708"/>
        <w:rPr>
          <w:kern w:val="2"/>
          <w:lang w:val="es-MX" w:eastAsia="es-MX"/>
          <w14:ligatures w14:val="standardContextual"/>
        </w:rPr>
      </w:pPr>
      <w:r w:rsidRPr="00764FC9">
        <w:rPr>
          <w:kern w:val="2"/>
          <w:lang w:val="es-US" w:eastAsia="es-MX"/>
          <w14:ligatures w14:val="standardContextual"/>
        </w:rPr>
        <w:lastRenderedPageBreak/>
        <w:t>Este tipo de violencias fueron mencionadas principalmente en pasado, cercanas a la salida del clóset entre la adolescencia y la juventud, y se expresan en el control de redes sociales, de salidas y de personas con las que la mujer bisexual se relaciona, correrla de la casa, mandarla a terapia y prohibirle hablar del tema con familiares extensos.</w:t>
      </w:r>
    </w:p>
    <w:p w14:paraId="25EA9FC3" w14:textId="77777777" w:rsidR="00764FC9" w:rsidRPr="00764FC9" w:rsidRDefault="00764FC9" w:rsidP="00764FC9">
      <w:pPr>
        <w:spacing w:line="360" w:lineRule="auto"/>
        <w:rPr>
          <w:b/>
          <w:bCs/>
          <w:i/>
          <w:iCs/>
          <w:kern w:val="2"/>
          <w:lang w:val="es-US" w:eastAsia="es-MX"/>
          <w14:ligatures w14:val="standardContextual"/>
        </w:rPr>
      </w:pPr>
      <w:r w:rsidRPr="00764FC9">
        <w:rPr>
          <w:b/>
          <w:bCs/>
          <w:i/>
          <w:iCs/>
          <w:kern w:val="2"/>
          <w:lang w:val="es-US" w:eastAsia="es-MX"/>
          <w14:ligatures w14:val="standardContextual"/>
        </w:rPr>
        <w:t>Código emergente: Anticipación de la binegatividad</w:t>
      </w:r>
    </w:p>
    <w:p w14:paraId="34FFCF63" w14:textId="77777777" w:rsidR="00764FC9" w:rsidRPr="00764FC9" w:rsidRDefault="00764FC9" w:rsidP="00764FC9">
      <w:pPr>
        <w:spacing w:line="360" w:lineRule="auto"/>
        <w:ind w:firstLine="708"/>
        <w:rPr>
          <w:kern w:val="2"/>
          <w:lang w:val="es-US" w:eastAsia="es-MX"/>
          <w14:ligatures w14:val="standardContextual"/>
        </w:rPr>
      </w:pPr>
      <w:r w:rsidRPr="00764FC9">
        <w:rPr>
          <w:kern w:val="2"/>
          <w:lang w:val="es-US" w:eastAsia="es-MX"/>
          <w14:ligatures w14:val="standardContextual"/>
        </w:rPr>
        <w:t>Sin embargo, aunado a lo anterior, las participantes también comentaron en algunas de sus intervenciones el desarrollo de estrategias frente a las vivencias de binegatividad, las cuales van desde estar vigilante de cada contexto y evaluar la apertura del mismo, ocultar su bisexualidad, evitar el tema o lo abordarlo con cautela, hasta el nombrarse lesbiana o heterosexual de forma intencional. Lo anterior por el temor que desarrollan a partir de experiencias previas que ellas mismas han vivido o que han observado en personas cercanas, en donde les asusta ser rechazadas, alejadas o violentadas. Este código se ejemplifica con la siguiente cita:</w:t>
      </w:r>
    </w:p>
    <w:p w14:paraId="27C0E96C" w14:textId="60D4AB23" w:rsidR="00764FC9" w:rsidRPr="00587332" w:rsidRDefault="00764FC9" w:rsidP="00587332">
      <w:pPr>
        <w:spacing w:line="360" w:lineRule="auto"/>
        <w:ind w:left="708"/>
        <w:rPr>
          <w:kern w:val="2"/>
          <w:lang w:val="es-US" w:eastAsia="es-MX"/>
          <w14:ligatures w14:val="standardContextual"/>
        </w:rPr>
      </w:pPr>
      <w:r w:rsidRPr="00764FC9">
        <w:rPr>
          <w:kern w:val="2"/>
          <w:lang w:val="es-US" w:eastAsia="es-MX"/>
          <w14:ligatures w14:val="standardContextual"/>
        </w:rPr>
        <w:t>“</w:t>
      </w:r>
      <w:r w:rsidRPr="00764FC9">
        <w:rPr>
          <w:kern w:val="2"/>
          <w:lang w:val="es-MX" w:eastAsia="es-MX"/>
          <w14:ligatures w14:val="standardContextual"/>
        </w:rPr>
        <w:t>Existe un estigma entorno a las mujeres bisexuales, donde se piensa que es una moda, y a partir de esto, no me he sentido con la capacidad de nombrarme como bisexual por miedo al rechazo. He tenido novia y estando con ella, me era más fácil nombrarme como lesbiana</w:t>
      </w:r>
      <w:r w:rsidRPr="00764FC9">
        <w:rPr>
          <w:kern w:val="2"/>
          <w:lang w:val="es-US" w:eastAsia="es-MX"/>
          <w14:ligatures w14:val="standardContextual"/>
        </w:rPr>
        <w:t>” - Jimena, 21 años, Puebla.</w:t>
      </w:r>
    </w:p>
    <w:p w14:paraId="1D9A4189" w14:textId="2EB66EAF" w:rsidR="00200A0D" w:rsidRDefault="00000000">
      <w:pPr>
        <w:pBdr>
          <w:top w:val="nil"/>
          <w:left w:val="nil"/>
          <w:bottom w:val="nil"/>
          <w:right w:val="nil"/>
          <w:between w:val="nil"/>
        </w:pBdr>
        <w:jc w:val="center"/>
        <w:rPr>
          <w:b/>
          <w:color w:val="000000"/>
        </w:rPr>
      </w:pPr>
      <w:r>
        <w:rPr>
          <w:b/>
          <w:color w:val="000000"/>
        </w:rPr>
        <w:t>Discusión</w:t>
      </w:r>
    </w:p>
    <w:p w14:paraId="25193EBB" w14:textId="77777777" w:rsidR="00587332" w:rsidRPr="00587332" w:rsidRDefault="00587332" w:rsidP="00587332">
      <w:pPr>
        <w:spacing w:line="360" w:lineRule="auto"/>
        <w:ind w:firstLine="708"/>
        <w:rPr>
          <w:kern w:val="2"/>
          <w:lang w:val="es-US" w:eastAsia="es-MX"/>
          <w14:ligatures w14:val="standardContextual"/>
        </w:rPr>
      </w:pPr>
      <w:r w:rsidRPr="00587332">
        <w:rPr>
          <w:kern w:val="2"/>
          <w:lang w:val="es-US" w:eastAsia="es-MX"/>
          <w14:ligatures w14:val="standardContextual"/>
        </w:rPr>
        <w:t>A partir de los resultados, se observa que existen prejuicios y actos discriminatorios específicamente relacionados a la bisexualidad que componen la binegatividad en un contexto mexicano, los cuales se presentan en contextos microsociales principalmente asociados con la familia, la escuela, el trabajo, las relaciones sexoafectivas, y las amistades.</w:t>
      </w:r>
    </w:p>
    <w:p w14:paraId="548841E2" w14:textId="3B2640DA" w:rsidR="00587332" w:rsidRPr="00587332" w:rsidRDefault="00530C0B" w:rsidP="00587332">
      <w:pPr>
        <w:spacing w:line="360" w:lineRule="auto"/>
        <w:ind w:firstLine="708"/>
        <w:rPr>
          <w:kern w:val="2"/>
          <w:lang w:val="es-US" w:eastAsia="es-MX"/>
          <w14:ligatures w14:val="standardContextual"/>
        </w:rPr>
      </w:pPr>
      <w:r>
        <w:rPr>
          <w:kern w:val="2"/>
          <w:lang w:val="es-US" w:eastAsia="es-MX"/>
          <w14:ligatures w14:val="standardContextual"/>
        </w:rPr>
        <w:t>U</w:t>
      </w:r>
      <w:r w:rsidR="00587332" w:rsidRPr="00587332">
        <w:rPr>
          <w:kern w:val="2"/>
          <w:lang w:val="es-US" w:eastAsia="es-MX"/>
          <w14:ligatures w14:val="standardContextual"/>
        </w:rPr>
        <w:t xml:space="preserve">na característica de la binegatividad encontrada en este estudio se relaciona con que el empleo de los prejuicios y la discriminación tiene como objetivo eliminar la bisexualidad y los actos relacionados a ella a partir de distintos medios: en el caso de los prejuicios, estos son usados para invalidar, desestimar y ridiculizar a través de señalamientos verbales, mientras que la discriminación tiene la función de coaccionar, obligar o insistir para el ocultamiento, negación o eliminación de la bisexualidad. En este sentido, la invalidación como forma de discriminación ha sido puntualizada como especialmente relevante en identidades fronterizas o identidades que desafían las construcciones binarias, tales como las identidades multirraciales, las identidades de género no binarias y la misma bisexualidad, ya que sus características son difíciles de concebir y entender para las personas fuera del grupo, por lo que generan una sensación de confusión que es proyectada a través de actos de desestimación, </w:t>
      </w:r>
      <w:r w:rsidR="00587332" w:rsidRPr="00587332">
        <w:rPr>
          <w:kern w:val="2"/>
          <w:lang w:val="es-US" w:eastAsia="es-MX"/>
          <w14:ligatures w14:val="standardContextual"/>
        </w:rPr>
        <w:lastRenderedPageBreak/>
        <w:t>causando incertidumbre, inseguridad y confusión en las personas que reciben la invalidación (Feinstein et al., 2019).</w:t>
      </w:r>
    </w:p>
    <w:p w14:paraId="0A544C8D" w14:textId="77777777" w:rsidR="00587332" w:rsidRPr="00587332" w:rsidRDefault="00587332" w:rsidP="00587332">
      <w:pPr>
        <w:spacing w:line="360" w:lineRule="auto"/>
        <w:ind w:firstLine="360"/>
        <w:rPr>
          <w:kern w:val="2"/>
          <w:lang w:val="es-US" w:eastAsia="es-MX"/>
          <w14:ligatures w14:val="standardContextual"/>
        </w:rPr>
      </w:pPr>
      <w:r w:rsidRPr="00587332">
        <w:rPr>
          <w:kern w:val="2"/>
          <w:lang w:val="es-US" w:eastAsia="es-MX"/>
          <w14:ligatures w14:val="standardContextual"/>
        </w:rPr>
        <w:t xml:space="preserve">Al respecto, esta intención está asociada con el borrado bisexual, el cual está definido como la tendencia a cuestionar o incluso negar la existencia de la bisexualidad (Isolani et al., 2024), en donde se ha señalado que la construcción social binaria de la sexualidad, también denominada monosexismo o mononormatividad, establece que las personas solamente pueden y deben sienten atraídas por el mismo género o por el género opuesto, por lo que toda interacción diferente debe ser borrada y estigmatizada para eventualmente ser eliminada (Kwok et al., 2020). </w:t>
      </w:r>
    </w:p>
    <w:p w14:paraId="5F0981B5" w14:textId="77777777" w:rsidR="00587332" w:rsidRPr="00587332" w:rsidRDefault="00587332" w:rsidP="00587332">
      <w:pPr>
        <w:spacing w:line="360" w:lineRule="auto"/>
        <w:ind w:firstLine="360"/>
        <w:rPr>
          <w:kern w:val="2"/>
          <w:lang w:val="es-US" w:eastAsia="es-MX"/>
          <w14:ligatures w14:val="standardContextual"/>
        </w:rPr>
      </w:pPr>
      <w:r w:rsidRPr="00587332">
        <w:rPr>
          <w:kern w:val="2"/>
          <w:lang w:val="es-US" w:eastAsia="es-MX"/>
          <w14:ligatures w14:val="standardContextual"/>
        </w:rPr>
        <w:t>En este sentido, una de las características del borrado es que se lleva a cabo principalmente a través del re-etiquetar a las personas bisexuales como gays, lesbianas o heterosexuales, dependiendo del género que tiene la pareja, lo que aumenta el estrés, el rechazo, los desafíos y la invisibilización que viven (Vencill et al., 2018), al borrar o ignorar la identidad bisexual constantemente y decirles que están en negación sobre aceptar que su orientación sexual, que es temporal y que en realidad son lesbianas o heterosexuales y lo tendrán que aceptar en algún momento (Isolani et al., 2024). En el caso de las mujeres bisexuales de este estudio, se agregan aspectos de promiscuidad y sexualización para invalidar a esta orientación sexual, ya que se les adjudica incapacidad de establecer vínculos estables y afectivos, además de considerarlas desviadas y relacionarlas con la enfermedad y el pecado, todo con la finalidad de señalarles una conducta considerada incorrecta y obligarles a corregirla.</w:t>
      </w:r>
    </w:p>
    <w:p w14:paraId="0AC1D759" w14:textId="77777777" w:rsidR="00587332" w:rsidRPr="00587332" w:rsidRDefault="00587332" w:rsidP="00587332">
      <w:pPr>
        <w:spacing w:line="360" w:lineRule="auto"/>
        <w:ind w:firstLine="708"/>
        <w:rPr>
          <w:kern w:val="2"/>
          <w:lang w:val="es-US" w:eastAsia="es-MX"/>
          <w14:ligatures w14:val="standardContextual"/>
        </w:rPr>
      </w:pPr>
      <w:r w:rsidRPr="00587332">
        <w:rPr>
          <w:kern w:val="2"/>
          <w:lang w:val="es-US" w:eastAsia="es-MX"/>
          <w14:ligatures w14:val="standardContextual"/>
        </w:rPr>
        <w:t>Específicamente en la concurrencia de los contextos en los que se desenvuelven las mujeres bisexuales, se observa que l</w:t>
      </w:r>
      <w:r w:rsidRPr="00587332">
        <w:rPr>
          <w:kern w:val="2"/>
          <w:lang w:val="es-MX" w:eastAsia="es-MX"/>
          <w14:ligatures w14:val="standardContextual"/>
        </w:rPr>
        <w:t xml:space="preserve">a familia es uno de los principales espacios en los que se presentan experiencias de binegatividad, lo que concuerda con lo señalado en investigaciones realizadas en contextos angloparlantes, en donde se ha señalado como principales componentes del rechazo la presencia de prejuicios que consideran a la bisexualidad como una orientación ilegítima y que incluye promiscuidad o irresponsabilidad emocional (Todd et al., 2016). Por un lado, las familias viven un periodo de duelo por la pérdida de la identidad heterosexual esperada, mientras que por el otro, la ilegitimidad que le atribuyen a la bisexualidad puede reforzarles la idea de que se trata de una etapa de exploración y que la identidad cambiará o se definirá en el futuro, probablemente al tener una relación con el sexo contrario, por lo que no se necesita hacer un esfuerzo por entenderla e integrarla en la dinámica familiar (Scherrer et al., 2015). En la presente investigación, este rechazo se expresa principalmente en la evitación del tema, los prejuicios de desestimación y el control de las </w:t>
      </w:r>
      <w:r w:rsidRPr="00587332">
        <w:rPr>
          <w:kern w:val="2"/>
          <w:lang w:val="es-MX" w:eastAsia="es-MX"/>
          <w14:ligatures w14:val="standardContextual"/>
        </w:rPr>
        <w:lastRenderedPageBreak/>
        <w:t>mujeres bisexuales, lo que puede tratarse de un mecanismo para aplazar el proceso de afrontamiento y aceptación de la sexualidad de sus hijas.</w:t>
      </w:r>
    </w:p>
    <w:p w14:paraId="496F1599" w14:textId="77777777" w:rsidR="00587332" w:rsidRPr="00587332" w:rsidRDefault="00587332" w:rsidP="00587332">
      <w:pPr>
        <w:spacing w:line="360" w:lineRule="auto"/>
        <w:ind w:firstLine="360"/>
        <w:rPr>
          <w:kern w:val="2"/>
          <w:lang w:val="es-US" w:eastAsia="es-MX"/>
          <w14:ligatures w14:val="standardContextual"/>
        </w:rPr>
      </w:pPr>
      <w:r w:rsidRPr="00587332">
        <w:rPr>
          <w:kern w:val="2"/>
          <w:lang w:val="es-US" w:eastAsia="es-MX"/>
          <w14:ligatures w14:val="standardContextual"/>
        </w:rPr>
        <w:t>En este sentido, la falta de apoyo familiar puede representar una dificultad para el bienestar de las mujeres bisexuales, pues se ha señalado que su presencia contribuye a la aceptación de sí misma y a la construcción de una identificación positiva (Roberts et al., 2015). Además, si por esta falta de apoyo las personas bisexuales deciden no expresarse o al final usar otra etiqueta, se pueden perpetuar estereotipos negativos sobre la bisexualidad y la invisibilidad de la experiencia bisexual (Todd et al., 2016).</w:t>
      </w:r>
    </w:p>
    <w:p w14:paraId="459C6520" w14:textId="77777777" w:rsidR="00587332" w:rsidRPr="00587332" w:rsidRDefault="00587332" w:rsidP="00587332">
      <w:pPr>
        <w:spacing w:line="360" w:lineRule="auto"/>
        <w:ind w:firstLine="360"/>
        <w:rPr>
          <w:kern w:val="2"/>
          <w:lang w:val="es-US" w:eastAsia="es-MX"/>
          <w14:ligatures w14:val="standardContextual"/>
        </w:rPr>
      </w:pPr>
      <w:r w:rsidRPr="00587332">
        <w:rPr>
          <w:kern w:val="2"/>
          <w:lang w:val="es-US" w:eastAsia="es-MX"/>
          <w14:ligatures w14:val="standardContextual"/>
        </w:rPr>
        <w:t>Por otro lado, se observa una presencia importante de prejuicios de infidelidad y desconfianza y acciones de evitación y rechazo en el establecimiento de las relaciones sexoafectivas, específicamente con hombres heterosexuales y con mujeres lesbianas al enterarse de la bisexualidad. En este sentido, DeCapua (2017) señala que este tipo de rechazo surge a medida que aumenta el nivel de compromiso en una relación debido a la idea de que las personas bisexuales son desleales, están confundidas y preferirán al sexo contrario, por lo que son poco confiables y no son aptas para relaciones con un nivel de compromiso alto. Al respecto, es importante mencionar que el nivel de aceptación de la pareja tiene un impacto importante en el bienestar de las mujeres bisexuales, ya que, cuando invisibilizan e ignoran su orientación sexual y no comprenden las problemáticas asociadas a la identidad bisexual, aunado al borrado, los prejuicios y las violencias, aumenta el estrés minoritario y, por tanto, las afecciones a la salud física y mental (Vencill et al., 2018), por lo que su atención y prevención resultan prioritarias. Además, en el establecimiento de estas relaciones, al exterior se borra a la bisexualidad al percibir a las mujeres como heterosexuales cuando están en una relación con un hombre y como lesbianas si están con otra mujer (Isolani et al., 2024), siendo la bisexualidad una opción invisible.</w:t>
      </w:r>
    </w:p>
    <w:p w14:paraId="1BE04E99" w14:textId="77777777" w:rsidR="00587332" w:rsidRPr="00587332" w:rsidRDefault="00587332" w:rsidP="00587332">
      <w:pPr>
        <w:spacing w:line="360" w:lineRule="auto"/>
        <w:ind w:firstLine="360"/>
        <w:rPr>
          <w:kern w:val="2"/>
          <w:lang w:val="es-US" w:eastAsia="es-MX"/>
          <w14:ligatures w14:val="standardContextual"/>
        </w:rPr>
      </w:pPr>
      <w:r w:rsidRPr="00587332">
        <w:rPr>
          <w:kern w:val="2"/>
          <w:lang w:val="es-US" w:eastAsia="es-MX"/>
          <w14:ligatures w14:val="standardContextual"/>
        </w:rPr>
        <w:t xml:space="preserve">Sin embargo, a pesar de estas similitudes, se presentan condiciones específicas dependiendo del sexo de la pareja. A partir de los resultados, se identifica que, cuando las mujeres bisexuales interactúan con hombres heterosexuales, reciben actos de sexualización, fetichización y objetificación, En este sentido, coincide con reportes anteriores en donde se señala que ellos consideran que los cuerpos de las mujeres bisexuales son para el deseo sexual masculino, por lo que se suelen apropiar de su sexualidad al hipersexualizarlas y ver a su orientación sexual como un beneficio o como un motivo de orgullo (DeCapua, 2017), ya que proyectan sus propios deseos y fantasías en las mujeres bisexuales viéndolas con la idea de una sexualidad abierta o sin límites, por lo que consideran que podrán explorar diferentes tipos de encuentros sexuales. </w:t>
      </w:r>
    </w:p>
    <w:p w14:paraId="0734127C" w14:textId="77777777" w:rsidR="00587332" w:rsidRPr="00587332" w:rsidRDefault="00587332" w:rsidP="00587332">
      <w:pPr>
        <w:spacing w:line="360" w:lineRule="auto"/>
        <w:ind w:firstLine="360"/>
        <w:rPr>
          <w:kern w:val="2"/>
          <w:lang w:val="es-US" w:eastAsia="es-MX"/>
          <w14:ligatures w14:val="standardContextual"/>
        </w:rPr>
      </w:pPr>
      <w:r w:rsidRPr="00587332">
        <w:rPr>
          <w:kern w:val="2"/>
          <w:lang w:val="es-US" w:eastAsia="es-MX"/>
          <w14:ligatures w14:val="standardContextual"/>
        </w:rPr>
        <w:lastRenderedPageBreak/>
        <w:t>Finalmente, es posible la influencia de la pornografía en la alimentación de estas fantasías pues, como productora y difusora de representaciones sexuales, juega un papel significativo en la construcción de imaginarios y en la perpetuación de ciertos estereotipos. En este contexto, la representación de la mujer es constantemente deshumanizada y despojada de su individualidad, expuesta como producto de consumo y elegida desde características corporales específicas que van dirigidas al público masculino (del Barrio-Álvarez &amp; Garrosa, 2015), lo que también está presente en las categorías disponibles relacionadas con el sexo lésbico, entre mujeres y tríos conformados por un hombre y dos mujeres.</w:t>
      </w:r>
    </w:p>
    <w:p w14:paraId="73B5DCC9" w14:textId="77777777" w:rsidR="00587332" w:rsidRPr="00587332" w:rsidRDefault="00587332" w:rsidP="00587332">
      <w:pPr>
        <w:spacing w:line="360" w:lineRule="auto"/>
        <w:ind w:firstLine="360"/>
        <w:rPr>
          <w:kern w:val="2"/>
          <w:lang w:val="es-US" w:eastAsia="es-MX"/>
          <w14:ligatures w14:val="standardContextual"/>
        </w:rPr>
      </w:pPr>
      <w:r w:rsidRPr="00587332">
        <w:rPr>
          <w:kern w:val="2"/>
          <w:lang w:val="es-US" w:eastAsia="es-MX"/>
          <w14:ligatures w14:val="standardContextual"/>
        </w:rPr>
        <w:t xml:space="preserve">Por su parte, en el establecimiento de relaciones sexoafectivas con mujeres lesbianas, se identificó que mantienen prejuicios asociados a la confusión, la indecisión y el miedo a nombrarse lesbianas. Al respecto, </w:t>
      </w:r>
      <w:r w:rsidRPr="00AC7BE0">
        <w:rPr>
          <w:kern w:val="2"/>
          <w:lang w:val="es-US" w:eastAsia="es-MX"/>
          <w14:ligatures w14:val="standardContextual"/>
        </w:rPr>
        <w:t xml:space="preserve">Bostwick y Hequembourg </w:t>
      </w:r>
      <w:r w:rsidRPr="00587332">
        <w:rPr>
          <w:kern w:val="2"/>
          <w:lang w:val="es-US" w:eastAsia="es-MX"/>
          <w14:ligatures w14:val="standardContextual"/>
        </w:rPr>
        <w:t>(2014) mencionan que este tipo de actitudes están asociadas con el pedirles que cambien su etiqueta identitaria para reflejar la combinación de género de su relación actual o porque su pareja se oponía a salir con alguien que se identificaba como bisexual. En este sentido, Xavier y colaboradores (2021) apuntan que es posible que las mujeres lesbianas estén preocupadas porque se les abandone por un hombre debido a los privilegios que se le otorga a las personas que son vistas como heterosexuales. DeCapua (2017) puntualiza que esto hace referencia la adjudicación de un privilegio heterosexual, en donde se considera que las mujeres bisexuales no tienen la voluntad de abrazar una vida gay pública al declararse lesbianas por no querer perder el trato y la aceptación que reciben las mujeres heterosexuales.</w:t>
      </w:r>
    </w:p>
    <w:p w14:paraId="22E3FEA3" w14:textId="77777777" w:rsidR="00587332" w:rsidRPr="00587332" w:rsidRDefault="00587332" w:rsidP="00587332">
      <w:pPr>
        <w:spacing w:line="360" w:lineRule="auto"/>
        <w:ind w:firstLine="360"/>
        <w:rPr>
          <w:kern w:val="2"/>
          <w:lang w:val="es-US" w:eastAsia="es-MX"/>
          <w14:ligatures w14:val="standardContextual"/>
        </w:rPr>
      </w:pPr>
      <w:r w:rsidRPr="00587332">
        <w:rPr>
          <w:kern w:val="2"/>
          <w:lang w:val="es-US" w:eastAsia="es-MX"/>
          <w14:ligatures w14:val="standardContextual"/>
        </w:rPr>
        <w:t>Además, Salinas (2022) señala que se piensa que las mujeres bisexuales no se nombran lesbianas para seguir complaciendo al patriarcado y priorizar el bienestar y la convivencia con los hombres, por lo que, al mantener y permitir vínculos románticos y sexuales con ellos, se les considera traidoras. Aunque, en contraste, en su investigación la autora puntualiza que las mujeres bisexuales han mencionado que no existe ninguna ventaja en el hecho de verse obligada a callar para evadir violencias, tanto desde la sociedad como dentro de la diversidad sexual como comunidad.</w:t>
      </w:r>
    </w:p>
    <w:p w14:paraId="1FAC712F" w14:textId="77777777" w:rsidR="00587332" w:rsidRPr="00587332" w:rsidRDefault="00587332" w:rsidP="00587332">
      <w:pPr>
        <w:spacing w:line="360" w:lineRule="auto"/>
        <w:ind w:firstLine="708"/>
        <w:rPr>
          <w:kern w:val="2"/>
          <w:lang w:val="es-US" w:eastAsia="es-MX"/>
          <w14:ligatures w14:val="standardContextual"/>
        </w:rPr>
      </w:pPr>
      <w:r w:rsidRPr="00587332">
        <w:rPr>
          <w:kern w:val="2"/>
          <w:lang w:val="es-US" w:eastAsia="es-MX"/>
          <w14:ligatures w14:val="standardContextual"/>
        </w:rPr>
        <w:t xml:space="preserve">Finalmente, con respecto al código emergente encontrado, referente a la anticipación de la binegatividad y el empleo de estrategias para evitar, prevenir o atravesar el rechazo, se ha identificado que se trata de una consecuencia común de las experiencias de discriminación, pues en otras investigaciones se ha mencionado que las personas bisexuales deciden no salir del clóset, usar la etiqueta de lesbiana y sólo hacer pública su orientación al salir con otra mujer, especialmente con la familia (Scherrer et al., 2015; Wandrey et al., 2015), buscar relaciones con personas del otro sexo para evitar la hostilidad o la invalidación de sus </w:t>
      </w:r>
      <w:r w:rsidRPr="00587332">
        <w:rPr>
          <w:kern w:val="2"/>
          <w:lang w:val="es-US" w:eastAsia="es-MX"/>
          <w14:ligatures w14:val="standardContextual"/>
        </w:rPr>
        <w:lastRenderedPageBreak/>
        <w:t>familiares (Todd et al., 2016), evaluar si cada lugar, tanto heterosexual como homosexual y lésbico, comprenden y aceptan la bisexualidad antes de salir del clóset, además de hacerlo de forma implícita con una indirecta o un comentario (Wandrey et al., 2015), y, finalmente, mencionar la orientación sexual desde el inicio para prevenir problemas futuros, aún con el nerviosismo y la expectativa de reacciones negativas (DeCapua, 2017). Además, es posible el ocultamiento dentro de la relación para que su misma pareja no la rechace, pero también al exterior, para protegerse del estrés causado por las actitudes negativas hacia la bisexualidad (Isolani et al., 2024).</w:t>
      </w:r>
    </w:p>
    <w:p w14:paraId="357ED3DE" w14:textId="77777777" w:rsidR="00587332" w:rsidRPr="00587332" w:rsidRDefault="00587332" w:rsidP="00587332">
      <w:pPr>
        <w:spacing w:line="360" w:lineRule="auto"/>
        <w:ind w:firstLine="360"/>
        <w:rPr>
          <w:i/>
          <w:iCs/>
          <w:kern w:val="2"/>
          <w:lang w:val="es-MX" w:eastAsia="es-MX"/>
          <w14:ligatures w14:val="standardContextual"/>
        </w:rPr>
      </w:pPr>
      <w:r w:rsidRPr="00587332">
        <w:rPr>
          <w:i/>
          <w:iCs/>
          <w:kern w:val="2"/>
          <w:lang w:val="es-MX" w:eastAsia="es-MX"/>
          <w14:ligatures w14:val="standardContextual"/>
        </w:rPr>
        <w:t>Conclusiones y alcances</w:t>
      </w:r>
    </w:p>
    <w:p w14:paraId="5D92C38A" w14:textId="77777777" w:rsidR="00587332" w:rsidRPr="00587332" w:rsidRDefault="00587332" w:rsidP="00587332">
      <w:pPr>
        <w:spacing w:line="360" w:lineRule="auto"/>
        <w:ind w:firstLine="360"/>
        <w:rPr>
          <w:kern w:val="2"/>
          <w:lang w:val="es-MX" w:eastAsia="es-MX"/>
          <w14:ligatures w14:val="standardContextual"/>
        </w:rPr>
      </w:pPr>
      <w:r w:rsidRPr="00587332">
        <w:rPr>
          <w:kern w:val="2"/>
          <w:lang w:val="es-MX" w:eastAsia="es-MX"/>
          <w14:ligatures w14:val="standardContextual"/>
        </w:rPr>
        <w:t>Los hallazgos de esta investigación confirman que la binegatividad se manifiesta de forma compleja y específica en la vida de las mujeres bisexuales, con la finalidad de ignorar, desestimar, negar y eliminar su bisexualidad. Además, presenta componentes específicos que no se encuentran con frecuencia en hombres bisexuales: la fetichización, objetificación y la oferta e insistencia de actos polisexuales. Finalmente, se observa a la familia como uno de los contextos en donde se encuentran una mayor cantidad de prejuicios y de actos de discriminación, seguido de las relaciones sexoafectivas con mujeres lesbianas y hombres heterosexuales.</w:t>
      </w:r>
    </w:p>
    <w:p w14:paraId="62646171" w14:textId="7D866B61" w:rsidR="00587332" w:rsidRPr="00587332" w:rsidRDefault="00587332" w:rsidP="00587332">
      <w:pPr>
        <w:spacing w:line="360" w:lineRule="auto"/>
        <w:ind w:firstLine="360"/>
        <w:rPr>
          <w:kern w:val="2"/>
          <w:lang w:val="es-MX" w:eastAsia="es-MX"/>
          <w14:ligatures w14:val="standardContextual"/>
        </w:rPr>
      </w:pPr>
      <w:r w:rsidRPr="00587332">
        <w:rPr>
          <w:kern w:val="2"/>
          <w:lang w:val="es-MX" w:eastAsia="es-MX"/>
          <w14:ligatures w14:val="standardContextual"/>
        </w:rPr>
        <w:t xml:space="preserve">Este estudio pretende contribuir significativamente a la literatura sobre la bisexualidad al ofrecer una comprensión profunda de las experiencias vividas por mujeres bisexuales en México. Los resultados enriquecen la conceptualización de la binegatividad al </w:t>
      </w:r>
      <w:r w:rsidR="003D3F44">
        <w:rPr>
          <w:kern w:val="2"/>
          <w:lang w:val="es-MX" w:eastAsia="es-MX"/>
          <w14:ligatures w14:val="standardContextual"/>
        </w:rPr>
        <w:t>ejemplificar la diferencia</w:t>
      </w:r>
      <w:r w:rsidRPr="00587332">
        <w:rPr>
          <w:kern w:val="2"/>
          <w:lang w:val="es-MX" w:eastAsia="es-MX"/>
          <w14:ligatures w14:val="standardContextual"/>
        </w:rPr>
        <w:t xml:space="preserve"> entre</w:t>
      </w:r>
      <w:r w:rsidR="003D3F44">
        <w:rPr>
          <w:kern w:val="2"/>
          <w:lang w:val="es-MX" w:eastAsia="es-MX"/>
          <w14:ligatures w14:val="standardContextual"/>
        </w:rPr>
        <w:t xml:space="preserve"> la presencia de</w:t>
      </w:r>
      <w:r w:rsidRPr="00587332">
        <w:rPr>
          <w:kern w:val="2"/>
          <w:lang w:val="es-MX" w:eastAsia="es-MX"/>
          <w14:ligatures w14:val="standardContextual"/>
        </w:rPr>
        <w:t xml:space="preserve"> prejuicios y actos discriminatorios, y espera proporcionar información para el diseño de estrategias de </w:t>
      </w:r>
      <w:r w:rsidR="003D3F44">
        <w:rPr>
          <w:kern w:val="2"/>
          <w:lang w:val="es-MX" w:eastAsia="es-MX"/>
          <w14:ligatures w14:val="standardContextual"/>
        </w:rPr>
        <w:t>intervención</w:t>
      </w:r>
      <w:r w:rsidRPr="00587332">
        <w:rPr>
          <w:kern w:val="2"/>
          <w:lang w:val="es-MX" w:eastAsia="es-MX"/>
          <w14:ligatures w14:val="standardContextual"/>
        </w:rPr>
        <w:t xml:space="preserve"> y concientización dirigidos a familias y </w:t>
      </w:r>
      <w:r w:rsidR="003D3F44">
        <w:rPr>
          <w:kern w:val="2"/>
          <w:lang w:val="es-MX" w:eastAsia="es-MX"/>
          <w14:ligatures w14:val="standardContextual"/>
        </w:rPr>
        <w:t xml:space="preserve">distintas </w:t>
      </w:r>
      <w:r w:rsidRPr="00587332">
        <w:rPr>
          <w:kern w:val="2"/>
          <w:lang w:val="es-MX" w:eastAsia="es-MX"/>
          <w14:ligatures w14:val="standardContextual"/>
        </w:rPr>
        <w:t>comunidades</w:t>
      </w:r>
      <w:r w:rsidR="003D3F44">
        <w:rPr>
          <w:kern w:val="2"/>
          <w:lang w:val="es-MX" w:eastAsia="es-MX"/>
          <w14:ligatures w14:val="standardContextual"/>
        </w:rPr>
        <w:t xml:space="preserve"> acerca de esta problemática</w:t>
      </w:r>
      <w:r w:rsidRPr="00587332">
        <w:rPr>
          <w:kern w:val="2"/>
          <w:lang w:val="es-MX" w:eastAsia="es-MX"/>
          <w14:ligatures w14:val="standardContextual"/>
        </w:rPr>
        <w:t>.</w:t>
      </w:r>
    </w:p>
    <w:p w14:paraId="3FFB23DD" w14:textId="77777777" w:rsidR="00587332" w:rsidRPr="00587332" w:rsidRDefault="00587332" w:rsidP="00587332">
      <w:pPr>
        <w:spacing w:line="360" w:lineRule="auto"/>
        <w:ind w:firstLine="360"/>
        <w:rPr>
          <w:i/>
          <w:iCs/>
          <w:kern w:val="2"/>
          <w:lang w:val="es-MX" w:eastAsia="es-MX"/>
          <w14:ligatures w14:val="standardContextual"/>
        </w:rPr>
      </w:pPr>
      <w:r w:rsidRPr="00587332">
        <w:rPr>
          <w:i/>
          <w:iCs/>
          <w:kern w:val="2"/>
          <w:lang w:val="es-MX" w:eastAsia="es-MX"/>
          <w14:ligatures w14:val="standardContextual"/>
        </w:rPr>
        <w:t>Limitaciones y futuras líneas de investigación</w:t>
      </w:r>
    </w:p>
    <w:p w14:paraId="209B99C6" w14:textId="77777777" w:rsidR="00587332" w:rsidRPr="00587332" w:rsidRDefault="00587332" w:rsidP="00587332">
      <w:pPr>
        <w:spacing w:line="360" w:lineRule="auto"/>
        <w:ind w:firstLine="360"/>
        <w:rPr>
          <w:kern w:val="2"/>
          <w:lang w:val="es-MX" w:eastAsia="es-MX"/>
          <w14:ligatures w14:val="standardContextual"/>
        </w:rPr>
      </w:pPr>
      <w:r w:rsidRPr="00587332">
        <w:rPr>
          <w:kern w:val="2"/>
          <w:lang w:val="es-MX" w:eastAsia="es-MX"/>
          <w14:ligatures w14:val="standardContextual"/>
        </w:rPr>
        <w:t xml:space="preserve">Debido a la naturaleza de la metodología utilizada en este estudio, aunque se ofrece una comprensión profunda de las experiencias de binegatividad, los resultados no son generalizables. Por otro lado, </w:t>
      </w:r>
      <w:r w:rsidRPr="00587332">
        <w:rPr>
          <w:kern w:val="2"/>
          <w:lang w:val="es-US" w:eastAsia="es-MX"/>
          <w14:ligatures w14:val="standardContextual"/>
        </w:rPr>
        <w:t xml:space="preserve">la muestra de este estudio estuvo compuesta por 153 mujeres mexicanas, lo cual, si bien adecuado para la profundidad cualitativa, limita la diversidad de experiencias dentro de la población bisexual femenina de México. </w:t>
      </w:r>
      <w:r w:rsidRPr="00587332">
        <w:rPr>
          <w:kern w:val="2"/>
          <w:lang w:val="es-MX" w:eastAsia="es-MX"/>
          <w14:ligatures w14:val="standardContextual"/>
        </w:rPr>
        <w:t>Por lo tanto, sería necesario la integración de esfuerzos cuantitativos relacionados con la construcción de instrumentos que midan este fenómeno específicamente en mujeres y que sea aplicado a una población representativa.</w:t>
      </w:r>
    </w:p>
    <w:p w14:paraId="0C66F528" w14:textId="77777777" w:rsidR="00587332" w:rsidRPr="00587332" w:rsidRDefault="00587332" w:rsidP="00587332">
      <w:pPr>
        <w:spacing w:line="360" w:lineRule="auto"/>
        <w:ind w:firstLine="360"/>
        <w:rPr>
          <w:kern w:val="2"/>
          <w:lang w:val="es-US" w:eastAsia="es-MX"/>
          <w14:ligatures w14:val="standardContextual"/>
        </w:rPr>
      </w:pPr>
      <w:r w:rsidRPr="00587332">
        <w:rPr>
          <w:kern w:val="2"/>
          <w:lang w:val="es-MX" w:eastAsia="es-MX"/>
          <w14:ligatures w14:val="standardContextual"/>
        </w:rPr>
        <w:t>E</w:t>
      </w:r>
      <w:r w:rsidRPr="00587332">
        <w:rPr>
          <w:kern w:val="2"/>
          <w:lang w:val="es-US" w:eastAsia="es-MX"/>
          <w14:ligatures w14:val="standardContextual"/>
        </w:rPr>
        <w:t xml:space="preserve">ste estudio subraya la urgencia de profundizar en otros aspectos de la binegatividad, expandiendo la investigación a la exploración de las consecuencias directas en la construcción </w:t>
      </w:r>
      <w:r w:rsidRPr="00587332">
        <w:rPr>
          <w:kern w:val="2"/>
          <w:lang w:val="es-US" w:eastAsia="es-MX"/>
          <w14:ligatures w14:val="standardContextual"/>
        </w:rPr>
        <w:lastRenderedPageBreak/>
        <w:t xml:space="preserve">identitaria, el bienestar y la salud mental de las mujeres que la experimentan. Asimismo, es necesario conocer las diversas estrategias que las mujeres adoptan para afrontar y resistir la binegatividad, desde mecanismos de afrontamiento individuales hasta la búsqueda de apoyo social y el desarrollo de resiliencia, pues su conocimiento favorecería al desarrollo de intervenciones que permitan el fortalecimiento de estas herramientas. Finalmente, resulta crucial analizar la injerencia de la binegatividad en la dinámica de las violencias familiares y de pareja, desentrañando cómo esta forma de discriminación y negación identitaria puede escalar o exacerbar patrones de abuso, control y agresión dentro de los espacios íntimos. </w:t>
      </w:r>
    </w:p>
    <w:p w14:paraId="64D7CA28" w14:textId="77777777" w:rsidR="00587332" w:rsidRPr="00587332" w:rsidRDefault="00587332" w:rsidP="00587332">
      <w:pPr>
        <w:spacing w:line="360" w:lineRule="auto"/>
        <w:ind w:firstLine="360"/>
        <w:rPr>
          <w:kern w:val="2"/>
          <w:lang w:val="es-MX" w:eastAsia="es-MX"/>
          <w14:ligatures w14:val="standardContextual"/>
        </w:rPr>
      </w:pPr>
      <w:r w:rsidRPr="00587332">
        <w:rPr>
          <w:kern w:val="2"/>
          <w:lang w:val="es-MX" w:eastAsia="es-MX"/>
          <w14:ligatures w14:val="standardContextual"/>
        </w:rPr>
        <w:t>Es importante recordar que las discriminaciones parten de la presencia de prejuicios o actitudes de rechazo hacia los grupos, por lo que, además de atender y señalar las violencias asociadas a la bisexual, resulta prioritario también reflexionar y prevenir las concepciones erróneas de la bisexualidad, así como visibilizar las características, experiencias y necesidades reales descritas por los mismos relatos de las voces bisexuales para conformar una visión de esta más certera y acertada de la bisexualidad y disminuir el persistente borrado de su identidad y de sus realidades.</w:t>
      </w:r>
    </w:p>
    <w:p w14:paraId="26EC4794" w14:textId="16BB28CF" w:rsidR="00200A0D" w:rsidRDefault="00000000">
      <w:pPr>
        <w:pBdr>
          <w:top w:val="nil"/>
          <w:left w:val="nil"/>
          <w:bottom w:val="nil"/>
          <w:right w:val="nil"/>
          <w:between w:val="nil"/>
        </w:pBdr>
        <w:spacing w:line="360" w:lineRule="auto"/>
        <w:ind w:firstLine="708"/>
        <w:jc w:val="both"/>
        <w:rPr>
          <w:color w:val="000000"/>
        </w:rPr>
      </w:pPr>
      <w:r>
        <w:br w:type="page"/>
      </w:r>
    </w:p>
    <w:p w14:paraId="5182C9B0" w14:textId="77777777" w:rsidR="00200A0D" w:rsidRPr="00941455" w:rsidRDefault="00000000">
      <w:pPr>
        <w:pBdr>
          <w:top w:val="nil"/>
          <w:left w:val="nil"/>
          <w:bottom w:val="nil"/>
          <w:right w:val="nil"/>
          <w:between w:val="nil"/>
        </w:pBdr>
        <w:jc w:val="center"/>
        <w:rPr>
          <w:b/>
          <w:color w:val="000000"/>
          <w:lang w:val="es-MX"/>
        </w:rPr>
      </w:pPr>
      <w:r w:rsidRPr="00941455">
        <w:rPr>
          <w:b/>
          <w:color w:val="000000"/>
          <w:lang w:val="es-MX"/>
        </w:rPr>
        <w:lastRenderedPageBreak/>
        <w:t>Referencias</w:t>
      </w:r>
    </w:p>
    <w:p w14:paraId="576D7E39" w14:textId="403491B6" w:rsidR="007C7491" w:rsidRDefault="007C7491" w:rsidP="007C7491">
      <w:pPr>
        <w:ind w:left="709" w:hanging="709"/>
        <w:rPr>
          <w:kern w:val="2"/>
          <w:lang w:val="en-US" w:eastAsia="es-MX"/>
          <w14:ligatures w14:val="standardContextual"/>
        </w:rPr>
      </w:pPr>
      <w:r w:rsidRPr="007C7491">
        <w:rPr>
          <w:kern w:val="2"/>
          <w:lang w:val="en-US" w:eastAsia="es-MX"/>
          <w14:ligatures w14:val="standardContextual"/>
        </w:rPr>
        <w:t xml:space="preserve">American Psychological Association. (2017). </w:t>
      </w:r>
      <w:r w:rsidRPr="007C7491">
        <w:rPr>
          <w:i/>
          <w:iCs/>
          <w:kern w:val="2"/>
          <w:lang w:val="en-US" w:eastAsia="es-MX"/>
          <w14:ligatures w14:val="standardContextual"/>
        </w:rPr>
        <w:t>Ethical Principles of Psychologist and Code of Conduct.</w:t>
      </w:r>
      <w:r w:rsidRPr="007C7491">
        <w:rPr>
          <w:kern w:val="2"/>
          <w:lang w:val="en-US" w:eastAsia="es-MX"/>
          <w14:ligatures w14:val="standardContextual"/>
        </w:rPr>
        <w:t xml:space="preserve"> </w:t>
      </w:r>
      <w:hyperlink r:id="rId10" w:history="1">
        <w:r w:rsidRPr="0066358A">
          <w:rPr>
            <w:rStyle w:val="Hipervnculo"/>
            <w:kern w:val="2"/>
            <w:lang w:val="en-US" w:eastAsia="es-MX"/>
            <w14:ligatures w14:val="standardContextual"/>
          </w:rPr>
          <w:t>https://www.apa.org/ethics/code</w:t>
        </w:r>
      </w:hyperlink>
    </w:p>
    <w:p w14:paraId="4BC35788" w14:textId="75777C3D" w:rsidR="00AC7BE0" w:rsidRDefault="00AC7BE0" w:rsidP="00587332">
      <w:pPr>
        <w:ind w:left="709" w:hanging="709"/>
        <w:rPr>
          <w:kern w:val="2"/>
          <w:lang w:val="en-US" w:eastAsia="es-MX"/>
          <w14:ligatures w14:val="standardContextual"/>
        </w:rPr>
      </w:pPr>
      <w:r w:rsidRPr="00AC7BE0">
        <w:rPr>
          <w:kern w:val="2"/>
          <w:lang w:val="en-US" w:eastAsia="es-MX"/>
          <w14:ligatures w14:val="standardContextual"/>
        </w:rPr>
        <w:t xml:space="preserve">Bostwick, W-, &amp; Hequembourg, A. </w:t>
      </w:r>
      <w:r>
        <w:rPr>
          <w:kern w:val="2"/>
          <w:lang w:val="en-US" w:eastAsia="es-MX"/>
          <w14:ligatures w14:val="standardContextual"/>
        </w:rPr>
        <w:t xml:space="preserve">(2014). </w:t>
      </w:r>
      <w:r w:rsidRPr="00AC7BE0">
        <w:rPr>
          <w:kern w:val="2"/>
          <w:lang w:val="en-US" w:eastAsia="es-MX"/>
          <w14:ligatures w14:val="standardContextual"/>
        </w:rPr>
        <w:t>'Just a little hint': Bisexual-specific microaggressions and their connection to epistemic injustices</w:t>
      </w:r>
      <w:r>
        <w:rPr>
          <w:kern w:val="2"/>
          <w:lang w:val="en-US" w:eastAsia="es-MX"/>
          <w14:ligatures w14:val="standardContextual"/>
        </w:rPr>
        <w:t xml:space="preserve">. </w:t>
      </w:r>
      <w:r w:rsidRPr="00AC7BE0">
        <w:rPr>
          <w:i/>
          <w:iCs/>
          <w:kern w:val="2"/>
          <w:lang w:val="en-US" w:eastAsia="es-MX"/>
          <w14:ligatures w14:val="standardContextual"/>
        </w:rPr>
        <w:t>Culture, Health &amp; Sexuality, 16</w:t>
      </w:r>
      <w:r>
        <w:rPr>
          <w:kern w:val="2"/>
          <w:lang w:val="en-US" w:eastAsia="es-MX"/>
          <w14:ligatures w14:val="standardContextual"/>
        </w:rPr>
        <w:t xml:space="preserve">(5), 488-503. </w:t>
      </w:r>
      <w:hyperlink r:id="rId11" w:history="1">
        <w:r w:rsidRPr="0066358A">
          <w:rPr>
            <w:rStyle w:val="Hipervnculo"/>
            <w:kern w:val="2"/>
            <w:lang w:val="en-US" w:eastAsia="es-MX"/>
            <w14:ligatures w14:val="standardContextual"/>
          </w:rPr>
          <w:t>https://doi.org/10.1080/13691058.2014.889754</w:t>
        </w:r>
      </w:hyperlink>
    </w:p>
    <w:p w14:paraId="4F71CAE3" w14:textId="65B78056" w:rsidR="00587332" w:rsidRPr="00587332" w:rsidRDefault="00587332" w:rsidP="00587332">
      <w:pPr>
        <w:ind w:left="709" w:hanging="709"/>
        <w:rPr>
          <w:kern w:val="2"/>
          <w:lang w:val="es-MX" w:eastAsia="es-MX"/>
          <w14:ligatures w14:val="standardContextual"/>
        </w:rPr>
      </w:pPr>
      <w:r w:rsidRPr="00AC7BE0">
        <w:rPr>
          <w:kern w:val="2"/>
          <w:lang w:val="en-US" w:eastAsia="es-MX"/>
          <w14:ligatures w14:val="standardContextual"/>
        </w:rPr>
        <w:t xml:space="preserve">Cipriano, A. E., Nguyen, D., &amp; Holland, K. J. (2022). </w:t>
      </w:r>
      <w:r w:rsidRPr="00587332">
        <w:rPr>
          <w:kern w:val="2"/>
          <w:lang w:val="en-US" w:eastAsia="es-MX"/>
          <w14:ligatures w14:val="standardContextual"/>
        </w:rPr>
        <w:t xml:space="preserve">“Bisexuality Isn’t Exclusionary”: A Qualitative Examination of Bisexual Definitions and Gender Inclusivity Concerns among Plurisexual Women. </w:t>
      </w:r>
      <w:r w:rsidRPr="00587332">
        <w:rPr>
          <w:i/>
          <w:iCs/>
          <w:kern w:val="2"/>
          <w:lang w:val="es-MX" w:eastAsia="es-MX"/>
          <w14:ligatures w14:val="standardContextual"/>
        </w:rPr>
        <w:t>Journal of Bisexuality, 22</w:t>
      </w:r>
      <w:r w:rsidRPr="00587332">
        <w:rPr>
          <w:kern w:val="2"/>
          <w:lang w:val="es-MX" w:eastAsia="es-MX"/>
          <w14:ligatures w14:val="standardContextual"/>
        </w:rPr>
        <w:t xml:space="preserve">(4), 557-579. </w:t>
      </w:r>
      <w:hyperlink r:id="rId12" w:history="1">
        <w:r w:rsidRPr="00587332">
          <w:rPr>
            <w:color w:val="467886"/>
            <w:kern w:val="2"/>
            <w:u w:val="single"/>
            <w:lang w:val="es-MX" w:eastAsia="es-MX"/>
            <w14:ligatures w14:val="standardContextual"/>
          </w:rPr>
          <w:t>https://doi.org/10.1080/15299716.2022.2060892</w:t>
        </w:r>
      </w:hyperlink>
    </w:p>
    <w:p w14:paraId="5B815582" w14:textId="77777777" w:rsidR="00587332" w:rsidRPr="00587332" w:rsidRDefault="00587332" w:rsidP="00587332">
      <w:pPr>
        <w:ind w:left="709" w:hanging="709"/>
        <w:rPr>
          <w:kern w:val="2"/>
          <w:lang w:val="es-MX" w:eastAsia="es-MX"/>
          <w14:ligatures w14:val="standardContextual"/>
        </w:rPr>
      </w:pPr>
      <w:r w:rsidRPr="00587332">
        <w:rPr>
          <w:kern w:val="2"/>
          <w:lang w:val="es-MX" w:eastAsia="es-MX"/>
          <w14:ligatures w14:val="standardContextual"/>
        </w:rPr>
        <w:t xml:space="preserve">Consejo Nacional para Prevenir la Discriminación. (2023, 5 de julio). 2023-024. Enfatiza Conapred que personas bisexuales aún enfrentan violencias que las invisibilizan. </w:t>
      </w:r>
      <w:hyperlink r:id="rId13" w:history="1">
        <w:r w:rsidRPr="00587332">
          <w:rPr>
            <w:color w:val="467886"/>
            <w:kern w:val="2"/>
            <w:u w:val="single"/>
            <w:lang w:val="es-MX" w:eastAsia="es-MX"/>
            <w14:ligatures w14:val="standardContextual"/>
          </w:rPr>
          <w:t>https://www.conapred.org.mx/2023-024-enfatiza-conapred-que-personas-bisexuales-aun-enfrentan-violencias-que-las-invisibilizan/</w:t>
        </w:r>
      </w:hyperlink>
    </w:p>
    <w:p w14:paraId="0BBA3D69" w14:textId="77777777" w:rsidR="00587332" w:rsidRPr="00587332" w:rsidRDefault="00587332" w:rsidP="00587332">
      <w:pPr>
        <w:ind w:left="709" w:hanging="709"/>
        <w:rPr>
          <w:kern w:val="2"/>
          <w:lang w:val="en-US" w:eastAsia="es-MX"/>
          <w14:ligatures w14:val="standardContextual"/>
        </w:rPr>
      </w:pPr>
      <w:r w:rsidRPr="00587332">
        <w:rPr>
          <w:kern w:val="2"/>
          <w:lang w:val="en-US" w:eastAsia="es-MX"/>
          <w14:ligatures w14:val="standardContextual"/>
        </w:rPr>
        <w:t xml:space="preserve">DeCapua, S. R. (2017). Bisexual Women’s Experiences with Binegativity in Romantic Relationships. </w:t>
      </w:r>
      <w:r w:rsidRPr="00587332">
        <w:rPr>
          <w:i/>
          <w:iCs/>
          <w:kern w:val="2"/>
          <w:lang w:val="en-US" w:eastAsia="es-MX"/>
          <w14:ligatures w14:val="standardContextual"/>
        </w:rPr>
        <w:t>Journal of Bisexuality, 17</w:t>
      </w:r>
      <w:r w:rsidRPr="00587332">
        <w:rPr>
          <w:kern w:val="2"/>
          <w:lang w:val="en-US" w:eastAsia="es-MX"/>
          <w14:ligatures w14:val="standardContextual"/>
        </w:rPr>
        <w:t xml:space="preserve">(4), 451-472. </w:t>
      </w:r>
      <w:hyperlink r:id="rId14" w:history="1">
        <w:r w:rsidRPr="00587332">
          <w:rPr>
            <w:color w:val="467886"/>
            <w:kern w:val="2"/>
            <w:u w:val="single"/>
            <w:lang w:val="en-US" w:eastAsia="es-MX"/>
            <w14:ligatures w14:val="standardContextual"/>
          </w:rPr>
          <w:t>https://doi.org/10.1080/15299716.2017.1382424</w:t>
        </w:r>
      </w:hyperlink>
    </w:p>
    <w:p w14:paraId="02D2AF2E" w14:textId="77777777" w:rsidR="00587332" w:rsidRPr="00587332" w:rsidRDefault="00587332" w:rsidP="00587332">
      <w:pPr>
        <w:ind w:left="709" w:hanging="709"/>
        <w:rPr>
          <w:kern w:val="2"/>
          <w:lang w:val="fr-FR" w:eastAsia="es-MX"/>
          <w14:ligatures w14:val="standardContextual"/>
        </w:rPr>
      </w:pPr>
      <w:r w:rsidRPr="00587332">
        <w:rPr>
          <w:kern w:val="2"/>
          <w:lang w:val="en-US" w:eastAsia="es-MX"/>
          <w14:ligatures w14:val="standardContextual"/>
        </w:rPr>
        <w:t xml:space="preserve">Del Barrio-Álvarez, E., &amp; Garrosa, E. (2015). </w:t>
      </w:r>
      <w:r w:rsidRPr="00587332">
        <w:rPr>
          <w:kern w:val="2"/>
          <w:lang w:val="es-MX" w:eastAsia="es-MX"/>
          <w14:ligatures w14:val="standardContextual"/>
        </w:rPr>
        <w:t xml:space="preserve">¿Educando en igualdad? Análisis de la triada pornografía discriminación-violencia. Feminidad y masculinidad en la pornografía convencional. </w:t>
      </w:r>
      <w:r w:rsidRPr="00587332">
        <w:rPr>
          <w:i/>
          <w:iCs/>
          <w:kern w:val="2"/>
          <w:lang w:val="es-MX" w:eastAsia="es-MX"/>
          <w14:ligatures w14:val="standardContextual"/>
        </w:rPr>
        <w:t xml:space="preserve">Journal of Feminist, Gender and Women Studies, </w:t>
      </w:r>
      <w:r w:rsidRPr="00587332">
        <w:rPr>
          <w:kern w:val="2"/>
          <w:lang w:val="es-MX" w:eastAsia="es-MX"/>
          <w14:ligatures w14:val="standardContextual"/>
        </w:rPr>
        <w:t xml:space="preserve">(1), 29-39. </w:t>
      </w:r>
      <w:hyperlink r:id="rId15" w:history="1">
        <w:r w:rsidRPr="00587332">
          <w:rPr>
            <w:color w:val="467886"/>
            <w:kern w:val="2"/>
            <w:u w:val="single"/>
            <w:lang w:val="fr-FR" w:eastAsia="es-MX"/>
            <w14:ligatures w14:val="standardContextual"/>
          </w:rPr>
          <w:t>https://doi.org/10.15366/jfgws2015.1.003</w:t>
        </w:r>
      </w:hyperlink>
    </w:p>
    <w:p w14:paraId="535B9411" w14:textId="5B0F69BE" w:rsidR="007C7491" w:rsidRPr="007C7491" w:rsidRDefault="007C7491" w:rsidP="007C7491">
      <w:pPr>
        <w:ind w:left="709" w:hanging="709"/>
        <w:rPr>
          <w:kern w:val="2"/>
          <w:lang w:val="es-MX" w:eastAsia="es-MX"/>
          <w14:ligatures w14:val="standardContextual"/>
        </w:rPr>
      </w:pPr>
      <w:r w:rsidRPr="007C7491">
        <w:rPr>
          <w:kern w:val="2"/>
          <w:lang w:val="es-MX" w:eastAsia="es-MX"/>
          <w14:ligatures w14:val="standardContextual"/>
        </w:rPr>
        <w:t xml:space="preserve">Federación Nacional de Colegios, Sociedades y Asociaciones de Psicólogos de México, A. C. (2018). </w:t>
      </w:r>
      <w:r w:rsidRPr="007C7491">
        <w:rPr>
          <w:i/>
          <w:iCs/>
          <w:kern w:val="2"/>
          <w:lang w:val="es-MX" w:eastAsia="es-MX"/>
          <w14:ligatures w14:val="standardContextual"/>
        </w:rPr>
        <w:t>Código de Ética de las y los psicólogos mexicanos</w:t>
      </w:r>
      <w:r w:rsidRPr="007C7491">
        <w:rPr>
          <w:kern w:val="2"/>
          <w:lang w:val="es-MX" w:eastAsia="es-MX"/>
          <w14:ligatures w14:val="standardContextual"/>
        </w:rPr>
        <w:t>. Autor.</w:t>
      </w:r>
    </w:p>
    <w:p w14:paraId="67971681" w14:textId="3BC6C40A" w:rsidR="00587332" w:rsidRPr="00587332" w:rsidRDefault="00587332" w:rsidP="00587332">
      <w:pPr>
        <w:ind w:left="709" w:hanging="709"/>
        <w:rPr>
          <w:kern w:val="2"/>
          <w:lang w:val="en-US" w:eastAsia="es-MX"/>
          <w14:ligatures w14:val="standardContextual"/>
        </w:rPr>
      </w:pPr>
      <w:r w:rsidRPr="00587332">
        <w:rPr>
          <w:kern w:val="2"/>
          <w:lang w:val="fr-FR" w:eastAsia="es-MX"/>
          <w14:ligatures w14:val="standardContextual"/>
        </w:rPr>
        <w:t xml:space="preserve">Feinstein, B. A., Francon, M., Henderson, R. F., Collins, L. K., &amp; Davari, J. (2019). </w:t>
      </w:r>
      <w:r w:rsidRPr="00587332">
        <w:rPr>
          <w:kern w:val="2"/>
          <w:lang w:val="en-US" w:eastAsia="es-MX"/>
          <w14:ligatures w14:val="standardContextual"/>
        </w:rPr>
        <w:t xml:space="preserve">A Qualitative Examination of Bisexual Identity Invalidation and its Consequences for Wellbeing, Identity, and Relationships. </w:t>
      </w:r>
      <w:r w:rsidRPr="00587332">
        <w:rPr>
          <w:i/>
          <w:iCs/>
          <w:kern w:val="2"/>
          <w:lang w:val="en-US" w:eastAsia="es-MX"/>
          <w14:ligatures w14:val="standardContextual"/>
        </w:rPr>
        <w:t>Journal of Bisexuality, 19</w:t>
      </w:r>
      <w:r w:rsidRPr="00587332">
        <w:rPr>
          <w:kern w:val="2"/>
          <w:lang w:val="en-US" w:eastAsia="es-MX"/>
          <w14:ligatures w14:val="standardContextual"/>
        </w:rPr>
        <w:t xml:space="preserve">(4), 461-482. </w:t>
      </w:r>
      <w:hyperlink r:id="rId16" w:history="1">
        <w:r w:rsidRPr="00587332">
          <w:rPr>
            <w:color w:val="467886"/>
            <w:kern w:val="2"/>
            <w:u w:val="single"/>
            <w:lang w:val="en-US" w:eastAsia="es-MX"/>
            <w14:ligatures w14:val="standardContextual"/>
          </w:rPr>
          <w:t>https://doi.org/10.1080/15299716.2019.1671295</w:t>
        </w:r>
      </w:hyperlink>
    </w:p>
    <w:p w14:paraId="2A4745CF" w14:textId="77777777" w:rsidR="00587332" w:rsidRPr="00587332" w:rsidRDefault="00587332" w:rsidP="00587332">
      <w:pPr>
        <w:ind w:left="709" w:hanging="709"/>
        <w:rPr>
          <w:kern w:val="2"/>
          <w:lang w:val="en-US" w:eastAsia="es-MX"/>
          <w14:ligatures w14:val="standardContextual"/>
        </w:rPr>
      </w:pPr>
      <w:r w:rsidRPr="00587332">
        <w:rPr>
          <w:kern w:val="2"/>
          <w:lang w:val="en-US" w:eastAsia="es-MX"/>
          <w14:ligatures w14:val="standardContextual"/>
        </w:rPr>
        <w:t xml:space="preserve">Garelick, A. S., Filip-Crawford, G., Varley, A. H., Nagoshi, C. T., Nagoshi, J. L., &amp; Evans, R. (2017). Beyond the Binary: Exploring the Role of Ambiguity in Biphobia and Transphobia. </w:t>
      </w:r>
      <w:r w:rsidRPr="00587332">
        <w:rPr>
          <w:i/>
          <w:iCs/>
          <w:kern w:val="2"/>
          <w:lang w:val="en-US" w:eastAsia="es-MX"/>
          <w14:ligatures w14:val="standardContextual"/>
        </w:rPr>
        <w:t>Journal of Bisexuality, 17</w:t>
      </w:r>
      <w:r w:rsidRPr="00587332">
        <w:rPr>
          <w:kern w:val="2"/>
          <w:lang w:val="en-US" w:eastAsia="es-MX"/>
          <w14:ligatures w14:val="standardContextual"/>
        </w:rPr>
        <w:t xml:space="preserve">(2), 172-189. </w:t>
      </w:r>
      <w:hyperlink r:id="rId17" w:history="1">
        <w:r w:rsidRPr="00587332">
          <w:rPr>
            <w:color w:val="467886"/>
            <w:kern w:val="2"/>
            <w:u w:val="single"/>
            <w:lang w:val="en-US" w:eastAsia="es-MX"/>
            <w14:ligatures w14:val="standardContextual"/>
          </w:rPr>
          <w:t>http://dx.doi.org/10.1080/15299716.2017.1319890</w:t>
        </w:r>
      </w:hyperlink>
    </w:p>
    <w:p w14:paraId="0B4DD2BF" w14:textId="77777777" w:rsidR="00587332" w:rsidRPr="00587332" w:rsidRDefault="00587332" w:rsidP="00587332">
      <w:pPr>
        <w:ind w:left="709" w:hanging="709"/>
        <w:rPr>
          <w:kern w:val="2"/>
          <w:lang w:val="en-US" w:eastAsia="es-MX"/>
          <w14:ligatures w14:val="standardContextual"/>
        </w:rPr>
      </w:pPr>
      <w:r w:rsidRPr="00587332">
        <w:rPr>
          <w:kern w:val="2"/>
          <w:lang w:val="en-US" w:eastAsia="es-MX"/>
          <w14:ligatures w14:val="standardContextual"/>
        </w:rPr>
        <w:t xml:space="preserve">Garr-Schultz, A., &amp; Gardner, W. (2021). “It’s just a phase”: Identity denial experiences, self-concept clarity, and emotional well-being in bisexual individuals. </w:t>
      </w:r>
      <w:r w:rsidRPr="00587332">
        <w:rPr>
          <w:i/>
          <w:iCs/>
          <w:kern w:val="2"/>
          <w:lang w:val="en-US" w:eastAsia="es-MX"/>
          <w14:ligatures w14:val="standardContextual"/>
        </w:rPr>
        <w:t>Self and Identity, 20</w:t>
      </w:r>
      <w:r w:rsidRPr="00587332">
        <w:rPr>
          <w:kern w:val="2"/>
          <w:lang w:val="en-US" w:eastAsia="es-MX"/>
          <w14:ligatures w14:val="standardContextual"/>
        </w:rPr>
        <w:t xml:space="preserve">(4), 528-544. </w:t>
      </w:r>
      <w:hyperlink r:id="rId18" w:history="1">
        <w:r w:rsidRPr="00587332">
          <w:rPr>
            <w:color w:val="467886"/>
            <w:kern w:val="2"/>
            <w:u w:val="single"/>
            <w:lang w:val="en-US" w:eastAsia="es-MX"/>
            <w14:ligatures w14:val="standardContextual"/>
          </w:rPr>
          <w:t>https://doi.org/10.1080/15298868.2019.1625435</w:t>
        </w:r>
      </w:hyperlink>
    </w:p>
    <w:p w14:paraId="73400187" w14:textId="07A8CD79" w:rsidR="00AC7BE0" w:rsidRDefault="00AC7BE0" w:rsidP="00587332">
      <w:pPr>
        <w:ind w:left="709" w:hanging="709"/>
        <w:rPr>
          <w:kern w:val="2"/>
          <w:lang w:val="en-US" w:eastAsia="es-MX"/>
          <w14:ligatures w14:val="standardContextual"/>
        </w:rPr>
      </w:pPr>
      <w:r>
        <w:rPr>
          <w:kern w:val="2"/>
          <w:lang w:val="en-US" w:eastAsia="es-MX"/>
          <w14:ligatures w14:val="standardContextual"/>
        </w:rPr>
        <w:t xml:space="preserve">Hayfield, N., Campbell, C., &amp; Reed, E. (2018). </w:t>
      </w:r>
      <w:r w:rsidRPr="00AC7BE0">
        <w:rPr>
          <w:kern w:val="2"/>
          <w:lang w:val="en-US" w:eastAsia="es-MX"/>
          <w14:ligatures w14:val="standardContextual"/>
        </w:rPr>
        <w:t>Misrecognition and managing marginalisation: Bisexual people’s experiences of bisexuality and relationships</w:t>
      </w:r>
      <w:r>
        <w:rPr>
          <w:kern w:val="2"/>
          <w:lang w:val="en-US" w:eastAsia="es-MX"/>
          <w14:ligatures w14:val="standardContextual"/>
        </w:rPr>
        <w:t xml:space="preserve">. </w:t>
      </w:r>
      <w:r w:rsidRPr="00AC7BE0">
        <w:rPr>
          <w:i/>
          <w:iCs/>
          <w:kern w:val="2"/>
          <w:lang w:val="en-US" w:eastAsia="es-MX"/>
          <w14:ligatures w14:val="standardContextual"/>
        </w:rPr>
        <w:t>Psychology &amp; Sexuality, 9</w:t>
      </w:r>
      <w:r>
        <w:rPr>
          <w:kern w:val="2"/>
          <w:lang w:val="en-US" w:eastAsia="es-MX"/>
          <w14:ligatures w14:val="standardContextual"/>
        </w:rPr>
        <w:t xml:space="preserve">(3), 221-236. </w:t>
      </w:r>
      <w:hyperlink r:id="rId19" w:history="1">
        <w:r w:rsidRPr="0066358A">
          <w:rPr>
            <w:rStyle w:val="Hipervnculo"/>
            <w:kern w:val="2"/>
            <w:lang w:val="en-US" w:eastAsia="es-MX"/>
            <w14:ligatures w14:val="standardContextual"/>
          </w:rPr>
          <w:t>https://doi.org/10.1080/19419899.2018.1470106</w:t>
        </w:r>
      </w:hyperlink>
    </w:p>
    <w:p w14:paraId="439A93DF" w14:textId="66F564A4" w:rsidR="00587332" w:rsidRPr="00587332" w:rsidRDefault="00587332" w:rsidP="00587332">
      <w:pPr>
        <w:ind w:left="709" w:hanging="709"/>
        <w:rPr>
          <w:kern w:val="2"/>
          <w:lang w:val="es-MX" w:eastAsia="es-MX"/>
          <w14:ligatures w14:val="standardContextual"/>
        </w:rPr>
      </w:pPr>
      <w:r w:rsidRPr="00587332">
        <w:rPr>
          <w:kern w:val="2"/>
          <w:lang w:val="en-US" w:eastAsia="es-MX"/>
          <w14:ligatures w14:val="standardContextual"/>
        </w:rPr>
        <w:t xml:space="preserve">Hsieh, H., Shannon, S. E. (2005). Three Approaches to Qualitative Content Analysis. </w:t>
      </w:r>
      <w:r w:rsidRPr="00587332">
        <w:rPr>
          <w:i/>
          <w:iCs/>
          <w:kern w:val="2"/>
          <w:lang w:val="es-MX" w:eastAsia="es-MX"/>
          <w14:ligatures w14:val="standardContextual"/>
        </w:rPr>
        <w:t>Qualitative Health Research, 15</w:t>
      </w:r>
      <w:r w:rsidRPr="00587332">
        <w:rPr>
          <w:kern w:val="2"/>
          <w:lang w:val="es-MX" w:eastAsia="es-MX"/>
          <w14:ligatures w14:val="standardContextual"/>
        </w:rPr>
        <w:t xml:space="preserve">(9), 1277-1288. </w:t>
      </w:r>
      <w:hyperlink r:id="rId20" w:history="1">
        <w:r w:rsidRPr="00587332">
          <w:rPr>
            <w:color w:val="467886"/>
            <w:kern w:val="2"/>
            <w:u w:val="single"/>
            <w:lang w:val="es-MX" w:eastAsia="es-MX"/>
            <w14:ligatures w14:val="standardContextual"/>
          </w:rPr>
          <w:t>https://doi.org/10.1177/1049732305276687</w:t>
        </w:r>
      </w:hyperlink>
    </w:p>
    <w:p w14:paraId="3C1B44FD" w14:textId="6051D3CA" w:rsidR="007C7491" w:rsidRPr="007C7491" w:rsidRDefault="007C7491" w:rsidP="00587332">
      <w:pPr>
        <w:ind w:left="709" w:hanging="709"/>
        <w:rPr>
          <w:kern w:val="2"/>
          <w:lang w:val="en-US" w:eastAsia="es-MX"/>
          <w14:ligatures w14:val="standardContextual"/>
        </w:rPr>
      </w:pPr>
      <w:r w:rsidRPr="007C7491">
        <w:rPr>
          <w:kern w:val="2"/>
          <w:lang w:val="en-US" w:eastAsia="es-MX"/>
          <w14:ligatures w14:val="standardContextual"/>
        </w:rPr>
        <w:t xml:space="preserve">IAAP &amp; IUPsyS (2008). </w:t>
      </w:r>
      <w:r w:rsidRPr="007C7491">
        <w:rPr>
          <w:i/>
          <w:iCs/>
          <w:kern w:val="2"/>
          <w:lang w:val="en-US" w:eastAsia="es-MX"/>
          <w14:ligatures w14:val="standardContextual"/>
        </w:rPr>
        <w:t>Universal Declaration of Ethical Principles for Psychologists</w:t>
      </w:r>
      <w:r w:rsidRPr="007C7491">
        <w:rPr>
          <w:kern w:val="2"/>
          <w:lang w:val="en-US" w:eastAsia="es-MX"/>
          <w14:ligatures w14:val="standardContextual"/>
        </w:rPr>
        <w:t>. International Union of Psychological Science</w:t>
      </w:r>
      <w:r>
        <w:rPr>
          <w:kern w:val="2"/>
          <w:lang w:val="en-US" w:eastAsia="es-MX"/>
          <w14:ligatures w14:val="standardContextual"/>
        </w:rPr>
        <w:t>.</w:t>
      </w:r>
      <w:r w:rsidRPr="007C7491">
        <w:rPr>
          <w:kern w:val="2"/>
          <w:lang w:val="en-US" w:eastAsia="es-MX"/>
          <w14:ligatures w14:val="standardContextual"/>
        </w:rPr>
        <w:t xml:space="preserve"> </w:t>
      </w:r>
      <w:hyperlink r:id="rId21" w:history="1">
        <w:r w:rsidRPr="007C7491">
          <w:rPr>
            <w:rStyle w:val="Hipervnculo"/>
            <w:kern w:val="2"/>
            <w:lang w:val="en-US" w:eastAsia="es-MX"/>
            <w14:ligatures w14:val="standardContextual"/>
          </w:rPr>
          <w:t>https://www.iupsys.net/about/governance/universal-declaration-of-ethical-principles-for-psychologists.html</w:t>
        </w:r>
      </w:hyperlink>
    </w:p>
    <w:p w14:paraId="1C27AB7B" w14:textId="16EDF97E" w:rsidR="00587332" w:rsidRPr="00587332" w:rsidRDefault="00551832" w:rsidP="00587332">
      <w:pPr>
        <w:ind w:left="709" w:hanging="709"/>
        <w:rPr>
          <w:kern w:val="2"/>
          <w:lang w:val="es-US" w:eastAsia="es-MX"/>
          <w14:ligatures w14:val="standardContextual"/>
        </w:rPr>
      </w:pPr>
      <w:r>
        <w:rPr>
          <w:kern w:val="2"/>
          <w:lang w:val="es-MX" w:eastAsia="es-MX"/>
          <w14:ligatures w14:val="standardContextual"/>
        </w:rPr>
        <w:t>INEGI</w:t>
      </w:r>
      <w:r w:rsidR="00587332" w:rsidRPr="00587332">
        <w:rPr>
          <w:kern w:val="2"/>
          <w:lang w:val="es-MX" w:eastAsia="es-MX"/>
          <w14:ligatures w14:val="standardContextual"/>
        </w:rPr>
        <w:t xml:space="preserve">. (2021). </w:t>
      </w:r>
      <w:r w:rsidR="00587332" w:rsidRPr="00587332">
        <w:rPr>
          <w:i/>
          <w:iCs/>
          <w:kern w:val="2"/>
          <w:lang w:val="es-MX" w:eastAsia="es-MX"/>
          <w14:ligatures w14:val="standardContextual"/>
        </w:rPr>
        <w:t>Encuesta Nacional sobre Diversidad Sexual y de Género. Diseño conceptual.</w:t>
      </w:r>
      <w:r w:rsidR="00587332" w:rsidRPr="00587332">
        <w:rPr>
          <w:kern w:val="2"/>
          <w:lang w:val="es-MX" w:eastAsia="es-MX"/>
          <w14:ligatures w14:val="standardContextual"/>
        </w:rPr>
        <w:t xml:space="preserve"> </w:t>
      </w:r>
      <w:hyperlink r:id="rId22" w:history="1">
        <w:r w:rsidR="00587332" w:rsidRPr="00587332">
          <w:rPr>
            <w:color w:val="467886"/>
            <w:kern w:val="2"/>
            <w:u w:val="single"/>
            <w:lang w:val="es-US" w:eastAsia="es-MX"/>
            <w14:ligatures w14:val="standardContextual"/>
          </w:rPr>
          <w:t>https://www.inegi.org.mx/programas/endiseg/2021/</w:t>
        </w:r>
      </w:hyperlink>
    </w:p>
    <w:p w14:paraId="38EA3C84" w14:textId="77777777" w:rsidR="00587332" w:rsidRPr="00587332" w:rsidRDefault="00587332" w:rsidP="00587332">
      <w:pPr>
        <w:ind w:left="709" w:hanging="709"/>
        <w:rPr>
          <w:kern w:val="2"/>
          <w:lang w:val="en-US" w:eastAsia="es-MX"/>
          <w14:ligatures w14:val="standardContextual"/>
        </w:rPr>
      </w:pPr>
      <w:r w:rsidRPr="00587332">
        <w:rPr>
          <w:kern w:val="2"/>
          <w:lang w:val="es-US" w:eastAsia="es-MX"/>
          <w14:ligatures w14:val="standardContextual"/>
        </w:rPr>
        <w:t xml:space="preserve">Isolani, S., Pistella, J., Chiarolanza, C., Baldi, M., Masturzi, A., Randall, A. K., Lanutti, P. J., Gandhi, Y., Martos, T., Rosta-Filep, O., Basili, E., &amp; Baiocco, R. (2024). </w:t>
      </w:r>
      <w:r w:rsidRPr="00587332">
        <w:rPr>
          <w:kern w:val="2"/>
          <w:lang w:val="en-US" w:eastAsia="es-MX"/>
          <w14:ligatures w14:val="standardContextual"/>
        </w:rPr>
        <w:t xml:space="preserve">Bisexual Women in a Romantic Relationship: Coming out and Internalized Binegativity in </w:t>
      </w:r>
      <w:r w:rsidRPr="00587332">
        <w:rPr>
          <w:kern w:val="2"/>
          <w:lang w:val="en-US" w:eastAsia="es-MX"/>
          <w14:ligatures w14:val="standardContextual"/>
        </w:rPr>
        <w:lastRenderedPageBreak/>
        <w:t xml:space="preserve">Same/Different Gender Couples. </w:t>
      </w:r>
      <w:r w:rsidRPr="00587332">
        <w:rPr>
          <w:i/>
          <w:iCs/>
          <w:kern w:val="2"/>
          <w:lang w:val="en-US" w:eastAsia="es-MX"/>
          <w14:ligatures w14:val="standardContextual"/>
        </w:rPr>
        <w:t>Journal of Bisexuality, 24(3), 325-346.</w:t>
      </w:r>
      <w:r w:rsidRPr="00587332">
        <w:rPr>
          <w:kern w:val="2"/>
          <w:lang w:val="en-US" w:eastAsia="es-MX"/>
          <w14:ligatures w14:val="standardContextual"/>
        </w:rPr>
        <w:t xml:space="preserve"> </w:t>
      </w:r>
      <w:hyperlink r:id="rId23" w:history="1">
        <w:r w:rsidRPr="00587332">
          <w:rPr>
            <w:color w:val="467886"/>
            <w:kern w:val="2"/>
            <w:u w:val="single"/>
            <w:lang w:val="en-US" w:eastAsia="es-MX"/>
            <w14:ligatures w14:val="standardContextual"/>
          </w:rPr>
          <w:t>https://doi.org/10.1080/15299716.2024.2321624</w:t>
        </w:r>
      </w:hyperlink>
    </w:p>
    <w:p w14:paraId="0D205B97" w14:textId="77777777" w:rsidR="00587332" w:rsidRPr="00587332" w:rsidRDefault="00587332" w:rsidP="00587332">
      <w:pPr>
        <w:ind w:left="709" w:hanging="709"/>
        <w:rPr>
          <w:kern w:val="2"/>
          <w:lang w:val="en-US" w:eastAsia="es-MX"/>
          <w14:ligatures w14:val="standardContextual"/>
        </w:rPr>
      </w:pPr>
      <w:r w:rsidRPr="00587332">
        <w:rPr>
          <w:kern w:val="2"/>
          <w:lang w:val="en-US" w:eastAsia="es-MX"/>
          <w14:ligatures w14:val="standardContextual"/>
        </w:rPr>
        <w:t xml:space="preserve">Kwok, C., Rostosky, S. S., &amp; Riggle, E. D. (2020). Bisexual-Identifying Women’s Relationship Expectations of Female- and Male-Identifying Partners. </w:t>
      </w:r>
      <w:r w:rsidRPr="00587332">
        <w:rPr>
          <w:i/>
          <w:iCs/>
          <w:kern w:val="2"/>
          <w:lang w:val="en-US" w:eastAsia="es-MX"/>
          <w14:ligatures w14:val="standardContextual"/>
        </w:rPr>
        <w:t>Journal of Bisexuality, 20</w:t>
      </w:r>
      <w:r w:rsidRPr="00587332">
        <w:rPr>
          <w:kern w:val="2"/>
          <w:lang w:val="en-US" w:eastAsia="es-MX"/>
          <w14:ligatures w14:val="standardContextual"/>
        </w:rPr>
        <w:t xml:space="preserve">(2), 141-165. </w:t>
      </w:r>
      <w:hyperlink r:id="rId24" w:history="1">
        <w:r w:rsidRPr="00587332">
          <w:rPr>
            <w:color w:val="467886"/>
            <w:kern w:val="2"/>
            <w:u w:val="single"/>
            <w:lang w:val="en-US" w:eastAsia="es-MX"/>
            <w14:ligatures w14:val="standardContextual"/>
          </w:rPr>
          <w:t>https://doi.org/10.1080/15299716.2020.1755406</w:t>
        </w:r>
      </w:hyperlink>
    </w:p>
    <w:p w14:paraId="2D6655D8" w14:textId="77777777" w:rsidR="00587332" w:rsidRPr="00587332" w:rsidRDefault="00587332" w:rsidP="00587332">
      <w:pPr>
        <w:ind w:left="709" w:hanging="709"/>
        <w:rPr>
          <w:kern w:val="2"/>
          <w:lang w:val="en-US" w:eastAsia="es-MX"/>
          <w14:ligatures w14:val="standardContextual"/>
        </w:rPr>
      </w:pPr>
      <w:r w:rsidRPr="00587332">
        <w:rPr>
          <w:kern w:val="2"/>
          <w:lang w:val="en-US" w:eastAsia="es-MX"/>
          <w14:ligatures w14:val="standardContextual"/>
        </w:rPr>
        <w:t xml:space="preserve">MacDowall, L. (2009). Historicising Contemporary Bisexuality. </w:t>
      </w:r>
      <w:r w:rsidRPr="00587332">
        <w:rPr>
          <w:i/>
          <w:iCs/>
          <w:kern w:val="2"/>
          <w:lang w:val="en-US" w:eastAsia="es-MX"/>
          <w14:ligatures w14:val="standardContextual"/>
        </w:rPr>
        <w:t>Journal of Bisexuality, 9</w:t>
      </w:r>
      <w:r w:rsidRPr="00587332">
        <w:rPr>
          <w:kern w:val="2"/>
          <w:lang w:val="en-US" w:eastAsia="es-MX"/>
          <w14:ligatures w14:val="standardContextual"/>
        </w:rPr>
        <w:t xml:space="preserve">(1), 03-15. </w:t>
      </w:r>
      <w:hyperlink r:id="rId25" w:history="1">
        <w:r w:rsidRPr="00587332">
          <w:rPr>
            <w:color w:val="467886"/>
            <w:kern w:val="2"/>
            <w:u w:val="single"/>
            <w:lang w:val="en-US" w:eastAsia="es-MX"/>
            <w14:ligatures w14:val="standardContextual"/>
          </w:rPr>
          <w:t>https://doi.org/10.1080/15299710802659989</w:t>
        </w:r>
      </w:hyperlink>
    </w:p>
    <w:p w14:paraId="49F81CD4" w14:textId="368AD4AE" w:rsidR="00587332" w:rsidRPr="00587332" w:rsidRDefault="00587332" w:rsidP="00587332">
      <w:pPr>
        <w:ind w:left="709" w:hanging="709"/>
        <w:rPr>
          <w:kern w:val="2"/>
          <w:lang w:val="es-MX" w:eastAsia="es-MX"/>
          <w14:ligatures w14:val="standardContextual"/>
        </w:rPr>
      </w:pPr>
      <w:r w:rsidRPr="00587332">
        <w:rPr>
          <w:kern w:val="2"/>
          <w:lang w:val="es-MX" w:eastAsia="es-MX"/>
          <w14:ligatures w14:val="standardContextual"/>
        </w:rPr>
        <w:t>Martínez-Sa</w:t>
      </w:r>
      <w:r w:rsidR="00AC7BE0">
        <w:rPr>
          <w:kern w:val="2"/>
          <w:lang w:val="es-MX" w:eastAsia="es-MX"/>
          <w14:ligatures w14:val="standardContextual"/>
        </w:rPr>
        <w:t>lgado</w:t>
      </w:r>
      <w:r w:rsidRPr="00587332">
        <w:rPr>
          <w:kern w:val="2"/>
          <w:lang w:val="es-MX" w:eastAsia="es-MX"/>
          <w14:ligatures w14:val="standardContextual"/>
        </w:rPr>
        <w:t xml:space="preserve">, C. (2012). El muestreo en investigación cualitativa: principios básicos y algunas controversias. </w:t>
      </w:r>
      <w:r w:rsidRPr="00587332">
        <w:rPr>
          <w:i/>
          <w:iCs/>
          <w:kern w:val="2"/>
          <w:lang w:val="es-MX" w:eastAsia="es-MX"/>
          <w14:ligatures w14:val="standardContextual"/>
        </w:rPr>
        <w:t>Ciência &amp; Saúde Coletiva, 17</w:t>
      </w:r>
      <w:r w:rsidRPr="00587332">
        <w:rPr>
          <w:kern w:val="2"/>
          <w:lang w:val="es-MX" w:eastAsia="es-MX"/>
          <w14:ligatures w14:val="standardContextual"/>
        </w:rPr>
        <w:t xml:space="preserve">(3), 613-619. </w:t>
      </w:r>
      <w:hyperlink r:id="rId26" w:history="1">
        <w:r w:rsidRPr="00587332">
          <w:rPr>
            <w:color w:val="467886"/>
            <w:kern w:val="2"/>
            <w:u w:val="single"/>
            <w:lang w:val="es-MX" w:eastAsia="es-MX"/>
            <w14:ligatures w14:val="standardContextual"/>
          </w:rPr>
          <w:t>https://doi.org/10.1590/S1413-81232012000300006</w:t>
        </w:r>
      </w:hyperlink>
    </w:p>
    <w:p w14:paraId="4E76D74B" w14:textId="77777777" w:rsidR="00587332" w:rsidRPr="00587332" w:rsidRDefault="00587332" w:rsidP="00587332">
      <w:pPr>
        <w:ind w:left="709" w:hanging="709"/>
        <w:rPr>
          <w:kern w:val="2"/>
          <w:lang w:val="en-US" w:eastAsia="es-MX"/>
          <w14:ligatures w14:val="standardContextual"/>
        </w:rPr>
      </w:pPr>
      <w:r w:rsidRPr="00587332">
        <w:rPr>
          <w:kern w:val="2"/>
          <w:lang w:val="es-MX" w:eastAsia="es-MX"/>
          <w14:ligatures w14:val="standardContextual"/>
        </w:rPr>
        <w:t xml:space="preserve">Morgenroth, T., Kirby, T. A., Cuthbert, M. J., Evje, J., &amp; Anderson, A. E. (2021). </w:t>
      </w:r>
      <w:r w:rsidRPr="00587332">
        <w:rPr>
          <w:kern w:val="2"/>
          <w:lang w:val="en-US" w:eastAsia="es-MX"/>
          <w14:ligatures w14:val="standardContextual"/>
        </w:rPr>
        <w:t xml:space="preserve">Bisexual Erasure: Perceived Attraction Patterns of Bisexual Women and Men. </w:t>
      </w:r>
      <w:r w:rsidRPr="00587332">
        <w:rPr>
          <w:i/>
          <w:iCs/>
          <w:kern w:val="2"/>
          <w:lang w:val="en-US" w:eastAsia="es-MX"/>
          <w14:ligatures w14:val="standardContextual"/>
        </w:rPr>
        <w:t>European Journal of Social Psychology, 52</w:t>
      </w:r>
      <w:r w:rsidRPr="00587332">
        <w:rPr>
          <w:kern w:val="2"/>
          <w:lang w:val="en-US" w:eastAsia="es-MX"/>
          <w14:ligatures w14:val="standardContextual"/>
        </w:rPr>
        <w:t xml:space="preserve">(2), 249-259. </w:t>
      </w:r>
      <w:hyperlink r:id="rId27" w:history="1">
        <w:r w:rsidRPr="00587332">
          <w:rPr>
            <w:color w:val="467886"/>
            <w:kern w:val="2"/>
            <w:u w:val="single"/>
            <w:lang w:val="en-US" w:eastAsia="es-MX"/>
            <w14:ligatures w14:val="standardContextual"/>
          </w:rPr>
          <w:t>https://doi.org/10.1002/ejsp.2773</w:t>
        </w:r>
      </w:hyperlink>
    </w:p>
    <w:p w14:paraId="402E2FC3" w14:textId="77777777" w:rsidR="00587332" w:rsidRPr="00587332" w:rsidRDefault="00587332" w:rsidP="00587332">
      <w:pPr>
        <w:ind w:left="709" w:hanging="709"/>
        <w:rPr>
          <w:kern w:val="2"/>
          <w:lang w:val="es-MX" w:eastAsia="es-MX"/>
          <w14:ligatures w14:val="standardContextual"/>
        </w:rPr>
      </w:pPr>
      <w:r w:rsidRPr="00587332">
        <w:rPr>
          <w:kern w:val="2"/>
          <w:lang w:val="en-US" w:eastAsia="es-MX"/>
          <w14:ligatures w14:val="standardContextual"/>
        </w:rPr>
        <w:t xml:space="preserve">Obradors-Campos, M. (2011). Deconstructing Biphobia. </w:t>
      </w:r>
      <w:r w:rsidRPr="00587332">
        <w:rPr>
          <w:i/>
          <w:iCs/>
          <w:kern w:val="2"/>
          <w:lang w:val="en-US" w:eastAsia="es-MX"/>
          <w14:ligatures w14:val="standardContextual"/>
        </w:rPr>
        <w:t>Journal of Bisexuality, 11</w:t>
      </w:r>
      <w:r w:rsidRPr="00587332">
        <w:rPr>
          <w:kern w:val="2"/>
          <w:lang w:val="en-US" w:eastAsia="es-MX"/>
          <w14:ligatures w14:val="standardContextual"/>
        </w:rPr>
        <w:t xml:space="preserve">(2-3), 207-226. </w:t>
      </w:r>
      <w:hyperlink r:id="rId28" w:history="1">
        <w:r w:rsidRPr="00587332">
          <w:rPr>
            <w:color w:val="467886"/>
            <w:kern w:val="2"/>
            <w:u w:val="single"/>
            <w:lang w:val="es-MX" w:eastAsia="es-MX"/>
            <w14:ligatures w14:val="standardContextual"/>
          </w:rPr>
          <w:t>http://dx.doi.org/10.1080/15299716.2011.571986</w:t>
        </w:r>
      </w:hyperlink>
    </w:p>
    <w:p w14:paraId="46EB2BAC" w14:textId="77777777" w:rsidR="00587332" w:rsidRPr="00587332" w:rsidRDefault="00587332" w:rsidP="00587332">
      <w:pPr>
        <w:ind w:left="709" w:hanging="709"/>
        <w:rPr>
          <w:kern w:val="2"/>
          <w:lang w:val="es-MX" w:eastAsia="es-MX"/>
          <w14:ligatures w14:val="standardContextual"/>
        </w:rPr>
      </w:pPr>
      <w:r w:rsidRPr="00587332">
        <w:rPr>
          <w:kern w:val="2"/>
          <w:lang w:val="es-MX" w:eastAsia="es-MX"/>
          <w14:ligatures w14:val="standardContextual"/>
        </w:rPr>
        <w:t xml:space="preserve">Ortega-Bastidas, J. (2020). ¿Cómo saturamos los datos? Una propuesta analítica “desde” y “para” la investigación cualitativa. </w:t>
      </w:r>
      <w:r w:rsidRPr="00587332">
        <w:rPr>
          <w:i/>
          <w:iCs/>
          <w:kern w:val="2"/>
          <w:lang w:val="es-MX" w:eastAsia="es-MX"/>
          <w14:ligatures w14:val="standardContextual"/>
        </w:rPr>
        <w:t>Interciencia, 45</w:t>
      </w:r>
      <w:r w:rsidRPr="00587332">
        <w:rPr>
          <w:kern w:val="2"/>
          <w:lang w:val="es-MX" w:eastAsia="es-MX"/>
          <w14:ligatures w14:val="standardContextual"/>
        </w:rPr>
        <w:t xml:space="preserve">(6), 293-299. </w:t>
      </w:r>
      <w:hyperlink r:id="rId29" w:history="1">
        <w:r w:rsidRPr="00587332">
          <w:rPr>
            <w:color w:val="467886"/>
            <w:kern w:val="2"/>
            <w:u w:val="single"/>
            <w:lang w:val="es-MX" w:eastAsia="es-MX"/>
            <w14:ligatures w14:val="standardContextual"/>
          </w:rPr>
          <w:t>https://www.redalyc.org/articulo.oa?id=33963459007</w:t>
        </w:r>
      </w:hyperlink>
    </w:p>
    <w:p w14:paraId="46F74B89" w14:textId="77777777" w:rsidR="00587332" w:rsidRPr="00587332" w:rsidRDefault="00587332" w:rsidP="00587332">
      <w:pPr>
        <w:ind w:left="709" w:hanging="709"/>
        <w:rPr>
          <w:kern w:val="2"/>
          <w:lang w:val="fr-FR" w:eastAsia="es-MX"/>
          <w14:ligatures w14:val="standardContextual"/>
        </w:rPr>
      </w:pPr>
      <w:r w:rsidRPr="00587332">
        <w:rPr>
          <w:kern w:val="2"/>
          <w:lang w:val="es-MX" w:eastAsia="es-MX"/>
          <w14:ligatures w14:val="standardContextual"/>
        </w:rPr>
        <w:t xml:space="preserve">Pennasilico, A., &amp; Amodeo, A. L. (2019). </w:t>
      </w:r>
      <w:r w:rsidRPr="00587332">
        <w:rPr>
          <w:kern w:val="2"/>
          <w:lang w:val="en-US" w:eastAsia="es-MX"/>
          <w14:ligatures w14:val="standardContextual"/>
        </w:rPr>
        <w:t xml:space="preserve">The Invisi_les: Biphobia, Bisexual Erasure and Their Impact on Mental Health. </w:t>
      </w:r>
      <w:r w:rsidRPr="00587332">
        <w:rPr>
          <w:i/>
          <w:iCs/>
          <w:kern w:val="2"/>
          <w:lang w:val="fr-FR" w:eastAsia="es-MX"/>
          <w14:ligatures w14:val="standardContextual"/>
        </w:rPr>
        <w:t>PuntoOrg International Journal, 4</w:t>
      </w:r>
      <w:r w:rsidRPr="00587332">
        <w:rPr>
          <w:kern w:val="2"/>
          <w:lang w:val="fr-FR" w:eastAsia="es-MX"/>
          <w14:ligatures w14:val="standardContextual"/>
        </w:rPr>
        <w:t xml:space="preserve">(1), 21-28. </w:t>
      </w:r>
      <w:hyperlink r:id="rId30" w:history="1">
        <w:r w:rsidRPr="00587332">
          <w:rPr>
            <w:color w:val="467886"/>
            <w:kern w:val="2"/>
            <w:u w:val="single"/>
            <w:lang w:val="fr-FR" w:eastAsia="es-MX"/>
            <w14:ligatures w14:val="standardContextual"/>
          </w:rPr>
          <w:t>https://www.puntoorginternationaljournal.org/index.php/PIJ/article/download/60/46</w:t>
        </w:r>
      </w:hyperlink>
    </w:p>
    <w:p w14:paraId="1819AFBF" w14:textId="77777777" w:rsidR="00587332" w:rsidRPr="00587332" w:rsidRDefault="00587332" w:rsidP="00587332">
      <w:pPr>
        <w:ind w:left="709" w:hanging="709"/>
        <w:rPr>
          <w:kern w:val="2"/>
          <w:lang w:val="en-US" w:eastAsia="es-MX"/>
          <w14:ligatures w14:val="standardContextual"/>
        </w:rPr>
      </w:pPr>
      <w:r w:rsidRPr="00587332">
        <w:rPr>
          <w:kern w:val="2"/>
          <w:lang w:val="es-MX" w:eastAsia="es-MX"/>
          <w14:ligatures w14:val="standardContextual"/>
        </w:rPr>
        <w:t xml:space="preserve">Salinas, C. (2022). Contra el “privilegio” de quedarse calladas: mujeres bisexualas en resistencia. </w:t>
      </w:r>
      <w:r w:rsidRPr="00587332">
        <w:rPr>
          <w:i/>
          <w:iCs/>
          <w:kern w:val="2"/>
          <w:lang w:val="es-MX" w:eastAsia="es-MX"/>
          <w14:ligatures w14:val="standardContextual"/>
        </w:rPr>
        <w:t>Revista del Laboratorio Iberoamericano para el Estudio Sociohistórico de las Sexualidades, 8</w:t>
      </w:r>
      <w:r w:rsidRPr="00587332">
        <w:rPr>
          <w:kern w:val="2"/>
          <w:lang w:val="es-MX" w:eastAsia="es-MX"/>
          <w14:ligatures w14:val="standardContextual"/>
        </w:rPr>
        <w:t xml:space="preserve">, 15–35. </w:t>
      </w:r>
      <w:hyperlink r:id="rId31" w:history="1">
        <w:r w:rsidRPr="00587332">
          <w:rPr>
            <w:color w:val="467886"/>
            <w:kern w:val="2"/>
            <w:u w:val="single"/>
            <w:lang w:val="en-US" w:eastAsia="es-MX"/>
            <w14:ligatures w14:val="standardContextual"/>
          </w:rPr>
          <w:t>https://doi.org/10.46661/relies.6840</w:t>
        </w:r>
      </w:hyperlink>
    </w:p>
    <w:p w14:paraId="2C77F839" w14:textId="77777777" w:rsidR="00587332" w:rsidRPr="00587332" w:rsidRDefault="00587332" w:rsidP="00587332">
      <w:pPr>
        <w:ind w:left="709" w:hanging="709"/>
        <w:rPr>
          <w:kern w:val="2"/>
          <w:lang w:val="en-US" w:eastAsia="es-MX"/>
          <w14:ligatures w14:val="standardContextual"/>
        </w:rPr>
      </w:pPr>
      <w:r w:rsidRPr="00587332">
        <w:rPr>
          <w:kern w:val="2"/>
          <w:lang w:val="en-US" w:eastAsia="es-MX"/>
          <w14:ligatures w14:val="standardContextual"/>
        </w:rPr>
        <w:t xml:space="preserve">Scherrer, K. S., Kazyak, E., &amp; Schmitz, R. (2015). Getting “Bi” in the Family: Bisexual People’s Disclosure Experiences. </w:t>
      </w:r>
      <w:r w:rsidRPr="00587332">
        <w:rPr>
          <w:i/>
          <w:iCs/>
          <w:kern w:val="2"/>
          <w:lang w:val="en-US" w:eastAsia="es-MX"/>
          <w14:ligatures w14:val="standardContextual"/>
        </w:rPr>
        <w:t>Journal of Marriage and Family, 77</w:t>
      </w:r>
      <w:r w:rsidRPr="00587332">
        <w:rPr>
          <w:kern w:val="2"/>
          <w:lang w:val="en-US" w:eastAsia="es-MX"/>
          <w14:ligatures w14:val="standardContextual"/>
        </w:rPr>
        <w:t xml:space="preserve">(3), 680-696. </w:t>
      </w:r>
      <w:hyperlink r:id="rId32" w:history="1">
        <w:r w:rsidRPr="00587332">
          <w:rPr>
            <w:color w:val="467886"/>
            <w:kern w:val="2"/>
            <w:u w:val="single"/>
            <w:lang w:val="en-US" w:eastAsia="es-MX"/>
            <w14:ligatures w14:val="standardContextual"/>
          </w:rPr>
          <w:t>https://doi.org/10.1111/jomf.12190</w:t>
        </w:r>
      </w:hyperlink>
    </w:p>
    <w:p w14:paraId="117A6146" w14:textId="77777777" w:rsidR="00587332" w:rsidRPr="00587332" w:rsidRDefault="00587332" w:rsidP="00587332">
      <w:pPr>
        <w:ind w:left="709" w:hanging="709"/>
        <w:rPr>
          <w:kern w:val="2"/>
          <w:lang w:val="en-US" w:eastAsia="es-MX"/>
          <w14:ligatures w14:val="standardContextual"/>
        </w:rPr>
      </w:pPr>
      <w:r w:rsidRPr="00587332">
        <w:rPr>
          <w:kern w:val="2"/>
          <w:lang w:val="en-US" w:eastAsia="es-MX"/>
          <w14:ligatures w14:val="standardContextual"/>
        </w:rPr>
        <w:t xml:space="preserve">Todd, M. E., Oravecz, L., &amp; Vejar, C. (2016). Biphobia in the Family Context: Experiences and Perceptions of Bisexual Individuals. </w:t>
      </w:r>
      <w:r w:rsidRPr="00587332">
        <w:rPr>
          <w:i/>
          <w:iCs/>
          <w:kern w:val="2"/>
          <w:lang w:val="en-US" w:eastAsia="es-MX"/>
          <w14:ligatures w14:val="standardContextual"/>
        </w:rPr>
        <w:t>Journal of Bisexuality, 16</w:t>
      </w:r>
      <w:r w:rsidRPr="00587332">
        <w:rPr>
          <w:kern w:val="2"/>
          <w:lang w:val="en-US" w:eastAsia="es-MX"/>
          <w14:ligatures w14:val="standardContextual"/>
        </w:rPr>
        <w:t xml:space="preserve">(2), 144-162. </w:t>
      </w:r>
      <w:hyperlink r:id="rId33" w:history="1">
        <w:r w:rsidRPr="00587332">
          <w:rPr>
            <w:color w:val="467886"/>
            <w:kern w:val="2"/>
            <w:u w:val="single"/>
            <w:lang w:val="en-US" w:eastAsia="es-MX"/>
            <w14:ligatures w14:val="standardContextual"/>
          </w:rPr>
          <w:t>https://doi.org/10.1080/15299716.2016.1165781</w:t>
        </w:r>
      </w:hyperlink>
    </w:p>
    <w:p w14:paraId="1EF2879C" w14:textId="77777777" w:rsidR="00587332" w:rsidRPr="00587332" w:rsidRDefault="00587332" w:rsidP="00587332">
      <w:pPr>
        <w:ind w:left="709" w:hanging="709"/>
        <w:rPr>
          <w:kern w:val="2"/>
          <w:lang w:val="en-US" w:eastAsia="es-MX"/>
          <w14:ligatures w14:val="standardContextual"/>
        </w:rPr>
      </w:pPr>
      <w:r w:rsidRPr="00587332">
        <w:rPr>
          <w:kern w:val="2"/>
          <w:lang w:val="en-US" w:eastAsia="es-MX"/>
          <w14:ligatures w14:val="standardContextual"/>
        </w:rPr>
        <w:t xml:space="preserve">Velasco, J., Miranda-Tena, A., Sanmartín, F. J. (2024). Bisexual Discrimination, Internalized Binegativity and their Impact on Mental Health. </w:t>
      </w:r>
      <w:r w:rsidRPr="00587332">
        <w:rPr>
          <w:i/>
          <w:iCs/>
          <w:kern w:val="2"/>
          <w:lang w:val="en-US" w:eastAsia="es-MX"/>
          <w14:ligatures w14:val="standardContextual"/>
        </w:rPr>
        <w:t>Sexuality Research and Social Policy, 21</w:t>
      </w:r>
      <w:r w:rsidRPr="00587332">
        <w:rPr>
          <w:kern w:val="2"/>
          <w:lang w:val="en-US" w:eastAsia="es-MX"/>
          <w14:ligatures w14:val="standardContextual"/>
        </w:rPr>
        <w:t xml:space="preserve">, 1100-1111. </w:t>
      </w:r>
      <w:hyperlink r:id="rId34" w:history="1">
        <w:r w:rsidRPr="00587332">
          <w:rPr>
            <w:color w:val="467886"/>
            <w:kern w:val="2"/>
            <w:u w:val="single"/>
            <w:lang w:val="en-US" w:eastAsia="es-MX"/>
            <w14:ligatures w14:val="standardContextual"/>
          </w:rPr>
          <w:t>https://doi.org/10.1007/s13178-024-00990-9</w:t>
        </w:r>
      </w:hyperlink>
    </w:p>
    <w:p w14:paraId="59492298" w14:textId="77777777" w:rsidR="00587332" w:rsidRPr="00587332" w:rsidRDefault="00587332" w:rsidP="00587332">
      <w:pPr>
        <w:ind w:left="709" w:hanging="709"/>
        <w:rPr>
          <w:kern w:val="2"/>
          <w:lang w:val="en-US" w:eastAsia="es-MX"/>
          <w14:ligatures w14:val="standardContextual"/>
        </w:rPr>
      </w:pPr>
      <w:r w:rsidRPr="00587332">
        <w:rPr>
          <w:kern w:val="2"/>
          <w:lang w:val="en-US" w:eastAsia="es-MX"/>
          <w14:ligatures w14:val="standardContextual"/>
        </w:rPr>
        <w:t xml:space="preserve">Vencill, J. A., Carlson, S., Iantaffi, A., &amp; Miner, M. (2018). Mental health, relationships, and sex: exploring patterns among bisexual individuals in mixed orientation relationships. </w:t>
      </w:r>
      <w:r w:rsidRPr="00587332">
        <w:rPr>
          <w:i/>
          <w:iCs/>
          <w:kern w:val="2"/>
          <w:lang w:val="en-US" w:eastAsia="es-MX"/>
          <w14:ligatures w14:val="standardContextual"/>
        </w:rPr>
        <w:t>Sexual and Relationship Therapy, 33</w:t>
      </w:r>
      <w:r w:rsidRPr="00587332">
        <w:rPr>
          <w:kern w:val="2"/>
          <w:lang w:val="en-US" w:eastAsia="es-MX"/>
          <w14:ligatures w14:val="standardContextual"/>
        </w:rPr>
        <w:t xml:space="preserve">(1-2), 14-33. </w:t>
      </w:r>
      <w:hyperlink r:id="rId35" w:history="1">
        <w:r w:rsidRPr="00587332">
          <w:rPr>
            <w:color w:val="467886"/>
            <w:kern w:val="2"/>
            <w:u w:val="single"/>
            <w:lang w:val="en-US" w:eastAsia="es-MX"/>
            <w14:ligatures w14:val="standardContextual"/>
          </w:rPr>
          <w:t>https://doi.org/10.1080/14681994.2017.1419570</w:t>
        </w:r>
      </w:hyperlink>
    </w:p>
    <w:p w14:paraId="65C10087" w14:textId="77777777" w:rsidR="00587332" w:rsidRPr="00587332" w:rsidRDefault="00587332" w:rsidP="00587332">
      <w:pPr>
        <w:ind w:left="709" w:hanging="709"/>
        <w:rPr>
          <w:kern w:val="2"/>
          <w:lang w:val="en-US" w:eastAsia="es-MX"/>
          <w14:ligatures w14:val="standardContextual"/>
        </w:rPr>
      </w:pPr>
      <w:r w:rsidRPr="00587332">
        <w:rPr>
          <w:kern w:val="2"/>
          <w:lang w:val="en-US" w:eastAsia="es-MX"/>
          <w14:ligatures w14:val="standardContextual"/>
        </w:rPr>
        <w:t xml:space="preserve">Vonlanthen, C., &amp; Roy-Charland, A., (2024). Biphobia: A Systematic Literature Review. Canadian Psychology, </w:t>
      </w:r>
      <w:r w:rsidRPr="00587332">
        <w:rPr>
          <w:i/>
          <w:iCs/>
          <w:kern w:val="2"/>
          <w:lang w:val="en-US" w:eastAsia="es-MX"/>
          <w14:ligatures w14:val="standardContextual"/>
        </w:rPr>
        <w:t>Advanced online publication,</w:t>
      </w:r>
      <w:r w:rsidRPr="00587332">
        <w:rPr>
          <w:kern w:val="2"/>
          <w:lang w:val="en-US" w:eastAsia="es-MX"/>
          <w14:ligatures w14:val="standardContextual"/>
        </w:rPr>
        <w:t xml:space="preserve"> 1-19. </w:t>
      </w:r>
      <w:hyperlink r:id="rId36" w:history="1">
        <w:r w:rsidRPr="00587332">
          <w:rPr>
            <w:color w:val="467886"/>
            <w:kern w:val="2"/>
            <w:u w:val="single"/>
            <w:lang w:val="en-US" w:eastAsia="es-MX"/>
            <w14:ligatures w14:val="standardContextual"/>
          </w:rPr>
          <w:t>https://doi.org/10.1037/cap0000400</w:t>
        </w:r>
      </w:hyperlink>
    </w:p>
    <w:p w14:paraId="383E16AE" w14:textId="77777777" w:rsidR="00587332" w:rsidRPr="00587332" w:rsidRDefault="00587332" w:rsidP="00587332">
      <w:pPr>
        <w:ind w:left="709" w:hanging="709"/>
        <w:rPr>
          <w:kern w:val="2"/>
          <w:lang w:val="en-US" w:eastAsia="es-MX"/>
          <w14:ligatures w14:val="standardContextual"/>
        </w:rPr>
      </w:pPr>
      <w:r w:rsidRPr="00587332">
        <w:rPr>
          <w:kern w:val="2"/>
          <w:lang w:val="en-US" w:eastAsia="es-MX"/>
          <w14:ligatures w14:val="standardContextual"/>
        </w:rPr>
        <w:t xml:space="preserve">Wandrey, R. L., Mosack, K. E., &amp; Moore, E. M. (2015). Coming Out to Family and Friends as Bisexually Identified Young Adult Women: A Discussion of Homophobia, Biphobia, and Heteronormativity. </w:t>
      </w:r>
      <w:r w:rsidRPr="00587332">
        <w:rPr>
          <w:i/>
          <w:iCs/>
          <w:kern w:val="2"/>
          <w:lang w:val="en-US" w:eastAsia="es-MX"/>
          <w14:ligatures w14:val="standardContextual"/>
        </w:rPr>
        <w:t>Journal of Bisexuality, 15</w:t>
      </w:r>
      <w:r w:rsidRPr="00587332">
        <w:rPr>
          <w:kern w:val="2"/>
          <w:lang w:val="en-US" w:eastAsia="es-MX"/>
          <w14:ligatures w14:val="standardContextual"/>
        </w:rPr>
        <w:t xml:space="preserve">(2), 204-229. </w:t>
      </w:r>
      <w:hyperlink r:id="rId37" w:history="1">
        <w:r w:rsidRPr="00587332">
          <w:rPr>
            <w:color w:val="467886"/>
            <w:kern w:val="2"/>
            <w:u w:val="single"/>
            <w:lang w:val="en-US" w:eastAsia="es-MX"/>
            <w14:ligatures w14:val="standardContextual"/>
          </w:rPr>
          <w:t>https://doi.org/10.1080/15299716.2015.1018657</w:t>
        </w:r>
      </w:hyperlink>
    </w:p>
    <w:p w14:paraId="40F8F0AB" w14:textId="77777777" w:rsidR="00587332" w:rsidRPr="00587332" w:rsidRDefault="00587332" w:rsidP="00587332">
      <w:pPr>
        <w:ind w:left="709" w:hanging="709"/>
        <w:rPr>
          <w:kern w:val="2"/>
          <w:lang w:val="en-US" w:eastAsia="es-MX"/>
          <w14:ligatures w14:val="standardContextual"/>
        </w:rPr>
      </w:pPr>
      <w:r w:rsidRPr="00587332">
        <w:rPr>
          <w:kern w:val="2"/>
          <w:lang w:val="en-US" w:eastAsia="es-MX"/>
          <w14:ligatures w14:val="standardContextual"/>
        </w:rPr>
        <w:t xml:space="preserve">Xavier, C. D., Feinstein, B. A., Sales, J. M., Girod, C., &amp; Yount, K. M. (2021). Outness, Discrimination, and Depressive Symptoms Among Bi + Women: The Roles of Partner Gender and Sexual Identity. </w:t>
      </w:r>
      <w:r w:rsidRPr="00587332">
        <w:rPr>
          <w:i/>
          <w:iCs/>
          <w:kern w:val="2"/>
          <w:lang w:val="en-US" w:eastAsia="es-MX"/>
          <w14:ligatures w14:val="standardContextual"/>
        </w:rPr>
        <w:t>Journal of Bisexuality, 21</w:t>
      </w:r>
      <w:r w:rsidRPr="00587332">
        <w:rPr>
          <w:kern w:val="2"/>
          <w:lang w:val="en-US" w:eastAsia="es-MX"/>
          <w14:ligatures w14:val="standardContextual"/>
        </w:rPr>
        <w:t xml:space="preserve">(1), 24-41. </w:t>
      </w:r>
      <w:hyperlink r:id="rId38" w:history="1">
        <w:r w:rsidRPr="00587332">
          <w:rPr>
            <w:color w:val="467886"/>
            <w:kern w:val="2"/>
            <w:u w:val="single"/>
            <w:lang w:val="en-US" w:eastAsia="es-MX"/>
            <w14:ligatures w14:val="standardContextual"/>
          </w:rPr>
          <w:t>https://doi.org/10.1080/15299716.2021.1886219</w:t>
        </w:r>
      </w:hyperlink>
    </w:p>
    <w:p w14:paraId="6E87BC15" w14:textId="77777777" w:rsidR="00200A0D" w:rsidRPr="00764FC9" w:rsidRDefault="00200A0D" w:rsidP="00F35236">
      <w:pPr>
        <w:jc w:val="both"/>
        <w:rPr>
          <w:lang w:val="en-US"/>
        </w:rPr>
      </w:pPr>
    </w:p>
    <w:p w14:paraId="684761A5" w14:textId="77777777" w:rsidR="00200A0D" w:rsidRDefault="00000000">
      <w:pPr>
        <w:shd w:val="clear" w:color="auto" w:fill="FFFFFF"/>
        <w:jc w:val="right"/>
        <w:rPr>
          <w:i/>
          <w:sz w:val="20"/>
          <w:szCs w:val="20"/>
        </w:rPr>
      </w:pPr>
      <w:r>
        <w:rPr>
          <w:i/>
          <w:sz w:val="20"/>
          <w:szCs w:val="20"/>
        </w:rPr>
        <w:t xml:space="preserve">Received: </w:t>
      </w:r>
    </w:p>
    <w:p w14:paraId="28E6CE84" w14:textId="37CEFB16" w:rsidR="00200A0D" w:rsidRPr="00AC7BE0" w:rsidRDefault="00000000" w:rsidP="00AC7BE0">
      <w:pPr>
        <w:shd w:val="clear" w:color="auto" w:fill="FFFFFF"/>
        <w:jc w:val="right"/>
        <w:rPr>
          <w:i/>
          <w:sz w:val="20"/>
          <w:szCs w:val="20"/>
        </w:rPr>
      </w:pPr>
      <w:r>
        <w:rPr>
          <w:i/>
          <w:sz w:val="20"/>
          <w:szCs w:val="20"/>
        </w:rPr>
        <w:t>Accepted:</w:t>
      </w:r>
    </w:p>
    <w:sectPr w:rsidR="00200A0D" w:rsidRPr="00AC7BE0" w:rsidSect="00BF34A3">
      <w:headerReference w:type="even" r:id="rId39"/>
      <w:headerReference w:type="default" r:id="rId40"/>
      <w:footerReference w:type="even" r:id="rId41"/>
      <w:footerReference w:type="default" r:id="rId42"/>
      <w:pgSz w:w="11906" w:h="16838" w:code="9"/>
      <w:pgMar w:top="1418" w:right="1418" w:bottom="1418" w:left="1418"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7AA1E" w14:textId="77777777" w:rsidR="00A53987" w:rsidRDefault="00A53987">
      <w:r>
        <w:separator/>
      </w:r>
    </w:p>
  </w:endnote>
  <w:endnote w:type="continuationSeparator" w:id="0">
    <w:p w14:paraId="042D2DAC" w14:textId="77777777" w:rsidR="00A53987" w:rsidRDefault="00A53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29CCA333-F3C4-485F-8BB8-ECF0B7906A46}"/>
  </w:font>
  <w:font w:name="Calibri">
    <w:panose1 w:val="020F0502020204030204"/>
    <w:charset w:val="00"/>
    <w:family w:val="swiss"/>
    <w:pitch w:val="variable"/>
    <w:sig w:usb0="E4002EFF" w:usb1="C200247B" w:usb2="00000009" w:usb3="00000000" w:csb0="000001FF" w:csb1="00000000"/>
    <w:embedRegular r:id="rId2" w:fontKey="{8CD59F7C-5DE5-4B64-857E-B96FE3C1A85D}"/>
  </w:font>
  <w:font w:name="Times">
    <w:panose1 w:val="02020603050405020304"/>
    <w:charset w:val="00"/>
    <w:family w:val="roman"/>
    <w:pitch w:val="variable"/>
    <w:sig w:usb0="E0002EFF" w:usb1="C000785B" w:usb2="00000009" w:usb3="00000000" w:csb0="000001FF" w:csb1="00000000"/>
    <w:embedRegular r:id="rId3" w:fontKey="{AF96E77F-22D7-4EDC-95C2-BB2F1B1C5BFF}"/>
    <w:embedItalic r:id="rId4" w:fontKey="{CF47C937-1F92-49D4-8BDC-35B9D359846F}"/>
    <w:embedBoldItalic r:id="rId5" w:fontKey="{4F65A6D2-09B8-4E0F-86E0-9C99427D2A76}"/>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6" w:fontKey="{8C2EB8D9-F819-49E8-8B4C-B7B39A4897F3}"/>
    <w:embedItalic r:id="rId7" w:fontKey="{D1A53BBB-30AB-48D3-A050-5530A784ECAF}"/>
  </w:font>
  <w:font w:name="Aptos">
    <w:charset w:val="00"/>
    <w:family w:val="swiss"/>
    <w:pitch w:val="variable"/>
    <w:sig w:usb0="20000287" w:usb1="00000003" w:usb2="00000000" w:usb3="00000000" w:csb0="0000019F" w:csb1="00000000"/>
    <w:embedRegular r:id="rId8" w:fontKey="{E6FAE66F-C780-42D6-B0CC-634B410915C1}"/>
    <w:embedBold r:id="rId9" w:fontKey="{CD0D5C63-7882-45A2-BD90-3DD3B1B3E06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653F2" w14:textId="77777777" w:rsidR="00200A0D"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764FC9">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5A8F395D" w14:textId="77777777" w:rsidR="00200A0D" w:rsidRDefault="00200A0D">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42607" w14:textId="77777777" w:rsidR="00200A0D"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764FC9">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4A73BC8D" w14:textId="77777777" w:rsidR="00200A0D" w:rsidRDefault="00200A0D">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1FC71" w14:textId="77777777" w:rsidR="00A53987" w:rsidRDefault="00A53987">
      <w:r>
        <w:separator/>
      </w:r>
    </w:p>
  </w:footnote>
  <w:footnote w:type="continuationSeparator" w:id="0">
    <w:p w14:paraId="5F1EA6D6" w14:textId="77777777" w:rsidR="00A53987" w:rsidRDefault="00A539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B5DAD" w14:textId="77777777" w:rsidR="00200A0D" w:rsidRDefault="00000000">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r>
      <w:rPr>
        <w:rFonts w:ascii="Times" w:eastAsia="Times" w:hAnsi="Times" w:cs="Times"/>
        <w:smallCaps/>
        <w:color w:val="000000"/>
        <w:sz w:val="20"/>
        <w:szCs w:val="20"/>
      </w:rPr>
      <w:t>Modelo de Envío de Manuscrito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576A6" w14:textId="77777777" w:rsidR="00200A0D"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Psicología/Interamerican Journal of Psychology</w:t>
    </w:r>
    <w:r>
      <w:rPr>
        <w:noProof/>
      </w:rPr>
      <w:drawing>
        <wp:anchor distT="0" distB="0" distL="114300" distR="114300" simplePos="0" relativeHeight="251658240" behindDoc="0" locked="0" layoutInCell="1" hidden="0" allowOverlap="1" wp14:anchorId="5BA0779D" wp14:editId="3619B3ED">
          <wp:simplePos x="0" y="0"/>
          <wp:positionH relativeFrom="column">
            <wp:posOffset>64656</wp:posOffset>
          </wp:positionH>
          <wp:positionV relativeFrom="paragraph">
            <wp:posOffset>-253536</wp:posOffset>
          </wp:positionV>
          <wp:extent cx="681164" cy="628073"/>
          <wp:effectExtent l="0" t="0" r="0" b="0"/>
          <wp:wrapNone/>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03A56F03" w14:textId="77777777" w:rsidR="00200A0D"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Times" w:eastAsia="Times" w:hAnsi="Times" w:cs="Times"/>
        <w:i/>
        <w:color w:val="000000"/>
        <w:sz w:val="18"/>
        <w:szCs w:val="18"/>
      </w:rPr>
      <w:t>Modelo de Envío de Manuscrito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7265F"/>
    <w:multiLevelType w:val="multilevel"/>
    <w:tmpl w:val="9560155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533377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A0D"/>
    <w:rsid w:val="00062270"/>
    <w:rsid w:val="001517F5"/>
    <w:rsid w:val="001F6F49"/>
    <w:rsid w:val="00200A0D"/>
    <w:rsid w:val="002456A7"/>
    <w:rsid w:val="002D6E17"/>
    <w:rsid w:val="003D3F44"/>
    <w:rsid w:val="0046544F"/>
    <w:rsid w:val="00530C0B"/>
    <w:rsid w:val="00551832"/>
    <w:rsid w:val="00587332"/>
    <w:rsid w:val="00764FC9"/>
    <w:rsid w:val="0079451A"/>
    <w:rsid w:val="007C7491"/>
    <w:rsid w:val="00840FFA"/>
    <w:rsid w:val="008F2F7E"/>
    <w:rsid w:val="00941455"/>
    <w:rsid w:val="00973E9C"/>
    <w:rsid w:val="00A53987"/>
    <w:rsid w:val="00A631F6"/>
    <w:rsid w:val="00AC7BE0"/>
    <w:rsid w:val="00B454D9"/>
    <w:rsid w:val="00B54C64"/>
    <w:rsid w:val="00B85256"/>
    <w:rsid w:val="00BF34A3"/>
    <w:rsid w:val="00C32FC9"/>
    <w:rsid w:val="00C42974"/>
    <w:rsid w:val="00D0634A"/>
    <w:rsid w:val="00DD06E8"/>
    <w:rsid w:val="00F352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6C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AR"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lang w:val="es-ES_tradnl"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styleId="Tablanormal2">
    <w:name w:val="Plain Table 2"/>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nfasis3">
    <w:name w:val="List Table 6 Colorful Accent 3"/>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4">
    <w:name w:val="Plain Table 4"/>
    <w:basedOn w:val="Tab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0">
    <w:name w:val="Table Normal"/>
    <w:rsid w:val="00F92F1A"/>
    <w:pPr>
      <w:pBdr>
        <w:top w:val="nil"/>
        <w:left w:val="nil"/>
        <w:bottom w:val="nil"/>
        <w:right w:val="nil"/>
        <w:between w:val="nil"/>
        <w:bar w:val="nil"/>
      </w:pBdr>
    </w:pPr>
    <w:rPr>
      <w:rFonts w:eastAsia="Arial Unicode MS"/>
      <w:sz w:val="20"/>
      <w:szCs w:val="20"/>
      <w:bdr w:val="nil"/>
      <w:lang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table" w:customStyle="1" w:styleId="Tablaconcuadrcula1">
    <w:name w:val="Tabla con cuadrícula1"/>
    <w:basedOn w:val="Tablanormal"/>
    <w:next w:val="Tablaconcuadrcula"/>
    <w:uiPriority w:val="39"/>
    <w:rsid w:val="00764FC9"/>
    <w:rPr>
      <w:rFonts w:ascii="Aptos" w:hAnsi="Aptos"/>
      <w:kern w:val="2"/>
      <w:lang w:val="es-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456A7"/>
    <w:rPr>
      <w:sz w:val="16"/>
      <w:szCs w:val="16"/>
    </w:rPr>
  </w:style>
  <w:style w:type="paragraph" w:styleId="Textocomentario">
    <w:name w:val="annotation text"/>
    <w:basedOn w:val="Normal"/>
    <w:link w:val="TextocomentarioCar"/>
    <w:uiPriority w:val="99"/>
    <w:unhideWhenUsed/>
    <w:rsid w:val="002456A7"/>
    <w:rPr>
      <w:sz w:val="20"/>
      <w:szCs w:val="20"/>
    </w:rPr>
  </w:style>
  <w:style w:type="character" w:customStyle="1" w:styleId="TextocomentarioCar">
    <w:name w:val="Texto comentario Car"/>
    <w:basedOn w:val="Fuentedeprrafopredeter"/>
    <w:link w:val="Textocomentario"/>
    <w:uiPriority w:val="99"/>
    <w:rsid w:val="002456A7"/>
    <w:rPr>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2456A7"/>
    <w:rPr>
      <w:b/>
      <w:bCs/>
    </w:rPr>
  </w:style>
  <w:style w:type="character" w:customStyle="1" w:styleId="AsuntodelcomentarioCar">
    <w:name w:val="Asunto del comentario Car"/>
    <w:basedOn w:val="TextocomentarioCar"/>
    <w:link w:val="Asuntodelcomentario"/>
    <w:uiPriority w:val="99"/>
    <w:semiHidden/>
    <w:rsid w:val="002456A7"/>
    <w:rPr>
      <w:b/>
      <w:bCs/>
      <w:sz w:val="20"/>
      <w:szCs w:val="20"/>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conapred.org.mx/2023-024-enfatiza-conapred-que-personas-bisexuales-aun-enfrentan-violencias-que-las-invisibilizan/" TargetMode="External"/><Relationship Id="rId18" Type="http://schemas.openxmlformats.org/officeDocument/2006/relationships/hyperlink" Target="https://doi.org/10.1080/15298868.2019.1625435" TargetMode="External"/><Relationship Id="rId26" Type="http://schemas.openxmlformats.org/officeDocument/2006/relationships/hyperlink" Target="https://doi.org/10.1590/S1413-81232012000300006"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iupsys.net/about/governance/universal-declaration-of-ethical-principles-for-psychologists.html" TargetMode="External"/><Relationship Id="rId34" Type="http://schemas.openxmlformats.org/officeDocument/2006/relationships/hyperlink" Target="https://doi.org/10.1007/s13178-024-00990-9"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1080/15299716.2022.2060892" TargetMode="External"/><Relationship Id="rId17" Type="http://schemas.openxmlformats.org/officeDocument/2006/relationships/hyperlink" Target="http://dx.doi.org/10.1080/15299716.2017.1319890" TargetMode="External"/><Relationship Id="rId25" Type="http://schemas.openxmlformats.org/officeDocument/2006/relationships/hyperlink" Target="https://doi.org/10.1080/15299710802659989" TargetMode="External"/><Relationship Id="rId33" Type="http://schemas.openxmlformats.org/officeDocument/2006/relationships/hyperlink" Target="https://doi.org/10.1080/15299716.2016.1165781" TargetMode="External"/><Relationship Id="rId38" Type="http://schemas.openxmlformats.org/officeDocument/2006/relationships/hyperlink" Target="https://doi.org/10.1080/15299716.2021.1886219" TargetMode="External"/><Relationship Id="rId2" Type="http://schemas.openxmlformats.org/officeDocument/2006/relationships/numbering" Target="numbering.xml"/><Relationship Id="rId16" Type="http://schemas.openxmlformats.org/officeDocument/2006/relationships/hyperlink" Target="https://doi.org/10.1080/15299716.2019.1671295" TargetMode="External"/><Relationship Id="rId20" Type="http://schemas.openxmlformats.org/officeDocument/2006/relationships/hyperlink" Target="https://doi.org/10.1177/1049732305276687" TargetMode="External"/><Relationship Id="rId29" Type="http://schemas.openxmlformats.org/officeDocument/2006/relationships/hyperlink" Target="https://www.redalyc.org/articulo.oa?id=33963459007"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0/13691058.2014.889754" TargetMode="External"/><Relationship Id="rId24" Type="http://schemas.openxmlformats.org/officeDocument/2006/relationships/hyperlink" Target="https://doi.org/10.1080/15299716.2020.1755406" TargetMode="External"/><Relationship Id="rId32" Type="http://schemas.openxmlformats.org/officeDocument/2006/relationships/hyperlink" Target="https://doi.org/10.1111/jomf.12190" TargetMode="External"/><Relationship Id="rId37" Type="http://schemas.openxmlformats.org/officeDocument/2006/relationships/hyperlink" Target="https://doi.org/10.1080/15299716.2015.1018657"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5366/jfgws2015.1.003" TargetMode="External"/><Relationship Id="rId23" Type="http://schemas.openxmlformats.org/officeDocument/2006/relationships/hyperlink" Target="https://doi.org/10.1080/15299716.2024.2321624" TargetMode="External"/><Relationship Id="rId28" Type="http://schemas.openxmlformats.org/officeDocument/2006/relationships/hyperlink" Target="http://dx.doi.org/10.1080/15299716.2011.571986" TargetMode="External"/><Relationship Id="rId36" Type="http://schemas.openxmlformats.org/officeDocument/2006/relationships/hyperlink" Target="https://doi.org/10.1037/cap0000400" TargetMode="External"/><Relationship Id="rId10" Type="http://schemas.openxmlformats.org/officeDocument/2006/relationships/hyperlink" Target="https://www.apa.org/ethics/code" TargetMode="External"/><Relationship Id="rId19" Type="http://schemas.openxmlformats.org/officeDocument/2006/relationships/hyperlink" Target="https://doi.org/10.1080/19419899.2018.1470106" TargetMode="External"/><Relationship Id="rId31" Type="http://schemas.openxmlformats.org/officeDocument/2006/relationships/hyperlink" Target="https://doi.org/10.46661/relies.684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080/15299716.2017.1382424" TargetMode="External"/><Relationship Id="rId22" Type="http://schemas.openxmlformats.org/officeDocument/2006/relationships/hyperlink" Target="https://www.inegi.org.mx/programas/endiseg/2021/" TargetMode="External"/><Relationship Id="rId27" Type="http://schemas.openxmlformats.org/officeDocument/2006/relationships/hyperlink" Target="https://doi.org/10.1002/ejsp.2773" TargetMode="External"/><Relationship Id="rId30" Type="http://schemas.openxmlformats.org/officeDocument/2006/relationships/hyperlink" Target="https://www.puntoorginternationaljournal.org/index.php/PIJ/article/download/60/46" TargetMode="External"/><Relationship Id="rId35" Type="http://schemas.openxmlformats.org/officeDocument/2006/relationships/hyperlink" Target="https://doi.org/10.1080/14681994.2017.1419570" TargetMode="Externa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OWuFDF2aysMTXGx10V/0wX6HZQ==">CgMxLjA4AHIhMU1Tb202bDNCMVhOM2FNOVJydjhrNW1vY29Qc3J5V3o2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8588</Words>
  <Characters>47236</Characters>
  <Application>Microsoft Office Word</Application>
  <DocSecurity>0</DocSecurity>
  <Lines>393</Lines>
  <Paragraphs>111</Paragraphs>
  <ScaleCrop>false</ScaleCrop>
  <Company/>
  <LinksUpToDate>false</LinksUpToDate>
  <CharactersWithSpaces>55713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2025-06-13T23:34:00Z</dcterms:created>
  <dcterms:modified xsi:type="dcterms:W3CDTF">2025-06-14T01:27:00Z</dcterms:modified>
</cp:coreProperties>
</file>