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67900" w14:textId="77777777" w:rsidR="009A0917" w:rsidRPr="00E27686" w:rsidRDefault="009A0917" w:rsidP="00A12221">
      <w:pPr>
        <w:spacing w:line="360" w:lineRule="auto"/>
        <w:jc w:val="center"/>
        <w:rPr>
          <w:rFonts w:asciiTheme="minorHAnsi" w:eastAsia="Arial" w:hAnsiTheme="minorHAnsi" w:cstheme="minorHAnsi"/>
          <w:b/>
          <w:sz w:val="24"/>
          <w:szCs w:val="24"/>
        </w:rPr>
      </w:pPr>
      <w:r w:rsidRPr="00E27686">
        <w:rPr>
          <w:rFonts w:asciiTheme="minorHAnsi" w:eastAsia="Arial" w:hAnsiTheme="minorHAnsi" w:cstheme="minorHAnsi"/>
          <w:b/>
          <w:sz w:val="24"/>
          <w:szCs w:val="24"/>
        </w:rPr>
        <w:t>Rupturas de pareja: factores determinantes en el proceso y en el bienestar postruptura.</w:t>
      </w:r>
    </w:p>
    <w:p w14:paraId="341CA960" w14:textId="77777777" w:rsidR="009A0917" w:rsidRPr="00E27686" w:rsidRDefault="009A0917" w:rsidP="00A12221">
      <w:pPr>
        <w:spacing w:line="360" w:lineRule="auto"/>
        <w:jc w:val="center"/>
        <w:rPr>
          <w:rFonts w:asciiTheme="minorHAnsi" w:eastAsia="Noto Sans Symbols" w:hAnsiTheme="minorHAnsi" w:cstheme="minorHAnsi"/>
          <w:b/>
          <w:sz w:val="24"/>
          <w:szCs w:val="24"/>
          <w:lang w:val="en-GB"/>
        </w:rPr>
      </w:pPr>
      <w:r w:rsidRPr="00E27686">
        <w:rPr>
          <w:rFonts w:asciiTheme="minorHAnsi" w:eastAsia="Noto Sans Symbols" w:hAnsiTheme="minorHAnsi" w:cstheme="minorHAnsi"/>
          <w:b/>
          <w:sz w:val="24"/>
          <w:szCs w:val="24"/>
          <w:lang w:val="en-GB"/>
        </w:rPr>
        <w:t>Romantic breakups: Influential factors in the process and subsequent well-being.</w:t>
      </w:r>
    </w:p>
    <w:p w14:paraId="1505BA3D" w14:textId="77777777" w:rsidR="009A0917" w:rsidRPr="00E27686" w:rsidRDefault="009A0917" w:rsidP="00A12221">
      <w:pPr>
        <w:spacing w:after="0" w:line="360" w:lineRule="auto"/>
        <w:rPr>
          <w:rFonts w:asciiTheme="minorHAnsi" w:eastAsia="Times New Roman" w:hAnsiTheme="minorHAnsi" w:cstheme="minorHAnsi"/>
          <w:sz w:val="24"/>
          <w:szCs w:val="24"/>
          <w:lang w:val="en-GB"/>
        </w:rPr>
      </w:pPr>
    </w:p>
    <w:p w14:paraId="2909DD5A" w14:textId="77777777" w:rsidR="009A0917" w:rsidRPr="00E27686" w:rsidRDefault="009A0917" w:rsidP="00A12221">
      <w:pPr>
        <w:spacing w:after="0" w:line="360" w:lineRule="auto"/>
        <w:rPr>
          <w:rFonts w:asciiTheme="minorHAnsi" w:eastAsia="Times New Roman" w:hAnsiTheme="minorHAnsi" w:cstheme="minorHAnsi"/>
          <w:sz w:val="24"/>
          <w:szCs w:val="24"/>
          <w:lang w:val="en-GB"/>
        </w:rPr>
      </w:pPr>
    </w:p>
    <w:p w14:paraId="77E6F789" w14:textId="77777777" w:rsidR="00447D64" w:rsidRPr="00E27686" w:rsidRDefault="00000000" w:rsidP="00A12221">
      <w:pPr>
        <w:spacing w:after="0" w:line="360" w:lineRule="auto"/>
        <w:jc w:val="both"/>
        <w:rPr>
          <w:rFonts w:asciiTheme="minorHAnsi" w:eastAsia="Times New Roman" w:hAnsiTheme="minorHAnsi" w:cstheme="minorHAnsi"/>
          <w:sz w:val="24"/>
          <w:szCs w:val="24"/>
          <w:lang w:val="en-GB"/>
        </w:rPr>
      </w:pPr>
      <w:r w:rsidRPr="00E27686">
        <w:rPr>
          <w:rFonts w:asciiTheme="minorHAnsi" w:hAnsiTheme="minorHAnsi" w:cstheme="minorHAnsi"/>
          <w:sz w:val="24"/>
          <w:szCs w:val="24"/>
          <w:lang w:val="en-GB"/>
        </w:rPr>
        <w:t xml:space="preserve">ABSTRACT </w:t>
      </w:r>
    </w:p>
    <w:p w14:paraId="46E1D8A8" w14:textId="77777777" w:rsidR="008D379F" w:rsidRPr="00E27686" w:rsidRDefault="008D379F" w:rsidP="00A12221">
      <w:pPr>
        <w:spacing w:after="0" w:line="360" w:lineRule="auto"/>
        <w:jc w:val="both"/>
        <w:rPr>
          <w:rFonts w:asciiTheme="minorHAnsi" w:eastAsia="Times New Roman" w:hAnsiTheme="minorHAnsi" w:cstheme="minorHAnsi"/>
          <w:sz w:val="24"/>
          <w:szCs w:val="24"/>
          <w:lang w:val="en-GB"/>
        </w:rPr>
      </w:pPr>
    </w:p>
    <w:p w14:paraId="72B33927" w14:textId="1E0919BE" w:rsidR="00447D64" w:rsidRPr="00E27686" w:rsidRDefault="00000000" w:rsidP="00A12221">
      <w:pPr>
        <w:spacing w:after="0" w:line="360" w:lineRule="auto"/>
        <w:ind w:firstLine="720"/>
        <w:jc w:val="both"/>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The research seeks to understand the role of relational factors such as attachment, conflict resolution strategies, and relationship quality in the choice of breakup and coping strategies post-breakup, as well as their impact on post-breakup well-being. 80 subjects who had gone through a breakup were evaluated, with measurements taken at two points 12 months apart. Levels of attachment, relationship quality, and the use of breakup and coping strategies were analyzed, along with subsequent well-being. The analyses showed that individuals with high levels of avoidance tended to use loss-focused coping strategies. Those with high levels of attachment anxiety preferred less compassionate breakup strategies. Additionally, it was found that conformist attitudes toward conflicts were incompatible with proactive life restoration strategies post-breakup. In satisfying relationships, less compassionate breakup strategies were avoided. Finally, it was demonstrated that loss-focused coping resulted in poorer psychological adjustment compared to life restoration-focused coping.</w:t>
      </w:r>
    </w:p>
    <w:p w14:paraId="60A48D12" w14:textId="77777777" w:rsidR="00447D64" w:rsidRPr="00E27686" w:rsidRDefault="00447D64" w:rsidP="00A12221">
      <w:pPr>
        <w:spacing w:after="0" w:line="360" w:lineRule="auto"/>
        <w:jc w:val="both"/>
        <w:rPr>
          <w:rFonts w:asciiTheme="minorHAnsi" w:eastAsia="Times New Roman" w:hAnsiTheme="minorHAnsi" w:cstheme="minorHAnsi"/>
          <w:sz w:val="24"/>
          <w:szCs w:val="24"/>
          <w:lang w:val="en-GB"/>
        </w:rPr>
      </w:pPr>
    </w:p>
    <w:p w14:paraId="23C4C7C7" w14:textId="77B268E0" w:rsidR="00447D64" w:rsidRPr="00E27686" w:rsidRDefault="00000000" w:rsidP="00A12221">
      <w:pPr>
        <w:spacing w:after="0" w:line="360" w:lineRule="auto"/>
        <w:jc w:val="both"/>
        <w:rPr>
          <w:rFonts w:asciiTheme="minorHAnsi" w:eastAsia="Times New Roman" w:hAnsiTheme="minorHAnsi" w:cstheme="minorHAnsi"/>
          <w:sz w:val="24"/>
          <w:szCs w:val="24"/>
          <w:lang w:val="en-GB"/>
        </w:rPr>
      </w:pPr>
      <w:r w:rsidRPr="00E27686">
        <w:rPr>
          <w:rFonts w:asciiTheme="minorHAnsi" w:eastAsia="Times New Roman" w:hAnsiTheme="minorHAnsi" w:cstheme="minorHAnsi"/>
          <w:b/>
          <w:sz w:val="24"/>
          <w:szCs w:val="24"/>
          <w:lang w:val="en-GB"/>
        </w:rPr>
        <w:t xml:space="preserve">Key words: Attachment: </w:t>
      </w:r>
      <w:r w:rsidR="009A0917" w:rsidRPr="00E27686">
        <w:rPr>
          <w:rFonts w:asciiTheme="minorHAnsi" w:eastAsia="Times New Roman" w:hAnsiTheme="minorHAnsi" w:cstheme="minorHAnsi"/>
          <w:bCs/>
          <w:sz w:val="24"/>
          <w:szCs w:val="24"/>
          <w:lang w:val="en-GB"/>
        </w:rPr>
        <w:t>young adults</w:t>
      </w:r>
      <w:r w:rsidR="009A0917" w:rsidRPr="00E27686">
        <w:rPr>
          <w:rFonts w:asciiTheme="minorHAnsi" w:eastAsia="Times New Roman" w:hAnsiTheme="minorHAnsi" w:cstheme="minorHAnsi"/>
          <w:b/>
          <w:sz w:val="24"/>
          <w:szCs w:val="24"/>
          <w:lang w:val="en-GB"/>
        </w:rPr>
        <w:t xml:space="preserve">, </w:t>
      </w:r>
      <w:r w:rsidR="001A1087" w:rsidRPr="00E27686">
        <w:rPr>
          <w:rFonts w:asciiTheme="minorHAnsi" w:eastAsia="Times New Roman" w:hAnsiTheme="minorHAnsi" w:cstheme="minorHAnsi"/>
          <w:bCs/>
          <w:sz w:val="24"/>
          <w:szCs w:val="24"/>
          <w:lang w:val="en-GB"/>
        </w:rPr>
        <w:t>a</w:t>
      </w:r>
      <w:r w:rsidRPr="00E27686">
        <w:rPr>
          <w:rFonts w:asciiTheme="minorHAnsi" w:eastAsia="Times New Roman" w:hAnsiTheme="minorHAnsi" w:cstheme="minorHAnsi"/>
          <w:bCs/>
          <w:sz w:val="24"/>
          <w:szCs w:val="24"/>
          <w:lang w:val="en-GB"/>
        </w:rPr>
        <w:t xml:space="preserve">ttachment, </w:t>
      </w:r>
      <w:r w:rsidR="001A1087" w:rsidRPr="00E27686">
        <w:rPr>
          <w:rFonts w:asciiTheme="minorHAnsi" w:eastAsia="Times New Roman" w:hAnsiTheme="minorHAnsi" w:cstheme="minorHAnsi"/>
          <w:bCs/>
          <w:sz w:val="24"/>
          <w:szCs w:val="24"/>
          <w:lang w:val="en-GB"/>
        </w:rPr>
        <w:t>conflict resolution styles</w:t>
      </w:r>
      <w:r w:rsidRPr="00E27686">
        <w:rPr>
          <w:rFonts w:asciiTheme="minorHAnsi" w:eastAsia="Times New Roman" w:hAnsiTheme="minorHAnsi" w:cstheme="minorHAnsi"/>
          <w:bCs/>
          <w:sz w:val="24"/>
          <w:szCs w:val="24"/>
          <w:lang w:val="en-GB"/>
        </w:rPr>
        <w:t xml:space="preserve">, relationship quality, post-breakup well-being, </w:t>
      </w:r>
      <w:r w:rsidR="001A1087" w:rsidRPr="00E27686">
        <w:rPr>
          <w:rFonts w:asciiTheme="minorHAnsi" w:eastAsia="Times New Roman" w:hAnsiTheme="minorHAnsi" w:cstheme="minorHAnsi"/>
          <w:bCs/>
          <w:sz w:val="24"/>
          <w:szCs w:val="24"/>
          <w:lang w:val="en-GB"/>
        </w:rPr>
        <w:t>coping strategies</w:t>
      </w:r>
      <w:r w:rsidR="00321076" w:rsidRPr="00E27686">
        <w:rPr>
          <w:rFonts w:asciiTheme="minorHAnsi" w:eastAsia="Times New Roman" w:hAnsiTheme="minorHAnsi" w:cstheme="minorHAnsi"/>
          <w:bCs/>
          <w:sz w:val="24"/>
          <w:szCs w:val="24"/>
          <w:lang w:val="en-GB"/>
        </w:rPr>
        <w:t>.</w:t>
      </w:r>
    </w:p>
    <w:p w14:paraId="22385F8A" w14:textId="77777777" w:rsidR="00447D64" w:rsidRPr="00E27686" w:rsidRDefault="00447D64" w:rsidP="00A12221">
      <w:pPr>
        <w:spacing w:line="360" w:lineRule="auto"/>
        <w:jc w:val="both"/>
        <w:rPr>
          <w:rFonts w:asciiTheme="minorHAnsi" w:hAnsiTheme="minorHAnsi" w:cstheme="minorHAnsi"/>
          <w:sz w:val="24"/>
          <w:szCs w:val="24"/>
          <w:lang w:val="en-GB"/>
        </w:rPr>
      </w:pPr>
    </w:p>
    <w:p w14:paraId="01B94311" w14:textId="77777777" w:rsidR="00E27686" w:rsidRPr="00E27686" w:rsidRDefault="00E27686" w:rsidP="00E27686">
      <w:pPr>
        <w:spacing w:after="0" w:line="360" w:lineRule="auto"/>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RESUMEN</w:t>
      </w:r>
    </w:p>
    <w:p w14:paraId="3B4E990D" w14:textId="77777777" w:rsidR="00E27686" w:rsidRPr="00E27686" w:rsidRDefault="00E27686" w:rsidP="00E27686">
      <w:pPr>
        <w:spacing w:after="0" w:line="360" w:lineRule="auto"/>
        <w:ind w:firstLine="708"/>
        <w:jc w:val="both"/>
        <w:rPr>
          <w:rFonts w:asciiTheme="minorHAnsi" w:eastAsia="Times New Roman" w:hAnsiTheme="minorHAnsi" w:cstheme="minorHAnsi"/>
          <w:sz w:val="24"/>
          <w:szCs w:val="24"/>
        </w:rPr>
      </w:pPr>
    </w:p>
    <w:p w14:paraId="51525234" w14:textId="77777777" w:rsidR="00E27686" w:rsidRPr="00E27686" w:rsidRDefault="00E27686" w:rsidP="00E27686">
      <w:pPr>
        <w:spacing w:after="0" w:line="360" w:lineRule="auto"/>
        <w:ind w:firstLine="708"/>
        <w:jc w:val="both"/>
        <w:rPr>
          <w:rFonts w:asciiTheme="minorHAnsi" w:hAnsiTheme="minorHAnsi" w:cstheme="minorHAnsi"/>
          <w:sz w:val="24"/>
          <w:szCs w:val="24"/>
        </w:rPr>
      </w:pPr>
      <w:r w:rsidRPr="00E27686">
        <w:rPr>
          <w:rFonts w:asciiTheme="minorHAnsi" w:eastAsia="Times New Roman" w:hAnsiTheme="minorHAnsi" w:cstheme="minorHAnsi"/>
          <w:sz w:val="24"/>
          <w:szCs w:val="24"/>
        </w:rPr>
        <w:t xml:space="preserve">Esta investigación busca comprender el papel de factores relacionales como el apego, las estrategias de resolución de conflictos y la calidad de la relación en la elección de estrategias de ruptura y afrontamiento tras la ruptura, así como su impacto en el bienestar postruptura. Se evaluaron 80 sujetos que habían pasado por una ruptura con medidas en dos momentos separados por 12 meses. Se analizaron niveles de apego, calidad de la relación y uso de estrategias de ruptura y afrontamiento, así como el bienestar posterior. Los análisis </w:t>
      </w:r>
      <w:r w:rsidRPr="00E27686">
        <w:rPr>
          <w:rFonts w:asciiTheme="minorHAnsi" w:eastAsia="Times New Roman" w:hAnsiTheme="minorHAnsi" w:cstheme="minorHAnsi"/>
          <w:sz w:val="24"/>
          <w:szCs w:val="24"/>
        </w:rPr>
        <w:lastRenderedPageBreak/>
        <w:t>realizados, mostraron que los individuos con altos niveles de evitación tendían a utilizar estrategias de afrontamiento centradas en la pérdida. Aquellos con altos niveles de ansiedad en el apego preferían estrategias de ruptura menos compasivas. Además, se encontró que actitudes conformistas ante los conflictos no eran compatibles con estrategias proactivas de restauración de vida tras la ruptura. También, en relaciones satisfactorias, se evitaban estrategias de ruptura poco compasivas. Finalmente, se demostró que un afrontamiento centrado en la pérdida resultaba en un peor ajuste psicológico que uno centrado en la restauración de la vida.</w:t>
      </w:r>
    </w:p>
    <w:p w14:paraId="5E28747F" w14:textId="77777777" w:rsidR="00E27686" w:rsidRPr="00E27686" w:rsidRDefault="00E27686" w:rsidP="00E27686">
      <w:pPr>
        <w:spacing w:after="0" w:line="360" w:lineRule="auto"/>
        <w:ind w:firstLine="708"/>
        <w:jc w:val="both"/>
        <w:rPr>
          <w:rFonts w:asciiTheme="minorHAnsi" w:eastAsia="Times New Roman" w:hAnsiTheme="minorHAnsi" w:cstheme="minorHAnsi"/>
          <w:sz w:val="24"/>
          <w:szCs w:val="24"/>
        </w:rPr>
      </w:pPr>
    </w:p>
    <w:p w14:paraId="510A23A6" w14:textId="77777777" w:rsidR="00E27686" w:rsidRPr="00E27686" w:rsidRDefault="00E27686" w:rsidP="00E27686">
      <w:pPr>
        <w:spacing w:after="0" w:line="360" w:lineRule="auto"/>
        <w:jc w:val="both"/>
        <w:rPr>
          <w:rFonts w:asciiTheme="minorHAnsi" w:eastAsia="Times New Roman" w:hAnsiTheme="minorHAnsi" w:cstheme="minorHAnsi"/>
          <w:sz w:val="24"/>
          <w:szCs w:val="24"/>
        </w:rPr>
      </w:pPr>
      <w:r w:rsidRPr="00E27686">
        <w:rPr>
          <w:rFonts w:asciiTheme="minorHAnsi" w:eastAsia="Times New Roman" w:hAnsiTheme="minorHAnsi" w:cstheme="minorHAnsi"/>
          <w:b/>
          <w:sz w:val="24"/>
          <w:szCs w:val="24"/>
        </w:rPr>
        <w:t>Palabras Clave</w:t>
      </w:r>
      <w:r w:rsidRPr="00E27686">
        <w:rPr>
          <w:rFonts w:asciiTheme="minorHAnsi" w:eastAsia="Times New Roman" w:hAnsiTheme="minorHAnsi" w:cstheme="minorHAnsi"/>
          <w:sz w:val="24"/>
          <w:szCs w:val="24"/>
        </w:rPr>
        <w:t>: jóvenes adultos, apego; estrategias de resolución de conflicto; calidad de la relación; estrategias de afrontamiento de la ruptura; bienestar psicológico.</w:t>
      </w:r>
    </w:p>
    <w:p w14:paraId="498E9CDE" w14:textId="77777777" w:rsidR="00E27686" w:rsidRPr="00E27686" w:rsidRDefault="00E27686" w:rsidP="00A12221">
      <w:pPr>
        <w:spacing w:line="360" w:lineRule="auto"/>
        <w:jc w:val="both"/>
        <w:rPr>
          <w:rFonts w:asciiTheme="minorHAnsi" w:eastAsia="Times New Roman" w:hAnsiTheme="minorHAnsi" w:cstheme="minorHAnsi"/>
          <w:b/>
          <w:bCs/>
          <w:sz w:val="24"/>
          <w:szCs w:val="24"/>
        </w:rPr>
      </w:pPr>
    </w:p>
    <w:p w14:paraId="0788CB3B" w14:textId="0D066648" w:rsidR="00321076" w:rsidRPr="00E27686" w:rsidRDefault="00321076" w:rsidP="00A12221">
      <w:pPr>
        <w:spacing w:line="360" w:lineRule="auto"/>
        <w:jc w:val="both"/>
        <w:rPr>
          <w:rFonts w:asciiTheme="minorHAnsi" w:eastAsia="Times New Roman" w:hAnsiTheme="minorHAnsi" w:cstheme="minorHAnsi"/>
          <w:b/>
          <w:bCs/>
          <w:sz w:val="24"/>
          <w:szCs w:val="24"/>
        </w:rPr>
      </w:pPr>
      <w:r w:rsidRPr="00E27686">
        <w:rPr>
          <w:rFonts w:asciiTheme="minorHAnsi" w:eastAsia="Times New Roman" w:hAnsiTheme="minorHAnsi" w:cstheme="minorHAnsi"/>
          <w:b/>
          <w:bCs/>
          <w:sz w:val="24"/>
          <w:szCs w:val="24"/>
        </w:rPr>
        <w:t>INTRODUCCIÓN</w:t>
      </w:r>
    </w:p>
    <w:p w14:paraId="13EFB1F0" w14:textId="77777777" w:rsidR="00321076" w:rsidRPr="00E27686" w:rsidRDefault="00321076" w:rsidP="00A12221">
      <w:pPr>
        <w:spacing w:line="360" w:lineRule="auto"/>
        <w:ind w:firstLine="709"/>
        <w:jc w:val="both"/>
        <w:rPr>
          <w:rFonts w:asciiTheme="minorHAnsi" w:eastAsia="Times New Roman" w:hAnsiTheme="minorHAnsi" w:cstheme="minorHAnsi"/>
          <w:sz w:val="24"/>
          <w:szCs w:val="24"/>
        </w:rPr>
      </w:pPr>
    </w:p>
    <w:p w14:paraId="5BA47314" w14:textId="079EB7F5" w:rsidR="0008646B" w:rsidRPr="00E27686" w:rsidRDefault="0008646B" w:rsidP="00A12221">
      <w:pPr>
        <w:spacing w:line="360" w:lineRule="auto"/>
        <w:ind w:firstLine="709"/>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Las relaciones de pareja son fundamentales en la adultez emergente, un período de exploración y crecimiento personal (Arnett, 2000; Furman y Collibee, 2014; Bravo, 2018; Smith et al., 2012; Tillman et al., 2019). Los jóvenes buscan vínculos que satisfagan sus necesidades, pero también se enfrentan a desafíos como las rupturas sentimentales (Barutcu </w:t>
      </w:r>
      <w:r w:rsidR="008D6B32"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Aydin, 2013; Rhoades et al., 2011).</w:t>
      </w:r>
    </w:p>
    <w:p w14:paraId="5CAA77F5" w14:textId="3CAFF749" w:rsidR="00447D64" w:rsidRPr="00E27686" w:rsidRDefault="00E46C05" w:rsidP="00A12221">
      <w:pPr>
        <w:spacing w:line="360" w:lineRule="auto"/>
        <w:ind w:firstLine="709"/>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El estilo de apego, especialmente la evitación y la ansiedad, se asocia con una mayor probabilidad de ruptura (Hazan </w:t>
      </w:r>
      <w:r w:rsidR="008D6B32"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Shaver, 1994; Le et al., 2010; Retana-Franco </w:t>
      </w:r>
      <w:r w:rsidR="008D6B32"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Sánchez-Aragón, 2020). Las estrategias de resolución de conflictos, como las interacciones destructivas y la falta de comunicación positiva, también influyen en la estabilidad de la pareja (Gottman, 1998; Lantagne et al., 2017; González et al., 2019). Por otro lado, una alta calidad relacional, caracterizada por la confianza, la intimidad y la satisfacción, se relaciona con una menor probabilidad de separación (Le et al., 2010; Rhoades et al., 2011; Agnew </w:t>
      </w:r>
      <w:r w:rsidR="008D6B32"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VanderDrift, 2015; Park et al., 2021). No obstante, dentro del amplio espectro de variables a tener en cuenta durante el proceso de ruptura, es crucial considerar ciertos factores que han sido menos explorados: los métodos utilizados para comunicar el deseo de terminar la relación, las </w:t>
      </w:r>
      <w:r w:rsidRPr="00E27686">
        <w:rPr>
          <w:rFonts w:asciiTheme="minorHAnsi" w:eastAsia="Times New Roman" w:hAnsiTheme="minorHAnsi" w:cstheme="minorHAnsi"/>
          <w:sz w:val="24"/>
          <w:szCs w:val="24"/>
        </w:rPr>
        <w:lastRenderedPageBreak/>
        <w:t>estrategias utilizadas para afrontar la ruptura y el nivel de bienestar alcanzado después de la separación.</w:t>
      </w:r>
    </w:p>
    <w:p w14:paraId="785FA785" w14:textId="1E90B636" w:rsidR="00447D64" w:rsidRPr="00E27686" w:rsidRDefault="0023271F"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Las estrategias </w:t>
      </w:r>
      <w:r w:rsidR="00680D44" w:rsidRPr="00E27686">
        <w:rPr>
          <w:rFonts w:asciiTheme="minorHAnsi" w:eastAsia="Times New Roman" w:hAnsiTheme="minorHAnsi" w:cstheme="minorHAnsi"/>
          <w:sz w:val="24"/>
          <w:szCs w:val="24"/>
        </w:rPr>
        <w:t>de ruptura</w:t>
      </w:r>
      <w:r w:rsidRPr="00E27686">
        <w:rPr>
          <w:rFonts w:asciiTheme="minorHAnsi" w:eastAsia="Times New Roman" w:hAnsiTheme="minorHAnsi" w:cstheme="minorHAnsi"/>
          <w:sz w:val="24"/>
          <w:szCs w:val="24"/>
        </w:rPr>
        <w:t xml:space="preserve"> se describen como una forma de comportamiento, verbal o no verbal, destinado a ponerle fin a un vínculo. Siguiendo los estudios iniciales de Baxter (1982) y Wilmot et al. (1985), Collins </w:t>
      </w:r>
      <w:r w:rsidR="00560715" w:rsidRPr="00E27686">
        <w:rPr>
          <w:rFonts w:asciiTheme="minorHAnsi" w:eastAsia="Times New Roman" w:hAnsiTheme="minorHAnsi" w:cstheme="minorHAnsi"/>
          <w:sz w:val="24"/>
          <w:szCs w:val="24"/>
        </w:rPr>
        <w:t>&amp;</w:t>
      </w:r>
      <w:r w:rsidRPr="00E27686">
        <w:rPr>
          <w:rFonts w:asciiTheme="minorHAnsi" w:eastAsia="Times New Roman" w:hAnsiTheme="minorHAnsi" w:cstheme="minorHAnsi"/>
          <w:sz w:val="24"/>
          <w:szCs w:val="24"/>
        </w:rPr>
        <w:t xml:space="preserve"> Gillath (2012) identificaron siete estrategias de ruptura distintas: i) evitación/retirada, ii) comunicación abierta, iii) manipulación, iv) tono positivo/autoinculpación, v) aumento de costes, vi) comunicación distante o mediada, y vii) decremento. </w:t>
      </w:r>
    </w:p>
    <w:p w14:paraId="0B41685C" w14:textId="34CF18FD"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Baxter (1985) propuso que estas estrategias pueden ser descritas a través de dos dimensiones. La primera dimensión, la forma de expresar el deseo de ruptura, distingue entre estrategias "directas (explícitas)" e "indirectas (ambiguas)". La segunda dimensión, que mide la atención hacia la otra persona, distingue entre estrategias "</w:t>
      </w:r>
      <w:r w:rsidR="00680D44" w:rsidRPr="00E27686">
        <w:rPr>
          <w:rFonts w:asciiTheme="minorHAnsi" w:eastAsia="Times New Roman" w:hAnsiTheme="minorHAnsi" w:cstheme="minorHAnsi"/>
          <w:sz w:val="24"/>
          <w:szCs w:val="24"/>
        </w:rPr>
        <w:t>centradas en uno mismo</w:t>
      </w:r>
      <w:r w:rsidRPr="00E27686">
        <w:rPr>
          <w:rFonts w:asciiTheme="minorHAnsi" w:eastAsia="Times New Roman" w:hAnsiTheme="minorHAnsi" w:cstheme="minorHAnsi"/>
          <w:sz w:val="24"/>
          <w:szCs w:val="24"/>
        </w:rPr>
        <w:t>" y "centradas en el otro".</w:t>
      </w:r>
    </w:p>
    <w:p w14:paraId="674D3C0E" w14:textId="2777569A"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Entre las estrategias indirectas se encuentran la evasión/retirada, la comunicación distante o </w:t>
      </w:r>
      <w:r w:rsidR="0023271F" w:rsidRPr="00E27686">
        <w:rPr>
          <w:rFonts w:asciiTheme="minorHAnsi" w:eastAsia="Times New Roman" w:hAnsiTheme="minorHAnsi" w:cstheme="minorHAnsi"/>
          <w:sz w:val="24"/>
          <w:szCs w:val="24"/>
        </w:rPr>
        <w:t>mediada</w:t>
      </w:r>
      <w:r w:rsidRPr="00E27686">
        <w:rPr>
          <w:rFonts w:asciiTheme="minorHAnsi" w:eastAsia="Times New Roman" w:hAnsiTheme="minorHAnsi" w:cstheme="minorHAnsi"/>
          <w:sz w:val="24"/>
          <w:szCs w:val="24"/>
        </w:rPr>
        <w:t>, la manipulación y el aumento de cost</w:t>
      </w:r>
      <w:r w:rsidR="0023271F" w:rsidRPr="00E27686">
        <w:rPr>
          <w:rFonts w:asciiTheme="minorHAnsi" w:eastAsia="Times New Roman" w:hAnsiTheme="minorHAnsi" w:cstheme="minorHAnsi"/>
          <w:sz w:val="24"/>
          <w:szCs w:val="24"/>
        </w:rPr>
        <w:t>e</w:t>
      </w:r>
      <w:r w:rsidRPr="00E27686">
        <w:rPr>
          <w:rFonts w:asciiTheme="minorHAnsi" w:eastAsia="Times New Roman" w:hAnsiTheme="minorHAnsi" w:cstheme="minorHAnsi"/>
          <w:sz w:val="24"/>
          <w:szCs w:val="24"/>
        </w:rPr>
        <w:t xml:space="preserve">s. Estas acciones suelen estar dirigidas hacia uno mismo. En contraste, las estrategias de comunicación abierta y las que implican un tono positivo/autoinculpación se consideran más directas. En particular, la estrategia de tono positivo/autoinculpación se distingue por estar enfocada en el bienestar del otro. La estrategia de decremento, por su parte, es indirecta y carece de empatía (Collins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Gillath, 2012).</w:t>
      </w:r>
    </w:p>
    <w:p w14:paraId="1905CC7D" w14:textId="5B8AE532"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Así, se puede deducir que las estrategias que son más sensibles, empáticas y enfocadas </w:t>
      </w:r>
      <w:r w:rsidR="0023271F" w:rsidRPr="00E27686">
        <w:rPr>
          <w:rFonts w:asciiTheme="minorHAnsi" w:eastAsia="Times New Roman" w:hAnsiTheme="minorHAnsi" w:cstheme="minorHAnsi"/>
          <w:sz w:val="24"/>
          <w:szCs w:val="24"/>
        </w:rPr>
        <w:t>a</w:t>
      </w:r>
      <w:r w:rsidRPr="00E27686">
        <w:rPr>
          <w:rFonts w:asciiTheme="minorHAnsi" w:eastAsia="Times New Roman" w:hAnsiTheme="minorHAnsi" w:cstheme="minorHAnsi"/>
          <w:sz w:val="24"/>
          <w:szCs w:val="24"/>
        </w:rPr>
        <w:t xml:space="preserve">l bienestar del otro suelen ser directas y/o dirigidas hacia </w:t>
      </w:r>
      <w:r w:rsidR="00680D44" w:rsidRPr="00E27686">
        <w:rPr>
          <w:rFonts w:asciiTheme="minorHAnsi" w:eastAsia="Times New Roman" w:hAnsiTheme="minorHAnsi" w:cstheme="minorHAnsi"/>
          <w:sz w:val="24"/>
          <w:szCs w:val="24"/>
        </w:rPr>
        <w:t xml:space="preserve">el cuidado de </w:t>
      </w:r>
      <w:r w:rsidRPr="00E27686">
        <w:rPr>
          <w:rFonts w:asciiTheme="minorHAnsi" w:eastAsia="Times New Roman" w:hAnsiTheme="minorHAnsi" w:cstheme="minorHAnsi"/>
          <w:sz w:val="24"/>
          <w:szCs w:val="24"/>
        </w:rPr>
        <w:t xml:space="preserve">la otra persona. En cambio, las </w:t>
      </w:r>
      <w:r w:rsidR="0023271F" w:rsidRPr="00E27686">
        <w:rPr>
          <w:rFonts w:asciiTheme="minorHAnsi" w:eastAsia="Times New Roman" w:hAnsiTheme="minorHAnsi" w:cstheme="minorHAnsi"/>
          <w:sz w:val="24"/>
          <w:szCs w:val="24"/>
        </w:rPr>
        <w:t>tácticas</w:t>
      </w:r>
      <w:r w:rsidRPr="00E27686">
        <w:rPr>
          <w:rFonts w:asciiTheme="minorHAnsi" w:eastAsia="Times New Roman" w:hAnsiTheme="minorHAnsi" w:cstheme="minorHAnsi"/>
          <w:sz w:val="24"/>
          <w:szCs w:val="24"/>
        </w:rPr>
        <w:t xml:space="preserve"> no directas y/o centradas en</w:t>
      </w:r>
      <w:r w:rsidR="00680D44" w:rsidRPr="00E27686">
        <w:rPr>
          <w:rFonts w:asciiTheme="minorHAnsi" w:eastAsia="Times New Roman" w:hAnsiTheme="minorHAnsi" w:cstheme="minorHAnsi"/>
          <w:sz w:val="24"/>
          <w:szCs w:val="24"/>
        </w:rPr>
        <w:t xml:space="preserve"> uno mismo</w:t>
      </w:r>
      <w:r w:rsidRPr="00E27686">
        <w:rPr>
          <w:rFonts w:asciiTheme="minorHAnsi" w:eastAsia="Times New Roman" w:hAnsiTheme="minorHAnsi" w:cstheme="minorHAnsi"/>
          <w:sz w:val="24"/>
          <w:szCs w:val="24"/>
        </w:rPr>
        <w:t xml:space="preserve"> tienden a mostrar menos comprensión, lo que </w:t>
      </w:r>
      <w:r w:rsidR="0023271F" w:rsidRPr="00E27686">
        <w:rPr>
          <w:rFonts w:asciiTheme="minorHAnsi" w:eastAsia="Times New Roman" w:hAnsiTheme="minorHAnsi" w:cstheme="minorHAnsi"/>
          <w:sz w:val="24"/>
          <w:szCs w:val="24"/>
        </w:rPr>
        <w:t>generaría</w:t>
      </w:r>
      <w:r w:rsidRPr="00E27686">
        <w:rPr>
          <w:rFonts w:asciiTheme="minorHAnsi" w:eastAsia="Times New Roman" w:hAnsiTheme="minorHAnsi" w:cstheme="minorHAnsi"/>
          <w:sz w:val="24"/>
          <w:szCs w:val="24"/>
        </w:rPr>
        <w:t xml:space="preserve"> un aumento en las molestias en las personas involucradas.</w:t>
      </w:r>
    </w:p>
    <w:p w14:paraId="291980AD" w14:textId="1D2BC7E0" w:rsidR="0008646B" w:rsidRPr="00E27686" w:rsidRDefault="0008646B" w:rsidP="00A12221">
      <w:pPr>
        <w:spacing w:line="360" w:lineRule="auto"/>
        <w:ind w:firstLine="708"/>
        <w:jc w:val="both"/>
        <w:rPr>
          <w:rFonts w:asciiTheme="minorHAnsi" w:eastAsia="Times New Roman" w:hAnsiTheme="minorHAnsi" w:cstheme="minorHAnsi"/>
          <w:sz w:val="24"/>
          <w:szCs w:val="24"/>
        </w:rPr>
      </w:pPr>
      <w:bookmarkStart w:id="0" w:name="_heading=h.o18zbp1txes3" w:colFirst="0" w:colLast="0"/>
      <w:bookmarkEnd w:id="0"/>
      <w:r w:rsidRPr="00E27686">
        <w:rPr>
          <w:rFonts w:asciiTheme="minorHAnsi" w:eastAsia="Times New Roman" w:hAnsiTheme="minorHAnsi" w:cstheme="minorHAnsi"/>
          <w:sz w:val="24"/>
          <w:szCs w:val="24"/>
        </w:rPr>
        <w:t>La forma en que las personas afrontan una ruptura es crucial. El Modelo de Procesamiento Dual (DPM, por sus siglas en inglés) de Stroebe y Schut (1999) propone que tras una pérdida, como una ruptura amorosa, las personas deben realizar dos tipos de tareas: elaborar la pérdida y reconstruir su vida (MacGowan, 2013; McKiernan et al., 2018). Este modelo, aplicado también a otras pérdidas, sugiere que ambas tareas deben abordarse de manera simultánea en un proceso de oscilación.</w:t>
      </w:r>
    </w:p>
    <w:p w14:paraId="6247107B" w14:textId="21D1AF7B"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 xml:space="preserve">Las tareas centradas en la pérdida incluyen el duelo, la reconsideración de la pérdida y el esfuerzo por integrar la ausencia de la persona en la vida diaria (Stroebe et al., 2005). En cambio, las acciones orientadas a la restaurar la vida consisten en aprender nuevas destrezas </w:t>
      </w:r>
      <w:r w:rsidR="00170579" w:rsidRPr="00E27686">
        <w:rPr>
          <w:rFonts w:asciiTheme="minorHAnsi" w:eastAsia="Times New Roman" w:hAnsiTheme="minorHAnsi" w:cstheme="minorHAnsi"/>
          <w:sz w:val="24"/>
          <w:szCs w:val="24"/>
        </w:rPr>
        <w:t>y habilidades</w:t>
      </w:r>
      <w:r w:rsidRPr="00E27686">
        <w:rPr>
          <w:rFonts w:asciiTheme="minorHAnsi" w:eastAsia="Times New Roman" w:hAnsiTheme="minorHAnsi" w:cstheme="minorHAnsi"/>
          <w:sz w:val="24"/>
          <w:szCs w:val="24"/>
        </w:rPr>
        <w:t xml:space="preserve">, tomar decisiones importantes y adoptar nuevas responsabilidades (Caserta et al., 2014; Stroebe et al., 2005). Además, estas tareas incluyen la exploración de </w:t>
      </w:r>
      <w:r w:rsidR="00170579" w:rsidRPr="00E27686">
        <w:rPr>
          <w:rFonts w:asciiTheme="minorHAnsi" w:eastAsia="Times New Roman" w:hAnsiTheme="minorHAnsi" w:cstheme="minorHAnsi"/>
          <w:sz w:val="24"/>
          <w:szCs w:val="24"/>
        </w:rPr>
        <w:t xml:space="preserve">nuevas </w:t>
      </w:r>
      <w:r w:rsidR="00680D44" w:rsidRPr="00E27686">
        <w:rPr>
          <w:rFonts w:asciiTheme="minorHAnsi" w:eastAsia="Times New Roman" w:hAnsiTheme="minorHAnsi" w:cstheme="minorHAnsi"/>
          <w:sz w:val="24"/>
          <w:szCs w:val="24"/>
        </w:rPr>
        <w:t>actividades,</w:t>
      </w:r>
      <w:r w:rsidRPr="00E27686">
        <w:rPr>
          <w:rFonts w:asciiTheme="minorHAnsi" w:eastAsia="Times New Roman" w:hAnsiTheme="minorHAnsi" w:cstheme="minorHAnsi"/>
          <w:sz w:val="24"/>
          <w:szCs w:val="24"/>
        </w:rPr>
        <w:t xml:space="preserve"> así como la reevaluación de los planes futuros (Stroebe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Schut, 2010).</w:t>
      </w:r>
      <w:r w:rsidR="008D379F" w:rsidRPr="00E27686">
        <w:rPr>
          <w:rFonts w:asciiTheme="minorHAnsi" w:eastAsia="Times New Roman" w:hAnsiTheme="minorHAnsi" w:cstheme="minorHAnsi"/>
          <w:sz w:val="24"/>
          <w:szCs w:val="24"/>
        </w:rPr>
        <w:t xml:space="preserve"> </w:t>
      </w:r>
      <w:r w:rsidRPr="00E27686">
        <w:rPr>
          <w:rFonts w:asciiTheme="minorHAnsi" w:eastAsia="Times New Roman" w:hAnsiTheme="minorHAnsi" w:cstheme="minorHAnsi"/>
          <w:sz w:val="24"/>
          <w:szCs w:val="24"/>
        </w:rPr>
        <w:t>El modelo sostiene que alternar entre estas dos categorías de tareas (oscilación) permite a los individuos regularse y encontrar formas más efectivas de afrontar la ruptura (Stroebe et al., 2005).</w:t>
      </w:r>
    </w:p>
    <w:p w14:paraId="22ABB66D" w14:textId="24153BC1" w:rsidR="0008646B" w:rsidRPr="00E27686" w:rsidRDefault="0008646B"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El bienestar subjetivo, que incluye la satisfacción con la vida y las emociones positivas, ha sido ampliamente estudiado en relación con las relaciones de pareja (Keyes et al., 2002; Silva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Caetano, 2013; Demir, 2008; Diener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Seligman, 2002; Weisskirch, 2017). Las rupturas sentimentales, al afectar significativamente el bienestar, han generado un creciente interés en comprender las respuestas psicológicas y emocionales asociadas a estos eventos (Carter et al., 2018; Frost et al., 2016; McKiernan et al., 2018; Norona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Welsh, 2017).</w:t>
      </w:r>
    </w:p>
    <w:p w14:paraId="4EB020E1" w14:textId="7EE25AAD" w:rsidR="0008646B" w:rsidRPr="00E27686" w:rsidRDefault="0008646B"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Las rupturas amorosas en la adultez emergente son especialmente dolorosas debido al desarrollo de la identidad personal y relacional (Finkelstein, 2014). Generan una amplia gama de emociones negativas como tristeza, vergüenza y disminución de la autoestima (Carter et al., 2018; Sbarra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Emery, 2005; Waller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MacDonald, 2010), y pueden desencadenar trastornos mentales, abuso de sustancias e incluso intentos de suicidio (Kendler et al., 2003; Tashiro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Frazier, 2003; McKiernan et al., 2018; Fordwood et al., 2007; Perilloux y Buss, 2008). Sin embargo, las rupturas también pueden generar respuestas positivas como bienestar, crecimiento personal y regulación emocional (Lewandowski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Bizzoco, 2007; Tashiro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Frazier, 2003; Norona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Welsh, 2017).</w:t>
      </w:r>
    </w:p>
    <w:p w14:paraId="133F7F29" w14:textId="55EA2750" w:rsidR="00447D64" w:rsidRPr="00E27686" w:rsidRDefault="00C71529"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Considerando estos hallazgos, se puede inferir que las rupturas sentimentales constituyen un proceso único en el cual los individuos dependen de una variedad de factores y estrategias que moldean sus respuestas emocionales y su bienestar personal frente a un evento que conlleva un notable estrés psicológico y emocional (Norona, 2018).</w:t>
      </w:r>
    </w:p>
    <w:p w14:paraId="05FDF109" w14:textId="1571C98F" w:rsidR="00447D64" w:rsidRDefault="00447D64" w:rsidP="00A12221">
      <w:pPr>
        <w:spacing w:line="360" w:lineRule="auto"/>
        <w:ind w:firstLine="708"/>
        <w:jc w:val="both"/>
        <w:rPr>
          <w:rFonts w:asciiTheme="minorHAnsi" w:eastAsia="Times New Roman" w:hAnsiTheme="minorHAnsi" w:cstheme="minorHAnsi"/>
          <w:sz w:val="24"/>
          <w:szCs w:val="24"/>
        </w:rPr>
      </w:pPr>
    </w:p>
    <w:p w14:paraId="5627D524" w14:textId="77777777" w:rsidR="003B1F5E" w:rsidRPr="00E27686" w:rsidRDefault="003B1F5E" w:rsidP="00A12221">
      <w:pPr>
        <w:spacing w:line="360" w:lineRule="auto"/>
        <w:ind w:firstLine="708"/>
        <w:jc w:val="both"/>
        <w:rPr>
          <w:rFonts w:asciiTheme="minorHAnsi" w:eastAsia="Times New Roman" w:hAnsiTheme="minorHAnsi" w:cstheme="minorHAnsi"/>
          <w:sz w:val="24"/>
          <w:szCs w:val="24"/>
        </w:rPr>
      </w:pPr>
    </w:p>
    <w:p w14:paraId="7A148F07" w14:textId="77777777" w:rsidR="00447D64" w:rsidRPr="00E27686" w:rsidRDefault="00000000" w:rsidP="00A12221">
      <w:pPr>
        <w:keepNext/>
        <w:keepLines/>
        <w:pBdr>
          <w:top w:val="nil"/>
          <w:left w:val="nil"/>
          <w:bottom w:val="nil"/>
          <w:right w:val="nil"/>
          <w:between w:val="nil"/>
        </w:pBdr>
        <w:spacing w:before="240" w:after="0" w:line="360" w:lineRule="auto"/>
        <w:jc w:val="both"/>
        <w:rPr>
          <w:rFonts w:asciiTheme="minorHAnsi" w:hAnsiTheme="minorHAnsi" w:cstheme="minorHAnsi"/>
          <w:b/>
          <w:bCs/>
          <w:sz w:val="24"/>
          <w:szCs w:val="24"/>
        </w:rPr>
      </w:pPr>
      <w:r w:rsidRPr="00E27686">
        <w:rPr>
          <w:rFonts w:asciiTheme="minorHAnsi" w:hAnsiTheme="minorHAnsi" w:cstheme="minorHAnsi"/>
          <w:b/>
          <w:bCs/>
          <w:sz w:val="24"/>
          <w:szCs w:val="24"/>
        </w:rPr>
        <w:lastRenderedPageBreak/>
        <w:t>OBJETIVOS E HIPÓTESIS</w:t>
      </w:r>
    </w:p>
    <w:p w14:paraId="01BFF88E" w14:textId="77777777" w:rsidR="00447D64" w:rsidRPr="00E27686" w:rsidRDefault="00447D64" w:rsidP="00A12221">
      <w:pPr>
        <w:spacing w:line="360" w:lineRule="auto"/>
        <w:jc w:val="both"/>
        <w:rPr>
          <w:rFonts w:asciiTheme="minorHAnsi" w:hAnsiTheme="minorHAnsi" w:cstheme="minorHAnsi"/>
          <w:sz w:val="24"/>
          <w:szCs w:val="24"/>
        </w:rPr>
      </w:pPr>
    </w:p>
    <w:p w14:paraId="3CAF208D" w14:textId="59C30E55" w:rsidR="00447D64" w:rsidRPr="00E27686" w:rsidRDefault="00000000" w:rsidP="00A12221">
      <w:pPr>
        <w:spacing w:line="360" w:lineRule="auto"/>
        <w:ind w:firstLine="720"/>
        <w:jc w:val="both"/>
        <w:rPr>
          <w:rFonts w:asciiTheme="minorHAnsi" w:hAnsiTheme="minorHAnsi" w:cstheme="minorHAnsi"/>
          <w:sz w:val="24"/>
          <w:szCs w:val="24"/>
        </w:rPr>
      </w:pPr>
      <w:r w:rsidRPr="00E27686">
        <w:rPr>
          <w:rFonts w:asciiTheme="minorHAnsi" w:eastAsia="Times New Roman" w:hAnsiTheme="minorHAnsi" w:cstheme="minorHAnsi"/>
          <w:sz w:val="24"/>
          <w:szCs w:val="24"/>
        </w:rPr>
        <w:t xml:space="preserve">El objetivo general es examinar los aspectos concernientes a la ruptura en las relaciones de pareja en adultos jóvenes, con énfasis en la interacción entre las variables antes de la ruptura, las estrategias de </w:t>
      </w:r>
      <w:r w:rsidR="00170579" w:rsidRPr="00E27686">
        <w:rPr>
          <w:rFonts w:asciiTheme="minorHAnsi" w:eastAsia="Times New Roman" w:hAnsiTheme="minorHAnsi" w:cstheme="minorHAnsi"/>
          <w:sz w:val="24"/>
          <w:szCs w:val="24"/>
        </w:rPr>
        <w:t>ruptura</w:t>
      </w:r>
      <w:r w:rsidRPr="00E27686">
        <w:rPr>
          <w:rFonts w:asciiTheme="minorHAnsi" w:eastAsia="Times New Roman" w:hAnsiTheme="minorHAnsi" w:cstheme="minorHAnsi"/>
          <w:sz w:val="24"/>
          <w:szCs w:val="24"/>
        </w:rPr>
        <w:t xml:space="preserve"> y las estrategias de afrontamiento, así como la relación de esta última variable con el bienestar psicológico posterior a la </w:t>
      </w:r>
      <w:r w:rsidR="00583FAD" w:rsidRPr="00E27686">
        <w:rPr>
          <w:rFonts w:asciiTheme="minorHAnsi" w:eastAsia="Times New Roman" w:hAnsiTheme="minorHAnsi" w:cstheme="minorHAnsi"/>
          <w:sz w:val="24"/>
          <w:szCs w:val="24"/>
        </w:rPr>
        <w:t>disolución</w:t>
      </w:r>
      <w:r w:rsidRPr="00E27686">
        <w:rPr>
          <w:rFonts w:asciiTheme="minorHAnsi" w:eastAsia="Times New Roman" w:hAnsiTheme="minorHAnsi" w:cstheme="minorHAnsi"/>
          <w:sz w:val="24"/>
          <w:szCs w:val="24"/>
        </w:rPr>
        <w:t>.</w:t>
      </w:r>
    </w:p>
    <w:p w14:paraId="25808736" w14:textId="77777777" w:rsidR="00447D64" w:rsidRPr="00E27686" w:rsidRDefault="00000000" w:rsidP="00A12221">
      <w:pPr>
        <w:spacing w:before="240" w:after="240"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El primer objetivo específico de nuestra investigación es analizar cómo las variables relacionales pre-ruptura afectan a la elección de estrategias de afrontamiento. Las hipótesis formuladas son:</w:t>
      </w:r>
    </w:p>
    <w:p w14:paraId="4ECFDFC2" w14:textId="704E6DD9" w:rsidR="00447D64" w:rsidRPr="00E27686" w:rsidRDefault="00000000" w:rsidP="00A12221">
      <w:pPr>
        <w:spacing w:before="240" w:after="240" w:line="360" w:lineRule="auto"/>
        <w:ind w:firstLine="700"/>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(H1): Se espera que una mayor ansiedad en el apego se relacione positivamente con el uso intensivo de estrategias de afrontamiento enfocadas en la pérdida, mientras que los altos niveles de evitación est</w:t>
      </w:r>
      <w:r w:rsidR="00583FAD" w:rsidRPr="00E27686">
        <w:rPr>
          <w:rFonts w:asciiTheme="minorHAnsi" w:eastAsia="Times New Roman" w:hAnsiTheme="minorHAnsi" w:cstheme="minorHAnsi"/>
          <w:i/>
          <w:sz w:val="24"/>
          <w:szCs w:val="24"/>
        </w:rPr>
        <w:t>é</w:t>
      </w:r>
      <w:r w:rsidRPr="00E27686">
        <w:rPr>
          <w:rFonts w:asciiTheme="minorHAnsi" w:eastAsia="Times New Roman" w:hAnsiTheme="minorHAnsi" w:cstheme="minorHAnsi"/>
          <w:i/>
          <w:sz w:val="24"/>
          <w:szCs w:val="24"/>
        </w:rPr>
        <w:t>n asociados con un aumento en el uso de estrategias centradas en la restauración.</w:t>
      </w:r>
    </w:p>
    <w:p w14:paraId="17C7F7B6" w14:textId="240309C7" w:rsidR="00447D64" w:rsidRPr="00E27686" w:rsidRDefault="00000000" w:rsidP="00A12221">
      <w:pPr>
        <w:spacing w:before="240" w:after="240" w:line="360" w:lineRule="auto"/>
        <w:ind w:firstLine="700"/>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 xml:space="preserve">(H2): Se espera que los altos niveles de uso de estrategias constructivas para resolver conflictos se correlacionen positivamente con </w:t>
      </w:r>
      <w:r w:rsidR="00583FAD" w:rsidRPr="00E27686">
        <w:rPr>
          <w:rFonts w:asciiTheme="minorHAnsi" w:eastAsia="Times New Roman" w:hAnsiTheme="minorHAnsi" w:cstheme="minorHAnsi"/>
          <w:i/>
          <w:sz w:val="24"/>
          <w:szCs w:val="24"/>
        </w:rPr>
        <w:t>una</w:t>
      </w:r>
      <w:r w:rsidRPr="00E27686">
        <w:rPr>
          <w:rFonts w:asciiTheme="minorHAnsi" w:eastAsia="Times New Roman" w:hAnsiTheme="minorHAnsi" w:cstheme="minorHAnsi"/>
          <w:i/>
          <w:sz w:val="24"/>
          <w:szCs w:val="24"/>
        </w:rPr>
        <w:t xml:space="preserve"> mayor frecuencia en el uso de estrategias de afrontamiento de la ruptura centradas en la pérdida. De igual manera, se anticipa que el uso de estrategias destructivas estará asociado con una mayor utilización de estrategias de afrontamiento enfocadas en la restauración.</w:t>
      </w:r>
    </w:p>
    <w:p w14:paraId="6D76B99C" w14:textId="7FA97ACE" w:rsidR="00447D64" w:rsidRPr="00E27686" w:rsidRDefault="00000000" w:rsidP="00A12221">
      <w:pPr>
        <w:spacing w:before="240" w:after="240" w:line="360" w:lineRule="auto"/>
        <w:ind w:firstLine="700"/>
        <w:jc w:val="both"/>
        <w:rPr>
          <w:rFonts w:asciiTheme="minorHAnsi" w:hAnsiTheme="minorHAnsi" w:cstheme="minorHAnsi"/>
          <w:sz w:val="24"/>
          <w:szCs w:val="24"/>
        </w:rPr>
      </w:pPr>
      <w:r w:rsidRPr="00E27686">
        <w:rPr>
          <w:rFonts w:asciiTheme="minorHAnsi" w:eastAsia="Times New Roman" w:hAnsiTheme="minorHAnsi" w:cstheme="minorHAnsi"/>
          <w:i/>
          <w:sz w:val="24"/>
          <w:szCs w:val="24"/>
        </w:rPr>
        <w:t>(H3): Se espera que una alta calidad en la relación esté relacionada con un mayor empleo de estrategias de afrontamiento enfocadas en la pérdida.</w:t>
      </w:r>
      <w:r w:rsidRPr="00E27686">
        <w:rPr>
          <w:rFonts w:asciiTheme="minorHAnsi" w:eastAsia="Times New Roman" w:hAnsiTheme="minorHAnsi" w:cstheme="minorHAnsi"/>
          <w:sz w:val="24"/>
          <w:szCs w:val="24"/>
        </w:rPr>
        <w:t xml:space="preserve"> </w:t>
      </w:r>
    </w:p>
    <w:p w14:paraId="7EBB9439" w14:textId="77777777" w:rsidR="00447D64" w:rsidRPr="00E27686" w:rsidRDefault="00000000" w:rsidP="00A12221">
      <w:pPr>
        <w:spacing w:before="240" w:after="240"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El segundo objetivo consiste en analizar la relación entre las variables relacionales previas a la ruptura y el uso de estrategias de ruptura por parte de los individuos que han iniciado la separación (N=52). A partir de este objetivo, se plantean las siguientes hipótesis:</w:t>
      </w:r>
    </w:p>
    <w:p w14:paraId="7D3246F7" w14:textId="239AD0B1" w:rsidR="00447D64" w:rsidRPr="00E27686" w:rsidRDefault="00000000" w:rsidP="00A12221">
      <w:pPr>
        <w:spacing w:before="240" w:after="240" w:line="360" w:lineRule="auto"/>
        <w:ind w:firstLine="700"/>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 xml:space="preserve">(H4): Se espera que altos niveles de ansiedad y evitación estén relacionados con un incremento en el empleo de estrategias de ruptura orientadas al </w:t>
      </w:r>
      <w:r w:rsidR="00583FAD" w:rsidRPr="00E27686">
        <w:rPr>
          <w:rFonts w:asciiTheme="minorHAnsi" w:eastAsia="Times New Roman" w:hAnsiTheme="minorHAnsi" w:cstheme="minorHAnsi"/>
          <w:i/>
          <w:sz w:val="24"/>
          <w:szCs w:val="24"/>
        </w:rPr>
        <w:t>bienestar propio</w:t>
      </w:r>
      <w:r w:rsidRPr="00E27686">
        <w:rPr>
          <w:rFonts w:asciiTheme="minorHAnsi" w:eastAsia="Times New Roman" w:hAnsiTheme="minorHAnsi" w:cstheme="minorHAnsi"/>
          <w:i/>
          <w:sz w:val="24"/>
          <w:szCs w:val="24"/>
        </w:rPr>
        <w:t xml:space="preserve"> del individuo.</w:t>
      </w:r>
    </w:p>
    <w:p w14:paraId="0CD9601A" w14:textId="0544CF07" w:rsidR="00447D64" w:rsidRPr="00E27686" w:rsidRDefault="00000000" w:rsidP="00A12221">
      <w:pPr>
        <w:spacing w:before="240" w:after="240" w:line="360" w:lineRule="auto"/>
        <w:ind w:firstLine="700"/>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 xml:space="preserve"> (H5): Se espera que un uso más alto de estrategias de resolución de conflictos constructivas esté vinculado a una mayor aplicación de estrategias de ruptura que busquen cuidar a la otra persona. En cambio, un uso más elevado de estrategias destructivas se </w:t>
      </w:r>
      <w:r w:rsidRPr="00E27686">
        <w:rPr>
          <w:rFonts w:asciiTheme="minorHAnsi" w:eastAsia="Times New Roman" w:hAnsiTheme="minorHAnsi" w:cstheme="minorHAnsi"/>
          <w:i/>
          <w:sz w:val="24"/>
          <w:szCs w:val="24"/>
        </w:rPr>
        <w:lastRenderedPageBreak/>
        <w:t>correlacionaría con un incremento en el enfoque en estrategias de ruptura orientadas a preservar el bienestar personal.</w:t>
      </w:r>
    </w:p>
    <w:p w14:paraId="0A488E5B" w14:textId="4479F63F" w:rsidR="00447D64" w:rsidRPr="00E27686" w:rsidRDefault="00000000" w:rsidP="00A12221">
      <w:pPr>
        <w:spacing w:before="240" w:after="240" w:line="360" w:lineRule="auto"/>
        <w:ind w:firstLine="720"/>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 xml:space="preserve">(H6): Se espera que una relación de alta calidad </w:t>
      </w:r>
      <w:r w:rsidR="00C72362" w:rsidRPr="00E27686">
        <w:rPr>
          <w:rFonts w:asciiTheme="minorHAnsi" w:eastAsia="Times New Roman" w:hAnsiTheme="minorHAnsi" w:cstheme="minorHAnsi"/>
          <w:i/>
          <w:sz w:val="24"/>
          <w:szCs w:val="24"/>
        </w:rPr>
        <w:t>se asocie</w:t>
      </w:r>
      <w:r w:rsidRPr="00E27686">
        <w:rPr>
          <w:rFonts w:asciiTheme="minorHAnsi" w:eastAsia="Times New Roman" w:hAnsiTheme="minorHAnsi" w:cstheme="minorHAnsi"/>
          <w:i/>
          <w:sz w:val="24"/>
          <w:szCs w:val="24"/>
        </w:rPr>
        <w:t xml:space="preserve"> con una mayor adopción de estrategias de ruptura que tengan en cuenta el bienestar de la otra persona, </w:t>
      </w:r>
      <w:r w:rsidR="00C72362" w:rsidRPr="00E27686">
        <w:rPr>
          <w:rFonts w:asciiTheme="minorHAnsi" w:eastAsia="Times New Roman" w:hAnsiTheme="minorHAnsi" w:cstheme="minorHAnsi"/>
          <w:i/>
          <w:sz w:val="24"/>
          <w:szCs w:val="24"/>
        </w:rPr>
        <w:t>y</w:t>
      </w:r>
      <w:r w:rsidRPr="00E27686">
        <w:rPr>
          <w:rFonts w:asciiTheme="minorHAnsi" w:eastAsia="Times New Roman" w:hAnsiTheme="minorHAnsi" w:cstheme="minorHAnsi"/>
          <w:i/>
          <w:sz w:val="24"/>
          <w:szCs w:val="24"/>
        </w:rPr>
        <w:t xml:space="preserve"> con un menor empleo de estrategias</w:t>
      </w:r>
      <w:r w:rsidR="00C72362" w:rsidRPr="00E27686">
        <w:rPr>
          <w:rFonts w:asciiTheme="minorHAnsi" w:eastAsia="Times New Roman" w:hAnsiTheme="minorHAnsi" w:cstheme="minorHAnsi"/>
          <w:i/>
          <w:sz w:val="24"/>
          <w:szCs w:val="24"/>
        </w:rPr>
        <w:t xml:space="preserve"> de</w:t>
      </w:r>
      <w:r w:rsidRPr="00E27686">
        <w:rPr>
          <w:rFonts w:asciiTheme="minorHAnsi" w:eastAsia="Times New Roman" w:hAnsiTheme="minorHAnsi" w:cstheme="minorHAnsi"/>
          <w:i/>
          <w:sz w:val="24"/>
          <w:szCs w:val="24"/>
        </w:rPr>
        <w:t xml:space="preserve"> que </w:t>
      </w:r>
      <w:r w:rsidR="00C72362" w:rsidRPr="00E27686">
        <w:rPr>
          <w:rFonts w:asciiTheme="minorHAnsi" w:eastAsia="Times New Roman" w:hAnsiTheme="minorHAnsi" w:cstheme="minorHAnsi"/>
          <w:i/>
          <w:sz w:val="24"/>
          <w:szCs w:val="24"/>
        </w:rPr>
        <w:t>no muestren consideración por el otro</w:t>
      </w:r>
      <w:r w:rsidRPr="00E27686">
        <w:rPr>
          <w:rFonts w:asciiTheme="minorHAnsi" w:eastAsia="Times New Roman" w:hAnsiTheme="minorHAnsi" w:cstheme="minorHAnsi"/>
          <w:i/>
          <w:sz w:val="24"/>
          <w:szCs w:val="24"/>
        </w:rPr>
        <w:t>.</w:t>
      </w:r>
    </w:p>
    <w:p w14:paraId="1C89E26C" w14:textId="189448E4" w:rsidR="00447D64" w:rsidRPr="00E27686" w:rsidRDefault="00000000" w:rsidP="00A12221">
      <w:pPr>
        <w:spacing w:before="240" w:after="240"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Finalmente, el tercer objetivo busca estudiar la relación entre las estrategias de afrontamiento empleadas y el bienestar psicológico después de la </w:t>
      </w:r>
      <w:r w:rsidR="008D379F" w:rsidRPr="00E27686">
        <w:rPr>
          <w:rFonts w:asciiTheme="minorHAnsi" w:eastAsia="Times New Roman" w:hAnsiTheme="minorHAnsi" w:cstheme="minorHAnsi"/>
          <w:sz w:val="24"/>
          <w:szCs w:val="24"/>
        </w:rPr>
        <w:t>ruptura</w:t>
      </w:r>
      <w:r w:rsidRPr="00E27686">
        <w:rPr>
          <w:rFonts w:asciiTheme="minorHAnsi" w:eastAsia="Times New Roman" w:hAnsiTheme="minorHAnsi" w:cstheme="minorHAnsi"/>
          <w:sz w:val="24"/>
          <w:szCs w:val="24"/>
        </w:rPr>
        <w:t>. Para este propósito, se ha propuesto la siguiente hipótesis:</w:t>
      </w:r>
    </w:p>
    <w:p w14:paraId="70C006E6" w14:textId="250C0BBC" w:rsidR="00447D64" w:rsidRPr="00E27686" w:rsidRDefault="00000000" w:rsidP="00A12221">
      <w:pPr>
        <w:spacing w:before="240" w:after="240" w:line="360" w:lineRule="auto"/>
        <w:ind w:firstLine="700"/>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 xml:space="preserve">(H7): Se espera que elevados </w:t>
      </w:r>
      <w:r w:rsidR="00C72362" w:rsidRPr="00E27686">
        <w:rPr>
          <w:rFonts w:asciiTheme="minorHAnsi" w:eastAsia="Times New Roman" w:hAnsiTheme="minorHAnsi" w:cstheme="minorHAnsi"/>
          <w:i/>
          <w:sz w:val="24"/>
          <w:szCs w:val="24"/>
        </w:rPr>
        <w:t>niveles</w:t>
      </w:r>
      <w:r w:rsidRPr="00E27686">
        <w:rPr>
          <w:rFonts w:asciiTheme="minorHAnsi" w:eastAsia="Times New Roman" w:hAnsiTheme="minorHAnsi" w:cstheme="minorHAnsi"/>
          <w:i/>
          <w:sz w:val="24"/>
          <w:szCs w:val="24"/>
        </w:rPr>
        <w:t xml:space="preserve"> en el empleo de estrategias de afrontamiento enfocadas en la pérdida estén asociados con un bienestar psicológico más bajo</w:t>
      </w:r>
      <w:r w:rsidR="00C72362" w:rsidRPr="00E27686">
        <w:rPr>
          <w:rFonts w:asciiTheme="minorHAnsi" w:eastAsia="Times New Roman" w:hAnsiTheme="minorHAnsi" w:cstheme="minorHAnsi"/>
          <w:i/>
          <w:sz w:val="24"/>
          <w:szCs w:val="24"/>
        </w:rPr>
        <w:t>, mientras</w:t>
      </w:r>
      <w:r w:rsidRPr="00E27686">
        <w:rPr>
          <w:rFonts w:asciiTheme="minorHAnsi" w:eastAsia="Times New Roman" w:hAnsiTheme="minorHAnsi" w:cstheme="minorHAnsi"/>
          <w:i/>
          <w:sz w:val="24"/>
          <w:szCs w:val="24"/>
        </w:rPr>
        <w:t xml:space="preserve"> elevad</w:t>
      </w:r>
      <w:r w:rsidR="00C72362" w:rsidRPr="00E27686">
        <w:rPr>
          <w:rFonts w:asciiTheme="minorHAnsi" w:eastAsia="Times New Roman" w:hAnsiTheme="minorHAnsi" w:cstheme="minorHAnsi"/>
          <w:i/>
          <w:sz w:val="24"/>
          <w:szCs w:val="24"/>
        </w:rPr>
        <w:t>a</w:t>
      </w:r>
      <w:r w:rsidRPr="00E27686">
        <w:rPr>
          <w:rFonts w:asciiTheme="minorHAnsi" w:eastAsia="Times New Roman" w:hAnsiTheme="minorHAnsi" w:cstheme="minorHAnsi"/>
          <w:i/>
          <w:sz w:val="24"/>
          <w:szCs w:val="24"/>
        </w:rPr>
        <w:t xml:space="preserve">s </w:t>
      </w:r>
      <w:r w:rsidR="00C72362" w:rsidRPr="00E27686">
        <w:rPr>
          <w:rFonts w:asciiTheme="minorHAnsi" w:eastAsia="Times New Roman" w:hAnsiTheme="minorHAnsi" w:cstheme="minorHAnsi"/>
          <w:i/>
          <w:sz w:val="24"/>
          <w:szCs w:val="24"/>
        </w:rPr>
        <w:t>puntuaciones</w:t>
      </w:r>
      <w:r w:rsidRPr="00E27686">
        <w:rPr>
          <w:rFonts w:asciiTheme="minorHAnsi" w:eastAsia="Times New Roman" w:hAnsiTheme="minorHAnsi" w:cstheme="minorHAnsi"/>
          <w:i/>
          <w:sz w:val="24"/>
          <w:szCs w:val="24"/>
        </w:rPr>
        <w:t xml:space="preserve"> en</w:t>
      </w:r>
      <w:r w:rsidR="00C72362" w:rsidRPr="00E27686">
        <w:rPr>
          <w:rFonts w:asciiTheme="minorHAnsi" w:eastAsia="Times New Roman" w:hAnsiTheme="minorHAnsi" w:cstheme="minorHAnsi"/>
          <w:i/>
          <w:sz w:val="24"/>
          <w:szCs w:val="24"/>
        </w:rPr>
        <w:t xml:space="preserve"> el uso de</w:t>
      </w:r>
      <w:r w:rsidRPr="00E27686">
        <w:rPr>
          <w:rFonts w:asciiTheme="minorHAnsi" w:eastAsia="Times New Roman" w:hAnsiTheme="minorHAnsi" w:cstheme="minorHAnsi"/>
          <w:i/>
          <w:sz w:val="24"/>
          <w:szCs w:val="24"/>
        </w:rPr>
        <w:t xml:space="preserve"> estrategias centradas en la restauración se relacionen con un mayor bienestar psicológico.</w:t>
      </w:r>
    </w:p>
    <w:p w14:paraId="3A9F81C9" w14:textId="77777777" w:rsidR="00287BAC" w:rsidRPr="00E27686" w:rsidRDefault="00287BAC" w:rsidP="00A12221">
      <w:pPr>
        <w:keepNext/>
        <w:keepLines/>
        <w:pBdr>
          <w:top w:val="nil"/>
          <w:left w:val="nil"/>
          <w:bottom w:val="nil"/>
          <w:right w:val="nil"/>
          <w:between w:val="nil"/>
        </w:pBdr>
        <w:spacing w:before="240" w:after="0" w:line="360" w:lineRule="auto"/>
        <w:jc w:val="both"/>
        <w:rPr>
          <w:rFonts w:asciiTheme="minorHAnsi" w:hAnsiTheme="minorHAnsi" w:cstheme="minorHAnsi"/>
          <w:b/>
          <w:bCs/>
          <w:sz w:val="24"/>
          <w:szCs w:val="24"/>
        </w:rPr>
      </w:pPr>
    </w:p>
    <w:p w14:paraId="11D59234" w14:textId="27491B0D" w:rsidR="00447D64" w:rsidRPr="00E27686" w:rsidRDefault="00000000" w:rsidP="00A12221">
      <w:pPr>
        <w:keepNext/>
        <w:keepLines/>
        <w:pBdr>
          <w:top w:val="nil"/>
          <w:left w:val="nil"/>
          <w:bottom w:val="nil"/>
          <w:right w:val="nil"/>
          <w:between w:val="nil"/>
        </w:pBdr>
        <w:spacing w:before="240" w:after="0" w:line="360" w:lineRule="auto"/>
        <w:jc w:val="both"/>
        <w:rPr>
          <w:rFonts w:asciiTheme="minorHAnsi" w:hAnsiTheme="minorHAnsi" w:cstheme="minorHAnsi"/>
          <w:b/>
          <w:bCs/>
          <w:sz w:val="24"/>
          <w:szCs w:val="24"/>
        </w:rPr>
      </w:pPr>
      <w:r w:rsidRPr="00E27686">
        <w:rPr>
          <w:rFonts w:asciiTheme="minorHAnsi" w:hAnsiTheme="minorHAnsi" w:cstheme="minorHAnsi"/>
          <w:b/>
          <w:bCs/>
          <w:sz w:val="24"/>
          <w:szCs w:val="24"/>
        </w:rPr>
        <w:t>METODOLOGÍA</w:t>
      </w:r>
    </w:p>
    <w:p w14:paraId="4956970D" w14:textId="77777777" w:rsidR="00447D64" w:rsidRPr="00E27686" w:rsidRDefault="00447D64" w:rsidP="00A12221">
      <w:pPr>
        <w:spacing w:line="360" w:lineRule="auto"/>
        <w:jc w:val="both"/>
        <w:rPr>
          <w:rFonts w:asciiTheme="minorHAnsi" w:hAnsiTheme="minorHAnsi" w:cstheme="minorHAnsi"/>
          <w:sz w:val="24"/>
          <w:szCs w:val="24"/>
        </w:rPr>
      </w:pPr>
    </w:p>
    <w:p w14:paraId="19EDB67A" w14:textId="77777777" w:rsidR="00447D64" w:rsidRPr="00E27686" w:rsidRDefault="00000000"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b/>
          <w:bCs/>
          <w:i/>
          <w:sz w:val="24"/>
          <w:szCs w:val="24"/>
        </w:rPr>
      </w:pPr>
      <w:r w:rsidRPr="00E27686">
        <w:rPr>
          <w:rFonts w:asciiTheme="minorHAnsi" w:eastAsia="Times New Roman" w:hAnsiTheme="minorHAnsi" w:cstheme="minorHAnsi"/>
          <w:b/>
          <w:bCs/>
          <w:i/>
          <w:sz w:val="24"/>
          <w:szCs w:val="24"/>
        </w:rPr>
        <w:t>Participantes</w:t>
      </w:r>
    </w:p>
    <w:p w14:paraId="4F7E173F" w14:textId="77777777" w:rsidR="00447D64" w:rsidRPr="00E27686" w:rsidRDefault="00447D64" w:rsidP="00A12221">
      <w:pPr>
        <w:spacing w:line="360" w:lineRule="auto"/>
        <w:jc w:val="both"/>
        <w:rPr>
          <w:rFonts w:asciiTheme="minorHAnsi" w:hAnsiTheme="minorHAnsi" w:cstheme="minorHAnsi"/>
          <w:sz w:val="24"/>
          <w:szCs w:val="24"/>
        </w:rPr>
      </w:pPr>
    </w:p>
    <w:p w14:paraId="334EBD2E" w14:textId="7505710B"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La presente investigación constituye un estudio transversal de dos fases con una muestra total compuesta por 80 jóvenes </w:t>
      </w:r>
      <w:r w:rsidR="00002E88" w:rsidRPr="00E27686">
        <w:rPr>
          <w:rFonts w:asciiTheme="minorHAnsi" w:eastAsia="Times New Roman" w:hAnsiTheme="minorHAnsi" w:cstheme="minorHAnsi"/>
          <w:sz w:val="24"/>
          <w:szCs w:val="24"/>
        </w:rPr>
        <w:t xml:space="preserve">mayoritariamente </w:t>
      </w:r>
      <w:r w:rsidRPr="00E27686">
        <w:rPr>
          <w:rFonts w:asciiTheme="minorHAnsi" w:eastAsia="Times New Roman" w:hAnsiTheme="minorHAnsi" w:cstheme="minorHAnsi"/>
          <w:sz w:val="24"/>
          <w:szCs w:val="24"/>
        </w:rPr>
        <w:t xml:space="preserve">universitarios en un rango de edad de 18 a 26 años. Por género, 27 sujetos fueron hombres (M = 21.07, DT = 2.43) y 53 fueron mujeres (M = 20.47 años, DT =2.1).  </w:t>
      </w:r>
    </w:p>
    <w:p w14:paraId="6EBC59C3" w14:textId="77777777"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En la primera fase, se reclutó un total de 928 participantes, que formaban 464 relaciones de pareja.  Los sujetos, además de tener la edad requerida, debían estar involucrados en una relación sentimental heterosexual de al menos tres meses de duración y ser de nacionalidad española. Se alcanzó una gran cantidad de individuos con la intención de mantener una cantidad de participantes suficientes para la segunda fase de la investigación que estudiaría el proceso de rupturas y que se llevaría a cabo 12 meses después. En este sentido, se preveía que, después de un año, aquellos que habían vivido una ruptura, no </w:t>
      </w:r>
      <w:r w:rsidRPr="00E27686">
        <w:rPr>
          <w:rFonts w:asciiTheme="minorHAnsi" w:eastAsia="Times New Roman" w:hAnsiTheme="minorHAnsi" w:cstheme="minorHAnsi"/>
          <w:sz w:val="24"/>
          <w:szCs w:val="24"/>
        </w:rPr>
        <w:lastRenderedPageBreak/>
        <w:t>mantendrían el deseo de seguir participando en este estudio, lo que podría reducir drásticamente el número de sujetos experimentales. En la segunda fase de recolección de datos, 12 meses después de la primera toma de medidas, se reclutó a los participantes que habían pasado por una ruptura durante ese periodo de tiempo.</w:t>
      </w:r>
    </w:p>
    <w:p w14:paraId="659361F5" w14:textId="77777777" w:rsidR="00321076" w:rsidRPr="00E27686" w:rsidRDefault="00321076"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i/>
          <w:sz w:val="24"/>
          <w:szCs w:val="24"/>
        </w:rPr>
      </w:pPr>
    </w:p>
    <w:p w14:paraId="4ACC75B1" w14:textId="5C4BDE13" w:rsidR="00447D64" w:rsidRPr="00E27686" w:rsidRDefault="00000000"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b/>
          <w:bCs/>
          <w:i/>
          <w:sz w:val="24"/>
          <w:szCs w:val="24"/>
        </w:rPr>
      </w:pPr>
      <w:r w:rsidRPr="00E27686">
        <w:rPr>
          <w:rFonts w:asciiTheme="minorHAnsi" w:eastAsia="Times New Roman" w:hAnsiTheme="minorHAnsi" w:cstheme="minorHAnsi"/>
          <w:b/>
          <w:bCs/>
          <w:i/>
          <w:sz w:val="24"/>
          <w:szCs w:val="24"/>
        </w:rPr>
        <w:t xml:space="preserve">Instrumentos </w:t>
      </w:r>
    </w:p>
    <w:p w14:paraId="20CBD7DA" w14:textId="77777777" w:rsidR="00447D64" w:rsidRPr="00E27686" w:rsidRDefault="00447D64" w:rsidP="00A12221">
      <w:pPr>
        <w:spacing w:line="360" w:lineRule="auto"/>
        <w:jc w:val="both"/>
        <w:rPr>
          <w:rFonts w:asciiTheme="minorHAnsi" w:eastAsia="Times New Roman" w:hAnsiTheme="minorHAnsi" w:cstheme="minorHAnsi"/>
          <w:sz w:val="24"/>
          <w:szCs w:val="24"/>
        </w:rPr>
      </w:pPr>
    </w:p>
    <w:p w14:paraId="472483C9"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El cuestionario sociodemográfico (Ver Tabla 1) recopiló información respecto al género, edad, nivel de estudios y ocupación. En cuanto a las cuestiones que involucran las características personales y relacionales, se preguntó sobre la duración de la relación, y el número de relaciones pasadas y posibles nuevas parejas en la actualidad. Entre las cuestiones abordadas en la segunda fase, además de una serie de variables, se preguntó sobre el tiempo transcurrido desde la ruptura, quién tomó la decisión, y si los sujetos tenían una nueva pareja en la actualidad.</w:t>
      </w:r>
    </w:p>
    <w:tbl>
      <w:tblPr>
        <w:tblStyle w:val="ac"/>
        <w:tblpPr w:leftFromText="141" w:rightFromText="141" w:vertAnchor="text" w:horzAnchor="margin" w:tblpY="175"/>
        <w:tblW w:w="8586" w:type="dxa"/>
        <w:tblInd w:w="0" w:type="dxa"/>
        <w:tblLayout w:type="fixed"/>
        <w:tblLook w:val="0400" w:firstRow="0" w:lastRow="0" w:firstColumn="0" w:lastColumn="0" w:noHBand="0" w:noVBand="1"/>
      </w:tblPr>
      <w:tblGrid>
        <w:gridCol w:w="3463"/>
        <w:gridCol w:w="2657"/>
        <w:gridCol w:w="2466"/>
      </w:tblGrid>
      <w:tr w:rsidR="00C034E3" w:rsidRPr="00E27686" w14:paraId="2F26C539" w14:textId="77777777" w:rsidTr="00C034E3">
        <w:trPr>
          <w:trHeight w:val="260"/>
        </w:trPr>
        <w:tc>
          <w:tcPr>
            <w:tcW w:w="8586" w:type="dxa"/>
            <w:gridSpan w:val="3"/>
            <w:shd w:val="clear" w:color="auto" w:fill="FFFFFF"/>
            <w:vAlign w:val="center"/>
          </w:tcPr>
          <w:p w14:paraId="04C3A5C9" w14:textId="77777777" w:rsidR="00C034E3" w:rsidRPr="00E27686" w:rsidRDefault="00C034E3" w:rsidP="00A12221">
            <w:pPr>
              <w:spacing w:line="360" w:lineRule="auto"/>
              <w:rPr>
                <w:rFonts w:asciiTheme="minorHAnsi" w:eastAsia="Times New Roman" w:hAnsiTheme="minorHAnsi" w:cstheme="minorHAnsi"/>
                <w:b/>
                <w:i/>
                <w:sz w:val="24"/>
                <w:szCs w:val="24"/>
              </w:rPr>
            </w:pPr>
            <w:r w:rsidRPr="00E27686">
              <w:rPr>
                <w:rFonts w:asciiTheme="minorHAnsi" w:eastAsia="Times New Roman" w:hAnsiTheme="minorHAnsi" w:cstheme="minorHAnsi"/>
                <w:b/>
                <w:sz w:val="24"/>
                <w:szCs w:val="24"/>
              </w:rPr>
              <w:t>Tabla 1</w:t>
            </w:r>
          </w:p>
          <w:p w14:paraId="60BBD4E1" w14:textId="2E1B5EDF" w:rsidR="00C034E3" w:rsidRPr="00E27686" w:rsidRDefault="00C034E3" w:rsidP="00A12221">
            <w:pP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Estadísticos descriptivos en variables sociodemográficas y de la relación</w:t>
            </w:r>
          </w:p>
          <w:p w14:paraId="20E292CF" w14:textId="77777777" w:rsidR="00C034E3" w:rsidRPr="00E27686" w:rsidRDefault="00C034E3" w:rsidP="00A12221">
            <w:pPr>
              <w:spacing w:line="360" w:lineRule="auto"/>
              <w:jc w:val="center"/>
              <w:rPr>
                <w:rFonts w:asciiTheme="minorHAnsi" w:eastAsia="Times New Roman" w:hAnsiTheme="minorHAnsi" w:cstheme="minorHAnsi"/>
                <w:sz w:val="24"/>
                <w:szCs w:val="24"/>
              </w:rPr>
            </w:pPr>
          </w:p>
        </w:tc>
      </w:tr>
      <w:tr w:rsidR="00C034E3" w:rsidRPr="00E27686" w14:paraId="0ABFD7F4" w14:textId="77777777" w:rsidTr="00C034E3">
        <w:trPr>
          <w:trHeight w:val="260"/>
        </w:trPr>
        <w:tc>
          <w:tcPr>
            <w:tcW w:w="3463" w:type="dxa"/>
            <w:vMerge w:val="restart"/>
            <w:tcBorders>
              <w:top w:val="single" w:sz="4" w:space="0" w:color="000000"/>
            </w:tcBorders>
            <w:shd w:val="clear" w:color="auto" w:fill="FFFFFF"/>
            <w:vAlign w:val="center"/>
          </w:tcPr>
          <w:p w14:paraId="7D68F41E"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Variables</w:t>
            </w:r>
          </w:p>
        </w:tc>
        <w:tc>
          <w:tcPr>
            <w:tcW w:w="5123" w:type="dxa"/>
            <w:gridSpan w:val="2"/>
            <w:tcBorders>
              <w:top w:val="single" w:sz="4" w:space="0" w:color="000000"/>
              <w:bottom w:val="single" w:sz="4" w:space="0" w:color="000000"/>
            </w:tcBorders>
            <w:shd w:val="clear" w:color="auto" w:fill="FFFFFF"/>
          </w:tcPr>
          <w:p w14:paraId="3E6A2FFD"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Ruptura</w:t>
            </w:r>
          </w:p>
        </w:tc>
      </w:tr>
      <w:tr w:rsidR="00C034E3" w:rsidRPr="00E27686" w14:paraId="386A3739" w14:textId="77777777" w:rsidTr="00C034E3">
        <w:trPr>
          <w:trHeight w:val="283"/>
        </w:trPr>
        <w:tc>
          <w:tcPr>
            <w:tcW w:w="3463" w:type="dxa"/>
            <w:vMerge/>
            <w:tcBorders>
              <w:top w:val="single" w:sz="4" w:space="0" w:color="000000"/>
            </w:tcBorders>
            <w:shd w:val="clear" w:color="auto" w:fill="FFFFFF"/>
            <w:vAlign w:val="center"/>
          </w:tcPr>
          <w:p w14:paraId="7CCC5359" w14:textId="77777777" w:rsidR="00C034E3" w:rsidRPr="00E27686" w:rsidRDefault="00C034E3" w:rsidP="00A12221">
            <w:pPr>
              <w:widowControl w:val="0"/>
              <w:pBdr>
                <w:top w:val="nil"/>
                <w:left w:val="nil"/>
                <w:bottom w:val="nil"/>
                <w:right w:val="nil"/>
                <w:between w:val="nil"/>
              </w:pBdr>
              <w:spacing w:line="360" w:lineRule="auto"/>
              <w:rPr>
                <w:rFonts w:asciiTheme="minorHAnsi" w:eastAsia="Times New Roman" w:hAnsiTheme="minorHAnsi" w:cstheme="minorHAnsi"/>
                <w:sz w:val="24"/>
                <w:szCs w:val="24"/>
              </w:rPr>
            </w:pPr>
          </w:p>
        </w:tc>
        <w:tc>
          <w:tcPr>
            <w:tcW w:w="2657" w:type="dxa"/>
            <w:tcBorders>
              <w:top w:val="single" w:sz="4" w:space="0" w:color="000000"/>
              <w:bottom w:val="single" w:sz="4" w:space="0" w:color="000000"/>
            </w:tcBorders>
            <w:shd w:val="clear" w:color="auto" w:fill="FFFFFF"/>
          </w:tcPr>
          <w:p w14:paraId="45A687E0"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n (% válido)</w:t>
            </w:r>
          </w:p>
        </w:tc>
        <w:tc>
          <w:tcPr>
            <w:tcW w:w="2466" w:type="dxa"/>
            <w:tcBorders>
              <w:top w:val="single" w:sz="4" w:space="0" w:color="000000"/>
              <w:bottom w:val="single" w:sz="4" w:space="0" w:color="000000"/>
            </w:tcBorders>
            <w:shd w:val="clear" w:color="auto" w:fill="FFFFFF"/>
          </w:tcPr>
          <w:p w14:paraId="20B770AC"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n (% válido)</w:t>
            </w:r>
          </w:p>
        </w:tc>
      </w:tr>
      <w:tr w:rsidR="00C034E3" w:rsidRPr="00E27686" w14:paraId="44D772D9" w14:textId="77777777" w:rsidTr="00C034E3">
        <w:trPr>
          <w:trHeight w:val="260"/>
        </w:trPr>
        <w:tc>
          <w:tcPr>
            <w:tcW w:w="3463" w:type="dxa"/>
            <w:tcBorders>
              <w:top w:val="single" w:sz="4" w:space="0" w:color="000000"/>
            </w:tcBorders>
            <w:shd w:val="clear" w:color="auto" w:fill="FFFFFF"/>
          </w:tcPr>
          <w:p w14:paraId="5DD55D26"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Género</w:t>
            </w:r>
          </w:p>
        </w:tc>
        <w:tc>
          <w:tcPr>
            <w:tcW w:w="2657" w:type="dxa"/>
            <w:tcBorders>
              <w:top w:val="single" w:sz="4" w:space="0" w:color="000000"/>
            </w:tcBorders>
            <w:shd w:val="clear" w:color="auto" w:fill="FFFFFF"/>
          </w:tcPr>
          <w:p w14:paraId="5D6353AB"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p>
        </w:tc>
        <w:tc>
          <w:tcPr>
            <w:tcW w:w="2466" w:type="dxa"/>
            <w:tcBorders>
              <w:top w:val="single" w:sz="4" w:space="0" w:color="000000"/>
            </w:tcBorders>
            <w:shd w:val="clear" w:color="auto" w:fill="FFFFFF"/>
          </w:tcPr>
          <w:p w14:paraId="468DB14B"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p>
        </w:tc>
      </w:tr>
      <w:tr w:rsidR="00C034E3" w:rsidRPr="00E27686" w14:paraId="34F79A5A" w14:textId="77777777" w:rsidTr="00C034E3">
        <w:trPr>
          <w:trHeight w:val="260"/>
        </w:trPr>
        <w:tc>
          <w:tcPr>
            <w:tcW w:w="3463" w:type="dxa"/>
            <w:shd w:val="clear" w:color="auto" w:fill="FFFFFF"/>
          </w:tcPr>
          <w:p w14:paraId="185DB83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Varón</w:t>
            </w:r>
          </w:p>
        </w:tc>
        <w:tc>
          <w:tcPr>
            <w:tcW w:w="5123" w:type="dxa"/>
            <w:gridSpan w:val="2"/>
            <w:vMerge w:val="restart"/>
            <w:shd w:val="clear" w:color="auto" w:fill="FFFFFF"/>
          </w:tcPr>
          <w:p w14:paraId="5E6FDC9B"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27 (33,8)</w:t>
            </w:r>
          </w:p>
          <w:p w14:paraId="046F17FB"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53 (66,2)</w:t>
            </w:r>
          </w:p>
        </w:tc>
      </w:tr>
      <w:tr w:rsidR="00C034E3" w:rsidRPr="00E27686" w14:paraId="4B8E3F10" w14:textId="77777777" w:rsidTr="00C034E3">
        <w:trPr>
          <w:trHeight w:val="86"/>
        </w:trPr>
        <w:tc>
          <w:tcPr>
            <w:tcW w:w="3463" w:type="dxa"/>
            <w:shd w:val="clear" w:color="auto" w:fill="FFFFFF"/>
          </w:tcPr>
          <w:p w14:paraId="19E941F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Mujer</w:t>
            </w:r>
          </w:p>
        </w:tc>
        <w:tc>
          <w:tcPr>
            <w:tcW w:w="5123" w:type="dxa"/>
            <w:gridSpan w:val="2"/>
            <w:vMerge/>
            <w:shd w:val="clear" w:color="auto" w:fill="FFFFFF"/>
          </w:tcPr>
          <w:p w14:paraId="24938CD3" w14:textId="77777777" w:rsidR="00C034E3" w:rsidRPr="00E27686" w:rsidRDefault="00C034E3" w:rsidP="00A12221">
            <w:pPr>
              <w:widowControl w:val="0"/>
              <w:pBdr>
                <w:top w:val="nil"/>
                <w:left w:val="nil"/>
                <w:bottom w:val="nil"/>
                <w:right w:val="nil"/>
                <w:between w:val="nil"/>
              </w:pBdr>
              <w:spacing w:line="360" w:lineRule="auto"/>
              <w:rPr>
                <w:rFonts w:asciiTheme="minorHAnsi" w:eastAsia="Times New Roman" w:hAnsiTheme="minorHAnsi" w:cstheme="minorHAnsi"/>
                <w:sz w:val="24"/>
                <w:szCs w:val="24"/>
              </w:rPr>
            </w:pPr>
          </w:p>
        </w:tc>
      </w:tr>
      <w:tr w:rsidR="00C034E3" w:rsidRPr="00E27686" w14:paraId="4A956008" w14:textId="77777777" w:rsidTr="00C034E3">
        <w:trPr>
          <w:trHeight w:val="86"/>
        </w:trPr>
        <w:tc>
          <w:tcPr>
            <w:tcW w:w="3463" w:type="dxa"/>
            <w:shd w:val="clear" w:color="auto" w:fill="FFFFFF"/>
          </w:tcPr>
          <w:p w14:paraId="2B161C6F"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p>
        </w:tc>
        <w:tc>
          <w:tcPr>
            <w:tcW w:w="2657" w:type="dxa"/>
            <w:shd w:val="clear" w:color="auto" w:fill="FFFFFF"/>
          </w:tcPr>
          <w:p w14:paraId="0A4D9D14"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Varón</w:t>
            </w:r>
          </w:p>
        </w:tc>
        <w:tc>
          <w:tcPr>
            <w:tcW w:w="2466" w:type="dxa"/>
            <w:shd w:val="clear" w:color="auto" w:fill="FFFFFF"/>
          </w:tcPr>
          <w:p w14:paraId="5E8FB811"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Mujer</w:t>
            </w:r>
          </w:p>
        </w:tc>
      </w:tr>
      <w:tr w:rsidR="00C034E3" w:rsidRPr="00E27686" w14:paraId="7DA6FC5F" w14:textId="77777777" w:rsidTr="00C034E3">
        <w:trPr>
          <w:trHeight w:val="260"/>
        </w:trPr>
        <w:tc>
          <w:tcPr>
            <w:tcW w:w="8586" w:type="dxa"/>
            <w:gridSpan w:val="3"/>
            <w:shd w:val="clear" w:color="auto" w:fill="FFFFFF"/>
          </w:tcPr>
          <w:p w14:paraId="5F91F669"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sz w:val="24"/>
                <w:szCs w:val="24"/>
              </w:rPr>
              <w:t>Edad (años</w:t>
            </w:r>
            <w:r w:rsidRPr="00E27686">
              <w:rPr>
                <w:rFonts w:asciiTheme="minorHAnsi" w:eastAsia="Times New Roman" w:hAnsiTheme="minorHAnsi" w:cstheme="minorHAnsi"/>
                <w:sz w:val="24"/>
                <w:szCs w:val="24"/>
              </w:rPr>
              <w:t>)</w:t>
            </w:r>
          </w:p>
        </w:tc>
      </w:tr>
      <w:tr w:rsidR="00C034E3" w:rsidRPr="00E27686" w14:paraId="4236F0B1" w14:textId="77777777" w:rsidTr="00C034E3">
        <w:trPr>
          <w:trHeight w:val="283"/>
        </w:trPr>
        <w:tc>
          <w:tcPr>
            <w:tcW w:w="3463" w:type="dxa"/>
            <w:shd w:val="clear" w:color="auto" w:fill="FFFFFF"/>
          </w:tcPr>
          <w:p w14:paraId="0A2CCDBD"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Media (DT); Rango</w:t>
            </w:r>
          </w:p>
        </w:tc>
        <w:tc>
          <w:tcPr>
            <w:tcW w:w="2657" w:type="dxa"/>
            <w:shd w:val="clear" w:color="auto" w:fill="FFFFFF"/>
            <w:vAlign w:val="center"/>
          </w:tcPr>
          <w:p w14:paraId="73DD7DA2"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21,07 (2,43); 18-26</w:t>
            </w:r>
          </w:p>
        </w:tc>
        <w:tc>
          <w:tcPr>
            <w:tcW w:w="2466" w:type="dxa"/>
            <w:shd w:val="clear" w:color="auto" w:fill="FFFFFF"/>
            <w:vAlign w:val="center"/>
          </w:tcPr>
          <w:p w14:paraId="1329B5FA"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20,47 (2,1); 18-25</w:t>
            </w:r>
          </w:p>
        </w:tc>
      </w:tr>
      <w:tr w:rsidR="00C034E3" w:rsidRPr="00E27686" w14:paraId="6C2C2FAC" w14:textId="77777777" w:rsidTr="00C034E3">
        <w:trPr>
          <w:trHeight w:val="260"/>
        </w:trPr>
        <w:tc>
          <w:tcPr>
            <w:tcW w:w="8586" w:type="dxa"/>
            <w:gridSpan w:val="3"/>
            <w:shd w:val="clear" w:color="auto" w:fill="FFFFFF"/>
          </w:tcPr>
          <w:p w14:paraId="50BC8AF8"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Estudios</w:t>
            </w:r>
          </w:p>
        </w:tc>
      </w:tr>
      <w:tr w:rsidR="00C034E3" w:rsidRPr="00E27686" w14:paraId="2EB2ADA9" w14:textId="77777777" w:rsidTr="00C034E3">
        <w:trPr>
          <w:trHeight w:val="260"/>
        </w:trPr>
        <w:tc>
          <w:tcPr>
            <w:tcW w:w="3463" w:type="dxa"/>
            <w:shd w:val="clear" w:color="auto" w:fill="FFFFFF"/>
          </w:tcPr>
          <w:p w14:paraId="762DC2AE"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E.S.O.</w:t>
            </w:r>
          </w:p>
        </w:tc>
        <w:tc>
          <w:tcPr>
            <w:tcW w:w="2657" w:type="dxa"/>
            <w:shd w:val="clear" w:color="auto" w:fill="FFFFFF"/>
            <w:vAlign w:val="center"/>
          </w:tcPr>
          <w:p w14:paraId="54928E50"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 (3,7)</w:t>
            </w:r>
          </w:p>
        </w:tc>
        <w:tc>
          <w:tcPr>
            <w:tcW w:w="2466" w:type="dxa"/>
            <w:shd w:val="clear" w:color="auto" w:fill="FFFFFF"/>
            <w:vAlign w:val="center"/>
          </w:tcPr>
          <w:p w14:paraId="156A6BB5"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r>
      <w:tr w:rsidR="00C034E3" w:rsidRPr="00E27686" w14:paraId="7E7A3C5B" w14:textId="77777777" w:rsidTr="00C034E3">
        <w:trPr>
          <w:trHeight w:val="283"/>
        </w:trPr>
        <w:tc>
          <w:tcPr>
            <w:tcW w:w="3463" w:type="dxa"/>
            <w:shd w:val="clear" w:color="auto" w:fill="FFFFFF"/>
          </w:tcPr>
          <w:p w14:paraId="17BCFAFF"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Bachillerato</w:t>
            </w:r>
          </w:p>
        </w:tc>
        <w:tc>
          <w:tcPr>
            <w:tcW w:w="2657" w:type="dxa"/>
            <w:shd w:val="clear" w:color="auto" w:fill="FFFFFF"/>
            <w:vAlign w:val="center"/>
          </w:tcPr>
          <w:p w14:paraId="47F5D0DE"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4 (14,8)</w:t>
            </w:r>
          </w:p>
        </w:tc>
        <w:tc>
          <w:tcPr>
            <w:tcW w:w="2466" w:type="dxa"/>
            <w:shd w:val="clear" w:color="auto" w:fill="FFFFFF"/>
            <w:vAlign w:val="center"/>
          </w:tcPr>
          <w:p w14:paraId="3C5AB262"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5 (9,4)</w:t>
            </w:r>
          </w:p>
        </w:tc>
      </w:tr>
      <w:tr w:rsidR="00C034E3" w:rsidRPr="00E27686" w14:paraId="4E754BC1" w14:textId="77777777" w:rsidTr="00C034E3">
        <w:trPr>
          <w:trHeight w:val="260"/>
        </w:trPr>
        <w:tc>
          <w:tcPr>
            <w:tcW w:w="3463" w:type="dxa"/>
            <w:shd w:val="clear" w:color="auto" w:fill="FFFFFF"/>
          </w:tcPr>
          <w:p w14:paraId="326A5856"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FP Media</w:t>
            </w:r>
          </w:p>
        </w:tc>
        <w:tc>
          <w:tcPr>
            <w:tcW w:w="2657" w:type="dxa"/>
            <w:shd w:val="clear" w:color="auto" w:fill="FFFFFF"/>
            <w:vAlign w:val="center"/>
          </w:tcPr>
          <w:p w14:paraId="34CB96A9"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 (3,7)</w:t>
            </w:r>
          </w:p>
        </w:tc>
        <w:tc>
          <w:tcPr>
            <w:tcW w:w="2466" w:type="dxa"/>
            <w:shd w:val="clear" w:color="auto" w:fill="FFFFFF"/>
            <w:vAlign w:val="center"/>
          </w:tcPr>
          <w:p w14:paraId="015FACD0"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r>
      <w:tr w:rsidR="00C034E3" w:rsidRPr="00E27686" w14:paraId="5BEE51DB" w14:textId="77777777" w:rsidTr="00C034E3">
        <w:trPr>
          <w:trHeight w:val="260"/>
        </w:trPr>
        <w:tc>
          <w:tcPr>
            <w:tcW w:w="3463" w:type="dxa"/>
            <w:shd w:val="clear" w:color="auto" w:fill="FFFFFF"/>
          </w:tcPr>
          <w:p w14:paraId="04E7FAB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FP Superior</w:t>
            </w:r>
          </w:p>
        </w:tc>
        <w:tc>
          <w:tcPr>
            <w:tcW w:w="2657" w:type="dxa"/>
            <w:shd w:val="clear" w:color="auto" w:fill="FFFFFF"/>
            <w:vAlign w:val="center"/>
          </w:tcPr>
          <w:p w14:paraId="5289137E"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c>
          <w:tcPr>
            <w:tcW w:w="2466" w:type="dxa"/>
            <w:shd w:val="clear" w:color="auto" w:fill="FFFFFF"/>
            <w:vAlign w:val="center"/>
          </w:tcPr>
          <w:p w14:paraId="6FBDB5A4"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 (3,8)</w:t>
            </w:r>
          </w:p>
        </w:tc>
      </w:tr>
      <w:tr w:rsidR="00C034E3" w:rsidRPr="00E27686" w14:paraId="4C832E96" w14:textId="77777777" w:rsidTr="00C034E3">
        <w:trPr>
          <w:trHeight w:val="283"/>
        </w:trPr>
        <w:tc>
          <w:tcPr>
            <w:tcW w:w="3463" w:type="dxa"/>
            <w:shd w:val="clear" w:color="auto" w:fill="FFFFFF"/>
          </w:tcPr>
          <w:p w14:paraId="60C7335F"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 xml:space="preserve">  Grado /Licenciatura</w:t>
            </w:r>
          </w:p>
        </w:tc>
        <w:tc>
          <w:tcPr>
            <w:tcW w:w="2657" w:type="dxa"/>
            <w:shd w:val="clear" w:color="auto" w:fill="FFFFFF"/>
            <w:vAlign w:val="center"/>
          </w:tcPr>
          <w:p w14:paraId="550AA42B"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18 (66,7)</w:t>
            </w:r>
          </w:p>
        </w:tc>
        <w:tc>
          <w:tcPr>
            <w:tcW w:w="2466" w:type="dxa"/>
            <w:shd w:val="clear" w:color="auto" w:fill="FFFFFF"/>
            <w:vAlign w:val="center"/>
          </w:tcPr>
          <w:p w14:paraId="1448EB9A"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44 (83)</w:t>
            </w:r>
          </w:p>
        </w:tc>
      </w:tr>
      <w:tr w:rsidR="00C034E3" w:rsidRPr="00E27686" w14:paraId="51D7D42A" w14:textId="77777777" w:rsidTr="00C034E3">
        <w:trPr>
          <w:trHeight w:val="260"/>
        </w:trPr>
        <w:tc>
          <w:tcPr>
            <w:tcW w:w="3463" w:type="dxa"/>
            <w:shd w:val="clear" w:color="auto" w:fill="FFFFFF"/>
          </w:tcPr>
          <w:p w14:paraId="5F9F20CF"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Posgrado</w:t>
            </w:r>
          </w:p>
        </w:tc>
        <w:tc>
          <w:tcPr>
            <w:tcW w:w="2657" w:type="dxa"/>
            <w:shd w:val="clear" w:color="auto" w:fill="FFFFFF"/>
            <w:vAlign w:val="center"/>
          </w:tcPr>
          <w:p w14:paraId="76BA89C0"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 (11,1)</w:t>
            </w:r>
          </w:p>
        </w:tc>
        <w:tc>
          <w:tcPr>
            <w:tcW w:w="2466" w:type="dxa"/>
            <w:shd w:val="clear" w:color="auto" w:fill="FFFFFF"/>
            <w:vAlign w:val="center"/>
          </w:tcPr>
          <w:p w14:paraId="6D4381CF"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 (3,8)</w:t>
            </w:r>
          </w:p>
        </w:tc>
      </w:tr>
      <w:tr w:rsidR="00C034E3" w:rsidRPr="00E27686" w14:paraId="0DF80DE2" w14:textId="77777777" w:rsidTr="00C034E3">
        <w:trPr>
          <w:trHeight w:val="283"/>
        </w:trPr>
        <w:tc>
          <w:tcPr>
            <w:tcW w:w="3463" w:type="dxa"/>
            <w:shd w:val="clear" w:color="auto" w:fill="FFFFFF"/>
          </w:tcPr>
          <w:p w14:paraId="5FF333BC"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Otros</w:t>
            </w:r>
          </w:p>
        </w:tc>
        <w:tc>
          <w:tcPr>
            <w:tcW w:w="2657" w:type="dxa"/>
            <w:shd w:val="clear" w:color="auto" w:fill="FFFFFF"/>
            <w:vAlign w:val="center"/>
          </w:tcPr>
          <w:p w14:paraId="1014A365"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c>
          <w:tcPr>
            <w:tcW w:w="2466" w:type="dxa"/>
            <w:shd w:val="clear" w:color="auto" w:fill="FFFFFF"/>
            <w:vAlign w:val="center"/>
          </w:tcPr>
          <w:p w14:paraId="02CD02FB"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r>
      <w:tr w:rsidR="00C034E3" w:rsidRPr="00E27686" w14:paraId="345E90DE" w14:textId="77777777" w:rsidTr="00C034E3">
        <w:trPr>
          <w:trHeight w:val="260"/>
        </w:trPr>
        <w:tc>
          <w:tcPr>
            <w:tcW w:w="8586" w:type="dxa"/>
            <w:gridSpan w:val="3"/>
            <w:shd w:val="clear" w:color="auto" w:fill="FFFFFF"/>
          </w:tcPr>
          <w:p w14:paraId="00396183"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Ocupación</w:t>
            </w:r>
          </w:p>
        </w:tc>
      </w:tr>
      <w:tr w:rsidR="00C034E3" w:rsidRPr="00E27686" w14:paraId="1BB05AAF" w14:textId="77777777" w:rsidTr="00C034E3">
        <w:trPr>
          <w:trHeight w:val="260"/>
        </w:trPr>
        <w:tc>
          <w:tcPr>
            <w:tcW w:w="3463" w:type="dxa"/>
            <w:shd w:val="clear" w:color="auto" w:fill="FFFFFF"/>
          </w:tcPr>
          <w:p w14:paraId="2AE869EB"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Estudia</w:t>
            </w:r>
          </w:p>
        </w:tc>
        <w:tc>
          <w:tcPr>
            <w:tcW w:w="2657" w:type="dxa"/>
            <w:shd w:val="clear" w:color="auto" w:fill="FFFFFF"/>
            <w:vAlign w:val="center"/>
          </w:tcPr>
          <w:p w14:paraId="3134395C"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 (77,8)</w:t>
            </w:r>
          </w:p>
        </w:tc>
        <w:tc>
          <w:tcPr>
            <w:tcW w:w="2466" w:type="dxa"/>
            <w:shd w:val="clear" w:color="auto" w:fill="FFFFFF"/>
            <w:vAlign w:val="center"/>
          </w:tcPr>
          <w:p w14:paraId="3B8941DC"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45 (84,9)</w:t>
            </w:r>
          </w:p>
        </w:tc>
      </w:tr>
      <w:tr w:rsidR="00C034E3" w:rsidRPr="00E27686" w14:paraId="496DBA02" w14:textId="77777777" w:rsidTr="00C034E3">
        <w:trPr>
          <w:trHeight w:val="283"/>
        </w:trPr>
        <w:tc>
          <w:tcPr>
            <w:tcW w:w="3463" w:type="dxa"/>
            <w:shd w:val="clear" w:color="auto" w:fill="FFFFFF"/>
          </w:tcPr>
          <w:p w14:paraId="5793A32B"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Estudia y trabaja</w:t>
            </w:r>
          </w:p>
        </w:tc>
        <w:tc>
          <w:tcPr>
            <w:tcW w:w="2657" w:type="dxa"/>
            <w:shd w:val="clear" w:color="auto" w:fill="FFFFFF"/>
            <w:vAlign w:val="center"/>
          </w:tcPr>
          <w:p w14:paraId="55E7A048"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5 (18,5)</w:t>
            </w:r>
          </w:p>
        </w:tc>
        <w:tc>
          <w:tcPr>
            <w:tcW w:w="2466" w:type="dxa"/>
            <w:shd w:val="clear" w:color="auto" w:fill="FFFFFF"/>
            <w:vAlign w:val="center"/>
          </w:tcPr>
          <w:p w14:paraId="31FCC712"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7 (13,2)</w:t>
            </w:r>
          </w:p>
        </w:tc>
      </w:tr>
      <w:tr w:rsidR="00C034E3" w:rsidRPr="00E27686" w14:paraId="52FF633E" w14:textId="77777777" w:rsidTr="00C034E3">
        <w:trPr>
          <w:trHeight w:val="260"/>
        </w:trPr>
        <w:tc>
          <w:tcPr>
            <w:tcW w:w="3463" w:type="dxa"/>
            <w:shd w:val="clear" w:color="auto" w:fill="FFFFFF"/>
          </w:tcPr>
          <w:p w14:paraId="1185A89C"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Trabaja</w:t>
            </w:r>
          </w:p>
        </w:tc>
        <w:tc>
          <w:tcPr>
            <w:tcW w:w="2657" w:type="dxa"/>
            <w:shd w:val="clear" w:color="auto" w:fill="FFFFFF"/>
            <w:vAlign w:val="center"/>
          </w:tcPr>
          <w:p w14:paraId="4FA21FE5"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 (3,7)</w:t>
            </w:r>
          </w:p>
        </w:tc>
        <w:tc>
          <w:tcPr>
            <w:tcW w:w="2466" w:type="dxa"/>
            <w:shd w:val="clear" w:color="auto" w:fill="FFFFFF"/>
            <w:vAlign w:val="center"/>
          </w:tcPr>
          <w:p w14:paraId="19AE6903"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r>
      <w:tr w:rsidR="00C034E3" w:rsidRPr="00E27686" w14:paraId="1B522FAF" w14:textId="77777777" w:rsidTr="00C034E3">
        <w:trPr>
          <w:trHeight w:val="260"/>
        </w:trPr>
        <w:tc>
          <w:tcPr>
            <w:tcW w:w="3463" w:type="dxa"/>
            <w:shd w:val="clear" w:color="auto" w:fill="FFFFFF"/>
          </w:tcPr>
          <w:p w14:paraId="2A8F227B"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Ninguna de las anteriores</w:t>
            </w:r>
          </w:p>
        </w:tc>
        <w:tc>
          <w:tcPr>
            <w:tcW w:w="2657" w:type="dxa"/>
            <w:shd w:val="clear" w:color="auto" w:fill="FFFFFF"/>
            <w:vAlign w:val="center"/>
          </w:tcPr>
          <w:p w14:paraId="502AA42C"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 (0)</w:t>
            </w:r>
          </w:p>
        </w:tc>
        <w:tc>
          <w:tcPr>
            <w:tcW w:w="2466" w:type="dxa"/>
            <w:shd w:val="clear" w:color="auto" w:fill="FFFFFF"/>
            <w:vAlign w:val="center"/>
          </w:tcPr>
          <w:p w14:paraId="0EE8FD82"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 (1,9)</w:t>
            </w:r>
          </w:p>
        </w:tc>
      </w:tr>
      <w:tr w:rsidR="00C034E3" w:rsidRPr="00E27686" w14:paraId="70196A36" w14:textId="77777777" w:rsidTr="00C034E3">
        <w:trPr>
          <w:trHeight w:val="283"/>
        </w:trPr>
        <w:tc>
          <w:tcPr>
            <w:tcW w:w="8586" w:type="dxa"/>
            <w:gridSpan w:val="3"/>
            <w:shd w:val="clear" w:color="auto" w:fill="FFFFFF"/>
          </w:tcPr>
          <w:p w14:paraId="3AFBFCAE"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sz w:val="24"/>
                <w:szCs w:val="24"/>
              </w:rPr>
              <w:t>Duración de la relación (meses</w:t>
            </w:r>
            <w:r w:rsidRPr="00E27686">
              <w:rPr>
                <w:rFonts w:asciiTheme="minorHAnsi" w:eastAsia="Times New Roman" w:hAnsiTheme="minorHAnsi" w:cstheme="minorHAnsi"/>
                <w:sz w:val="24"/>
                <w:szCs w:val="24"/>
              </w:rPr>
              <w:t>)</w:t>
            </w:r>
          </w:p>
        </w:tc>
      </w:tr>
      <w:tr w:rsidR="00C034E3" w:rsidRPr="00E27686" w14:paraId="6E9A924E" w14:textId="77777777" w:rsidTr="00C034E3">
        <w:trPr>
          <w:trHeight w:val="543"/>
        </w:trPr>
        <w:tc>
          <w:tcPr>
            <w:tcW w:w="3463" w:type="dxa"/>
            <w:shd w:val="clear" w:color="auto" w:fill="FFFFFF"/>
            <w:vAlign w:val="center"/>
          </w:tcPr>
          <w:p w14:paraId="1A0C930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Media (DT); Rango</w:t>
            </w:r>
          </w:p>
        </w:tc>
        <w:tc>
          <w:tcPr>
            <w:tcW w:w="2657" w:type="dxa"/>
            <w:shd w:val="clear" w:color="auto" w:fill="FFFFFF"/>
            <w:vAlign w:val="center"/>
          </w:tcPr>
          <w:p w14:paraId="6F704ABA"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23,74 (22,65 ); 2-92</w:t>
            </w:r>
          </w:p>
        </w:tc>
        <w:tc>
          <w:tcPr>
            <w:tcW w:w="2466" w:type="dxa"/>
            <w:shd w:val="clear" w:color="auto" w:fill="FFFFFF"/>
            <w:vAlign w:val="center"/>
          </w:tcPr>
          <w:p w14:paraId="41EFB8B5"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20,75 (17,80), </w:t>
            </w:r>
          </w:p>
          <w:p w14:paraId="248DCA67"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1-101</w:t>
            </w:r>
          </w:p>
        </w:tc>
      </w:tr>
      <w:tr w:rsidR="00C034E3" w:rsidRPr="00E27686" w14:paraId="7C5B002D" w14:textId="77777777" w:rsidTr="00C034E3">
        <w:trPr>
          <w:trHeight w:val="260"/>
        </w:trPr>
        <w:tc>
          <w:tcPr>
            <w:tcW w:w="8586" w:type="dxa"/>
            <w:gridSpan w:val="3"/>
            <w:shd w:val="clear" w:color="auto" w:fill="FFFFFF"/>
          </w:tcPr>
          <w:p w14:paraId="3AEB9FB7"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Número de relaciones anteriores</w:t>
            </w:r>
          </w:p>
        </w:tc>
      </w:tr>
      <w:tr w:rsidR="00C034E3" w:rsidRPr="00E27686" w14:paraId="220045A1" w14:textId="77777777" w:rsidTr="00C034E3">
        <w:trPr>
          <w:trHeight w:val="260"/>
        </w:trPr>
        <w:tc>
          <w:tcPr>
            <w:tcW w:w="3463" w:type="dxa"/>
            <w:shd w:val="clear" w:color="auto" w:fill="FFFFFF"/>
          </w:tcPr>
          <w:p w14:paraId="4A22B03D"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Media (DT); Rango</w:t>
            </w:r>
          </w:p>
        </w:tc>
        <w:tc>
          <w:tcPr>
            <w:tcW w:w="2657" w:type="dxa"/>
            <w:shd w:val="clear" w:color="auto" w:fill="FFFFFF"/>
            <w:vAlign w:val="center"/>
          </w:tcPr>
          <w:p w14:paraId="2FCFF199"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1,11 (1,19); 0-4</w:t>
            </w:r>
          </w:p>
        </w:tc>
        <w:tc>
          <w:tcPr>
            <w:tcW w:w="2466" w:type="dxa"/>
            <w:shd w:val="clear" w:color="auto" w:fill="FFFFFF"/>
            <w:vAlign w:val="center"/>
          </w:tcPr>
          <w:p w14:paraId="57744177"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1,51(1,88); 1-11</w:t>
            </w:r>
          </w:p>
        </w:tc>
      </w:tr>
      <w:tr w:rsidR="00C034E3" w:rsidRPr="00E27686" w14:paraId="4FFFFE69" w14:textId="77777777" w:rsidTr="00C034E3">
        <w:trPr>
          <w:trHeight w:val="283"/>
        </w:trPr>
        <w:tc>
          <w:tcPr>
            <w:tcW w:w="8586" w:type="dxa"/>
            <w:gridSpan w:val="3"/>
            <w:shd w:val="clear" w:color="auto" w:fill="FFFFFF"/>
            <w:vAlign w:val="center"/>
          </w:tcPr>
          <w:p w14:paraId="7F7BEB54"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Tiempo transcurrido desde la ruptura (meses)</w:t>
            </w:r>
          </w:p>
        </w:tc>
      </w:tr>
      <w:tr w:rsidR="00C034E3" w:rsidRPr="00E27686" w14:paraId="4356D8ED" w14:textId="77777777" w:rsidTr="00C034E3">
        <w:trPr>
          <w:trHeight w:val="260"/>
        </w:trPr>
        <w:tc>
          <w:tcPr>
            <w:tcW w:w="3463" w:type="dxa"/>
            <w:shd w:val="clear" w:color="auto" w:fill="FFFFFF"/>
          </w:tcPr>
          <w:p w14:paraId="2ACFD697"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Media (DT); Rango</w:t>
            </w:r>
          </w:p>
        </w:tc>
        <w:tc>
          <w:tcPr>
            <w:tcW w:w="2657" w:type="dxa"/>
            <w:shd w:val="clear" w:color="auto" w:fill="FFFFFF"/>
            <w:vAlign w:val="center"/>
          </w:tcPr>
          <w:p w14:paraId="02682D89"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5,52 (3,65); 0-12</w:t>
            </w:r>
          </w:p>
        </w:tc>
        <w:tc>
          <w:tcPr>
            <w:tcW w:w="2466" w:type="dxa"/>
            <w:shd w:val="clear" w:color="auto" w:fill="FFFFFF"/>
            <w:vAlign w:val="center"/>
          </w:tcPr>
          <w:p w14:paraId="71A7899A"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6 (3,7); 0-12</w:t>
            </w:r>
          </w:p>
        </w:tc>
      </w:tr>
      <w:tr w:rsidR="00C034E3" w:rsidRPr="00E27686" w14:paraId="4D523434" w14:textId="77777777" w:rsidTr="00C034E3">
        <w:trPr>
          <w:trHeight w:val="260"/>
        </w:trPr>
        <w:tc>
          <w:tcPr>
            <w:tcW w:w="8586" w:type="dxa"/>
            <w:gridSpan w:val="3"/>
            <w:shd w:val="clear" w:color="auto" w:fill="FFFFFF"/>
            <w:vAlign w:val="center"/>
          </w:tcPr>
          <w:p w14:paraId="75CCCFF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sz w:val="24"/>
                <w:szCs w:val="24"/>
              </w:rPr>
              <w:t>Quién inició la ruptura</w:t>
            </w:r>
            <w:r w:rsidRPr="00E27686">
              <w:rPr>
                <w:rFonts w:asciiTheme="minorHAnsi" w:eastAsia="Times New Roman" w:hAnsiTheme="minorHAnsi" w:cstheme="minorHAnsi"/>
                <w:sz w:val="24"/>
                <w:szCs w:val="24"/>
              </w:rPr>
              <w:t xml:space="preserve"> - n (% válido)</w:t>
            </w:r>
          </w:p>
        </w:tc>
      </w:tr>
      <w:tr w:rsidR="00C034E3" w:rsidRPr="00E27686" w14:paraId="18DDFC16" w14:textId="77777777" w:rsidTr="00C034E3">
        <w:trPr>
          <w:trHeight w:val="283"/>
        </w:trPr>
        <w:tc>
          <w:tcPr>
            <w:tcW w:w="3463" w:type="dxa"/>
            <w:shd w:val="clear" w:color="auto" w:fill="FFFFFF"/>
          </w:tcPr>
          <w:p w14:paraId="65A99F35"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Yo</w:t>
            </w:r>
          </w:p>
        </w:tc>
        <w:tc>
          <w:tcPr>
            <w:tcW w:w="2657" w:type="dxa"/>
            <w:shd w:val="clear" w:color="auto" w:fill="FFFFFF"/>
            <w:vAlign w:val="center"/>
          </w:tcPr>
          <w:p w14:paraId="374D98CF"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8 (22,86%)</w:t>
            </w:r>
          </w:p>
        </w:tc>
        <w:tc>
          <w:tcPr>
            <w:tcW w:w="2466" w:type="dxa"/>
            <w:shd w:val="clear" w:color="auto" w:fill="FFFFFF"/>
            <w:vAlign w:val="center"/>
          </w:tcPr>
          <w:p w14:paraId="36EC0DE6"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27 (77,14 50,94%)</w:t>
            </w:r>
          </w:p>
        </w:tc>
      </w:tr>
      <w:tr w:rsidR="00C034E3" w:rsidRPr="00E27686" w14:paraId="48E8BEAD" w14:textId="77777777" w:rsidTr="00C034E3">
        <w:trPr>
          <w:trHeight w:val="260"/>
        </w:trPr>
        <w:tc>
          <w:tcPr>
            <w:tcW w:w="3463" w:type="dxa"/>
            <w:shd w:val="clear" w:color="auto" w:fill="FFFFFF"/>
          </w:tcPr>
          <w:p w14:paraId="171C8F1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Ambos</w:t>
            </w:r>
          </w:p>
        </w:tc>
        <w:tc>
          <w:tcPr>
            <w:tcW w:w="2657" w:type="dxa"/>
            <w:shd w:val="clear" w:color="auto" w:fill="FFFFFF"/>
            <w:vAlign w:val="center"/>
          </w:tcPr>
          <w:p w14:paraId="3DA9460F"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5 (31,25%)</w:t>
            </w:r>
          </w:p>
        </w:tc>
        <w:tc>
          <w:tcPr>
            <w:tcW w:w="2466" w:type="dxa"/>
            <w:shd w:val="clear" w:color="auto" w:fill="FFFFFF"/>
            <w:vAlign w:val="center"/>
          </w:tcPr>
          <w:p w14:paraId="21F180D9"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11 (68,75 20,75%)</w:t>
            </w:r>
          </w:p>
        </w:tc>
      </w:tr>
      <w:tr w:rsidR="00C034E3" w:rsidRPr="00E27686" w14:paraId="15421290" w14:textId="77777777" w:rsidTr="00C034E3">
        <w:trPr>
          <w:trHeight w:val="260"/>
        </w:trPr>
        <w:tc>
          <w:tcPr>
            <w:tcW w:w="3463" w:type="dxa"/>
            <w:shd w:val="clear" w:color="auto" w:fill="FFFFFF"/>
          </w:tcPr>
          <w:p w14:paraId="23E7D56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Mi expareja</w:t>
            </w:r>
          </w:p>
        </w:tc>
        <w:tc>
          <w:tcPr>
            <w:tcW w:w="2657" w:type="dxa"/>
            <w:shd w:val="clear" w:color="auto" w:fill="FFFFFF"/>
            <w:vAlign w:val="center"/>
          </w:tcPr>
          <w:p w14:paraId="0FF1BE9C"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14 (48,28%)</w:t>
            </w:r>
          </w:p>
        </w:tc>
        <w:tc>
          <w:tcPr>
            <w:tcW w:w="2466" w:type="dxa"/>
            <w:shd w:val="clear" w:color="auto" w:fill="FFFFFF"/>
            <w:vAlign w:val="center"/>
          </w:tcPr>
          <w:p w14:paraId="482A2E61"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15 (51,72 28,30%)</w:t>
            </w:r>
          </w:p>
        </w:tc>
      </w:tr>
      <w:tr w:rsidR="00C034E3" w:rsidRPr="00E27686" w14:paraId="733C0516" w14:textId="77777777" w:rsidTr="00C034E3">
        <w:trPr>
          <w:trHeight w:val="283"/>
        </w:trPr>
        <w:tc>
          <w:tcPr>
            <w:tcW w:w="8586" w:type="dxa"/>
            <w:gridSpan w:val="3"/>
            <w:shd w:val="clear" w:color="auto" w:fill="FFFFFF"/>
            <w:vAlign w:val="center"/>
          </w:tcPr>
          <w:p w14:paraId="22CED13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sz w:val="24"/>
                <w:szCs w:val="24"/>
              </w:rPr>
              <w:t>Saliendo con alguien actualmente</w:t>
            </w:r>
            <w:r w:rsidRPr="00E27686">
              <w:rPr>
                <w:rFonts w:asciiTheme="minorHAnsi" w:eastAsia="Times New Roman" w:hAnsiTheme="minorHAnsi" w:cstheme="minorHAnsi"/>
                <w:sz w:val="24"/>
                <w:szCs w:val="24"/>
              </w:rPr>
              <w:t xml:space="preserve"> - n (% válido)</w:t>
            </w:r>
          </w:p>
        </w:tc>
      </w:tr>
      <w:tr w:rsidR="00C034E3" w:rsidRPr="00E27686" w14:paraId="0544D7A8" w14:textId="77777777" w:rsidTr="00C034E3">
        <w:trPr>
          <w:trHeight w:val="260"/>
        </w:trPr>
        <w:tc>
          <w:tcPr>
            <w:tcW w:w="3463" w:type="dxa"/>
            <w:shd w:val="clear" w:color="auto" w:fill="FFFFFF"/>
          </w:tcPr>
          <w:p w14:paraId="609C1759"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Sí</w:t>
            </w:r>
          </w:p>
        </w:tc>
        <w:tc>
          <w:tcPr>
            <w:tcW w:w="2657" w:type="dxa"/>
            <w:shd w:val="clear" w:color="auto" w:fill="FFFFFF"/>
            <w:vAlign w:val="center"/>
          </w:tcPr>
          <w:p w14:paraId="5F38A2FF"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7 (25,9%)</w:t>
            </w:r>
          </w:p>
        </w:tc>
        <w:tc>
          <w:tcPr>
            <w:tcW w:w="2466" w:type="dxa"/>
            <w:shd w:val="clear" w:color="auto" w:fill="FFFFFF"/>
            <w:vAlign w:val="center"/>
          </w:tcPr>
          <w:p w14:paraId="1AD1FF88"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17 (32,1%)</w:t>
            </w:r>
          </w:p>
        </w:tc>
      </w:tr>
      <w:tr w:rsidR="00C034E3" w:rsidRPr="00E27686" w14:paraId="2B0F10A9" w14:textId="77777777" w:rsidTr="00C034E3">
        <w:trPr>
          <w:trHeight w:val="260"/>
        </w:trPr>
        <w:tc>
          <w:tcPr>
            <w:tcW w:w="3463" w:type="dxa"/>
            <w:tcBorders>
              <w:bottom w:val="single" w:sz="4" w:space="0" w:color="000000"/>
            </w:tcBorders>
            <w:shd w:val="clear" w:color="auto" w:fill="FFFFFF"/>
          </w:tcPr>
          <w:p w14:paraId="3D11F3F1" w14:textId="77777777" w:rsidR="00C034E3" w:rsidRPr="00E27686" w:rsidRDefault="00C034E3" w:rsidP="00A12221">
            <w:pPr>
              <w:pBdr>
                <w:top w:val="nil"/>
                <w:left w:val="nil"/>
                <w:bottom w:val="nil"/>
                <w:right w:val="nil"/>
                <w:between w:val="nil"/>
              </w:pBd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No</w:t>
            </w:r>
          </w:p>
        </w:tc>
        <w:tc>
          <w:tcPr>
            <w:tcW w:w="2657" w:type="dxa"/>
            <w:tcBorders>
              <w:bottom w:val="single" w:sz="4" w:space="0" w:color="000000"/>
            </w:tcBorders>
            <w:shd w:val="clear" w:color="auto" w:fill="FFFFFF"/>
            <w:vAlign w:val="center"/>
          </w:tcPr>
          <w:p w14:paraId="74C828F5"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20 (74,1%)</w:t>
            </w:r>
          </w:p>
        </w:tc>
        <w:tc>
          <w:tcPr>
            <w:tcW w:w="2466" w:type="dxa"/>
            <w:tcBorders>
              <w:bottom w:val="single" w:sz="4" w:space="0" w:color="000000"/>
            </w:tcBorders>
            <w:shd w:val="clear" w:color="auto" w:fill="FFFFFF"/>
            <w:vAlign w:val="center"/>
          </w:tcPr>
          <w:p w14:paraId="3DD838FD" w14:textId="77777777" w:rsidR="00C034E3" w:rsidRPr="00E27686" w:rsidRDefault="00C034E3" w:rsidP="00A12221">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36 (67,9%)</w:t>
            </w:r>
          </w:p>
        </w:tc>
      </w:tr>
    </w:tbl>
    <w:p w14:paraId="1E60F882" w14:textId="77777777" w:rsidR="00447D64" w:rsidRPr="00E27686" w:rsidRDefault="00447D64" w:rsidP="00A12221">
      <w:pPr>
        <w:spacing w:after="0" w:line="360" w:lineRule="auto"/>
        <w:ind w:firstLine="708"/>
        <w:rPr>
          <w:rFonts w:asciiTheme="minorHAnsi" w:eastAsia="Times New Roman" w:hAnsiTheme="minorHAnsi" w:cstheme="minorHAnsi"/>
          <w:sz w:val="24"/>
          <w:szCs w:val="24"/>
        </w:rPr>
      </w:pPr>
    </w:p>
    <w:p w14:paraId="378DC60D" w14:textId="51E59007" w:rsidR="00447D64" w:rsidRPr="00E27686" w:rsidRDefault="00000000" w:rsidP="00A12221">
      <w:pPr>
        <w:spacing w:after="0"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Para realizar la medición en la variable Apego en la relación, se empleó la versión abreviada en español de Fernández et al. (2011) del cuestionario "Experiences in Close Relationships-Revised" (ERC-R) propuesto por Fraley, Waller y Brennan (2000). Se compone de 18 ítems, divididos en 9 para la dimensión de ansiedad y 9 para la dimensión de evitación. Se presentan las alternativas en escala de tipo Likert distribuidas entre 1 (1=totalmente en desacuerdo) y 7 (totalmente de acuerdo). La evaluación de las dimensiones se realizó calculando la </w:t>
      </w:r>
      <w:r w:rsidR="00002E88" w:rsidRPr="00E27686">
        <w:rPr>
          <w:rFonts w:asciiTheme="minorHAnsi" w:eastAsia="Times New Roman" w:hAnsiTheme="minorHAnsi" w:cstheme="minorHAnsi"/>
          <w:sz w:val="24"/>
          <w:szCs w:val="24"/>
        </w:rPr>
        <w:t>puntuación</w:t>
      </w:r>
      <w:r w:rsidRPr="00E27686">
        <w:rPr>
          <w:rFonts w:asciiTheme="minorHAnsi" w:eastAsia="Times New Roman" w:hAnsiTheme="minorHAnsi" w:cstheme="minorHAnsi"/>
          <w:sz w:val="24"/>
          <w:szCs w:val="24"/>
        </w:rPr>
        <w:t xml:space="preserve"> de la media asignadas a las respuestas brindadas. Un puntaje más alto indicaba niveles más altos de apego ansioso o evitativo según la dimensión correspondiente. El instrumento, mostró adecuados indicadores psicométricos. La versión </w:t>
      </w:r>
      <w:r w:rsidRPr="00E27686">
        <w:rPr>
          <w:rFonts w:asciiTheme="minorHAnsi" w:eastAsia="Times New Roman" w:hAnsiTheme="minorHAnsi" w:cstheme="minorHAnsi"/>
          <w:sz w:val="24"/>
          <w:szCs w:val="24"/>
        </w:rPr>
        <w:lastRenderedPageBreak/>
        <w:t>abreviada en español (Fernández et al., 2011) demostró una alta fiabilidad, con coeficientes Alfa de .86 para la dimensión de evitación y .83 para la de ansiedad. En el presente estudio, se obtuvieron coeficientes de .81 para ansiedad y .85 para evitación, respectivamente.</w:t>
      </w:r>
    </w:p>
    <w:p w14:paraId="46A0609B" w14:textId="77777777" w:rsidR="00321076" w:rsidRPr="00E27686" w:rsidRDefault="00321076" w:rsidP="00A12221">
      <w:pPr>
        <w:spacing w:after="0" w:line="360" w:lineRule="auto"/>
        <w:ind w:firstLine="708"/>
        <w:jc w:val="both"/>
        <w:rPr>
          <w:rFonts w:asciiTheme="minorHAnsi" w:eastAsia="Times New Roman" w:hAnsiTheme="minorHAnsi" w:cstheme="minorHAnsi"/>
          <w:sz w:val="24"/>
          <w:szCs w:val="24"/>
        </w:rPr>
      </w:pPr>
    </w:p>
    <w:p w14:paraId="54F3C221" w14:textId="6221D2C9" w:rsidR="00447D64" w:rsidRPr="00E27686" w:rsidRDefault="00000000" w:rsidP="00A12221">
      <w:pPr>
        <w:spacing w:after="0"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Para evaluar </w:t>
      </w:r>
      <w:r w:rsidR="00002E88" w:rsidRPr="00E27686">
        <w:rPr>
          <w:rFonts w:asciiTheme="minorHAnsi" w:eastAsia="Times New Roman" w:hAnsiTheme="minorHAnsi" w:cstheme="minorHAnsi"/>
          <w:sz w:val="24"/>
          <w:szCs w:val="24"/>
        </w:rPr>
        <w:t>l</w:t>
      </w:r>
      <w:r w:rsidRPr="00E27686">
        <w:rPr>
          <w:rFonts w:asciiTheme="minorHAnsi" w:eastAsia="Times New Roman" w:hAnsiTheme="minorHAnsi" w:cstheme="minorHAnsi"/>
          <w:sz w:val="24"/>
          <w:szCs w:val="24"/>
        </w:rPr>
        <w:t xml:space="preserve">as Estrategias de Resolución de Conflictos; se empleó </w:t>
      </w:r>
      <w:r w:rsidR="00002E88" w:rsidRPr="00E27686">
        <w:rPr>
          <w:rFonts w:asciiTheme="minorHAnsi" w:eastAsia="Times New Roman" w:hAnsiTheme="minorHAnsi" w:cstheme="minorHAnsi"/>
          <w:sz w:val="24"/>
          <w:szCs w:val="24"/>
        </w:rPr>
        <w:t>una</w:t>
      </w:r>
      <w:r w:rsidRPr="00E27686">
        <w:rPr>
          <w:rFonts w:asciiTheme="minorHAnsi" w:eastAsia="Times New Roman" w:hAnsiTheme="minorHAnsi" w:cstheme="minorHAnsi"/>
          <w:sz w:val="24"/>
          <w:szCs w:val="24"/>
        </w:rPr>
        <w:t xml:space="preserve"> versión española de la escala "Conflict Resolution Style Inventory" (CRSI) desarrollada por Kurdek (1994). Esta escala midi</w:t>
      </w:r>
      <w:r w:rsidR="00002E88" w:rsidRPr="00E27686">
        <w:rPr>
          <w:rFonts w:asciiTheme="minorHAnsi" w:eastAsia="Times New Roman" w:hAnsiTheme="minorHAnsi" w:cstheme="minorHAnsi"/>
          <w:sz w:val="24"/>
          <w:szCs w:val="24"/>
        </w:rPr>
        <w:t>ó</w:t>
      </w:r>
      <w:r w:rsidRPr="00E27686">
        <w:rPr>
          <w:rFonts w:asciiTheme="minorHAnsi" w:eastAsia="Times New Roman" w:hAnsiTheme="minorHAnsi" w:cstheme="minorHAnsi"/>
          <w:sz w:val="24"/>
          <w:szCs w:val="24"/>
        </w:rPr>
        <w:t xml:space="preserve"> 4 tipos de estrategias para resolver conflictos de pareja mediante 16 ítems, con 4 ítems para cada estrategia (resolución positiva de problemas, confrontación, retirada y conformidad). Para la traducción se contó con la colaboración de diferentes académicos expertos en la materia, que realizaron por separado la traducción de los ítems, para finalmente realizar una comparación de todas las versiones y consensuar una versión final del cuestionario. Se empleó una escala Likert de 5 niveles (1 = Nunca; 5 = Siempre), en la cual los puntajes más elevados para cada dimensión indican mayor uso de esa estrategia para resolver conflictos. En nuestro estudio, en relación con la escala inicial, los índices de fiabilidad (Alpha de Cronbach) estuvieron casi siempre ligeramente por debajo para hombres y mujeres respectivamente (resolución positiva: 0,63 y 0,61; confrontación: 0,64 y 0,81; retirada: 0,57 y 0,58; y conformidad: 0,82 y 0,69).</w:t>
      </w:r>
    </w:p>
    <w:p w14:paraId="74FF65CC" w14:textId="77777777" w:rsidR="00321076" w:rsidRPr="00E27686" w:rsidRDefault="00321076" w:rsidP="00A12221">
      <w:pPr>
        <w:spacing w:after="0" w:line="360" w:lineRule="auto"/>
        <w:ind w:firstLine="708"/>
        <w:jc w:val="both"/>
        <w:rPr>
          <w:rFonts w:asciiTheme="minorHAnsi" w:eastAsia="Times New Roman" w:hAnsiTheme="minorHAnsi" w:cstheme="minorHAnsi"/>
          <w:sz w:val="24"/>
          <w:szCs w:val="24"/>
        </w:rPr>
      </w:pPr>
    </w:p>
    <w:p w14:paraId="266B4AED" w14:textId="7436CA64" w:rsidR="00447D64" w:rsidRPr="00E27686" w:rsidRDefault="00000000" w:rsidP="00A12221">
      <w:pPr>
        <w:spacing w:after="0" w:line="360" w:lineRule="auto"/>
        <w:ind w:firstLine="709"/>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Respecto al cuestionario a la Calidad de la Relación de pareja, se evaluó el nivel de felicidad, satisfacción y compromiso. Para esto, </w:t>
      </w:r>
      <w:r w:rsidR="00002E88" w:rsidRPr="00E27686">
        <w:rPr>
          <w:rFonts w:asciiTheme="minorHAnsi" w:eastAsia="Times New Roman" w:hAnsiTheme="minorHAnsi" w:cstheme="minorHAnsi"/>
          <w:sz w:val="24"/>
          <w:szCs w:val="24"/>
        </w:rPr>
        <w:t>utilizamos</w:t>
      </w:r>
      <w:r w:rsidRPr="00E27686">
        <w:rPr>
          <w:rFonts w:asciiTheme="minorHAnsi" w:eastAsia="Times New Roman" w:hAnsiTheme="minorHAnsi" w:cstheme="minorHAnsi"/>
          <w:sz w:val="24"/>
          <w:szCs w:val="24"/>
        </w:rPr>
        <w:t xml:space="preserve"> 4 ítems de Conger et al. (2000), adaptados al español</w:t>
      </w:r>
      <w:r w:rsidR="00002E88"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xml:space="preserve"> y</w:t>
      </w:r>
      <w:r w:rsidR="00002E88"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xml:space="preserve"> basados en la traducción realizada por Cáceres (1996) de los ítems que componen la Dyadic Adjustment Scale (DAS) (Spanier, 1976). Estos ítems se respondieron utilizando una escala Likert (1=nada, 5=totalmente), donde los puntajes altos indicaban una mejor calidad de la relación. En el estudio, el nivel de confiabilidad fue considerado adecuado (Alpha de Cronbach=0,76).</w:t>
      </w:r>
    </w:p>
    <w:p w14:paraId="6AFB57BC" w14:textId="77777777" w:rsidR="00287BAC" w:rsidRPr="00E27686" w:rsidRDefault="00287BAC" w:rsidP="00A12221">
      <w:pPr>
        <w:spacing w:after="0" w:line="360" w:lineRule="auto"/>
        <w:ind w:firstLine="709"/>
        <w:jc w:val="both"/>
        <w:rPr>
          <w:rFonts w:asciiTheme="minorHAnsi" w:eastAsia="Times New Roman" w:hAnsiTheme="minorHAnsi" w:cstheme="minorHAnsi"/>
          <w:sz w:val="24"/>
          <w:szCs w:val="24"/>
        </w:rPr>
      </w:pPr>
    </w:p>
    <w:p w14:paraId="7D261EE4" w14:textId="078DEE4B" w:rsidR="00447D64" w:rsidRPr="00E27686" w:rsidRDefault="00000000" w:rsidP="00A12221">
      <w:pPr>
        <w:spacing w:after="0" w:line="360" w:lineRule="auto"/>
        <w:ind w:firstLine="709"/>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Las personas que atravesaron una ruptura fueron invitadas a participar en la segunda etapa del estudio. Este grupo respondió a varios cuestionarios relacionados a su relación de pareja y al acontecimiento de la ruptura. Las interrogantes comprendieron la duración de la relación de pareja, el periodo transcurrido desde la separación y la persona que tomó la iniciativa para poner fin a la relación, y si en la actualidad se encontraban en una nueva relación de pareja.</w:t>
      </w:r>
    </w:p>
    <w:p w14:paraId="3A7C04E5" w14:textId="7248686A" w:rsidR="00447D64" w:rsidRPr="00E27686" w:rsidRDefault="00000000" w:rsidP="00A12221">
      <w:pPr>
        <w:spacing w:before="240" w:after="240"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 xml:space="preserve">Para examinar las Estrategias de Ruptura en las relaciones de pareja, utilizamos la escala Breakup Strategies Questionnaire (BSQ) de Collins y Gillath (2012). Esta herramienta está conformada por 43 ítems, los cuales se distribuyen en 7 subescalas que abordan diversas estrategias. La estrategia de evitación/retirada implica reducir al mínimo el contacto con la otra parte involucrada. La estrategia de tono positivo/autoinculpación </w:t>
      </w:r>
      <w:r w:rsidR="00002E88" w:rsidRPr="00E27686">
        <w:rPr>
          <w:rFonts w:asciiTheme="minorHAnsi" w:eastAsia="Times New Roman" w:hAnsiTheme="minorHAnsi" w:cstheme="minorHAnsi"/>
          <w:sz w:val="24"/>
          <w:szCs w:val="24"/>
        </w:rPr>
        <w:t>busca</w:t>
      </w:r>
      <w:r w:rsidRPr="00E27686">
        <w:rPr>
          <w:rFonts w:asciiTheme="minorHAnsi" w:eastAsia="Times New Roman" w:hAnsiTheme="minorHAnsi" w:cstheme="minorHAnsi"/>
          <w:sz w:val="24"/>
          <w:szCs w:val="24"/>
        </w:rPr>
        <w:t xml:space="preserve"> evitar causar daño al otro y persuadirlo de que la separación será beneficiosa para ambas partes. La estrategia de comunicación abierta se utiliza para expresar directamente la </w:t>
      </w:r>
      <w:r w:rsidR="00002E88" w:rsidRPr="00E27686">
        <w:rPr>
          <w:rFonts w:asciiTheme="minorHAnsi" w:eastAsia="Times New Roman" w:hAnsiTheme="minorHAnsi" w:cstheme="minorHAnsi"/>
          <w:sz w:val="24"/>
          <w:szCs w:val="24"/>
        </w:rPr>
        <w:t>intención</w:t>
      </w:r>
      <w:r w:rsidRPr="00E27686">
        <w:rPr>
          <w:rFonts w:asciiTheme="minorHAnsi" w:eastAsia="Times New Roman" w:hAnsiTheme="minorHAnsi" w:cstheme="minorHAnsi"/>
          <w:sz w:val="24"/>
          <w:szCs w:val="24"/>
        </w:rPr>
        <w:t xml:space="preserve"> de terminar la relación. La estrategia de incremento de costes implica enfatizar </w:t>
      </w:r>
      <w:r w:rsidR="00002E88" w:rsidRPr="00E27686">
        <w:rPr>
          <w:rFonts w:asciiTheme="minorHAnsi" w:eastAsia="Times New Roman" w:hAnsiTheme="minorHAnsi" w:cstheme="minorHAnsi"/>
          <w:sz w:val="24"/>
          <w:szCs w:val="24"/>
        </w:rPr>
        <w:t>las desventajas</w:t>
      </w:r>
      <w:r w:rsidRPr="00E27686">
        <w:rPr>
          <w:rFonts w:asciiTheme="minorHAnsi" w:eastAsia="Times New Roman" w:hAnsiTheme="minorHAnsi" w:cstheme="minorHAnsi"/>
          <w:sz w:val="24"/>
          <w:szCs w:val="24"/>
        </w:rPr>
        <w:t xml:space="preserve"> de la relación para acelerar la separación. La estrategia de manipulación se centra en hacer que otras personas sepan del deseo de ruptura, y/o en fomentar el encuentro de nuevas relaciones que faciliten la disolución de la pareja. La estrategia de comunicación distante/mediada evita el contacto directo y finaliza la relación mediante mensajes indirectos. Por último, la estrategia de decremento se emplea para finalizar la relación de manera paulatina y delicada. Se pidió que indicaran, en una escala tipo Likert, con qué frecuencia ellos mismos, su pareja o ambos emplearon las estrategias seleccionadas. Las puntuaciones variaban entre 1 (nunca) y 7 (muy a menudo</w:t>
      </w:r>
      <w:r w:rsidR="00FF6D3F" w:rsidRPr="00E27686">
        <w:rPr>
          <w:rFonts w:asciiTheme="minorHAnsi" w:eastAsia="Times New Roman" w:hAnsiTheme="minorHAnsi" w:cstheme="minorHAnsi"/>
          <w:sz w:val="24"/>
          <w:szCs w:val="24"/>
        </w:rPr>
        <w:t>). Las</w:t>
      </w:r>
      <w:r w:rsidRPr="00E27686">
        <w:rPr>
          <w:rFonts w:asciiTheme="minorHAnsi" w:eastAsia="Times New Roman" w:hAnsiTheme="minorHAnsi" w:cstheme="minorHAnsi"/>
          <w:sz w:val="24"/>
          <w:szCs w:val="24"/>
        </w:rPr>
        <w:t xml:space="preserve"> calificaciones de cada estrategia se obtuvieron promediando las respuestas de los elementos correspondientes, de manera que la calificación mínima posible era 1 y la máxima, 7. Las calificaciones altas en </w:t>
      </w:r>
      <w:r w:rsidR="00C034E3" w:rsidRPr="00E27686">
        <w:rPr>
          <w:rFonts w:asciiTheme="minorHAnsi" w:eastAsia="Times New Roman" w:hAnsiTheme="minorHAnsi" w:cstheme="minorHAnsi"/>
          <w:sz w:val="24"/>
          <w:szCs w:val="24"/>
        </w:rPr>
        <w:t>las estrategias</w:t>
      </w:r>
      <w:r w:rsidRPr="00E27686">
        <w:rPr>
          <w:rFonts w:asciiTheme="minorHAnsi" w:eastAsia="Times New Roman" w:hAnsiTheme="minorHAnsi" w:cstheme="minorHAnsi"/>
          <w:sz w:val="24"/>
          <w:szCs w:val="24"/>
        </w:rPr>
        <w:t xml:space="preserve"> reflejaban un mayor uso de la misma en el proceso de ruptura. Los índices de fiabilidad (Alpha de Cronbach) son buenos, a pesar de ser en su mayoría inferiores a los de la escala original. Específicamente, para las dimensiones de evitación/retirada obtuvimos un valor de .89, y para tono positivo/autoinculpación fue de .86.</w:t>
      </w:r>
    </w:p>
    <w:p w14:paraId="42D4869B" w14:textId="45BAC40A"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Para medir las Estrategias de Afrontamiento frente a la ruptura, se modificó el inventario "Daily Activities After Romantic Loss (DAARL)", creado por MacGowan (2013), el cual se basa en la adaptación del cuestionario "Inventory of Daily Widowed Life" implementad</w:t>
      </w:r>
      <w:r w:rsidR="00FF6D3F" w:rsidRPr="00E27686">
        <w:rPr>
          <w:rFonts w:asciiTheme="minorHAnsi" w:eastAsia="Times New Roman" w:hAnsiTheme="minorHAnsi" w:cstheme="minorHAnsi"/>
          <w:sz w:val="24"/>
          <w:szCs w:val="24"/>
        </w:rPr>
        <w:t>o</w:t>
      </w:r>
      <w:r w:rsidRPr="00E27686">
        <w:rPr>
          <w:rFonts w:asciiTheme="minorHAnsi" w:eastAsia="Times New Roman" w:hAnsiTheme="minorHAnsi" w:cstheme="minorHAnsi"/>
          <w:sz w:val="24"/>
          <w:szCs w:val="24"/>
        </w:rPr>
        <w:t xml:space="preserve"> por Caserta y Lund (2007). El DAARL se construyó de acuerdo a los conceptos del DPM de Stroebe y Schut (1999). El inventario evaluaba diversas estrategias de afrontamiento tras una ruptura, clasificadas en dos grupos: centradas en la pérdida y en la restauración. Consta de 30 ítems, 15 para cada tipo de estrategia. Las respuestas de los participantes se recopilaron a través de una escala Likert de 5 opciones (de 1 "Nunca" a 5 "Casi siempre"), lo que permitió una medición más precisa de la frecuencia en la emplean estas </w:t>
      </w:r>
      <w:r w:rsidRPr="00E27686">
        <w:rPr>
          <w:rFonts w:asciiTheme="minorHAnsi" w:eastAsia="Times New Roman" w:hAnsiTheme="minorHAnsi" w:cstheme="minorHAnsi"/>
          <w:sz w:val="24"/>
          <w:szCs w:val="24"/>
        </w:rPr>
        <w:lastRenderedPageBreak/>
        <w:t>estrategias en comparación en su versión original, que usaba 4 puntos. Con el objetivo de obtener las puntuaciones de cada categoría, se contabilizar</w:t>
      </w:r>
      <w:r w:rsidR="00FF6D3F" w:rsidRPr="00E27686">
        <w:rPr>
          <w:rFonts w:asciiTheme="minorHAnsi" w:eastAsia="Times New Roman" w:hAnsiTheme="minorHAnsi" w:cstheme="minorHAnsi"/>
          <w:sz w:val="24"/>
          <w:szCs w:val="24"/>
        </w:rPr>
        <w:t>o</w:t>
      </w:r>
      <w:r w:rsidRPr="00E27686">
        <w:rPr>
          <w:rFonts w:asciiTheme="minorHAnsi" w:eastAsia="Times New Roman" w:hAnsiTheme="minorHAnsi" w:cstheme="minorHAnsi"/>
          <w:sz w:val="24"/>
          <w:szCs w:val="24"/>
        </w:rPr>
        <w:t>n las puntuaciones de los ítems correspondientes, con un mínimo de 15 y un máximo de 75. Resultados elevados reflejaban una mayor aplicación de las estrategias de esa categoría para enfrentar la ruptura. En nuestro estudio, los índices de fiabilidad (Alfa de Cronbach) para ambas categorías (centradas en la pérdida y en la restauración) son altos: 0,94 y 0,83, valores incluso superiores a los de la escala original, que reportó 0,90 y 0,79.</w:t>
      </w:r>
    </w:p>
    <w:p w14:paraId="6E3CB1BC" w14:textId="6D597559" w:rsidR="00447D64" w:rsidRPr="00E27686" w:rsidRDefault="00000000" w:rsidP="00A12221">
      <w:pPr>
        <w:spacing w:before="240" w:after="240"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Para evaluar el Bienestar Psicológico, utilizamos la "Flourishing Scale" de Diener et al. (2010), adaptada y traducida específicamente para este estudio. Esta escala evalúa diversos aspectos del individuo, incluyendo factores como las relaciones sociales positivas, el optimismo y el sentido de competencia, los cuales están vinculados al bienestar psicológico. Los participantes respondieron a los 8 ítems utilizando una escala tipo Likert de 7 puntos (1 = totalmente en desacuerdo; 7 = totalmente de acuerdo). Las puntuaciones totales se calcularon sumando las puntuaciones de cada ítem, con un rango de 8 a 56. Las puntuaciones altas indicaban que el individuo disponía de una gran cantidad de fortalezas y recursos internos en el ámbito psicológico (Diener et al., 2010). La consistencia interna en su </w:t>
      </w:r>
      <w:r w:rsidR="00FF6D3F" w:rsidRPr="00E27686">
        <w:rPr>
          <w:rFonts w:asciiTheme="minorHAnsi" w:eastAsia="Times New Roman" w:hAnsiTheme="minorHAnsi" w:cstheme="minorHAnsi"/>
          <w:sz w:val="24"/>
          <w:szCs w:val="24"/>
        </w:rPr>
        <w:t>versión</w:t>
      </w:r>
      <w:r w:rsidRPr="00E27686">
        <w:rPr>
          <w:rFonts w:asciiTheme="minorHAnsi" w:eastAsia="Times New Roman" w:hAnsiTheme="minorHAnsi" w:cstheme="minorHAnsi"/>
          <w:sz w:val="24"/>
          <w:szCs w:val="24"/>
        </w:rPr>
        <w:t xml:space="preserve"> original (Alpha de Cronbach = 0,87) y la alcanzada en la presente (Alpha de Cronbach = 0,81) fueron adecuadas.</w:t>
      </w:r>
    </w:p>
    <w:p w14:paraId="2A11386A" w14:textId="77777777" w:rsidR="00321076" w:rsidRPr="00E27686" w:rsidRDefault="00321076" w:rsidP="00A12221">
      <w:pPr>
        <w:spacing w:before="240" w:after="240" w:line="360" w:lineRule="auto"/>
        <w:ind w:firstLine="720"/>
        <w:jc w:val="both"/>
        <w:rPr>
          <w:rFonts w:asciiTheme="minorHAnsi" w:eastAsia="Times New Roman" w:hAnsiTheme="minorHAnsi" w:cstheme="minorHAnsi"/>
          <w:sz w:val="24"/>
          <w:szCs w:val="24"/>
        </w:rPr>
      </w:pPr>
    </w:p>
    <w:p w14:paraId="297B79CD" w14:textId="77777777" w:rsidR="00447D64" w:rsidRPr="00E27686" w:rsidRDefault="00000000"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b/>
          <w:bCs/>
          <w:i/>
          <w:sz w:val="24"/>
          <w:szCs w:val="24"/>
        </w:rPr>
      </w:pPr>
      <w:bookmarkStart w:id="1" w:name="_heading=h.r7lmrbpjdhte" w:colFirst="0" w:colLast="0"/>
      <w:bookmarkEnd w:id="1"/>
      <w:r w:rsidRPr="00E27686">
        <w:rPr>
          <w:rFonts w:asciiTheme="minorHAnsi" w:eastAsia="Times New Roman" w:hAnsiTheme="minorHAnsi" w:cstheme="minorHAnsi"/>
          <w:b/>
          <w:bCs/>
          <w:i/>
          <w:sz w:val="24"/>
          <w:szCs w:val="24"/>
        </w:rPr>
        <w:t>Procedimiento</w:t>
      </w:r>
    </w:p>
    <w:p w14:paraId="33464D20" w14:textId="77777777" w:rsidR="00321076" w:rsidRPr="00E27686" w:rsidRDefault="00321076"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sz w:val="24"/>
          <w:szCs w:val="24"/>
        </w:rPr>
      </w:pPr>
    </w:p>
    <w:p w14:paraId="00FC74BC" w14:textId="61BE5018"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En la fase inicial del estudio, se estableció contacto con los participantes que </w:t>
      </w:r>
      <w:r w:rsidR="00FF6D3F" w:rsidRPr="00E27686">
        <w:rPr>
          <w:rFonts w:asciiTheme="minorHAnsi" w:eastAsia="Times New Roman" w:hAnsiTheme="minorHAnsi" w:cstheme="minorHAnsi"/>
          <w:sz w:val="24"/>
          <w:szCs w:val="24"/>
        </w:rPr>
        <w:t>cumplían</w:t>
      </w:r>
      <w:r w:rsidRPr="00E27686">
        <w:rPr>
          <w:rFonts w:asciiTheme="minorHAnsi" w:eastAsia="Times New Roman" w:hAnsiTheme="minorHAnsi" w:cstheme="minorHAnsi"/>
          <w:sz w:val="24"/>
          <w:szCs w:val="24"/>
        </w:rPr>
        <w:t xml:space="preserve"> las </w:t>
      </w:r>
      <w:r w:rsidR="00FF6D3F" w:rsidRPr="00E27686">
        <w:rPr>
          <w:rFonts w:asciiTheme="minorHAnsi" w:eastAsia="Times New Roman" w:hAnsiTheme="minorHAnsi" w:cstheme="minorHAnsi"/>
          <w:sz w:val="24"/>
          <w:szCs w:val="24"/>
        </w:rPr>
        <w:t>condiciones establecidas previamente</w:t>
      </w:r>
      <w:r w:rsidRPr="00E27686">
        <w:rPr>
          <w:rFonts w:asciiTheme="minorHAnsi" w:eastAsia="Times New Roman" w:hAnsiTheme="minorHAnsi" w:cstheme="minorHAnsi"/>
          <w:sz w:val="24"/>
          <w:szCs w:val="24"/>
        </w:rPr>
        <w:t>. Después de explicarles l</w:t>
      </w:r>
      <w:r w:rsidR="00FF6D3F" w:rsidRPr="00E27686">
        <w:rPr>
          <w:rFonts w:asciiTheme="minorHAnsi" w:eastAsia="Times New Roman" w:hAnsiTheme="minorHAnsi" w:cstheme="minorHAnsi"/>
          <w:sz w:val="24"/>
          <w:szCs w:val="24"/>
        </w:rPr>
        <w:t>os requisitos de participación</w:t>
      </w:r>
      <w:r w:rsidRPr="00E27686">
        <w:rPr>
          <w:rFonts w:asciiTheme="minorHAnsi" w:eastAsia="Times New Roman" w:hAnsiTheme="minorHAnsi" w:cstheme="minorHAnsi"/>
          <w:sz w:val="24"/>
          <w:szCs w:val="24"/>
        </w:rPr>
        <w:t xml:space="preserve">, aceptaron </w:t>
      </w:r>
      <w:r w:rsidR="00FF6D3F" w:rsidRPr="00E27686">
        <w:rPr>
          <w:rFonts w:asciiTheme="minorHAnsi" w:eastAsia="Times New Roman" w:hAnsiTheme="minorHAnsi" w:cstheme="minorHAnsi"/>
          <w:sz w:val="24"/>
          <w:szCs w:val="24"/>
        </w:rPr>
        <w:t>colaborar</w:t>
      </w:r>
      <w:r w:rsidRPr="00E27686">
        <w:rPr>
          <w:rFonts w:asciiTheme="minorHAnsi" w:eastAsia="Times New Roman" w:hAnsiTheme="minorHAnsi" w:cstheme="minorHAnsi"/>
          <w:sz w:val="24"/>
          <w:szCs w:val="24"/>
        </w:rPr>
        <w:t xml:space="preserve"> voluntariamente y proporcionaron su firma en el consentimiento informado, así como su correo electrónico y número de teléfono para ser contactados doce meses después. Se les pidió que completaran un conjunto de preguntas sociodemográficas junto con varios instrumentos que medían las variables de interés previas a la ruptura.</w:t>
      </w:r>
    </w:p>
    <w:p w14:paraId="7016F9CE" w14:textId="7D85BC32"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Transcurrido un año, se procedió con la segunda fase. Se volvió a contactar a todas las personas que participaron en la fase inicial y, en esta </w:t>
      </w:r>
      <w:r w:rsidR="00FF6D3F" w:rsidRPr="00E27686">
        <w:rPr>
          <w:rFonts w:asciiTheme="minorHAnsi" w:eastAsia="Times New Roman" w:hAnsiTheme="minorHAnsi" w:cstheme="minorHAnsi"/>
          <w:sz w:val="24"/>
          <w:szCs w:val="24"/>
        </w:rPr>
        <w:t>ocasión</w:t>
      </w:r>
      <w:r w:rsidRPr="00E27686">
        <w:rPr>
          <w:rFonts w:asciiTheme="minorHAnsi" w:eastAsia="Times New Roman" w:hAnsiTheme="minorHAnsi" w:cstheme="minorHAnsi"/>
          <w:sz w:val="24"/>
          <w:szCs w:val="24"/>
        </w:rPr>
        <w:t xml:space="preserve">, se </w:t>
      </w:r>
      <w:r w:rsidR="00FF6D3F" w:rsidRPr="00E27686">
        <w:rPr>
          <w:rFonts w:asciiTheme="minorHAnsi" w:eastAsia="Times New Roman" w:hAnsiTheme="minorHAnsi" w:cstheme="minorHAnsi"/>
          <w:sz w:val="24"/>
          <w:szCs w:val="24"/>
        </w:rPr>
        <w:t>solicitó</w:t>
      </w:r>
      <w:r w:rsidRPr="00E27686">
        <w:rPr>
          <w:rFonts w:asciiTheme="minorHAnsi" w:eastAsia="Times New Roman" w:hAnsiTheme="minorHAnsi" w:cstheme="minorHAnsi"/>
          <w:sz w:val="24"/>
          <w:szCs w:val="24"/>
        </w:rPr>
        <w:t xml:space="preserve"> corroborar la </w:t>
      </w:r>
      <w:r w:rsidRPr="00E27686">
        <w:rPr>
          <w:rFonts w:asciiTheme="minorHAnsi" w:eastAsia="Times New Roman" w:hAnsiTheme="minorHAnsi" w:cstheme="minorHAnsi"/>
          <w:sz w:val="24"/>
          <w:szCs w:val="24"/>
        </w:rPr>
        <w:lastRenderedPageBreak/>
        <w:t xml:space="preserve">continuidad de la misma relación amorosa con la misma persona del estudio inicial. Aquellos individuos que efectivamente habían afrontado una ruptura en la relación completaron los cuestionarios sobre Estrategias de Ruptura, Estrategias de Afrontamiento y Bienestar Psicológico, así como preguntas en torno a su vínculo sentimental y al </w:t>
      </w:r>
      <w:r w:rsidR="00FF6D3F" w:rsidRPr="00E27686">
        <w:rPr>
          <w:rFonts w:asciiTheme="minorHAnsi" w:eastAsia="Times New Roman" w:hAnsiTheme="minorHAnsi" w:cstheme="minorHAnsi"/>
          <w:sz w:val="24"/>
          <w:szCs w:val="24"/>
        </w:rPr>
        <w:t>suceso</w:t>
      </w:r>
      <w:r w:rsidRPr="00E27686">
        <w:rPr>
          <w:rFonts w:asciiTheme="minorHAnsi" w:eastAsia="Times New Roman" w:hAnsiTheme="minorHAnsi" w:cstheme="minorHAnsi"/>
          <w:sz w:val="24"/>
          <w:szCs w:val="24"/>
        </w:rPr>
        <w:t xml:space="preserve"> de la separación. </w:t>
      </w:r>
    </w:p>
    <w:p w14:paraId="3C7A45CE" w14:textId="77777777"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La muestra estuvo conformada por 80 personas que habían experimentado una separación amorosa en ese tiempo, y que habían respondido a las cuestiones planteadas tanto en la primera como en la segunda fase.</w:t>
      </w:r>
    </w:p>
    <w:p w14:paraId="64D0B68C" w14:textId="77777777" w:rsidR="00287BAC" w:rsidRPr="00E27686" w:rsidRDefault="00287BAC"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b/>
          <w:bCs/>
          <w:i/>
          <w:sz w:val="24"/>
          <w:szCs w:val="24"/>
        </w:rPr>
      </w:pPr>
    </w:p>
    <w:p w14:paraId="39D4B97E" w14:textId="1442E17A" w:rsidR="00447D64" w:rsidRPr="00E27686" w:rsidRDefault="00000000"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b/>
          <w:bCs/>
          <w:i/>
          <w:sz w:val="24"/>
          <w:szCs w:val="24"/>
        </w:rPr>
      </w:pPr>
      <w:r w:rsidRPr="00E27686">
        <w:rPr>
          <w:rFonts w:asciiTheme="minorHAnsi" w:eastAsia="Times New Roman" w:hAnsiTheme="minorHAnsi" w:cstheme="minorHAnsi"/>
          <w:b/>
          <w:bCs/>
          <w:i/>
          <w:sz w:val="24"/>
          <w:szCs w:val="24"/>
        </w:rPr>
        <w:t>Análisis</w:t>
      </w:r>
    </w:p>
    <w:p w14:paraId="3BB769E1" w14:textId="77777777" w:rsidR="00321076" w:rsidRPr="00E27686" w:rsidRDefault="00321076" w:rsidP="00A12221">
      <w:pPr>
        <w:keepNext/>
        <w:keepLines/>
        <w:pBdr>
          <w:top w:val="nil"/>
          <w:left w:val="nil"/>
          <w:bottom w:val="nil"/>
          <w:right w:val="nil"/>
          <w:between w:val="nil"/>
        </w:pBdr>
        <w:spacing w:before="40" w:after="0" w:line="360" w:lineRule="auto"/>
        <w:ind w:firstLine="708"/>
        <w:jc w:val="both"/>
        <w:rPr>
          <w:rFonts w:asciiTheme="minorHAnsi" w:eastAsia="Times New Roman" w:hAnsiTheme="minorHAnsi" w:cstheme="minorHAnsi"/>
          <w:sz w:val="24"/>
          <w:szCs w:val="24"/>
        </w:rPr>
      </w:pPr>
    </w:p>
    <w:p w14:paraId="30DCDF75" w14:textId="0918F4F7"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Se obtuvieron los estadísticos descriptivos de las variables sociodemográficas y relacionales. Se incluyeron los promedios y desviaciones estándar para los constructos cuantitativ</w:t>
      </w:r>
      <w:r w:rsidR="00FF6D3F" w:rsidRPr="00E27686">
        <w:rPr>
          <w:rFonts w:asciiTheme="minorHAnsi" w:eastAsia="Times New Roman" w:hAnsiTheme="minorHAnsi" w:cstheme="minorHAnsi"/>
          <w:sz w:val="24"/>
          <w:szCs w:val="24"/>
        </w:rPr>
        <w:t>o</w:t>
      </w:r>
      <w:r w:rsidRPr="00E27686">
        <w:rPr>
          <w:rFonts w:asciiTheme="minorHAnsi" w:eastAsia="Times New Roman" w:hAnsiTheme="minorHAnsi" w:cstheme="minorHAnsi"/>
          <w:sz w:val="24"/>
          <w:szCs w:val="24"/>
        </w:rPr>
        <w:t>s, así como frecuencias y porcentajes para las variables categóricas. Se calcularon los coeficientes de fiabilidad Alfa de Cronbach de cada instrumento usado, así como de las subescalas correspondientes.</w:t>
      </w:r>
    </w:p>
    <w:p w14:paraId="24754653"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Para comprobar las hipótesis del primer objetivo se llevó a cabo un análisis de regresión lineal múltiple, considerando aquellas variables previas a la ruptura cuya correlación con la variable de frecuencia de uso de las estrategias de afrontamiento fuera significativa. Antes de esto, se calcularon las correlaciones entre las variables previas a la ruptura y las estrategias de afrontamiento.</w:t>
      </w:r>
    </w:p>
    <w:p w14:paraId="4217A82F"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 Para corroborar las hipótesis del segundo objetivo se calcularon los coeficientes de correlación de Pearson entre las variables anteriores a la ruptura y la aplicación de estrategias para afrontar la ruptura. Los análisis se realizaron solo con los datos de los 51 participantes que tomaron la iniciativa de la ruptura, ya fuera por decisión propia o acordada entre ambas partes.</w:t>
      </w:r>
    </w:p>
    <w:p w14:paraId="209BD83C"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Para el tercer objetivo se realizó utilizando un modelo de regresión, con las estrategias de afrontamiento de la ruptura como variable predictora y el bienestar psicológico postruptura como variable dependiente. Antes de ello, se verificaron las correlaciones de Pearson para confirmar su significancia.</w:t>
      </w:r>
    </w:p>
    <w:p w14:paraId="15C34260" w14:textId="216D4D44"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 xml:space="preserve">En los contrastes t y ANOVA, se calcularon la significancia y el tamaño del efecto, y para el ANOVA, se efectuaron las pruebas a posteriori pertinentes. </w:t>
      </w:r>
      <w:r w:rsidR="00C034E3" w:rsidRPr="00E27686">
        <w:rPr>
          <w:rFonts w:asciiTheme="minorHAnsi" w:eastAsia="Times New Roman" w:hAnsiTheme="minorHAnsi" w:cstheme="minorHAnsi"/>
          <w:sz w:val="24"/>
          <w:szCs w:val="24"/>
        </w:rPr>
        <w:t xml:space="preserve">En </w:t>
      </w:r>
      <w:r w:rsidRPr="00E27686">
        <w:rPr>
          <w:rFonts w:asciiTheme="minorHAnsi" w:eastAsia="Times New Roman" w:hAnsiTheme="minorHAnsi" w:cstheme="minorHAnsi"/>
          <w:sz w:val="24"/>
          <w:szCs w:val="24"/>
        </w:rPr>
        <w:t xml:space="preserve">lo que </w:t>
      </w:r>
      <w:r w:rsidR="00FF6D3F" w:rsidRPr="00E27686">
        <w:rPr>
          <w:rFonts w:asciiTheme="minorHAnsi" w:eastAsia="Times New Roman" w:hAnsiTheme="minorHAnsi" w:cstheme="minorHAnsi"/>
          <w:sz w:val="24"/>
          <w:szCs w:val="24"/>
        </w:rPr>
        <w:t xml:space="preserve">se </w:t>
      </w:r>
      <w:r w:rsidRPr="00E27686">
        <w:rPr>
          <w:rFonts w:asciiTheme="minorHAnsi" w:eastAsia="Times New Roman" w:hAnsiTheme="minorHAnsi" w:cstheme="minorHAnsi"/>
          <w:sz w:val="24"/>
          <w:szCs w:val="24"/>
        </w:rPr>
        <w:t>refiere</w:t>
      </w:r>
      <w:r w:rsidR="00C034E3" w:rsidRPr="00E27686">
        <w:rPr>
          <w:rFonts w:asciiTheme="minorHAnsi" w:eastAsia="Times New Roman" w:hAnsiTheme="minorHAnsi" w:cstheme="minorHAnsi"/>
          <w:sz w:val="24"/>
          <w:szCs w:val="24"/>
        </w:rPr>
        <w:t xml:space="preserve"> a los análisis de regresión</w:t>
      </w:r>
      <w:r w:rsidRPr="00E27686">
        <w:rPr>
          <w:rFonts w:asciiTheme="minorHAnsi" w:eastAsia="Times New Roman" w:hAnsiTheme="minorHAnsi" w:cstheme="minorHAnsi"/>
          <w:sz w:val="24"/>
          <w:szCs w:val="24"/>
        </w:rPr>
        <w:t>, se obtuv</w:t>
      </w:r>
      <w:r w:rsidR="00FF6D3F" w:rsidRPr="00E27686">
        <w:rPr>
          <w:rFonts w:asciiTheme="minorHAnsi" w:eastAsia="Times New Roman" w:hAnsiTheme="minorHAnsi" w:cstheme="minorHAnsi"/>
          <w:sz w:val="24"/>
          <w:szCs w:val="24"/>
        </w:rPr>
        <w:t>ieron</w:t>
      </w:r>
      <w:r w:rsidRPr="00E27686">
        <w:rPr>
          <w:rFonts w:asciiTheme="minorHAnsi" w:eastAsia="Times New Roman" w:hAnsiTheme="minorHAnsi" w:cstheme="minorHAnsi"/>
          <w:sz w:val="24"/>
          <w:szCs w:val="24"/>
        </w:rPr>
        <w:t xml:space="preserve"> los coeficientes de regresión en puntuaciones directas y típicas, el error estándar, los intervalos de confianza y su significancia. Además, </w:t>
      </w:r>
      <w:r w:rsidR="00C73D7B" w:rsidRPr="00E27686">
        <w:rPr>
          <w:rFonts w:asciiTheme="minorHAnsi" w:eastAsia="Times New Roman" w:hAnsiTheme="minorHAnsi" w:cstheme="minorHAnsi"/>
          <w:sz w:val="24"/>
          <w:szCs w:val="24"/>
        </w:rPr>
        <w:t xml:space="preserve">se incluyeron </w:t>
      </w:r>
      <w:r w:rsidRPr="00E27686">
        <w:rPr>
          <w:rFonts w:asciiTheme="minorHAnsi" w:eastAsia="Times New Roman" w:hAnsiTheme="minorHAnsi" w:cstheme="minorHAnsi"/>
          <w:sz w:val="24"/>
          <w:szCs w:val="24"/>
        </w:rPr>
        <w:t>la evaluación de significancia y el coeficiente de determinación.</w:t>
      </w:r>
    </w:p>
    <w:p w14:paraId="7ED628C6" w14:textId="5618B3DE" w:rsidR="00447D64" w:rsidRPr="00E27686" w:rsidRDefault="00000000" w:rsidP="00A12221">
      <w:pPr>
        <w:spacing w:before="240" w:after="240"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El paquete de software estadístico SPSS v.26, fue utilizado para realizar los análisis </w:t>
      </w:r>
      <w:r w:rsidR="00C73D7B" w:rsidRPr="00E27686">
        <w:rPr>
          <w:rFonts w:asciiTheme="minorHAnsi" w:eastAsia="Times New Roman" w:hAnsiTheme="minorHAnsi" w:cstheme="minorHAnsi"/>
          <w:sz w:val="24"/>
          <w:szCs w:val="24"/>
        </w:rPr>
        <w:t>estadísticos tomando</w:t>
      </w:r>
      <w:r w:rsidRPr="00E27686">
        <w:rPr>
          <w:rFonts w:asciiTheme="minorHAnsi" w:eastAsia="Times New Roman" w:hAnsiTheme="minorHAnsi" w:cstheme="minorHAnsi"/>
          <w:sz w:val="24"/>
          <w:szCs w:val="24"/>
        </w:rPr>
        <w:t xml:space="preserve"> un nivel de significación α=.05.</w:t>
      </w:r>
    </w:p>
    <w:p w14:paraId="58CAADE5" w14:textId="77777777" w:rsidR="00447D64" w:rsidRPr="00E27686" w:rsidRDefault="00000000" w:rsidP="00A12221">
      <w:pPr>
        <w:keepNext/>
        <w:keepLines/>
        <w:pBdr>
          <w:top w:val="nil"/>
          <w:left w:val="nil"/>
          <w:bottom w:val="nil"/>
          <w:right w:val="nil"/>
          <w:between w:val="nil"/>
        </w:pBdr>
        <w:spacing w:before="240" w:after="0" w:line="360" w:lineRule="auto"/>
        <w:jc w:val="both"/>
        <w:rPr>
          <w:rFonts w:asciiTheme="minorHAnsi" w:hAnsiTheme="minorHAnsi" w:cstheme="minorHAnsi"/>
          <w:b/>
          <w:bCs/>
          <w:sz w:val="24"/>
          <w:szCs w:val="24"/>
        </w:rPr>
      </w:pPr>
      <w:r w:rsidRPr="00E27686">
        <w:rPr>
          <w:rFonts w:asciiTheme="minorHAnsi" w:hAnsiTheme="minorHAnsi" w:cstheme="minorHAnsi"/>
          <w:b/>
          <w:bCs/>
          <w:sz w:val="24"/>
          <w:szCs w:val="24"/>
        </w:rPr>
        <w:t>RESULTADOS</w:t>
      </w:r>
    </w:p>
    <w:p w14:paraId="727DFF88" w14:textId="77777777" w:rsidR="00447D64" w:rsidRPr="00E27686" w:rsidRDefault="00447D64" w:rsidP="00A12221">
      <w:pPr>
        <w:spacing w:line="360" w:lineRule="auto"/>
        <w:jc w:val="both"/>
        <w:rPr>
          <w:rFonts w:asciiTheme="minorHAnsi" w:eastAsia="Arial" w:hAnsiTheme="minorHAnsi" w:cstheme="minorHAnsi"/>
          <w:sz w:val="24"/>
          <w:szCs w:val="24"/>
        </w:rPr>
      </w:pPr>
    </w:p>
    <w:p w14:paraId="72848354" w14:textId="09442ECA" w:rsidR="00447D64"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Para identificar qué variables relacionales previas a la ruptura eran determinantes en el uso de diversas estrategias de afrontamiento, se calcularon primero las correlaciones de Pearson entre las variables de apego en la relación, las estrategias de resolución de conflictos, la calidad de la relación y las estrategias de afrontamiento (Ver Tabla 2). </w:t>
      </w:r>
    </w:p>
    <w:tbl>
      <w:tblPr>
        <w:tblStyle w:val="ad"/>
        <w:tblpPr w:leftFromText="567" w:rightFromText="567" w:topFromText="567" w:bottomFromText="567" w:vertAnchor="text" w:horzAnchor="margin" w:tblpY="2117"/>
        <w:tblOverlap w:val="never"/>
        <w:tblW w:w="5000" w:type="pct"/>
        <w:tblInd w:w="0" w:type="dxa"/>
        <w:tblLook w:val="0000" w:firstRow="0" w:lastRow="0" w:firstColumn="0" w:lastColumn="0" w:noHBand="0" w:noVBand="0"/>
      </w:tblPr>
      <w:tblGrid>
        <w:gridCol w:w="1497"/>
        <w:gridCol w:w="967"/>
        <w:gridCol w:w="980"/>
        <w:gridCol w:w="1399"/>
        <w:gridCol w:w="1116"/>
        <w:gridCol w:w="916"/>
        <w:gridCol w:w="1300"/>
        <w:gridCol w:w="895"/>
      </w:tblGrid>
      <w:tr w:rsidR="003B1F5E" w:rsidRPr="00E27686" w14:paraId="0FFC96DB" w14:textId="77777777" w:rsidTr="00D14582">
        <w:trPr>
          <w:cantSplit/>
          <w:trHeight w:val="283"/>
        </w:trPr>
        <w:tc>
          <w:tcPr>
            <w:tcW w:w="5000" w:type="pct"/>
            <w:gridSpan w:val="8"/>
            <w:tcBorders>
              <w:bottom w:val="single" w:sz="4" w:space="0" w:color="000000"/>
            </w:tcBorders>
            <w:shd w:val="clear" w:color="auto" w:fill="FFFFFF"/>
          </w:tcPr>
          <w:p w14:paraId="75B8AD83" w14:textId="77777777" w:rsidR="003B1F5E" w:rsidRPr="00E27686" w:rsidRDefault="003B1F5E" w:rsidP="00D14582">
            <w:pP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Tabla 2</w:t>
            </w:r>
          </w:p>
          <w:p w14:paraId="48E581D6" w14:textId="77777777" w:rsidR="003B1F5E" w:rsidRPr="00E27686" w:rsidRDefault="003B1F5E" w:rsidP="00D14582">
            <w:pP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Correlaciones de Pearson entre las variables relacionadas con la situación previa a la ruptura y las estrategias de afrontamiento de la ruptura</w:t>
            </w:r>
          </w:p>
          <w:p w14:paraId="27B2C357" w14:textId="77777777" w:rsidR="003B1F5E" w:rsidRPr="00E27686" w:rsidRDefault="003B1F5E" w:rsidP="00D14582">
            <w:pPr>
              <w:spacing w:line="360" w:lineRule="auto"/>
              <w:rPr>
                <w:rFonts w:asciiTheme="minorHAnsi" w:eastAsia="Times New Roman" w:hAnsiTheme="minorHAnsi" w:cstheme="minorHAnsi"/>
                <w:sz w:val="24"/>
                <w:szCs w:val="24"/>
              </w:rPr>
            </w:pPr>
          </w:p>
        </w:tc>
      </w:tr>
      <w:tr w:rsidR="003B1F5E" w:rsidRPr="00E27686" w14:paraId="7D231F82" w14:textId="77777777" w:rsidTr="00D14582">
        <w:trPr>
          <w:cantSplit/>
          <w:trHeight w:val="283"/>
        </w:trPr>
        <w:tc>
          <w:tcPr>
            <w:tcW w:w="957" w:type="pct"/>
            <w:vMerge w:val="restart"/>
            <w:tcBorders>
              <w:top w:val="single" w:sz="4" w:space="0" w:color="000000"/>
              <w:bottom w:val="single" w:sz="4" w:space="0" w:color="000000"/>
            </w:tcBorders>
            <w:shd w:val="clear" w:color="auto" w:fill="FFFFFF"/>
            <w:vAlign w:val="bottom"/>
          </w:tcPr>
          <w:p w14:paraId="68341683" w14:textId="77777777" w:rsidR="003B1F5E" w:rsidRPr="00E27686" w:rsidRDefault="003B1F5E" w:rsidP="00D14582">
            <w:pPr>
              <w:pBdr>
                <w:top w:val="nil"/>
                <w:left w:val="nil"/>
                <w:bottom w:val="nil"/>
                <w:right w:val="nil"/>
                <w:between w:val="nil"/>
              </w:pBdr>
              <w:spacing w:line="360" w:lineRule="auto"/>
              <w:rPr>
                <w:rFonts w:asciiTheme="minorHAnsi" w:eastAsia="Times New Roman" w:hAnsiTheme="minorHAnsi" w:cstheme="minorHAnsi"/>
                <w:b/>
                <w:sz w:val="24"/>
                <w:szCs w:val="24"/>
              </w:rPr>
            </w:pPr>
          </w:p>
        </w:tc>
        <w:tc>
          <w:tcPr>
            <w:tcW w:w="4043" w:type="pct"/>
            <w:gridSpan w:val="7"/>
            <w:tcBorders>
              <w:top w:val="single" w:sz="4" w:space="0" w:color="000000"/>
              <w:left w:val="nil"/>
              <w:bottom w:val="single" w:sz="4" w:space="0" w:color="000000"/>
            </w:tcBorders>
            <w:shd w:val="clear" w:color="auto" w:fill="FFFFFF"/>
            <w:vAlign w:val="center"/>
          </w:tcPr>
          <w:p w14:paraId="3150A051"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Variables relacionadas con la situación previa a la ruptura de pareja</w:t>
            </w:r>
          </w:p>
        </w:tc>
      </w:tr>
      <w:tr w:rsidR="003B1F5E" w:rsidRPr="00E27686" w14:paraId="45AFD3AD" w14:textId="77777777" w:rsidTr="00D14582">
        <w:trPr>
          <w:cantSplit/>
          <w:trHeight w:val="283"/>
        </w:trPr>
        <w:tc>
          <w:tcPr>
            <w:tcW w:w="957" w:type="pct"/>
            <w:vMerge/>
            <w:tcBorders>
              <w:top w:val="single" w:sz="4" w:space="0" w:color="000000"/>
              <w:bottom w:val="single" w:sz="4" w:space="0" w:color="000000"/>
            </w:tcBorders>
            <w:shd w:val="clear" w:color="auto" w:fill="FFFFFF"/>
            <w:vAlign w:val="bottom"/>
          </w:tcPr>
          <w:p w14:paraId="477CC77F" w14:textId="77777777" w:rsidR="003B1F5E" w:rsidRPr="00E27686" w:rsidRDefault="003B1F5E" w:rsidP="00D14582">
            <w:pPr>
              <w:widowControl w:val="0"/>
              <w:pBdr>
                <w:top w:val="nil"/>
                <w:left w:val="nil"/>
                <w:bottom w:val="nil"/>
                <w:right w:val="nil"/>
                <w:between w:val="nil"/>
              </w:pBdr>
              <w:spacing w:line="360" w:lineRule="auto"/>
              <w:rPr>
                <w:rFonts w:asciiTheme="minorHAnsi" w:eastAsia="Times New Roman" w:hAnsiTheme="minorHAnsi" w:cstheme="minorHAnsi"/>
                <w:b/>
                <w:sz w:val="24"/>
                <w:szCs w:val="24"/>
              </w:rPr>
            </w:pPr>
          </w:p>
        </w:tc>
        <w:tc>
          <w:tcPr>
            <w:tcW w:w="1042" w:type="pct"/>
            <w:gridSpan w:val="2"/>
            <w:tcBorders>
              <w:top w:val="single" w:sz="4" w:space="0" w:color="000000"/>
              <w:left w:val="nil"/>
            </w:tcBorders>
            <w:shd w:val="clear" w:color="auto" w:fill="FFFFFF"/>
            <w:vAlign w:val="center"/>
          </w:tcPr>
          <w:p w14:paraId="18FE23FD"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Dimensiones</w:t>
            </w:r>
          </w:p>
          <w:p w14:paraId="68B75402"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del apego</w:t>
            </w:r>
          </w:p>
        </w:tc>
        <w:tc>
          <w:tcPr>
            <w:tcW w:w="2520" w:type="pct"/>
            <w:gridSpan w:val="4"/>
            <w:tcBorders>
              <w:top w:val="single" w:sz="4" w:space="0" w:color="000000"/>
            </w:tcBorders>
            <w:shd w:val="clear" w:color="auto" w:fill="FFFFFF"/>
            <w:vAlign w:val="center"/>
          </w:tcPr>
          <w:p w14:paraId="5C1ECC48"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Estrategias de resolución de conflictos</w:t>
            </w:r>
          </w:p>
        </w:tc>
        <w:tc>
          <w:tcPr>
            <w:tcW w:w="481" w:type="pct"/>
            <w:vMerge w:val="restart"/>
            <w:tcBorders>
              <w:top w:val="single" w:sz="4" w:space="0" w:color="000000"/>
              <w:bottom w:val="single" w:sz="4" w:space="0" w:color="000000"/>
            </w:tcBorders>
            <w:shd w:val="clear" w:color="auto" w:fill="FFFFFF"/>
          </w:tcPr>
          <w:p w14:paraId="248FD427"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b/>
                <w:sz w:val="24"/>
                <w:szCs w:val="24"/>
              </w:rPr>
            </w:pPr>
          </w:p>
          <w:p w14:paraId="3CCAA885"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Calidad de la relación</w:t>
            </w:r>
          </w:p>
        </w:tc>
      </w:tr>
      <w:tr w:rsidR="003B1F5E" w:rsidRPr="00E27686" w14:paraId="25A4226D" w14:textId="77777777" w:rsidTr="00D14582">
        <w:trPr>
          <w:cantSplit/>
          <w:trHeight w:val="283"/>
        </w:trPr>
        <w:tc>
          <w:tcPr>
            <w:tcW w:w="957" w:type="pct"/>
            <w:vMerge/>
            <w:tcBorders>
              <w:top w:val="single" w:sz="4" w:space="0" w:color="000000"/>
              <w:bottom w:val="single" w:sz="4" w:space="0" w:color="000000"/>
            </w:tcBorders>
            <w:shd w:val="clear" w:color="auto" w:fill="FFFFFF"/>
            <w:vAlign w:val="bottom"/>
          </w:tcPr>
          <w:p w14:paraId="05587A21" w14:textId="77777777" w:rsidR="003B1F5E" w:rsidRPr="00E27686" w:rsidRDefault="003B1F5E" w:rsidP="00D14582">
            <w:pPr>
              <w:widowControl w:val="0"/>
              <w:pBdr>
                <w:top w:val="nil"/>
                <w:left w:val="nil"/>
                <w:bottom w:val="nil"/>
                <w:right w:val="nil"/>
                <w:between w:val="nil"/>
              </w:pBdr>
              <w:spacing w:line="360" w:lineRule="auto"/>
              <w:rPr>
                <w:rFonts w:asciiTheme="minorHAnsi" w:eastAsia="Times New Roman" w:hAnsiTheme="minorHAnsi" w:cstheme="minorHAnsi"/>
                <w:b/>
                <w:sz w:val="24"/>
                <w:szCs w:val="24"/>
              </w:rPr>
            </w:pPr>
          </w:p>
        </w:tc>
        <w:tc>
          <w:tcPr>
            <w:tcW w:w="517" w:type="pct"/>
            <w:tcBorders>
              <w:left w:val="nil"/>
              <w:bottom w:val="single" w:sz="4" w:space="0" w:color="000000"/>
            </w:tcBorders>
            <w:shd w:val="clear" w:color="auto" w:fill="FFFFFF"/>
            <w:vAlign w:val="center"/>
          </w:tcPr>
          <w:p w14:paraId="2E51F525"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Evitación</w:t>
            </w:r>
          </w:p>
        </w:tc>
        <w:tc>
          <w:tcPr>
            <w:tcW w:w="525" w:type="pct"/>
            <w:tcBorders>
              <w:left w:val="nil"/>
              <w:bottom w:val="single" w:sz="4" w:space="0" w:color="000000"/>
            </w:tcBorders>
            <w:shd w:val="clear" w:color="auto" w:fill="FFFFFF"/>
            <w:vAlign w:val="center"/>
          </w:tcPr>
          <w:p w14:paraId="193645EA"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Ansiedad</w:t>
            </w:r>
          </w:p>
        </w:tc>
        <w:tc>
          <w:tcPr>
            <w:tcW w:w="743" w:type="pct"/>
            <w:tcBorders>
              <w:bottom w:val="single" w:sz="4" w:space="0" w:color="000000"/>
            </w:tcBorders>
            <w:shd w:val="clear" w:color="auto" w:fill="FFFFFF"/>
            <w:vAlign w:val="center"/>
          </w:tcPr>
          <w:p w14:paraId="5224E1B2"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Confrontación</w:t>
            </w:r>
          </w:p>
        </w:tc>
        <w:tc>
          <w:tcPr>
            <w:tcW w:w="595" w:type="pct"/>
            <w:tcBorders>
              <w:left w:val="nil"/>
              <w:bottom w:val="single" w:sz="4" w:space="0" w:color="000000"/>
            </w:tcBorders>
            <w:shd w:val="clear" w:color="auto" w:fill="FFFFFF"/>
            <w:vAlign w:val="center"/>
          </w:tcPr>
          <w:p w14:paraId="6BF352A3"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Resolución Positiva</w:t>
            </w:r>
          </w:p>
        </w:tc>
        <w:tc>
          <w:tcPr>
            <w:tcW w:w="491" w:type="pct"/>
            <w:tcBorders>
              <w:left w:val="nil"/>
              <w:bottom w:val="single" w:sz="4" w:space="0" w:color="000000"/>
            </w:tcBorders>
            <w:shd w:val="clear" w:color="auto" w:fill="FFFFFF"/>
            <w:vAlign w:val="center"/>
          </w:tcPr>
          <w:p w14:paraId="70B62369"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Retirada</w:t>
            </w:r>
          </w:p>
        </w:tc>
        <w:tc>
          <w:tcPr>
            <w:tcW w:w="691" w:type="pct"/>
            <w:tcBorders>
              <w:left w:val="nil"/>
              <w:bottom w:val="single" w:sz="4" w:space="0" w:color="000000"/>
            </w:tcBorders>
            <w:shd w:val="clear" w:color="auto" w:fill="FFFFFF"/>
            <w:vAlign w:val="center"/>
          </w:tcPr>
          <w:p w14:paraId="16795813"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Conformidad</w:t>
            </w:r>
          </w:p>
        </w:tc>
        <w:tc>
          <w:tcPr>
            <w:tcW w:w="481" w:type="pct"/>
            <w:vMerge/>
            <w:tcBorders>
              <w:top w:val="single" w:sz="4" w:space="0" w:color="000000"/>
              <w:bottom w:val="single" w:sz="4" w:space="0" w:color="000000"/>
            </w:tcBorders>
            <w:shd w:val="clear" w:color="auto" w:fill="FFFFFF"/>
          </w:tcPr>
          <w:p w14:paraId="48349E27" w14:textId="77777777" w:rsidR="003B1F5E" w:rsidRPr="00E27686" w:rsidRDefault="003B1F5E" w:rsidP="00D14582">
            <w:pPr>
              <w:widowControl w:val="0"/>
              <w:pBdr>
                <w:top w:val="nil"/>
                <w:left w:val="nil"/>
                <w:bottom w:val="nil"/>
                <w:right w:val="nil"/>
                <w:between w:val="nil"/>
              </w:pBdr>
              <w:spacing w:line="360" w:lineRule="auto"/>
              <w:rPr>
                <w:rFonts w:asciiTheme="minorHAnsi" w:eastAsia="Times New Roman" w:hAnsiTheme="minorHAnsi" w:cstheme="minorHAnsi"/>
                <w:sz w:val="24"/>
                <w:szCs w:val="24"/>
              </w:rPr>
            </w:pPr>
          </w:p>
        </w:tc>
      </w:tr>
      <w:tr w:rsidR="003B1F5E" w:rsidRPr="00E27686" w14:paraId="5D1E5F3F" w14:textId="77777777" w:rsidTr="00D14582">
        <w:trPr>
          <w:cantSplit/>
          <w:trHeight w:val="283"/>
        </w:trPr>
        <w:tc>
          <w:tcPr>
            <w:tcW w:w="5000" w:type="pct"/>
            <w:gridSpan w:val="8"/>
            <w:tcBorders>
              <w:top w:val="single" w:sz="4" w:space="0" w:color="000000"/>
              <w:bottom w:val="single" w:sz="4" w:space="0" w:color="000000"/>
            </w:tcBorders>
            <w:shd w:val="clear" w:color="auto" w:fill="auto"/>
            <w:vAlign w:val="center"/>
          </w:tcPr>
          <w:p w14:paraId="24C9646D" w14:textId="77777777" w:rsidR="003B1F5E" w:rsidRPr="00E27686" w:rsidRDefault="003B1F5E" w:rsidP="00D14582">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Estrategias de afrontamiento de la ruptura</w:t>
            </w:r>
          </w:p>
        </w:tc>
      </w:tr>
      <w:tr w:rsidR="003B1F5E" w:rsidRPr="00E27686" w14:paraId="3C55B933" w14:textId="77777777" w:rsidTr="00D14582">
        <w:trPr>
          <w:cantSplit/>
          <w:trHeight w:val="283"/>
        </w:trPr>
        <w:tc>
          <w:tcPr>
            <w:tcW w:w="957" w:type="pct"/>
            <w:tcBorders>
              <w:top w:val="single" w:sz="4" w:space="0" w:color="000000"/>
            </w:tcBorders>
            <w:shd w:val="clear" w:color="auto" w:fill="auto"/>
            <w:vAlign w:val="center"/>
          </w:tcPr>
          <w:p w14:paraId="7138CFD2" w14:textId="77777777" w:rsidR="003B1F5E" w:rsidRPr="00E27686" w:rsidRDefault="003B1F5E" w:rsidP="00D14582">
            <w:pPr>
              <w:pBdr>
                <w:top w:val="nil"/>
                <w:left w:val="nil"/>
                <w:bottom w:val="nil"/>
                <w:right w:val="nil"/>
                <w:between w:val="nil"/>
              </w:pBdr>
              <w:spacing w:line="360" w:lineRule="auto"/>
              <w:ind w:left="284"/>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Centrada en la pérdida</w:t>
            </w:r>
          </w:p>
        </w:tc>
        <w:tc>
          <w:tcPr>
            <w:tcW w:w="517" w:type="pct"/>
            <w:tcBorders>
              <w:top w:val="single" w:sz="4" w:space="0" w:color="000000"/>
            </w:tcBorders>
            <w:shd w:val="clear" w:color="auto" w:fill="auto"/>
            <w:vAlign w:val="center"/>
          </w:tcPr>
          <w:p w14:paraId="2B89A69F"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,251*</w:t>
            </w:r>
          </w:p>
        </w:tc>
        <w:tc>
          <w:tcPr>
            <w:tcW w:w="525" w:type="pct"/>
            <w:tcBorders>
              <w:top w:val="single" w:sz="4" w:space="0" w:color="000000"/>
            </w:tcBorders>
            <w:shd w:val="clear" w:color="auto" w:fill="auto"/>
            <w:vAlign w:val="center"/>
          </w:tcPr>
          <w:p w14:paraId="5AC9FB00"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,187</w:t>
            </w:r>
          </w:p>
        </w:tc>
        <w:tc>
          <w:tcPr>
            <w:tcW w:w="743" w:type="pct"/>
            <w:tcBorders>
              <w:top w:val="single" w:sz="4" w:space="0" w:color="000000"/>
            </w:tcBorders>
            <w:shd w:val="clear" w:color="auto" w:fill="auto"/>
            <w:vAlign w:val="center"/>
          </w:tcPr>
          <w:p w14:paraId="11AF15A8"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-,060</w:t>
            </w:r>
          </w:p>
        </w:tc>
        <w:tc>
          <w:tcPr>
            <w:tcW w:w="595" w:type="pct"/>
            <w:tcBorders>
              <w:top w:val="single" w:sz="4" w:space="0" w:color="000000"/>
            </w:tcBorders>
            <w:shd w:val="clear" w:color="auto" w:fill="auto"/>
            <w:vAlign w:val="center"/>
          </w:tcPr>
          <w:p w14:paraId="04DE7BAB"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-,035</w:t>
            </w:r>
          </w:p>
        </w:tc>
        <w:tc>
          <w:tcPr>
            <w:tcW w:w="491" w:type="pct"/>
            <w:tcBorders>
              <w:top w:val="single" w:sz="4" w:space="0" w:color="000000"/>
            </w:tcBorders>
            <w:shd w:val="clear" w:color="auto" w:fill="auto"/>
            <w:vAlign w:val="center"/>
          </w:tcPr>
          <w:p w14:paraId="663AF3FC"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-,012</w:t>
            </w:r>
          </w:p>
        </w:tc>
        <w:tc>
          <w:tcPr>
            <w:tcW w:w="691" w:type="pct"/>
            <w:tcBorders>
              <w:top w:val="single" w:sz="4" w:space="0" w:color="000000"/>
            </w:tcBorders>
            <w:shd w:val="clear" w:color="auto" w:fill="auto"/>
            <w:vAlign w:val="center"/>
          </w:tcPr>
          <w:p w14:paraId="7EAEF278"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,068</w:t>
            </w:r>
          </w:p>
        </w:tc>
        <w:tc>
          <w:tcPr>
            <w:tcW w:w="481" w:type="pct"/>
            <w:tcBorders>
              <w:top w:val="single" w:sz="4" w:space="0" w:color="000000"/>
            </w:tcBorders>
            <w:shd w:val="clear" w:color="auto" w:fill="auto"/>
            <w:vAlign w:val="center"/>
          </w:tcPr>
          <w:p w14:paraId="1898E353"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-,149</w:t>
            </w:r>
          </w:p>
        </w:tc>
      </w:tr>
      <w:tr w:rsidR="003B1F5E" w:rsidRPr="00E27686" w14:paraId="02F9B927" w14:textId="77777777" w:rsidTr="00D14582">
        <w:trPr>
          <w:cantSplit/>
          <w:trHeight w:val="283"/>
        </w:trPr>
        <w:tc>
          <w:tcPr>
            <w:tcW w:w="957" w:type="pct"/>
            <w:tcBorders>
              <w:bottom w:val="single" w:sz="4" w:space="0" w:color="000000"/>
            </w:tcBorders>
            <w:shd w:val="clear" w:color="auto" w:fill="auto"/>
            <w:vAlign w:val="center"/>
          </w:tcPr>
          <w:p w14:paraId="3FAEAF65" w14:textId="77777777" w:rsidR="003B1F5E" w:rsidRPr="00E27686" w:rsidRDefault="003B1F5E" w:rsidP="00D14582">
            <w:pPr>
              <w:pBdr>
                <w:top w:val="nil"/>
                <w:left w:val="nil"/>
                <w:bottom w:val="nil"/>
                <w:right w:val="nil"/>
                <w:between w:val="nil"/>
              </w:pBdr>
              <w:spacing w:line="360" w:lineRule="auto"/>
              <w:ind w:left="284"/>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Centrada en la restauración</w:t>
            </w:r>
          </w:p>
        </w:tc>
        <w:tc>
          <w:tcPr>
            <w:tcW w:w="517" w:type="pct"/>
            <w:tcBorders>
              <w:bottom w:val="single" w:sz="4" w:space="0" w:color="000000"/>
            </w:tcBorders>
            <w:shd w:val="clear" w:color="auto" w:fill="auto"/>
            <w:vAlign w:val="center"/>
          </w:tcPr>
          <w:p w14:paraId="2B8B95AD"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-,173</w:t>
            </w:r>
          </w:p>
        </w:tc>
        <w:tc>
          <w:tcPr>
            <w:tcW w:w="525" w:type="pct"/>
            <w:tcBorders>
              <w:bottom w:val="single" w:sz="4" w:space="0" w:color="000000"/>
            </w:tcBorders>
            <w:shd w:val="clear" w:color="auto" w:fill="auto"/>
            <w:vAlign w:val="center"/>
          </w:tcPr>
          <w:p w14:paraId="24F9DB7A"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-,004</w:t>
            </w:r>
          </w:p>
        </w:tc>
        <w:tc>
          <w:tcPr>
            <w:tcW w:w="743" w:type="pct"/>
            <w:tcBorders>
              <w:bottom w:val="single" w:sz="4" w:space="0" w:color="000000"/>
            </w:tcBorders>
            <w:shd w:val="clear" w:color="auto" w:fill="auto"/>
            <w:vAlign w:val="center"/>
          </w:tcPr>
          <w:p w14:paraId="206591B1"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,121</w:t>
            </w:r>
          </w:p>
        </w:tc>
        <w:tc>
          <w:tcPr>
            <w:tcW w:w="595" w:type="pct"/>
            <w:tcBorders>
              <w:bottom w:val="single" w:sz="4" w:space="0" w:color="000000"/>
            </w:tcBorders>
            <w:shd w:val="clear" w:color="auto" w:fill="auto"/>
            <w:vAlign w:val="center"/>
          </w:tcPr>
          <w:p w14:paraId="7392F9E1"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,084</w:t>
            </w:r>
          </w:p>
        </w:tc>
        <w:tc>
          <w:tcPr>
            <w:tcW w:w="491" w:type="pct"/>
            <w:tcBorders>
              <w:bottom w:val="single" w:sz="4" w:space="0" w:color="000000"/>
            </w:tcBorders>
            <w:shd w:val="clear" w:color="auto" w:fill="auto"/>
            <w:vAlign w:val="center"/>
          </w:tcPr>
          <w:p w14:paraId="688930FC"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-,048</w:t>
            </w:r>
          </w:p>
        </w:tc>
        <w:tc>
          <w:tcPr>
            <w:tcW w:w="691" w:type="pct"/>
            <w:tcBorders>
              <w:bottom w:val="single" w:sz="4" w:space="0" w:color="000000"/>
            </w:tcBorders>
            <w:shd w:val="clear" w:color="auto" w:fill="auto"/>
            <w:vAlign w:val="center"/>
          </w:tcPr>
          <w:p w14:paraId="72292450"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-,286*</w:t>
            </w:r>
          </w:p>
        </w:tc>
        <w:tc>
          <w:tcPr>
            <w:tcW w:w="481" w:type="pct"/>
            <w:tcBorders>
              <w:bottom w:val="single" w:sz="4" w:space="0" w:color="000000"/>
            </w:tcBorders>
            <w:shd w:val="clear" w:color="auto" w:fill="auto"/>
            <w:vAlign w:val="center"/>
          </w:tcPr>
          <w:p w14:paraId="2F62F910" w14:textId="77777777" w:rsidR="003B1F5E" w:rsidRPr="00E27686" w:rsidRDefault="003B1F5E" w:rsidP="00D14582">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,081</w:t>
            </w:r>
          </w:p>
        </w:tc>
      </w:tr>
      <w:tr w:rsidR="003B1F5E" w:rsidRPr="00E27686" w14:paraId="2764EE7A" w14:textId="77777777" w:rsidTr="00D14582">
        <w:trPr>
          <w:cantSplit/>
          <w:trHeight w:val="283"/>
        </w:trPr>
        <w:tc>
          <w:tcPr>
            <w:tcW w:w="5000" w:type="pct"/>
            <w:gridSpan w:val="8"/>
            <w:tcBorders>
              <w:top w:val="single" w:sz="4" w:space="0" w:color="000000"/>
            </w:tcBorders>
            <w:shd w:val="clear" w:color="auto" w:fill="auto"/>
            <w:vAlign w:val="center"/>
          </w:tcPr>
          <w:p w14:paraId="4140B495" w14:textId="77777777" w:rsidR="003B1F5E" w:rsidRPr="00E27686" w:rsidRDefault="003B1F5E" w:rsidP="00D14582">
            <w:pPr>
              <w:pBdr>
                <w:top w:val="nil"/>
                <w:left w:val="nil"/>
                <w:bottom w:val="nil"/>
                <w:right w:val="nil"/>
                <w:between w:val="nil"/>
              </w:pBdr>
              <w:spacing w:line="360" w:lineRule="auto"/>
              <w:ind w:left="6983"/>
              <w:jc w:val="right"/>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*p&lt;.05</w:t>
            </w:r>
          </w:p>
          <w:p w14:paraId="6A5C806F" w14:textId="77777777" w:rsidR="003B1F5E" w:rsidRPr="00E27686" w:rsidRDefault="003B1F5E" w:rsidP="00D14582">
            <w:pPr>
              <w:pBdr>
                <w:top w:val="nil"/>
                <w:left w:val="nil"/>
                <w:bottom w:val="nil"/>
                <w:right w:val="nil"/>
                <w:between w:val="nil"/>
              </w:pBdr>
              <w:spacing w:line="360" w:lineRule="auto"/>
              <w:ind w:left="6983"/>
              <w:jc w:val="right"/>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p &lt; .01</w:t>
            </w:r>
          </w:p>
          <w:p w14:paraId="79B81E07" w14:textId="77777777" w:rsidR="003B1F5E" w:rsidRPr="00E27686" w:rsidRDefault="003B1F5E" w:rsidP="00D14582">
            <w:pPr>
              <w:pBdr>
                <w:top w:val="nil"/>
                <w:left w:val="nil"/>
                <w:bottom w:val="nil"/>
                <w:right w:val="nil"/>
                <w:between w:val="nil"/>
              </w:pBdr>
              <w:spacing w:line="360" w:lineRule="auto"/>
              <w:ind w:left="6983"/>
              <w:jc w:val="right"/>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p&lt;.001</w:t>
            </w:r>
          </w:p>
        </w:tc>
      </w:tr>
    </w:tbl>
    <w:p w14:paraId="0338F4FD" w14:textId="77777777" w:rsidR="003B1F5E" w:rsidRDefault="003B1F5E" w:rsidP="00A12221">
      <w:pPr>
        <w:spacing w:line="360" w:lineRule="auto"/>
        <w:ind w:firstLine="720"/>
        <w:jc w:val="both"/>
        <w:rPr>
          <w:rFonts w:asciiTheme="minorHAnsi" w:eastAsia="Times New Roman" w:hAnsiTheme="minorHAnsi" w:cstheme="minorHAnsi"/>
          <w:sz w:val="24"/>
          <w:szCs w:val="24"/>
        </w:rPr>
      </w:pPr>
    </w:p>
    <w:p w14:paraId="2C59D05D" w14:textId="45DDFF09"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En un inicio se observó una relación significativa y positiva entre la evitación relacionada con el apego y la estrategia de afrontamiento enfocada en la pérdida. Respecto a lo que concierne a la resolución de conflictos, se reveló la asociación significativa y negativa entre la estrategia de conformidad y las estrategias de afrontamiento centradas en la restauración. No se detectaron vínculos significativos entre la calidad de la relación y las estrategias de manejo de la separación.</w:t>
      </w:r>
    </w:p>
    <w:p w14:paraId="0C9B4552"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 continuación, se muestran los resultados de los análisis de regresión con el fin de determinar cuáles son las variables previas a la ruptura de pareja que predicen de forma más efectiva el empleo de estrategias de afrontamiento tras la separación (Ver Tabla 3).</w:t>
      </w:r>
    </w:p>
    <w:p w14:paraId="1E4606DA" w14:textId="77777777" w:rsidR="00287BAC" w:rsidRPr="00E27686" w:rsidRDefault="00287BAC" w:rsidP="00A12221">
      <w:pPr>
        <w:spacing w:line="360" w:lineRule="auto"/>
        <w:ind w:firstLine="720"/>
        <w:rPr>
          <w:rFonts w:asciiTheme="minorHAnsi" w:eastAsia="Times New Roman" w:hAnsiTheme="minorHAnsi" w:cstheme="minorHAnsi"/>
          <w:sz w:val="24"/>
          <w:szCs w:val="24"/>
        </w:rPr>
      </w:pPr>
    </w:p>
    <w:p w14:paraId="3BBF23D8" w14:textId="77777777" w:rsidR="00447D64" w:rsidRPr="00E27686" w:rsidRDefault="00000000" w:rsidP="00A12221">
      <w:pPr>
        <w:pBdr>
          <w:top w:val="nil"/>
          <w:left w:val="nil"/>
          <w:bottom w:val="nil"/>
          <w:right w:val="nil"/>
          <w:between w:val="nil"/>
        </w:pBdr>
        <w:spacing w:after="0" w:line="360" w:lineRule="auto"/>
        <w:rPr>
          <w:rFonts w:asciiTheme="minorHAnsi" w:eastAsia="Times New Roman" w:hAnsiTheme="minorHAnsi" w:cstheme="minorHAnsi"/>
          <w:b/>
          <w:i/>
          <w:sz w:val="24"/>
          <w:szCs w:val="24"/>
        </w:rPr>
      </w:pPr>
      <w:r w:rsidRPr="00E27686">
        <w:rPr>
          <w:rFonts w:asciiTheme="minorHAnsi" w:eastAsia="Times New Roman" w:hAnsiTheme="minorHAnsi" w:cstheme="minorHAnsi"/>
          <w:b/>
          <w:sz w:val="24"/>
          <w:szCs w:val="24"/>
        </w:rPr>
        <w:t>Tabla 3</w:t>
      </w:r>
    </w:p>
    <w:p w14:paraId="545214C6" w14:textId="00FB1606" w:rsidR="00447D64" w:rsidRPr="00E27686" w:rsidRDefault="00000000" w:rsidP="00A12221">
      <w:pPr>
        <w:pBdr>
          <w:top w:val="nil"/>
          <w:left w:val="nil"/>
          <w:bottom w:val="nil"/>
          <w:right w:val="nil"/>
          <w:between w:val="nil"/>
        </w:pBdr>
        <w:spacing w:after="0" w:line="360" w:lineRule="auto"/>
        <w:jc w:val="both"/>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Análisis de regresión entre las variables relacionales previas a la ruptura y las estrategias de afrontamiento de la ruptura</w:t>
      </w:r>
    </w:p>
    <w:tbl>
      <w:tblPr>
        <w:tblStyle w:val="ae"/>
        <w:tblpPr w:leftFromText="141" w:rightFromText="141" w:vertAnchor="text" w:tblpXSpec="center" w:tblpY="203"/>
        <w:tblW w:w="0" w:type="auto"/>
        <w:jc w:val="center"/>
        <w:tblInd w:w="0" w:type="dxa"/>
        <w:tblBorders>
          <w:top w:val="nil"/>
          <w:left w:val="nil"/>
          <w:bottom w:val="nil"/>
          <w:right w:val="nil"/>
          <w:insideH w:val="nil"/>
          <w:insideV w:val="nil"/>
        </w:tblBorders>
        <w:tblLook w:val="0400" w:firstRow="0" w:lastRow="0" w:firstColumn="0" w:lastColumn="0" w:noHBand="0" w:noVBand="1"/>
      </w:tblPr>
      <w:tblGrid>
        <w:gridCol w:w="1895"/>
        <w:gridCol w:w="2098"/>
        <w:gridCol w:w="653"/>
        <w:gridCol w:w="896"/>
        <w:gridCol w:w="531"/>
        <w:gridCol w:w="1182"/>
        <w:gridCol w:w="653"/>
        <w:gridCol w:w="642"/>
        <w:gridCol w:w="520"/>
      </w:tblGrid>
      <w:tr w:rsidR="00493D5D" w:rsidRPr="00E27686" w14:paraId="5A52F6DF" w14:textId="77777777" w:rsidTr="00E718C9">
        <w:trPr>
          <w:trHeight w:val="420"/>
          <w:jc w:val="center"/>
        </w:trPr>
        <w:tc>
          <w:tcPr>
            <w:tcW w:w="0" w:type="auto"/>
            <w:tcBorders>
              <w:top w:val="single" w:sz="4" w:space="0" w:color="000000"/>
              <w:bottom w:val="single" w:sz="4" w:space="0" w:color="000000"/>
            </w:tcBorders>
          </w:tcPr>
          <w:p w14:paraId="6BF3DD53" w14:textId="77777777" w:rsidR="00447D64" w:rsidRPr="00E27686" w:rsidRDefault="00000000" w:rsidP="00A12221">
            <w:pP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Variables Dependientes</w:t>
            </w:r>
          </w:p>
        </w:tc>
        <w:tc>
          <w:tcPr>
            <w:tcW w:w="0" w:type="auto"/>
            <w:tcBorders>
              <w:top w:val="single" w:sz="4" w:space="0" w:color="000000"/>
              <w:bottom w:val="single" w:sz="4" w:space="0" w:color="000000"/>
            </w:tcBorders>
            <w:vAlign w:val="center"/>
          </w:tcPr>
          <w:p w14:paraId="057E9A7D" w14:textId="77777777" w:rsidR="00447D64" w:rsidRPr="00E27686" w:rsidRDefault="00447D64" w:rsidP="00A12221">
            <w:pPr>
              <w:spacing w:line="360" w:lineRule="auto"/>
              <w:rPr>
                <w:rFonts w:asciiTheme="minorHAnsi" w:eastAsia="Times New Roman" w:hAnsiTheme="minorHAnsi" w:cstheme="minorHAnsi"/>
                <w:b/>
                <w:i/>
                <w:sz w:val="24"/>
                <w:szCs w:val="24"/>
              </w:rPr>
            </w:pPr>
          </w:p>
        </w:tc>
        <w:tc>
          <w:tcPr>
            <w:tcW w:w="0" w:type="auto"/>
            <w:tcBorders>
              <w:top w:val="single" w:sz="4" w:space="0" w:color="000000"/>
              <w:bottom w:val="single" w:sz="4" w:space="0" w:color="000000"/>
            </w:tcBorders>
            <w:vAlign w:val="center"/>
          </w:tcPr>
          <w:p w14:paraId="64F95F16"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B</w:t>
            </w:r>
          </w:p>
        </w:tc>
        <w:tc>
          <w:tcPr>
            <w:tcW w:w="0" w:type="auto"/>
            <w:tcBorders>
              <w:top w:val="single" w:sz="4" w:space="0" w:color="000000"/>
              <w:bottom w:val="single" w:sz="4" w:space="0" w:color="000000"/>
            </w:tcBorders>
            <w:vAlign w:val="center"/>
          </w:tcPr>
          <w:p w14:paraId="4DC1B93D"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Error Típico</w:t>
            </w:r>
          </w:p>
        </w:tc>
        <w:tc>
          <w:tcPr>
            <w:tcW w:w="0" w:type="auto"/>
            <w:tcBorders>
              <w:top w:val="single" w:sz="4" w:space="0" w:color="000000"/>
              <w:bottom w:val="single" w:sz="4" w:space="0" w:color="000000"/>
            </w:tcBorders>
            <w:vAlign w:val="center"/>
          </w:tcPr>
          <w:p w14:paraId="1BEC48BB"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β</w:t>
            </w:r>
          </w:p>
        </w:tc>
        <w:tc>
          <w:tcPr>
            <w:tcW w:w="0" w:type="auto"/>
            <w:tcBorders>
              <w:top w:val="single" w:sz="4" w:space="0" w:color="000000"/>
              <w:bottom w:val="single" w:sz="4" w:space="0" w:color="000000"/>
            </w:tcBorders>
            <w:vAlign w:val="center"/>
          </w:tcPr>
          <w:p w14:paraId="52AEF32B"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95% IC</w:t>
            </w:r>
          </w:p>
        </w:tc>
        <w:tc>
          <w:tcPr>
            <w:tcW w:w="0" w:type="auto"/>
            <w:tcBorders>
              <w:top w:val="single" w:sz="4" w:space="0" w:color="000000"/>
              <w:bottom w:val="single" w:sz="4" w:space="0" w:color="000000"/>
            </w:tcBorders>
            <w:vAlign w:val="center"/>
          </w:tcPr>
          <w:p w14:paraId="1CB38C2B"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t</w:t>
            </w:r>
          </w:p>
        </w:tc>
        <w:tc>
          <w:tcPr>
            <w:tcW w:w="0" w:type="auto"/>
            <w:tcBorders>
              <w:top w:val="single" w:sz="4" w:space="0" w:color="000000"/>
              <w:bottom w:val="single" w:sz="4" w:space="0" w:color="000000"/>
            </w:tcBorders>
            <w:vAlign w:val="center"/>
          </w:tcPr>
          <w:p w14:paraId="2F151567"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p</w:t>
            </w:r>
          </w:p>
        </w:tc>
        <w:tc>
          <w:tcPr>
            <w:tcW w:w="0" w:type="auto"/>
            <w:tcBorders>
              <w:top w:val="single" w:sz="4" w:space="0" w:color="000000"/>
              <w:bottom w:val="single" w:sz="4" w:space="0" w:color="000000"/>
            </w:tcBorders>
            <w:vAlign w:val="center"/>
          </w:tcPr>
          <w:p w14:paraId="56E2EAB5" w14:textId="77777777" w:rsidR="00447D64" w:rsidRPr="00E27686" w:rsidRDefault="00000000" w:rsidP="00A12221">
            <w:pP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R</w:t>
            </w:r>
            <w:r w:rsidRPr="00E27686">
              <w:rPr>
                <w:rFonts w:asciiTheme="minorHAnsi" w:eastAsia="Times New Roman" w:hAnsiTheme="minorHAnsi" w:cstheme="minorHAnsi"/>
                <w:b/>
                <w:sz w:val="24"/>
                <w:szCs w:val="24"/>
                <w:vertAlign w:val="superscript"/>
              </w:rPr>
              <w:t>2</w:t>
            </w:r>
          </w:p>
        </w:tc>
      </w:tr>
      <w:tr w:rsidR="00493D5D" w:rsidRPr="00E27686" w14:paraId="006146B0" w14:textId="77777777" w:rsidTr="00E718C9">
        <w:trPr>
          <w:trHeight w:val="240"/>
          <w:jc w:val="center"/>
        </w:trPr>
        <w:tc>
          <w:tcPr>
            <w:tcW w:w="0" w:type="auto"/>
            <w:vMerge w:val="restart"/>
            <w:tcBorders>
              <w:top w:val="single" w:sz="4" w:space="0" w:color="000000"/>
              <w:bottom w:val="single" w:sz="4" w:space="0" w:color="000000"/>
            </w:tcBorders>
            <w:vAlign w:val="center"/>
          </w:tcPr>
          <w:p w14:paraId="3BD5B00A" w14:textId="77777777" w:rsidR="00447D64" w:rsidRPr="00E27686" w:rsidRDefault="00000000"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sz w:val="24"/>
                <w:szCs w:val="24"/>
              </w:rPr>
              <w:t>Estrategias de afrontamiento</w:t>
            </w:r>
          </w:p>
        </w:tc>
        <w:tc>
          <w:tcPr>
            <w:tcW w:w="0" w:type="auto"/>
            <w:tcBorders>
              <w:top w:val="single" w:sz="4" w:space="0" w:color="000000"/>
              <w:bottom w:val="single" w:sz="4" w:space="0" w:color="000000"/>
            </w:tcBorders>
            <w:vAlign w:val="center"/>
          </w:tcPr>
          <w:p w14:paraId="0FCF401C" w14:textId="77777777" w:rsidR="00447D64" w:rsidRPr="00E27686" w:rsidRDefault="00447D64" w:rsidP="00A12221">
            <w:pPr>
              <w:spacing w:line="360" w:lineRule="auto"/>
              <w:rPr>
                <w:rFonts w:asciiTheme="minorHAnsi" w:eastAsia="Times New Roman" w:hAnsiTheme="minorHAnsi" w:cstheme="minorHAnsi"/>
                <w:i/>
                <w:sz w:val="24"/>
                <w:szCs w:val="24"/>
              </w:rPr>
            </w:pPr>
          </w:p>
        </w:tc>
        <w:tc>
          <w:tcPr>
            <w:tcW w:w="0" w:type="auto"/>
            <w:tcBorders>
              <w:top w:val="single" w:sz="4" w:space="0" w:color="000000"/>
              <w:bottom w:val="single" w:sz="4" w:space="0" w:color="000000"/>
            </w:tcBorders>
            <w:vAlign w:val="center"/>
          </w:tcPr>
          <w:p w14:paraId="1CDB28CC"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1EB8DD8C"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3518099E"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7635D05B"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09872AB9"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217EB1D5"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1478FBD1" w14:textId="77777777" w:rsidR="00447D64" w:rsidRPr="00E27686" w:rsidRDefault="00447D64" w:rsidP="00A12221">
            <w:pPr>
              <w:spacing w:line="360" w:lineRule="auto"/>
              <w:rPr>
                <w:rFonts w:asciiTheme="minorHAnsi" w:eastAsia="Times New Roman" w:hAnsiTheme="minorHAnsi" w:cstheme="minorHAnsi"/>
                <w:sz w:val="24"/>
                <w:szCs w:val="24"/>
              </w:rPr>
            </w:pPr>
          </w:p>
        </w:tc>
      </w:tr>
      <w:tr w:rsidR="00493D5D" w:rsidRPr="00E27686" w14:paraId="788057B8" w14:textId="77777777" w:rsidTr="00E718C9">
        <w:trPr>
          <w:trHeight w:val="523"/>
          <w:jc w:val="center"/>
        </w:trPr>
        <w:tc>
          <w:tcPr>
            <w:tcW w:w="0" w:type="auto"/>
            <w:vMerge/>
            <w:tcBorders>
              <w:top w:val="single" w:sz="4" w:space="0" w:color="000000"/>
              <w:bottom w:val="single" w:sz="4" w:space="0" w:color="000000"/>
            </w:tcBorders>
            <w:vAlign w:val="center"/>
          </w:tcPr>
          <w:p w14:paraId="2EE18589" w14:textId="77777777" w:rsidR="00447D64" w:rsidRPr="00E27686" w:rsidRDefault="00447D64" w:rsidP="00A12221">
            <w:pPr>
              <w:widowControl w:val="0"/>
              <w:pBdr>
                <w:top w:val="nil"/>
                <w:left w:val="nil"/>
                <w:bottom w:val="nil"/>
                <w:right w:val="nil"/>
                <w:between w:val="nil"/>
              </w:pBdr>
              <w:spacing w:line="360" w:lineRule="auto"/>
              <w:rPr>
                <w:rFonts w:asciiTheme="minorHAnsi" w:eastAsia="Times New Roman" w:hAnsiTheme="minorHAnsi" w:cstheme="minorHAnsi"/>
                <w:sz w:val="24"/>
                <w:szCs w:val="24"/>
              </w:rPr>
            </w:pPr>
          </w:p>
        </w:tc>
        <w:tc>
          <w:tcPr>
            <w:tcW w:w="0" w:type="auto"/>
            <w:tcBorders>
              <w:top w:val="single" w:sz="4" w:space="0" w:color="000000"/>
              <w:bottom w:val="single" w:sz="4" w:space="0" w:color="000000"/>
            </w:tcBorders>
            <w:vAlign w:val="center"/>
          </w:tcPr>
          <w:p w14:paraId="1CCCAA12" w14:textId="77777777" w:rsidR="00447D64" w:rsidRPr="00E27686" w:rsidRDefault="00000000" w:rsidP="00A12221">
            <w:pP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Variables predictoras</w:t>
            </w:r>
          </w:p>
        </w:tc>
        <w:tc>
          <w:tcPr>
            <w:tcW w:w="0" w:type="auto"/>
            <w:tcBorders>
              <w:top w:val="single" w:sz="4" w:space="0" w:color="000000"/>
            </w:tcBorders>
            <w:vAlign w:val="center"/>
          </w:tcPr>
          <w:p w14:paraId="72A53978"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tcBorders>
            <w:vAlign w:val="center"/>
          </w:tcPr>
          <w:p w14:paraId="479AB4FE"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tcBorders>
            <w:vAlign w:val="center"/>
          </w:tcPr>
          <w:p w14:paraId="151E4C9E"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tcBorders>
            <w:vAlign w:val="center"/>
          </w:tcPr>
          <w:p w14:paraId="466E02CB"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tcBorders>
            <w:vAlign w:val="center"/>
          </w:tcPr>
          <w:p w14:paraId="056E04D6"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tcBorders>
            <w:vAlign w:val="center"/>
          </w:tcPr>
          <w:p w14:paraId="68BC261C" w14:textId="77777777" w:rsidR="00447D64" w:rsidRPr="00E27686" w:rsidRDefault="00447D64" w:rsidP="00A12221">
            <w:pPr>
              <w:spacing w:line="360" w:lineRule="auto"/>
              <w:rPr>
                <w:rFonts w:asciiTheme="minorHAnsi" w:eastAsia="Times New Roman" w:hAnsiTheme="minorHAnsi" w:cstheme="minorHAnsi"/>
                <w:sz w:val="24"/>
                <w:szCs w:val="24"/>
              </w:rPr>
            </w:pPr>
          </w:p>
        </w:tc>
        <w:tc>
          <w:tcPr>
            <w:tcW w:w="0" w:type="auto"/>
            <w:tcBorders>
              <w:top w:val="single" w:sz="4" w:space="0" w:color="000000"/>
            </w:tcBorders>
            <w:vAlign w:val="center"/>
          </w:tcPr>
          <w:p w14:paraId="150EEBFF" w14:textId="77777777" w:rsidR="00447D64" w:rsidRPr="00E27686" w:rsidRDefault="00447D64" w:rsidP="00A12221">
            <w:pPr>
              <w:spacing w:line="360" w:lineRule="auto"/>
              <w:rPr>
                <w:rFonts w:asciiTheme="minorHAnsi" w:eastAsia="Times New Roman" w:hAnsiTheme="minorHAnsi" w:cstheme="minorHAnsi"/>
                <w:sz w:val="24"/>
                <w:szCs w:val="24"/>
              </w:rPr>
            </w:pPr>
          </w:p>
        </w:tc>
      </w:tr>
      <w:tr w:rsidR="00493D5D" w:rsidRPr="00E27686" w14:paraId="726944A6" w14:textId="77777777" w:rsidTr="00E718C9">
        <w:trPr>
          <w:trHeight w:val="918"/>
          <w:jc w:val="center"/>
        </w:trPr>
        <w:tc>
          <w:tcPr>
            <w:tcW w:w="0" w:type="auto"/>
            <w:tcBorders>
              <w:top w:val="single" w:sz="4" w:space="0" w:color="000000"/>
            </w:tcBorders>
            <w:vAlign w:val="center"/>
          </w:tcPr>
          <w:p w14:paraId="6EB235FC" w14:textId="77777777" w:rsidR="00447D64" w:rsidRPr="00E27686" w:rsidRDefault="00000000"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Centrada en la pérdida</w:t>
            </w:r>
          </w:p>
        </w:tc>
        <w:tc>
          <w:tcPr>
            <w:tcW w:w="0" w:type="auto"/>
            <w:tcBorders>
              <w:top w:val="single" w:sz="4" w:space="0" w:color="000000"/>
            </w:tcBorders>
            <w:vAlign w:val="center"/>
          </w:tcPr>
          <w:p w14:paraId="45CE0666" w14:textId="77777777" w:rsidR="00447D64" w:rsidRPr="00E27686" w:rsidRDefault="00000000" w:rsidP="00A12221">
            <w:pP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Evitación en la relación</w:t>
            </w:r>
          </w:p>
        </w:tc>
        <w:tc>
          <w:tcPr>
            <w:tcW w:w="0" w:type="auto"/>
            <w:tcBorders>
              <w:top w:val="single" w:sz="4" w:space="0" w:color="000000"/>
            </w:tcBorders>
            <w:vAlign w:val="center"/>
          </w:tcPr>
          <w:p w14:paraId="0BD848A8"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4.19</w:t>
            </w:r>
          </w:p>
        </w:tc>
        <w:tc>
          <w:tcPr>
            <w:tcW w:w="0" w:type="auto"/>
            <w:tcBorders>
              <w:top w:val="single" w:sz="4" w:space="0" w:color="000000"/>
            </w:tcBorders>
            <w:vAlign w:val="center"/>
          </w:tcPr>
          <w:p w14:paraId="03680118"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1.83</w:t>
            </w:r>
          </w:p>
        </w:tc>
        <w:tc>
          <w:tcPr>
            <w:tcW w:w="0" w:type="auto"/>
            <w:tcBorders>
              <w:top w:val="single" w:sz="4" w:space="0" w:color="000000"/>
            </w:tcBorders>
            <w:vAlign w:val="center"/>
          </w:tcPr>
          <w:p w14:paraId="47FEA1B4"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.25</w:t>
            </w:r>
          </w:p>
        </w:tc>
        <w:tc>
          <w:tcPr>
            <w:tcW w:w="0" w:type="auto"/>
            <w:tcBorders>
              <w:top w:val="single" w:sz="4" w:space="0" w:color="000000"/>
            </w:tcBorders>
            <w:vAlign w:val="center"/>
          </w:tcPr>
          <w:p w14:paraId="0E8E41C6"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0.55/7.84</w:t>
            </w:r>
          </w:p>
        </w:tc>
        <w:tc>
          <w:tcPr>
            <w:tcW w:w="0" w:type="auto"/>
            <w:tcBorders>
              <w:top w:val="single" w:sz="4" w:space="0" w:color="000000"/>
            </w:tcBorders>
            <w:vAlign w:val="center"/>
          </w:tcPr>
          <w:p w14:paraId="027DF212"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2.29</w:t>
            </w:r>
          </w:p>
        </w:tc>
        <w:tc>
          <w:tcPr>
            <w:tcW w:w="0" w:type="auto"/>
            <w:tcBorders>
              <w:top w:val="single" w:sz="4" w:space="0" w:color="000000"/>
            </w:tcBorders>
            <w:vAlign w:val="center"/>
          </w:tcPr>
          <w:p w14:paraId="34BC454D"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.025</w:t>
            </w:r>
          </w:p>
        </w:tc>
        <w:tc>
          <w:tcPr>
            <w:tcW w:w="0" w:type="auto"/>
            <w:tcBorders>
              <w:top w:val="single" w:sz="4" w:space="0" w:color="000000"/>
            </w:tcBorders>
            <w:vAlign w:val="center"/>
          </w:tcPr>
          <w:p w14:paraId="35BB6D9F"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.06</w:t>
            </w:r>
          </w:p>
        </w:tc>
      </w:tr>
      <w:tr w:rsidR="00493D5D" w:rsidRPr="00E27686" w14:paraId="3E0E63D7" w14:textId="77777777" w:rsidTr="00E718C9">
        <w:trPr>
          <w:trHeight w:val="429"/>
          <w:jc w:val="center"/>
        </w:trPr>
        <w:tc>
          <w:tcPr>
            <w:tcW w:w="0" w:type="auto"/>
            <w:tcBorders>
              <w:bottom w:val="single" w:sz="4" w:space="0" w:color="000000"/>
            </w:tcBorders>
            <w:vAlign w:val="center"/>
          </w:tcPr>
          <w:p w14:paraId="4B7B96FB" w14:textId="77777777" w:rsidR="00447D64" w:rsidRPr="00E27686" w:rsidRDefault="00000000"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Centrada en la restauración</w:t>
            </w:r>
          </w:p>
        </w:tc>
        <w:tc>
          <w:tcPr>
            <w:tcW w:w="0" w:type="auto"/>
            <w:tcBorders>
              <w:bottom w:val="single" w:sz="4" w:space="0" w:color="000000"/>
            </w:tcBorders>
            <w:vAlign w:val="center"/>
          </w:tcPr>
          <w:p w14:paraId="5F5BECA1" w14:textId="77777777" w:rsidR="00447D64" w:rsidRPr="00E27686" w:rsidRDefault="00000000" w:rsidP="00A12221">
            <w:pP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Estrategia de Resolución de Conflictos de Conformidad</w:t>
            </w:r>
          </w:p>
        </w:tc>
        <w:tc>
          <w:tcPr>
            <w:tcW w:w="0" w:type="auto"/>
            <w:tcBorders>
              <w:bottom w:val="single" w:sz="4" w:space="0" w:color="000000"/>
            </w:tcBorders>
            <w:vAlign w:val="center"/>
          </w:tcPr>
          <w:p w14:paraId="6491C756"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-3.41</w:t>
            </w:r>
          </w:p>
        </w:tc>
        <w:tc>
          <w:tcPr>
            <w:tcW w:w="0" w:type="auto"/>
            <w:tcBorders>
              <w:bottom w:val="single" w:sz="4" w:space="0" w:color="000000"/>
            </w:tcBorders>
            <w:vAlign w:val="center"/>
          </w:tcPr>
          <w:p w14:paraId="479908D5"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1.29</w:t>
            </w:r>
          </w:p>
        </w:tc>
        <w:tc>
          <w:tcPr>
            <w:tcW w:w="0" w:type="auto"/>
            <w:tcBorders>
              <w:bottom w:val="single" w:sz="4" w:space="0" w:color="000000"/>
            </w:tcBorders>
            <w:vAlign w:val="center"/>
          </w:tcPr>
          <w:p w14:paraId="54F49E02"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-.29</w:t>
            </w:r>
          </w:p>
        </w:tc>
        <w:tc>
          <w:tcPr>
            <w:tcW w:w="0" w:type="auto"/>
            <w:tcBorders>
              <w:bottom w:val="single" w:sz="4" w:space="0" w:color="000000"/>
            </w:tcBorders>
            <w:vAlign w:val="center"/>
          </w:tcPr>
          <w:p w14:paraId="475E8945"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-5.98/-0.84</w:t>
            </w:r>
          </w:p>
        </w:tc>
        <w:tc>
          <w:tcPr>
            <w:tcW w:w="0" w:type="auto"/>
            <w:tcBorders>
              <w:bottom w:val="single" w:sz="4" w:space="0" w:color="000000"/>
            </w:tcBorders>
            <w:vAlign w:val="center"/>
          </w:tcPr>
          <w:p w14:paraId="10C4EE0B"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-2.64</w:t>
            </w:r>
          </w:p>
        </w:tc>
        <w:tc>
          <w:tcPr>
            <w:tcW w:w="0" w:type="auto"/>
            <w:tcBorders>
              <w:bottom w:val="single" w:sz="4" w:space="0" w:color="000000"/>
            </w:tcBorders>
            <w:vAlign w:val="center"/>
          </w:tcPr>
          <w:p w14:paraId="6DECC488"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.01</w:t>
            </w:r>
          </w:p>
        </w:tc>
        <w:tc>
          <w:tcPr>
            <w:tcW w:w="0" w:type="auto"/>
            <w:tcBorders>
              <w:bottom w:val="single" w:sz="4" w:space="0" w:color="000000"/>
            </w:tcBorders>
            <w:vAlign w:val="center"/>
          </w:tcPr>
          <w:p w14:paraId="2F3C7983" w14:textId="77777777" w:rsidR="00447D64" w:rsidRPr="00E27686" w:rsidRDefault="00000000" w:rsidP="00A12221">
            <w:pP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w:t>
            </w:r>
          </w:p>
        </w:tc>
      </w:tr>
    </w:tbl>
    <w:p w14:paraId="4919135C" w14:textId="77777777" w:rsidR="00447D64" w:rsidRPr="00E27686" w:rsidRDefault="00447D64" w:rsidP="00A12221">
      <w:pPr>
        <w:spacing w:line="360" w:lineRule="auto"/>
        <w:ind w:firstLine="720"/>
        <w:rPr>
          <w:rFonts w:asciiTheme="minorHAnsi" w:eastAsia="Arial" w:hAnsiTheme="minorHAnsi" w:cstheme="minorHAnsi"/>
          <w:sz w:val="24"/>
          <w:szCs w:val="24"/>
        </w:rPr>
      </w:pPr>
    </w:p>
    <w:p w14:paraId="62088B9C" w14:textId="62F7DA9C"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Los resultados sugieren que el uso de estrategias de afrontamiento enfocadas en la pérdida estaría relacionado con la evitación en el apego. Un mayor nivel de evitación está relacionado con un mayor empleo de estrategias dirigidas a la pérdida. Por otro lado, el uso de estrategias de afrontamiento orientadas a la restauración estaría influenciado por </w:t>
      </w:r>
      <w:r w:rsidR="00C73D7B" w:rsidRPr="00E27686">
        <w:rPr>
          <w:rFonts w:asciiTheme="minorHAnsi" w:eastAsia="Times New Roman" w:hAnsiTheme="minorHAnsi" w:cstheme="minorHAnsi"/>
          <w:sz w:val="24"/>
          <w:szCs w:val="24"/>
        </w:rPr>
        <w:t>el empleo</w:t>
      </w:r>
      <w:r w:rsidRPr="00E27686">
        <w:rPr>
          <w:rFonts w:asciiTheme="minorHAnsi" w:eastAsia="Times New Roman" w:hAnsiTheme="minorHAnsi" w:cstheme="minorHAnsi"/>
          <w:sz w:val="24"/>
          <w:szCs w:val="24"/>
        </w:rPr>
        <w:t xml:space="preserve"> de la estrategia de resolución de conflictos basada en la conformidad. Un mayor uso de la conformidad para abordar conflictos se asocia con un menor uso de estrategias centradas en la restauración después de la ruptura.</w:t>
      </w:r>
    </w:p>
    <w:p w14:paraId="6D40D758" w14:textId="77777777" w:rsidR="00447D64" w:rsidRPr="00E27686" w:rsidRDefault="00000000" w:rsidP="00A12221">
      <w:pPr>
        <w:spacing w:line="360" w:lineRule="auto"/>
        <w:ind w:firstLine="720"/>
        <w:rPr>
          <w:rFonts w:asciiTheme="minorHAnsi" w:eastAsia="Times New Roman" w:hAnsiTheme="minorHAnsi" w:cstheme="minorHAnsi"/>
          <w:b/>
          <w:sz w:val="24"/>
          <w:szCs w:val="24"/>
        </w:rPr>
      </w:pPr>
      <w:r w:rsidRPr="00E27686">
        <w:rPr>
          <w:rFonts w:asciiTheme="minorHAnsi" w:eastAsia="Times New Roman" w:hAnsiTheme="minorHAnsi" w:cstheme="minorHAnsi"/>
          <w:sz w:val="24"/>
          <w:szCs w:val="24"/>
        </w:rPr>
        <w:t>Para verificar si las variables relacionales previas a la ruptura estaban asociadas con el uso de diferentes estrategias de ruptura, calculamos las correlaciones de Pearson entre ambas (Ver Tabla 4).</w:t>
      </w:r>
      <w:r w:rsidRPr="00E27686">
        <w:rPr>
          <w:rFonts w:asciiTheme="minorHAnsi" w:eastAsia="Times New Roman" w:hAnsiTheme="minorHAnsi" w:cstheme="minorHAnsi"/>
          <w:b/>
          <w:sz w:val="24"/>
          <w:szCs w:val="24"/>
        </w:rPr>
        <w:t xml:space="preserve"> </w:t>
      </w:r>
    </w:p>
    <w:tbl>
      <w:tblPr>
        <w:tblStyle w:val="af"/>
        <w:tblpPr w:leftFromText="141" w:rightFromText="141" w:vertAnchor="page" w:horzAnchor="margin" w:tblpY="1171"/>
        <w:tblW w:w="0" w:type="auto"/>
        <w:tblInd w:w="0" w:type="dxa"/>
        <w:tblLook w:val="0000" w:firstRow="0" w:lastRow="0" w:firstColumn="0" w:lastColumn="0" w:noHBand="0" w:noVBand="0"/>
      </w:tblPr>
      <w:tblGrid>
        <w:gridCol w:w="1718"/>
        <w:gridCol w:w="940"/>
        <w:gridCol w:w="952"/>
        <w:gridCol w:w="1356"/>
        <w:gridCol w:w="1083"/>
        <w:gridCol w:w="890"/>
        <w:gridCol w:w="1261"/>
        <w:gridCol w:w="870"/>
      </w:tblGrid>
      <w:tr w:rsidR="00E27686" w:rsidRPr="00E27686" w14:paraId="47614B3A" w14:textId="77777777" w:rsidTr="00E27686">
        <w:trPr>
          <w:cantSplit/>
          <w:trHeight w:val="710"/>
        </w:trPr>
        <w:tc>
          <w:tcPr>
            <w:tcW w:w="0" w:type="auto"/>
            <w:gridSpan w:val="8"/>
            <w:tcBorders>
              <w:bottom w:val="single" w:sz="4" w:space="0" w:color="000000"/>
            </w:tcBorders>
            <w:shd w:val="clear" w:color="auto" w:fill="FFFFFF"/>
          </w:tcPr>
          <w:p w14:paraId="4023BF19" w14:textId="77777777" w:rsidR="00E27686" w:rsidRPr="00E27686" w:rsidRDefault="00E27686" w:rsidP="00E27686">
            <w:pPr>
              <w:pBdr>
                <w:top w:val="nil"/>
                <w:left w:val="nil"/>
                <w:bottom w:val="nil"/>
                <w:right w:val="nil"/>
                <w:between w:val="nil"/>
              </w:pBdr>
              <w:spacing w:line="360" w:lineRule="auto"/>
              <w:rPr>
                <w:rFonts w:asciiTheme="minorHAnsi" w:eastAsia="Times New Roman" w:hAnsiTheme="minorHAnsi" w:cstheme="minorHAnsi"/>
                <w:b/>
                <w:sz w:val="24"/>
                <w:szCs w:val="24"/>
              </w:rPr>
            </w:pPr>
            <w:bookmarkStart w:id="2" w:name="_heading=h.2et92p0" w:colFirst="0" w:colLast="0"/>
            <w:bookmarkEnd w:id="2"/>
            <w:r w:rsidRPr="00E27686">
              <w:rPr>
                <w:rFonts w:asciiTheme="minorHAnsi" w:eastAsia="Times New Roman" w:hAnsiTheme="minorHAnsi" w:cstheme="minorHAnsi"/>
                <w:b/>
                <w:sz w:val="24"/>
                <w:szCs w:val="24"/>
              </w:rPr>
              <w:lastRenderedPageBreak/>
              <w:t>Tabla 4</w:t>
            </w:r>
          </w:p>
          <w:p w14:paraId="3666F195" w14:textId="77777777" w:rsidR="00E27686" w:rsidRPr="00E27686" w:rsidRDefault="00E27686" w:rsidP="00E27686">
            <w:pPr>
              <w:pBdr>
                <w:top w:val="nil"/>
                <w:left w:val="nil"/>
                <w:bottom w:val="nil"/>
                <w:right w:val="nil"/>
                <w:between w:val="nil"/>
              </w:pBdr>
              <w:spacing w:line="360" w:lineRule="auto"/>
              <w:rPr>
                <w:rFonts w:asciiTheme="minorHAnsi" w:eastAsia="Times New Roman" w:hAnsiTheme="minorHAnsi" w:cstheme="minorHAnsi"/>
                <w:b/>
                <w:sz w:val="24"/>
                <w:szCs w:val="24"/>
              </w:rPr>
            </w:pPr>
          </w:p>
          <w:p w14:paraId="264EB041" w14:textId="77777777" w:rsidR="00E27686" w:rsidRPr="00E27686" w:rsidRDefault="00E27686" w:rsidP="00E27686">
            <w:pPr>
              <w:pBdr>
                <w:top w:val="nil"/>
                <w:left w:val="nil"/>
                <w:bottom w:val="nil"/>
                <w:right w:val="nil"/>
                <w:between w:val="nil"/>
              </w:pBd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Correlaciones de Pearson entre las variables relacionadas con la situación previa a la ruptura y las estrategias de ruptura</w:t>
            </w:r>
          </w:p>
          <w:p w14:paraId="33CC8043" w14:textId="77777777" w:rsidR="00E27686" w:rsidRPr="00E27686" w:rsidRDefault="00E27686" w:rsidP="00E27686">
            <w:pPr>
              <w:pBdr>
                <w:top w:val="nil"/>
                <w:left w:val="nil"/>
                <w:bottom w:val="nil"/>
                <w:right w:val="nil"/>
                <w:between w:val="nil"/>
              </w:pBdr>
              <w:spacing w:line="360" w:lineRule="auto"/>
              <w:rPr>
                <w:rFonts w:asciiTheme="minorHAnsi" w:hAnsiTheme="minorHAnsi" w:cstheme="minorHAnsi"/>
                <w:i/>
                <w:sz w:val="24"/>
                <w:szCs w:val="24"/>
              </w:rPr>
            </w:pPr>
          </w:p>
        </w:tc>
      </w:tr>
      <w:tr w:rsidR="00E27686" w:rsidRPr="00E27686" w14:paraId="40FDCCFA" w14:textId="77777777" w:rsidTr="00E27686">
        <w:trPr>
          <w:cantSplit/>
          <w:trHeight w:val="203"/>
        </w:trPr>
        <w:tc>
          <w:tcPr>
            <w:tcW w:w="0" w:type="auto"/>
            <w:vMerge w:val="restart"/>
            <w:tcBorders>
              <w:top w:val="single" w:sz="4" w:space="0" w:color="000000"/>
              <w:bottom w:val="single" w:sz="4" w:space="0" w:color="000000"/>
            </w:tcBorders>
            <w:shd w:val="clear" w:color="auto" w:fill="FFFFFF"/>
            <w:vAlign w:val="bottom"/>
          </w:tcPr>
          <w:p w14:paraId="7A8FD572" w14:textId="77777777" w:rsidR="00E27686" w:rsidRPr="00E27686" w:rsidRDefault="00E27686" w:rsidP="00E27686">
            <w:pPr>
              <w:pBdr>
                <w:top w:val="nil"/>
                <w:left w:val="nil"/>
                <w:bottom w:val="nil"/>
                <w:right w:val="nil"/>
                <w:between w:val="nil"/>
              </w:pBdr>
              <w:spacing w:line="360" w:lineRule="auto"/>
              <w:rPr>
                <w:rFonts w:asciiTheme="minorHAnsi" w:eastAsia="Times New Roman" w:hAnsiTheme="minorHAnsi" w:cstheme="minorHAnsi"/>
                <w:b/>
                <w:sz w:val="24"/>
                <w:szCs w:val="24"/>
              </w:rPr>
            </w:pPr>
          </w:p>
        </w:tc>
        <w:tc>
          <w:tcPr>
            <w:tcW w:w="0" w:type="auto"/>
            <w:gridSpan w:val="7"/>
            <w:tcBorders>
              <w:top w:val="single" w:sz="4" w:space="0" w:color="000000"/>
              <w:left w:val="nil"/>
              <w:bottom w:val="single" w:sz="4" w:space="0" w:color="000000"/>
            </w:tcBorders>
            <w:shd w:val="clear" w:color="auto" w:fill="FFFFFF"/>
            <w:vAlign w:val="center"/>
          </w:tcPr>
          <w:p w14:paraId="7AFC6D6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Variables relacionadas con la situación previa a la ruptura de pareja</w:t>
            </w:r>
          </w:p>
        </w:tc>
      </w:tr>
      <w:tr w:rsidR="00E27686" w:rsidRPr="00E27686" w14:paraId="704704CF" w14:textId="77777777" w:rsidTr="00E27686">
        <w:trPr>
          <w:cantSplit/>
          <w:trHeight w:val="531"/>
        </w:trPr>
        <w:tc>
          <w:tcPr>
            <w:tcW w:w="0" w:type="auto"/>
            <w:vMerge/>
            <w:tcBorders>
              <w:top w:val="single" w:sz="4" w:space="0" w:color="000000"/>
              <w:bottom w:val="single" w:sz="4" w:space="0" w:color="000000"/>
            </w:tcBorders>
            <w:shd w:val="clear" w:color="auto" w:fill="FFFFFF"/>
            <w:vAlign w:val="bottom"/>
          </w:tcPr>
          <w:p w14:paraId="63AD7473" w14:textId="77777777" w:rsidR="00E27686" w:rsidRPr="00E27686" w:rsidRDefault="00E27686" w:rsidP="00E27686">
            <w:pPr>
              <w:widowControl w:val="0"/>
              <w:pBdr>
                <w:top w:val="nil"/>
                <w:left w:val="nil"/>
                <w:bottom w:val="nil"/>
                <w:right w:val="nil"/>
                <w:between w:val="nil"/>
              </w:pBdr>
              <w:spacing w:line="360" w:lineRule="auto"/>
              <w:rPr>
                <w:rFonts w:asciiTheme="minorHAnsi" w:eastAsia="Times New Roman" w:hAnsiTheme="minorHAnsi" w:cstheme="minorHAnsi"/>
                <w:b/>
                <w:sz w:val="24"/>
                <w:szCs w:val="24"/>
              </w:rPr>
            </w:pPr>
          </w:p>
        </w:tc>
        <w:tc>
          <w:tcPr>
            <w:tcW w:w="0" w:type="auto"/>
            <w:gridSpan w:val="2"/>
            <w:tcBorders>
              <w:top w:val="single" w:sz="4" w:space="0" w:color="000000"/>
              <w:left w:val="nil"/>
            </w:tcBorders>
            <w:shd w:val="clear" w:color="auto" w:fill="FFFFFF"/>
            <w:vAlign w:val="center"/>
          </w:tcPr>
          <w:p w14:paraId="1059539F"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Dimensiones</w:t>
            </w:r>
          </w:p>
          <w:p w14:paraId="4DE9A732"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del apego</w:t>
            </w:r>
          </w:p>
        </w:tc>
        <w:tc>
          <w:tcPr>
            <w:tcW w:w="0" w:type="auto"/>
            <w:gridSpan w:val="4"/>
            <w:tcBorders>
              <w:top w:val="single" w:sz="4" w:space="0" w:color="000000"/>
            </w:tcBorders>
            <w:shd w:val="clear" w:color="auto" w:fill="FFFFFF"/>
            <w:vAlign w:val="center"/>
          </w:tcPr>
          <w:p w14:paraId="17BFF7FE"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Estrategias de resolución de conflictos</w:t>
            </w:r>
          </w:p>
        </w:tc>
        <w:tc>
          <w:tcPr>
            <w:tcW w:w="0" w:type="auto"/>
            <w:vMerge w:val="restart"/>
            <w:tcBorders>
              <w:top w:val="single" w:sz="4" w:space="0" w:color="000000"/>
              <w:bottom w:val="single" w:sz="4" w:space="0" w:color="000000"/>
            </w:tcBorders>
            <w:shd w:val="clear" w:color="auto" w:fill="FFFFFF"/>
          </w:tcPr>
          <w:p w14:paraId="3A99820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b/>
                <w:sz w:val="24"/>
                <w:szCs w:val="24"/>
              </w:rPr>
            </w:pPr>
          </w:p>
          <w:p w14:paraId="2E1ED7B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Calidad de la relación</w:t>
            </w:r>
          </w:p>
        </w:tc>
      </w:tr>
      <w:tr w:rsidR="00E27686" w:rsidRPr="00E27686" w14:paraId="56D01F37" w14:textId="77777777" w:rsidTr="00E27686">
        <w:trPr>
          <w:cantSplit/>
          <w:trHeight w:val="327"/>
        </w:trPr>
        <w:tc>
          <w:tcPr>
            <w:tcW w:w="0" w:type="auto"/>
            <w:vMerge/>
            <w:tcBorders>
              <w:top w:val="single" w:sz="4" w:space="0" w:color="000000"/>
              <w:bottom w:val="single" w:sz="4" w:space="0" w:color="000000"/>
            </w:tcBorders>
            <w:shd w:val="clear" w:color="auto" w:fill="FFFFFF"/>
            <w:vAlign w:val="bottom"/>
          </w:tcPr>
          <w:p w14:paraId="6F907E45" w14:textId="77777777" w:rsidR="00E27686" w:rsidRPr="00E27686" w:rsidRDefault="00E27686" w:rsidP="00E27686">
            <w:pPr>
              <w:widowControl w:val="0"/>
              <w:pBdr>
                <w:top w:val="nil"/>
                <w:left w:val="nil"/>
                <w:bottom w:val="nil"/>
                <w:right w:val="nil"/>
                <w:between w:val="nil"/>
              </w:pBdr>
              <w:spacing w:line="360" w:lineRule="auto"/>
              <w:rPr>
                <w:rFonts w:asciiTheme="minorHAnsi" w:eastAsia="Times New Roman" w:hAnsiTheme="minorHAnsi" w:cstheme="minorHAnsi"/>
                <w:b/>
                <w:sz w:val="24"/>
                <w:szCs w:val="24"/>
              </w:rPr>
            </w:pPr>
          </w:p>
        </w:tc>
        <w:tc>
          <w:tcPr>
            <w:tcW w:w="0" w:type="auto"/>
            <w:tcBorders>
              <w:left w:val="nil"/>
              <w:bottom w:val="single" w:sz="4" w:space="0" w:color="000000"/>
            </w:tcBorders>
            <w:shd w:val="clear" w:color="auto" w:fill="FFFFFF"/>
            <w:vAlign w:val="center"/>
          </w:tcPr>
          <w:p w14:paraId="15490DB0"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Evitación</w:t>
            </w:r>
          </w:p>
        </w:tc>
        <w:tc>
          <w:tcPr>
            <w:tcW w:w="0" w:type="auto"/>
            <w:tcBorders>
              <w:left w:val="nil"/>
              <w:bottom w:val="single" w:sz="4" w:space="0" w:color="000000"/>
            </w:tcBorders>
            <w:shd w:val="clear" w:color="auto" w:fill="FFFFFF"/>
            <w:vAlign w:val="center"/>
          </w:tcPr>
          <w:p w14:paraId="2E9ECCB7"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Ansiedad</w:t>
            </w:r>
          </w:p>
        </w:tc>
        <w:tc>
          <w:tcPr>
            <w:tcW w:w="0" w:type="auto"/>
            <w:tcBorders>
              <w:bottom w:val="single" w:sz="4" w:space="0" w:color="000000"/>
            </w:tcBorders>
            <w:shd w:val="clear" w:color="auto" w:fill="FFFFFF"/>
            <w:vAlign w:val="center"/>
          </w:tcPr>
          <w:p w14:paraId="1D204FAA"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Confrontación</w:t>
            </w:r>
          </w:p>
        </w:tc>
        <w:tc>
          <w:tcPr>
            <w:tcW w:w="0" w:type="auto"/>
            <w:tcBorders>
              <w:left w:val="nil"/>
              <w:bottom w:val="single" w:sz="4" w:space="0" w:color="000000"/>
            </w:tcBorders>
            <w:shd w:val="clear" w:color="auto" w:fill="FFFFFF"/>
            <w:vAlign w:val="center"/>
          </w:tcPr>
          <w:p w14:paraId="7B9CF5A9"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Resolución Positiva</w:t>
            </w:r>
          </w:p>
        </w:tc>
        <w:tc>
          <w:tcPr>
            <w:tcW w:w="0" w:type="auto"/>
            <w:tcBorders>
              <w:left w:val="nil"/>
              <w:bottom w:val="single" w:sz="4" w:space="0" w:color="000000"/>
            </w:tcBorders>
            <w:shd w:val="clear" w:color="auto" w:fill="FFFFFF"/>
            <w:vAlign w:val="center"/>
          </w:tcPr>
          <w:p w14:paraId="4F894A7B"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Retirada</w:t>
            </w:r>
          </w:p>
        </w:tc>
        <w:tc>
          <w:tcPr>
            <w:tcW w:w="0" w:type="auto"/>
            <w:tcBorders>
              <w:left w:val="nil"/>
              <w:bottom w:val="single" w:sz="4" w:space="0" w:color="000000"/>
            </w:tcBorders>
            <w:shd w:val="clear" w:color="auto" w:fill="FFFFFF"/>
            <w:vAlign w:val="center"/>
          </w:tcPr>
          <w:p w14:paraId="60FB34B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Conformidad</w:t>
            </w:r>
          </w:p>
        </w:tc>
        <w:tc>
          <w:tcPr>
            <w:tcW w:w="0" w:type="auto"/>
            <w:vMerge/>
            <w:tcBorders>
              <w:top w:val="single" w:sz="4" w:space="0" w:color="000000"/>
              <w:bottom w:val="single" w:sz="4" w:space="0" w:color="000000"/>
            </w:tcBorders>
            <w:shd w:val="clear" w:color="auto" w:fill="FFFFFF"/>
          </w:tcPr>
          <w:p w14:paraId="202216C4" w14:textId="77777777" w:rsidR="00E27686" w:rsidRPr="00E27686" w:rsidRDefault="00E27686" w:rsidP="00E27686">
            <w:pPr>
              <w:widowControl w:val="0"/>
              <w:pBdr>
                <w:top w:val="nil"/>
                <w:left w:val="nil"/>
                <w:bottom w:val="nil"/>
                <w:right w:val="nil"/>
                <w:between w:val="nil"/>
              </w:pBdr>
              <w:spacing w:line="360" w:lineRule="auto"/>
              <w:rPr>
                <w:rFonts w:asciiTheme="minorHAnsi" w:eastAsia="Times New Roman" w:hAnsiTheme="minorHAnsi" w:cstheme="minorHAnsi"/>
                <w:sz w:val="24"/>
                <w:szCs w:val="24"/>
              </w:rPr>
            </w:pPr>
          </w:p>
        </w:tc>
      </w:tr>
      <w:tr w:rsidR="00E27686" w:rsidRPr="00E27686" w14:paraId="04B05A49" w14:textId="77777777" w:rsidTr="00E27686">
        <w:trPr>
          <w:cantSplit/>
          <w:trHeight w:val="261"/>
        </w:trPr>
        <w:tc>
          <w:tcPr>
            <w:tcW w:w="0" w:type="auto"/>
            <w:gridSpan w:val="8"/>
            <w:tcBorders>
              <w:top w:val="single" w:sz="4" w:space="0" w:color="000000"/>
              <w:bottom w:val="single" w:sz="4" w:space="0" w:color="000000"/>
            </w:tcBorders>
            <w:shd w:val="clear" w:color="auto" w:fill="FFFFFF"/>
            <w:vAlign w:val="center"/>
          </w:tcPr>
          <w:p w14:paraId="094A5BCC" w14:textId="77777777" w:rsidR="00E27686" w:rsidRPr="00E27686" w:rsidRDefault="00E27686" w:rsidP="00E27686">
            <w:pPr>
              <w:pBdr>
                <w:top w:val="nil"/>
                <w:left w:val="nil"/>
                <w:bottom w:val="nil"/>
                <w:right w:val="nil"/>
                <w:between w:val="nil"/>
              </w:pBd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Estrategias de ruptura</w:t>
            </w:r>
          </w:p>
        </w:tc>
      </w:tr>
      <w:tr w:rsidR="00E27686" w:rsidRPr="00E27686" w14:paraId="0C1E691D" w14:textId="77777777" w:rsidTr="00E27686">
        <w:trPr>
          <w:cantSplit/>
          <w:trHeight w:val="397"/>
        </w:trPr>
        <w:tc>
          <w:tcPr>
            <w:tcW w:w="0" w:type="auto"/>
            <w:tcBorders>
              <w:top w:val="single" w:sz="4" w:space="0" w:color="000000"/>
            </w:tcBorders>
            <w:shd w:val="clear" w:color="auto" w:fill="auto"/>
            <w:vAlign w:val="center"/>
          </w:tcPr>
          <w:p w14:paraId="7C844655"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Evitación/Retirada</w:t>
            </w:r>
          </w:p>
        </w:tc>
        <w:tc>
          <w:tcPr>
            <w:tcW w:w="0" w:type="auto"/>
            <w:tcBorders>
              <w:top w:val="single" w:sz="4" w:space="0" w:color="000000"/>
              <w:left w:val="nil"/>
            </w:tcBorders>
            <w:shd w:val="clear" w:color="auto" w:fill="auto"/>
            <w:vAlign w:val="center"/>
          </w:tcPr>
          <w:p w14:paraId="798B245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,219</w:t>
            </w:r>
          </w:p>
        </w:tc>
        <w:tc>
          <w:tcPr>
            <w:tcW w:w="0" w:type="auto"/>
            <w:tcBorders>
              <w:top w:val="single" w:sz="4" w:space="0" w:color="000000"/>
            </w:tcBorders>
            <w:shd w:val="clear" w:color="auto" w:fill="auto"/>
            <w:vAlign w:val="center"/>
          </w:tcPr>
          <w:p w14:paraId="69FDE203"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,213</w:t>
            </w:r>
          </w:p>
        </w:tc>
        <w:tc>
          <w:tcPr>
            <w:tcW w:w="0" w:type="auto"/>
            <w:tcBorders>
              <w:top w:val="single" w:sz="4" w:space="0" w:color="000000"/>
            </w:tcBorders>
            <w:shd w:val="clear" w:color="auto" w:fill="auto"/>
            <w:vAlign w:val="center"/>
          </w:tcPr>
          <w:p w14:paraId="4BD4872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-,173</w:t>
            </w:r>
          </w:p>
        </w:tc>
        <w:tc>
          <w:tcPr>
            <w:tcW w:w="0" w:type="auto"/>
            <w:tcBorders>
              <w:top w:val="single" w:sz="4" w:space="0" w:color="000000"/>
            </w:tcBorders>
            <w:shd w:val="clear" w:color="auto" w:fill="auto"/>
            <w:vAlign w:val="center"/>
          </w:tcPr>
          <w:p w14:paraId="3351928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,266</w:t>
            </w:r>
          </w:p>
        </w:tc>
        <w:tc>
          <w:tcPr>
            <w:tcW w:w="0" w:type="auto"/>
            <w:tcBorders>
              <w:top w:val="single" w:sz="4" w:space="0" w:color="000000"/>
            </w:tcBorders>
            <w:shd w:val="clear" w:color="auto" w:fill="auto"/>
            <w:vAlign w:val="center"/>
          </w:tcPr>
          <w:p w14:paraId="5B6EF0BA"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,101</w:t>
            </w:r>
          </w:p>
        </w:tc>
        <w:tc>
          <w:tcPr>
            <w:tcW w:w="0" w:type="auto"/>
            <w:tcBorders>
              <w:top w:val="single" w:sz="4" w:space="0" w:color="000000"/>
            </w:tcBorders>
            <w:shd w:val="clear" w:color="auto" w:fill="auto"/>
            <w:vAlign w:val="center"/>
          </w:tcPr>
          <w:p w14:paraId="4A15E570"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,135</w:t>
            </w:r>
          </w:p>
        </w:tc>
        <w:tc>
          <w:tcPr>
            <w:tcW w:w="0" w:type="auto"/>
            <w:tcBorders>
              <w:top w:val="single" w:sz="4" w:space="0" w:color="000000"/>
            </w:tcBorders>
            <w:shd w:val="clear" w:color="auto" w:fill="auto"/>
            <w:vAlign w:val="center"/>
          </w:tcPr>
          <w:p w14:paraId="450FD9A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-,217</w:t>
            </w:r>
          </w:p>
        </w:tc>
      </w:tr>
      <w:tr w:rsidR="00E27686" w:rsidRPr="00E27686" w14:paraId="471586E1" w14:textId="77777777" w:rsidTr="00E27686">
        <w:trPr>
          <w:cantSplit/>
          <w:trHeight w:val="397"/>
        </w:trPr>
        <w:tc>
          <w:tcPr>
            <w:tcW w:w="0" w:type="auto"/>
            <w:shd w:val="clear" w:color="auto" w:fill="auto"/>
            <w:vAlign w:val="center"/>
          </w:tcPr>
          <w:p w14:paraId="05B337E8"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Tono positivo/</w:t>
            </w:r>
          </w:p>
          <w:p w14:paraId="477485DD"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Autoinculpación</w:t>
            </w:r>
          </w:p>
        </w:tc>
        <w:tc>
          <w:tcPr>
            <w:tcW w:w="0" w:type="auto"/>
            <w:tcBorders>
              <w:left w:val="nil"/>
            </w:tcBorders>
            <w:shd w:val="clear" w:color="auto" w:fill="auto"/>
            <w:vAlign w:val="center"/>
          </w:tcPr>
          <w:p w14:paraId="5C404D2B"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,035</w:t>
            </w:r>
          </w:p>
        </w:tc>
        <w:tc>
          <w:tcPr>
            <w:tcW w:w="0" w:type="auto"/>
            <w:shd w:val="clear" w:color="auto" w:fill="auto"/>
            <w:vAlign w:val="center"/>
          </w:tcPr>
          <w:p w14:paraId="29DD5B51"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-,027</w:t>
            </w:r>
          </w:p>
        </w:tc>
        <w:tc>
          <w:tcPr>
            <w:tcW w:w="0" w:type="auto"/>
            <w:shd w:val="clear" w:color="auto" w:fill="auto"/>
            <w:vAlign w:val="center"/>
          </w:tcPr>
          <w:p w14:paraId="2C04ED19"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,054</w:t>
            </w:r>
          </w:p>
        </w:tc>
        <w:tc>
          <w:tcPr>
            <w:tcW w:w="0" w:type="auto"/>
            <w:shd w:val="clear" w:color="auto" w:fill="auto"/>
            <w:vAlign w:val="center"/>
          </w:tcPr>
          <w:p w14:paraId="5408942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-,021</w:t>
            </w:r>
          </w:p>
        </w:tc>
        <w:tc>
          <w:tcPr>
            <w:tcW w:w="0" w:type="auto"/>
            <w:shd w:val="clear" w:color="auto" w:fill="auto"/>
            <w:vAlign w:val="center"/>
          </w:tcPr>
          <w:p w14:paraId="68294FBF"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-,103</w:t>
            </w:r>
          </w:p>
        </w:tc>
        <w:tc>
          <w:tcPr>
            <w:tcW w:w="0" w:type="auto"/>
            <w:shd w:val="clear" w:color="auto" w:fill="auto"/>
            <w:vAlign w:val="center"/>
          </w:tcPr>
          <w:p w14:paraId="13E54495"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-,136</w:t>
            </w:r>
          </w:p>
        </w:tc>
        <w:tc>
          <w:tcPr>
            <w:tcW w:w="0" w:type="auto"/>
            <w:shd w:val="clear" w:color="auto" w:fill="auto"/>
            <w:vAlign w:val="center"/>
          </w:tcPr>
          <w:p w14:paraId="5D84B4B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-,123</w:t>
            </w:r>
          </w:p>
        </w:tc>
      </w:tr>
      <w:tr w:rsidR="00E27686" w:rsidRPr="00E27686" w14:paraId="50BC61FF" w14:textId="77777777" w:rsidTr="00E27686">
        <w:trPr>
          <w:cantSplit/>
          <w:trHeight w:val="397"/>
        </w:trPr>
        <w:tc>
          <w:tcPr>
            <w:tcW w:w="0" w:type="auto"/>
            <w:shd w:val="clear" w:color="auto" w:fill="auto"/>
            <w:vAlign w:val="center"/>
          </w:tcPr>
          <w:p w14:paraId="1FE43AA2"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Comunicación abierta</w:t>
            </w:r>
          </w:p>
        </w:tc>
        <w:tc>
          <w:tcPr>
            <w:tcW w:w="0" w:type="auto"/>
            <w:tcBorders>
              <w:left w:val="nil"/>
            </w:tcBorders>
            <w:shd w:val="clear" w:color="auto" w:fill="auto"/>
            <w:vAlign w:val="center"/>
          </w:tcPr>
          <w:p w14:paraId="11AA2AFA"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-,101</w:t>
            </w:r>
          </w:p>
        </w:tc>
        <w:tc>
          <w:tcPr>
            <w:tcW w:w="0" w:type="auto"/>
            <w:shd w:val="clear" w:color="auto" w:fill="auto"/>
            <w:vAlign w:val="center"/>
          </w:tcPr>
          <w:p w14:paraId="483F6F4B"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-,087</w:t>
            </w:r>
          </w:p>
        </w:tc>
        <w:tc>
          <w:tcPr>
            <w:tcW w:w="0" w:type="auto"/>
            <w:shd w:val="clear" w:color="auto" w:fill="auto"/>
            <w:vAlign w:val="center"/>
          </w:tcPr>
          <w:p w14:paraId="449D6C1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-,002</w:t>
            </w:r>
          </w:p>
        </w:tc>
        <w:tc>
          <w:tcPr>
            <w:tcW w:w="0" w:type="auto"/>
            <w:shd w:val="clear" w:color="auto" w:fill="auto"/>
            <w:vAlign w:val="center"/>
          </w:tcPr>
          <w:p w14:paraId="66493C2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-,052</w:t>
            </w:r>
          </w:p>
        </w:tc>
        <w:tc>
          <w:tcPr>
            <w:tcW w:w="0" w:type="auto"/>
            <w:shd w:val="clear" w:color="auto" w:fill="auto"/>
            <w:vAlign w:val="center"/>
          </w:tcPr>
          <w:p w14:paraId="22964133"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,036</w:t>
            </w:r>
          </w:p>
        </w:tc>
        <w:tc>
          <w:tcPr>
            <w:tcW w:w="0" w:type="auto"/>
            <w:shd w:val="clear" w:color="auto" w:fill="auto"/>
            <w:vAlign w:val="center"/>
          </w:tcPr>
          <w:p w14:paraId="794FF380"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,037</w:t>
            </w:r>
          </w:p>
        </w:tc>
        <w:tc>
          <w:tcPr>
            <w:tcW w:w="0" w:type="auto"/>
            <w:shd w:val="clear" w:color="auto" w:fill="auto"/>
            <w:vAlign w:val="center"/>
          </w:tcPr>
          <w:p w14:paraId="0B3D7BA0"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,149</w:t>
            </w:r>
          </w:p>
        </w:tc>
      </w:tr>
      <w:tr w:rsidR="00E27686" w:rsidRPr="00E27686" w14:paraId="2717C760" w14:textId="77777777" w:rsidTr="00E27686">
        <w:trPr>
          <w:cantSplit/>
          <w:trHeight w:val="397"/>
        </w:trPr>
        <w:tc>
          <w:tcPr>
            <w:tcW w:w="0" w:type="auto"/>
            <w:shd w:val="clear" w:color="auto" w:fill="auto"/>
            <w:vAlign w:val="center"/>
          </w:tcPr>
          <w:p w14:paraId="6608484E"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Incremento de costes</w:t>
            </w:r>
          </w:p>
        </w:tc>
        <w:tc>
          <w:tcPr>
            <w:tcW w:w="0" w:type="auto"/>
            <w:tcBorders>
              <w:left w:val="nil"/>
            </w:tcBorders>
            <w:shd w:val="clear" w:color="auto" w:fill="auto"/>
            <w:vAlign w:val="center"/>
          </w:tcPr>
          <w:p w14:paraId="66CABBEA"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,217</w:t>
            </w:r>
          </w:p>
        </w:tc>
        <w:tc>
          <w:tcPr>
            <w:tcW w:w="0" w:type="auto"/>
            <w:shd w:val="clear" w:color="auto" w:fill="auto"/>
            <w:vAlign w:val="center"/>
          </w:tcPr>
          <w:p w14:paraId="0A97E93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,098</w:t>
            </w:r>
          </w:p>
        </w:tc>
        <w:tc>
          <w:tcPr>
            <w:tcW w:w="0" w:type="auto"/>
            <w:shd w:val="clear" w:color="auto" w:fill="auto"/>
            <w:vAlign w:val="center"/>
          </w:tcPr>
          <w:p w14:paraId="00DA70FF"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-,032</w:t>
            </w:r>
          </w:p>
        </w:tc>
        <w:tc>
          <w:tcPr>
            <w:tcW w:w="0" w:type="auto"/>
            <w:shd w:val="clear" w:color="auto" w:fill="auto"/>
            <w:vAlign w:val="center"/>
          </w:tcPr>
          <w:p w14:paraId="572D98D6"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-,083</w:t>
            </w:r>
          </w:p>
        </w:tc>
        <w:tc>
          <w:tcPr>
            <w:tcW w:w="0" w:type="auto"/>
            <w:shd w:val="clear" w:color="auto" w:fill="auto"/>
            <w:vAlign w:val="center"/>
          </w:tcPr>
          <w:p w14:paraId="0B4D3E69"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,189</w:t>
            </w:r>
          </w:p>
        </w:tc>
        <w:tc>
          <w:tcPr>
            <w:tcW w:w="0" w:type="auto"/>
            <w:shd w:val="clear" w:color="auto" w:fill="auto"/>
            <w:vAlign w:val="center"/>
          </w:tcPr>
          <w:p w14:paraId="2D5FF9F8"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-,080</w:t>
            </w:r>
          </w:p>
        </w:tc>
        <w:tc>
          <w:tcPr>
            <w:tcW w:w="0" w:type="auto"/>
            <w:shd w:val="clear" w:color="auto" w:fill="auto"/>
            <w:vAlign w:val="center"/>
          </w:tcPr>
          <w:p w14:paraId="56055EEE"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-,211</w:t>
            </w:r>
          </w:p>
        </w:tc>
      </w:tr>
      <w:tr w:rsidR="00E27686" w:rsidRPr="00E27686" w14:paraId="494186A0" w14:textId="77777777" w:rsidTr="00E27686">
        <w:trPr>
          <w:cantSplit/>
          <w:trHeight w:val="397"/>
        </w:trPr>
        <w:tc>
          <w:tcPr>
            <w:tcW w:w="0" w:type="auto"/>
            <w:shd w:val="clear" w:color="auto" w:fill="auto"/>
            <w:vAlign w:val="center"/>
          </w:tcPr>
          <w:p w14:paraId="56486B77"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Manipulación</w:t>
            </w:r>
          </w:p>
        </w:tc>
        <w:tc>
          <w:tcPr>
            <w:tcW w:w="0" w:type="auto"/>
            <w:tcBorders>
              <w:left w:val="nil"/>
            </w:tcBorders>
            <w:shd w:val="clear" w:color="auto" w:fill="auto"/>
            <w:vAlign w:val="center"/>
          </w:tcPr>
          <w:p w14:paraId="334F99E9"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,224</w:t>
            </w:r>
          </w:p>
        </w:tc>
        <w:tc>
          <w:tcPr>
            <w:tcW w:w="0" w:type="auto"/>
            <w:shd w:val="clear" w:color="auto" w:fill="auto"/>
            <w:vAlign w:val="center"/>
          </w:tcPr>
          <w:p w14:paraId="0FD045C8"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,376**</w:t>
            </w:r>
          </w:p>
        </w:tc>
        <w:tc>
          <w:tcPr>
            <w:tcW w:w="0" w:type="auto"/>
            <w:shd w:val="clear" w:color="auto" w:fill="auto"/>
            <w:vAlign w:val="center"/>
          </w:tcPr>
          <w:p w14:paraId="4411BDBB"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-,097</w:t>
            </w:r>
          </w:p>
        </w:tc>
        <w:tc>
          <w:tcPr>
            <w:tcW w:w="0" w:type="auto"/>
            <w:shd w:val="clear" w:color="auto" w:fill="auto"/>
            <w:vAlign w:val="center"/>
          </w:tcPr>
          <w:p w14:paraId="77A891F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,100</w:t>
            </w:r>
          </w:p>
        </w:tc>
        <w:tc>
          <w:tcPr>
            <w:tcW w:w="0" w:type="auto"/>
            <w:shd w:val="clear" w:color="auto" w:fill="auto"/>
            <w:vAlign w:val="center"/>
          </w:tcPr>
          <w:p w14:paraId="18F575B2"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,272</w:t>
            </w:r>
          </w:p>
        </w:tc>
        <w:tc>
          <w:tcPr>
            <w:tcW w:w="0" w:type="auto"/>
            <w:shd w:val="clear" w:color="auto" w:fill="auto"/>
            <w:vAlign w:val="center"/>
          </w:tcPr>
          <w:p w14:paraId="1BB0FEF7"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,154</w:t>
            </w:r>
          </w:p>
        </w:tc>
        <w:tc>
          <w:tcPr>
            <w:tcW w:w="0" w:type="auto"/>
            <w:shd w:val="clear" w:color="auto" w:fill="auto"/>
            <w:vAlign w:val="center"/>
          </w:tcPr>
          <w:p w14:paraId="70320047"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,050</w:t>
            </w:r>
          </w:p>
        </w:tc>
      </w:tr>
      <w:tr w:rsidR="00E27686" w:rsidRPr="00E27686" w14:paraId="64B51BEE" w14:textId="77777777" w:rsidTr="00E27686">
        <w:trPr>
          <w:cantSplit/>
          <w:trHeight w:val="397"/>
        </w:trPr>
        <w:tc>
          <w:tcPr>
            <w:tcW w:w="0" w:type="auto"/>
            <w:shd w:val="clear" w:color="auto" w:fill="auto"/>
            <w:vAlign w:val="center"/>
          </w:tcPr>
          <w:p w14:paraId="71D67214"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Comunicación distante/mediada</w:t>
            </w:r>
          </w:p>
        </w:tc>
        <w:tc>
          <w:tcPr>
            <w:tcW w:w="0" w:type="auto"/>
            <w:tcBorders>
              <w:left w:val="nil"/>
            </w:tcBorders>
            <w:shd w:val="clear" w:color="auto" w:fill="auto"/>
            <w:vAlign w:val="center"/>
          </w:tcPr>
          <w:p w14:paraId="4AE34DD2"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,315*</w:t>
            </w:r>
          </w:p>
        </w:tc>
        <w:tc>
          <w:tcPr>
            <w:tcW w:w="0" w:type="auto"/>
            <w:shd w:val="clear" w:color="auto" w:fill="auto"/>
            <w:vAlign w:val="center"/>
          </w:tcPr>
          <w:p w14:paraId="0D2D4224"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,321*</w:t>
            </w:r>
          </w:p>
        </w:tc>
        <w:tc>
          <w:tcPr>
            <w:tcW w:w="0" w:type="auto"/>
            <w:shd w:val="clear" w:color="auto" w:fill="auto"/>
            <w:vAlign w:val="center"/>
          </w:tcPr>
          <w:p w14:paraId="1C4F122F"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,037</w:t>
            </w:r>
          </w:p>
        </w:tc>
        <w:tc>
          <w:tcPr>
            <w:tcW w:w="0" w:type="auto"/>
            <w:shd w:val="clear" w:color="auto" w:fill="auto"/>
            <w:vAlign w:val="center"/>
          </w:tcPr>
          <w:p w14:paraId="207943E8"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-,095</w:t>
            </w:r>
          </w:p>
        </w:tc>
        <w:tc>
          <w:tcPr>
            <w:tcW w:w="0" w:type="auto"/>
            <w:shd w:val="clear" w:color="auto" w:fill="auto"/>
            <w:vAlign w:val="center"/>
          </w:tcPr>
          <w:p w14:paraId="672EE2E9"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,192</w:t>
            </w:r>
          </w:p>
        </w:tc>
        <w:tc>
          <w:tcPr>
            <w:tcW w:w="0" w:type="auto"/>
            <w:shd w:val="clear" w:color="auto" w:fill="auto"/>
            <w:vAlign w:val="center"/>
          </w:tcPr>
          <w:p w14:paraId="0CC3F75D"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,080</w:t>
            </w:r>
          </w:p>
        </w:tc>
        <w:tc>
          <w:tcPr>
            <w:tcW w:w="0" w:type="auto"/>
            <w:shd w:val="clear" w:color="auto" w:fill="auto"/>
            <w:vAlign w:val="center"/>
          </w:tcPr>
          <w:p w14:paraId="54F561C8"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-,283*</w:t>
            </w:r>
          </w:p>
        </w:tc>
      </w:tr>
      <w:tr w:rsidR="00E27686" w:rsidRPr="00E27686" w14:paraId="2CF5E49B" w14:textId="77777777" w:rsidTr="00E27686">
        <w:trPr>
          <w:cantSplit/>
          <w:trHeight w:val="397"/>
        </w:trPr>
        <w:tc>
          <w:tcPr>
            <w:tcW w:w="0" w:type="auto"/>
            <w:tcBorders>
              <w:bottom w:val="single" w:sz="4" w:space="0" w:color="000000"/>
            </w:tcBorders>
            <w:shd w:val="clear" w:color="auto" w:fill="auto"/>
            <w:vAlign w:val="center"/>
          </w:tcPr>
          <w:p w14:paraId="12FD7758" w14:textId="77777777" w:rsidR="00E27686" w:rsidRPr="00E27686" w:rsidRDefault="00E27686" w:rsidP="00E27686">
            <w:pPr>
              <w:pBdr>
                <w:top w:val="nil"/>
                <w:left w:val="nil"/>
                <w:bottom w:val="nil"/>
                <w:right w:val="nil"/>
                <w:between w:val="nil"/>
              </w:pBdr>
              <w:spacing w:line="360" w:lineRule="auto"/>
              <w:ind w:left="37"/>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Decremento</w:t>
            </w:r>
          </w:p>
        </w:tc>
        <w:tc>
          <w:tcPr>
            <w:tcW w:w="0" w:type="auto"/>
            <w:tcBorders>
              <w:left w:val="nil"/>
              <w:bottom w:val="single" w:sz="4" w:space="0" w:color="000000"/>
            </w:tcBorders>
            <w:shd w:val="clear" w:color="auto" w:fill="auto"/>
            <w:vAlign w:val="center"/>
          </w:tcPr>
          <w:p w14:paraId="20D82471"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,131</w:t>
            </w:r>
          </w:p>
        </w:tc>
        <w:tc>
          <w:tcPr>
            <w:tcW w:w="0" w:type="auto"/>
            <w:tcBorders>
              <w:bottom w:val="single" w:sz="4" w:space="0" w:color="000000"/>
            </w:tcBorders>
            <w:shd w:val="clear" w:color="auto" w:fill="auto"/>
            <w:vAlign w:val="center"/>
          </w:tcPr>
          <w:p w14:paraId="1EFAC2BE"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,169</w:t>
            </w:r>
          </w:p>
        </w:tc>
        <w:tc>
          <w:tcPr>
            <w:tcW w:w="0" w:type="auto"/>
            <w:tcBorders>
              <w:bottom w:val="single" w:sz="4" w:space="0" w:color="000000"/>
            </w:tcBorders>
            <w:shd w:val="clear" w:color="auto" w:fill="auto"/>
            <w:vAlign w:val="center"/>
          </w:tcPr>
          <w:p w14:paraId="150DB5A3"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-,005</w:t>
            </w:r>
          </w:p>
        </w:tc>
        <w:tc>
          <w:tcPr>
            <w:tcW w:w="0" w:type="auto"/>
            <w:tcBorders>
              <w:bottom w:val="single" w:sz="4" w:space="0" w:color="000000"/>
            </w:tcBorders>
            <w:shd w:val="clear" w:color="auto" w:fill="auto"/>
            <w:vAlign w:val="center"/>
          </w:tcPr>
          <w:p w14:paraId="49FDF40C"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,007</w:t>
            </w:r>
          </w:p>
        </w:tc>
        <w:tc>
          <w:tcPr>
            <w:tcW w:w="0" w:type="auto"/>
            <w:tcBorders>
              <w:bottom w:val="single" w:sz="4" w:space="0" w:color="000000"/>
            </w:tcBorders>
            <w:shd w:val="clear" w:color="auto" w:fill="auto"/>
            <w:vAlign w:val="center"/>
          </w:tcPr>
          <w:p w14:paraId="2E88554A"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,011</w:t>
            </w:r>
          </w:p>
        </w:tc>
        <w:tc>
          <w:tcPr>
            <w:tcW w:w="0" w:type="auto"/>
            <w:tcBorders>
              <w:bottom w:val="single" w:sz="4" w:space="0" w:color="000000"/>
            </w:tcBorders>
            <w:shd w:val="clear" w:color="auto" w:fill="auto"/>
            <w:vAlign w:val="center"/>
          </w:tcPr>
          <w:p w14:paraId="3F3CC50F"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,002</w:t>
            </w:r>
          </w:p>
        </w:tc>
        <w:tc>
          <w:tcPr>
            <w:tcW w:w="0" w:type="auto"/>
            <w:tcBorders>
              <w:bottom w:val="single" w:sz="4" w:space="0" w:color="000000"/>
            </w:tcBorders>
            <w:shd w:val="clear" w:color="auto" w:fill="auto"/>
            <w:vAlign w:val="center"/>
          </w:tcPr>
          <w:p w14:paraId="1960ADBD" w14:textId="77777777" w:rsidR="00E27686" w:rsidRPr="00E27686" w:rsidRDefault="00E27686" w:rsidP="00E27686">
            <w:pPr>
              <w:pBdr>
                <w:top w:val="nil"/>
                <w:left w:val="nil"/>
                <w:bottom w:val="nil"/>
                <w:right w:val="nil"/>
                <w:between w:val="nil"/>
              </w:pBdr>
              <w:spacing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,041</w:t>
            </w:r>
          </w:p>
        </w:tc>
      </w:tr>
    </w:tbl>
    <w:p w14:paraId="30687CA7" w14:textId="77777777" w:rsidR="00C034E3" w:rsidRPr="00E27686" w:rsidRDefault="00C034E3" w:rsidP="00A12221">
      <w:pPr>
        <w:spacing w:line="360" w:lineRule="auto"/>
        <w:ind w:firstLine="720"/>
        <w:rPr>
          <w:rFonts w:asciiTheme="minorHAnsi" w:eastAsia="Times New Roman" w:hAnsiTheme="minorHAnsi" w:cstheme="minorHAnsi"/>
          <w:sz w:val="24"/>
          <w:szCs w:val="24"/>
        </w:rPr>
      </w:pPr>
    </w:p>
    <w:p w14:paraId="64D0DA86" w14:textId="3351D2AD"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Primero, se destaca una correlación significativa y positiva entre la ansiedad asociada al apego y la utilización de estrategias de ruptura como la comunicación distante/mediada y la manipulación. Además, se observa una correlación significativa y positiva entre la evitación relacionada con el apego y el uso de la estrategia de ruptura centrada en la comunicación </w:t>
      </w:r>
      <w:r w:rsidRPr="00E27686">
        <w:rPr>
          <w:rFonts w:asciiTheme="minorHAnsi" w:eastAsia="Times New Roman" w:hAnsiTheme="minorHAnsi" w:cstheme="minorHAnsi"/>
          <w:sz w:val="24"/>
          <w:szCs w:val="24"/>
        </w:rPr>
        <w:lastRenderedPageBreak/>
        <w:t xml:space="preserve">distante/mediada. A continuación, no se encontraron correlaciones significativas entre las estrategias de ruptura y las de resolución de conflictos. Por último, se evidencia una </w:t>
      </w:r>
      <w:r w:rsidR="00C73D7B" w:rsidRPr="00E27686">
        <w:rPr>
          <w:rFonts w:asciiTheme="minorHAnsi" w:eastAsia="Times New Roman" w:hAnsiTheme="minorHAnsi" w:cstheme="minorHAnsi"/>
          <w:sz w:val="24"/>
          <w:szCs w:val="24"/>
        </w:rPr>
        <w:t xml:space="preserve">relación </w:t>
      </w:r>
      <w:r w:rsidRPr="00E27686">
        <w:rPr>
          <w:rFonts w:asciiTheme="minorHAnsi" w:eastAsia="Times New Roman" w:hAnsiTheme="minorHAnsi" w:cstheme="minorHAnsi"/>
          <w:sz w:val="24"/>
          <w:szCs w:val="24"/>
        </w:rPr>
        <w:t>significa</w:t>
      </w:r>
      <w:r w:rsidR="00C73D7B" w:rsidRPr="00E27686">
        <w:rPr>
          <w:rFonts w:asciiTheme="minorHAnsi" w:eastAsia="Times New Roman" w:hAnsiTheme="minorHAnsi" w:cstheme="minorHAnsi"/>
          <w:sz w:val="24"/>
          <w:szCs w:val="24"/>
        </w:rPr>
        <w:t>tiva y</w:t>
      </w:r>
      <w:r w:rsidRPr="00E27686">
        <w:rPr>
          <w:rFonts w:asciiTheme="minorHAnsi" w:eastAsia="Times New Roman" w:hAnsiTheme="minorHAnsi" w:cstheme="minorHAnsi"/>
          <w:sz w:val="24"/>
          <w:szCs w:val="24"/>
        </w:rPr>
        <w:t xml:space="preserve"> negativa entre la calidad de la relación antes de la ruptura y la estrategia de ruptura de comunicación distante/mediada.</w:t>
      </w:r>
    </w:p>
    <w:p w14:paraId="3B5C2337"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Con estos hallazgos se puede confirmar que la ansiedad y la evitación en el apego, junto con la calidad de la relación, están relacionadas con algunas de las estrategias de ruptura, mientras que no se encuentran vínculos entre las estrategias de ruptura y las estrategias de resolución de conflictos.</w:t>
      </w:r>
    </w:p>
    <w:p w14:paraId="58BFDB55" w14:textId="7777777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Arial" w:hAnsiTheme="minorHAnsi" w:cstheme="minorHAnsi"/>
          <w:sz w:val="24"/>
          <w:szCs w:val="24"/>
        </w:rPr>
        <w:t xml:space="preserve"> </w:t>
      </w:r>
      <w:r w:rsidRPr="00E27686">
        <w:rPr>
          <w:rFonts w:asciiTheme="minorHAnsi" w:eastAsia="Times New Roman" w:hAnsiTheme="minorHAnsi" w:cstheme="minorHAnsi"/>
          <w:sz w:val="24"/>
          <w:szCs w:val="24"/>
        </w:rPr>
        <w:t>En último lugar se calcularon las correlaciones entre las estrategias de afrontamiento de la ruptura y el bienestar psicológico posterior a la ruptura (Ver Tabla 5).</w:t>
      </w:r>
    </w:p>
    <w:p w14:paraId="4ED557F8" w14:textId="77777777" w:rsidR="00287BAC" w:rsidRPr="00E27686" w:rsidRDefault="00287BAC" w:rsidP="00A12221">
      <w:pPr>
        <w:spacing w:line="360" w:lineRule="auto"/>
        <w:ind w:firstLine="720"/>
        <w:jc w:val="both"/>
        <w:rPr>
          <w:rFonts w:asciiTheme="minorHAnsi" w:eastAsia="Times New Roman" w:hAnsiTheme="minorHAnsi" w:cstheme="minorHAnsi"/>
          <w:sz w:val="24"/>
          <w:szCs w:val="24"/>
        </w:rPr>
      </w:pPr>
    </w:p>
    <w:tbl>
      <w:tblPr>
        <w:tblStyle w:val="af0"/>
        <w:tblpPr w:leftFromText="142" w:rightFromText="142" w:vertAnchor="text" w:horzAnchor="margin" w:tblpY="304"/>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92"/>
        <w:gridCol w:w="1896"/>
        <w:gridCol w:w="1416"/>
      </w:tblGrid>
      <w:tr w:rsidR="00E718C9" w:rsidRPr="00E27686" w14:paraId="2498DBB1" w14:textId="77777777" w:rsidTr="00E718C9">
        <w:trPr>
          <w:trHeight w:val="340"/>
        </w:trPr>
        <w:tc>
          <w:tcPr>
            <w:tcW w:w="8504" w:type="dxa"/>
            <w:gridSpan w:val="3"/>
            <w:tcBorders>
              <w:top w:val="nil"/>
              <w:bottom w:val="single" w:sz="4" w:space="0" w:color="000000"/>
            </w:tcBorders>
            <w:shd w:val="clear" w:color="auto" w:fill="auto"/>
            <w:vAlign w:val="center"/>
          </w:tcPr>
          <w:p w14:paraId="554817FC" w14:textId="77777777" w:rsidR="00E718C9" w:rsidRPr="00E27686" w:rsidRDefault="00E718C9" w:rsidP="00A12221">
            <w:pPr>
              <w:spacing w:line="360" w:lineRule="auto"/>
              <w:rPr>
                <w:rFonts w:asciiTheme="minorHAnsi" w:eastAsia="Times New Roman" w:hAnsiTheme="minorHAnsi" w:cstheme="minorHAnsi"/>
                <w:b/>
                <w:sz w:val="24"/>
                <w:szCs w:val="24"/>
              </w:rPr>
            </w:pPr>
            <w:bookmarkStart w:id="3" w:name="_heading=h.tyjcwt" w:colFirst="0" w:colLast="0"/>
            <w:bookmarkEnd w:id="3"/>
            <w:r w:rsidRPr="00E27686">
              <w:rPr>
                <w:rFonts w:asciiTheme="minorHAnsi" w:eastAsia="Times New Roman" w:hAnsiTheme="minorHAnsi" w:cstheme="minorHAnsi"/>
                <w:b/>
                <w:sz w:val="24"/>
                <w:szCs w:val="24"/>
              </w:rPr>
              <w:t>Tabla 5</w:t>
            </w:r>
          </w:p>
          <w:p w14:paraId="5664CB04" w14:textId="77777777" w:rsidR="00E718C9" w:rsidRPr="00E27686" w:rsidRDefault="00E718C9" w:rsidP="00A12221">
            <w:pPr>
              <w:spacing w:line="360" w:lineRule="auto"/>
              <w:rPr>
                <w:rFonts w:asciiTheme="minorHAnsi" w:eastAsia="Times New Roman" w:hAnsiTheme="minorHAnsi" w:cstheme="minorHAnsi"/>
                <w:i/>
                <w:sz w:val="24"/>
                <w:szCs w:val="24"/>
              </w:rPr>
            </w:pPr>
            <w:r w:rsidRPr="00E27686">
              <w:rPr>
                <w:rFonts w:asciiTheme="minorHAnsi" w:eastAsia="Times New Roman" w:hAnsiTheme="minorHAnsi" w:cstheme="minorHAnsi"/>
                <w:i/>
                <w:sz w:val="24"/>
                <w:szCs w:val="24"/>
              </w:rPr>
              <w:t>Correlaciones de Pearson entre el Bienestar Psicológico postruptura y las estrategias de afrontamiento de la ruptura</w:t>
            </w:r>
          </w:p>
          <w:p w14:paraId="73CD4339" w14:textId="77777777" w:rsidR="00E718C9" w:rsidRPr="00E27686" w:rsidRDefault="00E718C9" w:rsidP="00A12221">
            <w:pPr>
              <w:spacing w:line="360" w:lineRule="auto"/>
              <w:rPr>
                <w:rFonts w:asciiTheme="minorHAnsi" w:eastAsia="Times New Roman" w:hAnsiTheme="minorHAnsi" w:cstheme="minorHAnsi"/>
                <w:b/>
                <w:sz w:val="24"/>
                <w:szCs w:val="24"/>
              </w:rPr>
            </w:pPr>
          </w:p>
        </w:tc>
      </w:tr>
      <w:tr w:rsidR="00E718C9" w:rsidRPr="00E27686" w14:paraId="0AF4AC53" w14:textId="77777777" w:rsidTr="00E718C9">
        <w:trPr>
          <w:trHeight w:val="340"/>
        </w:trPr>
        <w:tc>
          <w:tcPr>
            <w:tcW w:w="5192" w:type="dxa"/>
            <w:tcBorders>
              <w:top w:val="single" w:sz="4" w:space="0" w:color="000000"/>
              <w:bottom w:val="single" w:sz="4" w:space="0" w:color="000000"/>
            </w:tcBorders>
            <w:shd w:val="clear" w:color="auto" w:fill="auto"/>
            <w:vAlign w:val="center"/>
          </w:tcPr>
          <w:p w14:paraId="1730E40E" w14:textId="77777777" w:rsidR="00E718C9" w:rsidRPr="00E27686" w:rsidRDefault="00E718C9" w:rsidP="00A12221">
            <w:pP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Variables implicadas en el proceso de ruptura</w:t>
            </w:r>
          </w:p>
        </w:tc>
        <w:tc>
          <w:tcPr>
            <w:tcW w:w="3312" w:type="dxa"/>
            <w:gridSpan w:val="2"/>
            <w:tcBorders>
              <w:top w:val="single" w:sz="4" w:space="0" w:color="000000"/>
              <w:bottom w:val="single" w:sz="4" w:space="0" w:color="000000"/>
            </w:tcBorders>
            <w:shd w:val="clear" w:color="auto" w:fill="auto"/>
            <w:vAlign w:val="center"/>
          </w:tcPr>
          <w:p w14:paraId="49A99CE4" w14:textId="77777777" w:rsidR="00E718C9" w:rsidRPr="00E27686" w:rsidRDefault="00E718C9" w:rsidP="00A12221">
            <w:pPr>
              <w:spacing w:line="360" w:lineRule="auto"/>
              <w:rPr>
                <w:rFonts w:asciiTheme="minorHAnsi" w:eastAsia="Times New Roman" w:hAnsiTheme="minorHAnsi" w:cstheme="minorHAnsi"/>
                <w:b/>
                <w:sz w:val="24"/>
                <w:szCs w:val="24"/>
              </w:rPr>
            </w:pPr>
            <w:r w:rsidRPr="00E27686">
              <w:rPr>
                <w:rFonts w:asciiTheme="minorHAnsi" w:eastAsia="Times New Roman" w:hAnsiTheme="minorHAnsi" w:cstheme="minorHAnsi"/>
                <w:b/>
                <w:sz w:val="24"/>
                <w:szCs w:val="24"/>
              </w:rPr>
              <w:t>Bienestar psicológico</w:t>
            </w:r>
          </w:p>
        </w:tc>
      </w:tr>
      <w:tr w:rsidR="00E718C9" w:rsidRPr="00E27686" w14:paraId="18A11B2F" w14:textId="77777777" w:rsidTr="00E718C9">
        <w:trPr>
          <w:trHeight w:val="340"/>
        </w:trPr>
        <w:tc>
          <w:tcPr>
            <w:tcW w:w="5192" w:type="dxa"/>
            <w:tcBorders>
              <w:top w:val="single" w:sz="4" w:space="0" w:color="000000"/>
              <w:bottom w:val="single" w:sz="4" w:space="0" w:color="000000"/>
            </w:tcBorders>
            <w:shd w:val="clear" w:color="auto" w:fill="auto"/>
            <w:vAlign w:val="center"/>
          </w:tcPr>
          <w:p w14:paraId="6783A94B" w14:textId="77777777" w:rsidR="00E718C9" w:rsidRPr="00E27686" w:rsidRDefault="00E718C9"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Estrategias de afrontamiento de la ruptura</w:t>
            </w:r>
          </w:p>
        </w:tc>
        <w:tc>
          <w:tcPr>
            <w:tcW w:w="3312" w:type="dxa"/>
            <w:gridSpan w:val="2"/>
            <w:tcBorders>
              <w:top w:val="single" w:sz="4" w:space="0" w:color="000000"/>
              <w:bottom w:val="single" w:sz="4" w:space="0" w:color="000000"/>
            </w:tcBorders>
            <w:shd w:val="clear" w:color="auto" w:fill="auto"/>
            <w:vAlign w:val="center"/>
          </w:tcPr>
          <w:p w14:paraId="4102847A" w14:textId="77777777" w:rsidR="00E718C9" w:rsidRPr="00E27686" w:rsidRDefault="00E718C9" w:rsidP="00A12221">
            <w:pPr>
              <w:spacing w:line="360" w:lineRule="auto"/>
              <w:rPr>
                <w:rFonts w:asciiTheme="minorHAnsi" w:eastAsia="Times New Roman" w:hAnsiTheme="minorHAnsi" w:cstheme="minorHAnsi"/>
                <w:sz w:val="24"/>
                <w:szCs w:val="24"/>
              </w:rPr>
            </w:pPr>
          </w:p>
        </w:tc>
      </w:tr>
      <w:tr w:rsidR="00E718C9" w:rsidRPr="00E27686" w14:paraId="3766AFFD" w14:textId="77777777" w:rsidTr="00E718C9">
        <w:trPr>
          <w:trHeight w:val="340"/>
        </w:trPr>
        <w:tc>
          <w:tcPr>
            <w:tcW w:w="5192" w:type="dxa"/>
            <w:tcBorders>
              <w:top w:val="single" w:sz="4" w:space="0" w:color="000000"/>
            </w:tcBorders>
            <w:shd w:val="clear" w:color="auto" w:fill="auto"/>
            <w:vAlign w:val="center"/>
          </w:tcPr>
          <w:p w14:paraId="779C8BE6" w14:textId="77777777" w:rsidR="00E718C9" w:rsidRPr="00E27686" w:rsidRDefault="00E718C9"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Afrontamiento centrado en la pérdida</w:t>
            </w:r>
          </w:p>
        </w:tc>
        <w:tc>
          <w:tcPr>
            <w:tcW w:w="3312" w:type="dxa"/>
            <w:gridSpan w:val="2"/>
            <w:tcBorders>
              <w:top w:val="single" w:sz="4" w:space="0" w:color="000000"/>
            </w:tcBorders>
            <w:shd w:val="clear" w:color="auto" w:fill="auto"/>
            <w:vAlign w:val="center"/>
          </w:tcPr>
          <w:p w14:paraId="4BAFEEBD" w14:textId="77777777" w:rsidR="00E718C9" w:rsidRPr="00E27686" w:rsidRDefault="00E718C9"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-.38***</w:t>
            </w:r>
          </w:p>
        </w:tc>
      </w:tr>
      <w:tr w:rsidR="00E718C9" w:rsidRPr="00E27686" w14:paraId="5B4ACCAC" w14:textId="77777777" w:rsidTr="00E718C9">
        <w:trPr>
          <w:trHeight w:val="340"/>
        </w:trPr>
        <w:tc>
          <w:tcPr>
            <w:tcW w:w="5192" w:type="dxa"/>
            <w:shd w:val="clear" w:color="auto" w:fill="auto"/>
            <w:vAlign w:val="center"/>
          </w:tcPr>
          <w:p w14:paraId="797A42E4" w14:textId="77777777" w:rsidR="00E718C9" w:rsidRPr="00E27686" w:rsidRDefault="00E718C9"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Afrontamiento centrado en la restauración</w:t>
            </w:r>
          </w:p>
        </w:tc>
        <w:tc>
          <w:tcPr>
            <w:tcW w:w="3312" w:type="dxa"/>
            <w:gridSpan w:val="2"/>
            <w:tcBorders>
              <w:bottom w:val="single" w:sz="4" w:space="0" w:color="000000"/>
            </w:tcBorders>
            <w:shd w:val="clear" w:color="auto" w:fill="auto"/>
            <w:vAlign w:val="center"/>
          </w:tcPr>
          <w:p w14:paraId="626517B1" w14:textId="77777777" w:rsidR="00E718C9" w:rsidRPr="00E27686" w:rsidRDefault="00E718C9"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.31***</w:t>
            </w:r>
          </w:p>
        </w:tc>
      </w:tr>
      <w:tr w:rsidR="00E718C9" w:rsidRPr="00E27686" w14:paraId="38DB12C7" w14:textId="77777777" w:rsidTr="00E718C9">
        <w:trPr>
          <w:trHeight w:val="340"/>
        </w:trPr>
        <w:tc>
          <w:tcPr>
            <w:tcW w:w="7088" w:type="dxa"/>
            <w:gridSpan w:val="2"/>
            <w:tcBorders>
              <w:top w:val="single" w:sz="4" w:space="0" w:color="000000"/>
            </w:tcBorders>
            <w:shd w:val="clear" w:color="auto" w:fill="auto"/>
          </w:tcPr>
          <w:p w14:paraId="5F9AC77C" w14:textId="77777777" w:rsidR="00E718C9" w:rsidRPr="00E27686" w:rsidRDefault="00E718C9" w:rsidP="00A12221">
            <w:pPr>
              <w:spacing w:line="360" w:lineRule="auto"/>
              <w:rPr>
                <w:rFonts w:asciiTheme="minorHAnsi" w:eastAsia="Times New Roman" w:hAnsiTheme="minorHAnsi" w:cstheme="minorHAnsi"/>
                <w:sz w:val="24"/>
                <w:szCs w:val="24"/>
              </w:rPr>
            </w:pPr>
          </w:p>
          <w:p w14:paraId="4FE3DA8E" w14:textId="77777777" w:rsidR="00E718C9" w:rsidRPr="00E27686" w:rsidRDefault="00E718C9" w:rsidP="00A12221">
            <w:pPr>
              <w:spacing w:line="360" w:lineRule="auto"/>
              <w:rPr>
                <w:rFonts w:asciiTheme="minorHAnsi" w:eastAsia="Times New Roman" w:hAnsiTheme="minorHAnsi" w:cstheme="minorHAnsi"/>
                <w:sz w:val="24"/>
                <w:szCs w:val="24"/>
              </w:rPr>
            </w:pPr>
          </w:p>
        </w:tc>
        <w:tc>
          <w:tcPr>
            <w:tcW w:w="1416" w:type="dxa"/>
            <w:shd w:val="clear" w:color="auto" w:fill="auto"/>
          </w:tcPr>
          <w:p w14:paraId="734452BF" w14:textId="77777777" w:rsidR="00E718C9" w:rsidRPr="00E27686" w:rsidRDefault="00E718C9" w:rsidP="00A12221">
            <w:pPr>
              <w:tabs>
                <w:tab w:val="left" w:pos="1140"/>
              </w:tabs>
              <w:spacing w:line="360" w:lineRule="auto"/>
              <w:jc w:val="right"/>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*p&lt;.05</w:t>
            </w:r>
          </w:p>
          <w:p w14:paraId="1F276F70" w14:textId="77777777" w:rsidR="00E718C9" w:rsidRPr="00E27686" w:rsidRDefault="00E718C9" w:rsidP="00A12221">
            <w:pPr>
              <w:tabs>
                <w:tab w:val="left" w:pos="1140"/>
              </w:tabs>
              <w:spacing w:line="360" w:lineRule="auto"/>
              <w:jc w:val="right"/>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p &lt; .01</w:t>
            </w:r>
          </w:p>
          <w:p w14:paraId="46EACD84" w14:textId="77777777" w:rsidR="00E718C9" w:rsidRPr="00E27686" w:rsidRDefault="00E718C9" w:rsidP="00A12221">
            <w:pPr>
              <w:tabs>
                <w:tab w:val="left" w:pos="1140"/>
              </w:tabs>
              <w:spacing w:line="360" w:lineRule="auto"/>
              <w:jc w:val="right"/>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p&lt;.001</w:t>
            </w:r>
          </w:p>
        </w:tc>
      </w:tr>
    </w:tbl>
    <w:p w14:paraId="78BC0D7F" w14:textId="5DB5C6EF" w:rsidR="00447D64" w:rsidRPr="00E27686" w:rsidRDefault="00447D64" w:rsidP="00A12221">
      <w:pPr>
        <w:spacing w:line="360" w:lineRule="auto"/>
        <w:rPr>
          <w:rFonts w:asciiTheme="minorHAnsi" w:hAnsiTheme="minorHAnsi" w:cstheme="minorHAnsi"/>
          <w:i/>
          <w:sz w:val="24"/>
          <w:szCs w:val="24"/>
        </w:rPr>
      </w:pPr>
    </w:p>
    <w:p w14:paraId="3FF9939E" w14:textId="77777777" w:rsidR="00447D64" w:rsidRPr="00E27686" w:rsidRDefault="00447D64" w:rsidP="00A12221">
      <w:pPr>
        <w:pBdr>
          <w:top w:val="nil"/>
          <w:left w:val="nil"/>
          <w:bottom w:val="nil"/>
          <w:right w:val="nil"/>
          <w:between w:val="nil"/>
        </w:pBdr>
        <w:spacing w:after="0" w:line="360" w:lineRule="auto"/>
        <w:ind w:firstLine="720"/>
        <w:rPr>
          <w:rFonts w:asciiTheme="minorHAnsi" w:eastAsia="Times New Roman" w:hAnsiTheme="minorHAnsi" w:cstheme="minorHAnsi"/>
          <w:sz w:val="24"/>
          <w:szCs w:val="24"/>
        </w:rPr>
      </w:pPr>
    </w:p>
    <w:p w14:paraId="64A0E0F9" w14:textId="77777777" w:rsidR="00447D64" w:rsidRPr="00E27686" w:rsidRDefault="00000000" w:rsidP="00A12221">
      <w:pPr>
        <w:pBdr>
          <w:top w:val="nil"/>
          <w:left w:val="nil"/>
          <w:bottom w:val="nil"/>
          <w:right w:val="nil"/>
          <w:between w:val="nil"/>
        </w:pBd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Se encontró una relación significativa y negativa entre el afrontamiento de la ruptura centrado en la pérdida y el bienestar psicológico posterior a la ruptura. En cambio, se observó una relación significativa y positiva entre la estrategia de afrontamiento enfocada en la restauración y el bienestar psicológico. </w:t>
      </w:r>
    </w:p>
    <w:p w14:paraId="0EFA1838" w14:textId="704FE9F1" w:rsidR="00321076" w:rsidRPr="00E27686" w:rsidRDefault="00000000" w:rsidP="00E27686">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Tras obtener las correlaciones, procedimos a realizar los análisis de regresión (Ver Tabla 6). </w:t>
      </w:r>
    </w:p>
    <w:tbl>
      <w:tblPr>
        <w:tblStyle w:val="af1"/>
        <w:tblpPr w:leftFromText="142" w:rightFromText="142" w:vertAnchor="text" w:horzAnchor="margin" w:tblpY="64"/>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640"/>
        <w:gridCol w:w="806"/>
        <w:gridCol w:w="1143"/>
        <w:gridCol w:w="1589"/>
        <w:gridCol w:w="1236"/>
        <w:gridCol w:w="1390"/>
      </w:tblGrid>
      <w:tr w:rsidR="00482912" w:rsidRPr="00E27686" w14:paraId="79DB94FA" w14:textId="77777777" w:rsidTr="0048291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04" w:type="dxa"/>
            <w:gridSpan w:val="7"/>
            <w:tcBorders>
              <w:top w:val="nil"/>
              <w:left w:val="nil"/>
              <w:bottom w:val="single" w:sz="4" w:space="0" w:color="000000"/>
              <w:right w:val="nil"/>
            </w:tcBorders>
            <w:vAlign w:val="center"/>
          </w:tcPr>
          <w:p w14:paraId="2CB787C9" w14:textId="77777777" w:rsidR="00482912" w:rsidRPr="00E27686" w:rsidRDefault="00482912" w:rsidP="00A12221">
            <w:pPr>
              <w:spacing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Tabla 6</w:t>
            </w:r>
          </w:p>
          <w:p w14:paraId="2EB41CB7" w14:textId="77777777" w:rsidR="00482912" w:rsidRPr="00E27686" w:rsidRDefault="00482912" w:rsidP="00A12221">
            <w:pPr>
              <w:pBdr>
                <w:left w:val="nil"/>
                <w:bottom w:val="nil"/>
                <w:right w:val="nil"/>
                <w:between w:val="nil"/>
              </w:pBdr>
              <w:spacing w:line="360" w:lineRule="auto"/>
              <w:ind w:firstLine="30"/>
              <w:rPr>
                <w:rFonts w:asciiTheme="minorHAnsi" w:eastAsia="Times New Roman" w:hAnsiTheme="minorHAnsi" w:cstheme="minorHAnsi"/>
                <w:bCs/>
                <w:i/>
                <w:sz w:val="24"/>
                <w:szCs w:val="24"/>
              </w:rPr>
            </w:pPr>
            <w:r w:rsidRPr="00E27686">
              <w:rPr>
                <w:rFonts w:asciiTheme="minorHAnsi" w:eastAsia="Times New Roman" w:hAnsiTheme="minorHAnsi" w:cstheme="minorHAnsi"/>
                <w:b w:val="0"/>
                <w:bCs/>
                <w:i/>
                <w:sz w:val="24"/>
                <w:szCs w:val="24"/>
              </w:rPr>
              <w:t>Análisis de regresión de las estrategias de afrontamiento de la ruptura que explican el bienestar psicológico postruptura</w:t>
            </w:r>
          </w:p>
          <w:p w14:paraId="4EBE6954" w14:textId="77777777" w:rsidR="00482912" w:rsidRPr="00E27686" w:rsidRDefault="00482912" w:rsidP="00A12221">
            <w:pPr>
              <w:pBdr>
                <w:left w:val="nil"/>
                <w:bottom w:val="nil"/>
                <w:right w:val="nil"/>
                <w:between w:val="nil"/>
              </w:pBdr>
              <w:spacing w:line="360" w:lineRule="auto"/>
              <w:ind w:firstLine="30"/>
              <w:rPr>
                <w:rFonts w:asciiTheme="minorHAnsi" w:eastAsia="Times New Roman" w:hAnsiTheme="minorHAnsi" w:cstheme="minorHAnsi"/>
                <w:sz w:val="24"/>
                <w:szCs w:val="24"/>
              </w:rPr>
            </w:pPr>
          </w:p>
        </w:tc>
      </w:tr>
      <w:tr w:rsidR="00482912" w:rsidRPr="00E27686" w14:paraId="127600BB" w14:textId="77777777" w:rsidTr="004829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000000"/>
              <w:left w:val="nil"/>
              <w:bottom w:val="single" w:sz="4" w:space="0" w:color="000000"/>
              <w:right w:val="nil"/>
            </w:tcBorders>
            <w:vAlign w:val="center"/>
          </w:tcPr>
          <w:p w14:paraId="77EF3660" w14:textId="77777777" w:rsidR="00482912" w:rsidRPr="00E27686" w:rsidRDefault="00482912" w:rsidP="00A12221">
            <w:pPr>
              <w:pBdr>
                <w:top w:val="nil"/>
                <w:left w:val="nil"/>
                <w:bottom w:val="nil"/>
                <w:right w:val="nil"/>
                <w:between w:val="nil"/>
              </w:pBdr>
              <w:spacing w:after="160"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val="0"/>
                <w:sz w:val="24"/>
                <w:szCs w:val="24"/>
              </w:rPr>
              <w:t>Variables predictoras</w:t>
            </w:r>
          </w:p>
        </w:tc>
        <w:tc>
          <w:tcPr>
            <w:tcW w:w="640" w:type="dxa"/>
            <w:tcBorders>
              <w:top w:val="single" w:sz="4" w:space="0" w:color="000000"/>
              <w:left w:val="nil"/>
              <w:bottom w:val="single" w:sz="4" w:space="0" w:color="000000"/>
              <w:right w:val="nil"/>
            </w:tcBorders>
            <w:vAlign w:val="center"/>
          </w:tcPr>
          <w:p w14:paraId="2F05EEF2"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B</w:t>
            </w:r>
          </w:p>
        </w:tc>
        <w:tc>
          <w:tcPr>
            <w:tcW w:w="806" w:type="dxa"/>
            <w:tcBorders>
              <w:top w:val="single" w:sz="4" w:space="0" w:color="000000"/>
              <w:left w:val="nil"/>
              <w:bottom w:val="single" w:sz="4" w:space="0" w:color="000000"/>
              <w:right w:val="nil"/>
            </w:tcBorders>
            <w:vAlign w:val="center"/>
          </w:tcPr>
          <w:p w14:paraId="11AC8D50"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Error Típico</w:t>
            </w:r>
          </w:p>
        </w:tc>
        <w:tc>
          <w:tcPr>
            <w:tcW w:w="1143" w:type="dxa"/>
            <w:tcBorders>
              <w:top w:val="single" w:sz="4" w:space="0" w:color="000000"/>
              <w:left w:val="nil"/>
              <w:bottom w:val="single" w:sz="4" w:space="0" w:color="000000"/>
              <w:right w:val="nil"/>
            </w:tcBorders>
            <w:vAlign w:val="center"/>
          </w:tcPr>
          <w:p w14:paraId="23B5EFE9"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Noto Sans Symbols" w:hAnsiTheme="minorHAnsi" w:cstheme="minorHAnsi"/>
                <w:sz w:val="24"/>
                <w:szCs w:val="24"/>
              </w:rPr>
              <w:t>β</w:t>
            </w:r>
          </w:p>
        </w:tc>
        <w:tc>
          <w:tcPr>
            <w:tcW w:w="1589" w:type="dxa"/>
            <w:tcBorders>
              <w:top w:val="single" w:sz="4" w:space="0" w:color="000000"/>
              <w:left w:val="nil"/>
              <w:bottom w:val="single" w:sz="4" w:space="0" w:color="000000"/>
              <w:right w:val="nil"/>
            </w:tcBorders>
            <w:vAlign w:val="center"/>
          </w:tcPr>
          <w:p w14:paraId="15C179D1"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95% IC</w:t>
            </w:r>
          </w:p>
        </w:tc>
        <w:tc>
          <w:tcPr>
            <w:tcW w:w="1236" w:type="dxa"/>
            <w:tcBorders>
              <w:top w:val="single" w:sz="4" w:space="0" w:color="000000"/>
              <w:left w:val="nil"/>
              <w:bottom w:val="single" w:sz="4" w:space="0" w:color="000000"/>
              <w:right w:val="nil"/>
            </w:tcBorders>
            <w:vAlign w:val="center"/>
          </w:tcPr>
          <w:p w14:paraId="3A6AF4EF"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t</w:t>
            </w:r>
          </w:p>
        </w:tc>
        <w:tc>
          <w:tcPr>
            <w:tcW w:w="1390" w:type="dxa"/>
            <w:tcBorders>
              <w:top w:val="single" w:sz="4" w:space="0" w:color="000000"/>
              <w:left w:val="nil"/>
              <w:bottom w:val="single" w:sz="4" w:space="0" w:color="000000"/>
              <w:right w:val="nil"/>
            </w:tcBorders>
            <w:vAlign w:val="center"/>
          </w:tcPr>
          <w:p w14:paraId="34433C88" w14:textId="77777777" w:rsidR="00482912" w:rsidRPr="00E27686" w:rsidRDefault="00482912" w:rsidP="00A12221">
            <w:pPr>
              <w:pBdr>
                <w:top w:val="nil"/>
                <w:left w:val="nil"/>
                <w:bottom w:val="nil"/>
                <w:right w:val="nil"/>
                <w:between w:val="nil"/>
              </w:pBdr>
              <w:spacing w:after="160" w:line="360" w:lineRule="auto"/>
              <w:ind w:firstLine="3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p</w:t>
            </w:r>
          </w:p>
        </w:tc>
      </w:tr>
      <w:tr w:rsidR="00482912" w:rsidRPr="00E27686" w14:paraId="20ECC3DA" w14:textId="77777777" w:rsidTr="00482912">
        <w:trPr>
          <w:trHeight w:val="281"/>
        </w:trPr>
        <w:tc>
          <w:tcPr>
            <w:cnfStyle w:val="001000000000" w:firstRow="0" w:lastRow="0" w:firstColumn="1" w:lastColumn="0" w:oddVBand="0" w:evenVBand="0" w:oddHBand="0" w:evenHBand="0" w:firstRowFirstColumn="0" w:firstRowLastColumn="0" w:lastRowFirstColumn="0" w:lastRowLastColumn="0"/>
            <w:tcW w:w="8504" w:type="dxa"/>
            <w:gridSpan w:val="7"/>
            <w:tcBorders>
              <w:top w:val="single" w:sz="4" w:space="0" w:color="000000"/>
              <w:left w:val="nil"/>
              <w:bottom w:val="single" w:sz="4" w:space="0" w:color="000000"/>
              <w:right w:val="nil"/>
            </w:tcBorders>
            <w:vAlign w:val="center"/>
          </w:tcPr>
          <w:p w14:paraId="5406B8CF" w14:textId="77777777" w:rsidR="00482912" w:rsidRPr="00E27686" w:rsidRDefault="00482912" w:rsidP="00A12221">
            <w:pPr>
              <w:pBdr>
                <w:top w:val="nil"/>
                <w:left w:val="nil"/>
                <w:bottom w:val="nil"/>
                <w:right w:val="nil"/>
                <w:between w:val="nil"/>
              </w:pBdr>
              <w:spacing w:after="160" w:line="360" w:lineRule="auto"/>
              <w:rPr>
                <w:rFonts w:asciiTheme="minorHAnsi" w:eastAsia="Times New Roman" w:hAnsiTheme="minorHAnsi" w:cstheme="minorHAnsi"/>
                <w:sz w:val="24"/>
                <w:szCs w:val="24"/>
              </w:rPr>
            </w:pPr>
            <w:r w:rsidRPr="00E27686">
              <w:rPr>
                <w:rFonts w:asciiTheme="minorHAnsi" w:eastAsia="Times New Roman" w:hAnsiTheme="minorHAnsi" w:cstheme="minorHAnsi"/>
                <w:b w:val="0"/>
                <w:sz w:val="24"/>
                <w:szCs w:val="24"/>
              </w:rPr>
              <w:t>Estrategias de afrontamiento de la ruptura</w:t>
            </w:r>
          </w:p>
        </w:tc>
      </w:tr>
      <w:tr w:rsidR="00482912" w:rsidRPr="00E27686" w14:paraId="05EFC9CB" w14:textId="77777777" w:rsidTr="0048291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000000"/>
              <w:left w:val="nil"/>
              <w:bottom w:val="nil"/>
              <w:right w:val="nil"/>
            </w:tcBorders>
            <w:shd w:val="clear" w:color="auto" w:fill="FFFFFF"/>
            <w:vAlign w:val="center"/>
          </w:tcPr>
          <w:p w14:paraId="36225631" w14:textId="77777777" w:rsidR="00482912" w:rsidRPr="00E27686" w:rsidRDefault="00482912" w:rsidP="00A12221">
            <w:pPr>
              <w:pBdr>
                <w:top w:val="nil"/>
                <w:left w:val="nil"/>
                <w:bottom w:val="nil"/>
                <w:right w:val="nil"/>
                <w:between w:val="nil"/>
              </w:pBdr>
              <w:spacing w:after="160" w:line="360" w:lineRule="auto"/>
              <w:ind w:left="313"/>
              <w:rPr>
                <w:rFonts w:asciiTheme="minorHAnsi" w:eastAsia="Times New Roman" w:hAnsiTheme="minorHAnsi" w:cstheme="minorHAnsi"/>
                <w:i/>
                <w:sz w:val="24"/>
                <w:szCs w:val="24"/>
              </w:rPr>
            </w:pPr>
            <w:r w:rsidRPr="00E27686">
              <w:rPr>
                <w:rFonts w:asciiTheme="minorHAnsi" w:eastAsia="Times New Roman" w:hAnsiTheme="minorHAnsi" w:cstheme="minorHAnsi"/>
                <w:b w:val="0"/>
                <w:i/>
                <w:sz w:val="24"/>
                <w:szCs w:val="24"/>
              </w:rPr>
              <w:t>Centrado en la pérdida</w:t>
            </w:r>
          </w:p>
        </w:tc>
        <w:tc>
          <w:tcPr>
            <w:tcW w:w="640" w:type="dxa"/>
            <w:tcBorders>
              <w:top w:val="single" w:sz="4" w:space="0" w:color="000000"/>
              <w:left w:val="nil"/>
              <w:bottom w:val="nil"/>
              <w:right w:val="nil"/>
            </w:tcBorders>
            <w:shd w:val="clear" w:color="auto" w:fill="FFFFFF"/>
            <w:vAlign w:val="center"/>
          </w:tcPr>
          <w:p w14:paraId="5E516107"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-.25</w:t>
            </w:r>
          </w:p>
        </w:tc>
        <w:tc>
          <w:tcPr>
            <w:tcW w:w="806" w:type="dxa"/>
            <w:tcBorders>
              <w:top w:val="single" w:sz="4" w:space="0" w:color="000000"/>
              <w:left w:val="nil"/>
              <w:bottom w:val="nil"/>
              <w:right w:val="nil"/>
            </w:tcBorders>
            <w:shd w:val="clear" w:color="auto" w:fill="FFFFFF"/>
            <w:vAlign w:val="center"/>
          </w:tcPr>
          <w:p w14:paraId="73043177"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.07</w:t>
            </w:r>
          </w:p>
        </w:tc>
        <w:tc>
          <w:tcPr>
            <w:tcW w:w="1143" w:type="dxa"/>
            <w:tcBorders>
              <w:top w:val="single" w:sz="4" w:space="0" w:color="000000"/>
              <w:left w:val="nil"/>
              <w:bottom w:val="nil"/>
              <w:right w:val="nil"/>
            </w:tcBorders>
            <w:shd w:val="clear" w:color="auto" w:fill="FFFFFF"/>
            <w:vAlign w:val="center"/>
          </w:tcPr>
          <w:p w14:paraId="02EA9FF7"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-.37</w:t>
            </w:r>
          </w:p>
        </w:tc>
        <w:tc>
          <w:tcPr>
            <w:tcW w:w="1589" w:type="dxa"/>
            <w:tcBorders>
              <w:top w:val="single" w:sz="4" w:space="0" w:color="000000"/>
              <w:left w:val="nil"/>
              <w:bottom w:val="nil"/>
              <w:right w:val="nil"/>
            </w:tcBorders>
            <w:shd w:val="clear" w:color="auto" w:fill="FFFFFF"/>
            <w:vAlign w:val="center"/>
          </w:tcPr>
          <w:p w14:paraId="7E077269"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-0.38/-0.12</w:t>
            </w:r>
          </w:p>
        </w:tc>
        <w:tc>
          <w:tcPr>
            <w:tcW w:w="1236" w:type="dxa"/>
            <w:tcBorders>
              <w:top w:val="single" w:sz="4" w:space="0" w:color="000000"/>
              <w:left w:val="nil"/>
              <w:bottom w:val="nil"/>
              <w:right w:val="nil"/>
            </w:tcBorders>
            <w:shd w:val="clear" w:color="auto" w:fill="auto"/>
            <w:vAlign w:val="center"/>
          </w:tcPr>
          <w:p w14:paraId="7EBD2260"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-3.72</w:t>
            </w:r>
          </w:p>
        </w:tc>
        <w:tc>
          <w:tcPr>
            <w:tcW w:w="1390" w:type="dxa"/>
            <w:tcBorders>
              <w:top w:val="single" w:sz="4" w:space="0" w:color="000000"/>
              <w:left w:val="nil"/>
              <w:bottom w:val="nil"/>
              <w:right w:val="nil"/>
            </w:tcBorders>
            <w:shd w:val="clear" w:color="auto" w:fill="auto"/>
            <w:vAlign w:val="center"/>
          </w:tcPr>
          <w:p w14:paraId="38DCB3F0" w14:textId="77777777" w:rsidR="00482912" w:rsidRPr="00E27686" w:rsidRDefault="00482912" w:rsidP="00A12221">
            <w:pPr>
              <w:pBdr>
                <w:top w:val="nil"/>
                <w:left w:val="nil"/>
                <w:bottom w:val="nil"/>
                <w:right w:val="nil"/>
                <w:between w:val="nil"/>
              </w:pBd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&lt;.001</w:t>
            </w:r>
          </w:p>
        </w:tc>
      </w:tr>
      <w:tr w:rsidR="00482912" w:rsidRPr="00E27686" w14:paraId="66A3FB3D" w14:textId="77777777" w:rsidTr="00482912">
        <w:trPr>
          <w:trHeight w:val="431"/>
        </w:trPr>
        <w:tc>
          <w:tcPr>
            <w:cnfStyle w:val="001000000000" w:firstRow="0" w:lastRow="0" w:firstColumn="1" w:lastColumn="0" w:oddVBand="0" w:evenVBand="0" w:oddHBand="0" w:evenHBand="0" w:firstRowFirstColumn="0" w:firstRowLastColumn="0" w:lastRowFirstColumn="0" w:lastRowLastColumn="0"/>
            <w:tcW w:w="1700" w:type="dxa"/>
            <w:tcBorders>
              <w:top w:val="nil"/>
              <w:left w:val="nil"/>
              <w:bottom w:val="single" w:sz="4" w:space="0" w:color="000000"/>
              <w:right w:val="nil"/>
            </w:tcBorders>
            <w:shd w:val="clear" w:color="auto" w:fill="FFFFFF"/>
            <w:vAlign w:val="center"/>
          </w:tcPr>
          <w:p w14:paraId="5B1D2EC9" w14:textId="77777777" w:rsidR="00482912" w:rsidRPr="00E27686" w:rsidRDefault="00482912" w:rsidP="00A12221">
            <w:pPr>
              <w:pBdr>
                <w:top w:val="nil"/>
                <w:left w:val="nil"/>
                <w:bottom w:val="nil"/>
                <w:right w:val="nil"/>
                <w:between w:val="nil"/>
              </w:pBdr>
              <w:spacing w:after="160" w:line="360" w:lineRule="auto"/>
              <w:ind w:left="313"/>
              <w:rPr>
                <w:rFonts w:asciiTheme="minorHAnsi" w:eastAsia="Times New Roman" w:hAnsiTheme="minorHAnsi" w:cstheme="minorHAnsi"/>
                <w:i/>
                <w:sz w:val="24"/>
                <w:szCs w:val="24"/>
              </w:rPr>
            </w:pPr>
            <w:r w:rsidRPr="00E27686">
              <w:rPr>
                <w:rFonts w:asciiTheme="minorHAnsi" w:eastAsia="Times New Roman" w:hAnsiTheme="minorHAnsi" w:cstheme="minorHAnsi"/>
                <w:b w:val="0"/>
                <w:i/>
                <w:sz w:val="24"/>
                <w:szCs w:val="24"/>
              </w:rPr>
              <w:t>Centrado en la restauración</w:t>
            </w:r>
          </w:p>
        </w:tc>
        <w:tc>
          <w:tcPr>
            <w:tcW w:w="640" w:type="dxa"/>
            <w:tcBorders>
              <w:top w:val="nil"/>
              <w:left w:val="nil"/>
              <w:bottom w:val="single" w:sz="4" w:space="0" w:color="000000"/>
              <w:right w:val="nil"/>
            </w:tcBorders>
            <w:shd w:val="clear" w:color="auto" w:fill="FFFFFF"/>
            <w:vAlign w:val="center"/>
          </w:tcPr>
          <w:p w14:paraId="0998BE26" w14:textId="77777777" w:rsidR="00482912" w:rsidRPr="00E27686" w:rsidRDefault="00482912" w:rsidP="00A12221">
            <w:pPr>
              <w:pBdr>
                <w:top w:val="nil"/>
                <w:left w:val="nil"/>
                <w:bottom w:val="nil"/>
                <w:right w:val="nil"/>
                <w:between w:val="nil"/>
              </w:pBd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.27</w:t>
            </w:r>
          </w:p>
        </w:tc>
        <w:tc>
          <w:tcPr>
            <w:tcW w:w="806" w:type="dxa"/>
            <w:tcBorders>
              <w:top w:val="nil"/>
              <w:left w:val="nil"/>
              <w:bottom w:val="single" w:sz="4" w:space="0" w:color="000000"/>
              <w:right w:val="nil"/>
            </w:tcBorders>
            <w:shd w:val="clear" w:color="auto" w:fill="FFFFFF"/>
            <w:vAlign w:val="center"/>
          </w:tcPr>
          <w:p w14:paraId="43C36536" w14:textId="77777777" w:rsidR="00482912" w:rsidRPr="00E27686" w:rsidRDefault="00482912" w:rsidP="00A12221">
            <w:pPr>
              <w:pBdr>
                <w:top w:val="nil"/>
                <w:left w:val="nil"/>
                <w:bottom w:val="nil"/>
                <w:right w:val="nil"/>
                <w:between w:val="nil"/>
              </w:pBd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.09</w:t>
            </w:r>
          </w:p>
        </w:tc>
        <w:tc>
          <w:tcPr>
            <w:tcW w:w="1143" w:type="dxa"/>
            <w:tcBorders>
              <w:top w:val="nil"/>
              <w:left w:val="nil"/>
              <w:bottom w:val="single" w:sz="4" w:space="0" w:color="000000"/>
              <w:right w:val="nil"/>
            </w:tcBorders>
            <w:shd w:val="clear" w:color="auto" w:fill="FFFFFF"/>
            <w:vAlign w:val="center"/>
          </w:tcPr>
          <w:p w14:paraId="3A0EA54E" w14:textId="77777777" w:rsidR="00482912" w:rsidRPr="00E27686" w:rsidRDefault="00482912" w:rsidP="00A12221">
            <w:pPr>
              <w:pBdr>
                <w:top w:val="nil"/>
                <w:left w:val="nil"/>
                <w:bottom w:val="nil"/>
                <w:right w:val="nil"/>
                <w:between w:val="nil"/>
              </w:pBd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.30</w:t>
            </w:r>
          </w:p>
        </w:tc>
        <w:tc>
          <w:tcPr>
            <w:tcW w:w="1589" w:type="dxa"/>
            <w:tcBorders>
              <w:top w:val="nil"/>
              <w:left w:val="nil"/>
              <w:bottom w:val="single" w:sz="4" w:space="0" w:color="000000"/>
              <w:right w:val="nil"/>
            </w:tcBorders>
            <w:shd w:val="clear" w:color="auto" w:fill="FFFFFF"/>
            <w:vAlign w:val="center"/>
          </w:tcPr>
          <w:p w14:paraId="5EE86F43" w14:textId="77777777" w:rsidR="00482912" w:rsidRPr="00E27686" w:rsidRDefault="00482912" w:rsidP="00A12221">
            <w:pPr>
              <w:pBdr>
                <w:top w:val="nil"/>
                <w:left w:val="nil"/>
                <w:bottom w:val="nil"/>
                <w:right w:val="nil"/>
                <w:between w:val="nil"/>
              </w:pBd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0.09/0.45</w:t>
            </w:r>
          </w:p>
        </w:tc>
        <w:tc>
          <w:tcPr>
            <w:tcW w:w="1236" w:type="dxa"/>
            <w:tcBorders>
              <w:top w:val="nil"/>
              <w:left w:val="nil"/>
              <w:bottom w:val="single" w:sz="4" w:space="0" w:color="000000"/>
              <w:right w:val="nil"/>
            </w:tcBorders>
            <w:shd w:val="clear" w:color="auto" w:fill="auto"/>
            <w:vAlign w:val="center"/>
          </w:tcPr>
          <w:p w14:paraId="16013396" w14:textId="77777777" w:rsidR="00482912" w:rsidRPr="00E27686" w:rsidRDefault="00482912" w:rsidP="00A12221">
            <w:pPr>
              <w:pBdr>
                <w:top w:val="nil"/>
                <w:left w:val="nil"/>
                <w:bottom w:val="nil"/>
                <w:right w:val="nil"/>
                <w:between w:val="nil"/>
              </w:pBd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2.97</w:t>
            </w:r>
          </w:p>
        </w:tc>
        <w:tc>
          <w:tcPr>
            <w:tcW w:w="1390" w:type="dxa"/>
            <w:tcBorders>
              <w:top w:val="nil"/>
              <w:left w:val="nil"/>
              <w:bottom w:val="single" w:sz="4" w:space="0" w:color="000000"/>
              <w:right w:val="nil"/>
            </w:tcBorders>
            <w:shd w:val="clear" w:color="auto" w:fill="auto"/>
            <w:vAlign w:val="center"/>
          </w:tcPr>
          <w:p w14:paraId="4724B797" w14:textId="77777777" w:rsidR="00482912" w:rsidRPr="00E27686" w:rsidRDefault="00482912" w:rsidP="00A12221">
            <w:pPr>
              <w:pBdr>
                <w:top w:val="nil"/>
                <w:left w:val="nil"/>
                <w:bottom w:val="nil"/>
                <w:right w:val="nil"/>
                <w:between w:val="nil"/>
              </w:pBd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.004</w:t>
            </w:r>
          </w:p>
        </w:tc>
      </w:tr>
      <w:tr w:rsidR="00482912" w:rsidRPr="00E27686" w14:paraId="231D7B8B" w14:textId="77777777" w:rsidTr="0048291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504" w:type="dxa"/>
            <w:gridSpan w:val="7"/>
            <w:tcBorders>
              <w:top w:val="single" w:sz="4" w:space="0" w:color="000000"/>
              <w:left w:val="nil"/>
              <w:bottom w:val="single" w:sz="4" w:space="0" w:color="000000"/>
              <w:right w:val="nil"/>
            </w:tcBorders>
            <w:vAlign w:val="center"/>
          </w:tcPr>
          <w:p w14:paraId="3BEA35C4" w14:textId="77777777" w:rsidR="00482912" w:rsidRPr="00E27686" w:rsidRDefault="00482912" w:rsidP="00A12221">
            <w:pPr>
              <w:pBdr>
                <w:top w:val="nil"/>
                <w:left w:val="nil"/>
                <w:bottom w:val="nil"/>
                <w:right w:val="nil"/>
                <w:between w:val="nil"/>
              </w:pBdr>
              <w:spacing w:after="160" w:line="360" w:lineRule="auto"/>
              <w:jc w:val="center"/>
              <w:rPr>
                <w:rFonts w:asciiTheme="minorHAnsi" w:eastAsia="Times New Roman" w:hAnsiTheme="minorHAnsi" w:cstheme="minorHAnsi"/>
                <w:sz w:val="24"/>
                <w:szCs w:val="24"/>
              </w:rPr>
            </w:pPr>
            <w:r w:rsidRPr="00E27686">
              <w:rPr>
                <w:rFonts w:asciiTheme="minorHAnsi" w:eastAsia="Times New Roman" w:hAnsiTheme="minorHAnsi" w:cstheme="minorHAnsi"/>
                <w:b w:val="0"/>
                <w:sz w:val="24"/>
                <w:szCs w:val="24"/>
              </w:rPr>
              <w:t>F[2,77]=11,79,p&lt;.001,R</w:t>
            </w:r>
            <w:r w:rsidRPr="00E27686">
              <w:rPr>
                <w:rFonts w:asciiTheme="minorHAnsi" w:eastAsia="Times New Roman" w:hAnsiTheme="minorHAnsi" w:cstheme="minorHAnsi"/>
                <w:b w:val="0"/>
                <w:sz w:val="24"/>
                <w:szCs w:val="24"/>
                <w:vertAlign w:val="superscript"/>
              </w:rPr>
              <w:t>2</w:t>
            </w:r>
            <w:r w:rsidRPr="00E27686">
              <w:rPr>
                <w:rFonts w:asciiTheme="minorHAnsi" w:eastAsia="Times New Roman" w:hAnsiTheme="minorHAnsi" w:cstheme="minorHAnsi"/>
                <w:b w:val="0"/>
                <w:sz w:val="24"/>
                <w:szCs w:val="24"/>
              </w:rPr>
              <w:t>=.23]</w:t>
            </w:r>
          </w:p>
        </w:tc>
      </w:tr>
    </w:tbl>
    <w:p w14:paraId="60408960" w14:textId="77777777" w:rsidR="00321076" w:rsidRPr="00E27686" w:rsidRDefault="00321076" w:rsidP="00A12221">
      <w:pPr>
        <w:spacing w:line="360" w:lineRule="auto"/>
        <w:ind w:firstLine="720"/>
        <w:rPr>
          <w:rFonts w:asciiTheme="minorHAnsi" w:eastAsia="Times New Roman" w:hAnsiTheme="minorHAnsi" w:cstheme="minorHAnsi"/>
          <w:sz w:val="24"/>
          <w:szCs w:val="24"/>
        </w:rPr>
      </w:pPr>
    </w:p>
    <w:p w14:paraId="0AE6F28F" w14:textId="6A9A7F9B" w:rsidR="00447D64" w:rsidRPr="00E27686" w:rsidRDefault="00000000" w:rsidP="00A12221">
      <w:pPr>
        <w:spacing w:line="360" w:lineRule="auto"/>
        <w:ind w:firstLine="720"/>
        <w:jc w:val="both"/>
        <w:rPr>
          <w:rFonts w:asciiTheme="minorHAnsi" w:eastAsia="Times New Roman" w:hAnsiTheme="minorHAnsi" w:cstheme="minorHAnsi"/>
          <w:sz w:val="24"/>
          <w:szCs w:val="24"/>
        </w:rPr>
      </w:pPr>
      <w:bookmarkStart w:id="4" w:name="_heading=h.3dy6vkm" w:colFirst="0" w:colLast="0"/>
      <w:bookmarkEnd w:id="4"/>
      <w:r w:rsidRPr="00E27686">
        <w:rPr>
          <w:rFonts w:asciiTheme="minorHAnsi" w:eastAsia="Times New Roman" w:hAnsiTheme="minorHAnsi" w:cstheme="minorHAnsi"/>
          <w:sz w:val="24"/>
          <w:szCs w:val="24"/>
        </w:rPr>
        <w:t xml:space="preserve">El </w:t>
      </w:r>
      <w:r w:rsidR="00FE6E3C" w:rsidRPr="00E27686">
        <w:rPr>
          <w:rFonts w:asciiTheme="minorHAnsi" w:eastAsia="Times New Roman" w:hAnsiTheme="minorHAnsi" w:cstheme="minorHAnsi"/>
          <w:sz w:val="24"/>
          <w:szCs w:val="24"/>
        </w:rPr>
        <w:t>modelo</w:t>
      </w:r>
      <w:r w:rsidRPr="00E27686">
        <w:rPr>
          <w:rFonts w:asciiTheme="minorHAnsi" w:eastAsia="Times New Roman" w:hAnsiTheme="minorHAnsi" w:cstheme="minorHAnsi"/>
          <w:sz w:val="24"/>
          <w:szCs w:val="24"/>
        </w:rPr>
        <w:t xml:space="preserve"> explicativo que comprende ambas estrategias es significativo [F(2,77)=11,79,p&lt;.001,R</w:t>
      </w:r>
      <w:r w:rsidRPr="00E27686">
        <w:rPr>
          <w:rFonts w:asciiTheme="minorHAnsi" w:eastAsia="Times New Roman" w:hAnsiTheme="minorHAnsi" w:cstheme="minorHAnsi"/>
          <w:sz w:val="24"/>
          <w:szCs w:val="24"/>
          <w:vertAlign w:val="superscript"/>
        </w:rPr>
        <w:t>2</w:t>
      </w:r>
      <w:r w:rsidRPr="00E27686">
        <w:rPr>
          <w:rFonts w:asciiTheme="minorHAnsi" w:eastAsia="Times New Roman" w:hAnsiTheme="minorHAnsi" w:cstheme="minorHAnsi"/>
          <w:sz w:val="24"/>
          <w:szCs w:val="24"/>
        </w:rPr>
        <w:t xml:space="preserve">=.23], explicando un 23% del total de la varianza del bienestar psicológico posterior a la separación. </w:t>
      </w:r>
      <w:r w:rsidR="00FE6E3C" w:rsidRPr="00E27686">
        <w:rPr>
          <w:rFonts w:asciiTheme="minorHAnsi" w:eastAsia="Times New Roman" w:hAnsiTheme="minorHAnsi" w:cstheme="minorHAnsi"/>
          <w:sz w:val="24"/>
          <w:szCs w:val="24"/>
        </w:rPr>
        <w:t>Dicho aporte</w:t>
      </w:r>
      <w:r w:rsidRPr="00E27686">
        <w:rPr>
          <w:rFonts w:asciiTheme="minorHAnsi" w:eastAsia="Times New Roman" w:hAnsiTheme="minorHAnsi" w:cstheme="minorHAnsi"/>
          <w:sz w:val="24"/>
          <w:szCs w:val="24"/>
        </w:rPr>
        <w:t xml:space="preserve"> se mantiene significativo tanto para la estrategia de afrontamiento centrada en la pérdida (p&lt;.001), como para la estrategia centrada en la restauración (p=.004), </w:t>
      </w:r>
      <w:r w:rsidR="00FE6E3C" w:rsidRPr="00E27686">
        <w:rPr>
          <w:rFonts w:asciiTheme="minorHAnsi" w:eastAsia="Times New Roman" w:hAnsiTheme="minorHAnsi" w:cstheme="minorHAnsi"/>
          <w:sz w:val="24"/>
          <w:szCs w:val="24"/>
        </w:rPr>
        <w:t>presentando</w:t>
      </w:r>
      <w:r w:rsidRPr="00E27686">
        <w:rPr>
          <w:rFonts w:asciiTheme="minorHAnsi" w:eastAsia="Times New Roman" w:hAnsiTheme="minorHAnsi" w:cstheme="minorHAnsi"/>
          <w:sz w:val="24"/>
          <w:szCs w:val="24"/>
        </w:rPr>
        <w:t xml:space="preserve"> la primera un valor negativo y la segunda teniendo </w:t>
      </w:r>
      <w:r w:rsidR="00FE6E3C" w:rsidRPr="00E27686">
        <w:rPr>
          <w:rFonts w:asciiTheme="minorHAnsi" w:eastAsia="Times New Roman" w:hAnsiTheme="minorHAnsi" w:cstheme="minorHAnsi"/>
          <w:sz w:val="24"/>
          <w:szCs w:val="24"/>
        </w:rPr>
        <w:t xml:space="preserve">un </w:t>
      </w:r>
      <w:r w:rsidRPr="00E27686">
        <w:rPr>
          <w:rFonts w:asciiTheme="minorHAnsi" w:eastAsia="Times New Roman" w:hAnsiTheme="minorHAnsi" w:cstheme="minorHAnsi"/>
          <w:sz w:val="24"/>
          <w:szCs w:val="24"/>
        </w:rPr>
        <w:t xml:space="preserve">valor positivo. Es decir, </w:t>
      </w:r>
      <w:r w:rsidR="00FE6E3C" w:rsidRPr="00E27686">
        <w:rPr>
          <w:rFonts w:asciiTheme="minorHAnsi" w:eastAsia="Times New Roman" w:hAnsiTheme="minorHAnsi" w:cstheme="minorHAnsi"/>
          <w:sz w:val="24"/>
          <w:szCs w:val="24"/>
        </w:rPr>
        <w:t>a mayor</w:t>
      </w:r>
      <w:r w:rsidRPr="00E27686">
        <w:rPr>
          <w:rFonts w:asciiTheme="minorHAnsi" w:eastAsia="Times New Roman" w:hAnsiTheme="minorHAnsi" w:cstheme="minorHAnsi"/>
          <w:sz w:val="24"/>
          <w:szCs w:val="24"/>
        </w:rPr>
        <w:t xml:space="preserve"> utilización de la estrategia de afrontamiento centrada en la pérdida, menor bienestar psicológico postruptura, y a </w:t>
      </w:r>
      <w:r w:rsidR="00FE6E3C" w:rsidRPr="00E27686">
        <w:rPr>
          <w:rFonts w:asciiTheme="minorHAnsi" w:eastAsia="Times New Roman" w:hAnsiTheme="minorHAnsi" w:cstheme="minorHAnsi"/>
          <w:sz w:val="24"/>
          <w:szCs w:val="24"/>
        </w:rPr>
        <w:t>mayor</w:t>
      </w:r>
      <w:r w:rsidRPr="00E27686">
        <w:rPr>
          <w:rFonts w:asciiTheme="minorHAnsi" w:eastAsia="Times New Roman" w:hAnsiTheme="minorHAnsi" w:cstheme="minorHAnsi"/>
          <w:sz w:val="24"/>
          <w:szCs w:val="24"/>
        </w:rPr>
        <w:t xml:space="preserve"> utilización de la estrategia centrada en la restauración, mayor bienestar psicológico.</w:t>
      </w:r>
    </w:p>
    <w:p w14:paraId="58F4164A" w14:textId="44CEC85F" w:rsidR="00447D64" w:rsidRPr="00E27686" w:rsidRDefault="00000000" w:rsidP="00A12221">
      <w:pPr>
        <w:keepNext/>
        <w:keepLines/>
        <w:pBdr>
          <w:top w:val="nil"/>
          <w:left w:val="nil"/>
          <w:bottom w:val="nil"/>
          <w:right w:val="nil"/>
          <w:between w:val="nil"/>
        </w:pBdr>
        <w:spacing w:before="240" w:after="0" w:line="360" w:lineRule="auto"/>
        <w:rPr>
          <w:rFonts w:asciiTheme="minorHAnsi" w:eastAsia="Times New Roman" w:hAnsiTheme="minorHAnsi" w:cstheme="minorHAnsi"/>
          <w:b/>
          <w:bCs/>
          <w:sz w:val="24"/>
          <w:szCs w:val="24"/>
        </w:rPr>
      </w:pPr>
      <w:r w:rsidRPr="00E27686">
        <w:rPr>
          <w:rFonts w:asciiTheme="minorHAnsi" w:eastAsia="Times New Roman" w:hAnsiTheme="minorHAnsi" w:cstheme="minorHAnsi"/>
          <w:b/>
          <w:bCs/>
          <w:sz w:val="24"/>
          <w:szCs w:val="24"/>
        </w:rPr>
        <w:t>DISCUSIÓN</w:t>
      </w:r>
    </w:p>
    <w:p w14:paraId="2707F385" w14:textId="77777777" w:rsidR="00447D64" w:rsidRPr="00E27686" w:rsidRDefault="00447D64" w:rsidP="00A12221">
      <w:pPr>
        <w:spacing w:line="360" w:lineRule="auto"/>
        <w:rPr>
          <w:rFonts w:asciiTheme="minorHAnsi" w:eastAsia="Times New Roman" w:hAnsiTheme="minorHAnsi" w:cstheme="minorHAnsi"/>
          <w:sz w:val="24"/>
          <w:szCs w:val="24"/>
        </w:rPr>
      </w:pPr>
    </w:p>
    <w:p w14:paraId="7715F899" w14:textId="3FC82311" w:rsidR="00447D64" w:rsidRPr="00E27686" w:rsidRDefault="00C71529"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Dentro del primer objetivo, considerando el apego, niveles elevados de evitación están correlacionados con una mayor utilización de la estrategia enfocada en la pérdida. Este </w:t>
      </w:r>
      <w:r w:rsidRPr="00E27686">
        <w:rPr>
          <w:rFonts w:asciiTheme="minorHAnsi" w:eastAsia="Times New Roman" w:hAnsiTheme="minorHAnsi" w:cstheme="minorHAnsi"/>
          <w:sz w:val="24"/>
          <w:szCs w:val="24"/>
        </w:rPr>
        <w:lastRenderedPageBreak/>
        <w:t>hallazgo</w:t>
      </w:r>
      <w:r w:rsidR="00FE6E3C"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xml:space="preserve"> inicialmente sorprendente</w:t>
      </w:r>
      <w:r w:rsidR="00FE6E3C"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xml:space="preserve"> se debe a que la evitación generalmente implica una búsqueda de independencia, autonomía y distanciamiento emocional (Davis et al., 2003). Sin embargo, durante la adultez emergente, la pareja desempeña un papel crucial al representar la principal figura de apego para cada miembro (Eisma et al., 2022). La estabilidad y la adecuada regulación emocional personal se ven facilitadas en la relación sentimental, ya que una separación puede tener consecuencias negativas significativas para los individuos afectados (Sbarra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Borelli, 2019). Al perder a su pareja, los individuos se vuelven más vulnerables y pueden darse cuenta de que evitar el sufrimiento no resulta efectivo (Mikulincer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Shaver, 2021).</w:t>
      </w:r>
    </w:p>
    <w:p w14:paraId="20EF0A22" w14:textId="1C774546"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En este contexto, las estrategias de distracción pueden no ser efectivas, y el intenso anhelo de conservar una conexión con la expareja puede expresarse mediante la repetición de pensamientos, así como esfuerzos de </w:t>
      </w:r>
      <w:r w:rsidR="00FE6E3C" w:rsidRPr="00E27686">
        <w:rPr>
          <w:rFonts w:asciiTheme="minorHAnsi" w:eastAsia="Times New Roman" w:hAnsiTheme="minorHAnsi" w:cstheme="minorHAnsi"/>
          <w:sz w:val="24"/>
          <w:szCs w:val="24"/>
        </w:rPr>
        <w:t>mantenerla próxima</w:t>
      </w:r>
      <w:r w:rsidRPr="00E27686">
        <w:rPr>
          <w:rFonts w:asciiTheme="minorHAnsi" w:eastAsia="Times New Roman" w:hAnsiTheme="minorHAnsi" w:cstheme="minorHAnsi"/>
          <w:sz w:val="24"/>
          <w:szCs w:val="24"/>
        </w:rPr>
        <w:t xml:space="preserve"> (Eisma et al., 2022), </w:t>
      </w:r>
      <w:r w:rsidR="00FE6E3C" w:rsidRPr="00E27686">
        <w:rPr>
          <w:rFonts w:asciiTheme="minorHAnsi" w:eastAsia="Times New Roman" w:hAnsiTheme="minorHAnsi" w:cstheme="minorHAnsi"/>
          <w:sz w:val="24"/>
          <w:szCs w:val="24"/>
        </w:rPr>
        <w:t xml:space="preserve">algo </w:t>
      </w:r>
      <w:r w:rsidRPr="00E27686">
        <w:rPr>
          <w:rFonts w:asciiTheme="minorHAnsi" w:eastAsia="Times New Roman" w:hAnsiTheme="minorHAnsi" w:cstheme="minorHAnsi"/>
          <w:sz w:val="24"/>
          <w:szCs w:val="24"/>
        </w:rPr>
        <w:t>esperado en un afrontamiento centrado en la pérdida.</w:t>
      </w:r>
    </w:p>
    <w:p w14:paraId="0D647A45" w14:textId="2C34A147"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Se halló una correlación negativa y significativa </w:t>
      </w:r>
      <w:r w:rsidR="00FE6E3C" w:rsidRPr="00E27686">
        <w:rPr>
          <w:rFonts w:asciiTheme="minorHAnsi" w:eastAsia="Times New Roman" w:hAnsiTheme="minorHAnsi" w:cstheme="minorHAnsi"/>
          <w:sz w:val="24"/>
          <w:szCs w:val="24"/>
        </w:rPr>
        <w:t>entre</w:t>
      </w:r>
      <w:r w:rsidRPr="00E27686">
        <w:rPr>
          <w:rFonts w:asciiTheme="minorHAnsi" w:eastAsia="Times New Roman" w:hAnsiTheme="minorHAnsi" w:cstheme="minorHAnsi"/>
          <w:sz w:val="24"/>
          <w:szCs w:val="24"/>
        </w:rPr>
        <w:t xml:space="preserve"> la variable de estrategia de resolución de conflictos basada en la conformidad y la variable estrategia de afrontamiento enfocada en la restauración de la vida. Este hallazgo contradice la hipótesis inicial, indicando que las acciones dirigidas hacia la restauración de la vida requieren un esfuerzo activo para evitar caer en la rumiación y el sufrimiento. </w:t>
      </w:r>
      <w:r w:rsidR="00C71529" w:rsidRPr="00E27686">
        <w:rPr>
          <w:rFonts w:asciiTheme="minorHAnsi" w:eastAsia="Times New Roman" w:hAnsiTheme="minorHAnsi" w:cstheme="minorHAnsi"/>
          <w:sz w:val="24"/>
          <w:szCs w:val="24"/>
        </w:rPr>
        <w:t>L</w:t>
      </w:r>
      <w:r w:rsidRPr="00E27686">
        <w:rPr>
          <w:rFonts w:asciiTheme="minorHAnsi" w:eastAsia="Times New Roman" w:hAnsiTheme="minorHAnsi" w:cstheme="minorHAnsi"/>
          <w:sz w:val="24"/>
          <w:szCs w:val="24"/>
        </w:rPr>
        <w:t>as personas que tienden a adoptar la conformidad para resolver situaciones estresantes en la pareja pueden mostrar una menor iniciativa en las actividades necesarias para reanudar la rutina tras una ruptura.</w:t>
      </w:r>
    </w:p>
    <w:p w14:paraId="62B35A38" w14:textId="6C0DCFAD"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Respecto al impacto de la calidad de la relación en las estrategias de afrontamiento, la hipótesis no fue confirmada. </w:t>
      </w:r>
      <w:r w:rsidR="00C71529" w:rsidRPr="00E27686">
        <w:rPr>
          <w:rFonts w:asciiTheme="minorHAnsi" w:eastAsia="Times New Roman" w:hAnsiTheme="minorHAnsi" w:cstheme="minorHAnsi"/>
          <w:sz w:val="24"/>
          <w:szCs w:val="24"/>
        </w:rPr>
        <w:t>El</w:t>
      </w:r>
      <w:r w:rsidRPr="00E27686">
        <w:rPr>
          <w:rFonts w:asciiTheme="minorHAnsi" w:eastAsia="Times New Roman" w:hAnsiTheme="minorHAnsi" w:cstheme="minorHAnsi"/>
          <w:sz w:val="24"/>
          <w:szCs w:val="24"/>
        </w:rPr>
        <w:t xml:space="preserve"> proceso de oscilación en el afrontamiento de una separación </w:t>
      </w:r>
      <w:r w:rsidR="00FE6E3C" w:rsidRPr="00E27686">
        <w:rPr>
          <w:rFonts w:asciiTheme="minorHAnsi" w:eastAsia="Times New Roman" w:hAnsiTheme="minorHAnsi" w:cstheme="minorHAnsi"/>
          <w:sz w:val="24"/>
          <w:szCs w:val="24"/>
        </w:rPr>
        <w:t>podría</w:t>
      </w:r>
      <w:r w:rsidRPr="00E27686">
        <w:rPr>
          <w:rFonts w:asciiTheme="minorHAnsi" w:eastAsia="Times New Roman" w:hAnsiTheme="minorHAnsi" w:cstheme="minorHAnsi"/>
          <w:sz w:val="24"/>
          <w:szCs w:val="24"/>
        </w:rPr>
        <w:t xml:space="preserve"> ser beneficioso para el bienestar posterior (Stroebe et al., 2005). Por lo tanto, los individuos pueden optar por alternar entre diversas estrategias según las circunstancias, sin mostrar una preferencia clara por alguna de ellas.</w:t>
      </w:r>
    </w:p>
    <w:p w14:paraId="1598F62E" w14:textId="5086B330"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El segundo objetivo del estudio consistió en analizar la relación entre las variables relacionales y las estrategias de ruptura. Se halló que un nivel elevado de ansiedad está significativamente correlacionado de manera positiva con un mayor uso de las estrategias de comunicación distante/mediada y manipulación. Las personas con alta ansiedad suelen sentirse frustradas con facilidad, tienen dificultades para aceptar el rechazo y la pérdida, y </w:t>
      </w:r>
      <w:r w:rsidRPr="00E27686">
        <w:rPr>
          <w:rFonts w:asciiTheme="minorHAnsi" w:eastAsia="Times New Roman" w:hAnsiTheme="minorHAnsi" w:cstheme="minorHAnsi"/>
          <w:sz w:val="24"/>
          <w:szCs w:val="24"/>
        </w:rPr>
        <w:lastRenderedPageBreak/>
        <w:t xml:space="preserve">tienden a culpar a sus exparejas (Collins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Gillath, 2012; Sheppard, 2012; Madey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Jilek, 2012). Frente a situaciones estresantes, tienden a priorizar sus propias necesidades, lo cual podría dificultar la adopción de comportamientos empáticos y de apoyo con la </w:t>
      </w:r>
      <w:r w:rsidR="00C71529" w:rsidRPr="00E27686">
        <w:rPr>
          <w:rFonts w:asciiTheme="minorHAnsi" w:eastAsia="Times New Roman" w:hAnsiTheme="minorHAnsi" w:cstheme="minorHAnsi"/>
          <w:sz w:val="24"/>
          <w:szCs w:val="24"/>
        </w:rPr>
        <w:t>expareja</w:t>
      </w:r>
      <w:r w:rsidRPr="00E27686">
        <w:rPr>
          <w:rFonts w:asciiTheme="minorHAnsi" w:eastAsia="Times New Roman" w:hAnsiTheme="minorHAnsi" w:cstheme="minorHAnsi"/>
          <w:sz w:val="24"/>
          <w:szCs w:val="24"/>
        </w:rPr>
        <w:t xml:space="preserve"> (Mikulincer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Shaver, 20</w:t>
      </w:r>
      <w:r w:rsidR="00ED7282" w:rsidRPr="00E27686">
        <w:rPr>
          <w:rFonts w:asciiTheme="minorHAnsi" w:eastAsia="Times New Roman" w:hAnsiTheme="minorHAnsi" w:cstheme="minorHAnsi"/>
          <w:sz w:val="24"/>
          <w:szCs w:val="24"/>
        </w:rPr>
        <w:t>16</w:t>
      </w:r>
      <w:r w:rsidRPr="00E27686">
        <w:rPr>
          <w:rFonts w:asciiTheme="minorHAnsi" w:eastAsia="Times New Roman" w:hAnsiTheme="minorHAnsi" w:cstheme="minorHAnsi"/>
          <w:sz w:val="24"/>
          <w:szCs w:val="24"/>
        </w:rPr>
        <w:t>), optando por estrategias de manipulación y comunicación distante/mediada.</w:t>
      </w:r>
    </w:p>
    <w:p w14:paraId="484DEC07" w14:textId="35EF41BD"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La asociación significativa entre la evitación y la elección de estrategias de comunicación distante/mediada también es comprensible. Las personas con altos niveles de evitación muestran un menor interés en establecer vínculos y comprometerse (Cassidy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Kobak, 1988; Mikulincer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Shaver, 2016), favoreciendo así el uso de estrategias que eviten la confrontación directa y prefir</w:t>
      </w:r>
      <w:r w:rsidR="00C71529" w:rsidRPr="00E27686">
        <w:rPr>
          <w:rFonts w:asciiTheme="minorHAnsi" w:eastAsia="Times New Roman" w:hAnsiTheme="minorHAnsi" w:cstheme="minorHAnsi"/>
          <w:sz w:val="24"/>
          <w:szCs w:val="24"/>
        </w:rPr>
        <w:t>iendo</w:t>
      </w:r>
      <w:r w:rsidRPr="00E27686">
        <w:rPr>
          <w:rFonts w:asciiTheme="minorHAnsi" w:eastAsia="Times New Roman" w:hAnsiTheme="minorHAnsi" w:cstheme="minorHAnsi"/>
          <w:sz w:val="24"/>
          <w:szCs w:val="24"/>
        </w:rPr>
        <w:t xml:space="preserve"> la comunicación indirecta durante la ruptura.</w:t>
      </w:r>
    </w:p>
    <w:p w14:paraId="62769B96" w14:textId="63DBA7D1"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En relación con el impacto de la calidad de la relación, se encontró que niveles más altos se vinculaban negativa y significativa</w:t>
      </w:r>
      <w:r w:rsidR="00C71529" w:rsidRPr="00E27686">
        <w:rPr>
          <w:rFonts w:asciiTheme="minorHAnsi" w:eastAsia="Times New Roman" w:hAnsiTheme="minorHAnsi" w:cstheme="minorHAnsi"/>
          <w:sz w:val="24"/>
          <w:szCs w:val="24"/>
        </w:rPr>
        <w:t>mente</w:t>
      </w:r>
      <w:r w:rsidRPr="00E27686">
        <w:rPr>
          <w:rFonts w:asciiTheme="minorHAnsi" w:eastAsia="Times New Roman" w:hAnsiTheme="minorHAnsi" w:cstheme="minorHAnsi"/>
          <w:sz w:val="24"/>
          <w:szCs w:val="24"/>
        </w:rPr>
        <w:t xml:space="preserve"> con un </w:t>
      </w:r>
      <w:r w:rsidR="00C71529" w:rsidRPr="00E27686">
        <w:rPr>
          <w:rFonts w:asciiTheme="minorHAnsi" w:eastAsia="Times New Roman" w:hAnsiTheme="minorHAnsi" w:cstheme="minorHAnsi"/>
          <w:sz w:val="24"/>
          <w:szCs w:val="24"/>
        </w:rPr>
        <w:t xml:space="preserve">menor </w:t>
      </w:r>
      <w:r w:rsidRPr="00E27686">
        <w:rPr>
          <w:rFonts w:asciiTheme="minorHAnsi" w:eastAsia="Times New Roman" w:hAnsiTheme="minorHAnsi" w:cstheme="minorHAnsi"/>
          <w:sz w:val="24"/>
          <w:szCs w:val="24"/>
        </w:rPr>
        <w:t xml:space="preserve">uso de la estrategia de comunicación distante/mediada durante la ruptura. Esto es coherente, dado que una relación de pareja de alta calidad implica cuidado mutuo, intimidad, confianza y comunicación constructiva (García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Romero, 2012; Martínez et al., 2014). Por otro lado, la comunicación distante/mediada se distingue </w:t>
      </w:r>
      <w:r w:rsidR="00C71529" w:rsidRPr="00E27686">
        <w:rPr>
          <w:rFonts w:asciiTheme="minorHAnsi" w:eastAsia="Times New Roman" w:hAnsiTheme="minorHAnsi" w:cstheme="minorHAnsi"/>
          <w:sz w:val="24"/>
          <w:szCs w:val="24"/>
        </w:rPr>
        <w:t>por el</w:t>
      </w:r>
      <w:r w:rsidRPr="00E27686">
        <w:rPr>
          <w:rFonts w:asciiTheme="minorHAnsi" w:eastAsia="Times New Roman" w:hAnsiTheme="minorHAnsi" w:cstheme="minorHAnsi"/>
          <w:sz w:val="24"/>
          <w:szCs w:val="24"/>
        </w:rPr>
        <w:t xml:space="preserve"> </w:t>
      </w:r>
      <w:r w:rsidR="00C71529" w:rsidRPr="00E27686">
        <w:rPr>
          <w:rFonts w:asciiTheme="minorHAnsi" w:eastAsia="Times New Roman" w:hAnsiTheme="minorHAnsi" w:cstheme="minorHAnsi"/>
          <w:sz w:val="24"/>
          <w:szCs w:val="24"/>
        </w:rPr>
        <w:t>alejamiento</w:t>
      </w:r>
      <w:r w:rsidRPr="00E27686">
        <w:rPr>
          <w:rFonts w:asciiTheme="minorHAnsi" w:eastAsia="Times New Roman" w:hAnsiTheme="minorHAnsi" w:cstheme="minorHAnsi"/>
          <w:sz w:val="24"/>
          <w:szCs w:val="24"/>
        </w:rPr>
        <w:t xml:space="preserve"> </w:t>
      </w:r>
      <w:r w:rsidR="00C71529" w:rsidRPr="00E27686">
        <w:rPr>
          <w:rFonts w:asciiTheme="minorHAnsi" w:eastAsia="Times New Roman" w:hAnsiTheme="minorHAnsi" w:cstheme="minorHAnsi"/>
          <w:sz w:val="24"/>
          <w:szCs w:val="24"/>
        </w:rPr>
        <w:t>d</w:t>
      </w:r>
      <w:r w:rsidRPr="00E27686">
        <w:rPr>
          <w:rFonts w:asciiTheme="minorHAnsi" w:eastAsia="Times New Roman" w:hAnsiTheme="minorHAnsi" w:cstheme="minorHAnsi"/>
          <w:sz w:val="24"/>
          <w:szCs w:val="24"/>
        </w:rPr>
        <w:t xml:space="preserve">el problema y la dificultad para abordar la separación de forma clara y sincera con la otra parte (Collins </w:t>
      </w:r>
      <w:r w:rsidR="00663ADA"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Gillath, 2012).</w:t>
      </w:r>
    </w:p>
    <w:p w14:paraId="7B3BBD1A" w14:textId="57451F32" w:rsidR="00447D64" w:rsidRPr="00E27686" w:rsidRDefault="00C71529"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Considerando el último objetivo del estudio se encontró una asociación significativa y negativa entre el afrontamiento centrado en la pérdida y </w:t>
      </w:r>
      <w:r w:rsidR="0067768C" w:rsidRPr="00E27686">
        <w:rPr>
          <w:rFonts w:asciiTheme="minorHAnsi" w:eastAsia="Times New Roman" w:hAnsiTheme="minorHAnsi" w:cstheme="minorHAnsi"/>
          <w:sz w:val="24"/>
          <w:szCs w:val="24"/>
        </w:rPr>
        <w:t>e</w:t>
      </w:r>
      <w:r w:rsidRPr="00E27686">
        <w:rPr>
          <w:rFonts w:asciiTheme="minorHAnsi" w:eastAsia="Times New Roman" w:hAnsiTheme="minorHAnsi" w:cstheme="minorHAnsi"/>
          <w:sz w:val="24"/>
          <w:szCs w:val="24"/>
        </w:rPr>
        <w:t xml:space="preserve">l bienestar psicológico, así como una asociación significativa y positiva </w:t>
      </w:r>
      <w:r w:rsidR="0067768C" w:rsidRPr="00E27686">
        <w:rPr>
          <w:rFonts w:asciiTheme="minorHAnsi" w:eastAsia="Times New Roman" w:hAnsiTheme="minorHAnsi" w:cstheme="minorHAnsi"/>
          <w:sz w:val="24"/>
          <w:szCs w:val="24"/>
        </w:rPr>
        <w:t>entre el</w:t>
      </w:r>
      <w:r w:rsidRPr="00E27686">
        <w:rPr>
          <w:rFonts w:asciiTheme="minorHAnsi" w:eastAsia="Times New Roman" w:hAnsiTheme="minorHAnsi" w:cstheme="minorHAnsi"/>
          <w:sz w:val="24"/>
          <w:szCs w:val="24"/>
        </w:rPr>
        <w:t xml:space="preserve"> afrontamiento centrado en la restauración y </w:t>
      </w:r>
      <w:r w:rsidR="0067768C" w:rsidRPr="00E27686">
        <w:rPr>
          <w:rFonts w:asciiTheme="minorHAnsi" w:eastAsia="Times New Roman" w:hAnsiTheme="minorHAnsi" w:cstheme="minorHAnsi"/>
          <w:sz w:val="24"/>
          <w:szCs w:val="24"/>
        </w:rPr>
        <w:t>e</w:t>
      </w:r>
      <w:r w:rsidRPr="00E27686">
        <w:rPr>
          <w:rFonts w:asciiTheme="minorHAnsi" w:eastAsia="Times New Roman" w:hAnsiTheme="minorHAnsi" w:cstheme="minorHAnsi"/>
          <w:sz w:val="24"/>
          <w:szCs w:val="24"/>
        </w:rPr>
        <w:t>l bienestar psicológico. Estos hallazgos están respaldados por la literatura revisada.</w:t>
      </w:r>
    </w:p>
    <w:p w14:paraId="5F9259C0" w14:textId="4D609180" w:rsidR="00447D64" w:rsidRPr="00E27686" w:rsidRDefault="00FE6346"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Las estrategias centradas en la restauración, al implicar acciones proactivas del individuo, se asocian a un mejor ajuste afectivo post-ruptura (Carter et al., 2018; Davis et al., 2003; Field et al., 2010). Este control percibido sobre la situación contrasta con las estrategias centradas en la pérdida, vinculadas a eventos involuntarios, pensamientos intrusivos y perspectivas negativas, que pueden deteriorar el bienestar psicológico.</w:t>
      </w:r>
    </w:p>
    <w:p w14:paraId="0C8A14D0" w14:textId="77777777" w:rsidR="00447D64" w:rsidRPr="00E27686" w:rsidRDefault="00000000" w:rsidP="00A12221">
      <w:pPr>
        <w:keepNext/>
        <w:keepLines/>
        <w:pBdr>
          <w:top w:val="nil"/>
          <w:left w:val="nil"/>
          <w:bottom w:val="nil"/>
          <w:right w:val="nil"/>
          <w:between w:val="nil"/>
        </w:pBdr>
        <w:spacing w:before="240" w:after="0" w:line="360" w:lineRule="auto"/>
        <w:jc w:val="both"/>
        <w:rPr>
          <w:rFonts w:asciiTheme="minorHAnsi" w:hAnsiTheme="minorHAnsi" w:cstheme="minorHAnsi"/>
          <w:b/>
          <w:bCs/>
          <w:sz w:val="24"/>
          <w:szCs w:val="24"/>
        </w:rPr>
      </w:pPr>
      <w:r w:rsidRPr="00E27686">
        <w:rPr>
          <w:rFonts w:asciiTheme="minorHAnsi" w:hAnsiTheme="minorHAnsi" w:cstheme="minorHAnsi"/>
          <w:b/>
          <w:bCs/>
          <w:sz w:val="24"/>
          <w:szCs w:val="24"/>
        </w:rPr>
        <w:t>LIMITACIONES Y PROPUESTAS DE FUTURO</w:t>
      </w:r>
    </w:p>
    <w:p w14:paraId="284D1EEB" w14:textId="77777777" w:rsidR="00447D64" w:rsidRPr="00E27686" w:rsidRDefault="00447D64" w:rsidP="00A12221">
      <w:pPr>
        <w:spacing w:line="360" w:lineRule="auto"/>
        <w:jc w:val="both"/>
        <w:rPr>
          <w:rFonts w:asciiTheme="minorHAnsi" w:eastAsia="Times New Roman" w:hAnsiTheme="minorHAnsi" w:cstheme="minorHAnsi"/>
          <w:sz w:val="24"/>
          <w:szCs w:val="24"/>
        </w:rPr>
      </w:pPr>
    </w:p>
    <w:p w14:paraId="6DB4877D" w14:textId="77777777" w:rsidR="004B37EF" w:rsidRPr="00E27686" w:rsidRDefault="00493D5D"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Se empleó un proceso de selección no probabilístico con la muestra, lo cual evidenci</w:t>
      </w:r>
      <w:r w:rsidR="00C31818" w:rsidRPr="00E27686">
        <w:rPr>
          <w:rFonts w:asciiTheme="minorHAnsi" w:eastAsia="Times New Roman" w:hAnsiTheme="minorHAnsi" w:cstheme="minorHAnsi"/>
          <w:sz w:val="24"/>
          <w:szCs w:val="24"/>
        </w:rPr>
        <w:t>ó</w:t>
      </w:r>
      <w:r w:rsidRPr="00E27686">
        <w:rPr>
          <w:rFonts w:asciiTheme="minorHAnsi" w:eastAsia="Times New Roman" w:hAnsiTheme="minorHAnsi" w:cstheme="minorHAnsi"/>
          <w:sz w:val="24"/>
          <w:szCs w:val="24"/>
        </w:rPr>
        <w:t xml:space="preserve"> un nivel socioeconómico y cultural medio-alto. Se detectó una considerable diferencia en la </w:t>
      </w:r>
      <w:r w:rsidRPr="00E27686">
        <w:rPr>
          <w:rFonts w:asciiTheme="minorHAnsi" w:eastAsia="Times New Roman" w:hAnsiTheme="minorHAnsi" w:cstheme="minorHAnsi"/>
          <w:sz w:val="24"/>
          <w:szCs w:val="24"/>
        </w:rPr>
        <w:lastRenderedPageBreak/>
        <w:t xml:space="preserve">cantidad de mujeres y hombres en la muestra, lo cual podría explicarse por las diferencias en la educación emocional </w:t>
      </w:r>
      <w:r w:rsidR="00C31818" w:rsidRPr="00E27686">
        <w:rPr>
          <w:rFonts w:asciiTheme="minorHAnsi" w:eastAsia="Times New Roman" w:hAnsiTheme="minorHAnsi" w:cstheme="minorHAnsi"/>
          <w:sz w:val="24"/>
          <w:szCs w:val="24"/>
        </w:rPr>
        <w:t>recibida</w:t>
      </w:r>
      <w:r w:rsidRPr="00E27686">
        <w:rPr>
          <w:rFonts w:asciiTheme="minorHAnsi" w:eastAsia="Times New Roman" w:hAnsiTheme="minorHAnsi" w:cstheme="minorHAnsi"/>
          <w:sz w:val="24"/>
          <w:szCs w:val="24"/>
        </w:rPr>
        <w:t xml:space="preserve"> y la consecuente </w:t>
      </w:r>
      <w:r w:rsidR="00C31818" w:rsidRPr="00E27686">
        <w:rPr>
          <w:rFonts w:asciiTheme="minorHAnsi" w:eastAsia="Times New Roman" w:hAnsiTheme="minorHAnsi" w:cstheme="minorHAnsi"/>
          <w:sz w:val="24"/>
          <w:szCs w:val="24"/>
        </w:rPr>
        <w:t>pre</w:t>
      </w:r>
      <w:r w:rsidRPr="00E27686">
        <w:rPr>
          <w:rFonts w:asciiTheme="minorHAnsi" w:eastAsia="Times New Roman" w:hAnsiTheme="minorHAnsi" w:cstheme="minorHAnsi"/>
          <w:sz w:val="24"/>
          <w:szCs w:val="24"/>
        </w:rPr>
        <w:t>disposición de a formar parte en estudios sobre emociones y relaciones interpersonales.</w:t>
      </w:r>
    </w:p>
    <w:p w14:paraId="1298B1BE" w14:textId="45C07E80"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Dadas estas consideraciones, sería conveniente ampliar la diversidad de la muestra, incorporando a más participantes masculinos</w:t>
      </w:r>
      <w:r w:rsidR="004B37EF" w:rsidRPr="00E27686">
        <w:rPr>
          <w:rFonts w:asciiTheme="minorHAnsi" w:eastAsia="Times New Roman" w:hAnsiTheme="minorHAnsi" w:cstheme="minorHAnsi"/>
          <w:sz w:val="24"/>
          <w:szCs w:val="24"/>
        </w:rPr>
        <w:t xml:space="preserve">, </w:t>
      </w:r>
      <w:r w:rsidRPr="00E27686">
        <w:rPr>
          <w:rFonts w:asciiTheme="minorHAnsi" w:eastAsia="Times New Roman" w:hAnsiTheme="minorHAnsi" w:cstheme="minorHAnsi"/>
          <w:sz w:val="24"/>
          <w:szCs w:val="24"/>
        </w:rPr>
        <w:t>considera</w:t>
      </w:r>
      <w:r w:rsidR="004B37EF" w:rsidRPr="00E27686">
        <w:rPr>
          <w:rFonts w:asciiTheme="minorHAnsi" w:eastAsia="Times New Roman" w:hAnsiTheme="minorHAnsi" w:cstheme="minorHAnsi"/>
          <w:sz w:val="24"/>
          <w:szCs w:val="24"/>
        </w:rPr>
        <w:t>r</w:t>
      </w:r>
      <w:r w:rsidRPr="00E27686">
        <w:rPr>
          <w:rFonts w:asciiTheme="minorHAnsi" w:eastAsia="Times New Roman" w:hAnsiTheme="minorHAnsi" w:cstheme="minorHAnsi"/>
          <w:sz w:val="24"/>
          <w:szCs w:val="24"/>
        </w:rPr>
        <w:t xml:space="preserve"> incluir diferentes tipos de relaciones sentimentales</w:t>
      </w:r>
      <w:r w:rsidR="004B37EF" w:rsidRPr="00E27686">
        <w:rPr>
          <w:rFonts w:asciiTheme="minorHAnsi" w:eastAsia="Times New Roman" w:hAnsiTheme="minorHAnsi" w:cstheme="minorHAnsi"/>
          <w:sz w:val="24"/>
          <w:szCs w:val="24"/>
        </w:rPr>
        <w:t xml:space="preserve"> o abordar dinámicas </w:t>
      </w:r>
      <w:r w:rsidR="004B37EF" w:rsidRPr="00E27686">
        <w:rPr>
          <w:rFonts w:asciiTheme="minorHAnsi" w:hAnsiTheme="minorHAnsi" w:cstheme="minorHAnsi"/>
          <w:sz w:val="24"/>
          <w:szCs w:val="24"/>
        </w:rPr>
        <w:t>de abuso y maltrato en la pareja (Prieto, Molled</w:t>
      </w:r>
      <w:r w:rsidR="00A368C0" w:rsidRPr="00E27686">
        <w:rPr>
          <w:rFonts w:asciiTheme="minorHAnsi" w:hAnsiTheme="minorHAnsi" w:cstheme="minorHAnsi"/>
          <w:sz w:val="24"/>
          <w:szCs w:val="24"/>
        </w:rPr>
        <w:t>a</w:t>
      </w:r>
      <w:r w:rsidR="004B37EF" w:rsidRPr="00E27686">
        <w:rPr>
          <w:rFonts w:asciiTheme="minorHAnsi" w:hAnsiTheme="minorHAnsi" w:cstheme="minorHAnsi"/>
          <w:sz w:val="24"/>
          <w:szCs w:val="24"/>
        </w:rPr>
        <w:t xml:space="preserve"> </w:t>
      </w:r>
      <w:r w:rsidR="00663ADA" w:rsidRPr="00E27686">
        <w:rPr>
          <w:rFonts w:asciiTheme="minorHAnsi" w:eastAsia="Times New Roman" w:hAnsiTheme="minorHAnsi" w:cstheme="minorHAnsi"/>
          <w:sz w:val="24"/>
          <w:szCs w:val="24"/>
          <w:lang w:val="es-PE"/>
        </w:rPr>
        <w:t>&amp;</w:t>
      </w:r>
      <w:r w:rsidR="004B37EF" w:rsidRPr="00E27686">
        <w:rPr>
          <w:rFonts w:asciiTheme="minorHAnsi" w:hAnsiTheme="minorHAnsi" w:cstheme="minorHAnsi"/>
          <w:sz w:val="24"/>
          <w:szCs w:val="24"/>
        </w:rPr>
        <w:t xml:space="preserve"> Amado, 2022).</w:t>
      </w:r>
      <w:r w:rsidRPr="00E27686">
        <w:rPr>
          <w:rFonts w:asciiTheme="minorHAnsi" w:eastAsia="Times New Roman" w:hAnsiTheme="minorHAnsi" w:cstheme="minorHAnsi"/>
          <w:sz w:val="24"/>
          <w:szCs w:val="24"/>
        </w:rPr>
        <w:t xml:space="preserve"> Teniendo en cuenta que el foco de este estudio es la </w:t>
      </w:r>
      <w:r w:rsidR="00493D5D" w:rsidRPr="00E27686">
        <w:rPr>
          <w:rFonts w:asciiTheme="minorHAnsi" w:eastAsia="Times New Roman" w:hAnsiTheme="minorHAnsi" w:cstheme="minorHAnsi"/>
          <w:sz w:val="24"/>
          <w:szCs w:val="24"/>
        </w:rPr>
        <w:t>ruptura de pareja</w:t>
      </w:r>
      <w:r w:rsidRPr="00E27686">
        <w:rPr>
          <w:rFonts w:asciiTheme="minorHAnsi" w:eastAsia="Times New Roman" w:hAnsiTheme="minorHAnsi" w:cstheme="minorHAnsi"/>
          <w:sz w:val="24"/>
          <w:szCs w:val="24"/>
        </w:rPr>
        <w:t>, surgieron obstáculos para retener a un número</w:t>
      </w:r>
      <w:r w:rsidR="00C31818" w:rsidRPr="00E27686">
        <w:rPr>
          <w:rFonts w:asciiTheme="minorHAnsi" w:eastAsia="Times New Roman" w:hAnsiTheme="minorHAnsi" w:cstheme="minorHAnsi"/>
          <w:sz w:val="24"/>
          <w:szCs w:val="24"/>
        </w:rPr>
        <w:t xml:space="preserve"> elevado</w:t>
      </w:r>
      <w:r w:rsidRPr="00E27686">
        <w:rPr>
          <w:rFonts w:asciiTheme="minorHAnsi" w:eastAsia="Times New Roman" w:hAnsiTheme="minorHAnsi" w:cstheme="minorHAnsi"/>
          <w:sz w:val="24"/>
          <w:szCs w:val="24"/>
        </w:rPr>
        <w:t xml:space="preserve"> de participantes durante todo el estudio. Esto indica que el período de un año entre las dos mediciones podría haber afectado el interés de algunos en continuar participando. También, el hecho de que la segunda evaluación se centrara en la disolución de la relación</w:t>
      </w:r>
      <w:r w:rsidR="00C31818"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xml:space="preserve"> </w:t>
      </w:r>
      <w:r w:rsidR="00C31818" w:rsidRPr="00E27686">
        <w:rPr>
          <w:rFonts w:asciiTheme="minorHAnsi" w:eastAsia="Times New Roman" w:hAnsiTheme="minorHAnsi" w:cstheme="minorHAnsi"/>
          <w:sz w:val="24"/>
          <w:szCs w:val="24"/>
        </w:rPr>
        <w:t xml:space="preserve">siendo este un tema incómodo de </w:t>
      </w:r>
      <w:r w:rsidR="00C034E3" w:rsidRPr="00E27686">
        <w:rPr>
          <w:rFonts w:asciiTheme="minorHAnsi" w:eastAsia="Times New Roman" w:hAnsiTheme="minorHAnsi" w:cstheme="minorHAnsi"/>
          <w:sz w:val="24"/>
          <w:szCs w:val="24"/>
        </w:rPr>
        <w:t>tratar</w:t>
      </w:r>
      <w:r w:rsidRPr="00E27686">
        <w:rPr>
          <w:rFonts w:asciiTheme="minorHAnsi" w:eastAsia="Times New Roman" w:hAnsiTheme="minorHAnsi" w:cstheme="minorHAnsi"/>
          <w:sz w:val="24"/>
          <w:szCs w:val="24"/>
        </w:rPr>
        <w:t xml:space="preserve"> </w:t>
      </w:r>
      <w:r w:rsidR="00C31818" w:rsidRPr="00E27686">
        <w:rPr>
          <w:rFonts w:asciiTheme="minorHAnsi" w:eastAsia="Times New Roman" w:hAnsiTheme="minorHAnsi" w:cstheme="minorHAnsi"/>
          <w:sz w:val="24"/>
          <w:szCs w:val="24"/>
        </w:rPr>
        <w:t>podría</w:t>
      </w:r>
      <w:r w:rsidRPr="00E27686">
        <w:rPr>
          <w:rFonts w:asciiTheme="minorHAnsi" w:eastAsia="Times New Roman" w:hAnsiTheme="minorHAnsi" w:cstheme="minorHAnsi"/>
          <w:sz w:val="24"/>
          <w:szCs w:val="24"/>
        </w:rPr>
        <w:t xml:space="preserve"> haber causado </w:t>
      </w:r>
      <w:r w:rsidR="00493D5D" w:rsidRPr="00E27686">
        <w:rPr>
          <w:rFonts w:asciiTheme="minorHAnsi" w:eastAsia="Times New Roman" w:hAnsiTheme="minorHAnsi" w:cstheme="minorHAnsi"/>
          <w:sz w:val="24"/>
          <w:szCs w:val="24"/>
        </w:rPr>
        <w:t xml:space="preserve">más </w:t>
      </w:r>
      <w:r w:rsidRPr="00E27686">
        <w:rPr>
          <w:rFonts w:asciiTheme="minorHAnsi" w:eastAsia="Times New Roman" w:hAnsiTheme="minorHAnsi" w:cstheme="minorHAnsi"/>
          <w:sz w:val="24"/>
          <w:szCs w:val="24"/>
        </w:rPr>
        <w:t>abandono</w:t>
      </w:r>
      <w:r w:rsidR="00493D5D" w:rsidRPr="00E27686">
        <w:rPr>
          <w:rFonts w:asciiTheme="minorHAnsi" w:eastAsia="Times New Roman" w:hAnsiTheme="minorHAnsi" w:cstheme="minorHAnsi"/>
          <w:sz w:val="24"/>
          <w:szCs w:val="24"/>
        </w:rPr>
        <w:t>s</w:t>
      </w:r>
      <w:r w:rsidRPr="00E27686">
        <w:rPr>
          <w:rFonts w:asciiTheme="minorHAnsi" w:eastAsia="Times New Roman" w:hAnsiTheme="minorHAnsi" w:cstheme="minorHAnsi"/>
          <w:sz w:val="24"/>
          <w:szCs w:val="24"/>
        </w:rPr>
        <w:t>.</w:t>
      </w:r>
    </w:p>
    <w:p w14:paraId="06E77FA6" w14:textId="564BD99B"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Como resultado, </w:t>
      </w:r>
      <w:r w:rsidR="00493D5D" w:rsidRPr="00E27686">
        <w:rPr>
          <w:rFonts w:asciiTheme="minorHAnsi" w:eastAsia="Times New Roman" w:hAnsiTheme="minorHAnsi" w:cstheme="minorHAnsi"/>
          <w:sz w:val="24"/>
          <w:szCs w:val="24"/>
        </w:rPr>
        <w:t>se dificulta</w:t>
      </w:r>
      <w:r w:rsidR="00C31818" w:rsidRPr="00E27686">
        <w:rPr>
          <w:rFonts w:asciiTheme="minorHAnsi" w:eastAsia="Times New Roman" w:hAnsiTheme="minorHAnsi" w:cstheme="minorHAnsi"/>
          <w:sz w:val="24"/>
          <w:szCs w:val="24"/>
        </w:rPr>
        <w:t xml:space="preserve"> </w:t>
      </w:r>
      <w:r w:rsidRPr="00E27686">
        <w:rPr>
          <w:rFonts w:asciiTheme="minorHAnsi" w:eastAsia="Times New Roman" w:hAnsiTheme="minorHAnsi" w:cstheme="minorHAnsi"/>
          <w:sz w:val="24"/>
          <w:szCs w:val="24"/>
        </w:rPr>
        <w:t xml:space="preserve">la capacidad para extrapolar los hallazgos. Asimismo, debido a que este estudio no tiene la capacidad de establecer causalidad entre las variables, se mantiene la duda sobre la influencia de factores que no se </w:t>
      </w:r>
      <w:r w:rsidR="00C31818" w:rsidRPr="00E27686">
        <w:rPr>
          <w:rFonts w:asciiTheme="minorHAnsi" w:eastAsia="Times New Roman" w:hAnsiTheme="minorHAnsi" w:cstheme="minorHAnsi"/>
          <w:sz w:val="24"/>
          <w:szCs w:val="24"/>
        </w:rPr>
        <w:t>analizaron</w:t>
      </w:r>
      <w:r w:rsidRPr="00E27686">
        <w:rPr>
          <w:rFonts w:asciiTheme="minorHAnsi" w:eastAsia="Times New Roman" w:hAnsiTheme="minorHAnsi" w:cstheme="minorHAnsi"/>
          <w:sz w:val="24"/>
          <w:szCs w:val="24"/>
        </w:rPr>
        <w:t>. Por otro lado, se omitieron métodos como entrevistas o el análisis observacional de las interacciones relacionales, los cuales podrían haber brindado una visión más integral de</w:t>
      </w:r>
      <w:r w:rsidR="00C31818" w:rsidRPr="00E27686">
        <w:rPr>
          <w:rFonts w:asciiTheme="minorHAnsi" w:eastAsia="Times New Roman" w:hAnsiTheme="minorHAnsi" w:cstheme="minorHAnsi"/>
          <w:sz w:val="24"/>
          <w:szCs w:val="24"/>
        </w:rPr>
        <w:t xml:space="preserve"> </w:t>
      </w:r>
      <w:r w:rsidRPr="00E27686">
        <w:rPr>
          <w:rFonts w:asciiTheme="minorHAnsi" w:eastAsia="Times New Roman" w:hAnsiTheme="minorHAnsi" w:cstheme="minorHAnsi"/>
          <w:sz w:val="24"/>
          <w:szCs w:val="24"/>
        </w:rPr>
        <w:t>l</w:t>
      </w:r>
      <w:r w:rsidR="00C31818" w:rsidRPr="00E27686">
        <w:rPr>
          <w:rFonts w:asciiTheme="minorHAnsi" w:eastAsia="Times New Roman" w:hAnsiTheme="minorHAnsi" w:cstheme="minorHAnsi"/>
          <w:sz w:val="24"/>
          <w:szCs w:val="24"/>
        </w:rPr>
        <w:t>a</w:t>
      </w:r>
      <w:r w:rsidRPr="00E27686">
        <w:rPr>
          <w:rFonts w:asciiTheme="minorHAnsi" w:eastAsia="Times New Roman" w:hAnsiTheme="minorHAnsi" w:cstheme="minorHAnsi"/>
          <w:sz w:val="24"/>
          <w:szCs w:val="24"/>
        </w:rPr>
        <w:t xml:space="preserve"> fase de separación. Para superar dichas limitaciones, se recomienda la ejecución de investigaciones adicionales con enfoques experimentales, longitudinales y/o diseños mixtos.</w:t>
      </w:r>
    </w:p>
    <w:p w14:paraId="1307CA96" w14:textId="77777777" w:rsidR="00321076" w:rsidRPr="00E27686" w:rsidRDefault="00321076" w:rsidP="00A12221">
      <w:pPr>
        <w:keepNext/>
        <w:keepLines/>
        <w:pBdr>
          <w:top w:val="nil"/>
          <w:left w:val="nil"/>
          <w:bottom w:val="nil"/>
          <w:right w:val="nil"/>
          <w:between w:val="nil"/>
        </w:pBdr>
        <w:spacing w:before="240" w:after="0" w:line="360" w:lineRule="auto"/>
        <w:jc w:val="both"/>
        <w:rPr>
          <w:rFonts w:asciiTheme="minorHAnsi" w:eastAsia="Times New Roman" w:hAnsiTheme="minorHAnsi" w:cstheme="minorHAnsi"/>
          <w:sz w:val="24"/>
          <w:szCs w:val="24"/>
        </w:rPr>
      </w:pPr>
    </w:p>
    <w:p w14:paraId="7A18AA90" w14:textId="4D355B99" w:rsidR="00447D64" w:rsidRPr="00E27686" w:rsidRDefault="00000000" w:rsidP="00A12221">
      <w:pPr>
        <w:keepNext/>
        <w:keepLines/>
        <w:pBdr>
          <w:top w:val="nil"/>
          <w:left w:val="nil"/>
          <w:bottom w:val="nil"/>
          <w:right w:val="nil"/>
          <w:between w:val="nil"/>
        </w:pBdr>
        <w:spacing w:before="240" w:after="0" w:line="360" w:lineRule="auto"/>
        <w:jc w:val="both"/>
        <w:rPr>
          <w:rFonts w:asciiTheme="minorHAnsi" w:eastAsia="Times New Roman" w:hAnsiTheme="minorHAnsi" w:cstheme="minorHAnsi"/>
          <w:b/>
          <w:bCs/>
          <w:sz w:val="24"/>
          <w:szCs w:val="24"/>
        </w:rPr>
      </w:pPr>
      <w:r w:rsidRPr="00E27686">
        <w:rPr>
          <w:rFonts w:asciiTheme="minorHAnsi" w:eastAsia="Times New Roman" w:hAnsiTheme="minorHAnsi" w:cstheme="minorHAnsi"/>
          <w:b/>
          <w:bCs/>
          <w:sz w:val="24"/>
          <w:szCs w:val="24"/>
        </w:rPr>
        <w:t>CONCLUSIÓN</w:t>
      </w:r>
    </w:p>
    <w:p w14:paraId="02904BCE" w14:textId="246D4C8D" w:rsidR="00447D64" w:rsidRPr="00E27686" w:rsidRDefault="00000000" w:rsidP="00A12221">
      <w:pPr>
        <w:spacing w:line="360" w:lineRule="auto"/>
        <w:ind w:firstLine="720"/>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A partir de este esfuerzo por entender de manera más profunda cómo las personas gestionan una ruptura sentimental, se pueden extraer conclusiones relevantes. El apego continúa siendo un factor fundamental en el análisis de las relaciones de pareja. Aquellas personas con niveles elevados de un apego evitativo tienden a emplear estrategias de afrontamiento enfocadas en la pérdida, lo que resalta la necesidad de explorar variables adicionales, como el papel de la pareja </w:t>
      </w:r>
      <w:r w:rsidR="008D3D8B" w:rsidRPr="00E27686">
        <w:rPr>
          <w:rFonts w:asciiTheme="minorHAnsi" w:eastAsia="Times New Roman" w:hAnsiTheme="minorHAnsi" w:cstheme="minorHAnsi"/>
          <w:sz w:val="24"/>
          <w:szCs w:val="24"/>
        </w:rPr>
        <w:t>a la hora de</w:t>
      </w:r>
      <w:r w:rsidRPr="00E27686">
        <w:rPr>
          <w:rFonts w:asciiTheme="minorHAnsi" w:eastAsia="Times New Roman" w:hAnsiTheme="minorHAnsi" w:cstheme="minorHAnsi"/>
          <w:sz w:val="24"/>
          <w:szCs w:val="24"/>
        </w:rPr>
        <w:t xml:space="preserve"> ofrecer estabilidad y seguridad emocional. </w:t>
      </w:r>
      <w:r w:rsidR="008D3D8B" w:rsidRPr="00E27686">
        <w:rPr>
          <w:rFonts w:asciiTheme="minorHAnsi" w:eastAsia="Times New Roman" w:hAnsiTheme="minorHAnsi" w:cstheme="minorHAnsi"/>
          <w:sz w:val="24"/>
          <w:szCs w:val="24"/>
        </w:rPr>
        <w:t>Por otro lado</w:t>
      </w:r>
      <w:r w:rsidRPr="00E27686">
        <w:rPr>
          <w:rFonts w:asciiTheme="minorHAnsi" w:eastAsia="Times New Roman" w:hAnsiTheme="minorHAnsi" w:cstheme="minorHAnsi"/>
          <w:sz w:val="24"/>
          <w:szCs w:val="24"/>
        </w:rPr>
        <w:t>, las personas con altos niveles de ansiedad suelen recurrir a estrategias de ruptura enfocadas en sí mismas. Esto indica que, en momentos de estrés y conflicto, estas personas priorizan sus propias necesidades emocionales y psicológicas.</w:t>
      </w:r>
    </w:p>
    <w:p w14:paraId="74B8DC53" w14:textId="779D7C07"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lastRenderedPageBreak/>
        <w:t>Asimismo, hemos notado que la manera en que las personas gestionan los conflictos dentro de la pareja influye en cómo enfrentan la pérdida de su expareja. Es</w:t>
      </w:r>
      <w:r w:rsidR="008D3D8B" w:rsidRPr="00E27686">
        <w:rPr>
          <w:rFonts w:asciiTheme="minorHAnsi" w:eastAsia="Times New Roman" w:hAnsiTheme="minorHAnsi" w:cstheme="minorHAnsi"/>
          <w:sz w:val="24"/>
          <w:szCs w:val="24"/>
        </w:rPr>
        <w:t>tá</w:t>
      </w:r>
      <w:r w:rsidRPr="00E27686">
        <w:rPr>
          <w:rFonts w:asciiTheme="minorHAnsi" w:eastAsia="Times New Roman" w:hAnsiTheme="minorHAnsi" w:cstheme="minorHAnsi"/>
          <w:sz w:val="24"/>
          <w:szCs w:val="24"/>
        </w:rPr>
        <w:t xml:space="preserve"> claro que una actitud conformista frente a los conflictos de pareja no se alinea con las estrategias proactivas para restaurar la vida después de la ruptura.</w:t>
      </w:r>
    </w:p>
    <w:p w14:paraId="72E948B9" w14:textId="77777777"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Además, en lo que respecta a la calidad de la relación, parece evidente que cuando esta es satisfactoria, las personas no tienden a utilizar estrategias de ruptura que se enfoquen principalmente en ellas mismas.</w:t>
      </w:r>
    </w:p>
    <w:p w14:paraId="2E845858" w14:textId="0EED72C8"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La forma en que las personas afrontan la ruptura emerge como un factor importante para predecir su bienestar posterior. Se ha comprobado que los enfoques centrados en la pérdida están </w:t>
      </w:r>
      <w:r w:rsidR="008D3D8B" w:rsidRPr="00E27686">
        <w:rPr>
          <w:rFonts w:asciiTheme="minorHAnsi" w:eastAsia="Times New Roman" w:hAnsiTheme="minorHAnsi" w:cstheme="minorHAnsi"/>
          <w:sz w:val="24"/>
          <w:szCs w:val="24"/>
        </w:rPr>
        <w:t>asociados</w:t>
      </w:r>
      <w:r w:rsidRPr="00E27686">
        <w:rPr>
          <w:rFonts w:asciiTheme="minorHAnsi" w:eastAsia="Times New Roman" w:hAnsiTheme="minorHAnsi" w:cstheme="minorHAnsi"/>
          <w:sz w:val="24"/>
          <w:szCs w:val="24"/>
        </w:rPr>
        <w:t xml:space="preserve"> con una adaptación psicológica menos favorable, mientras que un enfoque en la restauración de la vida favorece un mejor bienestar. Ser proactivo, interactuar con otros, establecer nuevas rutinas y asumir nuevos roles son aspectos fundamentales para manejar la disolución de la relación.</w:t>
      </w:r>
    </w:p>
    <w:p w14:paraId="263DE8A2" w14:textId="310D8CA0" w:rsidR="00447D64" w:rsidRPr="00E27686" w:rsidRDefault="00000000" w:rsidP="00A12221">
      <w:pPr>
        <w:spacing w:line="360" w:lineRule="auto"/>
        <w:ind w:firstLine="708"/>
        <w:jc w:val="both"/>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Por último, el </w:t>
      </w:r>
      <w:r w:rsidR="008D3D8B" w:rsidRPr="00E27686">
        <w:rPr>
          <w:rFonts w:asciiTheme="minorHAnsi" w:eastAsia="Times New Roman" w:hAnsiTheme="minorHAnsi" w:cstheme="minorHAnsi"/>
          <w:sz w:val="24"/>
          <w:szCs w:val="24"/>
        </w:rPr>
        <w:t>DPM ha</w:t>
      </w:r>
      <w:r w:rsidRPr="00E27686">
        <w:rPr>
          <w:rFonts w:asciiTheme="minorHAnsi" w:eastAsia="Times New Roman" w:hAnsiTheme="minorHAnsi" w:cstheme="minorHAnsi"/>
          <w:sz w:val="24"/>
          <w:szCs w:val="24"/>
        </w:rPr>
        <w:t xml:space="preserve"> sido ampliamente </w:t>
      </w:r>
      <w:r w:rsidR="008D3D8B" w:rsidRPr="00E27686">
        <w:rPr>
          <w:rFonts w:asciiTheme="minorHAnsi" w:eastAsia="Times New Roman" w:hAnsiTheme="minorHAnsi" w:cstheme="minorHAnsi"/>
          <w:sz w:val="24"/>
          <w:szCs w:val="24"/>
        </w:rPr>
        <w:t>utilizado</w:t>
      </w:r>
      <w:r w:rsidRPr="00E27686">
        <w:rPr>
          <w:rFonts w:asciiTheme="minorHAnsi" w:eastAsia="Times New Roman" w:hAnsiTheme="minorHAnsi" w:cstheme="minorHAnsi"/>
          <w:sz w:val="24"/>
          <w:szCs w:val="24"/>
        </w:rPr>
        <w:t xml:space="preserve"> para investigar el duelo por la partida de un ser amado. Las investigaciones que han aplicado este modelo en el análisis de las rupturas de pareja establecen fundamentos sólidos para continuar explorando </w:t>
      </w:r>
      <w:r w:rsidR="008D3D8B" w:rsidRPr="00E27686">
        <w:rPr>
          <w:rFonts w:asciiTheme="minorHAnsi" w:eastAsia="Times New Roman" w:hAnsiTheme="minorHAnsi" w:cstheme="minorHAnsi"/>
          <w:sz w:val="24"/>
          <w:szCs w:val="24"/>
        </w:rPr>
        <w:t>esta área</w:t>
      </w:r>
      <w:r w:rsidRPr="00E27686">
        <w:rPr>
          <w:rFonts w:asciiTheme="minorHAnsi" w:eastAsia="Times New Roman" w:hAnsiTheme="minorHAnsi" w:cstheme="minorHAnsi"/>
          <w:sz w:val="24"/>
          <w:szCs w:val="24"/>
        </w:rPr>
        <w:t xml:space="preserve"> y evaluar su relevancia en el ámbito de las relaciones sentimentales.</w:t>
      </w:r>
    </w:p>
    <w:p w14:paraId="5CAD1B60" w14:textId="77777777" w:rsidR="00F87580" w:rsidRPr="00E27686" w:rsidRDefault="00F87580" w:rsidP="00A12221">
      <w:pPr>
        <w:spacing w:line="360" w:lineRule="auto"/>
        <w:rPr>
          <w:rFonts w:asciiTheme="minorHAnsi" w:eastAsia="Times New Roman" w:hAnsiTheme="minorHAnsi" w:cstheme="minorHAnsi"/>
          <w:b/>
          <w:bCs/>
          <w:sz w:val="24"/>
          <w:szCs w:val="24"/>
        </w:rPr>
      </w:pPr>
    </w:p>
    <w:p w14:paraId="65BCBCC9" w14:textId="71C4FA86" w:rsidR="00287BAC" w:rsidRPr="00075BAD" w:rsidRDefault="003B1F5E" w:rsidP="00A12221">
      <w:pPr>
        <w:spacing w:line="360" w:lineRule="auto"/>
        <w:rPr>
          <w:rFonts w:asciiTheme="minorHAnsi" w:eastAsia="Times New Roman" w:hAnsiTheme="minorHAnsi" w:cstheme="minorHAnsi"/>
          <w:b/>
          <w:bCs/>
          <w:sz w:val="24"/>
          <w:szCs w:val="24"/>
        </w:rPr>
      </w:pPr>
      <w:r w:rsidRPr="00075BAD">
        <w:rPr>
          <w:rFonts w:asciiTheme="minorHAnsi" w:eastAsia="Times New Roman" w:hAnsiTheme="minorHAnsi" w:cstheme="minorHAnsi"/>
          <w:b/>
          <w:bCs/>
          <w:sz w:val="24"/>
          <w:szCs w:val="24"/>
        </w:rPr>
        <w:t>PRINCIPIOS ÉTICOS</w:t>
      </w:r>
    </w:p>
    <w:p w14:paraId="63C97F08" w14:textId="65F196CB" w:rsidR="00075BAD" w:rsidRDefault="003B1F5E" w:rsidP="00A12221">
      <w:pPr>
        <w:spacing w:line="36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Los autores manifiesta</w:t>
      </w:r>
      <w:r w:rsidR="00075BAD">
        <w:rPr>
          <w:rFonts w:asciiTheme="minorHAnsi" w:eastAsia="Times New Roman" w:hAnsiTheme="minorHAnsi" w:cstheme="minorHAnsi"/>
          <w:sz w:val="24"/>
          <w:szCs w:val="24"/>
        </w:rPr>
        <w:t>n</w:t>
      </w:r>
      <w:r>
        <w:rPr>
          <w:rFonts w:asciiTheme="minorHAnsi" w:eastAsia="Times New Roman" w:hAnsiTheme="minorHAnsi" w:cstheme="minorHAnsi"/>
          <w:sz w:val="24"/>
          <w:szCs w:val="24"/>
        </w:rPr>
        <w:t xml:space="preserve"> </w:t>
      </w:r>
      <w:r w:rsidRPr="003B1F5E">
        <w:rPr>
          <w:rFonts w:asciiTheme="minorHAnsi" w:eastAsia="Times New Roman" w:hAnsiTheme="minorHAnsi" w:cstheme="minorHAnsi"/>
          <w:sz w:val="24"/>
          <w:szCs w:val="24"/>
        </w:rPr>
        <w:t xml:space="preserve">haberse regido por las normas éticas generales y específicas consensuadas en </w:t>
      </w:r>
      <w:r>
        <w:rPr>
          <w:rFonts w:asciiTheme="minorHAnsi" w:eastAsia="Times New Roman" w:hAnsiTheme="minorHAnsi" w:cstheme="minorHAnsi"/>
          <w:sz w:val="24"/>
          <w:szCs w:val="24"/>
        </w:rPr>
        <w:t>el</w:t>
      </w:r>
      <w:r w:rsidRPr="003B1F5E">
        <w:rPr>
          <w:rFonts w:asciiTheme="minorHAnsi" w:eastAsia="Times New Roman" w:hAnsiTheme="minorHAnsi" w:cstheme="minorHAnsi"/>
          <w:sz w:val="24"/>
          <w:szCs w:val="24"/>
        </w:rPr>
        <w:t xml:space="preserve"> país en </w:t>
      </w:r>
      <w:r>
        <w:rPr>
          <w:rFonts w:asciiTheme="minorHAnsi" w:eastAsia="Times New Roman" w:hAnsiTheme="minorHAnsi" w:cstheme="minorHAnsi"/>
          <w:sz w:val="24"/>
          <w:szCs w:val="24"/>
        </w:rPr>
        <w:t>el</w:t>
      </w:r>
      <w:r w:rsidRPr="003B1F5E">
        <w:rPr>
          <w:rFonts w:asciiTheme="minorHAnsi" w:eastAsia="Times New Roman" w:hAnsiTheme="minorHAnsi" w:cstheme="minorHAnsi"/>
          <w:sz w:val="24"/>
          <w:szCs w:val="24"/>
        </w:rPr>
        <w:t xml:space="preserve"> que se </w:t>
      </w:r>
      <w:r>
        <w:rPr>
          <w:rFonts w:asciiTheme="minorHAnsi" w:eastAsia="Times New Roman" w:hAnsiTheme="minorHAnsi" w:cstheme="minorHAnsi"/>
          <w:sz w:val="24"/>
          <w:szCs w:val="24"/>
        </w:rPr>
        <w:t xml:space="preserve">ha </w:t>
      </w:r>
      <w:r w:rsidRPr="003B1F5E">
        <w:rPr>
          <w:rFonts w:asciiTheme="minorHAnsi" w:eastAsia="Times New Roman" w:hAnsiTheme="minorHAnsi" w:cstheme="minorHAnsi"/>
          <w:sz w:val="24"/>
          <w:szCs w:val="24"/>
        </w:rPr>
        <w:t>desarrolla</w:t>
      </w:r>
      <w:r>
        <w:rPr>
          <w:rFonts w:asciiTheme="minorHAnsi" w:eastAsia="Times New Roman" w:hAnsiTheme="minorHAnsi" w:cstheme="minorHAnsi"/>
          <w:sz w:val="24"/>
          <w:szCs w:val="24"/>
        </w:rPr>
        <w:t xml:space="preserve">do </w:t>
      </w:r>
      <w:r w:rsidRPr="003B1F5E">
        <w:rPr>
          <w:rFonts w:asciiTheme="minorHAnsi" w:eastAsia="Times New Roman" w:hAnsiTheme="minorHAnsi" w:cstheme="minorHAnsi"/>
          <w:sz w:val="24"/>
          <w:szCs w:val="24"/>
        </w:rPr>
        <w:t>la actividad científica, académica y profesional.</w:t>
      </w:r>
    </w:p>
    <w:p w14:paraId="48F85EFA" w14:textId="34756325" w:rsidR="003B1F5E" w:rsidRDefault="00075BAD" w:rsidP="00A12221">
      <w:pPr>
        <w:spacing w:line="36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Del mismo modo, los autores manifiestan no existir ningún tipo de conflicto de interés en el desarrollo de este estudio.</w:t>
      </w:r>
    </w:p>
    <w:p w14:paraId="3F223E27" w14:textId="77777777" w:rsidR="003B1F5E" w:rsidRPr="00E27686" w:rsidRDefault="003B1F5E" w:rsidP="00A12221">
      <w:pPr>
        <w:spacing w:line="360" w:lineRule="auto"/>
        <w:rPr>
          <w:rFonts w:asciiTheme="minorHAnsi" w:eastAsia="Times New Roman" w:hAnsiTheme="minorHAnsi" w:cstheme="minorHAnsi"/>
          <w:sz w:val="24"/>
          <w:szCs w:val="24"/>
        </w:rPr>
      </w:pPr>
    </w:p>
    <w:p w14:paraId="5B5846C2" w14:textId="77777777" w:rsidR="00287BAC" w:rsidRPr="00E27686" w:rsidRDefault="00287BAC" w:rsidP="00A12221">
      <w:pPr>
        <w:spacing w:line="360" w:lineRule="auto"/>
        <w:rPr>
          <w:rFonts w:asciiTheme="minorHAnsi" w:eastAsia="Times New Roman" w:hAnsiTheme="minorHAnsi" w:cstheme="minorHAnsi"/>
          <w:sz w:val="24"/>
          <w:szCs w:val="24"/>
        </w:rPr>
      </w:pPr>
    </w:p>
    <w:p w14:paraId="52E249DF" w14:textId="77777777" w:rsidR="00287BAC" w:rsidRPr="00E27686" w:rsidRDefault="00287BAC" w:rsidP="00A12221">
      <w:pPr>
        <w:spacing w:line="360" w:lineRule="auto"/>
        <w:rPr>
          <w:rFonts w:asciiTheme="minorHAnsi" w:eastAsia="Times New Roman" w:hAnsiTheme="minorHAnsi" w:cstheme="minorHAnsi"/>
          <w:sz w:val="24"/>
          <w:szCs w:val="24"/>
        </w:rPr>
      </w:pPr>
    </w:p>
    <w:p w14:paraId="71FB1501" w14:textId="77777777" w:rsidR="00287BAC" w:rsidRPr="00E27686" w:rsidRDefault="00287BAC" w:rsidP="00A12221">
      <w:pPr>
        <w:spacing w:line="360" w:lineRule="auto"/>
        <w:rPr>
          <w:rFonts w:asciiTheme="minorHAnsi" w:eastAsia="Times New Roman" w:hAnsiTheme="minorHAnsi" w:cstheme="minorHAnsi"/>
          <w:sz w:val="24"/>
          <w:szCs w:val="24"/>
        </w:rPr>
      </w:pPr>
    </w:p>
    <w:p w14:paraId="698B1EEC" w14:textId="77777777" w:rsidR="00287BAC" w:rsidRPr="00E27686" w:rsidRDefault="00287BAC" w:rsidP="00A12221">
      <w:pPr>
        <w:spacing w:line="360" w:lineRule="auto"/>
        <w:rPr>
          <w:rFonts w:asciiTheme="minorHAnsi" w:eastAsia="Times New Roman" w:hAnsiTheme="minorHAnsi" w:cstheme="minorHAnsi"/>
          <w:sz w:val="24"/>
          <w:szCs w:val="24"/>
        </w:rPr>
      </w:pPr>
    </w:p>
    <w:p w14:paraId="4BDFD023" w14:textId="77777777" w:rsidR="00447D64" w:rsidRPr="003B1F5E" w:rsidRDefault="00000000" w:rsidP="00A12221">
      <w:pPr>
        <w:keepNext/>
        <w:keepLines/>
        <w:pBdr>
          <w:top w:val="nil"/>
          <w:left w:val="nil"/>
          <w:bottom w:val="nil"/>
          <w:right w:val="nil"/>
          <w:between w:val="nil"/>
        </w:pBdr>
        <w:spacing w:before="240" w:after="0" w:line="360" w:lineRule="auto"/>
        <w:rPr>
          <w:rFonts w:asciiTheme="minorHAnsi" w:eastAsia="Times New Roman" w:hAnsiTheme="minorHAnsi" w:cstheme="minorHAnsi"/>
          <w:b/>
          <w:bCs/>
          <w:sz w:val="24"/>
          <w:szCs w:val="24"/>
        </w:rPr>
      </w:pPr>
      <w:r w:rsidRPr="003B1F5E">
        <w:rPr>
          <w:rFonts w:asciiTheme="minorHAnsi" w:eastAsia="Times New Roman" w:hAnsiTheme="minorHAnsi" w:cstheme="minorHAnsi"/>
          <w:b/>
          <w:bCs/>
          <w:sz w:val="24"/>
          <w:szCs w:val="24"/>
        </w:rPr>
        <w:t>REFERENCIAS</w:t>
      </w:r>
    </w:p>
    <w:p w14:paraId="6440B883" w14:textId="77777777" w:rsidR="00447D64" w:rsidRPr="003B1F5E" w:rsidRDefault="00447D64" w:rsidP="00A12221">
      <w:pPr>
        <w:spacing w:line="360" w:lineRule="auto"/>
        <w:rPr>
          <w:rFonts w:asciiTheme="minorHAnsi" w:eastAsia="Times New Roman" w:hAnsiTheme="minorHAnsi" w:cstheme="minorHAnsi"/>
          <w:sz w:val="24"/>
          <w:szCs w:val="24"/>
        </w:rPr>
      </w:pPr>
    </w:p>
    <w:p w14:paraId="21F365B7" w14:textId="79424111"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US"/>
        </w:rPr>
        <w:t>Agnew, C. R.</w:t>
      </w:r>
      <w:r w:rsidR="004F70DC" w:rsidRPr="00E27686">
        <w:rPr>
          <w:rFonts w:asciiTheme="minorHAnsi" w:eastAsia="Times New Roman" w:hAnsiTheme="minorHAnsi" w:cstheme="minorHAnsi"/>
          <w:sz w:val="24"/>
          <w:szCs w:val="24"/>
          <w:lang w:val="en-US"/>
        </w:rPr>
        <w:t>,</w:t>
      </w:r>
      <w:r w:rsidRPr="00E27686">
        <w:rPr>
          <w:rFonts w:asciiTheme="minorHAnsi" w:eastAsia="Times New Roman" w:hAnsiTheme="minorHAnsi" w:cstheme="minorHAnsi"/>
          <w:sz w:val="24"/>
          <w:szCs w:val="24"/>
          <w:lang w:val="en-US"/>
        </w:rPr>
        <w:t xml:space="preserve"> </w:t>
      </w:r>
      <w:r w:rsidR="004F70DC" w:rsidRPr="00E27686">
        <w:rPr>
          <w:rFonts w:asciiTheme="minorHAnsi" w:eastAsia="Times New Roman" w:hAnsiTheme="minorHAnsi" w:cstheme="minorHAnsi"/>
          <w:sz w:val="24"/>
          <w:szCs w:val="24"/>
          <w:lang w:val="en-US"/>
        </w:rPr>
        <w:t>&amp;</w:t>
      </w:r>
      <w:r w:rsidRPr="00E27686">
        <w:rPr>
          <w:rFonts w:asciiTheme="minorHAnsi" w:eastAsia="Times New Roman" w:hAnsiTheme="minorHAnsi" w:cstheme="minorHAnsi"/>
          <w:sz w:val="24"/>
          <w:szCs w:val="24"/>
          <w:lang w:val="en-US"/>
        </w:rPr>
        <w:t xml:space="preserve"> VanderDrift, L.E. (2015). </w:t>
      </w:r>
      <w:r w:rsidRPr="00E27686">
        <w:rPr>
          <w:rFonts w:asciiTheme="minorHAnsi" w:eastAsia="Times New Roman" w:hAnsiTheme="minorHAnsi" w:cstheme="minorHAnsi"/>
          <w:sz w:val="24"/>
          <w:szCs w:val="24"/>
          <w:lang w:val="en-GB"/>
        </w:rPr>
        <w:t xml:space="preserve">Relationship maintenance and dissolution. En M. E. Mikulincer, P. R. Shaver, J. A. Simpson y J. F. Dovidio (Eds.), </w:t>
      </w:r>
      <w:r w:rsidRPr="00E27686">
        <w:rPr>
          <w:rFonts w:asciiTheme="minorHAnsi" w:eastAsia="Times New Roman" w:hAnsiTheme="minorHAnsi" w:cstheme="minorHAnsi"/>
          <w:i/>
          <w:sz w:val="24"/>
          <w:szCs w:val="24"/>
          <w:lang w:val="en-GB"/>
        </w:rPr>
        <w:t>APA handbook of personality and social psychology, Vol. 3. Interpersonal relations</w:t>
      </w:r>
      <w:r w:rsidRPr="00E27686">
        <w:rPr>
          <w:rFonts w:asciiTheme="minorHAnsi" w:eastAsia="Times New Roman" w:hAnsiTheme="minorHAnsi" w:cstheme="minorHAnsi"/>
          <w:sz w:val="24"/>
          <w:szCs w:val="24"/>
          <w:lang w:val="en-GB"/>
        </w:rPr>
        <w:t xml:space="preserve"> (pp. 581-601). American Psychological Association. https://doi.org/10.1037/14344-021</w:t>
      </w:r>
    </w:p>
    <w:p w14:paraId="1191D515" w14:textId="608762A6"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Arnett, J. J. (2000). Emerging adulthood: A theory of development from the late teens through the twenties. </w:t>
      </w:r>
      <w:r w:rsidRPr="00E27686">
        <w:rPr>
          <w:rFonts w:asciiTheme="minorHAnsi" w:eastAsia="Times New Roman" w:hAnsiTheme="minorHAnsi" w:cstheme="minorHAnsi"/>
          <w:i/>
          <w:sz w:val="24"/>
          <w:szCs w:val="24"/>
          <w:lang w:val="en-GB"/>
        </w:rPr>
        <w:t>American psychologist</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55</w:t>
      </w:r>
      <w:r w:rsidRPr="00E27686">
        <w:rPr>
          <w:rFonts w:asciiTheme="minorHAnsi" w:eastAsia="Times New Roman" w:hAnsiTheme="minorHAnsi" w:cstheme="minorHAnsi"/>
          <w:sz w:val="24"/>
          <w:szCs w:val="24"/>
          <w:lang w:val="en-GB"/>
        </w:rPr>
        <w:t xml:space="preserve">(5), </w:t>
      </w:r>
      <w:r w:rsidR="00A10A3A" w:rsidRPr="00E27686">
        <w:rPr>
          <w:rFonts w:asciiTheme="minorHAnsi" w:eastAsia="Times New Roman" w:hAnsiTheme="minorHAnsi" w:cstheme="minorHAnsi"/>
          <w:sz w:val="24"/>
          <w:szCs w:val="24"/>
          <w:lang w:val="en-GB"/>
        </w:rPr>
        <w:t>469-480. https://doi.org/10.1037//0003-066X.55.5.469</w:t>
      </w:r>
    </w:p>
    <w:p w14:paraId="22A83191" w14:textId="67B4AC49"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Barutcu, K. F., </w:t>
      </w:r>
      <w:r w:rsidR="00663ADA"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Aydin, Y. C. (2013). The scale for emotional reactions following the breakup. </w:t>
      </w:r>
      <w:r w:rsidRPr="00E27686">
        <w:rPr>
          <w:rFonts w:asciiTheme="minorHAnsi" w:eastAsia="Times New Roman" w:hAnsiTheme="minorHAnsi" w:cstheme="minorHAnsi"/>
          <w:i/>
          <w:sz w:val="24"/>
          <w:szCs w:val="24"/>
          <w:lang w:val="en-GB"/>
        </w:rPr>
        <w:t>Procedia-Social and Behavioral Sciences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84</w:t>
      </w:r>
      <w:r w:rsidRPr="00E27686">
        <w:rPr>
          <w:rFonts w:asciiTheme="minorHAnsi" w:eastAsia="Times New Roman" w:hAnsiTheme="minorHAnsi" w:cstheme="minorHAnsi"/>
          <w:sz w:val="24"/>
          <w:szCs w:val="24"/>
          <w:lang w:val="en-GB"/>
        </w:rPr>
        <w:t>, 786-790.</w:t>
      </w:r>
      <w:r w:rsidR="00DC4C68" w:rsidRPr="00E27686">
        <w:rPr>
          <w:rFonts w:asciiTheme="minorHAnsi" w:eastAsia="Times New Roman" w:hAnsiTheme="minorHAnsi" w:cstheme="minorHAnsi"/>
          <w:sz w:val="24"/>
          <w:szCs w:val="24"/>
          <w:lang w:val="en-GB"/>
        </w:rPr>
        <w:t xml:space="preserve"> https://doi.org/10.1016/j.sbspro.2013.06.647</w:t>
      </w:r>
    </w:p>
    <w:p w14:paraId="29823E3A" w14:textId="436AFB68"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Baxter, L. A. (1982). Strategies for ending relationships: Two studies. </w:t>
      </w:r>
      <w:r w:rsidRPr="00E27686">
        <w:rPr>
          <w:rFonts w:asciiTheme="minorHAnsi" w:eastAsia="Times New Roman" w:hAnsiTheme="minorHAnsi" w:cstheme="minorHAnsi"/>
          <w:i/>
          <w:sz w:val="24"/>
          <w:szCs w:val="24"/>
          <w:lang w:val="en-GB"/>
        </w:rPr>
        <w:t>Western Journal of Communication</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46</w:t>
      </w:r>
      <w:r w:rsidRPr="00E27686">
        <w:rPr>
          <w:rFonts w:asciiTheme="minorHAnsi" w:eastAsia="Times New Roman" w:hAnsiTheme="minorHAnsi" w:cstheme="minorHAnsi"/>
          <w:sz w:val="24"/>
          <w:szCs w:val="24"/>
          <w:lang w:val="en-GB"/>
        </w:rPr>
        <w:t>(3), 223-241.</w:t>
      </w:r>
      <w:r w:rsidR="00DC4C68" w:rsidRPr="00E27686">
        <w:rPr>
          <w:rFonts w:asciiTheme="minorHAnsi" w:eastAsia="Times New Roman" w:hAnsiTheme="minorHAnsi" w:cstheme="minorHAnsi"/>
          <w:sz w:val="24"/>
          <w:szCs w:val="24"/>
          <w:lang w:val="en-GB"/>
        </w:rPr>
        <w:t xml:space="preserve"> https://doi.org/10.1080/10570318209374082</w:t>
      </w:r>
    </w:p>
    <w:p w14:paraId="0499F38B" w14:textId="45B30A36"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Baxter, L. A. (1985). Accomplishing relationship disengagement. En S. Duck &amp; D. Perlman (Eds.), </w:t>
      </w:r>
      <w:r w:rsidRPr="00E27686">
        <w:rPr>
          <w:rFonts w:asciiTheme="minorHAnsi" w:eastAsia="Times New Roman" w:hAnsiTheme="minorHAnsi" w:cstheme="minorHAnsi"/>
          <w:i/>
          <w:sz w:val="24"/>
          <w:szCs w:val="24"/>
          <w:lang w:val="en-GB"/>
        </w:rPr>
        <w:t>Understanding personal relationships: An interdisciplinary approach</w:t>
      </w:r>
      <w:r w:rsidR="00DC4C68" w:rsidRPr="00E27686">
        <w:rPr>
          <w:rFonts w:asciiTheme="minorHAnsi" w:hAnsiTheme="minorHAnsi" w:cstheme="minorHAnsi"/>
          <w:sz w:val="24"/>
          <w:szCs w:val="24"/>
          <w:lang w:val="en-US"/>
        </w:rPr>
        <w:t xml:space="preserve"> </w:t>
      </w:r>
      <w:r w:rsidR="00DC4C68" w:rsidRPr="00E27686">
        <w:rPr>
          <w:rFonts w:asciiTheme="minorHAnsi" w:eastAsia="Times New Roman" w:hAnsiTheme="minorHAnsi" w:cstheme="minorHAnsi"/>
          <w:i/>
          <w:sz w:val="24"/>
          <w:szCs w:val="24"/>
          <w:lang w:val="en-GB"/>
        </w:rPr>
        <w:t>(pp. 243–265).</w:t>
      </w:r>
      <w:r w:rsidRPr="00E27686">
        <w:rPr>
          <w:rFonts w:asciiTheme="minorHAnsi" w:eastAsia="Times New Roman" w:hAnsiTheme="minorHAnsi" w:cstheme="minorHAnsi"/>
          <w:sz w:val="24"/>
          <w:szCs w:val="24"/>
          <w:lang w:val="en-GB"/>
        </w:rPr>
        <w:t> Sage Publications, Inc.</w:t>
      </w:r>
    </w:p>
    <w:p w14:paraId="004CB3AE" w14:textId="065282D1" w:rsidR="00447D64" w:rsidRPr="00E27686" w:rsidRDefault="00000000" w:rsidP="00A12221">
      <w:pPr>
        <w:spacing w:line="360" w:lineRule="auto"/>
        <w:ind w:left="360" w:hanging="709"/>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lang w:val="en-GB"/>
        </w:rPr>
        <w:t xml:space="preserve">Bravo, V. (2018). </w:t>
      </w:r>
      <w:r w:rsidRPr="00E27686">
        <w:rPr>
          <w:rFonts w:asciiTheme="minorHAnsi" w:eastAsia="Times New Roman" w:hAnsiTheme="minorHAnsi" w:cstheme="minorHAnsi"/>
          <w:i/>
          <w:sz w:val="24"/>
          <w:szCs w:val="24"/>
          <w:lang w:val="en-GB"/>
        </w:rPr>
        <w:t>Reasons for Romantic Breakups in Adolescence and Emerging Adulthood: A Developmentally Informed Examination</w:t>
      </w:r>
      <w:r w:rsidRPr="00E27686">
        <w:rPr>
          <w:rFonts w:asciiTheme="minorHAnsi" w:eastAsia="Times New Roman" w:hAnsiTheme="minorHAnsi" w:cstheme="minorHAnsi"/>
          <w:sz w:val="24"/>
          <w:szCs w:val="24"/>
          <w:lang w:val="en-GB"/>
        </w:rPr>
        <w:t xml:space="preserve">. </w:t>
      </w:r>
      <w:r w:rsidR="00A10A3A"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Tesis de doctorado, York University</w:t>
      </w:r>
      <w:r w:rsidR="00A10A3A"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Repositorio Institucional de la Universidad de York.   https://yorkspace.library.yorku.ca/xmlui/handle/10315/35549</w:t>
      </w:r>
    </w:p>
    <w:p w14:paraId="1995C8AB" w14:textId="3DDAC6AE" w:rsidR="00447D64" w:rsidRPr="00E27686" w:rsidRDefault="00000000" w:rsidP="00A12221">
      <w:pPr>
        <w:spacing w:line="360" w:lineRule="auto"/>
        <w:ind w:left="360" w:hanging="709"/>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Cáceres, J. (1996). </w:t>
      </w:r>
      <w:r w:rsidRPr="00E27686">
        <w:rPr>
          <w:rFonts w:asciiTheme="minorHAnsi" w:eastAsia="Times New Roman" w:hAnsiTheme="minorHAnsi" w:cstheme="minorHAnsi"/>
          <w:i/>
          <w:sz w:val="24"/>
          <w:szCs w:val="24"/>
        </w:rPr>
        <w:t>Manual de terapia de pareja e intervención en familias</w:t>
      </w:r>
      <w:r w:rsidRPr="00E27686">
        <w:rPr>
          <w:rFonts w:asciiTheme="minorHAnsi" w:eastAsia="Times New Roman" w:hAnsiTheme="minorHAnsi" w:cstheme="minorHAnsi"/>
          <w:sz w:val="24"/>
          <w:szCs w:val="24"/>
        </w:rPr>
        <w:t>. Fundación Universidad-Empresa</w:t>
      </w:r>
    </w:p>
    <w:p w14:paraId="22401347" w14:textId="52627C9B"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rPr>
        <w:t xml:space="preserve">Carter, K. R., Knox, D., </w:t>
      </w:r>
      <w:r w:rsidR="004F70DC" w:rsidRPr="00E27686">
        <w:rPr>
          <w:rFonts w:asciiTheme="minorHAnsi" w:eastAsia="Times New Roman" w:hAnsiTheme="minorHAnsi" w:cstheme="minorHAnsi"/>
          <w:sz w:val="24"/>
          <w:szCs w:val="24"/>
        </w:rPr>
        <w:t>&amp;</w:t>
      </w:r>
      <w:r w:rsidRPr="00E27686">
        <w:rPr>
          <w:rFonts w:asciiTheme="minorHAnsi" w:eastAsia="Times New Roman" w:hAnsiTheme="minorHAnsi" w:cstheme="minorHAnsi"/>
          <w:sz w:val="24"/>
          <w:szCs w:val="24"/>
        </w:rPr>
        <w:t xml:space="preserve"> Hall, S. S. (2018). </w:t>
      </w:r>
      <w:r w:rsidRPr="00E27686">
        <w:rPr>
          <w:rFonts w:asciiTheme="minorHAnsi" w:eastAsia="Times New Roman" w:hAnsiTheme="minorHAnsi" w:cstheme="minorHAnsi"/>
          <w:sz w:val="24"/>
          <w:szCs w:val="24"/>
          <w:lang w:val="en-GB"/>
        </w:rPr>
        <w:t>Romantic breakup: Difficult loss for some but not for others. </w:t>
      </w:r>
      <w:r w:rsidRPr="00E27686">
        <w:rPr>
          <w:rFonts w:asciiTheme="minorHAnsi" w:eastAsia="Times New Roman" w:hAnsiTheme="minorHAnsi" w:cstheme="minorHAnsi"/>
          <w:i/>
          <w:sz w:val="24"/>
          <w:szCs w:val="24"/>
          <w:lang w:val="en-GB"/>
        </w:rPr>
        <w:t>Journal of Loss and Trauma</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23</w:t>
      </w:r>
      <w:r w:rsidRPr="00E27686">
        <w:rPr>
          <w:rFonts w:asciiTheme="minorHAnsi" w:eastAsia="Times New Roman" w:hAnsiTheme="minorHAnsi" w:cstheme="minorHAnsi"/>
          <w:sz w:val="24"/>
          <w:szCs w:val="24"/>
          <w:lang w:val="en-GB"/>
        </w:rPr>
        <w:t xml:space="preserve">(8), 698-714. </w:t>
      </w:r>
      <w:r w:rsidR="00447D64" w:rsidRPr="003B1F5E">
        <w:rPr>
          <w:rFonts w:asciiTheme="minorHAnsi" w:eastAsia="Times New Roman" w:hAnsiTheme="minorHAnsi" w:cstheme="minorHAnsi"/>
          <w:sz w:val="24"/>
          <w:szCs w:val="24"/>
          <w:lang w:val="en-GB"/>
        </w:rPr>
        <w:t>https://doi.org/10.1080/15325024.2018.1502523</w:t>
      </w:r>
    </w:p>
    <w:p w14:paraId="0F3053C2" w14:textId="74EF9C2A"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lastRenderedPageBreak/>
        <w:t xml:space="preserve">Caserta, M. S., </w:t>
      </w:r>
      <w:r w:rsidR="00DC4C68"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Lund, D. A. (2007). Toward the development of an Inventory of Daily Widowed Life (IDWL): Guided by the dual process model of coping with bereavement. </w:t>
      </w:r>
      <w:r w:rsidRPr="00E27686">
        <w:rPr>
          <w:rFonts w:asciiTheme="minorHAnsi" w:eastAsia="Times New Roman" w:hAnsiTheme="minorHAnsi" w:cstheme="minorHAnsi"/>
          <w:i/>
          <w:sz w:val="24"/>
          <w:szCs w:val="24"/>
          <w:lang w:val="en-GB"/>
        </w:rPr>
        <w:t>Death studies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31</w:t>
      </w:r>
      <w:r w:rsidRPr="00E27686">
        <w:rPr>
          <w:rFonts w:asciiTheme="minorHAnsi" w:eastAsia="Times New Roman" w:hAnsiTheme="minorHAnsi" w:cstheme="minorHAnsi"/>
          <w:sz w:val="24"/>
          <w:szCs w:val="24"/>
          <w:lang w:val="en-GB"/>
        </w:rPr>
        <w:t>(6), 505-535.</w:t>
      </w:r>
      <w:r w:rsidR="00DC4C68" w:rsidRPr="00E27686">
        <w:rPr>
          <w:rFonts w:asciiTheme="minorHAnsi" w:eastAsia="Times New Roman" w:hAnsiTheme="minorHAnsi" w:cstheme="minorHAnsi"/>
          <w:sz w:val="24"/>
          <w:szCs w:val="24"/>
          <w:lang w:val="en-GB"/>
        </w:rPr>
        <w:t xml:space="preserve"> https://doi.org/10.1080/07481180701356761</w:t>
      </w:r>
    </w:p>
    <w:p w14:paraId="4C09F1AC" w14:textId="77777777"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Cassidy, J., y Kobak, R. R. (1988). Avoidance and its relation to other defensive processes. </w:t>
      </w:r>
      <w:r w:rsidRPr="00E27686">
        <w:rPr>
          <w:rFonts w:asciiTheme="minorHAnsi" w:eastAsia="Times New Roman" w:hAnsiTheme="minorHAnsi" w:cstheme="minorHAnsi"/>
          <w:i/>
          <w:sz w:val="24"/>
          <w:szCs w:val="24"/>
          <w:lang w:val="en-GB"/>
        </w:rPr>
        <w:t>Clinical implications of attachment</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w:t>
      </w:r>
      <w:r w:rsidRPr="00E27686">
        <w:rPr>
          <w:rFonts w:asciiTheme="minorHAnsi" w:eastAsia="Times New Roman" w:hAnsiTheme="minorHAnsi" w:cstheme="minorHAnsi"/>
          <w:sz w:val="24"/>
          <w:szCs w:val="24"/>
          <w:lang w:val="en-GB"/>
        </w:rPr>
        <w:t>, 300-323.</w:t>
      </w:r>
    </w:p>
    <w:p w14:paraId="3489362A" w14:textId="6E8BE022"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Collins, T. J., </w:t>
      </w:r>
      <w:r w:rsidR="00DC4C68"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Gillath, O. (2012). Attachment, breakup strategies, and associated outcomes: The effects of security enhancement on the selection of breakup strategies. </w:t>
      </w:r>
      <w:r w:rsidRPr="00E27686">
        <w:rPr>
          <w:rFonts w:asciiTheme="minorHAnsi" w:eastAsia="Times New Roman" w:hAnsiTheme="minorHAnsi" w:cstheme="minorHAnsi"/>
          <w:i/>
          <w:sz w:val="24"/>
          <w:szCs w:val="24"/>
          <w:lang w:val="en-GB"/>
        </w:rPr>
        <w:t>Journal of Research in Personality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46</w:t>
      </w:r>
      <w:r w:rsidRPr="00E27686">
        <w:rPr>
          <w:rFonts w:asciiTheme="minorHAnsi" w:eastAsia="Times New Roman" w:hAnsiTheme="minorHAnsi" w:cstheme="minorHAnsi"/>
          <w:sz w:val="24"/>
          <w:szCs w:val="24"/>
          <w:lang w:val="en-GB"/>
        </w:rPr>
        <w:t>(2), 210-222.</w:t>
      </w:r>
      <w:r w:rsidR="00DC4C68" w:rsidRPr="00E27686">
        <w:rPr>
          <w:rFonts w:asciiTheme="minorHAnsi" w:eastAsia="Times New Roman" w:hAnsiTheme="minorHAnsi" w:cstheme="minorHAnsi"/>
          <w:sz w:val="24"/>
          <w:szCs w:val="24"/>
          <w:lang w:val="en-GB"/>
        </w:rPr>
        <w:t xml:space="preserve"> https://doi.org/10.1016/j.jrp.2012.01.008</w:t>
      </w:r>
    </w:p>
    <w:p w14:paraId="0EEFCB91" w14:textId="7F6DF791"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Conger, R. D., Cui, M., Bryant, C. M.,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Elder Jr, G. H. (2000). Competence in early adult romantic relationships: a developmental perspective on family influences. </w:t>
      </w:r>
      <w:r w:rsidRPr="00E27686">
        <w:rPr>
          <w:rFonts w:asciiTheme="minorHAnsi" w:eastAsia="Times New Roman" w:hAnsiTheme="minorHAnsi" w:cstheme="minorHAnsi"/>
          <w:i/>
          <w:sz w:val="24"/>
          <w:szCs w:val="24"/>
          <w:lang w:val="en-GB"/>
        </w:rPr>
        <w:t>Journal of Personality and Social 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79</w:t>
      </w:r>
      <w:r w:rsidRPr="00E27686">
        <w:rPr>
          <w:rFonts w:asciiTheme="minorHAnsi" w:eastAsia="Times New Roman" w:hAnsiTheme="minorHAnsi" w:cstheme="minorHAnsi"/>
          <w:sz w:val="24"/>
          <w:szCs w:val="24"/>
          <w:lang w:val="en-GB"/>
        </w:rPr>
        <w:t>(2), 224. https://doi.org/10.1037/0022-3514.79.2.224</w:t>
      </w:r>
    </w:p>
    <w:p w14:paraId="20613924" w14:textId="42BEEA34"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Davis, D., Shaver, P. R.,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Vernon, M. L. (2003). Physical, emotional, and behavioral reactions to breaking up: The roles of gender, age, emotional involvement, and attachment style. </w:t>
      </w:r>
      <w:r w:rsidRPr="00E27686">
        <w:rPr>
          <w:rFonts w:asciiTheme="minorHAnsi" w:eastAsia="Times New Roman" w:hAnsiTheme="minorHAnsi" w:cstheme="minorHAnsi"/>
          <w:i/>
          <w:sz w:val="24"/>
          <w:szCs w:val="24"/>
          <w:lang w:val="en-GB"/>
        </w:rPr>
        <w:t>Personality and Social Psychology Bulletin</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29</w:t>
      </w:r>
      <w:r w:rsidRPr="00E27686">
        <w:rPr>
          <w:rFonts w:asciiTheme="minorHAnsi" w:eastAsia="Times New Roman" w:hAnsiTheme="minorHAnsi" w:cstheme="minorHAnsi"/>
          <w:sz w:val="24"/>
          <w:szCs w:val="24"/>
          <w:lang w:val="en-GB"/>
        </w:rPr>
        <w:t>(7), 871-884.</w:t>
      </w:r>
      <w:r w:rsidR="008D6B32" w:rsidRPr="00E27686">
        <w:rPr>
          <w:rFonts w:asciiTheme="minorHAnsi" w:eastAsia="Times New Roman" w:hAnsiTheme="minorHAnsi" w:cstheme="minorHAnsi"/>
          <w:sz w:val="24"/>
          <w:szCs w:val="24"/>
          <w:lang w:val="en-GB"/>
        </w:rPr>
        <w:t xml:space="preserve"> https://doi.org/10.1177/0146167203029007006</w:t>
      </w:r>
    </w:p>
    <w:p w14:paraId="4CD9EE26" w14:textId="4720E4C2"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Demir, M. (2008). Sweetheart, you really make me happy: Romantic relationship quality and personality as predictors of happiness among emerging adults. </w:t>
      </w:r>
      <w:r w:rsidRPr="00E27686">
        <w:rPr>
          <w:rFonts w:asciiTheme="minorHAnsi" w:eastAsia="Times New Roman" w:hAnsiTheme="minorHAnsi" w:cstheme="minorHAnsi"/>
          <w:i/>
          <w:sz w:val="24"/>
          <w:szCs w:val="24"/>
          <w:lang w:val="en-GB"/>
        </w:rPr>
        <w:t>Journal of Happiness Studies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9</w:t>
      </w:r>
      <w:r w:rsidRPr="00E27686">
        <w:rPr>
          <w:rFonts w:asciiTheme="minorHAnsi" w:eastAsia="Times New Roman" w:hAnsiTheme="minorHAnsi" w:cstheme="minorHAnsi"/>
          <w:sz w:val="24"/>
          <w:szCs w:val="24"/>
          <w:lang w:val="en-GB"/>
        </w:rPr>
        <w:t>(2), 257-277.</w:t>
      </w:r>
      <w:r w:rsidR="008D6B32" w:rsidRPr="00E27686">
        <w:rPr>
          <w:rFonts w:asciiTheme="minorHAnsi" w:eastAsia="Times New Roman" w:hAnsiTheme="minorHAnsi" w:cstheme="minorHAnsi"/>
          <w:sz w:val="24"/>
          <w:szCs w:val="24"/>
          <w:lang w:val="en-GB"/>
        </w:rPr>
        <w:t xml:space="preserve"> https://doi.org/10.1007/s10902-007-9051-8 </w:t>
      </w:r>
    </w:p>
    <w:p w14:paraId="5F91FA00" w14:textId="79FDABAC"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Diener, E.,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Seligman, M. E. (2002). Very happy people. </w:t>
      </w:r>
      <w:r w:rsidRPr="00E27686">
        <w:rPr>
          <w:rFonts w:asciiTheme="minorHAnsi" w:eastAsia="Times New Roman" w:hAnsiTheme="minorHAnsi" w:cstheme="minorHAnsi"/>
          <w:i/>
          <w:sz w:val="24"/>
          <w:szCs w:val="24"/>
          <w:lang w:val="en-GB"/>
        </w:rPr>
        <w:t>Psychological science</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13</w:t>
      </w:r>
      <w:r w:rsidRPr="00E27686">
        <w:rPr>
          <w:rFonts w:asciiTheme="minorHAnsi" w:eastAsia="Times New Roman" w:hAnsiTheme="minorHAnsi" w:cstheme="minorHAnsi"/>
          <w:sz w:val="24"/>
          <w:szCs w:val="24"/>
          <w:lang w:val="en-GB"/>
        </w:rPr>
        <w:t>(1), 81-84.</w:t>
      </w:r>
      <w:r w:rsidR="008D6B32" w:rsidRPr="00E27686">
        <w:rPr>
          <w:rFonts w:asciiTheme="minorHAnsi" w:eastAsia="Times New Roman" w:hAnsiTheme="minorHAnsi" w:cstheme="minorHAnsi"/>
          <w:sz w:val="24"/>
          <w:szCs w:val="24"/>
          <w:lang w:val="en-GB"/>
        </w:rPr>
        <w:t xml:space="preserve"> https://doi.org/10.1111/1467-9280.00415</w:t>
      </w:r>
    </w:p>
    <w:p w14:paraId="7E30B5CD" w14:textId="790166F3"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Diener, E., Wirtz, D., Tov, W., Kim-Prieto, C., Choi, D.-w., Oishi, S.,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Biswas-Diener, R. (2010). New well-being measures: Short scales to assess flourishing and positive and negative feelings. </w:t>
      </w:r>
      <w:r w:rsidRPr="00E27686">
        <w:rPr>
          <w:rFonts w:asciiTheme="minorHAnsi" w:eastAsia="Times New Roman" w:hAnsiTheme="minorHAnsi" w:cstheme="minorHAnsi"/>
          <w:i/>
          <w:sz w:val="24"/>
          <w:szCs w:val="24"/>
          <w:lang w:val="en-GB"/>
        </w:rPr>
        <w:t>Social indicators research</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97</w:t>
      </w:r>
      <w:r w:rsidRPr="00E27686">
        <w:rPr>
          <w:rFonts w:asciiTheme="minorHAnsi" w:eastAsia="Times New Roman" w:hAnsiTheme="minorHAnsi" w:cstheme="minorHAnsi"/>
          <w:sz w:val="24"/>
          <w:szCs w:val="24"/>
          <w:lang w:val="en-GB"/>
        </w:rPr>
        <w:t>(2), 143-156.</w:t>
      </w:r>
      <w:r w:rsidR="008D6B32" w:rsidRPr="00E27686">
        <w:rPr>
          <w:rFonts w:asciiTheme="minorHAnsi" w:eastAsia="Times New Roman" w:hAnsiTheme="minorHAnsi" w:cstheme="minorHAnsi"/>
          <w:sz w:val="24"/>
          <w:szCs w:val="24"/>
          <w:lang w:val="en-GB"/>
        </w:rPr>
        <w:t xml:space="preserve"> https://doi.org/10.1007/s11205-009-9493-y</w:t>
      </w:r>
    </w:p>
    <w:p w14:paraId="2DBB7794" w14:textId="5516160B"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Eisma, M. C., Tõnus, D.,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de Jong, P. J. (2022). Desired attachment and breakup distress relate to automatic approach of the ex-partner. </w:t>
      </w:r>
      <w:r w:rsidRPr="00E27686">
        <w:rPr>
          <w:rFonts w:asciiTheme="minorHAnsi" w:eastAsia="Times New Roman" w:hAnsiTheme="minorHAnsi" w:cstheme="minorHAnsi"/>
          <w:i/>
          <w:sz w:val="24"/>
          <w:szCs w:val="24"/>
          <w:lang w:val="en-GB"/>
        </w:rPr>
        <w:t>Journal of behavior therapy and experimental psychiatry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75</w:t>
      </w:r>
      <w:r w:rsidRPr="00E27686">
        <w:rPr>
          <w:rFonts w:asciiTheme="minorHAnsi" w:eastAsia="Times New Roman" w:hAnsiTheme="minorHAnsi" w:cstheme="minorHAnsi"/>
          <w:sz w:val="24"/>
          <w:szCs w:val="24"/>
          <w:lang w:val="en-GB"/>
        </w:rPr>
        <w:t>, 101713.</w:t>
      </w:r>
      <w:r w:rsidR="008D6B32" w:rsidRPr="00E27686">
        <w:rPr>
          <w:rFonts w:asciiTheme="minorHAnsi" w:eastAsia="Times New Roman" w:hAnsiTheme="minorHAnsi" w:cstheme="minorHAnsi"/>
          <w:sz w:val="24"/>
          <w:szCs w:val="24"/>
          <w:lang w:val="en-GB"/>
        </w:rPr>
        <w:t xml:space="preserve"> https://doi.org/</w:t>
      </w:r>
      <w:r w:rsidR="008D6B32" w:rsidRPr="00E27686">
        <w:rPr>
          <w:rFonts w:asciiTheme="minorHAnsi" w:hAnsiTheme="minorHAnsi" w:cstheme="minorHAnsi"/>
          <w:sz w:val="24"/>
          <w:szCs w:val="24"/>
          <w:lang w:val="en-US"/>
        </w:rPr>
        <w:t xml:space="preserve"> </w:t>
      </w:r>
      <w:r w:rsidR="008D6B32" w:rsidRPr="00E27686">
        <w:rPr>
          <w:rFonts w:asciiTheme="minorHAnsi" w:eastAsia="Times New Roman" w:hAnsiTheme="minorHAnsi" w:cstheme="minorHAnsi"/>
          <w:sz w:val="24"/>
          <w:szCs w:val="24"/>
          <w:lang w:val="en-GB"/>
        </w:rPr>
        <w:t>10.1016/j.jbtep.2021.101713</w:t>
      </w:r>
    </w:p>
    <w:p w14:paraId="0BE73738" w14:textId="1605798B"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s-PE"/>
        </w:rPr>
        <w:lastRenderedPageBreak/>
        <w:t xml:space="preserve">Field, T., Diego, M., Pelaez, M., Deeds, O., </w:t>
      </w:r>
      <w:r w:rsidR="007F3561"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lang w:val="es-PE"/>
        </w:rPr>
        <w:t xml:space="preserve"> Delgado, J. (2010). </w:t>
      </w:r>
      <w:r w:rsidRPr="00E27686">
        <w:rPr>
          <w:rFonts w:asciiTheme="minorHAnsi" w:eastAsia="Times New Roman" w:hAnsiTheme="minorHAnsi" w:cstheme="minorHAnsi"/>
          <w:sz w:val="24"/>
          <w:szCs w:val="24"/>
          <w:lang w:val="en-GB"/>
        </w:rPr>
        <w:t>Breakup distress and loss of intimacy in university students. </w:t>
      </w:r>
      <w:r w:rsidRPr="00E27686">
        <w:rPr>
          <w:rFonts w:asciiTheme="minorHAnsi" w:eastAsia="Times New Roman" w:hAnsiTheme="minorHAnsi" w:cstheme="minorHAnsi"/>
          <w:i/>
          <w:sz w:val="24"/>
          <w:szCs w:val="24"/>
          <w:lang w:val="en-GB"/>
        </w:rPr>
        <w:t>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w:t>
      </w:r>
      <w:r w:rsidRPr="00E27686">
        <w:rPr>
          <w:rFonts w:asciiTheme="minorHAnsi" w:eastAsia="Times New Roman" w:hAnsiTheme="minorHAnsi" w:cstheme="minorHAnsi"/>
          <w:sz w:val="24"/>
          <w:szCs w:val="24"/>
          <w:lang w:val="en-GB"/>
        </w:rPr>
        <w:t>(03)</w:t>
      </w:r>
      <w:r w:rsidR="008D6B32" w:rsidRPr="00E27686">
        <w:rPr>
          <w:rFonts w:asciiTheme="minorHAnsi" w:eastAsia="Times New Roman" w:hAnsiTheme="minorHAnsi" w:cstheme="minorHAnsi"/>
          <w:sz w:val="24"/>
          <w:szCs w:val="24"/>
          <w:lang w:val="en-GB"/>
        </w:rPr>
        <w:t xml:space="preserve">. https://doi.org/10.4236/psych.2010.13023 </w:t>
      </w:r>
    </w:p>
    <w:p w14:paraId="403E19A3" w14:textId="7ACF9260" w:rsidR="00447D64" w:rsidRPr="00E27686" w:rsidRDefault="00000000" w:rsidP="00A12221">
      <w:pPr>
        <w:spacing w:line="360" w:lineRule="auto"/>
        <w:ind w:left="360" w:hanging="709"/>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lang w:val="en-GB"/>
        </w:rPr>
        <w:t xml:space="preserve">Finkelstein, L. P. (2014). Breaking your own heart: A qualitative study of grief after initiating a breakup. </w:t>
      </w:r>
      <w:r w:rsidR="00BA6EED"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Tesis de doctorado, University of Denver</w:t>
      </w:r>
      <w:r w:rsidR="00BA6EED" w:rsidRPr="00E27686">
        <w:rPr>
          <w:rFonts w:asciiTheme="minorHAnsi" w:eastAsia="Times New Roman" w:hAnsiTheme="minorHAnsi" w:cstheme="minorHAnsi"/>
          <w:sz w:val="24"/>
          <w:szCs w:val="24"/>
        </w:rPr>
        <w:t>)</w:t>
      </w:r>
      <w:r w:rsidRPr="00E27686">
        <w:rPr>
          <w:rFonts w:asciiTheme="minorHAnsi" w:eastAsia="Times New Roman" w:hAnsiTheme="minorHAnsi" w:cstheme="minorHAnsi"/>
          <w:sz w:val="24"/>
          <w:szCs w:val="24"/>
        </w:rPr>
        <w:t>. Repositorio digital de la Universidad de Denver. https://digitalcommons.du.edu/etd/198/</w:t>
      </w:r>
    </w:p>
    <w:p w14:paraId="296A6832" w14:textId="0D51C392"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Fordwood, S. R., Asarnow, J. R., Huizar, D. P.,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Reise, S. P. (2007). Suicide attempts among depressed adolescents in primary care. </w:t>
      </w:r>
      <w:r w:rsidRPr="00E27686">
        <w:rPr>
          <w:rFonts w:asciiTheme="minorHAnsi" w:eastAsia="Times New Roman" w:hAnsiTheme="minorHAnsi" w:cstheme="minorHAnsi"/>
          <w:i/>
          <w:sz w:val="24"/>
          <w:szCs w:val="24"/>
          <w:lang w:val="en-GB"/>
        </w:rPr>
        <w:t>Journal of Clinical Child and Adolescent Psychology</w:t>
      </w:r>
      <w:r w:rsidRPr="00E27686">
        <w:rPr>
          <w:rFonts w:asciiTheme="minorHAnsi" w:eastAsia="Times New Roman" w:hAnsiTheme="minorHAnsi" w:cstheme="minorHAnsi"/>
          <w:sz w:val="24"/>
          <w:szCs w:val="24"/>
          <w:lang w:val="en-GB"/>
        </w:rPr>
        <w:t>, </w:t>
      </w:r>
      <w:r w:rsidRPr="00E27686">
        <w:rPr>
          <w:rFonts w:asciiTheme="minorHAnsi" w:eastAsia="Times New Roman" w:hAnsiTheme="minorHAnsi" w:cstheme="minorHAnsi"/>
          <w:i/>
          <w:sz w:val="24"/>
          <w:szCs w:val="24"/>
          <w:lang w:val="en-GB"/>
        </w:rPr>
        <w:t>36</w:t>
      </w:r>
      <w:r w:rsidRPr="00E27686">
        <w:rPr>
          <w:rFonts w:asciiTheme="minorHAnsi" w:eastAsia="Times New Roman" w:hAnsiTheme="minorHAnsi" w:cstheme="minorHAnsi"/>
          <w:sz w:val="24"/>
          <w:szCs w:val="24"/>
          <w:lang w:val="en-GB"/>
        </w:rPr>
        <w:t>(3), 392-404.</w:t>
      </w:r>
      <w:r w:rsidR="00BA6EED" w:rsidRPr="00E27686">
        <w:rPr>
          <w:rFonts w:asciiTheme="minorHAnsi" w:eastAsia="Times New Roman" w:hAnsiTheme="minorHAnsi" w:cstheme="minorHAnsi"/>
          <w:sz w:val="24"/>
          <w:szCs w:val="24"/>
          <w:lang w:val="en-GB"/>
        </w:rPr>
        <w:t xml:space="preserve"> https://doi.org/10.1080/15374410701444355</w:t>
      </w:r>
    </w:p>
    <w:p w14:paraId="722C01CE" w14:textId="1CE2A110"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Fraley, R. C., Waller, N. G.,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Brennan, K. A. (2000). An item response theory analysis of self-report measures of adult attachment. </w:t>
      </w:r>
      <w:r w:rsidRPr="00E27686">
        <w:rPr>
          <w:rFonts w:asciiTheme="minorHAnsi" w:eastAsia="Times New Roman" w:hAnsiTheme="minorHAnsi" w:cstheme="minorHAnsi"/>
          <w:i/>
          <w:sz w:val="24"/>
          <w:szCs w:val="24"/>
          <w:lang w:val="en-GB"/>
        </w:rPr>
        <w:t>Journal of Personality and Social 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78</w:t>
      </w:r>
      <w:r w:rsidRPr="00E27686">
        <w:rPr>
          <w:rFonts w:asciiTheme="minorHAnsi" w:eastAsia="Times New Roman" w:hAnsiTheme="minorHAnsi" w:cstheme="minorHAnsi"/>
          <w:sz w:val="24"/>
          <w:szCs w:val="24"/>
          <w:lang w:val="en-GB"/>
        </w:rPr>
        <w:t>(2), 350. https://doi.org/10.1037/0022-3514.78.2.350</w:t>
      </w:r>
    </w:p>
    <w:p w14:paraId="1D4E2C28" w14:textId="7C5B1171"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Frost, D. M., Rubin, J. D.,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Darcangelo, N. (2016). Making meaning of significant events in past relationships: Implications for depression among newly single individuals. </w:t>
      </w:r>
      <w:r w:rsidRPr="00E27686">
        <w:rPr>
          <w:rFonts w:asciiTheme="minorHAnsi" w:eastAsia="Times New Roman" w:hAnsiTheme="minorHAnsi" w:cstheme="minorHAnsi"/>
          <w:i/>
          <w:sz w:val="24"/>
          <w:szCs w:val="24"/>
          <w:lang w:val="en-GB"/>
        </w:rPr>
        <w:t>Journal of social and personal relationships</w:t>
      </w:r>
      <w:r w:rsidRPr="00E27686">
        <w:rPr>
          <w:rFonts w:asciiTheme="minorHAnsi" w:eastAsia="Times New Roman" w:hAnsiTheme="minorHAnsi" w:cstheme="minorHAnsi"/>
          <w:sz w:val="24"/>
          <w:szCs w:val="24"/>
          <w:lang w:val="en-GB"/>
        </w:rPr>
        <w:t>, </w:t>
      </w:r>
      <w:r w:rsidRPr="00E27686">
        <w:rPr>
          <w:rFonts w:asciiTheme="minorHAnsi" w:eastAsia="Times New Roman" w:hAnsiTheme="minorHAnsi" w:cstheme="minorHAnsi"/>
          <w:i/>
          <w:sz w:val="24"/>
          <w:szCs w:val="24"/>
          <w:lang w:val="en-GB"/>
        </w:rPr>
        <w:t>33</w:t>
      </w:r>
      <w:r w:rsidRPr="00E27686">
        <w:rPr>
          <w:rFonts w:asciiTheme="minorHAnsi" w:eastAsia="Times New Roman" w:hAnsiTheme="minorHAnsi" w:cstheme="minorHAnsi"/>
          <w:sz w:val="24"/>
          <w:szCs w:val="24"/>
          <w:lang w:val="en-GB"/>
        </w:rPr>
        <w:t>(7), 938-960.</w:t>
      </w:r>
      <w:r w:rsidR="00BA6EED" w:rsidRPr="00E27686">
        <w:rPr>
          <w:rFonts w:asciiTheme="minorHAnsi" w:eastAsia="Times New Roman" w:hAnsiTheme="minorHAnsi" w:cstheme="minorHAnsi"/>
          <w:sz w:val="24"/>
          <w:szCs w:val="24"/>
          <w:lang w:val="en-GB"/>
        </w:rPr>
        <w:t xml:space="preserve"> https://doi.org/10.1177/0265407515612241</w:t>
      </w:r>
    </w:p>
    <w:p w14:paraId="5B00B8CC" w14:textId="31F9AFBF"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Furman, W.,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Collibee, C. (2014). A matter of timing: Developmental theories of romantic involvement and psychosocial adjustment. </w:t>
      </w:r>
      <w:r w:rsidRPr="00E27686">
        <w:rPr>
          <w:rFonts w:asciiTheme="minorHAnsi" w:eastAsia="Times New Roman" w:hAnsiTheme="minorHAnsi" w:cstheme="minorHAnsi"/>
          <w:i/>
          <w:sz w:val="24"/>
          <w:szCs w:val="24"/>
          <w:lang w:val="en-GB"/>
        </w:rPr>
        <w:t>Development and Psychopathology</w:t>
      </w:r>
      <w:r w:rsidRPr="00E27686">
        <w:rPr>
          <w:rFonts w:asciiTheme="minorHAnsi" w:eastAsia="Times New Roman" w:hAnsiTheme="minorHAnsi" w:cstheme="minorHAnsi"/>
          <w:sz w:val="24"/>
          <w:szCs w:val="24"/>
          <w:lang w:val="en-GB"/>
        </w:rPr>
        <w:t xml:space="preserve">, </w:t>
      </w:r>
      <w:r w:rsidRPr="00E27686">
        <w:rPr>
          <w:rFonts w:asciiTheme="minorHAnsi" w:eastAsia="Times New Roman" w:hAnsiTheme="minorHAnsi" w:cstheme="minorHAnsi"/>
          <w:i/>
          <w:sz w:val="24"/>
          <w:szCs w:val="24"/>
          <w:lang w:val="en-GB"/>
        </w:rPr>
        <w:t>26</w:t>
      </w:r>
      <w:r w:rsidRPr="00E27686">
        <w:rPr>
          <w:rFonts w:asciiTheme="minorHAnsi" w:eastAsia="Times New Roman" w:hAnsiTheme="minorHAnsi" w:cstheme="minorHAnsi"/>
          <w:sz w:val="24"/>
          <w:szCs w:val="24"/>
          <w:lang w:val="en-GB"/>
        </w:rPr>
        <w:t xml:space="preserve">(4pt1), 1149-1160. </w:t>
      </w:r>
      <w:hyperlink r:id="rId8">
        <w:r w:rsidR="00447D64" w:rsidRPr="00E27686">
          <w:rPr>
            <w:rFonts w:asciiTheme="minorHAnsi" w:eastAsia="Times New Roman" w:hAnsiTheme="minorHAnsi" w:cstheme="minorHAnsi"/>
            <w:sz w:val="24"/>
            <w:szCs w:val="24"/>
            <w:lang w:val="en-GB"/>
          </w:rPr>
          <w:t>https://doi.org/10.1017%2FS0954579414000182</w:t>
        </w:r>
      </w:hyperlink>
    </w:p>
    <w:p w14:paraId="45BE41C7" w14:textId="186B2CE5" w:rsidR="00447D64" w:rsidRPr="00E27686" w:rsidRDefault="00000000" w:rsidP="00A12221">
      <w:pPr>
        <w:spacing w:line="360" w:lineRule="auto"/>
        <w:ind w:left="360" w:hanging="709"/>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lang w:val="en-GB"/>
        </w:rPr>
        <w:t xml:space="preserve">García, M.,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Romero, A. (2012). </w:t>
      </w:r>
      <w:r w:rsidRPr="00E27686">
        <w:rPr>
          <w:rFonts w:asciiTheme="minorHAnsi" w:eastAsia="Times New Roman" w:hAnsiTheme="minorHAnsi" w:cstheme="minorHAnsi"/>
          <w:sz w:val="24"/>
          <w:szCs w:val="24"/>
        </w:rPr>
        <w:t>Mantenimiento en la relación de pareja: construcción y validación de dos escalas. </w:t>
      </w:r>
      <w:r w:rsidRPr="00E27686">
        <w:rPr>
          <w:rFonts w:asciiTheme="minorHAnsi" w:eastAsia="Times New Roman" w:hAnsiTheme="minorHAnsi" w:cstheme="minorHAnsi"/>
          <w:i/>
          <w:sz w:val="24"/>
          <w:szCs w:val="24"/>
        </w:rPr>
        <w:t>Revista Iberoamericana de Diagnóstico y Evaluación-e Avaliação Psicológica</w:t>
      </w:r>
      <w:r w:rsidRPr="00E27686">
        <w:rPr>
          <w:rFonts w:asciiTheme="minorHAnsi" w:eastAsia="Times New Roman" w:hAnsiTheme="minorHAnsi" w:cstheme="minorHAnsi"/>
          <w:sz w:val="24"/>
          <w:szCs w:val="24"/>
        </w:rPr>
        <w:t>,</w:t>
      </w:r>
      <w:r w:rsidRPr="00E27686">
        <w:rPr>
          <w:rFonts w:asciiTheme="minorHAnsi" w:eastAsia="Times New Roman" w:hAnsiTheme="minorHAnsi" w:cstheme="minorHAnsi"/>
          <w:i/>
          <w:sz w:val="24"/>
          <w:szCs w:val="24"/>
        </w:rPr>
        <w:t> 2</w:t>
      </w:r>
      <w:r w:rsidRPr="00E27686">
        <w:rPr>
          <w:rFonts w:asciiTheme="minorHAnsi" w:eastAsia="Times New Roman" w:hAnsiTheme="minorHAnsi" w:cstheme="minorHAnsi"/>
          <w:sz w:val="24"/>
          <w:szCs w:val="24"/>
        </w:rPr>
        <w:t>(34), 133-155.</w:t>
      </w:r>
      <w:r w:rsidR="00BA6EED" w:rsidRPr="00E27686">
        <w:rPr>
          <w:rFonts w:asciiTheme="minorHAnsi" w:eastAsia="Times New Roman" w:hAnsiTheme="minorHAnsi" w:cstheme="minorHAnsi"/>
          <w:sz w:val="24"/>
          <w:szCs w:val="24"/>
        </w:rPr>
        <w:t xml:space="preserve"> </w:t>
      </w:r>
      <w:r w:rsidR="00BA6EED" w:rsidRPr="00E27686">
        <w:rPr>
          <w:rFonts w:asciiTheme="minorHAnsi" w:eastAsia="Times New Roman" w:hAnsiTheme="minorHAnsi" w:cstheme="minorHAnsi"/>
          <w:sz w:val="24"/>
          <w:szCs w:val="24"/>
          <w:lang w:val="es-PE"/>
        </w:rPr>
        <w:t>https://www.redalyc.org/pdf/4596/459645438007.pdf</w:t>
      </w:r>
    </w:p>
    <w:p w14:paraId="2EEE36B3" w14:textId="2BADD30E" w:rsidR="00447D64" w:rsidRPr="00E27686" w:rsidRDefault="00000000" w:rsidP="00A12221">
      <w:pPr>
        <w:spacing w:line="360" w:lineRule="auto"/>
        <w:ind w:left="360" w:hanging="709"/>
        <w:rPr>
          <w:rFonts w:asciiTheme="minorHAnsi" w:eastAsia="Times New Roman" w:hAnsiTheme="minorHAnsi" w:cstheme="minorHAnsi"/>
          <w:sz w:val="24"/>
          <w:szCs w:val="24"/>
          <w:lang w:val="es-PE"/>
        </w:rPr>
      </w:pPr>
      <w:r w:rsidRPr="00E27686">
        <w:rPr>
          <w:rFonts w:asciiTheme="minorHAnsi" w:eastAsia="Times New Roman" w:hAnsiTheme="minorHAnsi" w:cstheme="minorHAnsi"/>
          <w:sz w:val="24"/>
          <w:szCs w:val="24"/>
        </w:rPr>
        <w:t xml:space="preserve">González B., C.E., Petrzelová M., J. y Hernández M., A. (2019). Comunicación y toma de decisiones: dos habilidades para las relaciones de pareja. </w:t>
      </w:r>
      <w:r w:rsidRPr="00E27686">
        <w:rPr>
          <w:rFonts w:asciiTheme="minorHAnsi" w:eastAsia="Times New Roman" w:hAnsiTheme="minorHAnsi" w:cstheme="minorHAnsi"/>
          <w:i/>
          <w:sz w:val="24"/>
          <w:szCs w:val="24"/>
          <w:lang w:val="es-PE"/>
        </w:rPr>
        <w:t>Enseñanza e Investigación en Psicología, 1</w:t>
      </w:r>
      <w:r w:rsidRPr="00E27686">
        <w:rPr>
          <w:rFonts w:asciiTheme="minorHAnsi" w:eastAsia="Times New Roman" w:hAnsiTheme="minorHAnsi" w:cstheme="minorHAnsi"/>
          <w:sz w:val="24"/>
          <w:szCs w:val="24"/>
          <w:lang w:val="es-PE"/>
        </w:rPr>
        <w:t>(3), 307-316</w:t>
      </w:r>
      <w:r w:rsidR="00BA6EED" w:rsidRPr="00E27686">
        <w:rPr>
          <w:rFonts w:asciiTheme="minorHAnsi" w:eastAsia="Times New Roman" w:hAnsiTheme="minorHAnsi" w:cstheme="minorHAnsi"/>
          <w:sz w:val="24"/>
          <w:szCs w:val="24"/>
          <w:lang w:val="es-PE"/>
        </w:rPr>
        <w:t>. https://revistacneipne.org/index.php/cneip/article/view/48</w:t>
      </w:r>
    </w:p>
    <w:p w14:paraId="03B54ED7" w14:textId="6645FEE0"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Gottman, J. M. (1998). Psychology and the study of marital processes. </w:t>
      </w:r>
      <w:r w:rsidRPr="00E27686">
        <w:rPr>
          <w:rFonts w:asciiTheme="minorHAnsi" w:eastAsia="Times New Roman" w:hAnsiTheme="minorHAnsi" w:cstheme="minorHAnsi"/>
          <w:i/>
          <w:sz w:val="24"/>
          <w:szCs w:val="24"/>
          <w:lang w:val="en-GB"/>
        </w:rPr>
        <w:t>Annual review of 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49</w:t>
      </w:r>
      <w:r w:rsidRPr="00E27686">
        <w:rPr>
          <w:rFonts w:asciiTheme="minorHAnsi" w:eastAsia="Times New Roman" w:hAnsiTheme="minorHAnsi" w:cstheme="minorHAnsi"/>
          <w:sz w:val="24"/>
          <w:szCs w:val="24"/>
          <w:lang w:val="en-GB"/>
        </w:rPr>
        <w:t>(1), 169-197.</w:t>
      </w:r>
      <w:r w:rsidR="00BA6EED" w:rsidRPr="00E27686">
        <w:rPr>
          <w:rFonts w:asciiTheme="minorHAnsi" w:eastAsia="Times New Roman" w:hAnsiTheme="minorHAnsi" w:cstheme="minorHAnsi"/>
          <w:sz w:val="24"/>
          <w:szCs w:val="24"/>
          <w:lang w:val="en-GB"/>
        </w:rPr>
        <w:t xml:space="preserve"> https://doi.org/10.1146/annurev.psych.49.1.169</w:t>
      </w:r>
    </w:p>
    <w:p w14:paraId="5D9E5177" w14:textId="0ABA550E"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US"/>
        </w:rPr>
        <w:lastRenderedPageBreak/>
        <w:t xml:space="preserve">Hazan, C.,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US"/>
        </w:rPr>
        <w:t xml:space="preserve"> Shaver, P. R. (1994). </w:t>
      </w:r>
      <w:r w:rsidRPr="00E27686">
        <w:rPr>
          <w:rFonts w:asciiTheme="minorHAnsi" w:eastAsia="Times New Roman" w:hAnsiTheme="minorHAnsi" w:cstheme="minorHAnsi"/>
          <w:sz w:val="24"/>
          <w:szCs w:val="24"/>
          <w:lang w:val="en-GB"/>
        </w:rPr>
        <w:t>Attachment as an organizational framework for research on close relationships. </w:t>
      </w:r>
      <w:r w:rsidRPr="00E27686">
        <w:rPr>
          <w:rFonts w:asciiTheme="minorHAnsi" w:eastAsia="Times New Roman" w:hAnsiTheme="minorHAnsi" w:cstheme="minorHAnsi"/>
          <w:i/>
          <w:sz w:val="24"/>
          <w:szCs w:val="24"/>
          <w:lang w:val="en-GB"/>
        </w:rPr>
        <w:t>Psychological Inquiry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5</w:t>
      </w:r>
      <w:r w:rsidRPr="00E27686">
        <w:rPr>
          <w:rFonts w:asciiTheme="minorHAnsi" w:eastAsia="Times New Roman" w:hAnsiTheme="minorHAnsi" w:cstheme="minorHAnsi"/>
          <w:sz w:val="24"/>
          <w:szCs w:val="24"/>
          <w:lang w:val="en-GB"/>
        </w:rPr>
        <w:t>(1), 1-22. https://doi.org/10.1207/s15327965pli0501_1</w:t>
      </w:r>
    </w:p>
    <w:p w14:paraId="1DA82763" w14:textId="1E60ECF8"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Kansky, J. (2018) What’s Love Got to Do with It? Romantic Relationships and Well-Being. En E. Diener, E, S. Oishi, y L. Tay (Eds.), </w:t>
      </w:r>
      <w:r w:rsidRPr="00E27686">
        <w:rPr>
          <w:rFonts w:asciiTheme="minorHAnsi" w:eastAsia="Times New Roman" w:hAnsiTheme="minorHAnsi" w:cstheme="minorHAnsi"/>
          <w:i/>
          <w:sz w:val="24"/>
          <w:szCs w:val="24"/>
          <w:lang w:val="en-GB"/>
        </w:rPr>
        <w:t>Handbook of Well-Being</w:t>
      </w:r>
      <w:r w:rsidRPr="00E27686">
        <w:rPr>
          <w:rFonts w:asciiTheme="minorHAnsi" w:eastAsia="Times New Roman" w:hAnsiTheme="minorHAnsi" w:cstheme="minorHAnsi"/>
          <w:sz w:val="24"/>
          <w:szCs w:val="24"/>
          <w:lang w:val="en-GB"/>
        </w:rPr>
        <w:t xml:space="preserve"> (pp. 1-24). DEF Publishers</w:t>
      </w:r>
      <w:r w:rsidR="00BA6EED" w:rsidRPr="00E27686">
        <w:rPr>
          <w:rFonts w:asciiTheme="minorHAnsi" w:eastAsia="Times New Roman" w:hAnsiTheme="minorHAnsi" w:cstheme="minorHAnsi"/>
          <w:sz w:val="24"/>
          <w:szCs w:val="24"/>
          <w:lang w:val="en-GB"/>
        </w:rPr>
        <w:t>.</w:t>
      </w:r>
    </w:p>
    <w:p w14:paraId="56FBBCAE" w14:textId="4E4FBA89"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Kendler, K. S., Hettema, J. M., Butera, F., Gardner, C. O.,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Prescott, C. A. (2003). Life event dimensions of loss, humiliation, entrapment, and danger in the prediction of onsets of major depression and generalized anxiety. </w:t>
      </w:r>
      <w:r w:rsidRPr="00E27686">
        <w:rPr>
          <w:rFonts w:asciiTheme="minorHAnsi" w:eastAsia="Times New Roman" w:hAnsiTheme="minorHAnsi" w:cstheme="minorHAnsi"/>
          <w:i/>
          <w:sz w:val="24"/>
          <w:szCs w:val="24"/>
          <w:lang w:val="en-GB"/>
        </w:rPr>
        <w:t>Archives of general psychiatry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60</w:t>
      </w:r>
      <w:r w:rsidRPr="00E27686">
        <w:rPr>
          <w:rFonts w:asciiTheme="minorHAnsi" w:eastAsia="Times New Roman" w:hAnsiTheme="minorHAnsi" w:cstheme="minorHAnsi"/>
          <w:sz w:val="24"/>
          <w:szCs w:val="24"/>
          <w:lang w:val="en-GB"/>
        </w:rPr>
        <w:t>(8), 789-796.</w:t>
      </w:r>
      <w:r w:rsidR="00554631" w:rsidRPr="00E27686">
        <w:rPr>
          <w:rFonts w:asciiTheme="minorHAnsi" w:eastAsia="Times New Roman" w:hAnsiTheme="minorHAnsi" w:cstheme="minorHAnsi"/>
          <w:sz w:val="24"/>
          <w:szCs w:val="24"/>
          <w:lang w:val="en-GB"/>
        </w:rPr>
        <w:t xml:space="preserve"> https://doi.org/</w:t>
      </w:r>
      <w:r w:rsidR="00BA6EED" w:rsidRPr="00E27686">
        <w:rPr>
          <w:rFonts w:asciiTheme="minorHAnsi" w:eastAsia="Times New Roman" w:hAnsiTheme="minorHAnsi" w:cstheme="minorHAnsi"/>
          <w:sz w:val="24"/>
          <w:szCs w:val="24"/>
          <w:lang w:val="en-GB"/>
        </w:rPr>
        <w:t>10.1001/archpsyc.60.8.789</w:t>
      </w:r>
    </w:p>
    <w:p w14:paraId="12825680" w14:textId="4F2A9D99"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Keyes, C. L., Shmotkin, D.,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Ryff, C. D. (2002). Optimizing well-being: the empirical encounter of two traditions. </w:t>
      </w:r>
      <w:r w:rsidRPr="00E27686">
        <w:rPr>
          <w:rFonts w:asciiTheme="minorHAnsi" w:eastAsia="Times New Roman" w:hAnsiTheme="minorHAnsi" w:cstheme="minorHAnsi"/>
          <w:i/>
          <w:sz w:val="24"/>
          <w:szCs w:val="24"/>
          <w:lang w:val="en-GB"/>
        </w:rPr>
        <w:t>Journal of personality and social 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82</w:t>
      </w:r>
      <w:r w:rsidRPr="00E27686">
        <w:rPr>
          <w:rFonts w:asciiTheme="minorHAnsi" w:eastAsia="Times New Roman" w:hAnsiTheme="minorHAnsi" w:cstheme="minorHAnsi"/>
          <w:sz w:val="24"/>
          <w:szCs w:val="24"/>
          <w:lang w:val="en-GB"/>
        </w:rPr>
        <w:t>(6), 1007.</w:t>
      </w:r>
      <w:r w:rsidR="00554631" w:rsidRPr="00E27686">
        <w:rPr>
          <w:rFonts w:asciiTheme="minorHAnsi" w:eastAsia="Times New Roman" w:hAnsiTheme="minorHAnsi" w:cstheme="minorHAnsi"/>
          <w:sz w:val="24"/>
          <w:szCs w:val="24"/>
          <w:lang w:val="en-GB"/>
        </w:rPr>
        <w:t xml:space="preserve"> https://doi.org/10.1037/0022-3514.82.6.1007</w:t>
      </w:r>
    </w:p>
    <w:p w14:paraId="2D3D2692" w14:textId="77777777"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Kurdek, L. A. (1994). Conflict resolution styles in gay, lesbian, heterosexual nonparent, and heterosexual parent couples. </w:t>
      </w:r>
      <w:r w:rsidRPr="00E27686">
        <w:rPr>
          <w:rFonts w:asciiTheme="minorHAnsi" w:eastAsia="Times New Roman" w:hAnsiTheme="minorHAnsi" w:cstheme="minorHAnsi"/>
          <w:i/>
          <w:sz w:val="24"/>
          <w:szCs w:val="24"/>
          <w:lang w:val="en-GB"/>
        </w:rPr>
        <w:t>Journal of Marriage and the Family</w:t>
      </w:r>
      <w:r w:rsidRPr="00E27686">
        <w:rPr>
          <w:rFonts w:asciiTheme="minorHAnsi" w:eastAsia="Times New Roman" w:hAnsiTheme="minorHAnsi" w:cstheme="minorHAnsi"/>
          <w:sz w:val="24"/>
          <w:szCs w:val="24"/>
          <w:lang w:val="en-GB"/>
        </w:rPr>
        <w:t>, 705-722. https://doi.org/10.2307/352880</w:t>
      </w:r>
    </w:p>
    <w:p w14:paraId="1DFD801D" w14:textId="4415C3A3"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Lantagne, A., Furman, W.,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Novak, J. (2017). “Stay or Leave” Predictors of Relationship Dissolution in Emerging Adulthood. </w:t>
      </w:r>
      <w:r w:rsidRPr="00E27686">
        <w:rPr>
          <w:rFonts w:asciiTheme="minorHAnsi" w:eastAsia="Times New Roman" w:hAnsiTheme="minorHAnsi" w:cstheme="minorHAnsi"/>
          <w:i/>
          <w:sz w:val="24"/>
          <w:szCs w:val="24"/>
          <w:lang w:val="en-GB"/>
        </w:rPr>
        <w:t>Emerging Adulthood</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5</w:t>
      </w:r>
      <w:r w:rsidRPr="00E27686">
        <w:rPr>
          <w:rFonts w:asciiTheme="minorHAnsi" w:eastAsia="Times New Roman" w:hAnsiTheme="minorHAnsi" w:cstheme="minorHAnsi"/>
          <w:sz w:val="24"/>
          <w:szCs w:val="24"/>
          <w:lang w:val="en-GB"/>
        </w:rPr>
        <w:t>(4), 241-250. https://doi.org/10.1177/2167696817699750</w:t>
      </w:r>
    </w:p>
    <w:p w14:paraId="2128A08B" w14:textId="40685BDA"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Le, B., Dove, N. L., Agnew, C. R., Korn, M. S.,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Mutso, A. A. (2010). Predicting nonmarital romantic relationship dissolution: A meta‐analytic synthesis. </w:t>
      </w:r>
      <w:r w:rsidRPr="00E27686">
        <w:rPr>
          <w:rFonts w:asciiTheme="minorHAnsi" w:eastAsia="Times New Roman" w:hAnsiTheme="minorHAnsi" w:cstheme="minorHAnsi"/>
          <w:i/>
          <w:sz w:val="24"/>
          <w:szCs w:val="24"/>
          <w:lang w:val="en-GB"/>
        </w:rPr>
        <w:t>Personal Relationships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17</w:t>
      </w:r>
      <w:r w:rsidRPr="00E27686">
        <w:rPr>
          <w:rFonts w:asciiTheme="minorHAnsi" w:eastAsia="Times New Roman" w:hAnsiTheme="minorHAnsi" w:cstheme="minorHAnsi"/>
          <w:sz w:val="24"/>
          <w:szCs w:val="24"/>
          <w:lang w:val="en-GB"/>
        </w:rPr>
        <w:t xml:space="preserve">(3), 377-390. </w:t>
      </w:r>
      <w:r w:rsidR="00447D64" w:rsidRPr="00E27686">
        <w:rPr>
          <w:rFonts w:asciiTheme="minorHAnsi" w:eastAsia="Times New Roman" w:hAnsiTheme="minorHAnsi" w:cstheme="minorHAnsi"/>
          <w:sz w:val="24"/>
          <w:szCs w:val="24"/>
          <w:lang w:val="en-GB"/>
        </w:rPr>
        <w:t>https://doi.org/10.1111/j.1475-6811.2010.01285.x</w:t>
      </w:r>
    </w:p>
    <w:p w14:paraId="2EA3BD54" w14:textId="39FFEBA4"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Lewandowski, G. W.,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Bizzoco, N. M. (2007). Addition through subtraction: Growth following the dissolution of a low quality relationship. </w:t>
      </w:r>
      <w:r w:rsidRPr="00E27686">
        <w:rPr>
          <w:rFonts w:asciiTheme="minorHAnsi" w:eastAsia="Times New Roman" w:hAnsiTheme="minorHAnsi" w:cstheme="minorHAnsi"/>
          <w:i/>
          <w:sz w:val="24"/>
          <w:szCs w:val="24"/>
          <w:lang w:val="en-GB"/>
        </w:rPr>
        <w:t>The Journal of Positive 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2</w:t>
      </w:r>
      <w:r w:rsidRPr="00E27686">
        <w:rPr>
          <w:rFonts w:asciiTheme="minorHAnsi" w:eastAsia="Times New Roman" w:hAnsiTheme="minorHAnsi" w:cstheme="minorHAnsi"/>
          <w:sz w:val="24"/>
          <w:szCs w:val="24"/>
          <w:lang w:val="en-GB"/>
        </w:rPr>
        <w:t>(1), 40-54.</w:t>
      </w:r>
      <w:r w:rsidR="00554631" w:rsidRPr="00E27686">
        <w:rPr>
          <w:rFonts w:asciiTheme="minorHAnsi" w:eastAsia="Times New Roman" w:hAnsiTheme="minorHAnsi" w:cstheme="minorHAnsi"/>
          <w:sz w:val="24"/>
          <w:szCs w:val="24"/>
          <w:lang w:val="en-GB"/>
        </w:rPr>
        <w:t xml:space="preserve"> https://doi.org/10.1080/17439760601069234</w:t>
      </w:r>
    </w:p>
    <w:p w14:paraId="5AA30845" w14:textId="478F29F2"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Madey, S. F.,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Jilek, L. (2012). Attachment style and dissolution of romantic relationships: Breaking up is hard to do, or is it? </w:t>
      </w:r>
      <w:r w:rsidRPr="00E27686">
        <w:rPr>
          <w:rFonts w:asciiTheme="minorHAnsi" w:eastAsia="Times New Roman" w:hAnsiTheme="minorHAnsi" w:cstheme="minorHAnsi"/>
          <w:i/>
          <w:sz w:val="24"/>
          <w:szCs w:val="24"/>
          <w:lang w:val="en-GB"/>
        </w:rPr>
        <w:t>Individual Differences Research</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10</w:t>
      </w:r>
      <w:r w:rsidRPr="00E27686">
        <w:rPr>
          <w:rFonts w:asciiTheme="minorHAnsi" w:eastAsia="Times New Roman" w:hAnsiTheme="minorHAnsi" w:cstheme="minorHAnsi"/>
          <w:sz w:val="24"/>
          <w:szCs w:val="24"/>
          <w:lang w:val="en-GB"/>
        </w:rPr>
        <w:t>(4).</w:t>
      </w:r>
      <w:r w:rsidR="00ED7282" w:rsidRPr="00E27686">
        <w:rPr>
          <w:rFonts w:asciiTheme="minorHAnsi" w:eastAsia="Times New Roman" w:hAnsiTheme="minorHAnsi" w:cstheme="minorHAnsi"/>
          <w:sz w:val="24"/>
          <w:szCs w:val="24"/>
          <w:lang w:val="en-GB"/>
        </w:rPr>
        <w:t xml:space="preserve"> https://psycnet.apa.org/record/2013-00688-004 </w:t>
      </w:r>
    </w:p>
    <w:p w14:paraId="3B812738" w14:textId="0FA1A653"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lastRenderedPageBreak/>
        <w:t>MacGowan, B. (2013). </w:t>
      </w:r>
      <w:r w:rsidRPr="00E27686">
        <w:rPr>
          <w:rFonts w:asciiTheme="minorHAnsi" w:eastAsia="Times New Roman" w:hAnsiTheme="minorHAnsi" w:cstheme="minorHAnsi"/>
          <w:i/>
          <w:sz w:val="24"/>
          <w:szCs w:val="24"/>
          <w:lang w:val="en-GB"/>
        </w:rPr>
        <w:t>When a relationship ends: The role of attachment in romantic relationship loss</w:t>
      </w:r>
      <w:r w:rsidRPr="00E27686">
        <w:rPr>
          <w:rFonts w:asciiTheme="minorHAnsi" w:eastAsia="Times New Roman" w:hAnsiTheme="minorHAnsi" w:cstheme="minorHAnsi"/>
          <w:sz w:val="24"/>
          <w:szCs w:val="24"/>
          <w:lang w:val="en-GB"/>
        </w:rPr>
        <w:t> </w:t>
      </w:r>
      <w:r w:rsidR="00554631"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Tesis de doctorado. University of Saskatchewan</w:t>
      </w:r>
      <w:r w:rsidR="00554631"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 Repositorio de University of Saskatchewan. https://library-archives.canada.ca/eng/ services/services- libraries/theses/Pages/item.aspx?idNumber=1032942392</w:t>
      </w:r>
    </w:p>
    <w:p w14:paraId="64CA5540" w14:textId="75D5E1A2" w:rsidR="00447D64" w:rsidRPr="00E27686" w:rsidRDefault="00000000" w:rsidP="00A12221">
      <w:pPr>
        <w:spacing w:line="360" w:lineRule="auto"/>
        <w:ind w:left="360" w:hanging="709"/>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rPr>
        <w:t xml:space="preserve">Martínez-Álvarez, J. L., Fuertes-Martín, A., Orgaz-Baz, B., Vicario-Molina, I., </w:t>
      </w:r>
      <w:r w:rsidR="007F3561"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González-Ortega, E. (2014). Vínculos afectivos en la infancia y calidad en las relaciones de pareja de jóvenes adultos: el efecto mediador del apego actual. </w:t>
      </w:r>
      <w:r w:rsidRPr="00E27686">
        <w:rPr>
          <w:rFonts w:asciiTheme="minorHAnsi" w:eastAsia="Times New Roman" w:hAnsiTheme="minorHAnsi" w:cstheme="minorHAnsi"/>
          <w:i/>
          <w:sz w:val="24"/>
          <w:szCs w:val="24"/>
        </w:rPr>
        <w:t>Anales de Psicología/Annals of Psychology</w:t>
      </w:r>
      <w:r w:rsidRPr="00E27686">
        <w:rPr>
          <w:rFonts w:asciiTheme="minorHAnsi" w:eastAsia="Times New Roman" w:hAnsiTheme="minorHAnsi" w:cstheme="minorHAnsi"/>
          <w:sz w:val="24"/>
          <w:szCs w:val="24"/>
        </w:rPr>
        <w:t>,</w:t>
      </w:r>
      <w:r w:rsidRPr="00E27686">
        <w:rPr>
          <w:rFonts w:asciiTheme="minorHAnsi" w:eastAsia="Times New Roman" w:hAnsiTheme="minorHAnsi" w:cstheme="minorHAnsi"/>
          <w:i/>
          <w:sz w:val="24"/>
          <w:szCs w:val="24"/>
        </w:rPr>
        <w:t xml:space="preserve"> 30</w:t>
      </w:r>
      <w:r w:rsidRPr="00E27686">
        <w:rPr>
          <w:rFonts w:asciiTheme="minorHAnsi" w:eastAsia="Times New Roman" w:hAnsiTheme="minorHAnsi" w:cstheme="minorHAnsi"/>
          <w:sz w:val="24"/>
          <w:szCs w:val="24"/>
        </w:rPr>
        <w:t xml:space="preserve">(1), 211-220. https://dx.doi.org/10.6018/analesps.30.1.135051 </w:t>
      </w:r>
    </w:p>
    <w:p w14:paraId="41356426" w14:textId="47A43DBD"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rPr>
        <w:t xml:space="preserve">McKiernan, A., Ryan, P., McMahon, E., Bradley, S., </w:t>
      </w:r>
      <w:r w:rsidR="007F3561" w:rsidRPr="00E27686">
        <w:rPr>
          <w:rFonts w:asciiTheme="minorHAnsi" w:eastAsia="Times New Roman" w:hAnsiTheme="minorHAnsi" w:cstheme="minorHAnsi"/>
          <w:sz w:val="24"/>
          <w:szCs w:val="24"/>
        </w:rPr>
        <w:t>&amp;</w:t>
      </w:r>
      <w:r w:rsidRPr="00E27686">
        <w:rPr>
          <w:rFonts w:asciiTheme="minorHAnsi" w:eastAsia="Times New Roman" w:hAnsiTheme="minorHAnsi" w:cstheme="minorHAnsi"/>
          <w:sz w:val="24"/>
          <w:szCs w:val="24"/>
        </w:rPr>
        <w:t xml:space="preserve"> Butler, E. (2018). </w:t>
      </w:r>
      <w:r w:rsidRPr="00E27686">
        <w:rPr>
          <w:rFonts w:asciiTheme="minorHAnsi" w:eastAsia="Times New Roman" w:hAnsiTheme="minorHAnsi" w:cstheme="minorHAnsi"/>
          <w:sz w:val="24"/>
          <w:szCs w:val="24"/>
          <w:lang w:val="en-GB"/>
        </w:rPr>
        <w:t>Understanding young people's relationship breakups using the dual processing model of coping and bereavement. </w:t>
      </w:r>
      <w:r w:rsidRPr="00E27686">
        <w:rPr>
          <w:rFonts w:asciiTheme="minorHAnsi" w:eastAsia="Times New Roman" w:hAnsiTheme="minorHAnsi" w:cstheme="minorHAnsi"/>
          <w:i/>
          <w:sz w:val="24"/>
          <w:szCs w:val="24"/>
          <w:lang w:val="en-GB"/>
        </w:rPr>
        <w:t>Journal of Loss and Trauma</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23</w:t>
      </w:r>
      <w:r w:rsidRPr="00E27686">
        <w:rPr>
          <w:rFonts w:asciiTheme="minorHAnsi" w:eastAsia="Times New Roman" w:hAnsiTheme="minorHAnsi" w:cstheme="minorHAnsi"/>
          <w:sz w:val="24"/>
          <w:szCs w:val="24"/>
          <w:lang w:val="en-GB"/>
        </w:rPr>
        <w:t>(3), 192-210.</w:t>
      </w:r>
      <w:r w:rsidR="00554631" w:rsidRPr="00E27686">
        <w:rPr>
          <w:rFonts w:asciiTheme="minorHAnsi" w:eastAsia="Times New Roman" w:hAnsiTheme="minorHAnsi" w:cstheme="minorHAnsi"/>
          <w:sz w:val="24"/>
          <w:szCs w:val="24"/>
          <w:lang w:val="en-GB"/>
        </w:rPr>
        <w:t xml:space="preserve"> https://doi.org/10.1080/15325024.2018.1426979</w:t>
      </w:r>
    </w:p>
    <w:p w14:paraId="68BFAB95" w14:textId="77777777"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Mikulincer, M., y Shaver, P. R. (2016). </w:t>
      </w:r>
      <w:r w:rsidRPr="00E27686">
        <w:rPr>
          <w:rFonts w:asciiTheme="minorHAnsi" w:eastAsia="Times New Roman" w:hAnsiTheme="minorHAnsi" w:cstheme="minorHAnsi"/>
          <w:i/>
          <w:sz w:val="24"/>
          <w:szCs w:val="24"/>
          <w:lang w:val="en-GB"/>
        </w:rPr>
        <w:t>Attachment in adulthood: Structure, dynamics, and change</w:t>
      </w:r>
      <w:r w:rsidRPr="00E27686">
        <w:rPr>
          <w:rFonts w:asciiTheme="minorHAnsi" w:eastAsia="Times New Roman" w:hAnsiTheme="minorHAnsi" w:cstheme="minorHAnsi"/>
          <w:sz w:val="24"/>
          <w:szCs w:val="24"/>
          <w:lang w:val="en-GB"/>
        </w:rPr>
        <w:t xml:space="preserve"> (2nd ed.). The Guilford Press.</w:t>
      </w:r>
    </w:p>
    <w:p w14:paraId="1C264EEB" w14:textId="3A185E20"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Mikulincer, M.,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Shaver, P. R. (2021). An attachment perspective on loss and grief. </w:t>
      </w:r>
      <w:r w:rsidRPr="00E27686">
        <w:rPr>
          <w:rFonts w:asciiTheme="minorHAnsi" w:eastAsia="Times New Roman" w:hAnsiTheme="minorHAnsi" w:cstheme="minorHAnsi"/>
          <w:i/>
          <w:sz w:val="24"/>
          <w:szCs w:val="24"/>
          <w:lang w:val="en-GB"/>
        </w:rPr>
        <w:t>Current Opinion in Psychology</w:t>
      </w:r>
      <w:r w:rsidRPr="00E27686">
        <w:rPr>
          <w:rFonts w:asciiTheme="minorHAnsi" w:eastAsia="Times New Roman" w:hAnsiTheme="minorHAnsi" w:cstheme="minorHAnsi"/>
          <w:sz w:val="24"/>
          <w:szCs w:val="24"/>
          <w:lang w:val="en-GB"/>
        </w:rPr>
        <w:t>, </w:t>
      </w:r>
      <w:r w:rsidRPr="00E27686">
        <w:rPr>
          <w:rFonts w:asciiTheme="minorHAnsi" w:eastAsia="Times New Roman" w:hAnsiTheme="minorHAnsi" w:cstheme="minorHAnsi"/>
          <w:i/>
          <w:sz w:val="24"/>
          <w:szCs w:val="24"/>
          <w:lang w:val="en-GB"/>
        </w:rPr>
        <w:t>45</w:t>
      </w:r>
      <w:r w:rsidRPr="00E27686">
        <w:rPr>
          <w:rFonts w:asciiTheme="minorHAnsi" w:eastAsia="Times New Roman" w:hAnsiTheme="minorHAnsi" w:cstheme="minorHAnsi"/>
          <w:sz w:val="24"/>
          <w:szCs w:val="24"/>
          <w:lang w:val="en-GB"/>
        </w:rPr>
        <w:t>, 101283-101283.</w:t>
      </w:r>
      <w:r w:rsidR="00554631" w:rsidRPr="00E27686">
        <w:rPr>
          <w:rFonts w:asciiTheme="minorHAnsi" w:eastAsia="Times New Roman" w:hAnsiTheme="minorHAnsi" w:cstheme="minorHAnsi"/>
          <w:sz w:val="24"/>
          <w:szCs w:val="24"/>
          <w:lang w:val="en-GB"/>
        </w:rPr>
        <w:t xml:space="preserve"> https://doi.org/https://doi.org/</w:t>
      </w:r>
    </w:p>
    <w:p w14:paraId="04AE5468" w14:textId="25FDFE6A"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Norona, J. C. (2018). </w:t>
      </w:r>
      <w:r w:rsidRPr="00E27686">
        <w:rPr>
          <w:rFonts w:asciiTheme="minorHAnsi" w:eastAsia="Times New Roman" w:hAnsiTheme="minorHAnsi" w:cstheme="minorHAnsi"/>
          <w:i/>
          <w:sz w:val="24"/>
          <w:szCs w:val="24"/>
          <w:lang w:val="en-GB"/>
        </w:rPr>
        <w:t>Breakups and Betrayals in Emerging Adulthood: A Developmental Perspective of Relationship Dissolution and Infidelity</w:t>
      </w:r>
      <w:r w:rsidRPr="00E27686">
        <w:rPr>
          <w:rFonts w:asciiTheme="minorHAnsi" w:eastAsia="Times New Roman" w:hAnsiTheme="minorHAnsi" w:cstheme="minorHAnsi"/>
          <w:sz w:val="24"/>
          <w:szCs w:val="24"/>
          <w:lang w:val="en-GB"/>
        </w:rPr>
        <w:t xml:space="preserve">. </w:t>
      </w:r>
      <w:r w:rsidR="00554631"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Tesis de doctorado. University of Tenneesee</w:t>
      </w:r>
      <w:r w:rsidR="00554631"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 Repositorio de University of Tenneesee. https://trace.tennessee.edu/utk_graddiss/4798/</w:t>
      </w:r>
    </w:p>
    <w:p w14:paraId="2EE8D4C0" w14:textId="053307E9" w:rsidR="00447D64" w:rsidRPr="00E27686" w:rsidRDefault="00000000" w:rsidP="00A12221">
      <w:pPr>
        <w:spacing w:line="360" w:lineRule="auto"/>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US"/>
        </w:rPr>
        <w:t xml:space="preserve">Norona, J. C.,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US"/>
        </w:rPr>
        <w:t xml:space="preserve"> Welsh, D. P. (2017). </w:t>
      </w:r>
      <w:r w:rsidRPr="00E27686">
        <w:rPr>
          <w:rFonts w:asciiTheme="minorHAnsi" w:eastAsia="Times New Roman" w:hAnsiTheme="minorHAnsi" w:cstheme="minorHAnsi"/>
          <w:sz w:val="24"/>
          <w:szCs w:val="24"/>
          <w:lang w:val="en-GB"/>
        </w:rPr>
        <w:t>Romantic relationship dissolution in emerging adulthood: Introduction to the special issue. </w:t>
      </w:r>
      <w:r w:rsidRPr="00E27686">
        <w:rPr>
          <w:rFonts w:asciiTheme="minorHAnsi" w:eastAsia="Times New Roman" w:hAnsiTheme="minorHAnsi" w:cstheme="minorHAnsi"/>
          <w:i/>
          <w:sz w:val="24"/>
          <w:szCs w:val="24"/>
          <w:lang w:val="en-GB"/>
        </w:rPr>
        <w:t>Emerging Adulthood</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5</w:t>
      </w:r>
      <w:r w:rsidRPr="00E27686">
        <w:rPr>
          <w:rFonts w:asciiTheme="minorHAnsi" w:eastAsia="Times New Roman" w:hAnsiTheme="minorHAnsi" w:cstheme="minorHAnsi"/>
          <w:sz w:val="24"/>
          <w:szCs w:val="24"/>
          <w:lang w:val="en-GB"/>
        </w:rPr>
        <w:t>(4), 227-229.</w:t>
      </w:r>
      <w:r w:rsidR="00554631" w:rsidRPr="00E27686">
        <w:rPr>
          <w:rFonts w:asciiTheme="minorHAnsi" w:eastAsia="Times New Roman" w:hAnsiTheme="minorHAnsi" w:cstheme="minorHAnsi"/>
          <w:sz w:val="24"/>
          <w:szCs w:val="24"/>
          <w:lang w:val="en-GB"/>
        </w:rPr>
        <w:t xml:space="preserve"> https://doi.org/10.1177/2167696817712801</w:t>
      </w:r>
    </w:p>
    <w:p w14:paraId="3536A1B8" w14:textId="506A3C7E"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Park, Y., Impett, E. A., Spielmann, S. S., Joel, S.,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MacDonald, G. (2021). Lack of intimacy prospectively predicts breakup. </w:t>
      </w:r>
      <w:r w:rsidRPr="00E27686">
        <w:rPr>
          <w:rFonts w:asciiTheme="minorHAnsi" w:eastAsia="Times New Roman" w:hAnsiTheme="minorHAnsi" w:cstheme="minorHAnsi"/>
          <w:i/>
          <w:sz w:val="24"/>
          <w:szCs w:val="24"/>
          <w:lang w:val="en-GB"/>
        </w:rPr>
        <w:t>Social Psychological and Personality Science</w:t>
      </w:r>
      <w:r w:rsidRPr="00E27686">
        <w:rPr>
          <w:rFonts w:asciiTheme="minorHAnsi" w:eastAsia="Times New Roman" w:hAnsiTheme="minorHAnsi" w:cstheme="minorHAnsi"/>
          <w:sz w:val="24"/>
          <w:szCs w:val="24"/>
          <w:lang w:val="en-GB"/>
        </w:rPr>
        <w:t xml:space="preserve">, </w:t>
      </w:r>
      <w:r w:rsidRPr="00E27686">
        <w:rPr>
          <w:rFonts w:asciiTheme="minorHAnsi" w:eastAsia="Times New Roman" w:hAnsiTheme="minorHAnsi" w:cstheme="minorHAnsi"/>
          <w:i/>
          <w:sz w:val="24"/>
          <w:szCs w:val="24"/>
          <w:lang w:val="en-GB"/>
        </w:rPr>
        <w:t>12</w:t>
      </w:r>
      <w:r w:rsidRPr="00E27686">
        <w:rPr>
          <w:rFonts w:asciiTheme="minorHAnsi" w:eastAsia="Times New Roman" w:hAnsiTheme="minorHAnsi" w:cstheme="minorHAnsi"/>
          <w:sz w:val="24"/>
          <w:szCs w:val="24"/>
          <w:lang w:val="en-GB"/>
        </w:rPr>
        <w:t>(4), 442-451. https://doi.org/10.1177/1948550620929499</w:t>
      </w:r>
    </w:p>
    <w:p w14:paraId="1BEEFDE5" w14:textId="1608DC54" w:rsidR="004B37EF"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Perilloux, C.,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Buss, D. M. (2008). Breaking up romantic relationships: Costs experienced and coping strategies deployed. </w:t>
      </w:r>
      <w:r w:rsidRPr="00E27686">
        <w:rPr>
          <w:rFonts w:asciiTheme="minorHAnsi" w:eastAsia="Times New Roman" w:hAnsiTheme="minorHAnsi" w:cstheme="minorHAnsi"/>
          <w:i/>
          <w:sz w:val="24"/>
          <w:szCs w:val="24"/>
          <w:lang w:val="en-GB"/>
        </w:rPr>
        <w:t>Evolutionary psychology</w:t>
      </w:r>
      <w:r w:rsidRPr="00E27686">
        <w:rPr>
          <w:rFonts w:asciiTheme="minorHAnsi" w:eastAsia="Times New Roman" w:hAnsiTheme="minorHAnsi" w:cstheme="minorHAnsi"/>
          <w:sz w:val="24"/>
          <w:szCs w:val="24"/>
          <w:lang w:val="en-GB"/>
        </w:rPr>
        <w:t>, </w:t>
      </w:r>
      <w:r w:rsidRPr="00E27686">
        <w:rPr>
          <w:rFonts w:asciiTheme="minorHAnsi" w:eastAsia="Times New Roman" w:hAnsiTheme="minorHAnsi" w:cstheme="minorHAnsi"/>
          <w:i/>
          <w:sz w:val="24"/>
          <w:szCs w:val="24"/>
          <w:lang w:val="en-GB"/>
        </w:rPr>
        <w:t>6</w:t>
      </w:r>
      <w:r w:rsidRPr="00E27686">
        <w:rPr>
          <w:rFonts w:asciiTheme="minorHAnsi" w:eastAsia="Times New Roman" w:hAnsiTheme="minorHAnsi" w:cstheme="minorHAnsi"/>
          <w:sz w:val="24"/>
          <w:szCs w:val="24"/>
          <w:lang w:val="en-GB"/>
        </w:rPr>
        <w:t>(1), 164-181.</w:t>
      </w:r>
      <w:r w:rsidR="00554631" w:rsidRPr="00E27686">
        <w:rPr>
          <w:rFonts w:asciiTheme="minorHAnsi" w:eastAsia="Times New Roman" w:hAnsiTheme="minorHAnsi" w:cstheme="minorHAnsi"/>
          <w:sz w:val="24"/>
          <w:szCs w:val="24"/>
          <w:lang w:val="en-GB"/>
        </w:rPr>
        <w:t xml:space="preserve"> https://doi.org/10.1177/147470490800600119</w:t>
      </w:r>
    </w:p>
    <w:p w14:paraId="24F3A66D" w14:textId="7CCE3B84" w:rsidR="004B37EF" w:rsidRPr="00E27686" w:rsidRDefault="004B37EF" w:rsidP="00A12221">
      <w:pPr>
        <w:spacing w:line="360" w:lineRule="auto"/>
        <w:ind w:left="360" w:hanging="709"/>
        <w:rPr>
          <w:rFonts w:asciiTheme="minorHAnsi" w:hAnsiTheme="minorHAnsi" w:cstheme="minorHAnsi"/>
          <w:color w:val="222222"/>
          <w:sz w:val="24"/>
          <w:szCs w:val="24"/>
          <w:shd w:val="clear" w:color="auto" w:fill="FFFFFF"/>
        </w:rPr>
      </w:pPr>
      <w:r w:rsidRPr="00E27686">
        <w:rPr>
          <w:rFonts w:asciiTheme="minorHAnsi" w:hAnsiTheme="minorHAnsi" w:cstheme="minorHAnsi"/>
          <w:color w:val="222222"/>
          <w:sz w:val="24"/>
          <w:szCs w:val="24"/>
          <w:shd w:val="clear" w:color="auto" w:fill="FFFFFF"/>
          <w:lang w:val="en-GB"/>
        </w:rPr>
        <w:lastRenderedPageBreak/>
        <w:t xml:space="preserve">Prieto, B. G., Molleda, C. B., &amp; Amado, R. T. (2022). </w:t>
      </w:r>
      <w:r w:rsidRPr="00E27686">
        <w:rPr>
          <w:rFonts w:asciiTheme="minorHAnsi" w:hAnsiTheme="minorHAnsi" w:cstheme="minorHAnsi"/>
          <w:color w:val="222222"/>
          <w:sz w:val="24"/>
          <w:szCs w:val="24"/>
          <w:shd w:val="clear" w:color="auto" w:fill="FFFFFF"/>
        </w:rPr>
        <w:t>Autopercepción de maltrato y actitudes ante la victimización en las relaciones interpersonales de pareja. </w:t>
      </w:r>
      <w:r w:rsidRPr="00E27686">
        <w:rPr>
          <w:rFonts w:asciiTheme="minorHAnsi" w:hAnsiTheme="minorHAnsi" w:cstheme="minorHAnsi"/>
          <w:i/>
          <w:iCs/>
          <w:color w:val="222222"/>
          <w:sz w:val="24"/>
          <w:szCs w:val="24"/>
          <w:shd w:val="clear" w:color="auto" w:fill="FFFFFF"/>
        </w:rPr>
        <w:t>Anuario de Psicología</w:t>
      </w:r>
      <w:r w:rsidRPr="00E27686">
        <w:rPr>
          <w:rFonts w:asciiTheme="minorHAnsi" w:hAnsiTheme="minorHAnsi" w:cstheme="minorHAnsi"/>
          <w:color w:val="222222"/>
          <w:sz w:val="24"/>
          <w:szCs w:val="24"/>
          <w:shd w:val="clear" w:color="auto" w:fill="FFFFFF"/>
        </w:rPr>
        <w:t>, </w:t>
      </w:r>
      <w:r w:rsidRPr="00E27686">
        <w:rPr>
          <w:rFonts w:asciiTheme="minorHAnsi" w:hAnsiTheme="minorHAnsi" w:cstheme="minorHAnsi"/>
          <w:i/>
          <w:iCs/>
          <w:color w:val="222222"/>
          <w:sz w:val="24"/>
          <w:szCs w:val="24"/>
          <w:shd w:val="clear" w:color="auto" w:fill="FFFFFF"/>
        </w:rPr>
        <w:t>52</w:t>
      </w:r>
      <w:r w:rsidRPr="00E27686">
        <w:rPr>
          <w:rFonts w:asciiTheme="minorHAnsi" w:hAnsiTheme="minorHAnsi" w:cstheme="minorHAnsi"/>
          <w:color w:val="222222"/>
          <w:sz w:val="24"/>
          <w:szCs w:val="24"/>
          <w:shd w:val="clear" w:color="auto" w:fill="FFFFFF"/>
        </w:rPr>
        <w:t>(52/3), 220-227.</w:t>
      </w:r>
      <w:r w:rsidR="00554631" w:rsidRPr="00E27686">
        <w:rPr>
          <w:rFonts w:asciiTheme="minorHAnsi" w:hAnsiTheme="minorHAnsi" w:cstheme="minorHAnsi"/>
          <w:color w:val="222222"/>
          <w:sz w:val="24"/>
          <w:szCs w:val="24"/>
          <w:shd w:val="clear" w:color="auto" w:fill="FFFFFF"/>
        </w:rPr>
        <w:t xml:space="preserve"> </w:t>
      </w:r>
      <w:r w:rsidR="00554631" w:rsidRPr="00E27686">
        <w:rPr>
          <w:rFonts w:asciiTheme="minorHAnsi" w:eastAsia="Times New Roman" w:hAnsiTheme="minorHAnsi" w:cstheme="minorHAnsi"/>
          <w:sz w:val="24"/>
          <w:szCs w:val="24"/>
        </w:rPr>
        <w:t>https://doi.org/10.1344/ANPSIC2022.52/3.3</w:t>
      </w:r>
    </w:p>
    <w:p w14:paraId="304A222B" w14:textId="0FBD962F" w:rsidR="00447D64" w:rsidRPr="00E27686" w:rsidRDefault="00000000" w:rsidP="00A12221">
      <w:pPr>
        <w:spacing w:line="360" w:lineRule="auto"/>
        <w:ind w:left="360" w:hanging="709"/>
        <w:rPr>
          <w:rFonts w:asciiTheme="minorHAnsi" w:eastAsia="Times New Roman" w:hAnsiTheme="minorHAnsi" w:cstheme="minorHAnsi"/>
          <w:sz w:val="24"/>
          <w:szCs w:val="24"/>
        </w:rPr>
      </w:pPr>
      <w:r w:rsidRPr="00E27686">
        <w:rPr>
          <w:rFonts w:asciiTheme="minorHAnsi" w:eastAsia="Times New Roman" w:hAnsiTheme="minorHAnsi" w:cstheme="minorHAnsi"/>
          <w:sz w:val="24"/>
          <w:szCs w:val="24"/>
          <w:lang w:val="es-PE"/>
        </w:rPr>
        <w:t xml:space="preserve">Retana-Franco, B.E., </w:t>
      </w:r>
      <w:r w:rsidR="007F3561"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lang w:val="es-PE"/>
        </w:rPr>
        <w:t xml:space="preserve"> Sánchez-Aragón, R. (2020). </w:t>
      </w:r>
      <w:r w:rsidRPr="00E27686">
        <w:rPr>
          <w:rFonts w:asciiTheme="minorHAnsi" w:eastAsia="Times New Roman" w:hAnsiTheme="minorHAnsi" w:cstheme="minorHAnsi"/>
          <w:sz w:val="24"/>
          <w:szCs w:val="24"/>
          <w:lang w:val="en-GB"/>
        </w:rPr>
        <w:t xml:space="preserve">The impact of emotional attachment and culture on the breakup strategies perceived by the abandoned. </w:t>
      </w:r>
      <w:r w:rsidRPr="00E27686">
        <w:rPr>
          <w:rFonts w:asciiTheme="minorHAnsi" w:eastAsia="Times New Roman" w:hAnsiTheme="minorHAnsi" w:cstheme="minorHAnsi"/>
          <w:i/>
          <w:sz w:val="24"/>
          <w:szCs w:val="24"/>
        </w:rPr>
        <w:t xml:space="preserve">Acta Colombiana de Psicología, </w:t>
      </w:r>
      <w:r w:rsidRPr="00E27686">
        <w:rPr>
          <w:rFonts w:asciiTheme="minorHAnsi" w:eastAsia="Times New Roman" w:hAnsiTheme="minorHAnsi" w:cstheme="minorHAnsi"/>
          <w:sz w:val="24"/>
          <w:szCs w:val="24"/>
        </w:rPr>
        <w:t xml:space="preserve">23(1), 53-65. </w:t>
      </w:r>
      <w:r w:rsidR="0028394D" w:rsidRPr="00E27686">
        <w:rPr>
          <w:rFonts w:asciiTheme="minorHAnsi" w:eastAsia="Times New Roman" w:hAnsiTheme="minorHAnsi" w:cstheme="minorHAnsi"/>
          <w:sz w:val="24"/>
          <w:szCs w:val="24"/>
        </w:rPr>
        <w:t>https://doi.org/10.14718/ACP.2020.23.1.4</w:t>
      </w:r>
    </w:p>
    <w:p w14:paraId="270D907B" w14:textId="63C0DA9E"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rPr>
        <w:t xml:space="preserve">Rhoades, G. K., Kamp Dush, C. M., Atkins, D. C., Stanley, S. M., </w:t>
      </w:r>
      <w:r w:rsidR="0063013B" w:rsidRPr="00E27686">
        <w:rPr>
          <w:rFonts w:asciiTheme="minorHAnsi" w:eastAsia="Times New Roman" w:hAnsiTheme="minorHAnsi" w:cstheme="minorHAnsi"/>
          <w:sz w:val="24"/>
          <w:szCs w:val="24"/>
        </w:rPr>
        <w:t>&amp;</w:t>
      </w:r>
      <w:r w:rsidRPr="00E27686">
        <w:rPr>
          <w:rFonts w:asciiTheme="minorHAnsi" w:eastAsia="Times New Roman" w:hAnsiTheme="minorHAnsi" w:cstheme="minorHAnsi"/>
          <w:sz w:val="24"/>
          <w:szCs w:val="24"/>
        </w:rPr>
        <w:t xml:space="preserve"> Markman, H. J. (2011). </w:t>
      </w:r>
      <w:r w:rsidRPr="00E27686">
        <w:rPr>
          <w:rFonts w:asciiTheme="minorHAnsi" w:eastAsia="Times New Roman" w:hAnsiTheme="minorHAnsi" w:cstheme="minorHAnsi"/>
          <w:sz w:val="24"/>
          <w:szCs w:val="24"/>
          <w:lang w:val="en-GB"/>
        </w:rPr>
        <w:t>Breaking up is hard to do: the impact of unmarried relationship dissolution on mental health and life satisfaction. </w:t>
      </w:r>
      <w:r w:rsidRPr="00E27686">
        <w:rPr>
          <w:rFonts w:asciiTheme="minorHAnsi" w:eastAsia="Times New Roman" w:hAnsiTheme="minorHAnsi" w:cstheme="minorHAnsi"/>
          <w:i/>
          <w:sz w:val="24"/>
          <w:szCs w:val="24"/>
          <w:lang w:val="en-GB"/>
        </w:rPr>
        <w:t>Journal of family psychology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25</w:t>
      </w:r>
      <w:r w:rsidRPr="00E27686">
        <w:rPr>
          <w:rFonts w:asciiTheme="minorHAnsi" w:eastAsia="Times New Roman" w:hAnsiTheme="minorHAnsi" w:cstheme="minorHAnsi"/>
          <w:sz w:val="24"/>
          <w:szCs w:val="24"/>
          <w:lang w:val="en-GB"/>
        </w:rPr>
        <w:t>(3), 366.</w:t>
      </w:r>
      <w:r w:rsidR="00B95500" w:rsidRPr="00E27686">
        <w:rPr>
          <w:rFonts w:asciiTheme="minorHAnsi" w:eastAsia="Times New Roman" w:hAnsiTheme="minorHAnsi" w:cstheme="minorHAnsi"/>
          <w:sz w:val="24"/>
          <w:szCs w:val="24"/>
          <w:lang w:val="en-GB"/>
        </w:rPr>
        <w:t xml:space="preserve"> https://doi.org/10.1037/a0023627</w:t>
      </w:r>
    </w:p>
    <w:p w14:paraId="4E6C95C0" w14:textId="4C585E2F"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Salzwedel, E. (2021). </w:t>
      </w:r>
      <w:r w:rsidRPr="00E27686">
        <w:rPr>
          <w:rFonts w:asciiTheme="minorHAnsi" w:eastAsia="Times New Roman" w:hAnsiTheme="minorHAnsi" w:cstheme="minorHAnsi"/>
          <w:i/>
          <w:sz w:val="24"/>
          <w:szCs w:val="24"/>
          <w:lang w:val="en-GB"/>
        </w:rPr>
        <w:t xml:space="preserve">The Art of Breaking Up: Ending Romantic Relationships. </w:t>
      </w:r>
      <w:r w:rsidR="00B95500"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Honors Thesis. The University of South Dakota</w:t>
      </w:r>
      <w:r w:rsidR="00B95500"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 Repositorio de University of Suth Dakota. https://red.library.usd.edu/cgi/viewcontent.cgi?article=1222&amp;context=honors-thesis</w:t>
      </w:r>
    </w:p>
    <w:p w14:paraId="36B9C323" w14:textId="15E0A5AE"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rPr>
        <w:t xml:space="preserve">Sbarra, D. A., </w:t>
      </w:r>
      <w:r w:rsidR="007F3561" w:rsidRPr="00E27686">
        <w:rPr>
          <w:rFonts w:asciiTheme="minorHAnsi" w:eastAsia="Times New Roman" w:hAnsiTheme="minorHAnsi" w:cstheme="minorHAnsi"/>
          <w:sz w:val="24"/>
          <w:szCs w:val="24"/>
          <w:lang w:val="es-PE"/>
        </w:rPr>
        <w:t>&amp;</w:t>
      </w:r>
      <w:r w:rsidRPr="00E27686">
        <w:rPr>
          <w:rFonts w:asciiTheme="minorHAnsi" w:eastAsia="Times New Roman" w:hAnsiTheme="minorHAnsi" w:cstheme="minorHAnsi"/>
          <w:sz w:val="24"/>
          <w:szCs w:val="24"/>
        </w:rPr>
        <w:t xml:space="preserve"> Borelli, J. L. (2019). </w:t>
      </w:r>
      <w:r w:rsidRPr="00E27686">
        <w:rPr>
          <w:rFonts w:asciiTheme="minorHAnsi" w:eastAsia="Times New Roman" w:hAnsiTheme="minorHAnsi" w:cstheme="minorHAnsi"/>
          <w:sz w:val="24"/>
          <w:szCs w:val="24"/>
          <w:lang w:val="en-GB"/>
        </w:rPr>
        <w:t>Attachment reorganization following divorce: Normative processes and individual differences. </w:t>
      </w:r>
      <w:r w:rsidRPr="00E27686">
        <w:rPr>
          <w:rFonts w:asciiTheme="minorHAnsi" w:eastAsia="Times New Roman" w:hAnsiTheme="minorHAnsi" w:cstheme="minorHAnsi"/>
          <w:i/>
          <w:sz w:val="24"/>
          <w:szCs w:val="24"/>
          <w:lang w:val="en-GB"/>
        </w:rPr>
        <w:t>Current opinion in psychology</w:t>
      </w:r>
      <w:r w:rsidRPr="00E27686">
        <w:rPr>
          <w:rFonts w:asciiTheme="minorHAnsi" w:eastAsia="Times New Roman" w:hAnsiTheme="minorHAnsi" w:cstheme="minorHAnsi"/>
          <w:sz w:val="24"/>
          <w:szCs w:val="24"/>
          <w:lang w:val="en-GB"/>
        </w:rPr>
        <w:t>, </w:t>
      </w:r>
      <w:r w:rsidRPr="00E27686">
        <w:rPr>
          <w:rFonts w:asciiTheme="minorHAnsi" w:eastAsia="Times New Roman" w:hAnsiTheme="minorHAnsi" w:cstheme="minorHAnsi"/>
          <w:i/>
          <w:sz w:val="24"/>
          <w:szCs w:val="24"/>
          <w:lang w:val="en-GB"/>
        </w:rPr>
        <w:t>25</w:t>
      </w:r>
      <w:r w:rsidRPr="00E27686">
        <w:rPr>
          <w:rFonts w:asciiTheme="minorHAnsi" w:eastAsia="Times New Roman" w:hAnsiTheme="minorHAnsi" w:cstheme="minorHAnsi"/>
          <w:sz w:val="24"/>
          <w:szCs w:val="24"/>
          <w:lang w:val="en-GB"/>
        </w:rPr>
        <w:t>, 71-75.</w:t>
      </w:r>
      <w:r w:rsidR="00B95500" w:rsidRPr="00E27686">
        <w:rPr>
          <w:rFonts w:asciiTheme="minorHAnsi" w:eastAsia="Times New Roman" w:hAnsiTheme="minorHAnsi" w:cstheme="minorHAnsi"/>
          <w:sz w:val="24"/>
          <w:szCs w:val="24"/>
          <w:lang w:val="en-GB"/>
        </w:rPr>
        <w:t xml:space="preserve"> </w:t>
      </w:r>
      <w:bookmarkStart w:id="5" w:name="_Hlk190984670"/>
      <w:r w:rsidR="00B95500" w:rsidRPr="00E27686">
        <w:rPr>
          <w:rFonts w:asciiTheme="minorHAnsi" w:eastAsia="Times New Roman" w:hAnsiTheme="minorHAnsi" w:cstheme="minorHAnsi"/>
          <w:sz w:val="24"/>
          <w:szCs w:val="24"/>
          <w:lang w:val="en-GB"/>
        </w:rPr>
        <w:t>https://doi.org/</w:t>
      </w:r>
      <w:bookmarkEnd w:id="5"/>
      <w:r w:rsidR="00B95500" w:rsidRPr="00E27686">
        <w:rPr>
          <w:rFonts w:asciiTheme="minorHAnsi" w:eastAsia="Times New Roman" w:hAnsiTheme="minorHAnsi" w:cstheme="minorHAnsi"/>
          <w:sz w:val="24"/>
          <w:szCs w:val="24"/>
          <w:lang w:val="en-GB"/>
        </w:rPr>
        <w:t>10.1016/j.copsyc.2018.03.008</w:t>
      </w:r>
    </w:p>
    <w:p w14:paraId="0F7FEE22" w14:textId="1B0C23B4"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Sbarra, D. A.,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Emery, R. E. (2005). The emotional sequelae of nonmarital relationship dissolution: Analysis of change and intraindividual variability over time. </w:t>
      </w:r>
      <w:r w:rsidRPr="00E27686">
        <w:rPr>
          <w:rFonts w:asciiTheme="minorHAnsi" w:eastAsia="Times New Roman" w:hAnsiTheme="minorHAnsi" w:cstheme="minorHAnsi"/>
          <w:i/>
          <w:sz w:val="24"/>
          <w:szCs w:val="24"/>
          <w:lang w:val="en-GB"/>
        </w:rPr>
        <w:t>Personal Relationships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12</w:t>
      </w:r>
      <w:r w:rsidRPr="00E27686">
        <w:rPr>
          <w:rFonts w:asciiTheme="minorHAnsi" w:eastAsia="Times New Roman" w:hAnsiTheme="minorHAnsi" w:cstheme="minorHAnsi"/>
          <w:sz w:val="24"/>
          <w:szCs w:val="24"/>
          <w:lang w:val="en-GB"/>
        </w:rPr>
        <w:t>(2), 213-232.</w:t>
      </w:r>
      <w:r w:rsidR="00B95500" w:rsidRPr="00E27686">
        <w:rPr>
          <w:rFonts w:asciiTheme="minorHAnsi" w:eastAsia="Times New Roman" w:hAnsiTheme="minorHAnsi" w:cstheme="minorHAnsi"/>
          <w:sz w:val="24"/>
          <w:szCs w:val="24"/>
          <w:lang w:val="en-GB"/>
        </w:rPr>
        <w:t xml:space="preserve"> https://doi.org/10.1111/j.1350-4126.2005.00112.x</w:t>
      </w:r>
    </w:p>
    <w:p w14:paraId="39DF4EB7" w14:textId="553B3AF5"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Sheppard, K. (2012). </w:t>
      </w:r>
      <w:r w:rsidRPr="00E27686">
        <w:rPr>
          <w:rFonts w:asciiTheme="minorHAnsi" w:eastAsia="Times New Roman" w:hAnsiTheme="minorHAnsi" w:cstheme="minorHAnsi"/>
          <w:i/>
          <w:sz w:val="24"/>
          <w:szCs w:val="24"/>
          <w:lang w:val="en-GB"/>
        </w:rPr>
        <w:t>An Investigation of the Dissolution of Romantic Relationships: The Impact of Affective Forecasting, Attachment, and Coping.</w:t>
      </w:r>
      <w:r w:rsidRPr="00E27686">
        <w:rPr>
          <w:rFonts w:asciiTheme="minorHAnsi" w:eastAsia="Times New Roman" w:hAnsiTheme="minorHAnsi" w:cstheme="minorHAnsi"/>
          <w:sz w:val="24"/>
          <w:szCs w:val="24"/>
          <w:lang w:val="en-GB"/>
        </w:rPr>
        <w:t xml:space="preserve"> </w:t>
      </w:r>
      <w:r w:rsidR="00B46782"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Tesis de doctorado. University of Calgary</w:t>
      </w:r>
      <w:r w:rsidR="00B46782"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sz w:val="24"/>
          <w:szCs w:val="24"/>
          <w:lang w:val="en-GB"/>
        </w:rPr>
        <w:t>. Repositorio de University of Calgary. https://prism.ucalgary.ca/handle/11023/225</w:t>
      </w:r>
    </w:p>
    <w:p w14:paraId="7233E585" w14:textId="6FE43D05"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Silva, A. J.,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Caetano, A. (2013). Validation of the flourishing scale and scale of positive and negative experience in Portugal. </w:t>
      </w:r>
      <w:r w:rsidRPr="00E27686">
        <w:rPr>
          <w:rFonts w:asciiTheme="minorHAnsi" w:eastAsia="Times New Roman" w:hAnsiTheme="minorHAnsi" w:cstheme="minorHAnsi"/>
          <w:i/>
          <w:sz w:val="24"/>
          <w:szCs w:val="24"/>
          <w:lang w:val="en-GB"/>
        </w:rPr>
        <w:t>Social indicators research</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110</w:t>
      </w:r>
      <w:r w:rsidRPr="00E27686">
        <w:rPr>
          <w:rFonts w:asciiTheme="minorHAnsi" w:eastAsia="Times New Roman" w:hAnsiTheme="minorHAnsi" w:cstheme="minorHAnsi"/>
          <w:sz w:val="24"/>
          <w:szCs w:val="24"/>
          <w:lang w:val="en-GB"/>
        </w:rPr>
        <w:t>(2), 469-478.</w:t>
      </w:r>
      <w:r w:rsidR="00B46782" w:rsidRPr="00E27686">
        <w:rPr>
          <w:rFonts w:asciiTheme="minorHAnsi" w:eastAsia="Times New Roman" w:hAnsiTheme="minorHAnsi" w:cstheme="minorHAnsi"/>
          <w:sz w:val="24"/>
          <w:szCs w:val="24"/>
          <w:lang w:val="en-GB"/>
        </w:rPr>
        <w:t xml:space="preserve"> https://doi.org/10.1007/s11205-011-9938-y</w:t>
      </w:r>
    </w:p>
    <w:p w14:paraId="4BF9079E" w14:textId="219E099E"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Smith, P. H., Homish, G. G., Leonard, K. E.,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Cornelius, J. R. (2012). Women ending marriage to a problem drinking partner decrease their own risk for problem </w:t>
      </w:r>
      <w:r w:rsidRPr="00E27686">
        <w:rPr>
          <w:rFonts w:asciiTheme="minorHAnsi" w:eastAsia="Times New Roman" w:hAnsiTheme="minorHAnsi" w:cstheme="minorHAnsi"/>
          <w:sz w:val="24"/>
          <w:szCs w:val="24"/>
          <w:lang w:val="en-GB"/>
        </w:rPr>
        <w:lastRenderedPageBreak/>
        <w:t>drinking. </w:t>
      </w:r>
      <w:r w:rsidRPr="00E27686">
        <w:rPr>
          <w:rFonts w:asciiTheme="minorHAnsi" w:eastAsia="Times New Roman" w:hAnsiTheme="minorHAnsi" w:cstheme="minorHAnsi"/>
          <w:i/>
          <w:sz w:val="24"/>
          <w:szCs w:val="24"/>
          <w:lang w:val="en-GB"/>
        </w:rPr>
        <w:t>Addiction</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107</w:t>
      </w:r>
      <w:r w:rsidRPr="00E27686">
        <w:rPr>
          <w:rFonts w:asciiTheme="minorHAnsi" w:eastAsia="Times New Roman" w:hAnsiTheme="minorHAnsi" w:cstheme="minorHAnsi"/>
          <w:sz w:val="24"/>
          <w:szCs w:val="24"/>
          <w:lang w:val="en-GB"/>
        </w:rPr>
        <w:t>(8), 1453-1461.</w:t>
      </w:r>
      <w:r w:rsidR="00B46782" w:rsidRPr="00E27686">
        <w:rPr>
          <w:rFonts w:asciiTheme="minorHAnsi" w:eastAsia="Times New Roman" w:hAnsiTheme="minorHAnsi" w:cstheme="minorHAnsi"/>
          <w:sz w:val="24"/>
          <w:szCs w:val="24"/>
          <w:lang w:val="en-GB"/>
        </w:rPr>
        <w:t xml:space="preserve"> https://doi.org/10.1111/j.1360-0443.2012.03840.x</w:t>
      </w:r>
    </w:p>
    <w:p w14:paraId="2BA60C3F" w14:textId="77777777"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Spanier, G. B. (1976). Measuring dyadic adjustment: New scales for assessing the quality of marriage and similar dyads. </w:t>
      </w:r>
      <w:r w:rsidRPr="00E27686">
        <w:rPr>
          <w:rFonts w:asciiTheme="minorHAnsi" w:eastAsia="Times New Roman" w:hAnsiTheme="minorHAnsi" w:cstheme="minorHAnsi"/>
          <w:i/>
          <w:sz w:val="24"/>
          <w:szCs w:val="24"/>
          <w:lang w:val="en-GB"/>
        </w:rPr>
        <w:t>Journal of Marriage and the Family</w:t>
      </w:r>
      <w:r w:rsidRPr="00E27686">
        <w:rPr>
          <w:rFonts w:asciiTheme="minorHAnsi" w:eastAsia="Times New Roman" w:hAnsiTheme="minorHAnsi" w:cstheme="minorHAnsi"/>
          <w:sz w:val="24"/>
          <w:szCs w:val="24"/>
          <w:lang w:val="en-GB"/>
        </w:rPr>
        <w:t>, 15-28. https://doi.org/10.2307/350547</w:t>
      </w:r>
    </w:p>
    <w:p w14:paraId="1C308A2E" w14:textId="597D18B5"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Stroebe, M.,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Schut, H. (1999). The dual process model of coping with bereavement: rationale and description. </w:t>
      </w:r>
      <w:r w:rsidRPr="00E27686">
        <w:rPr>
          <w:rFonts w:asciiTheme="minorHAnsi" w:eastAsia="Times New Roman" w:hAnsiTheme="minorHAnsi" w:cstheme="minorHAnsi"/>
          <w:i/>
          <w:sz w:val="24"/>
          <w:szCs w:val="24"/>
          <w:lang w:val="en-GB"/>
        </w:rPr>
        <w:t>Death Studies</w:t>
      </w:r>
      <w:r w:rsidRPr="00E27686">
        <w:rPr>
          <w:rFonts w:asciiTheme="minorHAnsi" w:eastAsia="Times New Roman" w:hAnsiTheme="minorHAnsi" w:cstheme="minorHAnsi"/>
          <w:sz w:val="24"/>
          <w:szCs w:val="24"/>
          <w:lang w:val="en-GB"/>
        </w:rPr>
        <w:t>, </w:t>
      </w:r>
      <w:r w:rsidRPr="00E27686">
        <w:rPr>
          <w:rFonts w:asciiTheme="minorHAnsi" w:eastAsia="Times New Roman" w:hAnsiTheme="minorHAnsi" w:cstheme="minorHAnsi"/>
          <w:i/>
          <w:sz w:val="24"/>
          <w:szCs w:val="24"/>
          <w:lang w:val="en-GB"/>
        </w:rPr>
        <w:t>23</w:t>
      </w:r>
      <w:r w:rsidRPr="00E27686">
        <w:rPr>
          <w:rFonts w:asciiTheme="minorHAnsi" w:eastAsia="Times New Roman" w:hAnsiTheme="minorHAnsi" w:cstheme="minorHAnsi"/>
          <w:sz w:val="24"/>
          <w:szCs w:val="24"/>
          <w:lang w:val="en-GB"/>
        </w:rPr>
        <w:t>(3), 197-224.</w:t>
      </w:r>
      <w:r w:rsidR="00B46782" w:rsidRPr="00E27686">
        <w:rPr>
          <w:rFonts w:asciiTheme="minorHAnsi" w:eastAsia="Times New Roman" w:hAnsiTheme="minorHAnsi" w:cstheme="minorHAnsi"/>
          <w:sz w:val="24"/>
          <w:szCs w:val="24"/>
          <w:lang w:val="en-GB"/>
        </w:rPr>
        <w:t xml:space="preserve"> https://doi.org/10.1080/074811899201046</w:t>
      </w:r>
    </w:p>
    <w:p w14:paraId="0D31D085" w14:textId="512D2CF8"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Stroebe, M.,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Schut, H. (2010). The dual process model of coping with bereavement: A decade on. </w:t>
      </w:r>
      <w:r w:rsidRPr="00E27686">
        <w:rPr>
          <w:rFonts w:asciiTheme="minorHAnsi" w:eastAsia="Times New Roman" w:hAnsiTheme="minorHAnsi" w:cstheme="minorHAnsi"/>
          <w:i/>
          <w:sz w:val="24"/>
          <w:szCs w:val="24"/>
          <w:lang w:val="en-GB"/>
        </w:rPr>
        <w:t>OMEGA-Journal of Death and Dying</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61</w:t>
      </w:r>
      <w:r w:rsidRPr="00E27686">
        <w:rPr>
          <w:rFonts w:asciiTheme="minorHAnsi" w:eastAsia="Times New Roman" w:hAnsiTheme="minorHAnsi" w:cstheme="minorHAnsi"/>
          <w:sz w:val="24"/>
          <w:szCs w:val="24"/>
          <w:lang w:val="en-GB"/>
        </w:rPr>
        <w:t>(4), 273-289.</w:t>
      </w:r>
      <w:r w:rsidR="00B46782" w:rsidRPr="00E27686">
        <w:rPr>
          <w:rFonts w:asciiTheme="minorHAnsi" w:eastAsia="Times New Roman" w:hAnsiTheme="minorHAnsi" w:cstheme="minorHAnsi"/>
          <w:sz w:val="24"/>
          <w:szCs w:val="24"/>
          <w:lang w:val="en-GB"/>
        </w:rPr>
        <w:t xml:space="preserve"> https://doi.org/10.2190/OM.61.4.b</w:t>
      </w:r>
    </w:p>
    <w:p w14:paraId="4B192E92" w14:textId="1B7A9DF4"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Stroebe, W., Schut, H.,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Stroebe, M. S. (2005). Grief work, disclosure and counseling: do they help the bereaved? </w:t>
      </w:r>
      <w:r w:rsidRPr="00E27686">
        <w:rPr>
          <w:rFonts w:asciiTheme="minorHAnsi" w:eastAsia="Times New Roman" w:hAnsiTheme="minorHAnsi" w:cstheme="minorHAnsi"/>
          <w:i/>
          <w:sz w:val="24"/>
          <w:szCs w:val="24"/>
          <w:lang w:val="en-GB"/>
        </w:rPr>
        <w:t>Clinical psychology review</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25</w:t>
      </w:r>
      <w:r w:rsidRPr="00E27686">
        <w:rPr>
          <w:rFonts w:asciiTheme="minorHAnsi" w:eastAsia="Times New Roman" w:hAnsiTheme="minorHAnsi" w:cstheme="minorHAnsi"/>
          <w:sz w:val="24"/>
          <w:szCs w:val="24"/>
          <w:lang w:val="en-GB"/>
        </w:rPr>
        <w:t>(4), 395-414.</w:t>
      </w:r>
      <w:r w:rsidR="00B46782" w:rsidRPr="00E27686">
        <w:rPr>
          <w:rFonts w:asciiTheme="minorHAnsi" w:eastAsia="Times New Roman" w:hAnsiTheme="minorHAnsi" w:cstheme="minorHAnsi"/>
          <w:sz w:val="24"/>
          <w:szCs w:val="24"/>
          <w:lang w:val="en-GB"/>
        </w:rPr>
        <w:t xml:space="preserve"> https://doi.org/10.1016/j.cpr.2005.01.004</w:t>
      </w:r>
    </w:p>
    <w:p w14:paraId="201C6FFB" w14:textId="1C8401EB"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Tashiro, T.,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Frazier, P. (2003). “I’ll never be in a relationship like that again”: Personal growth following romantic relationship breakups. </w:t>
      </w:r>
      <w:r w:rsidRPr="00E27686">
        <w:rPr>
          <w:rFonts w:asciiTheme="minorHAnsi" w:eastAsia="Times New Roman" w:hAnsiTheme="minorHAnsi" w:cstheme="minorHAnsi"/>
          <w:i/>
          <w:sz w:val="24"/>
          <w:szCs w:val="24"/>
          <w:lang w:val="en-GB"/>
        </w:rPr>
        <w:t>Personal Relationships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10</w:t>
      </w:r>
      <w:r w:rsidRPr="00E27686">
        <w:rPr>
          <w:rFonts w:asciiTheme="minorHAnsi" w:eastAsia="Times New Roman" w:hAnsiTheme="minorHAnsi" w:cstheme="minorHAnsi"/>
          <w:sz w:val="24"/>
          <w:szCs w:val="24"/>
          <w:lang w:val="en-GB"/>
        </w:rPr>
        <w:t>(1), 113-128.</w:t>
      </w:r>
      <w:r w:rsidR="00B46782" w:rsidRPr="00E27686">
        <w:rPr>
          <w:rFonts w:asciiTheme="minorHAnsi" w:eastAsia="Times New Roman" w:hAnsiTheme="minorHAnsi" w:cstheme="minorHAnsi"/>
          <w:sz w:val="24"/>
          <w:szCs w:val="24"/>
          <w:lang w:val="en-GB"/>
        </w:rPr>
        <w:t xml:space="preserve"> https://doi.org/10.1111/1475-6811.00039</w:t>
      </w:r>
    </w:p>
    <w:p w14:paraId="7E00BAF5" w14:textId="604FBD29"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Tillman, K. H., Brewster, K. L.,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Holway, G. V. (2019). Sexual and romantic relationships in young adulthood. </w:t>
      </w:r>
      <w:r w:rsidRPr="00E27686">
        <w:rPr>
          <w:rFonts w:asciiTheme="minorHAnsi" w:eastAsia="Times New Roman" w:hAnsiTheme="minorHAnsi" w:cstheme="minorHAnsi"/>
          <w:i/>
          <w:sz w:val="24"/>
          <w:szCs w:val="24"/>
          <w:lang w:val="en-GB"/>
        </w:rPr>
        <w:t>Annual Review of Sociology</w:t>
      </w:r>
      <w:r w:rsidRPr="00E27686">
        <w:rPr>
          <w:rFonts w:asciiTheme="minorHAnsi" w:eastAsia="Times New Roman" w:hAnsiTheme="minorHAnsi" w:cstheme="minorHAnsi"/>
          <w:sz w:val="24"/>
          <w:szCs w:val="24"/>
          <w:lang w:val="en-GB"/>
        </w:rPr>
        <w:t xml:space="preserve">, </w:t>
      </w:r>
      <w:r w:rsidRPr="00E27686">
        <w:rPr>
          <w:rFonts w:asciiTheme="minorHAnsi" w:eastAsia="Times New Roman" w:hAnsiTheme="minorHAnsi" w:cstheme="minorHAnsi"/>
          <w:i/>
          <w:sz w:val="24"/>
          <w:szCs w:val="24"/>
          <w:lang w:val="en-GB"/>
        </w:rPr>
        <w:t>45</w:t>
      </w:r>
      <w:r w:rsidRPr="00E27686">
        <w:rPr>
          <w:rFonts w:asciiTheme="minorHAnsi" w:eastAsia="Times New Roman" w:hAnsiTheme="minorHAnsi" w:cstheme="minorHAnsi"/>
          <w:sz w:val="24"/>
          <w:szCs w:val="24"/>
          <w:lang w:val="en-GB"/>
        </w:rPr>
        <w:t>, 133-153.</w:t>
      </w:r>
      <w:r w:rsidR="00B46782" w:rsidRPr="00E27686">
        <w:rPr>
          <w:rFonts w:asciiTheme="minorHAnsi" w:eastAsia="Times New Roman" w:hAnsiTheme="minorHAnsi" w:cstheme="minorHAnsi"/>
          <w:sz w:val="24"/>
          <w:szCs w:val="24"/>
          <w:lang w:val="en-GB"/>
        </w:rPr>
        <w:t xml:space="preserve"> https://doi.org/10.1146/annurev-soc-073018-022625</w:t>
      </w:r>
    </w:p>
    <w:p w14:paraId="7D1153D8" w14:textId="3D40DDA2"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 xml:space="preserve">Waller, K. L.,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MacDonald, T. K. (2010). Trait self‐esteem moderates the effect of initiator status on emotional and cognitive responses to romantic relationship dissolution. </w:t>
      </w:r>
      <w:r w:rsidRPr="00E27686">
        <w:rPr>
          <w:rFonts w:asciiTheme="minorHAnsi" w:eastAsia="Times New Roman" w:hAnsiTheme="minorHAnsi" w:cstheme="minorHAnsi"/>
          <w:i/>
          <w:sz w:val="24"/>
          <w:szCs w:val="24"/>
          <w:lang w:val="en-GB"/>
        </w:rPr>
        <w:t>Journal of personality</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78</w:t>
      </w:r>
      <w:r w:rsidRPr="00E27686">
        <w:rPr>
          <w:rFonts w:asciiTheme="minorHAnsi" w:eastAsia="Times New Roman" w:hAnsiTheme="minorHAnsi" w:cstheme="minorHAnsi"/>
          <w:sz w:val="24"/>
          <w:szCs w:val="24"/>
          <w:lang w:val="en-GB"/>
        </w:rPr>
        <w:t>(4), 1271-1299.</w:t>
      </w:r>
      <w:r w:rsidR="00B46782" w:rsidRPr="00E27686">
        <w:rPr>
          <w:rFonts w:asciiTheme="minorHAnsi" w:eastAsia="Times New Roman" w:hAnsiTheme="minorHAnsi" w:cstheme="minorHAnsi"/>
          <w:sz w:val="24"/>
          <w:szCs w:val="24"/>
          <w:lang w:val="en-GB"/>
        </w:rPr>
        <w:t xml:space="preserve"> https://doi.org/10.1111/j.1467-6494.2010.00650.x</w:t>
      </w:r>
    </w:p>
    <w:p w14:paraId="1CCA75A4" w14:textId="1283807C" w:rsidR="00447D64"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t>Weisskirch, R. S. (2017). Abilities in romantic relationships and well-being among emerging adults. </w:t>
      </w:r>
      <w:r w:rsidRPr="00E27686">
        <w:rPr>
          <w:rFonts w:asciiTheme="minorHAnsi" w:eastAsia="Times New Roman" w:hAnsiTheme="minorHAnsi" w:cstheme="minorHAnsi"/>
          <w:i/>
          <w:sz w:val="24"/>
          <w:szCs w:val="24"/>
          <w:lang w:val="en-GB"/>
        </w:rPr>
        <w:t>Marriage &amp; Family Review</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53</w:t>
      </w:r>
      <w:r w:rsidRPr="00E27686">
        <w:rPr>
          <w:rFonts w:asciiTheme="minorHAnsi" w:eastAsia="Times New Roman" w:hAnsiTheme="minorHAnsi" w:cstheme="minorHAnsi"/>
          <w:sz w:val="24"/>
          <w:szCs w:val="24"/>
          <w:lang w:val="en-GB"/>
        </w:rPr>
        <w:t>(1), 36-47.</w:t>
      </w:r>
      <w:r w:rsidR="00B46782" w:rsidRPr="00E27686">
        <w:rPr>
          <w:rFonts w:asciiTheme="minorHAnsi" w:eastAsia="Times New Roman" w:hAnsiTheme="minorHAnsi" w:cstheme="minorHAnsi"/>
          <w:sz w:val="24"/>
          <w:szCs w:val="24"/>
          <w:lang w:val="en-GB"/>
        </w:rPr>
        <w:t xml:space="preserve"> https://doi.org/10.1080/01494929.2016.1195471</w:t>
      </w:r>
    </w:p>
    <w:p w14:paraId="36E5CD4B" w14:textId="3BD9D9E8" w:rsidR="002A7B1B" w:rsidRPr="00E27686" w:rsidRDefault="00000000" w:rsidP="00A12221">
      <w:pPr>
        <w:spacing w:line="360" w:lineRule="auto"/>
        <w:ind w:left="360" w:hanging="709"/>
        <w:rPr>
          <w:rFonts w:asciiTheme="minorHAnsi" w:eastAsia="Times New Roman" w:hAnsiTheme="minorHAnsi" w:cstheme="minorHAnsi"/>
          <w:sz w:val="24"/>
          <w:szCs w:val="24"/>
          <w:lang w:val="en-GB"/>
        </w:rPr>
      </w:pPr>
      <w:r w:rsidRPr="00E27686">
        <w:rPr>
          <w:rFonts w:asciiTheme="minorHAnsi" w:eastAsia="Times New Roman" w:hAnsiTheme="minorHAnsi" w:cstheme="minorHAnsi"/>
          <w:sz w:val="24"/>
          <w:szCs w:val="24"/>
          <w:lang w:val="en-GB"/>
        </w:rPr>
        <w:lastRenderedPageBreak/>
        <w:t xml:space="preserve">Wilmot, W. W., Carbaugh, D. A., </w:t>
      </w:r>
      <w:r w:rsidR="007F3561" w:rsidRPr="00E27686">
        <w:rPr>
          <w:rFonts w:asciiTheme="minorHAnsi" w:eastAsia="Times New Roman" w:hAnsiTheme="minorHAnsi" w:cstheme="minorHAnsi"/>
          <w:sz w:val="24"/>
          <w:szCs w:val="24"/>
          <w:lang w:val="en-GB"/>
        </w:rPr>
        <w:t>&amp;</w:t>
      </w:r>
      <w:r w:rsidRPr="00E27686">
        <w:rPr>
          <w:rFonts w:asciiTheme="minorHAnsi" w:eastAsia="Times New Roman" w:hAnsiTheme="minorHAnsi" w:cstheme="minorHAnsi"/>
          <w:sz w:val="24"/>
          <w:szCs w:val="24"/>
          <w:lang w:val="en-GB"/>
        </w:rPr>
        <w:t xml:space="preserve"> Baxter, L. A. (1985). Communicative strategies used to terminate romantic relationships. </w:t>
      </w:r>
      <w:r w:rsidRPr="00E27686">
        <w:rPr>
          <w:rFonts w:asciiTheme="minorHAnsi" w:eastAsia="Times New Roman" w:hAnsiTheme="minorHAnsi" w:cstheme="minorHAnsi"/>
          <w:i/>
          <w:sz w:val="24"/>
          <w:szCs w:val="24"/>
          <w:lang w:val="en-GB"/>
        </w:rPr>
        <w:t>Western Journal of Communication (includes Communication Reports)</w:t>
      </w:r>
      <w:r w:rsidRPr="00E27686">
        <w:rPr>
          <w:rFonts w:asciiTheme="minorHAnsi" w:eastAsia="Times New Roman" w:hAnsiTheme="minorHAnsi" w:cstheme="minorHAnsi"/>
          <w:sz w:val="24"/>
          <w:szCs w:val="24"/>
          <w:lang w:val="en-GB"/>
        </w:rPr>
        <w:t>,</w:t>
      </w:r>
      <w:r w:rsidRPr="00E27686">
        <w:rPr>
          <w:rFonts w:asciiTheme="minorHAnsi" w:eastAsia="Times New Roman" w:hAnsiTheme="minorHAnsi" w:cstheme="minorHAnsi"/>
          <w:i/>
          <w:sz w:val="24"/>
          <w:szCs w:val="24"/>
          <w:lang w:val="en-GB"/>
        </w:rPr>
        <w:t> 49</w:t>
      </w:r>
      <w:r w:rsidRPr="00E27686">
        <w:rPr>
          <w:rFonts w:asciiTheme="minorHAnsi" w:eastAsia="Times New Roman" w:hAnsiTheme="minorHAnsi" w:cstheme="minorHAnsi"/>
          <w:sz w:val="24"/>
          <w:szCs w:val="24"/>
          <w:lang w:val="en-GB"/>
        </w:rPr>
        <w:t>(3), 204-216.</w:t>
      </w:r>
      <w:r w:rsidR="00B46782" w:rsidRPr="00E27686">
        <w:rPr>
          <w:rFonts w:asciiTheme="minorHAnsi" w:eastAsia="Times New Roman" w:hAnsiTheme="minorHAnsi" w:cstheme="minorHAnsi"/>
          <w:sz w:val="24"/>
          <w:szCs w:val="24"/>
          <w:lang w:val="en-GB"/>
        </w:rPr>
        <w:t xml:space="preserve"> </w:t>
      </w:r>
      <w:r w:rsidR="002A7B1B" w:rsidRPr="003B1F5E">
        <w:rPr>
          <w:rFonts w:asciiTheme="minorHAnsi" w:eastAsia="Times New Roman" w:hAnsiTheme="minorHAnsi" w:cstheme="minorHAnsi"/>
          <w:sz w:val="24"/>
          <w:szCs w:val="24"/>
          <w:lang w:val="en-GB"/>
        </w:rPr>
        <w:t>https://doi.org/10.1080/10570318509374195</w:t>
      </w:r>
    </w:p>
    <w:p w14:paraId="437285CF" w14:textId="77777777" w:rsidR="002A7B1B" w:rsidRPr="00E27686" w:rsidRDefault="002A7B1B" w:rsidP="00A12221">
      <w:pPr>
        <w:spacing w:line="360" w:lineRule="auto"/>
        <w:ind w:left="360" w:hanging="709"/>
        <w:rPr>
          <w:rFonts w:asciiTheme="minorHAnsi" w:eastAsia="Times New Roman" w:hAnsiTheme="minorHAnsi" w:cstheme="minorHAnsi"/>
          <w:sz w:val="24"/>
          <w:szCs w:val="24"/>
          <w:lang w:val="en-GB"/>
        </w:rPr>
      </w:pPr>
    </w:p>
    <w:p w14:paraId="3451734D" w14:textId="77777777" w:rsidR="002A7B1B" w:rsidRPr="00E27686" w:rsidRDefault="002A7B1B" w:rsidP="00A12221">
      <w:pPr>
        <w:spacing w:after="0" w:line="360" w:lineRule="auto"/>
        <w:rPr>
          <w:rFonts w:asciiTheme="minorHAnsi" w:eastAsia="Times New Roman" w:hAnsiTheme="minorHAnsi" w:cstheme="minorHAnsi"/>
          <w:b/>
          <w:bCs/>
          <w:sz w:val="24"/>
          <w:szCs w:val="24"/>
          <w:lang w:val="en-GB"/>
        </w:rPr>
      </w:pPr>
    </w:p>
    <w:p w14:paraId="1B59245C" w14:textId="77777777" w:rsidR="00E27686" w:rsidRPr="00E27686" w:rsidRDefault="00E27686" w:rsidP="00A12221">
      <w:pPr>
        <w:spacing w:after="0" w:line="360" w:lineRule="auto"/>
        <w:rPr>
          <w:rFonts w:asciiTheme="minorHAnsi" w:eastAsia="Times New Roman" w:hAnsiTheme="minorHAnsi" w:cstheme="minorHAnsi"/>
          <w:b/>
          <w:bCs/>
          <w:sz w:val="24"/>
          <w:szCs w:val="24"/>
          <w:lang w:val="en-GB"/>
        </w:rPr>
      </w:pPr>
    </w:p>
    <w:p w14:paraId="0B314668" w14:textId="77777777" w:rsidR="00E27686" w:rsidRPr="00E27686" w:rsidRDefault="00E27686" w:rsidP="00A12221">
      <w:pPr>
        <w:spacing w:after="0" w:line="360" w:lineRule="auto"/>
        <w:rPr>
          <w:rFonts w:asciiTheme="minorHAnsi" w:eastAsia="Times New Roman" w:hAnsiTheme="minorHAnsi" w:cstheme="minorHAnsi"/>
          <w:b/>
          <w:bCs/>
          <w:sz w:val="24"/>
          <w:szCs w:val="24"/>
          <w:lang w:val="en-GB"/>
        </w:rPr>
      </w:pPr>
    </w:p>
    <w:sectPr w:rsidR="00E27686" w:rsidRPr="00E27686" w:rsidSect="00A12221">
      <w:footerReference w:type="default" r:id="rId9"/>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525BD" w14:textId="77777777" w:rsidR="00693C42" w:rsidRDefault="00693C42">
      <w:pPr>
        <w:spacing w:after="0" w:line="240" w:lineRule="auto"/>
      </w:pPr>
      <w:r>
        <w:separator/>
      </w:r>
    </w:p>
  </w:endnote>
  <w:endnote w:type="continuationSeparator" w:id="0">
    <w:p w14:paraId="5DB1DD9B" w14:textId="77777777" w:rsidR="00693C42" w:rsidRDefault="0069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CEEE2A-7C89-4065-B1FE-D1E04E41434F}"/>
    <w:embedBold r:id="rId2" w:fontKey="{761C0A38-9879-4296-8ED5-53D2BDF5B438}"/>
    <w:embedItalic r:id="rId3" w:fontKey="{099F98DE-C63B-40C1-9DDA-9AC06E15110E}"/>
    <w:embedBoldItalic r:id="rId4" w:fontKey="{886B28A3-1962-4565-9236-6337436CC17D}"/>
  </w:font>
  <w:font w:name="Calibri Light">
    <w:panose1 w:val="020F0302020204030204"/>
    <w:charset w:val="00"/>
    <w:family w:val="swiss"/>
    <w:pitch w:val="variable"/>
    <w:sig w:usb0="E4002EFF" w:usb1="C000247B" w:usb2="00000009" w:usb3="00000000" w:csb0="000001FF" w:csb1="00000000"/>
    <w:embedRegular r:id="rId5" w:fontKey="{9D726272-91F2-4027-A667-2D758F72EEEB}"/>
    <w:embedItalic r:id="rId6" w:fontKey="{311B5B70-E1A2-404B-8EDF-08C65CE026F4}"/>
  </w:font>
  <w:font w:name="Segoe UI">
    <w:panose1 w:val="020B0502040204020203"/>
    <w:charset w:val="00"/>
    <w:family w:val="swiss"/>
    <w:pitch w:val="variable"/>
    <w:sig w:usb0="E4002EFF" w:usb1="C000E47F" w:usb2="00000009" w:usb3="00000000" w:csb0="000001FF" w:csb1="00000000"/>
    <w:embedRegular r:id="rId7" w:fontKey="{4D3F26CD-8445-49C7-9CD0-D39E318DBAAA}"/>
  </w:font>
  <w:font w:name="Georgia">
    <w:panose1 w:val="02040502050405020303"/>
    <w:charset w:val="00"/>
    <w:family w:val="roman"/>
    <w:pitch w:val="variable"/>
    <w:sig w:usb0="00000287" w:usb1="00000000" w:usb2="00000000" w:usb3="00000000" w:csb0="0000009F" w:csb1="00000000"/>
    <w:embedRegular r:id="rId8" w:fontKey="{94C6872D-AC07-4F28-BE60-111B1BF030C3}"/>
    <w:embedItalic r:id="rId9" w:fontKey="{177E1927-733C-496A-9C88-CFEFF0FA9673}"/>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0" w:fontKey="{EFC3D4E7-E406-4FDE-8A67-1946454BA817}"/>
    <w:embedBold r:id="rId11" w:fontKey="{A96B1D5D-5140-453D-A1FF-28C8DD3F4B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CC70" w14:textId="77777777" w:rsidR="00447D64" w:rsidRPr="00566C0D" w:rsidRDefault="00000000">
    <w:pPr>
      <w:pBdr>
        <w:top w:val="nil"/>
        <w:left w:val="nil"/>
        <w:bottom w:val="nil"/>
        <w:right w:val="nil"/>
        <w:between w:val="nil"/>
      </w:pBdr>
      <w:tabs>
        <w:tab w:val="center" w:pos="4252"/>
        <w:tab w:val="right" w:pos="8504"/>
      </w:tabs>
      <w:spacing w:after="0" w:line="240" w:lineRule="auto"/>
      <w:jc w:val="right"/>
      <w:rPr>
        <w:rFonts w:asciiTheme="minorHAnsi" w:eastAsia="Times New Roman" w:hAnsiTheme="minorHAnsi" w:cstheme="minorHAnsi"/>
        <w:color w:val="000000"/>
      </w:rPr>
    </w:pPr>
    <w:r w:rsidRPr="00566C0D">
      <w:rPr>
        <w:rFonts w:asciiTheme="minorHAnsi" w:eastAsia="Times New Roman" w:hAnsiTheme="minorHAnsi" w:cstheme="minorHAnsi"/>
        <w:color w:val="000000"/>
      </w:rPr>
      <w:fldChar w:fldCharType="begin"/>
    </w:r>
    <w:r w:rsidRPr="00566C0D">
      <w:rPr>
        <w:rFonts w:asciiTheme="minorHAnsi" w:eastAsia="Times New Roman" w:hAnsiTheme="minorHAnsi" w:cstheme="minorHAnsi"/>
        <w:color w:val="000000"/>
      </w:rPr>
      <w:instrText>PAGE</w:instrText>
    </w:r>
    <w:r w:rsidRPr="00566C0D">
      <w:rPr>
        <w:rFonts w:asciiTheme="minorHAnsi" w:eastAsia="Times New Roman" w:hAnsiTheme="minorHAnsi" w:cstheme="minorHAnsi"/>
        <w:color w:val="000000"/>
      </w:rPr>
      <w:fldChar w:fldCharType="separate"/>
    </w:r>
    <w:r w:rsidR="0023271F" w:rsidRPr="00566C0D">
      <w:rPr>
        <w:rFonts w:asciiTheme="minorHAnsi" w:eastAsia="Times New Roman" w:hAnsiTheme="minorHAnsi" w:cstheme="minorHAnsi"/>
        <w:noProof/>
        <w:color w:val="000000"/>
      </w:rPr>
      <w:t>1</w:t>
    </w:r>
    <w:r w:rsidRPr="00566C0D">
      <w:rPr>
        <w:rFonts w:asciiTheme="minorHAnsi" w:eastAsia="Times New Roman" w:hAnsiTheme="minorHAnsi" w:cstheme="minorHAnsi"/>
        <w:color w:val="000000"/>
      </w:rPr>
      <w:fldChar w:fldCharType="end"/>
    </w:r>
  </w:p>
  <w:p w14:paraId="7906B322" w14:textId="77777777" w:rsidR="00447D64" w:rsidRDefault="00447D6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EFFB1" w14:textId="77777777" w:rsidR="00693C42" w:rsidRDefault="00693C42">
      <w:pPr>
        <w:spacing w:after="0" w:line="240" w:lineRule="auto"/>
      </w:pPr>
      <w:r>
        <w:separator/>
      </w:r>
    </w:p>
  </w:footnote>
  <w:footnote w:type="continuationSeparator" w:id="0">
    <w:p w14:paraId="5CAB5412" w14:textId="77777777" w:rsidR="00693C42" w:rsidRDefault="00693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50906"/>
    <w:multiLevelType w:val="hybridMultilevel"/>
    <w:tmpl w:val="D250E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DD10F3"/>
    <w:multiLevelType w:val="multilevel"/>
    <w:tmpl w:val="DBBE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8430642">
    <w:abstractNumId w:val="1"/>
  </w:num>
  <w:num w:numId="2" w16cid:durableId="258608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D64"/>
    <w:rsid w:val="00002E88"/>
    <w:rsid w:val="00014A11"/>
    <w:rsid w:val="00023A63"/>
    <w:rsid w:val="00075BAD"/>
    <w:rsid w:val="0008646B"/>
    <w:rsid w:val="000E1708"/>
    <w:rsid w:val="000E3D16"/>
    <w:rsid w:val="00170579"/>
    <w:rsid w:val="001A1087"/>
    <w:rsid w:val="001B04AE"/>
    <w:rsid w:val="001E0454"/>
    <w:rsid w:val="001E3630"/>
    <w:rsid w:val="001F7A47"/>
    <w:rsid w:val="0023271F"/>
    <w:rsid w:val="002469E3"/>
    <w:rsid w:val="0028394D"/>
    <w:rsid w:val="00287BAC"/>
    <w:rsid w:val="002A7B1B"/>
    <w:rsid w:val="00303BF8"/>
    <w:rsid w:val="00321076"/>
    <w:rsid w:val="003945E7"/>
    <w:rsid w:val="003B1F5E"/>
    <w:rsid w:val="00447D64"/>
    <w:rsid w:val="00482912"/>
    <w:rsid w:val="00493D5D"/>
    <w:rsid w:val="004B37EF"/>
    <w:rsid w:val="004F70DC"/>
    <w:rsid w:val="00554631"/>
    <w:rsid w:val="00555F77"/>
    <w:rsid w:val="00560715"/>
    <w:rsid w:val="00566C0D"/>
    <w:rsid w:val="00583FAD"/>
    <w:rsid w:val="005B2490"/>
    <w:rsid w:val="005C012D"/>
    <w:rsid w:val="0063013B"/>
    <w:rsid w:val="00663ADA"/>
    <w:rsid w:val="0067768C"/>
    <w:rsid w:val="00680D44"/>
    <w:rsid w:val="00693C42"/>
    <w:rsid w:val="00723239"/>
    <w:rsid w:val="007F3561"/>
    <w:rsid w:val="00807F06"/>
    <w:rsid w:val="008D379F"/>
    <w:rsid w:val="008D3D8B"/>
    <w:rsid w:val="008D6B32"/>
    <w:rsid w:val="00921556"/>
    <w:rsid w:val="009A0917"/>
    <w:rsid w:val="00A10A3A"/>
    <w:rsid w:val="00A12221"/>
    <w:rsid w:val="00A368C0"/>
    <w:rsid w:val="00B167CE"/>
    <w:rsid w:val="00B46782"/>
    <w:rsid w:val="00B95500"/>
    <w:rsid w:val="00BA6EED"/>
    <w:rsid w:val="00BD086D"/>
    <w:rsid w:val="00C034E3"/>
    <w:rsid w:val="00C31818"/>
    <w:rsid w:val="00C71529"/>
    <w:rsid w:val="00C72362"/>
    <w:rsid w:val="00C73D7B"/>
    <w:rsid w:val="00D75B95"/>
    <w:rsid w:val="00D96069"/>
    <w:rsid w:val="00DC4C68"/>
    <w:rsid w:val="00E222D7"/>
    <w:rsid w:val="00E27686"/>
    <w:rsid w:val="00E46C05"/>
    <w:rsid w:val="00E718C9"/>
    <w:rsid w:val="00ED7282"/>
    <w:rsid w:val="00F105C7"/>
    <w:rsid w:val="00F87580"/>
    <w:rsid w:val="00FE6346"/>
    <w:rsid w:val="00FE6E3C"/>
    <w:rsid w:val="00FF6D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B1F9B"/>
  <w15:docId w15:val="{0D5BEEE2-C07D-4C26-B33A-3021F6F9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A2E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A2E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073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C392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A2E7B"/>
    <w:rPr>
      <w:rFonts w:asciiTheme="majorHAnsi" w:eastAsiaTheme="majorEastAsia" w:hAnsiTheme="majorHAnsi" w:cstheme="majorBidi"/>
      <w:color w:val="2E74B5" w:themeColor="accent1" w:themeShade="BF"/>
      <w:sz w:val="32"/>
      <w:szCs w:val="32"/>
    </w:rPr>
  </w:style>
  <w:style w:type="character" w:styleId="Refdecomentario">
    <w:name w:val="annotation reference"/>
    <w:basedOn w:val="Fuentedeprrafopredeter"/>
    <w:uiPriority w:val="99"/>
    <w:semiHidden/>
    <w:unhideWhenUsed/>
    <w:rsid w:val="006A2E7B"/>
    <w:rPr>
      <w:sz w:val="16"/>
      <w:szCs w:val="16"/>
    </w:rPr>
  </w:style>
  <w:style w:type="paragraph" w:styleId="Textocomentario">
    <w:name w:val="annotation text"/>
    <w:basedOn w:val="Normal"/>
    <w:link w:val="TextocomentarioCar"/>
    <w:uiPriority w:val="99"/>
    <w:unhideWhenUsed/>
    <w:rsid w:val="006A2E7B"/>
    <w:pPr>
      <w:spacing w:line="240" w:lineRule="auto"/>
    </w:pPr>
    <w:rPr>
      <w:sz w:val="20"/>
      <w:szCs w:val="20"/>
    </w:rPr>
  </w:style>
  <w:style w:type="character" w:customStyle="1" w:styleId="TextocomentarioCar">
    <w:name w:val="Texto comentario Car"/>
    <w:basedOn w:val="Fuentedeprrafopredeter"/>
    <w:link w:val="Textocomentario"/>
    <w:uiPriority w:val="99"/>
    <w:rsid w:val="006A2E7B"/>
    <w:rPr>
      <w:sz w:val="20"/>
      <w:szCs w:val="20"/>
    </w:rPr>
  </w:style>
  <w:style w:type="paragraph" w:styleId="Textodeglobo">
    <w:name w:val="Balloon Text"/>
    <w:basedOn w:val="Normal"/>
    <w:link w:val="TextodegloboCar"/>
    <w:uiPriority w:val="99"/>
    <w:semiHidden/>
    <w:unhideWhenUsed/>
    <w:rsid w:val="006A2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2E7B"/>
    <w:rPr>
      <w:rFonts w:ascii="Segoe UI" w:hAnsi="Segoe UI" w:cs="Segoe UI"/>
      <w:sz w:val="18"/>
      <w:szCs w:val="18"/>
    </w:rPr>
  </w:style>
  <w:style w:type="paragraph" w:styleId="Sinespaciado">
    <w:name w:val="No Spacing"/>
    <w:link w:val="SinespaciadoCar"/>
    <w:uiPriority w:val="1"/>
    <w:qFormat/>
    <w:rsid w:val="006A2E7B"/>
    <w:pPr>
      <w:spacing w:after="0" w:line="240" w:lineRule="auto"/>
    </w:pPr>
    <w:rPr>
      <w:rFonts w:cs="Times New Roman"/>
    </w:rPr>
  </w:style>
  <w:style w:type="character" w:customStyle="1" w:styleId="SinespaciadoCar">
    <w:name w:val="Sin espaciado Car"/>
    <w:basedOn w:val="Fuentedeprrafopredeter"/>
    <w:link w:val="Sinespaciado"/>
    <w:uiPriority w:val="1"/>
    <w:rsid w:val="006A2E7B"/>
    <w:rPr>
      <w:rFonts w:ascii="Calibri" w:eastAsia="Calibri" w:hAnsi="Calibri" w:cs="Times New Roman"/>
    </w:rPr>
  </w:style>
  <w:style w:type="paragraph" w:styleId="Descripcin">
    <w:name w:val="caption"/>
    <w:basedOn w:val="Normal"/>
    <w:next w:val="Normal"/>
    <w:uiPriority w:val="35"/>
    <w:unhideWhenUsed/>
    <w:qFormat/>
    <w:rsid w:val="006A2E7B"/>
    <w:pPr>
      <w:spacing w:after="200" w:line="240" w:lineRule="auto"/>
    </w:pPr>
    <w:rPr>
      <w:i/>
      <w:iCs/>
      <w:color w:val="44546A" w:themeColor="text2"/>
      <w:sz w:val="18"/>
      <w:szCs w:val="18"/>
    </w:rPr>
  </w:style>
  <w:style w:type="table" w:styleId="Tablaconcuadrcula">
    <w:name w:val="Table Grid"/>
    <w:basedOn w:val="Tablanormal"/>
    <w:uiPriority w:val="39"/>
    <w:rsid w:val="006A2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6A2E7B"/>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6A2E7B"/>
    <w:pPr>
      <w:ind w:left="720"/>
      <w:contextualSpacing/>
    </w:pPr>
  </w:style>
  <w:style w:type="table" w:customStyle="1" w:styleId="Tablanormal21">
    <w:name w:val="Tabla normal 21"/>
    <w:basedOn w:val="Tablanormal"/>
    <w:uiPriority w:val="42"/>
    <w:rsid w:val="009F47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4Car">
    <w:name w:val="Título 4 Car"/>
    <w:basedOn w:val="Fuentedeprrafopredeter"/>
    <w:link w:val="Ttulo4"/>
    <w:uiPriority w:val="9"/>
    <w:semiHidden/>
    <w:rsid w:val="002C392B"/>
    <w:rPr>
      <w:rFonts w:asciiTheme="majorHAnsi" w:eastAsiaTheme="majorEastAsia" w:hAnsiTheme="majorHAnsi" w:cstheme="majorBidi"/>
      <w:i/>
      <w:iCs/>
      <w:color w:val="2E74B5" w:themeColor="accent1" w:themeShade="BF"/>
    </w:rPr>
  </w:style>
  <w:style w:type="character" w:customStyle="1" w:styleId="jlqj4b">
    <w:name w:val="jlqj4b"/>
    <w:basedOn w:val="Fuentedeprrafopredeter"/>
    <w:rsid w:val="002C392B"/>
  </w:style>
  <w:style w:type="paragraph" w:styleId="Encabezado">
    <w:name w:val="header"/>
    <w:basedOn w:val="Normal"/>
    <w:link w:val="EncabezadoCar"/>
    <w:uiPriority w:val="99"/>
    <w:unhideWhenUsed/>
    <w:rsid w:val="005B3F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3FF9"/>
  </w:style>
  <w:style w:type="paragraph" w:styleId="Piedepgina">
    <w:name w:val="footer"/>
    <w:basedOn w:val="Normal"/>
    <w:link w:val="PiedepginaCar"/>
    <w:uiPriority w:val="99"/>
    <w:unhideWhenUsed/>
    <w:rsid w:val="005B3F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3FF9"/>
  </w:style>
  <w:style w:type="character" w:customStyle="1" w:styleId="Ttulo3Car">
    <w:name w:val="Título 3 Car"/>
    <w:basedOn w:val="Fuentedeprrafopredeter"/>
    <w:link w:val="Ttulo3"/>
    <w:uiPriority w:val="9"/>
    <w:rsid w:val="00B073F7"/>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8552E1"/>
    <w:rPr>
      <w:color w:val="0563C1" w:themeColor="hyperlink"/>
      <w:u w:val="single"/>
    </w:rPr>
  </w:style>
  <w:style w:type="character" w:styleId="nfasis">
    <w:name w:val="Emphasis"/>
    <w:basedOn w:val="Fuentedeprrafopredeter"/>
    <w:uiPriority w:val="20"/>
    <w:qFormat/>
    <w:rsid w:val="008552E1"/>
    <w:rPr>
      <w:i/>
      <w:iCs/>
    </w:rPr>
  </w:style>
  <w:style w:type="paragraph" w:styleId="Asuntodelcomentario">
    <w:name w:val="annotation subject"/>
    <w:basedOn w:val="Textocomentario"/>
    <w:next w:val="Textocomentario"/>
    <w:link w:val="AsuntodelcomentarioCar"/>
    <w:uiPriority w:val="99"/>
    <w:semiHidden/>
    <w:unhideWhenUsed/>
    <w:rsid w:val="009C14EF"/>
    <w:rPr>
      <w:b/>
      <w:bCs/>
    </w:rPr>
  </w:style>
  <w:style w:type="character" w:customStyle="1" w:styleId="AsuntodelcomentarioCar">
    <w:name w:val="Asunto del comentario Car"/>
    <w:basedOn w:val="TextocomentarioCar"/>
    <w:link w:val="Asuntodelcomentario"/>
    <w:uiPriority w:val="99"/>
    <w:semiHidden/>
    <w:rsid w:val="009C14E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Mencinsinresolver">
    <w:name w:val="Unresolved Mention"/>
    <w:basedOn w:val="Fuentedeprrafopredeter"/>
    <w:uiPriority w:val="99"/>
    <w:semiHidden/>
    <w:unhideWhenUsed/>
    <w:rsid w:val="007F6FDD"/>
    <w:rPr>
      <w:color w:val="605E5C"/>
      <w:shd w:val="clear" w:color="auto" w:fill="E1DFDD"/>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3"/>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table" w:customStyle="1" w:styleId="af">
    <w:basedOn w:val="TableNormal3"/>
    <w:pPr>
      <w:spacing w:after="0" w:line="240" w:lineRule="auto"/>
    </w:pPr>
    <w:tblPr>
      <w:tblStyleRowBandSize w:val="1"/>
      <w:tblStyleColBandSize w:val="1"/>
      <w:tblCellMar>
        <w:left w:w="108" w:type="dxa"/>
        <w:right w:w="108" w:type="dxa"/>
      </w:tblCellMar>
    </w:tblPr>
  </w:style>
  <w:style w:type="table" w:customStyle="1" w:styleId="af0">
    <w:basedOn w:val="TableNormal3"/>
    <w:pPr>
      <w:spacing w:after="0" w:line="240" w:lineRule="auto"/>
    </w:pPr>
    <w:tblPr>
      <w:tblStyleRowBandSize w:val="1"/>
      <w:tblStyleColBandSize w:val="1"/>
      <w:tblCellMar>
        <w:left w:w="108" w:type="dxa"/>
        <w:right w:w="108" w:type="dxa"/>
      </w:tblCellMar>
    </w:tblPr>
  </w:style>
  <w:style w:type="table" w:customStyle="1" w:styleId="af1">
    <w:basedOn w:val="TableNormal3"/>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016515">
      <w:bodyDiv w:val="1"/>
      <w:marLeft w:val="0"/>
      <w:marRight w:val="0"/>
      <w:marTop w:val="0"/>
      <w:marBottom w:val="0"/>
      <w:divBdr>
        <w:top w:val="none" w:sz="0" w:space="0" w:color="auto"/>
        <w:left w:val="none" w:sz="0" w:space="0" w:color="auto"/>
        <w:bottom w:val="none" w:sz="0" w:space="0" w:color="auto"/>
        <w:right w:val="none" w:sz="0" w:space="0" w:color="auto"/>
      </w:divBdr>
    </w:div>
    <w:div w:id="1834376207">
      <w:bodyDiv w:val="1"/>
      <w:marLeft w:val="0"/>
      <w:marRight w:val="0"/>
      <w:marTop w:val="0"/>
      <w:marBottom w:val="0"/>
      <w:divBdr>
        <w:top w:val="none" w:sz="0" w:space="0" w:color="auto"/>
        <w:left w:val="none" w:sz="0" w:space="0" w:color="auto"/>
        <w:bottom w:val="none" w:sz="0" w:space="0" w:color="auto"/>
        <w:right w:val="none" w:sz="0" w:space="0" w:color="auto"/>
      </w:divBdr>
    </w:div>
    <w:div w:id="2035619519">
      <w:bodyDiv w:val="1"/>
      <w:marLeft w:val="0"/>
      <w:marRight w:val="0"/>
      <w:marTop w:val="0"/>
      <w:marBottom w:val="0"/>
      <w:divBdr>
        <w:top w:val="none" w:sz="0" w:space="0" w:color="auto"/>
        <w:left w:val="none" w:sz="0" w:space="0" w:color="auto"/>
        <w:bottom w:val="none" w:sz="0" w:space="0" w:color="auto"/>
        <w:right w:val="none" w:sz="0" w:space="0" w:color="auto"/>
      </w:divBdr>
    </w:div>
    <w:div w:id="2049446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17%2FS095457941400018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o7uCoEb95t03lFOXcdBHXmH42A==">CgMxLjAyDmguMnNzb2QyNmJ1bmg5Mg5oLm8xOHpicDF0eGVzMzIOaC5yN2xtcmJwamRodGUyCWguMmV0OTJwMDIIaC50eWpjd3QyCWguM2R5NnZrbTgAciExT0pzVWs2T2FHZ3BSMS1DTVB1MVpneVhqMmVVbHVuOEU=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8600</Words>
  <Characters>47302</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David Sánchez</cp:lastModifiedBy>
  <cp:revision>2</cp:revision>
  <dcterms:created xsi:type="dcterms:W3CDTF">2025-06-15T14:24:00Z</dcterms:created>
  <dcterms:modified xsi:type="dcterms:W3CDTF">2025-06-15T14:55:00Z</dcterms:modified>
</cp:coreProperties>
</file>