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45B9" w14:textId="701134A4" w:rsidR="00E15540" w:rsidRPr="00ED7FDA" w:rsidRDefault="00E15540" w:rsidP="00E15540">
      <w:pPr>
        <w:spacing w:before="100" w:beforeAutospacing="1" w:after="100" w:afterAutospacing="1" w:line="360" w:lineRule="auto"/>
        <w:jc w:val="both"/>
        <w:rPr>
          <w:rFonts w:ascii="Times New Roman" w:eastAsia="Times New Roman" w:hAnsi="Times New Roman" w:cs="Times New Roman"/>
          <w:b/>
          <w:bCs/>
          <w:sz w:val="24"/>
          <w:szCs w:val="24"/>
          <w:lang w:eastAsia="es-EC"/>
        </w:rPr>
      </w:pPr>
      <w:r w:rsidRPr="00ED7FDA">
        <w:rPr>
          <w:rFonts w:ascii="Times New Roman" w:eastAsia="Times New Roman" w:hAnsi="Times New Roman" w:cs="Times New Roman"/>
          <w:b/>
          <w:bCs/>
          <w:sz w:val="24"/>
          <w:szCs w:val="24"/>
          <w:lang w:eastAsia="es-EC"/>
        </w:rPr>
        <w:t xml:space="preserve">RELATIONSHIP BETWEEN PARENTAL STRESS AND ADAPTATION TO THE VIRTUAL EDUCATIONAL ENVIRONMENT IN CONTEXTS OF TECHNOLOGICAL LIMITATIONS </w:t>
      </w:r>
      <w:r w:rsidR="005364CE" w:rsidRPr="00ED7FDA">
        <w:rPr>
          <w:rFonts w:ascii="Times New Roman" w:eastAsia="Times New Roman" w:hAnsi="Times New Roman" w:cs="Times New Roman"/>
          <w:b/>
          <w:bCs/>
          <w:sz w:val="24"/>
          <w:szCs w:val="24"/>
          <w:lang w:eastAsia="es-EC"/>
        </w:rPr>
        <w:t xml:space="preserve">IN </w:t>
      </w:r>
      <w:r w:rsidR="00147C6A" w:rsidRPr="00ED7FDA">
        <w:rPr>
          <w:rFonts w:ascii="Times New Roman" w:eastAsia="Times New Roman" w:hAnsi="Times New Roman" w:cs="Times New Roman"/>
          <w:b/>
          <w:bCs/>
          <w:sz w:val="24"/>
          <w:szCs w:val="24"/>
          <w:lang w:eastAsia="es-EC"/>
        </w:rPr>
        <w:t>THE MILAGRO CANTON</w:t>
      </w:r>
      <w:r w:rsidR="005364CE" w:rsidRPr="00ED7FDA">
        <w:rPr>
          <w:rFonts w:ascii="Times New Roman" w:eastAsia="Times New Roman" w:hAnsi="Times New Roman" w:cs="Times New Roman"/>
          <w:b/>
          <w:bCs/>
          <w:sz w:val="24"/>
          <w:szCs w:val="24"/>
          <w:lang w:eastAsia="es-EC"/>
        </w:rPr>
        <w:t xml:space="preserve"> </w:t>
      </w:r>
      <w:r w:rsidR="00147C6A" w:rsidRPr="00ED7FDA">
        <w:rPr>
          <w:rFonts w:ascii="Times New Roman" w:eastAsia="Times New Roman" w:hAnsi="Times New Roman" w:cs="Times New Roman"/>
          <w:b/>
          <w:bCs/>
          <w:sz w:val="24"/>
          <w:szCs w:val="24"/>
          <w:lang w:eastAsia="es-EC"/>
        </w:rPr>
        <w:t>DURING THE COVID-19 PANDEMIC</w:t>
      </w:r>
      <w:r w:rsidR="002437F9">
        <w:rPr>
          <w:rFonts w:ascii="Times New Roman" w:eastAsia="Times New Roman" w:hAnsi="Times New Roman" w:cs="Times New Roman"/>
          <w:b/>
          <w:bCs/>
          <w:sz w:val="24"/>
          <w:szCs w:val="24"/>
          <w:lang w:eastAsia="es-EC"/>
        </w:rPr>
        <w:t>.</w:t>
      </w:r>
    </w:p>
    <w:p w14:paraId="0FAA037A" w14:textId="0E8AE429" w:rsidR="00720188" w:rsidRPr="00ED7FDA" w:rsidRDefault="00720188" w:rsidP="00CD1B10">
      <w:pPr>
        <w:pStyle w:val="MDPI16affiliation"/>
        <w:ind w:left="0" w:firstLine="0"/>
        <w:jc w:val="both"/>
        <w:rPr>
          <w:rFonts w:ascii="Times New Roman" w:hAnsi="Times New Roman"/>
          <w:sz w:val="24"/>
          <w:szCs w:val="24"/>
        </w:rPr>
      </w:pPr>
    </w:p>
    <w:p w14:paraId="23229159" w14:textId="50DA42DF" w:rsidR="002F2142" w:rsidRPr="00501227" w:rsidRDefault="002F2142" w:rsidP="00D307A6">
      <w:pPr>
        <w:spacing w:before="100" w:beforeAutospacing="1" w:after="100" w:afterAutospacing="1" w:line="360" w:lineRule="auto"/>
        <w:jc w:val="center"/>
        <w:rPr>
          <w:rFonts w:ascii="Times New Roman" w:eastAsia="Times New Roman" w:hAnsi="Times New Roman" w:cs="Times New Roman"/>
          <w:b/>
          <w:bCs/>
          <w:sz w:val="24"/>
          <w:szCs w:val="24"/>
          <w:lang w:eastAsia="es-EC"/>
        </w:rPr>
      </w:pPr>
      <w:r w:rsidRPr="00501227">
        <w:rPr>
          <w:rFonts w:ascii="Times New Roman" w:eastAsia="Times New Roman" w:hAnsi="Times New Roman" w:cs="Times New Roman"/>
          <w:b/>
          <w:bCs/>
          <w:sz w:val="24"/>
          <w:szCs w:val="24"/>
          <w:lang w:eastAsia="es-EC"/>
        </w:rPr>
        <w:t>Abstract</w:t>
      </w:r>
    </w:p>
    <w:p w14:paraId="315C99AE" w14:textId="52B7D725" w:rsidR="002F2142" w:rsidRDefault="00501227" w:rsidP="00501227">
      <w:pPr>
        <w:spacing w:before="100" w:beforeAutospacing="1" w:after="100" w:afterAutospacing="1" w:line="360" w:lineRule="auto"/>
        <w:jc w:val="both"/>
        <w:rPr>
          <w:rFonts w:ascii="Times New Roman" w:eastAsia="Times New Roman" w:hAnsi="Times New Roman" w:cs="Times New Roman"/>
          <w:sz w:val="24"/>
          <w:szCs w:val="24"/>
          <w:lang w:eastAsia="es-EC"/>
        </w:rPr>
      </w:pPr>
      <w:r w:rsidRPr="00501227">
        <w:rPr>
          <w:rFonts w:ascii="Times New Roman" w:eastAsia="Times New Roman" w:hAnsi="Times New Roman" w:cs="Times New Roman"/>
          <w:sz w:val="24"/>
          <w:szCs w:val="24"/>
          <w:lang w:eastAsia="es-EC"/>
        </w:rPr>
        <w:t>The present study aimed to analyze parental stress levels and their relationship with the virtual educational environment during a period of forced technological adaptation. The sample consisted of 105 participants, mostly mothers (71.43%), with a predominance of secondary education (51.43%) and married or in a common-law relationship. Predominant levels of stress were identified as medium (37.14%) and moderate (27.62%), as well as technological barriers mainly associated with lack of internet access (28.57%) and slow connection speed (18.10%). The statistical analysis included descriptive statistics and Spearman's correlation. Significant positive correlations were found between stress coping and the dimensions of communication (</w:t>
      </w:r>
      <w:r w:rsidRPr="00501227">
        <w:rPr>
          <w:rFonts w:ascii="Times New Roman" w:eastAsia="Times New Roman" w:hAnsi="Times New Roman" w:cs="Times New Roman"/>
          <w:sz w:val="24"/>
          <w:szCs w:val="24"/>
          <w:lang w:val="es-EC" w:eastAsia="es-EC"/>
        </w:rPr>
        <w:t>ρ</w:t>
      </w:r>
      <w:r w:rsidRPr="00CD1B10">
        <w:rPr>
          <w:rFonts w:ascii="Times New Roman" w:eastAsia="Times New Roman" w:hAnsi="Times New Roman" w:cs="Times New Roman"/>
          <w:sz w:val="24"/>
          <w:szCs w:val="24"/>
          <w:lang w:eastAsia="es-EC"/>
        </w:rPr>
        <w:t xml:space="preserve"> </w:t>
      </w:r>
      <w:r w:rsidRPr="00501227">
        <w:rPr>
          <w:rFonts w:ascii="Times New Roman" w:eastAsia="Times New Roman" w:hAnsi="Times New Roman" w:cs="Times New Roman"/>
          <w:sz w:val="24"/>
          <w:szCs w:val="24"/>
          <w:lang w:eastAsia="es-EC"/>
        </w:rPr>
        <w:t>= .360), participation (</w:t>
      </w:r>
      <w:r w:rsidRPr="00501227">
        <w:rPr>
          <w:rFonts w:ascii="Times New Roman" w:eastAsia="Times New Roman" w:hAnsi="Times New Roman" w:cs="Times New Roman"/>
          <w:sz w:val="24"/>
          <w:szCs w:val="24"/>
          <w:lang w:val="es-EC" w:eastAsia="es-EC"/>
        </w:rPr>
        <w:t>ρ</w:t>
      </w:r>
      <w:r w:rsidRPr="00CD1B10">
        <w:rPr>
          <w:rFonts w:ascii="Times New Roman" w:eastAsia="Times New Roman" w:hAnsi="Times New Roman" w:cs="Times New Roman"/>
          <w:sz w:val="24"/>
          <w:szCs w:val="24"/>
          <w:lang w:eastAsia="es-EC"/>
        </w:rPr>
        <w:t xml:space="preserve"> </w:t>
      </w:r>
      <w:r w:rsidRPr="00501227">
        <w:rPr>
          <w:rFonts w:ascii="Times New Roman" w:eastAsia="Times New Roman" w:hAnsi="Times New Roman" w:cs="Times New Roman"/>
          <w:sz w:val="24"/>
          <w:szCs w:val="24"/>
          <w:lang w:eastAsia="es-EC"/>
        </w:rPr>
        <w:t>= .332), and virtual setting (</w:t>
      </w:r>
      <w:r w:rsidRPr="00501227">
        <w:rPr>
          <w:rFonts w:ascii="Times New Roman" w:eastAsia="Times New Roman" w:hAnsi="Times New Roman" w:cs="Times New Roman"/>
          <w:sz w:val="24"/>
          <w:szCs w:val="24"/>
          <w:lang w:val="es-EC" w:eastAsia="es-EC"/>
        </w:rPr>
        <w:t>ρ</w:t>
      </w:r>
      <w:r w:rsidRPr="00CD1B10">
        <w:rPr>
          <w:rFonts w:ascii="Times New Roman" w:eastAsia="Times New Roman" w:hAnsi="Times New Roman" w:cs="Times New Roman"/>
          <w:sz w:val="24"/>
          <w:szCs w:val="24"/>
          <w:lang w:eastAsia="es-EC"/>
        </w:rPr>
        <w:t xml:space="preserve"> </w:t>
      </w:r>
      <w:r w:rsidRPr="00501227">
        <w:rPr>
          <w:rFonts w:ascii="Times New Roman" w:eastAsia="Times New Roman" w:hAnsi="Times New Roman" w:cs="Times New Roman"/>
          <w:sz w:val="24"/>
          <w:szCs w:val="24"/>
          <w:lang w:eastAsia="es-EC"/>
        </w:rPr>
        <w:t>= .409), while negative perceptions of stress were inversely associated with these dimensions. These results highlight the importance of emotional coping for adaptation to virtual environments and the need for public policies that mitigate technological gaps in family contexts.</w:t>
      </w:r>
    </w:p>
    <w:p w14:paraId="010043C8" w14:textId="7545F170" w:rsidR="00774B9F" w:rsidRPr="00CD1B10" w:rsidRDefault="00D452DC" w:rsidP="00CD1B10">
      <w:pPr>
        <w:pStyle w:val="NormalWeb"/>
        <w:jc w:val="both"/>
        <w:rPr>
          <w:lang w:val="en-US"/>
        </w:rPr>
      </w:pPr>
      <w:r w:rsidRPr="00D452DC">
        <w:rPr>
          <w:b/>
          <w:bCs/>
          <w:lang w:val="en-US"/>
        </w:rPr>
        <w:t xml:space="preserve">Keywords: </w:t>
      </w:r>
      <w:r w:rsidRPr="00D452DC">
        <w:rPr>
          <w:lang w:val="en-US"/>
        </w:rPr>
        <w:t>parental stress, coping, virtual environment, technological barriers, Spearman correlation.</w:t>
      </w:r>
    </w:p>
    <w:p w14:paraId="762E6478" w14:textId="4F231C88" w:rsidR="003C3C22" w:rsidRPr="00ED7FDA" w:rsidRDefault="00CD1B10" w:rsidP="00D307A6">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ED7FDA">
        <w:rPr>
          <w:rFonts w:ascii="Times New Roman" w:eastAsia="Times New Roman" w:hAnsi="Times New Roman" w:cs="Times New Roman"/>
          <w:b/>
          <w:bCs/>
          <w:sz w:val="24"/>
          <w:szCs w:val="24"/>
          <w:lang w:val="es-EC" w:eastAsia="es-EC"/>
        </w:rPr>
        <w:t>Resumen</w:t>
      </w:r>
    </w:p>
    <w:p w14:paraId="6B52B0A5" w14:textId="77777777" w:rsidR="00CD1B10" w:rsidRPr="002F2142" w:rsidRDefault="00CD1B10" w:rsidP="00CD1B10">
      <w:pPr>
        <w:spacing w:before="100" w:beforeAutospacing="1" w:after="100" w:afterAutospacing="1" w:line="360" w:lineRule="auto"/>
        <w:jc w:val="both"/>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 xml:space="preserve">El presente estudio tuvo como objetivo analizar los niveles de estrés parental y su relación con el entorno virtual educativo durante un periodo de adaptación tecnológica forzada. La muestra estuvo conformada por 105 participantes, en su mayoría madres (71,43 %), con predominancia de nivel educativo secundario (51,43 %) y estado civil casado o en unión libre. Se identificaron niveles predominantes de estrés medio (37,14 %) y moderado (27,62 %), así como barreras tecnológicas asociadas principalmente a la carencia de internet (28,57 %) y a la baja velocidad de conexión (18,10 %). El análisis estadístico incluyó estadística descriptiva y correlación de Spearman. Se hallaron correlaciones positivas significativas entre el afrontamiento del estrés y las dimensiones de </w:t>
      </w:r>
      <w:r w:rsidRPr="002F2142">
        <w:rPr>
          <w:rFonts w:ascii="Times New Roman" w:eastAsia="Times New Roman" w:hAnsi="Times New Roman" w:cs="Times New Roman"/>
          <w:sz w:val="24"/>
          <w:szCs w:val="24"/>
          <w:lang w:val="es-EC" w:eastAsia="es-EC"/>
        </w:rPr>
        <w:lastRenderedPageBreak/>
        <w:t>comunicación (ρ = ,360), participación (ρ = ,332) y escenario virtual (ρ = ,409), mientras que las percepciones negativas del estrés se asociaron inversamente con dichas dimensiones. Estos resultados evidencian la relevancia del afrontamiento emocional para la adaptación a entornos virtuales y la necesidad de políticas públicas que mitiguen las brechas tecnológicas en contextos familiares.</w:t>
      </w:r>
    </w:p>
    <w:p w14:paraId="3F95013C" w14:textId="0B17CC2C" w:rsidR="00331ABC" w:rsidRPr="00CD1B10" w:rsidRDefault="00CD1B10" w:rsidP="002F2142">
      <w:pPr>
        <w:spacing w:before="100" w:beforeAutospacing="1" w:after="100" w:afterAutospacing="1" w:line="360" w:lineRule="auto"/>
        <w:jc w:val="both"/>
        <w:rPr>
          <w:rFonts w:ascii="Times New Roman" w:eastAsia="Times New Roman" w:hAnsi="Times New Roman" w:cs="Times New Roman"/>
          <w:sz w:val="24"/>
          <w:szCs w:val="24"/>
          <w:lang w:val="es-MX" w:eastAsia="es-EC"/>
        </w:rPr>
      </w:pPr>
      <w:r w:rsidRPr="00CD1B10">
        <w:rPr>
          <w:rFonts w:ascii="Times New Roman" w:eastAsia="Times New Roman" w:hAnsi="Times New Roman" w:cs="Times New Roman"/>
          <w:b/>
          <w:bCs/>
          <w:sz w:val="24"/>
          <w:szCs w:val="24"/>
          <w:lang w:val="es-MX" w:eastAsia="es-EC"/>
        </w:rPr>
        <w:t>Palabras clave</w:t>
      </w:r>
      <w:r w:rsidR="00331ABC" w:rsidRPr="00CD1B10">
        <w:rPr>
          <w:rFonts w:ascii="Times New Roman" w:eastAsia="Times New Roman" w:hAnsi="Times New Roman" w:cs="Times New Roman"/>
          <w:b/>
          <w:bCs/>
          <w:sz w:val="24"/>
          <w:szCs w:val="24"/>
          <w:lang w:val="es-MX" w:eastAsia="es-EC"/>
        </w:rPr>
        <w:t xml:space="preserve">: </w:t>
      </w:r>
      <w:r w:rsidRPr="002F2142">
        <w:rPr>
          <w:rFonts w:ascii="Times New Roman" w:eastAsia="Times New Roman" w:hAnsi="Times New Roman" w:cs="Times New Roman"/>
          <w:sz w:val="24"/>
          <w:szCs w:val="24"/>
          <w:lang w:val="es-EC" w:eastAsia="es-EC"/>
        </w:rPr>
        <w:t>estrés parental, afrontamiento, entorno virtual, barreras tecnológicas, correlación de Spearman.</w:t>
      </w:r>
    </w:p>
    <w:p w14:paraId="549F964C" w14:textId="53621E39" w:rsidR="00D307A6" w:rsidRPr="00CD1B10" w:rsidRDefault="00D307A6" w:rsidP="002F2142">
      <w:pPr>
        <w:spacing w:before="100" w:beforeAutospacing="1" w:after="100" w:afterAutospacing="1" w:line="360" w:lineRule="auto"/>
        <w:jc w:val="center"/>
        <w:rPr>
          <w:rFonts w:ascii="Times New Roman" w:eastAsia="Times New Roman" w:hAnsi="Times New Roman" w:cs="Times New Roman"/>
          <w:b/>
          <w:bCs/>
          <w:sz w:val="24"/>
          <w:szCs w:val="24"/>
          <w:lang w:eastAsia="es-EC"/>
        </w:rPr>
      </w:pPr>
      <w:r w:rsidRPr="00CD1B10">
        <w:rPr>
          <w:rFonts w:ascii="Times New Roman" w:eastAsia="Times New Roman" w:hAnsi="Times New Roman" w:cs="Times New Roman"/>
          <w:b/>
          <w:bCs/>
          <w:sz w:val="24"/>
          <w:szCs w:val="24"/>
          <w:lang w:eastAsia="es-EC"/>
        </w:rPr>
        <w:t>INTRODUCTION</w:t>
      </w:r>
    </w:p>
    <w:p w14:paraId="15FE3C59" w14:textId="5C86F101" w:rsidR="000F05B8" w:rsidRPr="00CD1B10" w:rsidRDefault="000F05B8"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Throughout the timeline, humankind has faced different public health events</w:t>
      </w:r>
      <w:r w:rsidR="00334941">
        <w:rPr>
          <w:rFonts w:ascii="Times New Roman" w:eastAsia="Times New Roman" w:hAnsi="Times New Roman" w:cs="Times New Roman"/>
          <w:sz w:val="24"/>
          <w:szCs w:val="24"/>
          <w:lang w:val="es-EC" w:eastAsia="es-EC"/>
        </w:rPr>
        <w:fldChar w:fldCharType="begin"/>
      </w:r>
      <w:r w:rsidR="00ED3A25" w:rsidRPr="00CD1B10">
        <w:rPr>
          <w:rFonts w:ascii="Times New Roman" w:eastAsia="Times New Roman" w:hAnsi="Times New Roman" w:cs="Times New Roman"/>
          <w:sz w:val="24"/>
          <w:szCs w:val="24"/>
          <w:lang w:eastAsia="es-EC"/>
        </w:rPr>
        <w:instrText xml:space="preserve"> ADDIN ZOTERO_ITEM CSL_CITATION {"citationID":"91eMZKsl","properties":{"formattedCitation":"(Morsut &amp; Kruke, 2017; Omenn, 2010)","plainCitation":"(Morsut &amp; Kruke, 2017; Omenn, 2010)","noteIndex":0},"citationItems":[{"id":2811,"uris":["http://zotero.org/users/11513704/items/UY7Y52B6"],"itemData":{"id":2811,"type":"paper-conference","abstract":"Crises provoked by natural events like the recent earthquakes in Italy seem to affect society more and more frequently with serious consequences on lives, territories, households and economic activities. Human responses to these crises have mainly been reactive, with little focus on long-term solutions like Disaster Risk Reduction (DRR), a strategy to reduce damage caused by natural hazards, through lasting activities encompassing mitigation, preparedness and crisis management. In this paper, we aim at combining research on crisis management and governance with the important role of human factors in order to understand to what extent human factors influence crisis management and crisis governance. The 2009 L’Aquila earthquake in Italy will serve as an illustrating example on the role of human factors in disaster risk reduction as the foundation for crisis management and crisis governance following a sudden disaster. Indeed, per today, we argue for a limited weighting of human factors as determinants in prevention and preparedness in DRR. © 2017 Taylor &amp; Francis Group, London.","archive":"Scopus","DOI":"10.1201/9781315210469-45","event-title":"Safety and Reliability - Theory and Applications - Proceedings of the 27th European Safety and Reliability Conference, ESREL 2017","page":"335-342","source":"Scopus","title":"Human factors in crisis governance: The l’aquila case","title-short":"Human factors in crisis governance","author":[{"family":"Morsut","given":"C."},{"family":"Kruke","given":"B.I."}],"issued":{"date-parts":[["2017"]]}},"label":"page"},{"id":2770,"uris":["http://zotero.org/users/11513704/items/X4ZAPVQK"],"itemData":{"id":2770,"type":"article-journal","abstract":"Evolution and its elements of natural selection, population migration, genetic drift, and founder effects have shaped the world in which we practice public health. Human cultures and technologies have modified life on this planet and have coevolved with myriad other species, including microorganisms; plant and animal sources of food; invertebrate vectors of disease; and intermediate hosts among birds, mammals, and nonhuman primates. Molecular mechanisms of differential resistance or susceptibility to infectious agents or diets have evolved and are being discovered with modern methods. Some of these evolutionary relations require a perspective of tens of thousands of years, whereas other changes are observable in real time. The implications and applications of evolutionary understanding are important to our current programs and policies for infectious disease surveillance, gene–environment interactions, and health disparities globally.","container-title":"Proceedings of the National Academy of Sciences","DOI":"10.1073/pnas.0906198106","ISSN":"0027-8424, 1091-6490","issue":"suppl_1","journalAbbreviation":"Proc. Natl. Acad. Sci. U.S.A.","language":"en","page":"1702-1709","source":"DOI.org (Crossref)","title":"Evolution and public health","volume":"107","author":[{"family":"Omenn","given":"Gilbert S."}],"issued":{"date-parts":[["2010",1,26]]}},"label":"page"}],"schema":"https://github.com/citation-style-language/schema/raw/master/csl-citation.json"} </w:instrText>
      </w:r>
      <w:r w:rsidR="00334941">
        <w:rPr>
          <w:rFonts w:ascii="Times New Roman" w:eastAsia="Times New Roman" w:hAnsi="Times New Roman" w:cs="Times New Roman"/>
          <w:sz w:val="24"/>
          <w:szCs w:val="24"/>
          <w:lang w:val="es-EC" w:eastAsia="es-EC"/>
        </w:rPr>
        <w:fldChar w:fldCharType="separate"/>
      </w:r>
      <w:r w:rsidR="00ED3A25" w:rsidRPr="00CD1B10">
        <w:rPr>
          <w:rFonts w:ascii="Times New Roman" w:hAnsi="Times New Roman" w:cs="Times New Roman"/>
          <w:sz w:val="24"/>
        </w:rPr>
        <w:t xml:space="preserve"> (Morsut &amp; Kruke, 2017;  Omenn, 2010)</w:t>
      </w:r>
      <w:r w:rsidR="00334941">
        <w:rPr>
          <w:rFonts w:ascii="Times New Roman" w:eastAsia="Times New Roman" w:hAnsi="Times New Roman" w:cs="Times New Roman"/>
          <w:sz w:val="24"/>
          <w:szCs w:val="24"/>
          <w:lang w:val="es-EC" w:eastAsia="es-EC"/>
        </w:rPr>
        <w:fldChar w:fldCharType="end"/>
      </w:r>
      <w:r w:rsidRPr="00CD1B10">
        <w:rPr>
          <w:rFonts w:ascii="Times New Roman" w:eastAsia="Times New Roman" w:hAnsi="Times New Roman" w:cs="Times New Roman"/>
          <w:sz w:val="24"/>
          <w:szCs w:val="24"/>
          <w:lang w:eastAsia="es-EC"/>
        </w:rPr>
        <w:t xml:space="preserve">, in which the human being has had to </w:t>
      </w:r>
      <w:r w:rsidR="007E7188" w:rsidRPr="00CD1B10">
        <w:rPr>
          <w:rFonts w:ascii="Times New Roman" w:eastAsia="Times New Roman" w:hAnsi="Times New Roman" w:cs="Times New Roman"/>
          <w:sz w:val="24"/>
          <w:szCs w:val="24"/>
          <w:lang w:eastAsia="es-EC"/>
        </w:rPr>
        <w:t xml:space="preserve">face </w:t>
      </w:r>
      <w:r w:rsidRPr="00CD1B10">
        <w:rPr>
          <w:rFonts w:ascii="Times New Roman" w:eastAsia="Times New Roman" w:hAnsi="Times New Roman" w:cs="Times New Roman"/>
          <w:sz w:val="24"/>
          <w:szCs w:val="24"/>
          <w:lang w:eastAsia="es-EC"/>
        </w:rPr>
        <w:t xml:space="preserve">these types of </w:t>
      </w:r>
      <w:r w:rsidR="002961F3" w:rsidRPr="00CD1B10">
        <w:rPr>
          <w:rFonts w:ascii="Times New Roman" w:eastAsia="Times New Roman" w:hAnsi="Times New Roman" w:cs="Times New Roman"/>
          <w:sz w:val="24"/>
          <w:szCs w:val="24"/>
          <w:lang w:eastAsia="es-EC"/>
        </w:rPr>
        <w:t>unexpected</w:t>
      </w:r>
      <w:r w:rsidRPr="00CD1B10">
        <w:rPr>
          <w:rFonts w:ascii="Times New Roman" w:eastAsia="Times New Roman" w:hAnsi="Times New Roman" w:cs="Times New Roman"/>
          <w:sz w:val="24"/>
          <w:szCs w:val="24"/>
          <w:lang w:eastAsia="es-EC"/>
        </w:rPr>
        <w:t xml:space="preserve"> problems in </w:t>
      </w:r>
      <w:r w:rsidR="002961F3" w:rsidRPr="00CD1B10">
        <w:rPr>
          <w:rFonts w:ascii="Times New Roman" w:eastAsia="Times New Roman" w:hAnsi="Times New Roman" w:cs="Times New Roman"/>
          <w:sz w:val="24"/>
          <w:szCs w:val="24"/>
          <w:lang w:eastAsia="es-EC"/>
        </w:rPr>
        <w:t xml:space="preserve">such a </w:t>
      </w:r>
      <w:r w:rsidRPr="00CD1B10">
        <w:rPr>
          <w:rFonts w:ascii="Times New Roman" w:eastAsia="Times New Roman" w:hAnsi="Times New Roman" w:cs="Times New Roman"/>
          <w:sz w:val="24"/>
          <w:szCs w:val="24"/>
          <w:lang w:eastAsia="es-EC"/>
        </w:rPr>
        <w:t xml:space="preserve">way that transcends its capacity </w:t>
      </w:r>
      <w:r w:rsidR="00B441E9" w:rsidRPr="00CD1B10">
        <w:rPr>
          <w:rFonts w:ascii="Times New Roman" w:eastAsia="Times New Roman" w:hAnsi="Times New Roman" w:cs="Times New Roman"/>
          <w:sz w:val="24"/>
          <w:szCs w:val="24"/>
          <w:lang w:eastAsia="es-EC"/>
        </w:rPr>
        <w:t xml:space="preserve">and </w:t>
      </w:r>
      <w:r w:rsidR="00D06A03" w:rsidRPr="00CD1B10">
        <w:rPr>
          <w:rFonts w:ascii="Times New Roman" w:eastAsia="Times New Roman" w:hAnsi="Times New Roman" w:cs="Times New Roman"/>
          <w:sz w:val="24"/>
          <w:szCs w:val="24"/>
          <w:lang w:eastAsia="es-EC"/>
        </w:rPr>
        <w:t xml:space="preserve">out of </w:t>
      </w:r>
      <w:r w:rsidRPr="00CD1B10">
        <w:rPr>
          <w:rFonts w:ascii="Times New Roman" w:eastAsia="Times New Roman" w:hAnsi="Times New Roman" w:cs="Times New Roman"/>
          <w:sz w:val="24"/>
          <w:szCs w:val="24"/>
          <w:lang w:eastAsia="es-EC"/>
        </w:rPr>
        <w:t>control of the situation</w:t>
      </w:r>
      <w:r w:rsidR="00B7131D">
        <w:rPr>
          <w:rFonts w:ascii="Times New Roman" w:eastAsia="Times New Roman" w:hAnsi="Times New Roman" w:cs="Times New Roman"/>
          <w:sz w:val="24"/>
          <w:szCs w:val="24"/>
          <w:lang w:val="es-EC" w:eastAsia="es-EC"/>
        </w:rPr>
        <w:fldChar w:fldCharType="begin"/>
      </w:r>
      <w:r w:rsidR="00B30EC8" w:rsidRPr="00CD1B10">
        <w:rPr>
          <w:rFonts w:ascii="Times New Roman" w:eastAsia="Times New Roman" w:hAnsi="Times New Roman" w:cs="Times New Roman"/>
          <w:sz w:val="24"/>
          <w:szCs w:val="24"/>
          <w:lang w:eastAsia="es-EC"/>
        </w:rPr>
        <w:instrText xml:space="preserve"> ADDIN ZOTERO_ITEM CSL_CITATION {"citationID":"8yqAk8De","properties":{"formattedCitation":"(Beghetto, 2021; McVicar, 2015)","plainCitation":"(Beghetto, 2021; McVicar, 2015)","noteIndex":0},"citationItems":[{"id":2807,"uris":["http://zotero.org/users/11513704/items/GBMRSQ49"],"itemData":{"id":2807,"type":"article-journal","abstract":"The human experience is punctuated by times of crisis. Some crises are experienced at a personal level (e.g., the diagnosis of a life-threatening disease), organizational level (e.g., a business facing bankruptcy), and still others are experienced on a societal or global level (e.g., COVID-19 pandemic). Although crises can be deeply troubling and anxiety provoking, they can also serve as an important catalyst for creative action and innovative outcomes. This is because during times of crisis our typical forms of reasoning and action may no longer serve us. It is precisely during such times that new ways of thought, action and leadership are needed. A key question for researchers to consider is: Why and how times of crisis serve as an impetus for creative actions and outcomes? The purpose of this paper is to address this question. I open by briefly discussing the features of a crisis. I then introduce an empirically testable, process model that outlines various pathways, factors, and outcomes associated with different ways people and organizations respond during times of crisis. I close by briefly outlining future directions for creativity theory and research. © Copyright © 2021 Beghetto.","archive":"Scopus","container-title":"Frontiers in Psychology","DOI":"10.3389/fpsyg.2020.600685","source":"Scopus","title":"How Times of Crisis Serve as a Catalyst for Creative Action: An Agentic Perspective","title-short":"How Times of Crisis Serve as a Catalyst for Creative Action","volume":"11","author":[{"family":"Beghetto","given":"R.A."}],"issued":{"date-parts":[["2021"]]}},"label":"page"},{"id":2804,"uris":["http://zotero.org/users/11513704/items/QCJ8NB49"],"itemData":{"id":2804,"type":"article-journal","abstract":"When they present themselves, crises in the international order tend to threaten status quo norms, typically demand some urgency of response, and always pose a degree of uncertainty of outcome to those who face them. Yet, crises, and the need to face them, is an inevitable feature of the so-called “human condition.” Embedded within that condition are psychological and physiological aspects that can (and do) impact how effectively crises are managed when leaders are pressed for solutions. This is true regardless of leadership form, whether autocratic or democratic. This article examines how the ill effects of stress, emotion, and human tendency manifest themselves during crisis situations, and how their presence can negatively weigh upon crisis decisionmaking. In doing so, it draws from several examples found in the historical record to show how leader character seems to play a crucial, if not defining, role in either the success or failure of crisis management in international affairs. © 2015 Taylor &amp; Francis Group, LLC","archive":"Scopus","container-title":"Comparative Strategy","DOI":"10.1080/01495933.2015.994403","issue":"1","page":"14-43","source":"Scopus","title":"Decisions in crisis—an examination","volume":"34","author":[{"family":"McVicar","given":"M."}],"issued":{"date-parts":[["2015"]]}},"label":"page"}],"schema":"https://github.com/citation-style-language/schema/raw/master/csl-citation.json"} </w:instrText>
      </w:r>
      <w:r w:rsidR="00B7131D">
        <w:rPr>
          <w:rFonts w:ascii="Times New Roman" w:eastAsia="Times New Roman" w:hAnsi="Times New Roman" w:cs="Times New Roman"/>
          <w:sz w:val="24"/>
          <w:szCs w:val="24"/>
          <w:lang w:val="es-EC" w:eastAsia="es-EC"/>
        </w:rPr>
        <w:fldChar w:fldCharType="separate"/>
      </w:r>
      <w:r w:rsidR="00B30EC8" w:rsidRPr="00CD1B10">
        <w:rPr>
          <w:rFonts w:ascii="Times New Roman" w:hAnsi="Times New Roman" w:cs="Times New Roman"/>
          <w:sz w:val="24"/>
        </w:rPr>
        <w:t xml:space="preserve"> (Beghetto, 2021;  McVicar, 2015)</w:t>
      </w:r>
      <w:r w:rsidR="00B7131D">
        <w:rPr>
          <w:rFonts w:ascii="Times New Roman" w:eastAsia="Times New Roman" w:hAnsi="Times New Roman" w:cs="Times New Roman"/>
          <w:sz w:val="24"/>
          <w:szCs w:val="24"/>
          <w:lang w:val="es-EC" w:eastAsia="es-EC"/>
        </w:rPr>
        <w:fldChar w:fldCharType="end"/>
      </w:r>
      <w:r w:rsidRPr="00CD1B10">
        <w:rPr>
          <w:rFonts w:ascii="Times New Roman" w:eastAsia="Times New Roman" w:hAnsi="Times New Roman" w:cs="Times New Roman"/>
          <w:sz w:val="24"/>
          <w:szCs w:val="24"/>
          <w:lang w:eastAsia="es-EC"/>
        </w:rPr>
        <w:t>, these types of situations not only affect the human being in the physical but also in the emotional sphere that encompasses in each of the families of the society</w:t>
      </w:r>
      <w:r w:rsidR="00292A76">
        <w:rPr>
          <w:rFonts w:ascii="Times New Roman" w:eastAsia="Times New Roman" w:hAnsi="Times New Roman" w:cs="Times New Roman"/>
          <w:sz w:val="24"/>
          <w:szCs w:val="24"/>
          <w:lang w:val="es-EC" w:eastAsia="es-EC"/>
        </w:rPr>
        <w:fldChar w:fldCharType="begin"/>
      </w:r>
      <w:r w:rsidR="003F127E" w:rsidRPr="00CD1B10">
        <w:rPr>
          <w:rFonts w:ascii="Times New Roman" w:eastAsia="Times New Roman" w:hAnsi="Times New Roman" w:cs="Times New Roman"/>
          <w:sz w:val="24"/>
          <w:szCs w:val="24"/>
          <w:lang w:eastAsia="es-EC"/>
        </w:rPr>
        <w:instrText xml:space="preserve"> ADDIN ZOTERO_ITEM CSL_CITATION {"citationID":"6XuKHUeK","properties":{"formattedCitation":"(Cersosimo &amp; Marra, 2020; Solehah &amp; Ariantini, 2022; Walper et\\uc0\\u160{}al., 2023; Wang et\\uc0\\u160{}al., 2022)","plainCitation":"(Cersosimo &amp; Marra, 2020; Solehah &amp; Ariantini, 2022; Walper et al., 2023; Wang et al., 2022)","noteIndex":0},"citationItems":[{"id":2794,"uris":["http://zotero.org/users/11513704/items/D2K54HAQ"],"itemData":{"id":2794,"type":"article-journal","abstract":"In recent months, COVID-19 has distorted our everyday life in unexpected and violent ways, irreversibly devastating our apparently strong world structures. Although each country has tried to cope with the crisis, the repercussions on health, economy, social and family life, have quickly emerged around the world. The pandemic has redefined the criteria for health and well being as much as the virus itself.","container-title":"Italian Sociological Review","DOI":"10.13136/ISR.V10I3S.395","language":"en","license":"Creative Commons Attribution 3.0 Unported","note":"dimensions: 711 Pages\npublisher: QuiEdit","page":"711 Pages","source":"DOI.org (Datacite)","title":"In the Time of COVID-19: Love and Transformations in the Family","title-short":"In the Time of COVID-19","volume":"Vol 10","author":[{"family":"Cersosimo","given":"Giuseppina"},{"family":"Marra","given":"Patrizia"}],"issued":{"date-parts":[["2020",12,6]]}},"label":"page"},{"id":2789,"uris":["http://zotero.org/users/11513704/items/K8EIC8J7"],"itemData":{"id":2789,"type":"webpage","title":"Psycoeducation of the Resilience of the Family of Patients with Mental Disorders in Overcoming Psychosocial Problems in the Transition of the Covid-19 Pandemic in the Region Buleleng Regency of Bali | Journal Of Nursing Practice","URL":"https://doi.org/10.30994/jnp.v6i1.277","author":[{"family":"Solehah","given":"EkaLutfiatus"},{"family":"Ariantini","given":"Nyoman Sri"}],"accessed":{"date-parts":[["2025",6,14]]},"issued":{"date-parts":[["2022"]]}},"label":"page"},{"id":2796,"uris":["http://zotero.org/users/11513704/items/J5PJJ9IS"],"itemData":{"id":2796,"type":"article-journal","abstract":"Background Adverse childhood experiences (ACE) have been pointed out as risk factors for physical and mental health, with consequences extending from childhood into adulthood. Based on research regarding the effects of selected ACE as well as the accumulation of ACE, this article investigates how different types of family stressors are linked to children’s negative emotionality in infancy and early childhood. Methods Data are from the KiD 0–3 study (N = 5583) and the follow-up of a subsample after 2 years (n = 681). Based on 14 stress factors, we distinguish families with no/little stressors, socioeconomic stressors, parenting stressors, and multiple stressors. Results Children in multiply stressed families have the highest risk of high negative emotionality (compared to unstressed families: Odds Ratios [OR] ranging from 13.00 to 6.81), controlling for demographic characteristics, child-related stress factors (e.g., excessive crying), and caregiver childhood stress. Children in families primarily characterized by parenting stress also showed a significantly increased risk of high negative emotionality (OR ranging from 8.31 to 6.95), whereas this did not hold for children from socioeconomically stressed families (without parenting stress) compared to those from unstressed families. Longitudinal analyses of the follow-up subsample showed that changes in the number of stressors were also associated with parallel changes in children’s negative emotionality. Discussion These results confirm findings from international research on ACE in Germany and for early childhood. They underline the importance of a well-developed early intervention system.","container-title":"Bundesgesundheitsblatt - Gesundheitsforschung - Gesundheitsschutz","DOI":"10.1007/s00103-023-03730-3","ISSN":"1437-1588","issue":"7","journalAbbreviation":"Bundesgesundheitsbl","language":"de","license":"2023 The Author(s)","note":"Company: Springer\nDistributor: Springer\nInstitution: Springer\nLabel: Springer\nnumber: 7\npublisher: Springer Berlin Heidelberg","page":"717-726","source":"link-springer-com.proxy.unemi.edu.ec","title":"Familiale Belastungsfaktoren für die emotionale Entwicklung junger Kinder","volume":"66","author":[{"family":"Walper","given":"Sabine"},{"family":"Ulrich","given":"Susanne M."},{"family":"Kindler","given":"Heinz"}],"issued":{"date-parts":[["2023",7,1]]}},"label":"page"},{"id":2788,"uris":["http://zotero.org/users/11513704/items/SRVSSKNZ"],"itemData":{"id":2788,"type":"article-journal","container-title":"Frontiers in Psychiatry","DOI":"10.3389/fpsyt.2021.735653","ISSN":"1664-0640","journalAbbreviation":"Front. Psychiatry","language":"en","page":"735653","source":"DOI.org (Crossref)","title":"Impacts of the COVID-19 Pandemic on Mental Health and Potential Solutions in Different Members in an Ordinary Family Unit","volume":"12","author":[{"family":"Wang","given":"Limin"},{"family":"Nabi","given":"Ghulam"},{"family":"Zuo","given":"Lirong"},{"family":"Wu","given":"Yuefeng"},{"family":"Li","given":"Dongming"}],"issued":{"date-parts":[["2022",1,11]]}},"label":"page"}],"schema":"https://github.com/citation-style-language/schema/raw/master/csl-citation.json"} </w:instrText>
      </w:r>
      <w:r w:rsidR="00292A76">
        <w:rPr>
          <w:rFonts w:ascii="Times New Roman" w:eastAsia="Times New Roman" w:hAnsi="Times New Roman" w:cs="Times New Roman"/>
          <w:sz w:val="24"/>
          <w:szCs w:val="24"/>
          <w:lang w:val="es-EC" w:eastAsia="es-EC"/>
        </w:rPr>
        <w:fldChar w:fldCharType="separate"/>
      </w:r>
      <w:r w:rsidR="003F127E" w:rsidRPr="003F127E">
        <w:rPr>
          <w:rFonts w:ascii="Times New Roman" w:hAnsi="Times New Roman" w:cs="Times New Roman"/>
          <w:sz w:val="24"/>
          <w:szCs w:val="24"/>
        </w:rPr>
        <w:t xml:space="preserve"> (Cersosimo &amp; Marra, 2020;  Solehah &amp; Ariantini, 2022;  Walper et al., 2023; Wang et al., 2022).</w:t>
      </w:r>
      <w:r w:rsidR="00292A76">
        <w:rPr>
          <w:rFonts w:ascii="Times New Roman" w:eastAsia="Times New Roman" w:hAnsi="Times New Roman" w:cs="Times New Roman"/>
          <w:sz w:val="24"/>
          <w:szCs w:val="24"/>
          <w:lang w:val="es-EC" w:eastAsia="es-EC"/>
        </w:rPr>
        <w:fldChar w:fldCharType="end"/>
      </w:r>
    </w:p>
    <w:p w14:paraId="555DE278" w14:textId="558D4DE7" w:rsidR="000F05B8" w:rsidRPr="00CD1B10" w:rsidRDefault="000F05B8"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 xml:space="preserve">In </w:t>
      </w:r>
      <w:r w:rsidR="00E365AA">
        <w:rPr>
          <w:rFonts w:ascii="Times New Roman" w:eastAsia="Times New Roman" w:hAnsi="Times New Roman" w:cs="Times New Roman"/>
          <w:sz w:val="24"/>
          <w:szCs w:val="24"/>
          <w:lang w:eastAsia="es-EC"/>
        </w:rPr>
        <w:t>Wuhan, China, COVID-19 started, which later generated a pandemic, causing global public health alerts (Jia et al., 2020; Onyeaka et al., 2021; Velavan &amp; Meyer, 2020)</w:t>
      </w:r>
      <w:r w:rsidRPr="00CD1B10">
        <w:rPr>
          <w:rFonts w:ascii="Times New Roman" w:eastAsia="Times New Roman" w:hAnsi="Times New Roman" w:cs="Times New Roman"/>
          <w:sz w:val="24"/>
          <w:szCs w:val="24"/>
          <w:lang w:eastAsia="es-EC"/>
        </w:rPr>
        <w:t xml:space="preserve">. From </w:t>
      </w:r>
      <w:r w:rsidR="00E365AA" w:rsidRPr="00E365AA">
        <w:rPr>
          <w:rFonts w:ascii="Times New Roman" w:eastAsia="Times New Roman" w:hAnsi="Times New Roman" w:cs="Times New Roman"/>
          <w:sz w:val="24"/>
          <w:szCs w:val="24"/>
          <w:lang w:eastAsia="es-EC"/>
        </w:rPr>
        <w:t>a health alert to a pandemic, significant changes occurred in various areas, including health, Social, and educational contexts (Damme et al., 2020)</w:t>
      </w:r>
    </w:p>
    <w:p w14:paraId="598C3A31" w14:textId="2967B44E" w:rsidR="008504F1" w:rsidRPr="000106DA" w:rsidRDefault="008504F1"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Given the magnitude of the problem of covid 19 that was generated worldwide</w:t>
      </w:r>
      <w:r w:rsidR="002E3019">
        <w:rPr>
          <w:rFonts w:ascii="Times New Roman" w:eastAsia="Times New Roman" w:hAnsi="Times New Roman" w:cs="Times New Roman"/>
          <w:sz w:val="24"/>
          <w:szCs w:val="24"/>
          <w:lang w:val="es-EC" w:eastAsia="es-EC"/>
        </w:rPr>
        <w:fldChar w:fldCharType="begin"/>
      </w:r>
      <w:r w:rsidR="00C467C7" w:rsidRPr="00CD1B10">
        <w:rPr>
          <w:rFonts w:ascii="Times New Roman" w:eastAsia="Times New Roman" w:hAnsi="Times New Roman" w:cs="Times New Roman"/>
          <w:sz w:val="24"/>
          <w:szCs w:val="24"/>
          <w:lang w:eastAsia="es-EC"/>
        </w:rPr>
        <w:instrText xml:space="preserve"> ADDIN ZOTERO_ITEM CSL_CITATION {"citationID":"xv2VZ9SC","properties":{"formattedCitation":"(Filip et\\uc0\\u160{}al., 2022)","plainCitation":"(Filip et al., 2022)","noteIndex":0},"citationItems":[{"id":2782,"uris":["http://zotero.org/users/11513704/items/GW2JGM5X"],"itemData":{"id":2782,"type":"webpage","title":"Global Challenges to Public Health Care Systems during the COVID-19 Pandemic: A Review of Pandemic Measures and Problems","URL":"https://www.mdpi.com/2075-4426/12/8/1295","author":[{"family":"Filip","given":"Roxana"},{"family":"Puscaselu","given":"Roxana Gheorghita"},{"family":"Anchidin Norocel","given":"Liliana"},{"family":"Dimian","given":"Mihai"},{"family":"Savage","given":"Wesley"}],"accessed":{"date-parts":[["2025",6,14]]},"issued":{"date-parts":[["2022"]]}}}],"schema":"https://github.com/citation-style-language/schema/raw/master/csl-citation.json"} </w:instrText>
      </w:r>
      <w:r w:rsidR="002E3019">
        <w:rPr>
          <w:rFonts w:ascii="Times New Roman" w:eastAsia="Times New Roman" w:hAnsi="Times New Roman" w:cs="Times New Roman"/>
          <w:sz w:val="24"/>
          <w:szCs w:val="24"/>
          <w:lang w:val="es-EC" w:eastAsia="es-EC"/>
        </w:rPr>
        <w:fldChar w:fldCharType="separate"/>
      </w:r>
      <w:r w:rsidR="00C467C7" w:rsidRPr="00CD1B10">
        <w:rPr>
          <w:rFonts w:ascii="Times New Roman" w:hAnsi="Times New Roman" w:cs="Times New Roman"/>
          <w:sz w:val="24"/>
          <w:szCs w:val="24"/>
        </w:rPr>
        <w:t xml:space="preserve"> (Filip et al., 2022)</w:t>
      </w:r>
      <w:r w:rsidR="002E3019">
        <w:rPr>
          <w:rFonts w:ascii="Times New Roman" w:eastAsia="Times New Roman" w:hAnsi="Times New Roman" w:cs="Times New Roman"/>
          <w:sz w:val="24"/>
          <w:szCs w:val="24"/>
          <w:lang w:val="es-EC" w:eastAsia="es-EC"/>
        </w:rPr>
        <w:fldChar w:fldCharType="end"/>
      </w:r>
      <w:r w:rsidRPr="00CD1B10">
        <w:rPr>
          <w:rFonts w:ascii="Times New Roman" w:eastAsia="Times New Roman" w:hAnsi="Times New Roman" w:cs="Times New Roman"/>
          <w:sz w:val="24"/>
          <w:szCs w:val="24"/>
          <w:lang w:eastAsia="es-EC"/>
        </w:rPr>
        <w:t>, international health agencies such as the WHO</w:t>
      </w:r>
      <w:r w:rsidR="000106DA">
        <w:rPr>
          <w:rFonts w:ascii="Times New Roman" w:eastAsia="Times New Roman" w:hAnsi="Times New Roman" w:cs="Times New Roman"/>
          <w:sz w:val="24"/>
          <w:szCs w:val="24"/>
          <w:lang w:eastAsia="es-EC"/>
        </w:rPr>
        <w:t xml:space="preserve"> </w:t>
      </w:r>
      <w:r w:rsidR="00576BEC">
        <w:rPr>
          <w:rFonts w:ascii="Times New Roman" w:eastAsia="Times New Roman" w:hAnsi="Times New Roman" w:cs="Times New Roman"/>
          <w:sz w:val="24"/>
          <w:szCs w:val="24"/>
          <w:lang w:val="es-EC" w:eastAsia="es-EC"/>
        </w:rPr>
        <w:fldChar w:fldCharType="begin"/>
      </w:r>
      <w:r w:rsidR="00C4477B" w:rsidRPr="00CD1B10">
        <w:rPr>
          <w:rFonts w:ascii="Times New Roman" w:eastAsia="Times New Roman" w:hAnsi="Times New Roman" w:cs="Times New Roman"/>
          <w:sz w:val="24"/>
          <w:szCs w:val="24"/>
          <w:lang w:eastAsia="es-EC"/>
        </w:rPr>
        <w:instrText xml:space="preserve"> ADDIN ZOTERO_ITEM CSL_CITATION {"citationID":"FsEjf5iN","properties":{"formattedCitation":"(2022)","plainCitation":"(2022)","noteIndex":0},"citationItems":[{"id":2568,"uris":["http://zotero.org/users/11513704/items/4PSKDT39"],"itemData":{"id":2568,"type":"webpage","abstract":"Hay una gran variedad de trastornos mentales, cada uno de ellos con manifestaciones distintas. En general, se caracterizan por una combinación de alteraciones del pensamiento, la percepción, las emociones, la conducta y las relaciones con los demás.","language":"es","title":"Trastornos mentales","URL":"https://www.who.int/es/news-room/fact-sheets/detail/mental-disorders","author":[{"family":"OMS","given":""}],"accessed":{"date-parts":[["2025",4,27]]},"issued":{"date-parts":[["2022"]]}},"suppress-author":true}],"schema":"https://github.com/citation-style-language/schema/raw/master/csl-citation.json"} </w:instrText>
      </w:r>
      <w:r w:rsidR="00576BEC">
        <w:rPr>
          <w:rFonts w:ascii="Times New Roman" w:eastAsia="Times New Roman" w:hAnsi="Times New Roman" w:cs="Times New Roman"/>
          <w:sz w:val="24"/>
          <w:szCs w:val="24"/>
          <w:lang w:val="es-EC" w:eastAsia="es-EC"/>
        </w:rPr>
        <w:fldChar w:fldCharType="separate"/>
      </w:r>
      <w:r w:rsidR="00C4477B" w:rsidRPr="00CD1B10">
        <w:rPr>
          <w:rFonts w:ascii="Times New Roman" w:hAnsi="Times New Roman" w:cs="Times New Roman"/>
          <w:sz w:val="24"/>
        </w:rPr>
        <w:t>(2022)</w:t>
      </w:r>
      <w:r w:rsidR="00576BEC">
        <w:rPr>
          <w:rFonts w:ascii="Times New Roman" w:eastAsia="Times New Roman" w:hAnsi="Times New Roman" w:cs="Times New Roman"/>
          <w:sz w:val="24"/>
          <w:szCs w:val="24"/>
          <w:lang w:val="es-EC" w:eastAsia="es-EC"/>
        </w:rPr>
        <w:fldChar w:fldCharType="end"/>
      </w:r>
      <w:r w:rsidRPr="00CD1B10">
        <w:rPr>
          <w:rFonts w:ascii="Times New Roman" w:eastAsia="Times New Roman" w:hAnsi="Times New Roman" w:cs="Times New Roman"/>
          <w:sz w:val="24"/>
          <w:szCs w:val="24"/>
          <w:lang w:eastAsia="es-EC"/>
        </w:rPr>
        <w:t xml:space="preserve"> (World Health Organization), which issued guidelines and recommendations to countries, the necessary measures were applied </w:t>
      </w:r>
      <w:r w:rsidR="000106DA">
        <w:rPr>
          <w:rFonts w:ascii="Times New Roman" w:eastAsia="Times New Roman" w:hAnsi="Times New Roman" w:cs="Times New Roman"/>
          <w:sz w:val="24"/>
          <w:szCs w:val="24"/>
          <w:lang w:eastAsia="es-EC"/>
        </w:rPr>
        <w:t>to protect</w:t>
      </w:r>
      <w:r w:rsidRPr="00CD1B10">
        <w:rPr>
          <w:rFonts w:ascii="Times New Roman" w:eastAsia="Times New Roman" w:hAnsi="Times New Roman" w:cs="Times New Roman"/>
          <w:sz w:val="24"/>
          <w:szCs w:val="24"/>
          <w:lang w:eastAsia="es-EC"/>
        </w:rPr>
        <w:t xml:space="preserve"> the health of the inhabitants, including the decision to apply social isolation as a preventive measure</w:t>
      </w:r>
      <w:r w:rsidR="00E33FDE">
        <w:rPr>
          <w:rFonts w:ascii="Times New Roman" w:eastAsia="Times New Roman" w:hAnsi="Times New Roman" w:cs="Times New Roman"/>
          <w:sz w:val="24"/>
          <w:szCs w:val="24"/>
          <w:lang w:val="es-EC" w:eastAsia="es-EC"/>
        </w:rPr>
        <w:fldChar w:fldCharType="begin"/>
      </w:r>
      <w:r w:rsidR="00ED19F9" w:rsidRPr="00CD1B10">
        <w:rPr>
          <w:rFonts w:ascii="Times New Roman" w:eastAsia="Times New Roman" w:hAnsi="Times New Roman" w:cs="Times New Roman"/>
          <w:sz w:val="24"/>
          <w:szCs w:val="24"/>
          <w:lang w:eastAsia="es-EC"/>
        </w:rPr>
        <w:instrText xml:space="preserve"> ADDIN ZOTERO_ITEM CSL_CITATION {"citationID":"EMxVAwI8","properties":{"formattedCitation":"(Bre\\uc0\\u269{}i\\uc0\\u263{} et\\uc0\\u160{}al., 2020; Krupina &amp; Shirenova, 2024; Mann &amp; Walker, 2022)","plainCitation":"(Brečić et al., 2020; Krupina &amp; Shirenova, 2024; Mann &amp; Walker, 2022)","noteIndex":0},"citationItems":[{"id":2813,"uris":["http://zotero.org/users/11513704/items/IPLLKDV4"],"itemData":{"id":2813,"type":"article-journal","abstract":"The impact of the COVID-19 pandemic on physical health and as a potentially life-threating condition, has significant repercussions on mental health by consequent psychological distress and the appearance of symptoms of mental disorders. Social isolation, as an epidemiologic measure, represents additional adverse impact on mental health. The pandemic’s influence on patients with anxiety and depressive disorders may manifest as an inadequate and maladaptive response resulting in excessive anxiety or worsening of the symptoms of the underlying disorder. Given the patient’s lack of psychological flexibility, it is more difficult for them to inherit the positive aspects of the adaptive effort needed to strengthen their resilience. Patients with anxiety and depressive disorders are a vulnerable population for whom the pandemic poses an additional psychological burden. It is therefore essential to ensure prompt, comprehensive, and continuous psychiatric care. © 2020, PLIVA d.d.. All rights reserved.","archive":"Scopus","container-title":"Medicus","issue":"2","page":"237-242","source":"Scopus","title":"Impact of the COVID-19 pandemic on patients with anxiety and depressive disorders","title-short":"Utjecaj pandemije COVID-19 na pacijente s anksioznim i depresivnim poremećajima","volume":"29","author":[{"family":"Brečić","given":"P."},{"family":"Jendričko","given":"T."},{"family":"Vidović","given":"D."},{"family":"Makarić","given":"P."},{"family":"Ćurković","given":"M."},{"family":"Ćelić","given":"I."}],"issued":{"date-parts":[["2020"]]}},"label":"page"},{"id":2816,"uris":["http://zotero.org/users/11513704/items/LSMJYDJZ"],"itemData":{"id":2816,"type":"article-journal","abstract":"Close social connections are essential for mental and physical health and well-being at any age. A significant proportion of the world’s population has experienced lockdown conditions due to the COVID-19 pandemic. There is a growing body of scientific literature on the adverse effects of social isolation on attention, memory, perception, executive function, and other aspects of cognitive processes. This can make people’s daily lives more difficult, reducing their quality of life. This review seeks to systematize accumulated scientific data acquired in longitudinal population studies on the relationship between social isolation and the development of cognitive impairment in humans, and also analyzes data on the effects of social isolation of different durations on learning and memory processes obtained in experimental studies in animals. Questions are raised regarding the possible connection of these social isolation-induced disorders with changes in the functioning of one of the stress reactivity systems, i.e., the hypothalamic-pituitary-adrenal axis, and the immunoinflammatory response. © The Author(s), under exclusive licence to Springer Nature Switzerland AG 2024.","archive":"Scopus","container-title":"Neuroscience and Behavioral Physiology","DOI":"10.1007/s11055-024-01655-1","issue":"5","page":"749-763","source":"Scopus","title":"Impaired Cognitive Functions in Prolonged Social Isolation: Results of Human Studies and Animal Experiments","title-short":"Impaired Cognitive Functions in Prolonged Social Isolation","volume":"54","author":[{"family":"Krupina","given":"N.A."},{"family":"Shirenova","given":"S.D."}],"issued":{"date-parts":[["2024"]]}},"label":"page"},{"id":2818,"uris":["http://zotero.org/users/11513704/items/Q9N868X8"],"itemData":{"id":2818,"type":"article-journal","abstract":"Background: Social isolation and the impact on mental health is a major concern during COVID-19. Trait equanimity is expected to protect individuals from psychological distress associated with social isolation. The aim of this study is to examine the link between social isolation and psychological distress via the mediator equanimity. It was hypothesised that objective (few social contacts) and perceived social isolation (loneliness) would predict psychological distress and that equanimity would mediate these relationships. Methods: Five hundred and seventy-eight adult United States participants were recruited and completed measures of objective social isolation and perceived social isolation (De Jong Gierveld Social Isolation scale), trait equanimity (Phenomenological Experience of Meditative Equanimity Scale), and psychological distress (Depression, Anxiety, and Stress Scale, Short Form, DASS-21). Results: Objective social isolation negatively predicted psychological distress, but equanimity did not mediate this relationship. Perceived social isolation positively predicted psychological distress and equanimity mediated this relationship. Limitations: This study is limited by its cross-sectional and self-report design and by a United States sample, which may affect the generalisability of findings. Conclusions: Rather than a lack of social contact it is the “perceived” nature of isolation that is related to psychological distress and this relationship indirectly operates through trait equanimity. Individuals high in trait equanimity may be better protected from the impact of perceived social isolation. Clinical interventions can be adapted to include equanimity skills to mitigate perceived social isolation for individuals and reduce adverse outcomes. © 2021","archive":"Scopus","container-title":"Journal of Affective Disorders","DOI":"10.1016/j.jad.2021.09.087","page":"370-379","source":"Scopus","title":"The role of equanimity in mediating the relationship between psychological distress and social isolation during COVID-19","volume":"296","author":[{"family":"Mann","given":"L.M."},{"family":"Walker","given":"B.R."}],"issued":{"date-parts":[["2022"]]}},"label":"page"}],"schema":"https://github.com/citation-style-language/schema/raw/master/csl-citation.json"} </w:instrText>
      </w:r>
      <w:r w:rsidR="00E33FDE">
        <w:rPr>
          <w:rFonts w:ascii="Times New Roman" w:eastAsia="Times New Roman" w:hAnsi="Times New Roman" w:cs="Times New Roman"/>
          <w:sz w:val="24"/>
          <w:szCs w:val="24"/>
          <w:lang w:val="es-EC" w:eastAsia="es-EC"/>
        </w:rPr>
        <w:fldChar w:fldCharType="separate"/>
      </w:r>
      <w:r w:rsidR="00ED19F9" w:rsidRPr="00CD1B10">
        <w:rPr>
          <w:rFonts w:ascii="Times New Roman" w:hAnsi="Times New Roman" w:cs="Times New Roman"/>
          <w:sz w:val="24"/>
          <w:szCs w:val="24"/>
        </w:rPr>
        <w:t xml:space="preserve"> (Brečić et al..., 2020; Krupina &amp; Shirenova, 2024; Mann &amp; Walker, 2022)</w:t>
      </w:r>
      <w:r w:rsidR="00E33FDE">
        <w:rPr>
          <w:rFonts w:ascii="Times New Roman" w:eastAsia="Times New Roman" w:hAnsi="Times New Roman" w:cs="Times New Roman"/>
          <w:sz w:val="24"/>
          <w:szCs w:val="24"/>
          <w:lang w:val="es-EC" w:eastAsia="es-EC"/>
        </w:rPr>
        <w:fldChar w:fldCharType="end"/>
      </w:r>
      <w:r w:rsidRPr="00CD1B10">
        <w:rPr>
          <w:rFonts w:ascii="Times New Roman" w:eastAsia="Times New Roman" w:hAnsi="Times New Roman" w:cs="Times New Roman"/>
          <w:sz w:val="24"/>
          <w:szCs w:val="24"/>
          <w:lang w:eastAsia="es-EC"/>
        </w:rPr>
        <w:t xml:space="preserve">, </w:t>
      </w:r>
      <w:r w:rsidR="000106DA">
        <w:rPr>
          <w:rFonts w:ascii="Times New Roman" w:eastAsia="Times New Roman" w:hAnsi="Times New Roman" w:cs="Times New Roman"/>
          <w:sz w:val="24"/>
          <w:szCs w:val="24"/>
          <w:lang w:eastAsia="es-EC"/>
        </w:rPr>
        <w:t>so that</w:t>
      </w:r>
      <w:r w:rsidRPr="00CD1B10">
        <w:rPr>
          <w:rFonts w:ascii="Times New Roman" w:eastAsia="Times New Roman" w:hAnsi="Times New Roman" w:cs="Times New Roman"/>
          <w:sz w:val="24"/>
          <w:szCs w:val="24"/>
          <w:lang w:eastAsia="es-EC"/>
        </w:rPr>
        <w:t xml:space="preserve"> family groups do not generate public and social health saturation, opting to use technology as a personal, work and academic resource</w:t>
      </w:r>
      <w:r w:rsidR="000D5BA7">
        <w:rPr>
          <w:rFonts w:ascii="Times New Roman" w:eastAsia="Times New Roman" w:hAnsi="Times New Roman" w:cs="Times New Roman"/>
          <w:sz w:val="24"/>
          <w:szCs w:val="24"/>
          <w:lang w:val="es-EC" w:eastAsia="es-EC"/>
        </w:rPr>
        <w:fldChar w:fldCharType="begin"/>
      </w:r>
      <w:r w:rsidR="000D5BA7" w:rsidRPr="00CD1B10">
        <w:rPr>
          <w:rFonts w:ascii="Times New Roman" w:eastAsia="Times New Roman" w:hAnsi="Times New Roman" w:cs="Times New Roman"/>
          <w:sz w:val="24"/>
          <w:szCs w:val="24"/>
          <w:lang w:eastAsia="es-EC"/>
        </w:rPr>
        <w:instrText xml:space="preserve"> ADDIN ZOTERO_ITEM CSL_CITATION {"citationID":"GmNuJ0EN","properties":{"formattedCitation":"(Garfin, 2020)","plainCitation":"(Garfin, 2020)","noteIndex":0},"citationItems":[{"id":2825,"uris":["http://zotero.org/users/11513704/items/283EKHIQ"],"itemData":{"id":2825,"type":"article-journal","container-title":"Stress and Health","DOI":"10.1002/smi.2975","ISSN":"1532-2998","issue":"4","language":"en","license":"© 2020 John Wiley &amp; Sons Ltd.","note":"_eprint: https://onlinelibrary.wiley.com/doi/pdf/10.1002/smi.2975","page":"555-559","source":"Wiley Online Library","title":"Technology as a coping tool during the coronavirus disease 2019 (COVID-19) pandemic: Implications and recommendations","title-short":"Technology as a coping tool during the coronavirus disease 2019 (COVID-19) pandemic","volume":"36","author":[{"family":"Garfin","given":"Dana Rose"}],"issued":{"date-parts":[["2020"]]}}}],"schema":"https://github.com/citation-style-language/schema/raw/master/csl-citation.json"} </w:instrText>
      </w:r>
      <w:r w:rsidR="000D5BA7">
        <w:rPr>
          <w:rFonts w:ascii="Times New Roman" w:eastAsia="Times New Roman" w:hAnsi="Times New Roman" w:cs="Times New Roman"/>
          <w:sz w:val="24"/>
          <w:szCs w:val="24"/>
          <w:lang w:val="es-EC" w:eastAsia="es-EC"/>
        </w:rPr>
        <w:fldChar w:fldCharType="separate"/>
      </w:r>
      <w:r w:rsidR="000D5BA7" w:rsidRPr="00CD1B10">
        <w:rPr>
          <w:rFonts w:ascii="Times New Roman" w:hAnsi="Times New Roman" w:cs="Times New Roman"/>
          <w:sz w:val="24"/>
        </w:rPr>
        <w:t xml:space="preserve"> (Garfin ., 2020)</w:t>
      </w:r>
      <w:r w:rsidR="000D5BA7">
        <w:rPr>
          <w:rFonts w:ascii="Times New Roman" w:eastAsia="Times New Roman" w:hAnsi="Times New Roman" w:cs="Times New Roman"/>
          <w:sz w:val="24"/>
          <w:szCs w:val="24"/>
          <w:lang w:val="es-EC" w:eastAsia="es-EC"/>
        </w:rPr>
        <w:fldChar w:fldCharType="end"/>
      </w:r>
      <w:r w:rsidR="000106DA" w:rsidRPr="000106DA">
        <w:rPr>
          <w:rFonts w:ascii="Times New Roman" w:eastAsia="Times New Roman" w:hAnsi="Times New Roman" w:cs="Times New Roman"/>
          <w:sz w:val="24"/>
          <w:szCs w:val="24"/>
          <w:lang w:eastAsia="es-EC"/>
        </w:rPr>
        <w:t>.</w:t>
      </w:r>
    </w:p>
    <w:p w14:paraId="1E541426" w14:textId="6834481E" w:rsidR="00904A8C" w:rsidRPr="00CD1B10" w:rsidRDefault="00D25F71"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With the significant advances in science, the development of technology and the Internet have become a fundamental strategic ally in society, especially in the educational context</w:t>
      </w:r>
      <w:r w:rsidR="00E11BCB">
        <w:rPr>
          <w:rFonts w:ascii="Times New Roman" w:eastAsia="Times New Roman" w:hAnsi="Times New Roman" w:cs="Times New Roman"/>
          <w:sz w:val="24"/>
          <w:szCs w:val="24"/>
          <w:lang w:val="es-EC" w:eastAsia="es-EC"/>
        </w:rPr>
        <w:fldChar w:fldCharType="begin"/>
      </w:r>
      <w:r w:rsidR="003824F2" w:rsidRPr="00CD1B10">
        <w:rPr>
          <w:rFonts w:ascii="Times New Roman" w:eastAsia="Times New Roman" w:hAnsi="Times New Roman" w:cs="Times New Roman"/>
          <w:sz w:val="24"/>
          <w:szCs w:val="24"/>
          <w:lang w:eastAsia="es-EC"/>
        </w:rPr>
        <w:instrText xml:space="preserve"> ADDIN ZOTERO_ITEM CSL_CITATION {"citationID":"3E95rASd","properties":{"formattedCitation":"(Antunes &amp; Barreto, 2022a)","plainCitation":"(Antunes &amp; Barreto, 2022a)","noteIndex":0},"citationItems":[{"id":2851,"uris":["http://zotero.org/users/11513704/items/Z244UZ6K"],"itemData":{"id":2851,"type":"article-journal","abstract":"The long evolution process that education has been through along centuries have always been affected by how society itself has evolved, which is, in turn, influenced by events like the Industrial Revolution, the appearance of Internet or a pandemic such as the COVID-19; the most significant events in the last decades were a succession of technological breakthroughs that transformed our world and our lives, the way we live, work, teach, and learn. In this study, building on existing research and review of literature to reflect on how those significant events transformed societies and economies causing subsequent adaptation in education, we have then questioned which and how lasting were the effects of the COVID-19 pandemic. Literature shows that technology advances have always triggered the need to acquire new skill sets and the pandemic has only accelerated a pathway of change that technology has started, prompting solidarity, collaboration, and new ways of working and learning. Survey results indicate the effects of the pandemic in education are long-lasting and that design education will most likely follow a blended learning model in the future. © 2022, The Author(s), under exclusive license to Springer Nature Switzerland AG.","archive":"Scopus","container-title":"Springer Series in Design and Innovation","DOI":"10.1007/978-3-030-79879-6_11","page":"147-160","source":"Scopus","title":"Design Education: The Impact of the COVID-19 Pandemic","title-short":"Design Education","volume":"16","author":[{"family":"Antunes","given":"S."},{"family":"Barreto","given":"S."}],"issued":{"date-parts":[["2022"]]}}}],"schema":"https://github.com/citation-style-language/schema/raw/master/csl-citation.json"} </w:instrText>
      </w:r>
      <w:r w:rsidR="00E11BCB">
        <w:rPr>
          <w:rFonts w:ascii="Times New Roman" w:eastAsia="Times New Roman" w:hAnsi="Times New Roman" w:cs="Times New Roman"/>
          <w:sz w:val="24"/>
          <w:szCs w:val="24"/>
          <w:lang w:val="es-EC" w:eastAsia="es-EC"/>
        </w:rPr>
        <w:fldChar w:fldCharType="separate"/>
      </w:r>
      <w:r w:rsidR="003824F2" w:rsidRPr="00CD1B10">
        <w:rPr>
          <w:rFonts w:ascii="Times New Roman" w:hAnsi="Times New Roman" w:cs="Times New Roman"/>
          <w:sz w:val="24"/>
        </w:rPr>
        <w:t xml:space="preserve"> (Antunes &amp; Barreto, 2022a)</w:t>
      </w:r>
      <w:r w:rsidR="00E11BCB">
        <w:rPr>
          <w:rFonts w:ascii="Times New Roman" w:eastAsia="Times New Roman" w:hAnsi="Times New Roman" w:cs="Times New Roman"/>
          <w:sz w:val="24"/>
          <w:szCs w:val="24"/>
          <w:lang w:val="es-EC" w:eastAsia="es-EC"/>
        </w:rPr>
        <w:fldChar w:fldCharType="end"/>
      </w:r>
      <w:r w:rsidRPr="00CD1B10">
        <w:rPr>
          <w:rFonts w:ascii="Times New Roman" w:eastAsia="Times New Roman" w:hAnsi="Times New Roman" w:cs="Times New Roman"/>
          <w:sz w:val="24"/>
          <w:szCs w:val="24"/>
          <w:lang w:eastAsia="es-EC"/>
        </w:rPr>
        <w:t xml:space="preserve">. Currently, the Internet is a basic and necessary resource for </w:t>
      </w:r>
      <w:r w:rsidRPr="00CD1B10">
        <w:rPr>
          <w:rFonts w:ascii="Times New Roman" w:eastAsia="Times New Roman" w:hAnsi="Times New Roman" w:cs="Times New Roman"/>
          <w:sz w:val="24"/>
          <w:szCs w:val="24"/>
          <w:lang w:eastAsia="es-EC"/>
        </w:rPr>
        <w:lastRenderedPageBreak/>
        <w:t>human beings, since it allows them to carry out daily activities, including those in the school environment. The benefits of connectivity, social networks</w:t>
      </w:r>
      <w:r w:rsidR="000106DA">
        <w:rPr>
          <w:rFonts w:ascii="Times New Roman" w:eastAsia="Times New Roman" w:hAnsi="Times New Roman" w:cs="Times New Roman"/>
          <w:sz w:val="24"/>
          <w:szCs w:val="24"/>
          <w:lang w:eastAsia="es-EC"/>
        </w:rPr>
        <w:t>,</w:t>
      </w:r>
      <w:r w:rsidRPr="00CD1B10">
        <w:rPr>
          <w:rFonts w:ascii="Times New Roman" w:eastAsia="Times New Roman" w:hAnsi="Times New Roman" w:cs="Times New Roman"/>
          <w:sz w:val="24"/>
          <w:szCs w:val="24"/>
          <w:lang w:eastAsia="es-EC"/>
        </w:rPr>
        <w:t xml:space="preserve"> and digital resources available through the Internet have facilitated real-time communication, as well as access to a large amount of information hosted on different platforms and websites. Being interconnected from anywhere allows expanding knowledge and generating new contributions in the educational field.</w:t>
      </w:r>
    </w:p>
    <w:p w14:paraId="153C7929" w14:textId="5606BCD2" w:rsidR="00904A8C" w:rsidRPr="00CD1B10" w:rsidRDefault="00D46936"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 xml:space="preserve">In the academic context, before the pandemic, the challenges were notorious, the inequality in </w:t>
      </w:r>
      <w:r w:rsidR="002F4410" w:rsidRPr="00CD1B10">
        <w:rPr>
          <w:rFonts w:ascii="Times New Roman" w:eastAsia="Times New Roman" w:hAnsi="Times New Roman" w:cs="Times New Roman"/>
          <w:sz w:val="24"/>
          <w:szCs w:val="24"/>
          <w:lang w:eastAsia="es-EC"/>
        </w:rPr>
        <w:t xml:space="preserve">education, </w:t>
      </w:r>
      <w:r w:rsidR="009454C2" w:rsidRPr="00CD1B10">
        <w:rPr>
          <w:rFonts w:ascii="Times New Roman" w:eastAsia="Times New Roman" w:hAnsi="Times New Roman" w:cs="Times New Roman"/>
          <w:sz w:val="24"/>
          <w:szCs w:val="24"/>
          <w:lang w:eastAsia="es-EC"/>
        </w:rPr>
        <w:t xml:space="preserve">due to the </w:t>
      </w:r>
      <w:r w:rsidR="00904A8C" w:rsidRPr="00CD1B10">
        <w:rPr>
          <w:rFonts w:ascii="Times New Roman" w:eastAsia="Times New Roman" w:hAnsi="Times New Roman" w:cs="Times New Roman"/>
          <w:sz w:val="24"/>
          <w:szCs w:val="24"/>
          <w:lang w:eastAsia="es-EC"/>
        </w:rPr>
        <w:t>pandemic</w:t>
      </w:r>
      <w:r w:rsidR="003824F2">
        <w:rPr>
          <w:rFonts w:ascii="Times New Roman" w:eastAsia="Times New Roman" w:hAnsi="Times New Roman" w:cs="Times New Roman"/>
          <w:sz w:val="24"/>
          <w:szCs w:val="24"/>
          <w:lang w:val="es-EC" w:eastAsia="es-EC"/>
        </w:rPr>
        <w:fldChar w:fldCharType="begin"/>
      </w:r>
      <w:r w:rsidR="003824F2" w:rsidRPr="00CD1B10">
        <w:rPr>
          <w:rFonts w:ascii="Times New Roman" w:eastAsia="Times New Roman" w:hAnsi="Times New Roman" w:cs="Times New Roman"/>
          <w:sz w:val="24"/>
          <w:szCs w:val="24"/>
          <w:lang w:eastAsia="es-EC"/>
        </w:rPr>
        <w:instrText xml:space="preserve"> ADDIN ZOTERO_ITEM CSL_CITATION {"citationID":"4LnnfzrX","properties":{"formattedCitation":"(Antunes &amp; Barreto, 2022b)","plainCitation":"(Antunes &amp; Barreto, 2022b)","noteIndex":0},"citationItems":[{"id":2854,"uris":["http://zotero.org/users/11513704/items/VX2DAX89"],"itemData":{"id":2854,"type":"article-journal","abstract":"The long evolution process that education has been through along centuries have always been affected by how society itself has evolved, which is, in turn, influenced by events like the Industrial Revolution, the appearance of Internet or a pandemic such as the COVID-19; the most significant events in the last decades were a succession of technological breakthroughs that transformed our world and our lives, the way we live, work, teach, and learn. In this study, building on existing research and review of literature to reflect on how those significant events transformed societies and economies causing subsequent adaptation in education, we have then questioned which and how lasting were the effects of the COVID-19 pandemic. Literature shows that technology advances have always triggered the need to acquire new skill sets and the pandemic has only accelerated a pathway of change that technology has started, prompting solidarity, collaboration, and new ways of working and learning. Survey results indicate the effects of the pandemic in education are long-lasting and that design education will most likely follow a blended learning model in the future. © 2022, The Author(s), under exclusive license to Springer Nature Switzerland AG.","archive":"Scopus","container-title":"Springer Series in Design and Innovation","DOI":"10.1007/978-3-030-79879-6_11","page":"147-160","source":"Scopus","title":"Design Education: The Impact of the COVID-19 Pandemic","title-short":"Design Education","volume":"16","author":[{"family":"Antunes","given":"S."},{"family":"Barreto","given":"S."}],"issued":{"date-parts":[["2022"]]}}}],"schema":"https://github.com/citation-style-language/schema/raw/master/csl-citation.json"} </w:instrText>
      </w:r>
      <w:r w:rsidR="003824F2">
        <w:rPr>
          <w:rFonts w:ascii="Times New Roman" w:eastAsia="Times New Roman" w:hAnsi="Times New Roman" w:cs="Times New Roman"/>
          <w:sz w:val="24"/>
          <w:szCs w:val="24"/>
          <w:lang w:val="es-EC" w:eastAsia="es-EC"/>
        </w:rPr>
        <w:fldChar w:fldCharType="separate"/>
      </w:r>
      <w:r w:rsidR="003824F2" w:rsidRPr="00CD1B10">
        <w:rPr>
          <w:rFonts w:ascii="Times New Roman" w:hAnsi="Times New Roman" w:cs="Times New Roman"/>
          <w:sz w:val="24"/>
        </w:rPr>
        <w:t xml:space="preserve"> (Antunes &amp; Barreto, 2022b)</w:t>
      </w:r>
      <w:r w:rsidR="003824F2">
        <w:rPr>
          <w:rFonts w:ascii="Times New Roman" w:eastAsia="Times New Roman" w:hAnsi="Times New Roman" w:cs="Times New Roman"/>
          <w:sz w:val="24"/>
          <w:szCs w:val="24"/>
          <w:lang w:val="es-EC" w:eastAsia="es-EC"/>
        </w:rPr>
        <w:fldChar w:fldCharType="end"/>
      </w:r>
      <w:r w:rsidR="002F4410" w:rsidRPr="00CD1B10">
        <w:rPr>
          <w:rFonts w:ascii="Times New Roman" w:eastAsia="Times New Roman" w:hAnsi="Times New Roman" w:cs="Times New Roman"/>
          <w:sz w:val="24"/>
          <w:szCs w:val="24"/>
          <w:lang w:eastAsia="es-EC"/>
        </w:rPr>
        <w:t xml:space="preserve">, new adjustments </w:t>
      </w:r>
      <w:r w:rsidR="0066613B" w:rsidRPr="00CD1B10">
        <w:rPr>
          <w:rFonts w:ascii="Times New Roman" w:eastAsia="Times New Roman" w:hAnsi="Times New Roman" w:cs="Times New Roman"/>
          <w:sz w:val="24"/>
          <w:szCs w:val="24"/>
          <w:lang w:eastAsia="es-EC"/>
        </w:rPr>
        <w:t xml:space="preserve">were made </w:t>
      </w:r>
      <w:r w:rsidR="009454C2" w:rsidRPr="00CD1B10">
        <w:rPr>
          <w:rFonts w:ascii="Times New Roman" w:eastAsia="Times New Roman" w:hAnsi="Times New Roman" w:cs="Times New Roman"/>
          <w:sz w:val="24"/>
          <w:szCs w:val="24"/>
          <w:lang w:eastAsia="es-EC"/>
        </w:rPr>
        <w:t xml:space="preserve">in the </w:t>
      </w:r>
      <w:r w:rsidR="002F4410" w:rsidRPr="00CD1B10">
        <w:rPr>
          <w:rFonts w:ascii="Times New Roman" w:eastAsia="Times New Roman" w:hAnsi="Times New Roman" w:cs="Times New Roman"/>
          <w:sz w:val="24"/>
          <w:szCs w:val="24"/>
          <w:lang w:eastAsia="es-EC"/>
        </w:rPr>
        <w:t xml:space="preserve">school </w:t>
      </w:r>
      <w:r w:rsidR="00C64007" w:rsidRPr="00CD1B10">
        <w:rPr>
          <w:rFonts w:ascii="Times New Roman" w:eastAsia="Times New Roman" w:hAnsi="Times New Roman" w:cs="Times New Roman"/>
          <w:sz w:val="24"/>
          <w:szCs w:val="24"/>
          <w:lang w:eastAsia="es-EC"/>
        </w:rPr>
        <w:t>curriculum</w:t>
      </w:r>
      <w:r w:rsidR="002F4410" w:rsidRPr="00CD1B10">
        <w:rPr>
          <w:rFonts w:ascii="Times New Roman" w:eastAsia="Times New Roman" w:hAnsi="Times New Roman" w:cs="Times New Roman"/>
          <w:sz w:val="24"/>
          <w:szCs w:val="24"/>
          <w:lang w:eastAsia="es-EC"/>
        </w:rPr>
        <w:t xml:space="preserve">, </w:t>
      </w:r>
      <w:r w:rsidR="00C57C29" w:rsidRPr="00CD1B10">
        <w:rPr>
          <w:rFonts w:ascii="Times New Roman" w:eastAsia="Times New Roman" w:hAnsi="Times New Roman" w:cs="Times New Roman"/>
          <w:sz w:val="24"/>
          <w:szCs w:val="24"/>
          <w:lang w:eastAsia="es-EC"/>
        </w:rPr>
        <w:t>face-to-face classes changed from face-to-face to virtual modality</w:t>
      </w:r>
      <w:r w:rsidR="007664EE">
        <w:rPr>
          <w:rFonts w:ascii="Times New Roman" w:eastAsia="Times New Roman" w:hAnsi="Times New Roman" w:cs="Times New Roman"/>
          <w:sz w:val="24"/>
          <w:szCs w:val="24"/>
          <w:lang w:val="es-EC" w:eastAsia="es-EC"/>
        </w:rPr>
        <w:fldChar w:fldCharType="begin"/>
      </w:r>
      <w:r w:rsidR="007664EE" w:rsidRPr="00CD1B10">
        <w:rPr>
          <w:rFonts w:ascii="Times New Roman" w:eastAsia="Times New Roman" w:hAnsi="Times New Roman" w:cs="Times New Roman"/>
          <w:sz w:val="24"/>
          <w:szCs w:val="24"/>
          <w:lang w:eastAsia="es-EC"/>
        </w:rPr>
        <w:instrText xml:space="preserve"> ADDIN ZOTERO_ITEM CSL_CITATION {"citationID":"YGd0HPPz","properties":{"formattedCitation":"(Stafford et\\uc0\\u160{}al., 2023)","plainCitation":"(Stafford et al., 2023)","noteIndex":0},"citationItems":[{"id":2857,"uris":["http://zotero.org/users/11513704/items/PRRTCEPM"],"itemData":{"id":2857,"type":"article-journal","abstract":"Interior design (ID) pedagogy should include theories and applications, which advance human health and wellness in the built environment. Design for wellness and well-being is referenced in 5 of the 13 Council for Interior Design Accreditation (CIDA) knowledge application standards. This focus on wellness was amplified during the coronavirus disease 2019 (COVID-19) pandemic experience, which elevated our collective understanding of contagions, disease transmission, sanitation practices, vaccination efficacy, and immunity, as well as the devastating turmoil—social, economic, and psychological—of the pandemic’s tragic spread. Thus, the purpose of this study was to examine ID educators’ attitudes, intentions, and behaviors related to teaching wellness and to determine if the pandemic impacted wellness pedagogy. For this mixed methods study, we employed an online survey (n = 86) followed by participant interviews (n = 11). Data from the questionnaire and interviews suggested that peer attitudes toward wellness were a significant factor that influenced teaching behavior. Teaching intentions were predicted by prior teaching, attitudes, and perceived behavioral control (ability to teach wellness). Although experience with the pandemic was not a predictor of teaching behavior, it did surface as a strong motivator for future teaching adjustments. Findings also showed wide-ranging understandings and definitions of wellness-related themes. Implications for design programs seeking to equip faculty with the tools needed to integrate wellness more deeply into ID curricula are discussed. © 2023 SAGE Publications.","archive":"Scopus","container-title":"Journal of Interior Design","DOI":"10.1177/10717641231168593","issue":"2","page":"119-138","source":"Scopus","title":"Feeling WELL: COVID-19 and the Adoption of Wellness Themes in Interior Design Curricula","title-short":"Feeling WELL","volume":"48","author":[{"family":"Stafford","given":"G.E."},{"family":"Carlile Carter","given":"H."},{"family":"Cole","given":"L.B."},{"family":"Loraas","given":"D.M."},{"family":"Gulwadi","given":"G.B."}],"issued":{"date-parts":[["2023"]]}}}],"schema":"https://github.com/citation-style-language/schema/raw/master/csl-citation.json"} </w:instrText>
      </w:r>
      <w:r w:rsidR="007664EE">
        <w:rPr>
          <w:rFonts w:ascii="Times New Roman" w:eastAsia="Times New Roman" w:hAnsi="Times New Roman" w:cs="Times New Roman"/>
          <w:sz w:val="24"/>
          <w:szCs w:val="24"/>
          <w:lang w:val="es-EC" w:eastAsia="es-EC"/>
        </w:rPr>
        <w:fldChar w:fldCharType="separate"/>
      </w:r>
      <w:r w:rsidR="007664EE" w:rsidRPr="00CD1B10">
        <w:rPr>
          <w:rFonts w:ascii="Times New Roman" w:hAnsi="Times New Roman" w:cs="Times New Roman"/>
          <w:sz w:val="24"/>
          <w:szCs w:val="24"/>
        </w:rPr>
        <w:t xml:space="preserve"> (Stafford et al., 2023)</w:t>
      </w:r>
      <w:r w:rsidR="007664EE">
        <w:rPr>
          <w:rFonts w:ascii="Times New Roman" w:eastAsia="Times New Roman" w:hAnsi="Times New Roman" w:cs="Times New Roman"/>
          <w:sz w:val="24"/>
          <w:szCs w:val="24"/>
          <w:lang w:val="es-EC" w:eastAsia="es-EC"/>
        </w:rPr>
        <w:fldChar w:fldCharType="end"/>
      </w:r>
      <w:r w:rsidR="00C57C29" w:rsidRPr="00CD1B10">
        <w:rPr>
          <w:rFonts w:ascii="Times New Roman" w:eastAsia="Times New Roman" w:hAnsi="Times New Roman" w:cs="Times New Roman"/>
          <w:sz w:val="24"/>
          <w:szCs w:val="24"/>
          <w:lang w:eastAsia="es-EC"/>
        </w:rPr>
        <w:t xml:space="preserve">, which for the entire educational community was a change in the teaching structure. </w:t>
      </w:r>
      <w:r w:rsidR="009454C2" w:rsidRPr="00CD1B10">
        <w:rPr>
          <w:rFonts w:ascii="Times New Roman" w:eastAsia="Times New Roman" w:hAnsi="Times New Roman" w:cs="Times New Roman"/>
          <w:sz w:val="24"/>
          <w:szCs w:val="24"/>
          <w:lang w:eastAsia="es-EC"/>
        </w:rPr>
        <w:t xml:space="preserve">To adapt </w:t>
      </w:r>
      <w:r w:rsidR="00904A8C" w:rsidRPr="00CD1B10">
        <w:rPr>
          <w:rFonts w:ascii="Times New Roman" w:eastAsia="Times New Roman" w:hAnsi="Times New Roman" w:cs="Times New Roman"/>
          <w:sz w:val="24"/>
          <w:szCs w:val="24"/>
          <w:lang w:eastAsia="es-EC"/>
        </w:rPr>
        <w:t>to the new reality was a difficult and stressful process</w:t>
      </w:r>
      <w:r w:rsidR="00FF6538">
        <w:rPr>
          <w:rFonts w:ascii="Times New Roman" w:eastAsia="Times New Roman" w:hAnsi="Times New Roman" w:cs="Times New Roman"/>
          <w:sz w:val="24"/>
          <w:szCs w:val="24"/>
          <w:lang w:val="es-EC" w:eastAsia="es-EC"/>
        </w:rPr>
        <w:fldChar w:fldCharType="begin"/>
      </w:r>
      <w:r w:rsidR="00FF6538" w:rsidRPr="00CD1B10">
        <w:rPr>
          <w:rFonts w:ascii="Times New Roman" w:eastAsia="Times New Roman" w:hAnsi="Times New Roman" w:cs="Times New Roman"/>
          <w:sz w:val="24"/>
          <w:szCs w:val="24"/>
          <w:lang w:eastAsia="es-EC"/>
        </w:rPr>
        <w:instrText xml:space="preserve"> ADDIN ZOTERO_ITEM CSL_CITATION {"citationID":"Racyh61z","properties":{"formattedCitation":"(Ugochukwu Okwudili Matthew et\\uc0\\u160{}al., 2022)","plainCitation":"(Ugochukwu Okwudili Matthew et al., 2022)","noteIndex":0},"citationItems":[{"id":2866,"uris":["http://zotero.org/users/11513704/items/64KM5G26"],"itemData":{"id":2866,"type":"article-journal","abstract":"Following the COVID-19 pandemic outbreak, many institutions immediately adapted multimedia electronic learning technologies, to provide enablement of electronic learning system, shifting from in-person classroom attendance to online synchronous and asynchronous transmissions. In the current paper, the goal of multimedia electronic learning system is reviewed through the combination of various pedagogical media tools that enabled wide range of curricula presentation. This study has considered four hundred postgraduate scholars from the faculty of computer science and information technology that adopted multimedia electronic learning systems to guarantee that the scheduled graduation date was not surpassed on the account of the institution lockdown. In this paper, the integrated system of creating personalized and self-directed learning through multimedia pedagogical methodology has been highlighted. The study sought to draw attention to the importance of creating an immersive and interactive learning environment using AI-mediated innovation, which provide students with the increased skills required to become cognizant and reflective digital natives. The paper has portrayed that an increased level of electronic engagement via interactive media tools, link to the requirements for the innovative educational transformation which demand an execution of educational curriculum. The educational goals and needs are first defined, and then the most effective learning environment for students has been designed.","container-title":"Journal of Trends in Computer Science and Smart Technology","DOI":"10.36548/jtcsst.2022.4.002","ISSN":"2582-4104","issue":"4","journalAbbreviation":"JTCSST","language":"en","page":"226-245","source":"DOI.org (Crossref)","title":"Educational Technology Adaptation &amp; Implication for Media Technology Adoption in the Period of COVID-19","volume":"4","author":[{"literal":"Ugochukwu Okwudili Matthew"},{"literal":"Ado Saleh Kazaure"},{"literal":"Jazuli Sanusi Kazaure"},{"literal":"Ibrahim Muhammad Hassan"},{"literal":"Andrew Chinonso Nwanakwaugwu"},{"literal":"Nwamaka U. Okafor"}],"issued":{"date-parts":[["2022",11,2]]}}}],"schema":"https://github.com/citation-style-language/schema/raw/master/csl-citation.json"} </w:instrText>
      </w:r>
      <w:r w:rsidR="00FF6538">
        <w:rPr>
          <w:rFonts w:ascii="Times New Roman" w:eastAsia="Times New Roman" w:hAnsi="Times New Roman" w:cs="Times New Roman"/>
          <w:sz w:val="24"/>
          <w:szCs w:val="24"/>
          <w:lang w:val="es-EC" w:eastAsia="es-EC"/>
        </w:rPr>
        <w:fldChar w:fldCharType="separate"/>
      </w:r>
      <w:r w:rsidR="00FF6538" w:rsidRPr="00CD1B10">
        <w:rPr>
          <w:rFonts w:ascii="Times New Roman" w:hAnsi="Times New Roman" w:cs="Times New Roman"/>
          <w:sz w:val="24"/>
          <w:szCs w:val="24"/>
        </w:rPr>
        <w:t xml:space="preserve"> (Ugochukwu Okwudili Matthew et al., 2022)</w:t>
      </w:r>
      <w:r w:rsidR="00FF6538">
        <w:rPr>
          <w:rFonts w:ascii="Times New Roman" w:eastAsia="Times New Roman" w:hAnsi="Times New Roman" w:cs="Times New Roman"/>
          <w:sz w:val="24"/>
          <w:szCs w:val="24"/>
          <w:lang w:val="es-EC" w:eastAsia="es-EC"/>
        </w:rPr>
        <w:fldChar w:fldCharType="end"/>
      </w:r>
      <w:r w:rsidR="000106DA">
        <w:rPr>
          <w:rFonts w:ascii="Times New Roman" w:eastAsia="Times New Roman" w:hAnsi="Times New Roman" w:cs="Times New Roman"/>
          <w:sz w:val="24"/>
          <w:szCs w:val="24"/>
          <w:lang w:eastAsia="es-EC"/>
        </w:rPr>
        <w:t>.</w:t>
      </w:r>
      <w:r w:rsidR="002F4410" w:rsidRPr="00CD1B10">
        <w:rPr>
          <w:rFonts w:ascii="Times New Roman" w:eastAsia="Times New Roman" w:hAnsi="Times New Roman" w:cs="Times New Roman"/>
          <w:sz w:val="24"/>
          <w:szCs w:val="24"/>
          <w:lang w:eastAsia="es-EC"/>
        </w:rPr>
        <w:t xml:space="preserve"> </w:t>
      </w:r>
      <w:r w:rsidR="000106DA">
        <w:rPr>
          <w:rFonts w:ascii="Times New Roman" w:eastAsia="Times New Roman" w:hAnsi="Times New Roman" w:cs="Times New Roman"/>
          <w:sz w:val="24"/>
          <w:szCs w:val="24"/>
          <w:lang w:eastAsia="es-EC"/>
        </w:rPr>
        <w:t>Adjustments</w:t>
      </w:r>
      <w:r w:rsidR="002F4410" w:rsidRPr="00CD1B10">
        <w:rPr>
          <w:rFonts w:ascii="Times New Roman" w:eastAsia="Times New Roman" w:hAnsi="Times New Roman" w:cs="Times New Roman"/>
          <w:sz w:val="24"/>
          <w:szCs w:val="24"/>
          <w:lang w:eastAsia="es-EC"/>
        </w:rPr>
        <w:t xml:space="preserve"> were made </w:t>
      </w:r>
      <w:r w:rsidR="00F96865" w:rsidRPr="00CD1B10">
        <w:rPr>
          <w:rFonts w:ascii="Times New Roman" w:eastAsia="Times New Roman" w:hAnsi="Times New Roman" w:cs="Times New Roman"/>
          <w:sz w:val="24"/>
          <w:szCs w:val="24"/>
          <w:lang w:eastAsia="es-EC"/>
        </w:rPr>
        <w:t xml:space="preserve">that </w:t>
      </w:r>
      <w:r w:rsidR="009A51BB" w:rsidRPr="00CD1B10">
        <w:rPr>
          <w:rFonts w:ascii="Times New Roman" w:eastAsia="Times New Roman" w:hAnsi="Times New Roman" w:cs="Times New Roman"/>
          <w:sz w:val="24"/>
          <w:szCs w:val="24"/>
          <w:lang w:eastAsia="es-EC"/>
        </w:rPr>
        <w:t xml:space="preserve">were relevant due to the </w:t>
      </w:r>
      <w:r w:rsidR="00383C24" w:rsidRPr="00CD1B10">
        <w:rPr>
          <w:rFonts w:ascii="Times New Roman" w:eastAsia="Times New Roman" w:hAnsi="Times New Roman" w:cs="Times New Roman"/>
          <w:sz w:val="24"/>
          <w:szCs w:val="24"/>
          <w:lang w:eastAsia="es-EC"/>
        </w:rPr>
        <w:t>health situation that was being experienced at that time</w:t>
      </w:r>
      <w:r w:rsidR="002F4410" w:rsidRPr="00CD1B10">
        <w:rPr>
          <w:rFonts w:ascii="Times New Roman" w:eastAsia="Times New Roman" w:hAnsi="Times New Roman" w:cs="Times New Roman"/>
          <w:sz w:val="24"/>
          <w:szCs w:val="24"/>
          <w:lang w:eastAsia="es-EC"/>
        </w:rPr>
        <w:t xml:space="preserve">. </w:t>
      </w:r>
      <w:r w:rsidR="00A552EE" w:rsidRPr="00CD1B10">
        <w:rPr>
          <w:rFonts w:ascii="Times New Roman" w:eastAsia="Times New Roman" w:hAnsi="Times New Roman" w:cs="Times New Roman"/>
          <w:sz w:val="24"/>
          <w:szCs w:val="24"/>
          <w:lang w:eastAsia="es-EC"/>
        </w:rPr>
        <w:t xml:space="preserve">The use of </w:t>
      </w:r>
      <w:r w:rsidR="004672AF" w:rsidRPr="00CD1B10">
        <w:rPr>
          <w:rFonts w:ascii="Times New Roman" w:eastAsia="Times New Roman" w:hAnsi="Times New Roman" w:cs="Times New Roman"/>
          <w:sz w:val="24"/>
          <w:szCs w:val="24"/>
          <w:lang w:eastAsia="es-EC"/>
        </w:rPr>
        <w:t>digital communication tools</w:t>
      </w:r>
      <w:r w:rsidR="000106DA">
        <w:rPr>
          <w:rFonts w:ascii="Times New Roman" w:eastAsia="Times New Roman" w:hAnsi="Times New Roman" w:cs="Times New Roman"/>
          <w:sz w:val="24"/>
          <w:szCs w:val="24"/>
          <w:lang w:eastAsia="es-EC"/>
        </w:rPr>
        <w:t>,</w:t>
      </w:r>
      <w:r w:rsidR="004672AF" w:rsidRPr="00CD1B10">
        <w:rPr>
          <w:rFonts w:ascii="Times New Roman" w:eastAsia="Times New Roman" w:hAnsi="Times New Roman" w:cs="Times New Roman"/>
          <w:sz w:val="24"/>
          <w:szCs w:val="24"/>
          <w:lang w:eastAsia="es-EC"/>
        </w:rPr>
        <w:t xml:space="preserve"> </w:t>
      </w:r>
      <w:r w:rsidR="00A552EE" w:rsidRPr="00CD1B10">
        <w:rPr>
          <w:rFonts w:ascii="Times New Roman" w:eastAsia="Times New Roman" w:hAnsi="Times New Roman" w:cs="Times New Roman"/>
          <w:sz w:val="24"/>
          <w:szCs w:val="24"/>
          <w:lang w:eastAsia="es-EC"/>
        </w:rPr>
        <w:t>was implemented</w:t>
      </w:r>
      <w:r w:rsidR="004672AF" w:rsidRPr="00CD1B10">
        <w:rPr>
          <w:rFonts w:ascii="Times New Roman" w:eastAsia="Times New Roman" w:hAnsi="Times New Roman" w:cs="Times New Roman"/>
          <w:sz w:val="24"/>
          <w:szCs w:val="24"/>
          <w:lang w:eastAsia="es-EC"/>
        </w:rPr>
        <w:t xml:space="preserve"> </w:t>
      </w:r>
      <w:r w:rsidR="000106DA">
        <w:rPr>
          <w:rFonts w:ascii="Times New Roman" w:eastAsia="Times New Roman" w:hAnsi="Times New Roman" w:cs="Times New Roman"/>
          <w:sz w:val="24"/>
          <w:szCs w:val="24"/>
          <w:lang w:eastAsia="es-EC"/>
        </w:rPr>
        <w:t>Zoom</w:t>
      </w:r>
      <w:r w:rsidR="004672AF" w:rsidRPr="00CD1B10">
        <w:rPr>
          <w:rFonts w:ascii="Times New Roman" w:eastAsia="Times New Roman" w:hAnsi="Times New Roman" w:cs="Times New Roman"/>
          <w:sz w:val="24"/>
          <w:szCs w:val="24"/>
          <w:lang w:eastAsia="es-EC"/>
        </w:rPr>
        <w:t xml:space="preserve">, </w:t>
      </w:r>
      <w:r w:rsidR="000106DA">
        <w:rPr>
          <w:rFonts w:ascii="Times New Roman" w:eastAsia="Times New Roman" w:hAnsi="Times New Roman" w:cs="Times New Roman"/>
          <w:sz w:val="24"/>
          <w:szCs w:val="24"/>
          <w:lang w:eastAsia="es-EC"/>
        </w:rPr>
        <w:t>Google Meet</w:t>
      </w:r>
      <w:r w:rsidR="004672AF" w:rsidRPr="00CD1B10">
        <w:rPr>
          <w:rFonts w:ascii="Times New Roman" w:eastAsia="Times New Roman" w:hAnsi="Times New Roman" w:cs="Times New Roman"/>
          <w:sz w:val="24"/>
          <w:szCs w:val="24"/>
          <w:lang w:eastAsia="es-EC"/>
        </w:rPr>
        <w:t xml:space="preserve">, </w:t>
      </w:r>
      <w:r w:rsidR="000106DA">
        <w:rPr>
          <w:rFonts w:ascii="Times New Roman" w:eastAsia="Times New Roman" w:hAnsi="Times New Roman" w:cs="Times New Roman"/>
          <w:sz w:val="24"/>
          <w:szCs w:val="24"/>
          <w:lang w:eastAsia="es-EC"/>
        </w:rPr>
        <w:t>and C</w:t>
      </w:r>
      <w:r w:rsidR="004672AF" w:rsidRPr="00CD1B10">
        <w:rPr>
          <w:rFonts w:ascii="Times New Roman" w:eastAsia="Times New Roman" w:hAnsi="Times New Roman" w:cs="Times New Roman"/>
          <w:sz w:val="24"/>
          <w:szCs w:val="24"/>
          <w:lang w:eastAsia="es-EC"/>
        </w:rPr>
        <w:t>lassroom, has allowed students to continue with the course of their studies at different educational levels</w:t>
      </w:r>
      <w:r w:rsidR="00A67167">
        <w:rPr>
          <w:rFonts w:ascii="Times New Roman" w:eastAsia="Times New Roman" w:hAnsi="Times New Roman" w:cs="Times New Roman"/>
          <w:sz w:val="24"/>
          <w:szCs w:val="24"/>
          <w:lang w:val="es-EC" w:eastAsia="es-EC"/>
        </w:rPr>
        <w:fldChar w:fldCharType="begin"/>
      </w:r>
      <w:r w:rsidR="00A67167" w:rsidRPr="00CD1B10">
        <w:rPr>
          <w:rFonts w:ascii="Times New Roman" w:eastAsia="Times New Roman" w:hAnsi="Times New Roman" w:cs="Times New Roman"/>
          <w:sz w:val="24"/>
          <w:szCs w:val="24"/>
          <w:lang w:eastAsia="es-EC"/>
        </w:rPr>
        <w:instrText xml:space="preserve"> ADDIN ZOTERO_ITEM CSL_CITATION {"citationID":"Kj4FGFNh","properties":{"formattedCitation":"(Sadia et\\uc0\\u160{}al., 2023)","plainCitation":"(Sadia et al., 2023)","noteIndex":0},"citationItems":[{"id":2860,"uris":["http://zotero.org/users/11513704/items/EGRCD3RC"],"itemData":{"id":2860,"type":"article-journal","abstract":"The education sector without information technology is like a man with no eyes. It plays a vital role in the development of the education sector. This study examines how the covid 19 has positively expanded information technology in the education sector, especially in higher education institutes, and the primary usage of information technology in the higher education institutes. A qualitative based on conceptual analysis was used to address the said issue based on the secondary data in the literature. This study found that due to the emergence of the covid 19, information technology usage in higher education institutes has increased rapidly. There are three main domains for higher education institutes to use information technology: teacher-to-student real-time interaction for the classes, teacher-to-student transfer of educational materials, and students-to-administration contacts.","container-title":"Journal of Development and Social Sciences","DOI":"10.47205/jdss.2023(4-II)44","ISSN":"2709-6262","issue":"2","language":"en","license":"Copyright (c) 2023 Journal of Development and Social Sciences","note":"number: 2","page":"496-503","source":"ojs.jdss.org.pk","title":"Covid-19 is A Catalyst for the Emergence of Information Technology in Education Institutes","volume":"4","author":[{"family":"Sadia","given":""},{"family":"Kashif","given":"Muhammad"},{"family":"Shujjaudin","given":"Muhammad"}],"issued":{"date-parts":[["2023",4,13]]}}}],"schema":"https://github.com/citation-style-language/schema/raw/master/csl-citation.json"} </w:instrText>
      </w:r>
      <w:r w:rsidR="00A67167">
        <w:rPr>
          <w:rFonts w:ascii="Times New Roman" w:eastAsia="Times New Roman" w:hAnsi="Times New Roman" w:cs="Times New Roman"/>
          <w:sz w:val="24"/>
          <w:szCs w:val="24"/>
          <w:lang w:val="es-EC" w:eastAsia="es-EC"/>
        </w:rPr>
        <w:fldChar w:fldCharType="separate"/>
      </w:r>
      <w:r w:rsidR="00A67167" w:rsidRPr="00CD1B10">
        <w:rPr>
          <w:rFonts w:ascii="Times New Roman" w:hAnsi="Times New Roman" w:cs="Times New Roman"/>
          <w:sz w:val="24"/>
          <w:szCs w:val="24"/>
        </w:rPr>
        <w:t xml:space="preserve"> (Sadia et al., 2023)</w:t>
      </w:r>
      <w:r w:rsidR="00A67167">
        <w:rPr>
          <w:rFonts w:ascii="Times New Roman" w:eastAsia="Times New Roman" w:hAnsi="Times New Roman" w:cs="Times New Roman"/>
          <w:sz w:val="24"/>
          <w:szCs w:val="24"/>
          <w:lang w:val="es-EC" w:eastAsia="es-EC"/>
        </w:rPr>
        <w:fldChar w:fldCharType="end"/>
      </w:r>
      <w:r w:rsidR="00904A8C" w:rsidRPr="00CD1B10">
        <w:rPr>
          <w:rFonts w:ascii="Times New Roman" w:eastAsia="Times New Roman" w:hAnsi="Times New Roman" w:cs="Times New Roman"/>
          <w:sz w:val="24"/>
          <w:szCs w:val="24"/>
          <w:lang w:eastAsia="es-EC"/>
        </w:rPr>
        <w:t xml:space="preserve">. Although the use of </w:t>
      </w:r>
      <w:r w:rsidR="005F50B4" w:rsidRPr="00CD1B10">
        <w:rPr>
          <w:rFonts w:ascii="Times New Roman" w:eastAsia="Times New Roman" w:hAnsi="Times New Roman" w:cs="Times New Roman"/>
          <w:sz w:val="24"/>
          <w:szCs w:val="24"/>
          <w:lang w:eastAsia="es-EC"/>
        </w:rPr>
        <w:t xml:space="preserve">technology is </w:t>
      </w:r>
      <w:r w:rsidR="00904A8C" w:rsidRPr="00CD1B10">
        <w:rPr>
          <w:rFonts w:ascii="Times New Roman" w:eastAsia="Times New Roman" w:hAnsi="Times New Roman" w:cs="Times New Roman"/>
          <w:sz w:val="24"/>
          <w:szCs w:val="24"/>
          <w:lang w:eastAsia="es-EC"/>
        </w:rPr>
        <w:t xml:space="preserve">part of society, its application in education </w:t>
      </w:r>
      <w:r w:rsidR="000106DA">
        <w:rPr>
          <w:rFonts w:ascii="Times New Roman" w:eastAsia="Times New Roman" w:hAnsi="Times New Roman" w:cs="Times New Roman"/>
          <w:sz w:val="24"/>
          <w:szCs w:val="24"/>
          <w:lang w:eastAsia="es-EC"/>
        </w:rPr>
        <w:t>represents</w:t>
      </w:r>
      <w:r w:rsidR="00904A8C" w:rsidRPr="00CD1B10">
        <w:rPr>
          <w:rFonts w:ascii="Times New Roman" w:eastAsia="Times New Roman" w:hAnsi="Times New Roman" w:cs="Times New Roman"/>
          <w:sz w:val="24"/>
          <w:szCs w:val="24"/>
          <w:lang w:eastAsia="es-EC"/>
        </w:rPr>
        <w:t xml:space="preserve"> a challenge for the academic community, including teachers and </w:t>
      </w:r>
      <w:r w:rsidR="00D22463" w:rsidRPr="00CD1B10">
        <w:rPr>
          <w:rFonts w:ascii="Times New Roman" w:eastAsia="Times New Roman" w:hAnsi="Times New Roman" w:cs="Times New Roman"/>
          <w:sz w:val="24"/>
          <w:szCs w:val="24"/>
          <w:lang w:eastAsia="es-EC"/>
        </w:rPr>
        <w:t xml:space="preserve">especially for parents and </w:t>
      </w:r>
      <w:r w:rsidR="00904A8C" w:rsidRPr="00CD1B10">
        <w:rPr>
          <w:rFonts w:ascii="Times New Roman" w:eastAsia="Times New Roman" w:hAnsi="Times New Roman" w:cs="Times New Roman"/>
          <w:sz w:val="24"/>
          <w:szCs w:val="24"/>
          <w:lang w:eastAsia="es-EC"/>
        </w:rPr>
        <w:t xml:space="preserve">students. </w:t>
      </w:r>
    </w:p>
    <w:p w14:paraId="2A7DDDB6" w14:textId="7C0C1757" w:rsidR="00164F72" w:rsidRPr="00CD1B10" w:rsidRDefault="00837547"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 xml:space="preserve">In particular, parents faced </w:t>
      </w:r>
      <w:r w:rsidR="00FE3BD5" w:rsidRPr="00CD1B10">
        <w:rPr>
          <w:rFonts w:ascii="Times New Roman" w:eastAsia="Times New Roman" w:hAnsi="Times New Roman" w:cs="Times New Roman"/>
          <w:sz w:val="24"/>
          <w:szCs w:val="24"/>
          <w:lang w:eastAsia="es-EC"/>
        </w:rPr>
        <w:t xml:space="preserve">different </w:t>
      </w:r>
      <w:r w:rsidR="00475244" w:rsidRPr="00CD1B10">
        <w:rPr>
          <w:rFonts w:ascii="Times New Roman" w:eastAsia="Times New Roman" w:hAnsi="Times New Roman" w:cs="Times New Roman"/>
          <w:sz w:val="24"/>
          <w:szCs w:val="24"/>
          <w:lang w:eastAsia="es-EC"/>
        </w:rPr>
        <w:t xml:space="preserve">realities </w:t>
      </w:r>
      <w:r w:rsidR="00FE3BD5" w:rsidRPr="00CD1B10">
        <w:rPr>
          <w:rFonts w:ascii="Times New Roman" w:eastAsia="Times New Roman" w:hAnsi="Times New Roman" w:cs="Times New Roman"/>
          <w:sz w:val="24"/>
          <w:szCs w:val="24"/>
          <w:lang w:eastAsia="es-EC"/>
        </w:rPr>
        <w:t xml:space="preserve">and </w:t>
      </w:r>
      <w:r w:rsidRPr="00CD1B10">
        <w:rPr>
          <w:rFonts w:ascii="Times New Roman" w:eastAsia="Times New Roman" w:hAnsi="Times New Roman" w:cs="Times New Roman"/>
          <w:sz w:val="24"/>
          <w:szCs w:val="24"/>
          <w:lang w:eastAsia="es-EC"/>
        </w:rPr>
        <w:t xml:space="preserve">difficulties in handling these </w:t>
      </w:r>
      <w:r w:rsidR="00475244" w:rsidRPr="00CD1B10">
        <w:rPr>
          <w:rFonts w:ascii="Times New Roman" w:eastAsia="Times New Roman" w:hAnsi="Times New Roman" w:cs="Times New Roman"/>
          <w:sz w:val="24"/>
          <w:szCs w:val="24"/>
          <w:lang w:eastAsia="es-EC"/>
        </w:rPr>
        <w:t xml:space="preserve">new </w:t>
      </w:r>
      <w:r w:rsidRPr="00CD1B10">
        <w:rPr>
          <w:rFonts w:ascii="Times New Roman" w:eastAsia="Times New Roman" w:hAnsi="Times New Roman" w:cs="Times New Roman"/>
          <w:sz w:val="24"/>
          <w:szCs w:val="24"/>
          <w:lang w:eastAsia="es-EC"/>
        </w:rPr>
        <w:t>digital tools in order to support their children and accompany them in the learning process from home</w:t>
      </w:r>
      <w:r w:rsidR="000046AD">
        <w:rPr>
          <w:rFonts w:ascii="Times New Roman" w:eastAsia="Times New Roman" w:hAnsi="Times New Roman" w:cs="Times New Roman"/>
          <w:sz w:val="24"/>
          <w:szCs w:val="24"/>
          <w:lang w:val="es-EC" w:eastAsia="es-EC"/>
        </w:rPr>
        <w:fldChar w:fldCharType="begin"/>
      </w:r>
      <w:r w:rsidR="00635134" w:rsidRPr="00CD1B10">
        <w:rPr>
          <w:rFonts w:ascii="Times New Roman" w:eastAsia="Times New Roman" w:hAnsi="Times New Roman" w:cs="Times New Roman"/>
          <w:sz w:val="24"/>
          <w:szCs w:val="24"/>
          <w:lang w:eastAsia="es-EC"/>
        </w:rPr>
        <w:instrText xml:space="preserve"> ADDIN ZOTERO_ITEM CSL_CITATION {"citationID":"gA5XTI29","properties":{"formattedCitation":"(Passey, 2024; Struyf et\\uc0\\u160{}al., 2022)","plainCitation":"(Passey, 2024; Struyf et al., 2022)","noteIndex":0},"citationItems":[{"id":2868,"uris":["http://zotero.org/users/11513704/items/3U6CW8IK"],"itemData":{"id":2868,"type":"article-journal","abstract":"Parents and guardians were supporting their children’s learning prior to Covid-19, but evidence has indicated that many were not prepared for what happened and what was required of them during the Covid-19 period. Uses of digital technologies to ensure continuity of learning was frequently and rapidly used and developed, and pertinent literature often indicated the challenges that parents and guardians found in supporting their children through uses of these media. In moving from the previous practices to those needed in the Covid-19 pandemic time, this paper asks why parents and guardians were not prepared: what features were missing, and how might parents and guardians be better supported during periods of future crisis?. © 2024 Information Processing Society of Japan.","archive":"Scopus","container-title":"Journal of Information Processing","DOI":"10.2197/ipsjjip.32.53","page":"53-61","source":"Scopus","title":"Lessons from Learner Home Engagement Prior to and during Covid-19: Are Parents and Guardians Prepared for Future Crises?","title-short":"Lessons from Learner Home Engagement Prior to and during Covid-19","volume":"32","author":[{"family":"Passey","given":"D."}],"issued":{"date-parts":[["2024"]]}},"label":"page"},{"id":2845,"uris":["http://zotero.org/users/11513704/items/4FRSEATJ"],"itemData":{"id":2845,"type":"article-journal","abstract":"This study investigated how Dutch secondary schools have shown resilience during the COVID- 19 pandemic, by safeguarding and shaping school-family partnerships with parents of students who were at risk of educational disadvantage. We focused on three mechanisms of resilience (e.g., cognitive responding, behavioural responding, contextual reinforcement) and three dimensions of schoolfamily partnerships (e.g., basic condition for learning, communication, home involvement). We applied a multiple case study design and collected data through group interviews with school board members, teachers, students, and parents in five schools. The results showed that schools responded resiliently in shaping basic conditions for learning and communication with parents of disadvantaged students in particular. However, it was difficult for schools to encourage parents of disadvantaged students to support their children in learning at home. Further, a strong cognitive response and a strong internal or external network of the school were important preconditions for shaping educational partnership with parents of disadvantaged students. © 2022 Vereniging voor Onderwijsresearch (VOR). All rights reserved.","archive":"Scopus","container-title":"Pedagogische Studien","issue":"3","page":"278-303","source":"Scopus","title":"Exploring resilience: How five secondary schools resiliently shaped school-family partnerships with parents of disadvantaged students during the COVID-19 pandemic","title-short":"Veerkracht verkennen: Hoe vijf vmbo-scholen veerkrachtig reageren bij het realiseren van educatief partnerschap met ouders van risicoleerlingen tijdens de COVID-19-crisis","volume":"99","author":[{"family":"Struyf","given":"A."},{"family":"Zanden","given":"P.","non-dropping-particle":"van der"},{"family":"Cornelissen","given":"F."},{"family":"Geijsel","given":"F."},{"family":"Schreurs","given":"B."},{"family":"Volman","given":"M."},{"family":"Denessen","given":"E."},{"family":"Sleegers","given":"P."}],"issued":{"date-parts":[["2022"]]}},"label":"page"}],"schema":"https://github.com/citation-style-language/schema/raw/master/csl-citation.json"} </w:instrText>
      </w:r>
      <w:r w:rsidR="000046AD">
        <w:rPr>
          <w:rFonts w:ascii="Times New Roman" w:eastAsia="Times New Roman" w:hAnsi="Times New Roman" w:cs="Times New Roman"/>
          <w:sz w:val="24"/>
          <w:szCs w:val="24"/>
          <w:lang w:val="es-EC" w:eastAsia="es-EC"/>
        </w:rPr>
        <w:fldChar w:fldCharType="separate"/>
      </w:r>
      <w:r w:rsidR="00635134" w:rsidRPr="00CD1B10">
        <w:rPr>
          <w:rFonts w:ascii="Times New Roman" w:hAnsi="Times New Roman" w:cs="Times New Roman"/>
          <w:sz w:val="24"/>
          <w:szCs w:val="24"/>
        </w:rPr>
        <w:t xml:space="preserve"> (Passey, 2024;  Struyf et al., 2022)</w:t>
      </w:r>
      <w:r w:rsidR="000046AD">
        <w:rPr>
          <w:rFonts w:ascii="Times New Roman" w:eastAsia="Times New Roman" w:hAnsi="Times New Roman" w:cs="Times New Roman"/>
          <w:sz w:val="24"/>
          <w:szCs w:val="24"/>
          <w:lang w:val="es-EC" w:eastAsia="es-EC"/>
        </w:rPr>
        <w:fldChar w:fldCharType="end"/>
      </w:r>
      <w:r w:rsidR="004C5055" w:rsidRPr="00CD1B10">
        <w:rPr>
          <w:rFonts w:ascii="Times New Roman" w:eastAsia="Times New Roman" w:hAnsi="Times New Roman" w:cs="Times New Roman"/>
          <w:sz w:val="24"/>
          <w:szCs w:val="24"/>
          <w:lang w:eastAsia="es-EC"/>
        </w:rPr>
        <w:t>. In addition to technological difficulties, the pandemic caused a series of discomforts within the family environment that affected the dynamics among its members, especially in relation to the educational environment</w:t>
      </w:r>
      <w:r w:rsidR="000A523B">
        <w:rPr>
          <w:rFonts w:ascii="Times New Roman" w:eastAsia="Times New Roman" w:hAnsi="Times New Roman" w:cs="Times New Roman"/>
          <w:sz w:val="24"/>
          <w:szCs w:val="24"/>
          <w:lang w:val="es-EC" w:eastAsia="es-EC"/>
        </w:rPr>
        <w:fldChar w:fldCharType="begin"/>
      </w:r>
      <w:r w:rsidR="000A523B" w:rsidRPr="00CD1B10">
        <w:rPr>
          <w:rFonts w:ascii="Times New Roman" w:eastAsia="Times New Roman" w:hAnsi="Times New Roman" w:cs="Times New Roman"/>
          <w:sz w:val="24"/>
          <w:szCs w:val="24"/>
          <w:lang w:eastAsia="es-EC"/>
        </w:rPr>
        <w:instrText xml:space="preserve"> ADDIN ZOTERO_ITEM CSL_CITATION {"citationID":"BlzOyJr7","properties":{"formattedCitation":"(Ogwu et\\uc0\\u160{}al., 2023)","plainCitation":"(Ogwu et al., 2023)","noteIndex":0},"citationItems":[{"id":2865,"uris":["http://zotero.org/users/11513704/items/4UEWJUWI"],"itemData":{"id":2865,"type":"article-journal","abstract":"Educational technology is a discipline that has a lot of roles to play in the global education system yet, its services had been neglected over the years in Nigeria. The new global reality that was occasioned by the upsurge of COVID-19 has made educational technology a very consequential discipline with conspicuous roles to play in the face of such a global pandemic. COVID-19 has halted many human activities across the globe. Its effect in the education system has resulted to re-adjustment in the school calendar, prolonged graduation dates, and reduced research output. To combat this, many education systems now adopt the services of educational technology thereby changing the old norm. But for this new norm to be sustainable, this paper argues that the education system must show a pragmatic attitude towards the adoption of such innovation rather than a conservative attitude. Therefore, using the diffusion theory of innovation, this paper argues that necessity called for compulsory adoption of innovation in the Nigerian education system. This new opportunity, however, looks bleak as many educational practitioners lack the required skills and attitude to adopt the innovation. It, therefore, concludes that educational practitioners need in-service training to be part of these changes. The government is suggested to apply a systematic approach in procuring and installing ICT facilities that will enhance the diffusion of this innovation into the school system.","container-title":"Education and Information Technologies","DOI":"10.1007/s10639-022-11203-4","ISSN":"1573-7608","issue":"1","journalAbbreviation":"Educ Inf Technol","language":"en","page":"1065-1080","source":"Springer Link","title":"Educational Technology Adoption in Instructional Delivery in the New Global reality","volume":"28","author":[{"family":"Ogwu","given":"Edna Nwanyiuzor"},{"family":"Emelogu","given":"Ngozi Ugonma"},{"family":"Azor","given":"Richard Ojinnakaeze"},{"family":"Okwo","given":"Fredrick Amunabo"}],"issued":{"date-parts":[["2023",1,1]]}}}],"schema":"https://github.com/citation-style-language/schema/raw/master/csl-citation.json"} </w:instrText>
      </w:r>
      <w:r w:rsidR="000A523B">
        <w:rPr>
          <w:rFonts w:ascii="Times New Roman" w:eastAsia="Times New Roman" w:hAnsi="Times New Roman" w:cs="Times New Roman"/>
          <w:sz w:val="24"/>
          <w:szCs w:val="24"/>
          <w:lang w:val="es-EC" w:eastAsia="es-EC"/>
        </w:rPr>
        <w:fldChar w:fldCharType="separate"/>
      </w:r>
      <w:r w:rsidR="000A523B" w:rsidRPr="000A523B">
        <w:rPr>
          <w:rFonts w:ascii="Times New Roman" w:hAnsi="Times New Roman" w:cs="Times New Roman"/>
          <w:sz w:val="24"/>
          <w:szCs w:val="24"/>
        </w:rPr>
        <w:t xml:space="preserve"> (Ogwu et al., 2023)</w:t>
      </w:r>
      <w:r w:rsidR="000A523B">
        <w:rPr>
          <w:rFonts w:ascii="Times New Roman" w:eastAsia="Times New Roman" w:hAnsi="Times New Roman" w:cs="Times New Roman"/>
          <w:sz w:val="24"/>
          <w:szCs w:val="24"/>
          <w:lang w:val="es-EC" w:eastAsia="es-EC"/>
        </w:rPr>
        <w:fldChar w:fldCharType="end"/>
      </w:r>
      <w:r w:rsidR="004C5055" w:rsidRPr="00CD1B10">
        <w:rPr>
          <w:rFonts w:ascii="Times New Roman" w:eastAsia="Times New Roman" w:hAnsi="Times New Roman" w:cs="Times New Roman"/>
          <w:sz w:val="24"/>
          <w:szCs w:val="24"/>
          <w:lang w:eastAsia="es-EC"/>
        </w:rPr>
        <w:t>. Tensions were observed in family interaction, where students were also affected</w:t>
      </w:r>
      <w:r w:rsidR="00021738">
        <w:rPr>
          <w:rFonts w:ascii="Times New Roman" w:eastAsia="Times New Roman" w:hAnsi="Times New Roman" w:cs="Times New Roman"/>
          <w:sz w:val="24"/>
          <w:szCs w:val="24"/>
          <w:lang w:val="es-EC" w:eastAsia="es-EC"/>
        </w:rPr>
        <w:fldChar w:fldCharType="begin"/>
      </w:r>
      <w:r w:rsidR="007F71A3" w:rsidRPr="00CD1B10">
        <w:rPr>
          <w:rFonts w:ascii="Times New Roman" w:eastAsia="Times New Roman" w:hAnsi="Times New Roman" w:cs="Times New Roman"/>
          <w:sz w:val="24"/>
          <w:szCs w:val="24"/>
          <w:lang w:eastAsia="es-EC"/>
        </w:rPr>
        <w:instrText xml:space="preserve"> ADDIN ZOTERO_ITEM CSL_CITATION {"citationID":"TKWMiJae","properties":{"formattedCitation":"(Ferreras-List\\uc0\\u225{}n et\\uc0\\u160{}al., 2021; Ogwu et\\uc0\\u160{}al., 2023)","plainCitation":"(Ferreras-Listán et al., 2021; Ogwu et al., 2023)","noteIndex":0},"citationItems":[{"id":2847,"uris":["http://zotero.org/users/11513704/items/YMQY8ZLW"],"itemData":{"id":2847,"type":"article-journal","abstract":"The COVID-19 pandemic has widened the gap regarding access to educational opportunities, which was included in the Millennium Development Goals (MDGs). This descriptive, quantitative study aims to examine the communication strategies employed by secondary schools in Spain during the lockdown, as well as to analyse the co-responsibility of the educational process between schools and families. An ad hoc questionnaire (GIESBAFCOV-19) was designed and implemented to gather information. The results show that, in most cases, mothers were responsible for assisting and supervising their children’s homework as persons in charge of education-related matters. Additionally, before the lockdown was put in place, about half of the participating families received information from the educative centres regarding the disease and sanitary measures. Once the lockdown took place, families put the focus on their children’s schoolwork, not without difficulties in academic and digital literacy. In general, the families were satisfied with the communication established with the educational centres. The present study has raised the necessity to improve communication between centres and families and to reflect on the tools and systems used for its exchange. Consequently, it seems that information and digital competences should be promoted to guarantee an equalitarian education for all. © 2021 by the authors. Licensee MDPI, Basel, Switzerland.","archive":"Scopus","container-title":"International Journal of Environmental Research and Public Health","DOI":"10.3390/ijerph182010681","issue":"20","source":"Scopus","title":"School–family relations: An educational challenge in times of covid-19","title-short":"School–family relations","volume":"18","author":[{"family":"Ferreras-Listán","given":"M."},{"family":"Hunt-Gómez","given":"C.I."},{"family":"Moreno-Crespo","given":"P."},{"family":"Moreno-Fernández","given":"O."}],"issued":{"date-parts":[["2021"]]}},"label":"page"},{"id":2865,"uris":["http://zotero.org/users/11513704/items/4UEWJUWI"],"itemData":{"id":2865,"type":"article-journal","abstract":"Educational technology is a discipline that has a lot of roles to play in the global education system yet, its services had been neglected over the years in Nigeria. The new global reality that was occasioned by the upsurge of COVID-19 has made educational technology a very consequential discipline with conspicuous roles to play in the face of such a global pandemic. COVID-19 has halted many human activities across the globe. Its effect in the education system has resulted to re-adjustment in the school calendar, prolonged graduation dates, and reduced research output. To combat this, many education systems now adopt the services of educational technology thereby changing the old norm. But for this new norm to be sustainable, this paper argues that the education system must show a pragmatic attitude towards the adoption of such innovation rather than a conservative attitude. Therefore, using the diffusion theory of innovation, this paper argues that necessity called for compulsory adoption of innovation in the Nigerian education system. This new opportunity, however, looks bleak as many educational practitioners lack the required skills and attitude to adopt the innovation. It, therefore, concludes that educational practitioners need in-service training to be part of these changes. The government is suggested to apply a systematic approach in procuring and installing ICT facilities that will enhance the diffusion of this innovation into the school system.","container-title":"Education and Information Technologies","DOI":"10.1007/s10639-022-11203-4","ISSN":"1573-7608","issue":"1","journalAbbreviation":"Educ Inf Technol","language":"en","page":"1065-1080","source":"Springer Link","title":"Educational Technology Adoption in Instructional Delivery in the New Global reality","volume":"28","author":[{"family":"Ogwu","given":"Edna Nwanyiuzor"},{"family":"Emelogu","given":"Ngozi Ugonma"},{"family":"Azor","given":"Richard Ojinnakaeze"},{"family":"Okwo","given":"Fredrick Amunabo"}],"issued":{"date-parts":[["2023",1,1]]}},"label":"page"}],"schema":"https://github.com/citation-style-language/schema/raw/master/csl-citation.json"} </w:instrText>
      </w:r>
      <w:r w:rsidR="00021738">
        <w:rPr>
          <w:rFonts w:ascii="Times New Roman" w:eastAsia="Times New Roman" w:hAnsi="Times New Roman" w:cs="Times New Roman"/>
          <w:sz w:val="24"/>
          <w:szCs w:val="24"/>
          <w:lang w:val="es-EC" w:eastAsia="es-EC"/>
        </w:rPr>
        <w:fldChar w:fldCharType="separate"/>
      </w:r>
      <w:r w:rsidR="007F71A3" w:rsidRPr="007F71A3">
        <w:rPr>
          <w:rFonts w:ascii="Times New Roman" w:hAnsi="Times New Roman" w:cs="Times New Roman"/>
          <w:sz w:val="24"/>
          <w:szCs w:val="24"/>
        </w:rPr>
        <w:t xml:space="preserve"> (Ferreras-Listán et al., 2021; Ogwu et al., 2023). </w:t>
      </w:r>
      <w:r w:rsidR="00021738">
        <w:rPr>
          <w:rFonts w:ascii="Times New Roman" w:eastAsia="Times New Roman" w:hAnsi="Times New Roman" w:cs="Times New Roman"/>
          <w:sz w:val="24"/>
          <w:szCs w:val="24"/>
          <w:lang w:val="es-EC" w:eastAsia="es-EC"/>
        </w:rPr>
        <w:fldChar w:fldCharType="end"/>
      </w:r>
    </w:p>
    <w:p w14:paraId="5AC025CE" w14:textId="3BB67FFF" w:rsidR="0024133B" w:rsidRPr="00CD1B10" w:rsidRDefault="00164F72"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 xml:space="preserve">It is evident that </w:t>
      </w:r>
      <w:r w:rsidR="00126CAB" w:rsidRPr="00CD1B10">
        <w:rPr>
          <w:rFonts w:ascii="Times New Roman" w:eastAsia="Times New Roman" w:hAnsi="Times New Roman" w:cs="Times New Roman"/>
          <w:sz w:val="24"/>
          <w:szCs w:val="24"/>
          <w:lang w:eastAsia="es-EC"/>
        </w:rPr>
        <w:t xml:space="preserve">all these </w:t>
      </w:r>
      <w:r w:rsidRPr="00CD1B10">
        <w:rPr>
          <w:rFonts w:ascii="Times New Roman" w:eastAsia="Times New Roman" w:hAnsi="Times New Roman" w:cs="Times New Roman"/>
          <w:sz w:val="24"/>
          <w:szCs w:val="24"/>
          <w:lang w:eastAsia="es-EC"/>
        </w:rPr>
        <w:t xml:space="preserve">changes caused tension within the family </w:t>
      </w:r>
      <w:r w:rsidR="00126CAB" w:rsidRPr="00CD1B10">
        <w:rPr>
          <w:rFonts w:ascii="Times New Roman" w:eastAsia="Times New Roman" w:hAnsi="Times New Roman" w:cs="Times New Roman"/>
          <w:sz w:val="24"/>
          <w:szCs w:val="24"/>
          <w:lang w:eastAsia="es-EC"/>
        </w:rPr>
        <w:t>nucleus</w:t>
      </w:r>
      <w:r w:rsidRPr="00CD1B10">
        <w:rPr>
          <w:rFonts w:ascii="Times New Roman" w:eastAsia="Times New Roman" w:hAnsi="Times New Roman" w:cs="Times New Roman"/>
          <w:sz w:val="24"/>
          <w:szCs w:val="24"/>
          <w:lang w:eastAsia="es-EC"/>
        </w:rPr>
        <w:t xml:space="preserve">, so stress was part of this </w:t>
      </w:r>
      <w:r w:rsidR="00EA778A" w:rsidRPr="00CD1B10">
        <w:rPr>
          <w:rFonts w:ascii="Times New Roman" w:eastAsia="Times New Roman" w:hAnsi="Times New Roman" w:cs="Times New Roman"/>
          <w:sz w:val="24"/>
          <w:szCs w:val="24"/>
          <w:lang w:eastAsia="es-EC"/>
        </w:rPr>
        <w:t>problem</w:t>
      </w:r>
      <w:r w:rsidRPr="00CD1B10">
        <w:rPr>
          <w:rFonts w:ascii="Times New Roman" w:eastAsia="Times New Roman" w:hAnsi="Times New Roman" w:cs="Times New Roman"/>
          <w:sz w:val="24"/>
          <w:szCs w:val="24"/>
          <w:lang w:eastAsia="es-EC"/>
        </w:rPr>
        <w:t xml:space="preserve">. </w:t>
      </w:r>
      <w:r w:rsidR="00126CAB" w:rsidRPr="00CD1B10">
        <w:rPr>
          <w:rFonts w:ascii="Times New Roman" w:eastAsia="Times New Roman" w:hAnsi="Times New Roman" w:cs="Times New Roman"/>
          <w:sz w:val="24"/>
          <w:szCs w:val="24"/>
          <w:lang w:eastAsia="es-EC"/>
        </w:rPr>
        <w:t xml:space="preserve">Currently, stress </w:t>
      </w:r>
      <w:r w:rsidR="00D7788C" w:rsidRPr="00CD1B10">
        <w:rPr>
          <w:rFonts w:ascii="Times New Roman" w:eastAsia="Times New Roman" w:hAnsi="Times New Roman" w:cs="Times New Roman"/>
          <w:sz w:val="24"/>
          <w:szCs w:val="24"/>
          <w:lang w:eastAsia="es-EC"/>
        </w:rPr>
        <w:t xml:space="preserve">has become a mental health problem </w:t>
      </w:r>
      <w:r w:rsidR="00EA778A" w:rsidRPr="00CD1B10">
        <w:rPr>
          <w:rFonts w:ascii="Times New Roman" w:eastAsia="Times New Roman" w:hAnsi="Times New Roman" w:cs="Times New Roman"/>
          <w:sz w:val="24"/>
          <w:szCs w:val="24"/>
          <w:lang w:eastAsia="es-EC"/>
        </w:rPr>
        <w:t>that has become even more evident in the course of the pandemic</w:t>
      </w:r>
      <w:r w:rsidR="00D7788C" w:rsidRPr="00CD1B10">
        <w:rPr>
          <w:rFonts w:ascii="Times New Roman" w:eastAsia="Times New Roman" w:hAnsi="Times New Roman" w:cs="Times New Roman"/>
          <w:sz w:val="24"/>
          <w:szCs w:val="24"/>
          <w:lang w:eastAsia="es-EC"/>
        </w:rPr>
        <w:t>, which affects human beings in different spheres and contexts</w:t>
      </w:r>
      <w:r w:rsidR="007F71A3">
        <w:rPr>
          <w:rFonts w:ascii="Times New Roman" w:eastAsia="Times New Roman" w:hAnsi="Times New Roman" w:cs="Times New Roman"/>
          <w:sz w:val="24"/>
          <w:szCs w:val="24"/>
          <w:lang w:val="es-EC" w:eastAsia="es-EC"/>
        </w:rPr>
        <w:fldChar w:fldCharType="begin"/>
      </w:r>
      <w:r w:rsidR="00F268C5" w:rsidRPr="00CD1B10">
        <w:rPr>
          <w:rFonts w:ascii="Times New Roman" w:eastAsia="Times New Roman" w:hAnsi="Times New Roman" w:cs="Times New Roman"/>
          <w:sz w:val="24"/>
          <w:szCs w:val="24"/>
          <w:lang w:eastAsia="es-EC"/>
        </w:rPr>
        <w:instrText xml:space="preserve"> ADDIN ZOTERO_ITEM CSL_CITATION {"citationID":"uWijSuV1","properties":{"formattedCitation":"(Buitrago Ram\\uc0\\u237{}rez et\\uc0\\u160{}al., 2020)","plainCitation":"(Buitrago Ramírez et al., 2020)","noteIndex":0},"citationItems":[{"id":2567,"uris":["http://zotero.org/users/11513704/items/D3G68XS2"],"itemData":{"id":2567,"type":"article-journal","container-title":"Atención Primaria","DOI":"10.1016/j.aprim.2020.09.004","ISSN":"02126567","journalAbbreviation":"Atención Primaria","language":"es","page":"93-113","source":"DOI.org (Crossref)","title":"Salud mental en epidemias: una perspectiva desde la Atención Primaria de Salud española","title-short":"Salud mental en epidemias","volume":"52","author":[{"family":"Buitrago Ramírez","given":"Francisco"},{"family":"Ciurana Misol","given":"Ramon"},{"family":"Fernández Alonso","given":"María Del Carmen"},{"family":"Tizón García","given":"Jorge Luis"}],"issued":{"date-parts":[["2020",11]]}}}],"schema":"https://github.com/citation-style-language/schema/raw/master/csl-citation.json"} </w:instrText>
      </w:r>
      <w:r w:rsidR="007F71A3">
        <w:rPr>
          <w:rFonts w:ascii="Times New Roman" w:eastAsia="Times New Roman" w:hAnsi="Times New Roman" w:cs="Times New Roman"/>
          <w:sz w:val="24"/>
          <w:szCs w:val="24"/>
          <w:lang w:val="es-EC" w:eastAsia="es-EC"/>
        </w:rPr>
        <w:fldChar w:fldCharType="separate"/>
      </w:r>
      <w:r w:rsidR="00F268C5" w:rsidRPr="00CD1B10">
        <w:rPr>
          <w:rFonts w:ascii="Times New Roman" w:hAnsi="Times New Roman" w:cs="Times New Roman"/>
          <w:sz w:val="24"/>
          <w:szCs w:val="24"/>
        </w:rPr>
        <w:t xml:space="preserve"> (Buitrago Ramirez et al., 2020). </w:t>
      </w:r>
      <w:r w:rsidR="007F71A3">
        <w:rPr>
          <w:rFonts w:ascii="Times New Roman" w:eastAsia="Times New Roman" w:hAnsi="Times New Roman" w:cs="Times New Roman"/>
          <w:sz w:val="24"/>
          <w:szCs w:val="24"/>
          <w:lang w:val="es-EC" w:eastAsia="es-EC"/>
        </w:rPr>
        <w:fldChar w:fldCharType="end"/>
      </w:r>
    </w:p>
    <w:p w14:paraId="61524D76" w14:textId="5F149C75" w:rsidR="00D7788C" w:rsidRPr="00CD1B10" w:rsidRDefault="00D7788C"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 xml:space="preserve">This type of health problem has taken relevance and has had a growth by continuing to investigate this phenomenon of study </w:t>
      </w:r>
      <w:r w:rsidR="000106DA">
        <w:rPr>
          <w:rFonts w:ascii="Times New Roman" w:eastAsia="Times New Roman" w:hAnsi="Times New Roman" w:cs="Times New Roman"/>
          <w:sz w:val="24"/>
          <w:szCs w:val="24"/>
          <w:lang w:eastAsia="es-EC"/>
        </w:rPr>
        <w:t>concerning</w:t>
      </w:r>
      <w:r w:rsidRPr="00CD1B10">
        <w:rPr>
          <w:rFonts w:ascii="Times New Roman" w:eastAsia="Times New Roman" w:hAnsi="Times New Roman" w:cs="Times New Roman"/>
          <w:sz w:val="24"/>
          <w:szCs w:val="24"/>
          <w:lang w:eastAsia="es-EC"/>
        </w:rPr>
        <w:t xml:space="preserve"> the family environment in the </w:t>
      </w:r>
      <w:r w:rsidRPr="00CD1B10">
        <w:rPr>
          <w:rFonts w:ascii="Times New Roman" w:eastAsia="Times New Roman" w:hAnsi="Times New Roman" w:cs="Times New Roman"/>
          <w:sz w:val="24"/>
          <w:szCs w:val="24"/>
          <w:lang w:eastAsia="es-EC"/>
        </w:rPr>
        <w:lastRenderedPageBreak/>
        <w:t>educational context (online classes)</w:t>
      </w:r>
      <w:r w:rsidR="00773CCB">
        <w:rPr>
          <w:rFonts w:ascii="Times New Roman" w:eastAsia="Times New Roman" w:hAnsi="Times New Roman" w:cs="Times New Roman"/>
          <w:sz w:val="24"/>
          <w:szCs w:val="24"/>
          <w:lang w:val="es-EC" w:eastAsia="es-EC"/>
        </w:rPr>
        <w:fldChar w:fldCharType="begin"/>
      </w:r>
      <w:r w:rsidR="00A73D05" w:rsidRPr="00CD1B10">
        <w:rPr>
          <w:rFonts w:ascii="Times New Roman" w:eastAsia="Times New Roman" w:hAnsi="Times New Roman" w:cs="Times New Roman"/>
          <w:sz w:val="24"/>
          <w:szCs w:val="24"/>
          <w:lang w:eastAsia="es-EC"/>
        </w:rPr>
        <w:instrText xml:space="preserve"> ADDIN ZOTERO_ITEM CSL_CITATION {"citationID":"dMcuCY3e","properties":{"formattedCitation":"(Crandall et\\uc0\\u160{}al., 2023; Zhu et\\uc0\\u160{}al., 2023)","plainCitation":"(Crandall et al., 2023; Zhu et al., 2023)","noteIndex":0},"citationItems":[{"id":2876,"uris":["http://zotero.org/users/11513704/items/8MEP6YH3"],"itemData":{"id":2876,"type":"article-journal","abstract":"The purpose of this study was to examine the effects of Coronavirus (COVID-19)-related stressors and family health on adult anxiety and depressive symptoms 1 year into the pandemic. The sample consisted of 442 adults living in the United States who were recruited via Amazon Mechanical Turk. Data were analyzed using multiple logistic regression. Results indicated that compared to a sample 1 month into the pandemic, participants in the current sample reported worse family health and increases in both positive and negative perceptions of the pandemic on family life and routines. COVID-19 stressors and perceived negative effects of the pandemic on family life increased the odds for moderate-to-severe depression and anxiety while having more family health resources decreased the odds for depression and anxiety symptoms. Participants reported lower odds for worse depression and anxiety since the beginning of the pandemic when they reported more positive family meaning due to the pandemic. The results suggest a need to consider the impact of family life on mental health in pandemics and other disasters.","container-title":"Family Process","DOI":"10.1111/famp.12771","ISSN":"1545-5300","issue":"1","language":"en","license":"© 2022 Family Process Institute","note":"_eprint: https://onlinelibrary.wiley.com/doi/pdf/10.1111/famp.12771","page":"336-351","source":"Wiley Online Library","title":"The effects of COVID-19 stressors and family life on anxiety and depression one-year into the COVID-19 pandemic","volume":"62","author":[{"family":"Crandall","given":"AliceAnn"},{"family":"Daines","given":"Chantel"},{"family":"Hanson","given":"Carl L."},{"family":"Barnes","given":"Michael D."}],"issued":{"date-parts":[["2023"]]}},"label":"page"},{"id":2878,"uris":["http://zotero.org/users/11513704/items/HNSB2FYD"],"itemData":{"id":2878,"type":"article-journal","abstract":"The COVID-19 pandemic has had a significant impact on mental health. Identifying risk factors and susceptible subgroups will guide efforts to address mental health concerns during the pandemic and long-term management and monitoring after the pandemic. We aimed to examine associations of insecurity (concerns about food, health insurance, and/or money), social support, and change in family relationships with poor mental health and to explore disparities in these associations. An online survey was collected from 3952 US adults between May and August 2020. Symptoms of anxiety, depression, stress, and trauma-related disorders were assessed by the Generalized Anxiety Disorder 7-item scale, the Patient Health Questionnaire-9, the Perceived Stress Scale-4, and the Primary Care Post-Traumatic Stress Disorder Screen, respectively. Social support was measured by the Oslo Social Support Scale. Logistic regression was used and stratified analyses by age, race/ethnicity, and sex were performed. We found a higher prevalence of poor mental health among those who were younger, female, with lower socioeconomic status, and racial/ethnic minorities. Participants who were worried about money, health insurance, or food had higher odds of symptoms of anxiety (OR = 3.74, 95% CI: 3.06–4.56), depression (OR = 3.20, 95% CI: 2.67–3.84), stress (OR = 3.08, 95% CI: 2.67–3.57), and trauma-related disorders (OR = 2.93, 95% CI: 2.42–3.55) compared to those who were not. Compared to poor social support, moderate and strong social support was associated with lower odds of all four symptoms. Participants who had changes in relationships with parents, children, or significant others had worse mental health. Our findings identified groups at higher risk for poor mental health, which offers insights for implementing targeted interventions.","container-title":"Scientific Reports","DOI":"10.1038/s41598-023-35981-0","ISSN":"2045-2322","issue":"1","journalAbbreviation":"Sci Rep","language":"en","license":"2023 The Author(s)","note":"publisher: Nature Publishing Group","page":"9731","source":"www.nature.com","title":"Disparities in insecurity, social support, and family relationships in association with poor mental health among US adults during the COVID-19 pandemic","volume":"13","author":[{"family":"Zhu","given":"Kexin"},{"family":"Wang","given":"Siyi"},{"family":"Yue","given":"Yihua"},{"family":"Smith","given":"Beth A."},{"family":"Zhang","given":"Zuo-Feng"},{"family":"Freudenheim","given":"Jo L."},{"family":"Niu","given":"Zhongzheng"},{"family":"Zhang","given":"Joanne"},{"family":"Smith","given":"Ella"},{"family":"Ye","given":"Joshua"},{"family":"Cao","given":"Ying"},{"family":"Zhang","given":"Jie"},{"family":"Hennessy","given":"Dwight A."},{"family":"Lei","given":"Lijian"},{"family":"Mu","given":"Lina"}],"issued":{"date-parts":[["2023",6,15]]}},"label":"page"}],"schema":"https://github.com/citation-style-language/schema/raw/master/csl-citation.json"} </w:instrText>
      </w:r>
      <w:r w:rsidR="00773CCB">
        <w:rPr>
          <w:rFonts w:ascii="Times New Roman" w:eastAsia="Times New Roman" w:hAnsi="Times New Roman" w:cs="Times New Roman"/>
          <w:sz w:val="24"/>
          <w:szCs w:val="24"/>
          <w:lang w:val="es-EC" w:eastAsia="es-EC"/>
        </w:rPr>
        <w:fldChar w:fldCharType="separate"/>
      </w:r>
      <w:r w:rsidR="00A73D05" w:rsidRPr="00A73D05">
        <w:rPr>
          <w:rFonts w:ascii="Times New Roman" w:hAnsi="Times New Roman" w:cs="Times New Roman"/>
          <w:sz w:val="24"/>
          <w:szCs w:val="24"/>
        </w:rPr>
        <w:t xml:space="preserve"> (Crandall et al., 2023; Zhu et al., 2023)</w:t>
      </w:r>
      <w:r w:rsidR="00773CCB">
        <w:rPr>
          <w:rFonts w:ascii="Times New Roman" w:eastAsia="Times New Roman" w:hAnsi="Times New Roman" w:cs="Times New Roman"/>
          <w:sz w:val="24"/>
          <w:szCs w:val="24"/>
          <w:lang w:val="es-EC" w:eastAsia="es-EC"/>
        </w:rPr>
        <w:fldChar w:fldCharType="end"/>
      </w:r>
      <w:r w:rsidRPr="00CD1B10">
        <w:rPr>
          <w:rFonts w:ascii="Times New Roman" w:eastAsia="Times New Roman" w:hAnsi="Times New Roman" w:cs="Times New Roman"/>
          <w:sz w:val="24"/>
          <w:szCs w:val="24"/>
          <w:lang w:eastAsia="es-EC"/>
        </w:rPr>
        <w:t>. In this case, due to a global health issue, a growth of tension in households during confinement</w:t>
      </w:r>
      <w:r w:rsidR="000106DA">
        <w:rPr>
          <w:rFonts w:ascii="Times New Roman" w:eastAsia="Times New Roman" w:hAnsi="Times New Roman" w:cs="Times New Roman"/>
          <w:sz w:val="24"/>
          <w:szCs w:val="24"/>
          <w:lang w:eastAsia="es-EC"/>
        </w:rPr>
        <w:t xml:space="preserve"> was generated</w:t>
      </w:r>
      <w:r w:rsidRPr="00CD1B10">
        <w:rPr>
          <w:rFonts w:ascii="Times New Roman" w:eastAsia="Times New Roman" w:hAnsi="Times New Roman" w:cs="Times New Roman"/>
          <w:sz w:val="24"/>
          <w:szCs w:val="24"/>
          <w:lang w:eastAsia="es-EC"/>
        </w:rPr>
        <w:t xml:space="preserve">, one of the concerns is education for their children and </w:t>
      </w:r>
      <w:r w:rsidR="000106DA">
        <w:rPr>
          <w:rFonts w:ascii="Times New Roman" w:eastAsia="Times New Roman" w:hAnsi="Times New Roman" w:cs="Times New Roman"/>
          <w:sz w:val="24"/>
          <w:szCs w:val="24"/>
          <w:lang w:eastAsia="es-EC"/>
        </w:rPr>
        <w:t>adapting</w:t>
      </w:r>
      <w:r w:rsidRPr="00CD1B10">
        <w:rPr>
          <w:rFonts w:ascii="Times New Roman" w:eastAsia="Times New Roman" w:hAnsi="Times New Roman" w:cs="Times New Roman"/>
          <w:sz w:val="24"/>
          <w:szCs w:val="24"/>
          <w:lang w:eastAsia="es-EC"/>
        </w:rPr>
        <w:t xml:space="preserve"> to new educational changes at home</w:t>
      </w:r>
      <w:r w:rsidR="00B92179">
        <w:rPr>
          <w:rFonts w:ascii="Times New Roman" w:eastAsia="Times New Roman" w:hAnsi="Times New Roman" w:cs="Times New Roman"/>
          <w:sz w:val="24"/>
          <w:szCs w:val="24"/>
          <w:lang w:val="es-EC" w:eastAsia="es-EC"/>
        </w:rPr>
        <w:fldChar w:fldCharType="begin"/>
      </w:r>
      <w:r w:rsidR="00CF52C4" w:rsidRPr="00CD1B10">
        <w:rPr>
          <w:rFonts w:ascii="Times New Roman" w:eastAsia="Times New Roman" w:hAnsi="Times New Roman" w:cs="Times New Roman"/>
          <w:sz w:val="24"/>
          <w:szCs w:val="24"/>
          <w:lang w:eastAsia="es-EC"/>
        </w:rPr>
        <w:instrText xml:space="preserve"> ADDIN ZOTERO_ITEM CSL_CITATION {"citationID":"6TNt4iMk","properties":{"formattedCitation":"(Rangel-de L\\uc0\\u225{}zaro &amp; Duart, 2023)","plainCitation":"(Rangel-de Lázaro &amp; Duart, 2023)","noteIndex":0},"citationItems":[{"id":2862,"uris":["http://zotero.org/users/11513704/items/GCH7S8X5"],"itemData":{"id":2862,"type":"webpage","title":"You Can Handle, You Can Teach It: Systematic Review on the Use of Extended Reality and Artificial Intelligence Technologies for Online Higher Education","URL":"https://www.mdpi.com/2071-1050/15/4/3507","author":[{"family":"Rangel-de Lázaro","given":"Gizéh"},{"family":"Duart","given":"Josep"}],"accessed":{"date-parts":[["2025",6,14]]},"issued":{"date-parts":[["2023"]]}}}],"schema":"https://github.com/citation-style-language/schema/raw/master/csl-citation.json"} </w:instrText>
      </w:r>
      <w:r w:rsidR="00B92179">
        <w:rPr>
          <w:rFonts w:ascii="Times New Roman" w:eastAsia="Times New Roman" w:hAnsi="Times New Roman" w:cs="Times New Roman"/>
          <w:sz w:val="24"/>
          <w:szCs w:val="24"/>
          <w:lang w:val="es-EC" w:eastAsia="es-EC"/>
        </w:rPr>
        <w:fldChar w:fldCharType="separate"/>
      </w:r>
      <w:r w:rsidR="00CF52C4" w:rsidRPr="00CD1B10">
        <w:rPr>
          <w:rFonts w:ascii="Times New Roman" w:hAnsi="Times New Roman" w:cs="Times New Roman"/>
          <w:sz w:val="24"/>
          <w:szCs w:val="24"/>
        </w:rPr>
        <w:t xml:space="preserve"> (Rangel-de Lázaro &amp; Duart, 2023).</w:t>
      </w:r>
      <w:r w:rsidR="00B92179">
        <w:rPr>
          <w:rFonts w:ascii="Times New Roman" w:eastAsia="Times New Roman" w:hAnsi="Times New Roman" w:cs="Times New Roman"/>
          <w:sz w:val="24"/>
          <w:szCs w:val="24"/>
          <w:lang w:val="es-EC" w:eastAsia="es-EC"/>
        </w:rPr>
        <w:fldChar w:fldCharType="end"/>
      </w:r>
    </w:p>
    <w:p w14:paraId="30CD7503" w14:textId="375EB1B6" w:rsidR="003C38CF" w:rsidRPr="00CD1B10" w:rsidRDefault="007E3DDD"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 xml:space="preserve">Since the pandemic, </w:t>
      </w:r>
      <w:r w:rsidR="00C30931" w:rsidRPr="00CD1B10">
        <w:rPr>
          <w:rFonts w:ascii="Times New Roman" w:eastAsia="Times New Roman" w:hAnsi="Times New Roman" w:cs="Times New Roman"/>
          <w:sz w:val="24"/>
          <w:szCs w:val="24"/>
          <w:lang w:eastAsia="es-EC"/>
        </w:rPr>
        <w:t>education has taken another</w:t>
      </w:r>
      <w:r w:rsidR="000106DA">
        <w:rPr>
          <w:rFonts w:ascii="Times New Roman" w:eastAsia="Times New Roman" w:hAnsi="Times New Roman" w:cs="Times New Roman"/>
          <w:sz w:val="24"/>
          <w:szCs w:val="24"/>
          <w:lang w:eastAsia="es-EC"/>
        </w:rPr>
        <w:t xml:space="preserve"> </w:t>
      </w:r>
      <w:r w:rsidR="00C30931" w:rsidRPr="00CD1B10">
        <w:rPr>
          <w:rFonts w:ascii="Times New Roman" w:eastAsia="Times New Roman" w:hAnsi="Times New Roman" w:cs="Times New Roman"/>
          <w:sz w:val="24"/>
          <w:szCs w:val="24"/>
          <w:lang w:eastAsia="es-EC"/>
        </w:rPr>
        <w:t xml:space="preserve">turn, which has been presented </w:t>
      </w:r>
      <w:r w:rsidR="00066C4F" w:rsidRPr="00CD1B10">
        <w:rPr>
          <w:rFonts w:ascii="Times New Roman" w:eastAsia="Times New Roman" w:hAnsi="Times New Roman" w:cs="Times New Roman"/>
          <w:sz w:val="24"/>
          <w:szCs w:val="24"/>
          <w:lang w:eastAsia="es-EC"/>
        </w:rPr>
        <w:t xml:space="preserve">as </w:t>
      </w:r>
      <w:r w:rsidR="00177BD6" w:rsidRPr="00CD1B10">
        <w:rPr>
          <w:rFonts w:ascii="Times New Roman" w:eastAsia="Times New Roman" w:hAnsi="Times New Roman" w:cs="Times New Roman"/>
          <w:sz w:val="24"/>
          <w:szCs w:val="24"/>
          <w:lang w:eastAsia="es-EC"/>
        </w:rPr>
        <w:t xml:space="preserve">another </w:t>
      </w:r>
      <w:r w:rsidR="00FD2B64" w:rsidRPr="00CD1B10">
        <w:rPr>
          <w:rFonts w:ascii="Times New Roman" w:eastAsia="Times New Roman" w:hAnsi="Times New Roman" w:cs="Times New Roman"/>
          <w:sz w:val="24"/>
          <w:szCs w:val="24"/>
          <w:lang w:eastAsia="es-EC"/>
        </w:rPr>
        <w:t xml:space="preserve">alternative </w:t>
      </w:r>
      <w:r w:rsidR="00177BD6" w:rsidRPr="00CD1B10">
        <w:rPr>
          <w:rFonts w:ascii="Times New Roman" w:eastAsia="Times New Roman" w:hAnsi="Times New Roman" w:cs="Times New Roman"/>
          <w:sz w:val="24"/>
          <w:szCs w:val="24"/>
          <w:lang w:eastAsia="es-EC"/>
        </w:rPr>
        <w:t>in the educational context</w:t>
      </w:r>
      <w:r w:rsidR="000106DA">
        <w:rPr>
          <w:rFonts w:ascii="Times New Roman" w:eastAsia="Times New Roman" w:hAnsi="Times New Roman" w:cs="Times New Roman"/>
          <w:sz w:val="24"/>
          <w:szCs w:val="24"/>
          <w:lang w:eastAsia="es-EC"/>
        </w:rPr>
        <w:t>,</w:t>
      </w:r>
      <w:r w:rsidR="00177BD6" w:rsidRPr="00CD1B10">
        <w:rPr>
          <w:rFonts w:ascii="Times New Roman" w:eastAsia="Times New Roman" w:hAnsi="Times New Roman" w:cs="Times New Roman"/>
          <w:sz w:val="24"/>
          <w:szCs w:val="24"/>
          <w:lang w:eastAsia="es-EC"/>
        </w:rPr>
        <w:t xml:space="preserve"> </w:t>
      </w:r>
      <w:r w:rsidR="00FD2B64" w:rsidRPr="00CD1B10">
        <w:rPr>
          <w:rFonts w:ascii="Times New Roman" w:eastAsia="Times New Roman" w:hAnsi="Times New Roman" w:cs="Times New Roman"/>
          <w:sz w:val="24"/>
          <w:szCs w:val="24"/>
          <w:lang w:eastAsia="es-EC"/>
        </w:rPr>
        <w:t xml:space="preserve">as </w:t>
      </w:r>
      <w:r w:rsidR="003C5656" w:rsidRPr="00CD1B10">
        <w:rPr>
          <w:rFonts w:ascii="Times New Roman" w:eastAsia="Times New Roman" w:hAnsi="Times New Roman" w:cs="Times New Roman"/>
          <w:sz w:val="24"/>
          <w:szCs w:val="24"/>
          <w:lang w:eastAsia="es-EC"/>
        </w:rPr>
        <w:t xml:space="preserve">is the case </w:t>
      </w:r>
      <w:r w:rsidR="000106DA">
        <w:rPr>
          <w:rFonts w:ascii="Times New Roman" w:eastAsia="Times New Roman" w:hAnsi="Times New Roman" w:cs="Times New Roman"/>
          <w:sz w:val="24"/>
          <w:szCs w:val="24"/>
          <w:lang w:eastAsia="es-EC"/>
        </w:rPr>
        <w:t>with</w:t>
      </w:r>
      <w:r w:rsidR="003C5656" w:rsidRPr="00CD1B10">
        <w:rPr>
          <w:rFonts w:ascii="Times New Roman" w:eastAsia="Times New Roman" w:hAnsi="Times New Roman" w:cs="Times New Roman"/>
          <w:sz w:val="24"/>
          <w:szCs w:val="24"/>
          <w:lang w:eastAsia="es-EC"/>
        </w:rPr>
        <w:t xml:space="preserve"> </w:t>
      </w:r>
      <w:r w:rsidR="003C38CF" w:rsidRPr="00CD1B10">
        <w:rPr>
          <w:rFonts w:ascii="Times New Roman" w:eastAsia="Times New Roman" w:hAnsi="Times New Roman" w:cs="Times New Roman"/>
          <w:sz w:val="24"/>
          <w:szCs w:val="24"/>
          <w:lang w:eastAsia="es-EC"/>
        </w:rPr>
        <w:t>the online modality</w:t>
      </w:r>
      <w:r w:rsidR="000F629B">
        <w:rPr>
          <w:rFonts w:ascii="Times New Roman" w:eastAsia="Times New Roman" w:hAnsi="Times New Roman" w:cs="Times New Roman"/>
          <w:sz w:val="24"/>
          <w:szCs w:val="24"/>
          <w:lang w:val="es-EC" w:eastAsia="es-EC"/>
        </w:rPr>
        <w:fldChar w:fldCharType="begin"/>
      </w:r>
      <w:r w:rsidR="008C5FFC" w:rsidRPr="00CD1B10">
        <w:rPr>
          <w:rFonts w:ascii="Times New Roman" w:eastAsia="Times New Roman" w:hAnsi="Times New Roman" w:cs="Times New Roman"/>
          <w:sz w:val="24"/>
          <w:szCs w:val="24"/>
          <w:lang w:eastAsia="es-EC"/>
        </w:rPr>
        <w:instrText xml:space="preserve"> ADDIN ZOTERO_ITEM CSL_CITATION {"citationID":"ZaC2oAAo","properties":{"formattedCitation":"(Kaisar, 2023; Shahid &amp; Mughal, 2020; Thahir et\\uc0\\u160{}al., 2023)","plainCitation":"(Kaisar, 2023; Shahid &amp; Mughal, 2020; Thahir et al., 2023)","noteIndex":0},"citationItems":[{"id":2839,"uris":["http://zotero.org/users/11513704/items/BRFBDVM8"],"itemData":{"id":2839,"type":"article-journal","abstract":"The COVID-19 pandemic has significantly disrupted many aspects of life including education and assessment practices in the higher education sectors. Universities worldwide had to adopt new assessment technologies as COVID-19-related restrictions made it impossible to conduct invigilated exams. Therefore, academics had to change their assessment styles, types, and formats to match the new normal. Although online education is a well-established domain where remote assessments are the usual practice, such a sudden shift made it extremely difficult to manage this within such short notice. Alternative assessments, such as online assessments, open-book exams, timed assessments, and online exams, were used as a replacement for traditional face-to-face exams. However, careful consideration and planning were necessary to ensure effectiveness, fairness, and prevention of academic misconduct. This paper examines alternative assessment practices used in different parts of the world, the historical context of invigilated exams, and the impacts of this sudden shift on academics and teaching pedagogy. Additionally, the paper provides recommended strategies to help academics plan assessment design as multi-mode delivery (i.e., hybrid approach offering both in-person and online options concurrently) and assessment practices are likely to continue in the post-COVID world Moving forward, universities must adapt to the changing assessment practices brought about by the pandemic and develop strategies to ensure academic integrity and fair assessment practices. This includes designing assessments that are appropriate for remote delivery, incorporating new assessment technologies, and ensuring that assessments are fair and secure. Furthermore, universities must continue to explore and develop new assessment practices that meet the needs of their students in the changing landscape of higher education.","container-title":"Journal of Learning and Educational Policy","DOI":"10.55529/jlep.35.37.43","ISSN":"2799-1121","issue":"05","language":"en","license":"Copyright (c) 2023 Authors","note":"number: 05","page":"37-43","source":"journal.hmjournals.com","title":"Alternative Assessment Practices in Higher Education during the COVID-19 Pandemic","volume":"3","author":[{"family":"Kaisar","given":"Shahriar"}],"issued":{"date-parts":[["2023",8,3]]}},"label":"page"},{"id":2842,"uris":["http://zotero.org/users/11513704/items/QRUKNDS5"],"itemData":{"id":2842,"type":"article-journal","abstract":"COVID-19 pandemic has not only negatively impacted the socio-economic attributes worldwide1 but also led to the confrontation of the education system with enormous challenges. This necessitated the immediate transition from face-to-face teaching to e-learning.2 This abrupt shift was primarily attributed to the need for social distancing due to the contagiousness of this disease and hence was intended to save humanity from coronavirus infection.3 \nAvailing the e-learning alternatives for academic continuity in response to pandemic was the only solution. The teachers shared educational resources in the form of presentations, audio-visual videos, and documents, etc. by using assorted modalities like Microsoft Teams, Zoom, and Webinar.4 Although this exercise demanded stringent efforts of our teachers this bestowed them with an exhilarating opportunity to modify their pedagogical strategies.5 \nLockdown imposition and abrupt closure of academic organizations considerably impacted the domain of higher studies. Everybody adapted to deliver their services remotely. The lectures, practicals, tutorials, examinations all were suspended with immediate effect amidst the COVID-19 pandemic.6 Although most of our students managed to attend online classes this modality was perceived inefficient in coverage of the whole curriculum in terms of acquisition of practical skills.7 No doubt synchronous and asynchronous teachings were done by using diverse instructional methods but adjustment of teaching pace, constructive feedback to the students’ assignments, and activation of students’ prior knowledge were reported to be immensely deficient.8 \nResource-constrained countries profoundly faced problems in the smooth execution of virtual learning.9 Considerable uncertainties pertinent to COVID-19 along with limited facilities in the execution of prosperous e-learning academia made the scenario quite cumbersome. Tutors implicated in e-learning universally were dealt with issues of online connectivity, capacity building for proficient content delivery, and efficient interactivity with students.10 Designing an appropriate framework to bridge the gaps in e-learning conduction is deemed necessary for the provision of quality education without compromising the established standards amidst rampant outbreaks.","container-title":"Journal of Rawalpindi Medical College","DOI":"10.37939/jrmc.v24i3.1486","ISSN":"1683-3570, 1683-3562","issue":"3","journalAbbreviation":"JRMC","language":"en","license":"http://creativecommons.org/licenses/by-sa/4.0","page":"180","source":"DOI.org (Crossref)","title":"E-learning: A way out in COVID-19 Crisis","title-short":"E-learning","volume":"24","author":[{"family":"Shahid","given":"Rizwana"},{"family":"Mughal","given":"Arsalan Manzoor"}],"issued":{"date-parts":[["2020",9,29]]}},"label":"page"},{"id":2843,"uris":["http://zotero.org/users/11513704/items/9XPSBZMG"],"itemData":{"id":2843,"type":"article-journal","abstract":"The Covid-19 virus that spreads very quickly causes everyone to have to practice social distancing and physical distancing to reduce its impact. The virus that has been endemic since the end of December 2019 has revolutionized the learning process held by every educational institution, including the learning process in universities. Previously, the learning process at universities was carried out face-to-face. When the covid-19 pandemic occurs, the learning process must of course continue to be carried out by minimizing the impact of covid-19 so that universities must be able to make changes quickly from face-to-face learning systems to online/online learning. Adopting online learning through the use of technology to continue to implement the Tri Dharma is one of the solutions chosen by each university so that the learning process can continue and the spread of the COVID-19 virus can be minimized. After covid-19 occurred and the new normal era began, the level of life gradually went on as before. Learning in higher education must of course be re-adjusted to existing conditions. Finally, blended learning is used as a solution to carry out the teaching and learning process in universities in the new normal era. Blended learning approach is believed to be one of the learning models that are considered more effective for learning in this new normal era. By continuing to use technology as a form of innovation in learning in the digitalization era, blended learning is also still carried out by continuing to prioritize the human touch side in its implementation where the face-to-face learning process with direct interaction certainly has its own advantages. Through the combination of the advantages of offline learning and online learning, blended learning appears as the best alternative in the higher education learning system so that learning is believed to be more meaningful and also supports independence in learning.","container-title":"International Journal of Ethno-Sciences and Education Research","DOI":"10.46336/ijeer.v3i3.461","ISSN":"2776-7590","issue":"3","language":"en","license":"Copyright (c) 2023 Muthahharah Thahir, Widiawati Widiawati, Nur Baitillah","note":"number: 3","page":"99-108","source":"journal.rescollacomm.com","title":"The Post Pandemic Education : A Blended Learning Approach For Teaching And Learning In Higher Education in New Normal Era","title-short":"The Post Pandemic Education","volume":"3","author":[{"family":"Thahir","given":"Muthahharah"},{"family":"Widiawati","given":"Widiawati"},{"family":"Baitillah","given":"Nur"}],"issued":{"date-parts":[["2023",7,6]]}},"label":"page"}],"schema":"https://github.com/citation-style-language/schema/raw/master/csl-citation.json"} </w:instrText>
      </w:r>
      <w:r w:rsidR="000F629B">
        <w:rPr>
          <w:rFonts w:ascii="Times New Roman" w:eastAsia="Times New Roman" w:hAnsi="Times New Roman" w:cs="Times New Roman"/>
          <w:sz w:val="24"/>
          <w:szCs w:val="24"/>
          <w:lang w:val="es-EC" w:eastAsia="es-EC"/>
        </w:rPr>
        <w:fldChar w:fldCharType="separate"/>
      </w:r>
      <w:r w:rsidR="008C5FFC" w:rsidRPr="008C5FFC">
        <w:rPr>
          <w:rFonts w:ascii="Times New Roman" w:hAnsi="Times New Roman" w:cs="Times New Roman"/>
          <w:sz w:val="24"/>
          <w:szCs w:val="24"/>
        </w:rPr>
        <w:t xml:space="preserve"> (Kaisar, 2023; Shahid &amp; Mughal, 2020; Thahir et al., 2023)</w:t>
      </w:r>
      <w:r w:rsidR="000F629B">
        <w:rPr>
          <w:rFonts w:ascii="Times New Roman" w:eastAsia="Times New Roman" w:hAnsi="Times New Roman" w:cs="Times New Roman"/>
          <w:sz w:val="24"/>
          <w:szCs w:val="24"/>
          <w:lang w:val="es-EC" w:eastAsia="es-EC"/>
        </w:rPr>
        <w:fldChar w:fldCharType="end"/>
      </w:r>
      <w:r w:rsidR="003C5656" w:rsidRPr="00CD1B10">
        <w:rPr>
          <w:rFonts w:ascii="Times New Roman" w:eastAsia="Times New Roman" w:hAnsi="Times New Roman" w:cs="Times New Roman"/>
          <w:sz w:val="24"/>
          <w:szCs w:val="24"/>
          <w:lang w:eastAsia="es-EC"/>
        </w:rPr>
        <w:t xml:space="preserve">. This modality </w:t>
      </w:r>
      <w:r w:rsidR="00756690" w:rsidRPr="00CD1B10">
        <w:rPr>
          <w:rFonts w:ascii="Times New Roman" w:eastAsia="Times New Roman" w:hAnsi="Times New Roman" w:cs="Times New Roman"/>
          <w:sz w:val="24"/>
          <w:szCs w:val="24"/>
          <w:lang w:eastAsia="es-EC"/>
        </w:rPr>
        <w:t xml:space="preserve">is characterized by </w:t>
      </w:r>
      <w:r w:rsidR="00EE0F27" w:rsidRPr="00CD1B10">
        <w:rPr>
          <w:rFonts w:ascii="Times New Roman" w:eastAsia="Times New Roman" w:hAnsi="Times New Roman" w:cs="Times New Roman"/>
          <w:sz w:val="24"/>
          <w:szCs w:val="24"/>
          <w:lang w:eastAsia="es-EC"/>
        </w:rPr>
        <w:t xml:space="preserve">being flexible, where the process takes place in a digital environment, which involves the use of a virtual platform accompanied by a </w:t>
      </w:r>
      <w:r w:rsidR="00E13AFB" w:rsidRPr="00CD1B10">
        <w:rPr>
          <w:rFonts w:ascii="Times New Roman" w:eastAsia="Times New Roman" w:hAnsi="Times New Roman" w:cs="Times New Roman"/>
          <w:sz w:val="24"/>
          <w:szCs w:val="24"/>
          <w:lang w:eastAsia="es-EC"/>
        </w:rPr>
        <w:t xml:space="preserve">tutor </w:t>
      </w:r>
      <w:r w:rsidR="00613369" w:rsidRPr="00CD1B10">
        <w:rPr>
          <w:rFonts w:ascii="Times New Roman" w:eastAsia="Times New Roman" w:hAnsi="Times New Roman" w:cs="Times New Roman"/>
          <w:sz w:val="24"/>
          <w:szCs w:val="24"/>
          <w:lang w:eastAsia="es-EC"/>
        </w:rPr>
        <w:t xml:space="preserve">and the use of digital resources. </w:t>
      </w:r>
      <w:r w:rsidR="00AA631B" w:rsidRPr="00CD1B10">
        <w:rPr>
          <w:rFonts w:ascii="Times New Roman" w:eastAsia="Times New Roman" w:hAnsi="Times New Roman" w:cs="Times New Roman"/>
          <w:sz w:val="24"/>
          <w:szCs w:val="24"/>
          <w:lang w:eastAsia="es-EC"/>
        </w:rPr>
        <w:t xml:space="preserve">In addition, it </w:t>
      </w:r>
      <w:r w:rsidR="00336F93" w:rsidRPr="00CD1B10">
        <w:rPr>
          <w:rFonts w:ascii="Times New Roman" w:eastAsia="Times New Roman" w:hAnsi="Times New Roman" w:cs="Times New Roman"/>
          <w:sz w:val="24"/>
          <w:szCs w:val="24"/>
          <w:lang w:eastAsia="es-EC"/>
        </w:rPr>
        <w:t xml:space="preserve">allows </w:t>
      </w:r>
      <w:r w:rsidR="003C38CF" w:rsidRPr="00CD1B10">
        <w:rPr>
          <w:rFonts w:ascii="Times New Roman" w:eastAsia="Times New Roman" w:hAnsi="Times New Roman" w:cs="Times New Roman"/>
          <w:sz w:val="24"/>
          <w:szCs w:val="24"/>
          <w:lang w:eastAsia="es-EC"/>
        </w:rPr>
        <w:t xml:space="preserve">progress with the curricula from </w:t>
      </w:r>
      <w:r w:rsidR="001F7E3C" w:rsidRPr="00CD1B10">
        <w:rPr>
          <w:rFonts w:ascii="Times New Roman" w:eastAsia="Times New Roman" w:hAnsi="Times New Roman" w:cs="Times New Roman"/>
          <w:sz w:val="24"/>
          <w:szCs w:val="24"/>
          <w:lang w:eastAsia="es-EC"/>
        </w:rPr>
        <w:t xml:space="preserve">home, and </w:t>
      </w:r>
      <w:r w:rsidR="003C38CF" w:rsidRPr="00CD1B10">
        <w:rPr>
          <w:rFonts w:ascii="Times New Roman" w:eastAsia="Times New Roman" w:hAnsi="Times New Roman" w:cs="Times New Roman"/>
          <w:sz w:val="24"/>
          <w:szCs w:val="24"/>
          <w:lang w:eastAsia="es-EC"/>
        </w:rPr>
        <w:t>at the same time allows families to have a higher degree of responsibility for managing their children's school hours</w:t>
      </w:r>
      <w:r w:rsidR="00336F93" w:rsidRPr="00CD1B10">
        <w:rPr>
          <w:rFonts w:ascii="Times New Roman" w:eastAsia="Times New Roman" w:hAnsi="Times New Roman" w:cs="Times New Roman"/>
          <w:sz w:val="24"/>
          <w:szCs w:val="24"/>
          <w:lang w:eastAsia="es-EC"/>
        </w:rPr>
        <w:t>.</w:t>
      </w:r>
    </w:p>
    <w:p w14:paraId="1C6287A6" w14:textId="31AF571A" w:rsidR="00805E98" w:rsidRPr="00CD1B10" w:rsidRDefault="004C5055" w:rsidP="002F2142">
      <w:pPr>
        <w:spacing w:before="100" w:beforeAutospacing="1" w:after="100" w:afterAutospacing="1" w:line="360" w:lineRule="auto"/>
        <w:jc w:val="both"/>
        <w:rPr>
          <w:rFonts w:ascii="Times New Roman" w:hAnsi="Times New Roman" w:cs="Times New Roman"/>
          <w:sz w:val="24"/>
          <w:szCs w:val="24"/>
        </w:rPr>
      </w:pPr>
      <w:r w:rsidRPr="00CD1B10">
        <w:rPr>
          <w:rFonts w:ascii="Times New Roman" w:eastAsia="Times New Roman" w:hAnsi="Times New Roman" w:cs="Times New Roman"/>
          <w:sz w:val="24"/>
          <w:szCs w:val="24"/>
          <w:lang w:eastAsia="es-EC"/>
        </w:rPr>
        <w:t xml:space="preserve">In this context, the present study aims to identify both the digital tools used and the skills that parents developed to organize their children's class hours at home. The purpose is to understand how they tried to avoid stress levels that would alter coexistence, particularly when faced with the difficulty of separating the time devoted to study from the time devoted to family life. </w:t>
      </w:r>
      <w:r w:rsidR="00805E98" w:rsidRPr="00CD1B10">
        <w:rPr>
          <w:rFonts w:ascii="Times New Roman" w:hAnsi="Times New Roman" w:cs="Times New Roman"/>
          <w:sz w:val="24"/>
          <w:szCs w:val="24"/>
        </w:rPr>
        <w:t>This research was</w:t>
      </w:r>
      <w:r w:rsidR="004B7BCF" w:rsidRPr="00CD1B10">
        <w:rPr>
          <w:rFonts w:ascii="Times New Roman" w:eastAsia="Times New Roman" w:hAnsi="Times New Roman" w:cs="Times New Roman"/>
          <w:sz w:val="24"/>
          <w:szCs w:val="24"/>
          <w:lang w:eastAsia="es-EC"/>
        </w:rPr>
        <w:t xml:space="preserve"> carried </w:t>
      </w:r>
      <w:r w:rsidR="007B7819" w:rsidRPr="00CD1B10">
        <w:rPr>
          <w:rFonts w:ascii="Times New Roman" w:hAnsi="Times New Roman" w:cs="Times New Roman"/>
          <w:sz w:val="24"/>
          <w:szCs w:val="24"/>
        </w:rPr>
        <w:t xml:space="preserve">out in a </w:t>
      </w:r>
      <w:r w:rsidR="00805E98" w:rsidRPr="00CD1B10">
        <w:rPr>
          <w:rFonts w:ascii="Times New Roman" w:hAnsi="Times New Roman" w:cs="Times New Roman"/>
          <w:sz w:val="24"/>
          <w:szCs w:val="24"/>
        </w:rPr>
        <w:t xml:space="preserve">public </w:t>
      </w:r>
      <w:r w:rsidR="007B7819" w:rsidRPr="00CD1B10">
        <w:rPr>
          <w:rFonts w:ascii="Times New Roman" w:hAnsi="Times New Roman" w:cs="Times New Roman"/>
          <w:sz w:val="24"/>
          <w:szCs w:val="24"/>
        </w:rPr>
        <w:t xml:space="preserve">institution </w:t>
      </w:r>
      <w:r w:rsidR="00CC0158" w:rsidRPr="00CD1B10">
        <w:rPr>
          <w:rFonts w:ascii="Times New Roman" w:hAnsi="Times New Roman" w:cs="Times New Roman"/>
          <w:sz w:val="24"/>
          <w:szCs w:val="24"/>
        </w:rPr>
        <w:t xml:space="preserve">in the city of Milagro </w:t>
      </w:r>
      <w:r w:rsidR="00E27627" w:rsidRPr="00CD1B10">
        <w:rPr>
          <w:rFonts w:ascii="Times New Roman" w:hAnsi="Times New Roman" w:cs="Times New Roman"/>
          <w:sz w:val="24"/>
          <w:szCs w:val="24"/>
        </w:rPr>
        <w:t>during the pandemic situation in the year 2021</w:t>
      </w:r>
      <w:r w:rsidR="00AD6DA1" w:rsidRPr="00CD1B10">
        <w:rPr>
          <w:rFonts w:ascii="Times New Roman" w:hAnsi="Times New Roman" w:cs="Times New Roman"/>
          <w:sz w:val="24"/>
          <w:szCs w:val="24"/>
        </w:rPr>
        <w:t xml:space="preserve">. </w:t>
      </w:r>
    </w:p>
    <w:p w14:paraId="040C86DD" w14:textId="3BD73D43" w:rsidR="00CB0C0A" w:rsidRPr="00CD1B10" w:rsidRDefault="000F1AFD"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 xml:space="preserve">Parents, </w:t>
      </w:r>
      <w:r w:rsidR="000106DA">
        <w:rPr>
          <w:rFonts w:ascii="Times New Roman" w:eastAsia="Times New Roman" w:hAnsi="Times New Roman" w:cs="Times New Roman"/>
          <w:sz w:val="24"/>
          <w:szCs w:val="24"/>
          <w:lang w:eastAsia="es-EC"/>
        </w:rPr>
        <w:t>despite</w:t>
      </w:r>
      <w:r w:rsidRPr="00CD1B10">
        <w:rPr>
          <w:rFonts w:ascii="Times New Roman" w:eastAsia="Times New Roman" w:hAnsi="Times New Roman" w:cs="Times New Roman"/>
          <w:sz w:val="24"/>
          <w:szCs w:val="24"/>
          <w:lang w:eastAsia="es-EC"/>
        </w:rPr>
        <w:t xml:space="preserve"> the </w:t>
      </w:r>
      <w:r w:rsidR="00271D59" w:rsidRPr="00CD1B10">
        <w:rPr>
          <w:rFonts w:ascii="Times New Roman" w:eastAsia="Times New Roman" w:hAnsi="Times New Roman" w:cs="Times New Roman"/>
          <w:sz w:val="24"/>
          <w:szCs w:val="24"/>
          <w:lang w:eastAsia="es-EC"/>
        </w:rPr>
        <w:t xml:space="preserve">events that </w:t>
      </w:r>
      <w:r w:rsidR="00E04C88" w:rsidRPr="00CD1B10">
        <w:rPr>
          <w:rFonts w:ascii="Times New Roman" w:eastAsia="Times New Roman" w:hAnsi="Times New Roman" w:cs="Times New Roman"/>
          <w:sz w:val="24"/>
          <w:szCs w:val="24"/>
          <w:lang w:eastAsia="es-EC"/>
        </w:rPr>
        <w:t xml:space="preserve">the world was going through due to the </w:t>
      </w:r>
      <w:r w:rsidR="00FC0469" w:rsidRPr="00CD1B10">
        <w:rPr>
          <w:rFonts w:ascii="Times New Roman" w:eastAsia="Times New Roman" w:hAnsi="Times New Roman" w:cs="Times New Roman"/>
          <w:sz w:val="24"/>
          <w:szCs w:val="24"/>
          <w:lang w:eastAsia="es-EC"/>
        </w:rPr>
        <w:t>pandemic</w:t>
      </w:r>
      <w:r w:rsidR="00A76CBB">
        <w:rPr>
          <w:rFonts w:ascii="Times New Roman" w:eastAsia="Times New Roman" w:hAnsi="Times New Roman" w:cs="Times New Roman"/>
          <w:sz w:val="24"/>
          <w:szCs w:val="24"/>
          <w:lang w:val="es-EC" w:eastAsia="es-EC"/>
        </w:rPr>
        <w:fldChar w:fldCharType="begin"/>
      </w:r>
      <w:r w:rsidR="00A76CBB" w:rsidRPr="00CD1B10">
        <w:rPr>
          <w:rFonts w:ascii="Times New Roman" w:eastAsia="Times New Roman" w:hAnsi="Times New Roman" w:cs="Times New Roman"/>
          <w:sz w:val="24"/>
          <w:szCs w:val="24"/>
          <w:lang w:eastAsia="es-EC"/>
        </w:rPr>
        <w:instrText xml:space="preserve"> ADDIN ZOTERO_ITEM CSL_CITATION {"citationID":"tX2cgZ5k","properties":{"formattedCitation":"(Chen et\\uc0\\u160{}al., 2022)","plainCitation":"(Chen et al., 2022)","noteIndex":0},"citationItems":[{"id":2833,"uris":["http://zotero.org/users/11513704/items/A63PPDKD"],"itemData":{"id":2833,"type":"article-journal","abstract":"The COVID-19 pandemic has had substantial health, social, and economic effects on families. Consequent lockdowns and school closures heightened the burden on parents of school-age children. Many parents, while working from home, had to care for their children with restricted access to caregiver resources and to support their children’s education through homeschooling or remote learning provided by their schools. These duties created challenges and pressures on parents. Using online survey data collected from 197 parents of school-age (Prek-12) children during the first three months of the COVID-19 pandemic in the U.S., this preliminary study examined the relations among COVID-19-related stressors, including fear of COVID-19 and problems associated with school closures, parenting stress, and parental psychological well-being. Fear of COVID-19 and various issues associated with school closures were related to parenting stress and parental well-being. Parents with less instrumental and emotional support reported higher levels of parenting stress and lower levels of psychological well-being. The results of hierarchical multiple regressions revealed that parenting stress was the strongest predictor of parental psychological distress. Social support was associated with parental well-being but did not mediate the relation between parenting stress and parental well-being. The findings suggest that parenting stress during the COVID-19 lockdowns might take a toll on the mental health of parents of school-age children. Parents of school-age children need multiple layers of support, including targeted support addressing stressors related to school closures and parenting under quarantine. © 2022, The Author(s), under exclusive licence to Springer Science+Business Media, LLC, part of Springer Nature.","archive":"Scopus","container-title":"Journal of Child and Family Studies","DOI":"10.1007/s10826-022-02321-1","issue":"6","page":"1558-1569","source":"Scopus","title":"A Preliminary Study of COVID-19-related Stressors, Parenting Stress, and Parental Psychological Well-being Among Parents of School-age Children","volume":"31","author":[{"family":"Chen","given":"C.Y.-C."},{"family":"Byrne","given":"E."},{"family":"Vélez","given":"T."}],"issued":{"date-parts":[["2022"]]}}}],"schema":"https://github.com/citation-style-language/schema/raw/master/csl-citation.json"} </w:instrText>
      </w:r>
      <w:r w:rsidR="00A76CBB">
        <w:rPr>
          <w:rFonts w:ascii="Times New Roman" w:eastAsia="Times New Roman" w:hAnsi="Times New Roman" w:cs="Times New Roman"/>
          <w:sz w:val="24"/>
          <w:szCs w:val="24"/>
          <w:lang w:val="es-EC" w:eastAsia="es-EC"/>
        </w:rPr>
        <w:fldChar w:fldCharType="separate"/>
      </w:r>
      <w:r w:rsidR="00A76CBB" w:rsidRPr="00CD1B10">
        <w:rPr>
          <w:rFonts w:ascii="Times New Roman" w:hAnsi="Times New Roman" w:cs="Times New Roman"/>
          <w:sz w:val="24"/>
          <w:szCs w:val="24"/>
        </w:rPr>
        <w:t xml:space="preserve"> (Chen et al., 2022)</w:t>
      </w:r>
      <w:r w:rsidR="00A76CBB">
        <w:rPr>
          <w:rFonts w:ascii="Times New Roman" w:eastAsia="Times New Roman" w:hAnsi="Times New Roman" w:cs="Times New Roman"/>
          <w:sz w:val="24"/>
          <w:szCs w:val="24"/>
          <w:lang w:val="es-EC" w:eastAsia="es-EC"/>
        </w:rPr>
        <w:fldChar w:fldCharType="end"/>
      </w:r>
      <w:r w:rsidR="00FC0469" w:rsidRPr="00CD1B10">
        <w:rPr>
          <w:rFonts w:ascii="Times New Roman" w:eastAsia="Times New Roman" w:hAnsi="Times New Roman" w:cs="Times New Roman"/>
          <w:sz w:val="24"/>
          <w:szCs w:val="24"/>
          <w:lang w:eastAsia="es-EC"/>
        </w:rPr>
        <w:t xml:space="preserve">, accepted </w:t>
      </w:r>
      <w:r w:rsidR="00CB0C0A" w:rsidRPr="00CD1B10">
        <w:rPr>
          <w:rFonts w:ascii="Times New Roman" w:eastAsia="Times New Roman" w:hAnsi="Times New Roman" w:cs="Times New Roman"/>
          <w:sz w:val="24"/>
          <w:szCs w:val="24"/>
          <w:lang w:eastAsia="es-EC"/>
        </w:rPr>
        <w:t xml:space="preserve">the responsibility to </w:t>
      </w:r>
      <w:r w:rsidR="00FC0469" w:rsidRPr="00CD1B10">
        <w:rPr>
          <w:rFonts w:ascii="Times New Roman" w:eastAsia="Times New Roman" w:hAnsi="Times New Roman" w:cs="Times New Roman"/>
          <w:sz w:val="24"/>
          <w:szCs w:val="24"/>
          <w:lang w:eastAsia="es-EC"/>
        </w:rPr>
        <w:t xml:space="preserve">continue to fulfill </w:t>
      </w:r>
      <w:r w:rsidR="00CB0C0A" w:rsidRPr="00CD1B10">
        <w:rPr>
          <w:rFonts w:ascii="Times New Roman" w:eastAsia="Times New Roman" w:hAnsi="Times New Roman" w:cs="Times New Roman"/>
          <w:sz w:val="24"/>
          <w:szCs w:val="24"/>
          <w:lang w:eastAsia="es-EC"/>
        </w:rPr>
        <w:t xml:space="preserve">and watch over the education of their children in such a way that they </w:t>
      </w:r>
      <w:r w:rsidR="00190DBB" w:rsidRPr="00CD1B10">
        <w:rPr>
          <w:rFonts w:ascii="Times New Roman" w:eastAsia="Times New Roman" w:hAnsi="Times New Roman" w:cs="Times New Roman"/>
          <w:sz w:val="24"/>
          <w:szCs w:val="24"/>
          <w:lang w:eastAsia="es-EC"/>
        </w:rPr>
        <w:t xml:space="preserve">helped </w:t>
      </w:r>
      <w:r w:rsidR="001853BF" w:rsidRPr="00CD1B10">
        <w:rPr>
          <w:rFonts w:ascii="Times New Roman" w:eastAsia="Times New Roman" w:hAnsi="Times New Roman" w:cs="Times New Roman"/>
          <w:sz w:val="24"/>
          <w:szCs w:val="24"/>
          <w:lang w:eastAsia="es-EC"/>
        </w:rPr>
        <w:t xml:space="preserve">to guide school activities at home in a </w:t>
      </w:r>
      <w:r w:rsidR="00675442" w:rsidRPr="00CD1B10">
        <w:rPr>
          <w:rFonts w:ascii="Times New Roman" w:eastAsia="Times New Roman" w:hAnsi="Times New Roman" w:cs="Times New Roman"/>
          <w:sz w:val="24"/>
          <w:szCs w:val="24"/>
          <w:lang w:eastAsia="es-EC"/>
        </w:rPr>
        <w:t>virtual</w:t>
      </w:r>
      <w:r w:rsidR="001853BF" w:rsidRPr="00CD1B10">
        <w:rPr>
          <w:rFonts w:ascii="Times New Roman" w:eastAsia="Times New Roman" w:hAnsi="Times New Roman" w:cs="Times New Roman"/>
          <w:sz w:val="24"/>
          <w:szCs w:val="24"/>
          <w:lang w:eastAsia="es-EC"/>
        </w:rPr>
        <w:t xml:space="preserve"> way</w:t>
      </w:r>
      <w:r w:rsidR="001431F0">
        <w:rPr>
          <w:rFonts w:ascii="Times New Roman" w:eastAsia="Times New Roman" w:hAnsi="Times New Roman" w:cs="Times New Roman"/>
          <w:sz w:val="24"/>
          <w:szCs w:val="24"/>
          <w:lang w:val="es-EC" w:eastAsia="es-EC"/>
        </w:rPr>
        <w:fldChar w:fldCharType="begin"/>
      </w:r>
      <w:r w:rsidR="00F70CA5" w:rsidRPr="00CD1B10">
        <w:rPr>
          <w:rFonts w:ascii="Times New Roman" w:eastAsia="Times New Roman" w:hAnsi="Times New Roman" w:cs="Times New Roman"/>
          <w:sz w:val="24"/>
          <w:szCs w:val="24"/>
          <w:lang w:eastAsia="es-EC"/>
        </w:rPr>
        <w:instrText xml:space="preserve"> ADDIN ZOTERO_ITEM CSL_CITATION {"citationID":"aHr4LBwg","properties":{"formattedCitation":"(Chen et\\uc0\\u160{}al., 2022; Coniglio et\\uc0\\u160{}al., 2025; Zhang, 2021)","plainCitation":"(Chen et al., 2022; Coniglio et al., 2025; Zhang, 2021)","noteIndex":0},"citationItems":[{"id":2833,"uris":["http://zotero.org/users/11513704/items/A63PPDKD"],"itemData":{"id":2833,"type":"article-journal","abstract":"The COVID-19 pandemic has had substantial health, social, and economic effects on families. Consequent lockdowns and school closures heightened the burden on parents of school-age children. Many parents, while working from home, had to care for their children with restricted access to caregiver resources and to support their children’s education through homeschooling or remote learning provided by their schools. These duties created challenges and pressures on parents. Using online survey data collected from 197 parents of school-age (Prek-12) children during the first three months of the COVID-19 pandemic in the U.S., this preliminary study examined the relations among COVID-19-related stressors, including fear of COVID-19 and problems associated with school closures, parenting stress, and parental psychological well-being. Fear of COVID-19 and various issues associated with school closures were related to parenting stress and parental well-being. Parents with less instrumental and emotional support reported higher levels of parenting stress and lower levels of psychological well-being. The results of hierarchical multiple regressions revealed that parenting stress was the strongest predictor of parental psychological distress. Social support was associated with parental well-being but did not mediate the relation between parenting stress and parental well-being. The findings suggest that parenting stress during the COVID-19 lockdowns might take a toll on the mental health of parents of school-age children. Parents of school-age children need multiple layers of support, including targeted support addressing stressors related to school closures and parenting under quarantine. © 2022, The Author(s), under exclusive licence to Springer Science+Business Media, LLC, part of Springer Nature.","archive":"Scopus","container-title":"Journal of Child and Family Studies","DOI":"10.1007/s10826-022-02321-1","issue":"6","page":"1558-1569","source":"Scopus","title":"A Preliminary Study of COVID-19-related Stressors, Parenting Stress, and Parental Psychological Well-being Among Parents of School-age Children","volume":"31","author":[{"family":"Chen","given":"C.Y.-C."},{"family":"Byrne","given":"E."},{"family":"Vélez","given":"T."}],"issued":{"date-parts":[["2022"]]}},"label":"page"},{"id":2827,"uris":["http://zotero.org/users/11513704/items/H8HGQSJ8"],"itemData":{"id":2827,"type":"article-journal","abstract":"The COVID-19 pandemic generated an unprecedented educational supply shock due to prolonged schools’ closures. Using time-use data representative of the U.S. population, we examine how parents’ involvement in educational activities with school-age children changed to cope with the shock. We find that parents do not participated more frequently in educational activities with their children during the pandemic but the time they spent in educational activities, especially with younger children, was significantly increased. We also find that wealthier parents spent less time in educational activities with children, likely due to higher opportunity costs. These findings have important implications for educational and distributional policies. © 2023 Informa UK Limited, trading as Taylor &amp; Francis Group.","archive":"Scopus","container-title":"Applied Economics Letters","DOI":"10.1080/13504851.2023.2269625","issue":"3","page":"346-350","source":"Scopus","title":"Coping with education supply shocks: how COVID-19 affected parents’ time spent on children’s education","title-short":"Coping with education supply shocks","volume":"32","author":[{"family":"Coniglio","given":"N.D."},{"family":"Hoxhaj","given":"R."},{"family":"Jayet","given":"H."}],"issued":{"date-parts":[["2025"]]}},"label":"page"},{"id":2828,"uris":["http://zotero.org/users/11513704/items/AVAG3QE8"],"itemData":{"id":2828,"type":"article-journal","abstract":"School closures during the COVID-19 pandemic have forced many children around the world to spend unprecedented amounts of time at home, and the responsibility for educating children, especially young ones, has largely fallen to parents and caregivers. Using a sample of 764 households with preschool children in Wuhan, China, where the pandemic started, this study examined the impact of the pandemic on primary caregivers' involvement in their children's education at home, and the barriers and benefits of such involvement for preschool children's learning and well-being. The results showed that primary caregivers were generally less involved in their children's education at home during the pandemic than they were prior to it. Having younger children, a lower socioeconomic status (i.e., parents' lower levels of education and less prestigious occupations), poorer physical health, and higher levels of household chaos were associated with lower frequencies of home-based involvement exhibited by caregivers. Finally, caregivers' home-based involvement during the pandemic was beneficial to preschool children's learning behavior and emotional health. The findings highlight the importance of understanding the barriers and benefits of caregivers' home-based involvement for designing interventions and policies to mitigate the negative impact of the pandemic on children and their families. © 2021 Elsevier Ltd","archive":"Scopus","container-title":"International Journal of Disaster Risk Reduction","DOI":"10.1016/j.ijdrr.2021.102570","source":"Scopus","title":"Barriers and benefits of primary caregivers' involvement in children's education during COVID-19 school closures","volume":"66","author":[{"family":"Zhang","given":"X."}],"issued":{"date-parts":[["2021"]]}},"label":"page"}],"schema":"https://github.com/citation-style-language/schema/raw/master/csl-citation.json"} </w:instrText>
      </w:r>
      <w:r w:rsidR="001431F0">
        <w:rPr>
          <w:rFonts w:ascii="Times New Roman" w:eastAsia="Times New Roman" w:hAnsi="Times New Roman" w:cs="Times New Roman"/>
          <w:sz w:val="24"/>
          <w:szCs w:val="24"/>
          <w:lang w:val="es-EC" w:eastAsia="es-EC"/>
        </w:rPr>
        <w:fldChar w:fldCharType="separate"/>
      </w:r>
      <w:r w:rsidR="00F70CA5" w:rsidRPr="00CD1B10">
        <w:rPr>
          <w:rFonts w:ascii="Times New Roman" w:hAnsi="Times New Roman" w:cs="Times New Roman"/>
          <w:sz w:val="24"/>
          <w:szCs w:val="24"/>
        </w:rPr>
        <w:t xml:space="preserve"> (Chen et al., 2022; Coniglio et al., 2025; Zhang, 2021)</w:t>
      </w:r>
      <w:r w:rsidR="001431F0">
        <w:rPr>
          <w:rFonts w:ascii="Times New Roman" w:eastAsia="Times New Roman" w:hAnsi="Times New Roman" w:cs="Times New Roman"/>
          <w:sz w:val="24"/>
          <w:szCs w:val="24"/>
          <w:lang w:val="es-EC" w:eastAsia="es-EC"/>
        </w:rPr>
        <w:fldChar w:fldCharType="end"/>
      </w:r>
      <w:r w:rsidR="00190DBB" w:rsidRPr="00CD1B10">
        <w:rPr>
          <w:rFonts w:ascii="Times New Roman" w:eastAsia="Times New Roman" w:hAnsi="Times New Roman" w:cs="Times New Roman"/>
          <w:sz w:val="24"/>
          <w:szCs w:val="24"/>
          <w:lang w:eastAsia="es-EC"/>
        </w:rPr>
        <w:t xml:space="preserve">, in way that </w:t>
      </w:r>
      <w:r w:rsidR="002E2A5B" w:rsidRPr="00CD1B10">
        <w:rPr>
          <w:rFonts w:ascii="Times New Roman" w:eastAsia="Times New Roman" w:hAnsi="Times New Roman" w:cs="Times New Roman"/>
          <w:sz w:val="24"/>
          <w:szCs w:val="24"/>
          <w:lang w:eastAsia="es-EC"/>
        </w:rPr>
        <w:t xml:space="preserve">allows the </w:t>
      </w:r>
      <w:r w:rsidR="004F426F" w:rsidRPr="00CD1B10">
        <w:rPr>
          <w:rFonts w:ascii="Times New Roman" w:eastAsia="Times New Roman" w:hAnsi="Times New Roman" w:cs="Times New Roman"/>
          <w:sz w:val="24"/>
          <w:szCs w:val="24"/>
          <w:lang w:eastAsia="es-EC"/>
        </w:rPr>
        <w:t xml:space="preserve">satisfactory </w:t>
      </w:r>
      <w:r w:rsidR="00190DBB" w:rsidRPr="00CD1B10">
        <w:rPr>
          <w:rFonts w:ascii="Times New Roman" w:eastAsia="Times New Roman" w:hAnsi="Times New Roman" w:cs="Times New Roman"/>
          <w:sz w:val="24"/>
          <w:szCs w:val="24"/>
          <w:lang w:eastAsia="es-EC"/>
        </w:rPr>
        <w:t>completion</w:t>
      </w:r>
      <w:r w:rsidR="004F426F" w:rsidRPr="00CD1B10">
        <w:rPr>
          <w:rFonts w:ascii="Times New Roman" w:eastAsia="Times New Roman" w:hAnsi="Times New Roman" w:cs="Times New Roman"/>
          <w:sz w:val="24"/>
          <w:szCs w:val="24"/>
          <w:lang w:eastAsia="es-EC"/>
        </w:rPr>
        <w:t xml:space="preserve"> of </w:t>
      </w:r>
      <w:r w:rsidR="00190DBB" w:rsidRPr="00CD1B10">
        <w:rPr>
          <w:rFonts w:ascii="Times New Roman" w:eastAsia="Times New Roman" w:hAnsi="Times New Roman" w:cs="Times New Roman"/>
          <w:sz w:val="24"/>
          <w:szCs w:val="24"/>
          <w:lang w:eastAsia="es-EC"/>
        </w:rPr>
        <w:t xml:space="preserve">the children's </w:t>
      </w:r>
      <w:r w:rsidR="004F426F" w:rsidRPr="00CD1B10">
        <w:rPr>
          <w:rFonts w:ascii="Times New Roman" w:eastAsia="Times New Roman" w:hAnsi="Times New Roman" w:cs="Times New Roman"/>
          <w:sz w:val="24"/>
          <w:szCs w:val="24"/>
          <w:lang w:eastAsia="es-EC"/>
        </w:rPr>
        <w:t>studies</w:t>
      </w:r>
      <w:r w:rsidR="00282C79" w:rsidRPr="00CD1B10">
        <w:rPr>
          <w:rFonts w:ascii="Times New Roman" w:eastAsia="Times New Roman" w:hAnsi="Times New Roman" w:cs="Times New Roman"/>
          <w:sz w:val="24"/>
          <w:szCs w:val="24"/>
          <w:lang w:eastAsia="es-EC"/>
        </w:rPr>
        <w:t xml:space="preserve">, </w:t>
      </w:r>
      <w:r w:rsidR="00A47C54" w:rsidRPr="00CD1B10">
        <w:rPr>
          <w:rFonts w:ascii="Times New Roman" w:eastAsia="Times New Roman" w:hAnsi="Times New Roman" w:cs="Times New Roman"/>
          <w:sz w:val="24"/>
          <w:szCs w:val="24"/>
          <w:lang w:eastAsia="es-EC"/>
        </w:rPr>
        <w:t xml:space="preserve">those situations </w:t>
      </w:r>
      <w:r w:rsidR="00B64969" w:rsidRPr="00CD1B10">
        <w:rPr>
          <w:rFonts w:ascii="Times New Roman" w:eastAsia="Times New Roman" w:hAnsi="Times New Roman" w:cs="Times New Roman"/>
          <w:sz w:val="24"/>
          <w:szCs w:val="24"/>
          <w:lang w:eastAsia="es-EC"/>
        </w:rPr>
        <w:t xml:space="preserve">added up to </w:t>
      </w:r>
      <w:r w:rsidR="00A47C54" w:rsidRPr="00CD1B10">
        <w:rPr>
          <w:rFonts w:ascii="Times New Roman" w:eastAsia="Times New Roman" w:hAnsi="Times New Roman" w:cs="Times New Roman"/>
          <w:sz w:val="24"/>
          <w:szCs w:val="24"/>
          <w:lang w:eastAsia="es-EC"/>
        </w:rPr>
        <w:t xml:space="preserve">an </w:t>
      </w:r>
      <w:r w:rsidR="00D30BE4" w:rsidRPr="00CD1B10">
        <w:rPr>
          <w:rFonts w:ascii="Times New Roman" w:eastAsia="Times New Roman" w:hAnsi="Times New Roman" w:cs="Times New Roman"/>
          <w:sz w:val="24"/>
          <w:szCs w:val="24"/>
          <w:lang w:eastAsia="es-EC"/>
        </w:rPr>
        <w:t xml:space="preserve">overload of activities and responsibility </w:t>
      </w:r>
      <w:r w:rsidR="00290A8B" w:rsidRPr="00CD1B10">
        <w:rPr>
          <w:rFonts w:ascii="Times New Roman" w:eastAsia="Times New Roman" w:hAnsi="Times New Roman" w:cs="Times New Roman"/>
          <w:sz w:val="24"/>
          <w:szCs w:val="24"/>
          <w:lang w:eastAsia="es-EC"/>
        </w:rPr>
        <w:t xml:space="preserve">added to the confinement that generates stress in </w:t>
      </w:r>
      <w:r w:rsidR="00B64969" w:rsidRPr="00CD1B10">
        <w:rPr>
          <w:rFonts w:ascii="Times New Roman" w:eastAsia="Times New Roman" w:hAnsi="Times New Roman" w:cs="Times New Roman"/>
          <w:sz w:val="24"/>
          <w:szCs w:val="24"/>
          <w:lang w:eastAsia="es-EC"/>
        </w:rPr>
        <w:t xml:space="preserve">the </w:t>
      </w:r>
      <w:r w:rsidR="00D30BE4" w:rsidRPr="00CD1B10">
        <w:rPr>
          <w:rFonts w:ascii="Times New Roman" w:eastAsia="Times New Roman" w:hAnsi="Times New Roman" w:cs="Times New Roman"/>
          <w:sz w:val="24"/>
          <w:szCs w:val="24"/>
          <w:lang w:eastAsia="es-EC"/>
        </w:rPr>
        <w:t>family nucleus</w:t>
      </w:r>
      <w:r w:rsidR="00290A8B" w:rsidRPr="00CD1B10">
        <w:rPr>
          <w:rFonts w:ascii="Times New Roman" w:eastAsia="Times New Roman" w:hAnsi="Times New Roman" w:cs="Times New Roman"/>
          <w:sz w:val="24"/>
          <w:szCs w:val="24"/>
          <w:lang w:eastAsia="es-EC"/>
        </w:rPr>
        <w:t xml:space="preserve">. </w:t>
      </w:r>
      <w:r w:rsidR="002042E6" w:rsidRPr="00CD1B10">
        <w:rPr>
          <w:rFonts w:ascii="Times New Roman" w:eastAsia="Times New Roman" w:hAnsi="Times New Roman" w:cs="Times New Roman"/>
          <w:sz w:val="24"/>
          <w:szCs w:val="24"/>
          <w:lang w:eastAsia="es-EC"/>
        </w:rPr>
        <w:t xml:space="preserve">Compliance with the </w:t>
      </w:r>
      <w:r w:rsidR="00A76547" w:rsidRPr="00CD1B10">
        <w:rPr>
          <w:rFonts w:ascii="Times New Roman" w:eastAsia="Times New Roman" w:hAnsi="Times New Roman" w:cs="Times New Roman"/>
          <w:sz w:val="24"/>
          <w:szCs w:val="24"/>
          <w:lang w:eastAsia="es-EC"/>
        </w:rPr>
        <w:t xml:space="preserve">strict measures of confinement </w:t>
      </w:r>
      <w:r w:rsidR="00780EDE" w:rsidRPr="00CD1B10">
        <w:rPr>
          <w:rFonts w:ascii="Times New Roman" w:eastAsia="Times New Roman" w:hAnsi="Times New Roman" w:cs="Times New Roman"/>
          <w:sz w:val="24"/>
          <w:szCs w:val="24"/>
          <w:lang w:eastAsia="es-EC"/>
        </w:rPr>
        <w:t xml:space="preserve">caused friction among family members, weakening </w:t>
      </w:r>
      <w:r w:rsidR="00F73F51" w:rsidRPr="00CD1B10">
        <w:rPr>
          <w:rFonts w:ascii="Times New Roman" w:eastAsia="Times New Roman" w:hAnsi="Times New Roman" w:cs="Times New Roman"/>
          <w:sz w:val="24"/>
          <w:szCs w:val="24"/>
          <w:lang w:eastAsia="es-EC"/>
        </w:rPr>
        <w:t>the family system.</w:t>
      </w:r>
    </w:p>
    <w:p w14:paraId="4EA8C232" w14:textId="77777777" w:rsidR="003529A8" w:rsidRDefault="003529A8" w:rsidP="002F2142">
      <w:pPr>
        <w:spacing w:before="100" w:beforeAutospacing="1" w:after="100" w:afterAutospacing="1" w:line="360" w:lineRule="auto"/>
        <w:jc w:val="both"/>
        <w:rPr>
          <w:rFonts w:ascii="Times New Roman" w:eastAsia="Times New Roman" w:hAnsi="Times New Roman" w:cs="Times New Roman"/>
          <w:b/>
          <w:bCs/>
          <w:sz w:val="24"/>
          <w:szCs w:val="24"/>
          <w:lang w:eastAsia="es-EC"/>
        </w:rPr>
      </w:pPr>
    </w:p>
    <w:p w14:paraId="0E38622B" w14:textId="77777777" w:rsidR="003529A8" w:rsidRDefault="003529A8" w:rsidP="002F2142">
      <w:pPr>
        <w:spacing w:before="100" w:beforeAutospacing="1" w:after="100" w:afterAutospacing="1" w:line="360" w:lineRule="auto"/>
        <w:jc w:val="both"/>
        <w:rPr>
          <w:rFonts w:ascii="Times New Roman" w:eastAsia="Times New Roman" w:hAnsi="Times New Roman" w:cs="Times New Roman"/>
          <w:b/>
          <w:bCs/>
          <w:sz w:val="24"/>
          <w:szCs w:val="24"/>
          <w:lang w:eastAsia="es-EC"/>
        </w:rPr>
      </w:pPr>
    </w:p>
    <w:p w14:paraId="44082527" w14:textId="3B2ED1EE" w:rsidR="00967C88" w:rsidRPr="00CD1B10" w:rsidRDefault="000B26CB" w:rsidP="002F2142">
      <w:pPr>
        <w:spacing w:before="100" w:beforeAutospacing="1" w:after="100" w:afterAutospacing="1" w:line="360" w:lineRule="auto"/>
        <w:jc w:val="both"/>
        <w:rPr>
          <w:rFonts w:ascii="Times New Roman" w:eastAsia="Times New Roman" w:hAnsi="Times New Roman" w:cs="Times New Roman"/>
          <w:b/>
          <w:bCs/>
          <w:sz w:val="24"/>
          <w:szCs w:val="24"/>
          <w:lang w:eastAsia="es-EC"/>
        </w:rPr>
      </w:pPr>
      <w:r w:rsidRPr="00CD1B10">
        <w:rPr>
          <w:rFonts w:ascii="Times New Roman" w:eastAsia="Times New Roman" w:hAnsi="Times New Roman" w:cs="Times New Roman"/>
          <w:b/>
          <w:bCs/>
          <w:sz w:val="24"/>
          <w:szCs w:val="24"/>
          <w:lang w:eastAsia="es-EC"/>
        </w:rPr>
        <w:t>Methodology</w:t>
      </w:r>
    </w:p>
    <w:p w14:paraId="1E3F82DD" w14:textId="448F96F7" w:rsidR="00962636" w:rsidRPr="00CD1B10" w:rsidRDefault="00B230D7"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lastRenderedPageBreak/>
        <w:t xml:space="preserve">For this </w:t>
      </w:r>
      <w:r w:rsidR="0031735E" w:rsidRPr="00CD1B10">
        <w:rPr>
          <w:rFonts w:ascii="Times New Roman" w:eastAsia="Times New Roman" w:hAnsi="Times New Roman" w:cs="Times New Roman"/>
          <w:sz w:val="24"/>
          <w:szCs w:val="24"/>
          <w:lang w:eastAsia="es-EC"/>
        </w:rPr>
        <w:t xml:space="preserve">research </w:t>
      </w:r>
      <w:r w:rsidRPr="00CD1B10">
        <w:rPr>
          <w:rFonts w:ascii="Times New Roman" w:eastAsia="Times New Roman" w:hAnsi="Times New Roman" w:cs="Times New Roman"/>
          <w:sz w:val="24"/>
          <w:szCs w:val="24"/>
          <w:lang w:eastAsia="es-EC"/>
        </w:rPr>
        <w:t>study</w:t>
      </w:r>
      <w:r w:rsidR="0031735E" w:rsidRPr="00CD1B10">
        <w:rPr>
          <w:rFonts w:ascii="Times New Roman" w:eastAsia="Times New Roman" w:hAnsi="Times New Roman" w:cs="Times New Roman"/>
          <w:sz w:val="24"/>
          <w:szCs w:val="24"/>
          <w:lang w:eastAsia="es-EC"/>
        </w:rPr>
        <w:t xml:space="preserve">, a quantitative approach of non-experimental, </w:t>
      </w:r>
      <w:r w:rsidR="00DC17B3" w:rsidRPr="00CD1B10">
        <w:rPr>
          <w:rFonts w:ascii="Times New Roman" w:eastAsia="Times New Roman" w:hAnsi="Times New Roman" w:cs="Times New Roman"/>
          <w:sz w:val="24"/>
          <w:szCs w:val="24"/>
          <w:lang w:eastAsia="es-EC"/>
        </w:rPr>
        <w:t>cross-sectional, descriptive</w:t>
      </w:r>
      <w:r w:rsidR="003529A8">
        <w:rPr>
          <w:rFonts w:ascii="Times New Roman" w:eastAsia="Times New Roman" w:hAnsi="Times New Roman" w:cs="Times New Roman"/>
          <w:sz w:val="24"/>
          <w:szCs w:val="24"/>
          <w:lang w:eastAsia="es-EC"/>
        </w:rPr>
        <w:t>,</w:t>
      </w:r>
      <w:r w:rsidR="00DC17B3" w:rsidRPr="00CD1B10">
        <w:rPr>
          <w:rFonts w:ascii="Times New Roman" w:eastAsia="Times New Roman" w:hAnsi="Times New Roman" w:cs="Times New Roman"/>
          <w:sz w:val="24"/>
          <w:szCs w:val="24"/>
          <w:lang w:eastAsia="es-EC"/>
        </w:rPr>
        <w:t xml:space="preserve"> and correlational </w:t>
      </w:r>
      <w:r w:rsidR="0031735E" w:rsidRPr="00CD1B10">
        <w:rPr>
          <w:rFonts w:ascii="Times New Roman" w:eastAsia="Times New Roman" w:hAnsi="Times New Roman" w:cs="Times New Roman"/>
          <w:sz w:val="24"/>
          <w:szCs w:val="24"/>
          <w:lang w:eastAsia="es-EC"/>
        </w:rPr>
        <w:t xml:space="preserve">design </w:t>
      </w:r>
      <w:r w:rsidR="003529A8">
        <w:rPr>
          <w:rFonts w:ascii="Times New Roman" w:eastAsia="Times New Roman" w:hAnsi="Times New Roman" w:cs="Times New Roman"/>
          <w:sz w:val="24"/>
          <w:szCs w:val="24"/>
          <w:lang w:eastAsia="es-EC"/>
        </w:rPr>
        <w:t>was</w:t>
      </w:r>
      <w:r w:rsidR="0031735E" w:rsidRPr="00CD1B10">
        <w:rPr>
          <w:rFonts w:ascii="Times New Roman" w:eastAsia="Times New Roman" w:hAnsi="Times New Roman" w:cs="Times New Roman"/>
          <w:sz w:val="24"/>
          <w:szCs w:val="24"/>
          <w:lang w:eastAsia="es-EC"/>
        </w:rPr>
        <w:t xml:space="preserve"> applied</w:t>
      </w:r>
      <w:r w:rsidR="003A2B68">
        <w:rPr>
          <w:rFonts w:ascii="Times New Roman" w:eastAsia="Times New Roman" w:hAnsi="Times New Roman" w:cs="Times New Roman"/>
          <w:sz w:val="24"/>
          <w:szCs w:val="24"/>
          <w:lang w:val="es-EC" w:eastAsia="es-EC"/>
        </w:rPr>
        <w:fldChar w:fldCharType="begin"/>
      </w:r>
      <w:r w:rsidR="0000675B" w:rsidRPr="00CD1B10">
        <w:rPr>
          <w:rFonts w:ascii="Times New Roman" w:eastAsia="Times New Roman" w:hAnsi="Times New Roman" w:cs="Times New Roman"/>
          <w:sz w:val="24"/>
          <w:szCs w:val="24"/>
          <w:lang w:eastAsia="es-EC"/>
        </w:rPr>
        <w:instrText xml:space="preserve"> ADDIN ZOTERO_ITEM CSL_CITATION {"citationID":"OrupNJnf","properties":{"formattedCitation":"(Ato et\\uc0\\u160{}al., 2013; Hern\\uc0\\u225{}ndez Sampieri &amp; Mendoza Torres, 2018)","plainCitation":"(Ato et al., 2013; Hernández Sampieri &amp; Mendoza Torres, 2018)","noteIndex":0},"citationItems":[{"id":2600,"uris":["http://zotero.org/users/11513704/items/93RE8CRJ"],"itemData":{"id":2600,"type":"article-journal","abstract":"Revista de las diversas áreas temáticas de la psicología científica que se publica desde 1984. Contiene artículos originales de investigación, en los ámbitos básicos, metodológicos y aplicados de la psicología.\nJournal of the various thematic areas of scientific psychology that has been published since 1984. It contains original research articles in the basic, methodological and applied areas of psychology.","archive_location":"Quarterly","container-title":"Anales de Psicología / Annals of Psychology","DOI":"10.6018/analesps.29.3.178511","ISSN":"1695-2294","issue":"3","language":"es","license":"Creative Commons BY-SA","note":"number: 3\npublisher: Universidad de Murcia","page":"1038-1059","source":"revistas.um.es","title":"Un sistema de clasificación de los diseños de investigación en psicología","volume":"29","author":[{"family":"Ato","given":"Manuel"},{"family":"López-García","given":"Juan J."},{"family":"Benavente","given":"Ana"}],"issued":{"date-parts":[["2013",9,20]]}},"label":"page"},{"id":2595,"uris":["http://zotero.org/users/11513704/items/PKJH75LY"],"itemData":{"id":2595,"type":"book","edition":"First edition","event-place":"México","ISBN":"978-1-4562-6096-5","language":"es","note":"OCLC: 1076932853","publisher":"McGraw-Hill Education","publisher-place":"México","source":"Open WorldCat","title":"Metodología de la investigación: las rutas cuantitativa, cualitativa y mixta","title-short":"Metodología de la investigación","author":[{"family":"Hernández Sampieri","given":"Roberto"},{"family":"Mendoza Torres","given":"Christian Paulina"}],"issued":{"date-parts":[["2018"]]}},"label":"page"}],"schema":"https://github.com/citation-style-language/schema/raw/master/csl-citation.json"} </w:instrText>
      </w:r>
      <w:r w:rsidR="003A2B68">
        <w:rPr>
          <w:rFonts w:ascii="Times New Roman" w:eastAsia="Times New Roman" w:hAnsi="Times New Roman" w:cs="Times New Roman"/>
          <w:sz w:val="24"/>
          <w:szCs w:val="24"/>
          <w:lang w:val="es-EC" w:eastAsia="es-EC"/>
        </w:rPr>
        <w:fldChar w:fldCharType="separate"/>
      </w:r>
      <w:r w:rsidR="0000675B" w:rsidRPr="00CD1B10">
        <w:rPr>
          <w:rFonts w:ascii="Times New Roman" w:hAnsi="Times New Roman" w:cs="Times New Roman"/>
          <w:sz w:val="24"/>
          <w:szCs w:val="24"/>
        </w:rPr>
        <w:t xml:space="preserve"> (Ato et al., 2013; Hernández Sampieri &amp; Mendoza Torres, 2018)</w:t>
      </w:r>
      <w:r w:rsidR="003A2B68">
        <w:rPr>
          <w:rFonts w:ascii="Times New Roman" w:eastAsia="Times New Roman" w:hAnsi="Times New Roman" w:cs="Times New Roman"/>
          <w:sz w:val="24"/>
          <w:szCs w:val="24"/>
          <w:lang w:val="es-EC" w:eastAsia="es-EC"/>
        </w:rPr>
        <w:fldChar w:fldCharType="end"/>
      </w:r>
      <w:r w:rsidR="00DC17B3" w:rsidRPr="00CD1B10">
        <w:rPr>
          <w:rFonts w:ascii="Times New Roman" w:eastAsia="Times New Roman" w:hAnsi="Times New Roman" w:cs="Times New Roman"/>
          <w:sz w:val="24"/>
          <w:szCs w:val="24"/>
          <w:lang w:eastAsia="es-EC"/>
        </w:rPr>
        <w:t xml:space="preserve">. This type of </w:t>
      </w:r>
      <w:r w:rsidR="00D2221F" w:rsidRPr="00CD1B10">
        <w:rPr>
          <w:rFonts w:ascii="Times New Roman" w:eastAsia="Times New Roman" w:hAnsi="Times New Roman" w:cs="Times New Roman"/>
          <w:sz w:val="24"/>
          <w:szCs w:val="24"/>
          <w:lang w:eastAsia="es-EC"/>
        </w:rPr>
        <w:t xml:space="preserve">approach allows the variables to be quantified </w:t>
      </w:r>
      <w:r w:rsidR="000B55E7" w:rsidRPr="00CD1B10">
        <w:rPr>
          <w:rFonts w:ascii="Times New Roman" w:eastAsia="Times New Roman" w:hAnsi="Times New Roman" w:cs="Times New Roman"/>
          <w:sz w:val="24"/>
          <w:szCs w:val="24"/>
          <w:lang w:eastAsia="es-EC"/>
        </w:rPr>
        <w:t xml:space="preserve">through the application of instruments </w:t>
      </w:r>
      <w:r w:rsidR="007C4FDF" w:rsidRPr="00CD1B10">
        <w:rPr>
          <w:rFonts w:ascii="Times New Roman" w:eastAsia="Times New Roman" w:hAnsi="Times New Roman" w:cs="Times New Roman"/>
          <w:sz w:val="24"/>
          <w:szCs w:val="24"/>
          <w:lang w:eastAsia="es-EC"/>
        </w:rPr>
        <w:t>for subsequent in-depth analysis</w:t>
      </w:r>
      <w:r w:rsidR="00962636" w:rsidRPr="00CD1B10">
        <w:rPr>
          <w:rFonts w:ascii="Times New Roman" w:eastAsia="Times New Roman" w:hAnsi="Times New Roman" w:cs="Times New Roman"/>
          <w:sz w:val="24"/>
          <w:szCs w:val="24"/>
          <w:lang w:eastAsia="es-EC"/>
        </w:rPr>
        <w:t xml:space="preserve">. </w:t>
      </w:r>
      <w:r w:rsidR="003E15D7" w:rsidRPr="00CD1B10">
        <w:rPr>
          <w:rFonts w:ascii="Times New Roman" w:eastAsia="Times New Roman" w:hAnsi="Times New Roman" w:cs="Times New Roman"/>
          <w:sz w:val="24"/>
          <w:szCs w:val="24"/>
          <w:lang w:eastAsia="es-EC"/>
        </w:rPr>
        <w:t>Non-experimental</w:t>
      </w:r>
      <w:r w:rsidR="00F241D1" w:rsidRPr="00CD1B10">
        <w:rPr>
          <w:rFonts w:ascii="Times New Roman" w:eastAsia="Times New Roman" w:hAnsi="Times New Roman" w:cs="Times New Roman"/>
          <w:sz w:val="24"/>
          <w:szCs w:val="24"/>
          <w:lang w:eastAsia="es-EC"/>
        </w:rPr>
        <w:t xml:space="preserve"> design, this in particular is characterized </w:t>
      </w:r>
      <w:r w:rsidR="003E15D7" w:rsidRPr="00CD1B10">
        <w:rPr>
          <w:rFonts w:ascii="Times New Roman" w:eastAsia="Times New Roman" w:hAnsi="Times New Roman" w:cs="Times New Roman"/>
          <w:sz w:val="24"/>
          <w:szCs w:val="24"/>
          <w:lang w:eastAsia="es-EC"/>
        </w:rPr>
        <w:t xml:space="preserve">by not </w:t>
      </w:r>
      <w:r w:rsidR="00160FD7" w:rsidRPr="00CD1B10">
        <w:rPr>
          <w:rFonts w:ascii="Times New Roman" w:eastAsia="Times New Roman" w:hAnsi="Times New Roman" w:cs="Times New Roman"/>
          <w:sz w:val="24"/>
          <w:szCs w:val="24"/>
          <w:lang w:eastAsia="es-EC"/>
        </w:rPr>
        <w:t xml:space="preserve">having </w:t>
      </w:r>
      <w:r w:rsidR="003E15D7" w:rsidRPr="00CD1B10">
        <w:rPr>
          <w:rFonts w:ascii="Times New Roman" w:eastAsia="Times New Roman" w:hAnsi="Times New Roman" w:cs="Times New Roman"/>
          <w:sz w:val="24"/>
          <w:szCs w:val="24"/>
          <w:lang w:eastAsia="es-EC"/>
        </w:rPr>
        <w:t xml:space="preserve">the intention of manipulating </w:t>
      </w:r>
      <w:r w:rsidR="00F21AA1" w:rsidRPr="00CD1B10">
        <w:rPr>
          <w:rFonts w:ascii="Times New Roman" w:eastAsia="Times New Roman" w:hAnsi="Times New Roman" w:cs="Times New Roman"/>
          <w:sz w:val="24"/>
          <w:szCs w:val="24"/>
          <w:lang w:eastAsia="es-EC"/>
        </w:rPr>
        <w:t xml:space="preserve">the study </w:t>
      </w:r>
      <w:r w:rsidR="003E15D7" w:rsidRPr="00CD1B10">
        <w:rPr>
          <w:rFonts w:ascii="Times New Roman" w:eastAsia="Times New Roman" w:hAnsi="Times New Roman" w:cs="Times New Roman"/>
          <w:sz w:val="24"/>
          <w:szCs w:val="24"/>
          <w:lang w:eastAsia="es-EC"/>
        </w:rPr>
        <w:t>variables</w:t>
      </w:r>
      <w:r w:rsidR="00F21AA1" w:rsidRPr="00CD1B10">
        <w:rPr>
          <w:rFonts w:ascii="Times New Roman" w:eastAsia="Times New Roman" w:hAnsi="Times New Roman" w:cs="Times New Roman"/>
          <w:sz w:val="24"/>
          <w:szCs w:val="24"/>
          <w:lang w:eastAsia="es-EC"/>
        </w:rPr>
        <w:t xml:space="preserve">. </w:t>
      </w:r>
      <w:r w:rsidR="00962636" w:rsidRPr="00CD1B10">
        <w:rPr>
          <w:rFonts w:ascii="Times New Roman" w:eastAsia="Times New Roman" w:hAnsi="Times New Roman" w:cs="Times New Roman"/>
          <w:sz w:val="24"/>
          <w:szCs w:val="24"/>
          <w:lang w:eastAsia="es-EC"/>
        </w:rPr>
        <w:t>Cross-sectional, in which the data is collected in a single moment</w:t>
      </w:r>
      <w:r w:rsidR="00AC31D4" w:rsidRPr="00CD1B10">
        <w:rPr>
          <w:rFonts w:ascii="Times New Roman" w:eastAsia="Times New Roman" w:hAnsi="Times New Roman" w:cs="Times New Roman"/>
          <w:sz w:val="24"/>
          <w:szCs w:val="24"/>
          <w:lang w:eastAsia="es-EC"/>
        </w:rPr>
        <w:t>. The study is descriptive</w:t>
      </w:r>
      <w:r w:rsidR="003529A8">
        <w:rPr>
          <w:rFonts w:ascii="Times New Roman" w:eastAsia="Times New Roman" w:hAnsi="Times New Roman" w:cs="Times New Roman"/>
          <w:sz w:val="24"/>
          <w:szCs w:val="24"/>
          <w:lang w:eastAsia="es-EC"/>
        </w:rPr>
        <w:t>;</w:t>
      </w:r>
      <w:r w:rsidR="00AC31D4" w:rsidRPr="00CD1B10">
        <w:rPr>
          <w:rFonts w:ascii="Times New Roman" w:eastAsia="Times New Roman" w:hAnsi="Times New Roman" w:cs="Times New Roman"/>
          <w:sz w:val="24"/>
          <w:szCs w:val="24"/>
          <w:lang w:eastAsia="es-EC"/>
        </w:rPr>
        <w:t xml:space="preserve"> it aims to describe the characteristics or phenomena of the nature of the variables</w:t>
      </w:r>
      <w:r w:rsidR="00AA4C71" w:rsidRPr="00CD1B10">
        <w:rPr>
          <w:rFonts w:ascii="Times New Roman" w:eastAsia="Times New Roman" w:hAnsi="Times New Roman" w:cs="Times New Roman"/>
          <w:sz w:val="24"/>
          <w:szCs w:val="24"/>
          <w:lang w:eastAsia="es-EC"/>
        </w:rPr>
        <w:t xml:space="preserve">. </w:t>
      </w:r>
      <w:r w:rsidR="00BE31AE" w:rsidRPr="00CD1B10">
        <w:rPr>
          <w:rFonts w:ascii="Times New Roman" w:eastAsia="Times New Roman" w:hAnsi="Times New Roman" w:cs="Times New Roman"/>
          <w:sz w:val="24"/>
          <w:szCs w:val="24"/>
          <w:lang w:eastAsia="es-EC"/>
        </w:rPr>
        <w:t xml:space="preserve">And </w:t>
      </w:r>
      <w:r w:rsidR="003775C6" w:rsidRPr="00CD1B10">
        <w:rPr>
          <w:rFonts w:ascii="Times New Roman" w:eastAsia="Times New Roman" w:hAnsi="Times New Roman" w:cs="Times New Roman"/>
          <w:sz w:val="24"/>
          <w:szCs w:val="24"/>
          <w:lang w:eastAsia="es-EC"/>
        </w:rPr>
        <w:t>finally</w:t>
      </w:r>
      <w:r w:rsidR="00AA4C71" w:rsidRPr="00CD1B10">
        <w:rPr>
          <w:rFonts w:ascii="Times New Roman" w:eastAsia="Times New Roman" w:hAnsi="Times New Roman" w:cs="Times New Roman"/>
          <w:sz w:val="24"/>
          <w:szCs w:val="24"/>
          <w:lang w:eastAsia="es-EC"/>
        </w:rPr>
        <w:t>,</w:t>
      </w:r>
      <w:r w:rsidR="003775C6" w:rsidRPr="00CD1B10">
        <w:rPr>
          <w:rFonts w:ascii="Times New Roman" w:eastAsia="Times New Roman" w:hAnsi="Times New Roman" w:cs="Times New Roman"/>
          <w:sz w:val="24"/>
          <w:szCs w:val="24"/>
          <w:lang w:eastAsia="es-EC"/>
        </w:rPr>
        <w:t xml:space="preserve"> the correlational </w:t>
      </w:r>
      <w:r w:rsidR="00AA4C71" w:rsidRPr="00CD1B10">
        <w:rPr>
          <w:rFonts w:ascii="Times New Roman" w:eastAsia="Times New Roman" w:hAnsi="Times New Roman" w:cs="Times New Roman"/>
          <w:sz w:val="24"/>
          <w:szCs w:val="24"/>
          <w:lang w:eastAsia="es-EC"/>
        </w:rPr>
        <w:t xml:space="preserve">type, which is characterized by relating </w:t>
      </w:r>
      <w:r w:rsidR="003775C6" w:rsidRPr="00CD1B10">
        <w:rPr>
          <w:rFonts w:ascii="Times New Roman" w:eastAsia="Times New Roman" w:hAnsi="Times New Roman" w:cs="Times New Roman"/>
          <w:sz w:val="24"/>
          <w:szCs w:val="24"/>
          <w:lang w:eastAsia="es-EC"/>
        </w:rPr>
        <w:t xml:space="preserve">or associating the study variables. </w:t>
      </w:r>
    </w:p>
    <w:p w14:paraId="51BE8A47" w14:textId="3337D5E6" w:rsidR="000B26CB" w:rsidRPr="00CD1B10" w:rsidRDefault="000B26CB" w:rsidP="002F2142">
      <w:pPr>
        <w:spacing w:before="100" w:beforeAutospacing="1" w:after="100" w:afterAutospacing="1" w:line="360" w:lineRule="auto"/>
        <w:jc w:val="both"/>
        <w:rPr>
          <w:rFonts w:ascii="Times New Roman" w:eastAsia="Times New Roman" w:hAnsi="Times New Roman" w:cs="Times New Roman"/>
          <w:b/>
          <w:bCs/>
          <w:sz w:val="24"/>
          <w:szCs w:val="24"/>
          <w:lang w:eastAsia="es-EC"/>
        </w:rPr>
      </w:pPr>
      <w:r w:rsidRPr="00CD1B10">
        <w:rPr>
          <w:rFonts w:ascii="Times New Roman" w:eastAsia="Times New Roman" w:hAnsi="Times New Roman" w:cs="Times New Roman"/>
          <w:b/>
          <w:bCs/>
          <w:sz w:val="24"/>
          <w:szCs w:val="24"/>
          <w:lang w:eastAsia="es-EC"/>
        </w:rPr>
        <w:t>Participants</w:t>
      </w:r>
    </w:p>
    <w:p w14:paraId="05AD526E" w14:textId="0897221E" w:rsidR="00C343FF" w:rsidRPr="00CD1B10" w:rsidRDefault="00B93252"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 xml:space="preserve">In this particular case, the sample </w:t>
      </w:r>
      <w:r w:rsidR="009F7D4B" w:rsidRPr="00CD1B10">
        <w:rPr>
          <w:rFonts w:ascii="Times New Roman" w:eastAsia="Times New Roman" w:hAnsi="Times New Roman" w:cs="Times New Roman"/>
          <w:sz w:val="24"/>
          <w:szCs w:val="24"/>
          <w:lang w:eastAsia="es-EC"/>
        </w:rPr>
        <w:t xml:space="preserve">is made up </w:t>
      </w:r>
      <w:r w:rsidRPr="00CD1B10">
        <w:rPr>
          <w:rFonts w:ascii="Times New Roman" w:eastAsia="Times New Roman" w:hAnsi="Times New Roman" w:cs="Times New Roman"/>
          <w:sz w:val="24"/>
          <w:szCs w:val="24"/>
          <w:lang w:eastAsia="es-EC"/>
        </w:rPr>
        <w:t xml:space="preserve">of </w:t>
      </w:r>
      <w:r w:rsidR="00A5191C" w:rsidRPr="00CD1B10">
        <w:rPr>
          <w:rFonts w:ascii="Times New Roman" w:eastAsia="Times New Roman" w:hAnsi="Times New Roman" w:cs="Times New Roman"/>
          <w:sz w:val="24"/>
          <w:szCs w:val="24"/>
          <w:lang w:eastAsia="es-EC"/>
        </w:rPr>
        <w:t xml:space="preserve">105 </w:t>
      </w:r>
      <w:r w:rsidRPr="00CD1B10">
        <w:rPr>
          <w:rFonts w:ascii="Times New Roman" w:eastAsia="Times New Roman" w:hAnsi="Times New Roman" w:cs="Times New Roman"/>
          <w:sz w:val="24"/>
          <w:szCs w:val="24"/>
          <w:lang w:eastAsia="es-EC"/>
        </w:rPr>
        <w:t xml:space="preserve">people </w:t>
      </w:r>
      <w:r w:rsidR="003529A8">
        <w:rPr>
          <w:rFonts w:ascii="Times New Roman" w:eastAsia="Times New Roman" w:hAnsi="Times New Roman" w:cs="Times New Roman"/>
          <w:sz w:val="24"/>
          <w:szCs w:val="24"/>
          <w:lang w:eastAsia="es-EC"/>
        </w:rPr>
        <w:t>from</w:t>
      </w:r>
      <w:r w:rsidRPr="00CD1B10">
        <w:rPr>
          <w:rFonts w:ascii="Times New Roman" w:eastAsia="Times New Roman" w:hAnsi="Times New Roman" w:cs="Times New Roman"/>
          <w:sz w:val="24"/>
          <w:szCs w:val="24"/>
          <w:lang w:eastAsia="es-EC"/>
        </w:rPr>
        <w:t xml:space="preserve"> the city of Milagro</w:t>
      </w:r>
      <w:r w:rsidR="00FD569B" w:rsidRPr="00CD1B10">
        <w:rPr>
          <w:rFonts w:ascii="Times New Roman" w:eastAsia="Times New Roman" w:hAnsi="Times New Roman" w:cs="Times New Roman"/>
          <w:sz w:val="24"/>
          <w:szCs w:val="24"/>
          <w:lang w:eastAsia="es-EC"/>
        </w:rPr>
        <w:t>,</w:t>
      </w:r>
      <w:r w:rsidR="003529A8">
        <w:rPr>
          <w:rFonts w:ascii="Times New Roman" w:eastAsia="Times New Roman" w:hAnsi="Times New Roman" w:cs="Times New Roman"/>
          <w:sz w:val="24"/>
          <w:szCs w:val="24"/>
          <w:lang w:eastAsia="es-EC"/>
        </w:rPr>
        <w:t xml:space="preserve"> Ecuador</w:t>
      </w:r>
      <w:r w:rsidR="00FD569B" w:rsidRPr="00CD1B10">
        <w:rPr>
          <w:rFonts w:ascii="Times New Roman" w:eastAsia="Times New Roman" w:hAnsi="Times New Roman" w:cs="Times New Roman"/>
          <w:sz w:val="24"/>
          <w:szCs w:val="24"/>
          <w:lang w:eastAsia="es-EC"/>
        </w:rPr>
        <w:t xml:space="preserve">. </w:t>
      </w:r>
      <w:r w:rsidR="009F7D4B" w:rsidRPr="00CD1B10">
        <w:rPr>
          <w:rFonts w:ascii="Times New Roman" w:eastAsia="Times New Roman" w:hAnsi="Times New Roman" w:cs="Times New Roman"/>
          <w:sz w:val="24"/>
          <w:szCs w:val="24"/>
          <w:lang w:eastAsia="es-EC"/>
        </w:rPr>
        <w:t xml:space="preserve">The </w:t>
      </w:r>
      <w:r w:rsidR="00EF1215" w:rsidRPr="00CD1B10">
        <w:rPr>
          <w:rFonts w:ascii="Times New Roman" w:eastAsia="Times New Roman" w:hAnsi="Times New Roman" w:cs="Times New Roman"/>
          <w:sz w:val="24"/>
          <w:szCs w:val="24"/>
          <w:lang w:eastAsia="es-EC"/>
        </w:rPr>
        <w:t xml:space="preserve">sample </w:t>
      </w:r>
      <w:r w:rsidR="00AF74D8" w:rsidRPr="00CD1B10">
        <w:rPr>
          <w:rFonts w:ascii="Times New Roman" w:eastAsia="Times New Roman" w:hAnsi="Times New Roman" w:cs="Times New Roman"/>
          <w:sz w:val="24"/>
          <w:szCs w:val="24"/>
          <w:lang w:eastAsia="es-EC"/>
        </w:rPr>
        <w:t xml:space="preserve">was </w:t>
      </w:r>
      <w:r w:rsidR="009F7D4B" w:rsidRPr="00CD1B10">
        <w:rPr>
          <w:rFonts w:ascii="Times New Roman" w:eastAsia="Times New Roman" w:hAnsi="Times New Roman" w:cs="Times New Roman"/>
          <w:sz w:val="24"/>
          <w:szCs w:val="24"/>
          <w:lang w:eastAsia="es-EC"/>
        </w:rPr>
        <w:t xml:space="preserve">selected by means of a </w:t>
      </w:r>
      <w:r w:rsidR="00FD569B" w:rsidRPr="00CD1B10">
        <w:rPr>
          <w:rFonts w:ascii="Times New Roman" w:eastAsia="Times New Roman" w:hAnsi="Times New Roman" w:cs="Times New Roman"/>
          <w:sz w:val="24"/>
          <w:szCs w:val="24"/>
          <w:lang w:eastAsia="es-EC"/>
        </w:rPr>
        <w:t xml:space="preserve">non-probabilistic sampling by convenience, characterized by establishing the characteristics according to the research, the same that establishes </w:t>
      </w:r>
      <w:r w:rsidR="00FD75B2" w:rsidRPr="00CD1B10">
        <w:rPr>
          <w:rFonts w:ascii="Times New Roman" w:eastAsia="Times New Roman" w:hAnsi="Times New Roman" w:cs="Times New Roman"/>
          <w:sz w:val="24"/>
          <w:szCs w:val="24"/>
          <w:lang w:eastAsia="es-EC"/>
        </w:rPr>
        <w:t xml:space="preserve">according to </w:t>
      </w:r>
      <w:r w:rsidR="00696FC3" w:rsidRPr="00CD1B10">
        <w:rPr>
          <w:rFonts w:ascii="Times New Roman" w:eastAsia="Times New Roman" w:hAnsi="Times New Roman" w:cs="Times New Roman"/>
          <w:sz w:val="24"/>
          <w:szCs w:val="24"/>
          <w:lang w:eastAsia="es-EC"/>
        </w:rPr>
        <w:t xml:space="preserve">the criteria </w:t>
      </w:r>
      <w:r w:rsidR="00FD75B2" w:rsidRPr="00CD1B10">
        <w:rPr>
          <w:rFonts w:ascii="Times New Roman" w:eastAsia="Times New Roman" w:hAnsi="Times New Roman" w:cs="Times New Roman"/>
          <w:sz w:val="24"/>
          <w:szCs w:val="24"/>
          <w:lang w:eastAsia="es-EC"/>
        </w:rPr>
        <w:t>of inclusion and exclusion</w:t>
      </w:r>
      <w:r w:rsidR="00A5191C" w:rsidRPr="00CD1B10">
        <w:rPr>
          <w:rFonts w:ascii="Times New Roman" w:eastAsia="Times New Roman" w:hAnsi="Times New Roman" w:cs="Times New Roman"/>
          <w:sz w:val="24"/>
          <w:szCs w:val="24"/>
          <w:lang w:eastAsia="es-EC"/>
        </w:rPr>
        <w:t>.</w:t>
      </w:r>
    </w:p>
    <w:p w14:paraId="175CD156" w14:textId="5BFF031A" w:rsidR="00D5756F" w:rsidRPr="00CD1B10" w:rsidRDefault="000B26CB" w:rsidP="002F2142">
      <w:pPr>
        <w:spacing w:before="100" w:beforeAutospacing="1" w:after="100" w:afterAutospacing="1" w:line="360" w:lineRule="auto"/>
        <w:jc w:val="both"/>
        <w:rPr>
          <w:rFonts w:ascii="Times New Roman" w:eastAsia="Times New Roman" w:hAnsi="Times New Roman" w:cs="Times New Roman"/>
          <w:b/>
          <w:bCs/>
          <w:sz w:val="24"/>
          <w:szCs w:val="24"/>
          <w:lang w:eastAsia="es-EC"/>
        </w:rPr>
      </w:pPr>
      <w:r w:rsidRPr="00CD1B10">
        <w:rPr>
          <w:rFonts w:ascii="Times New Roman" w:eastAsia="Times New Roman" w:hAnsi="Times New Roman" w:cs="Times New Roman"/>
          <w:b/>
          <w:bCs/>
          <w:sz w:val="24"/>
          <w:szCs w:val="24"/>
          <w:lang w:eastAsia="es-EC"/>
        </w:rPr>
        <w:t>Instruments</w:t>
      </w:r>
    </w:p>
    <w:p w14:paraId="107CD222" w14:textId="1AC2277C" w:rsidR="00D5756F" w:rsidRPr="00CD1B10" w:rsidRDefault="00D5756F" w:rsidP="002F2142">
      <w:pPr>
        <w:spacing w:line="360" w:lineRule="auto"/>
        <w:jc w:val="both"/>
        <w:rPr>
          <w:rFonts w:ascii="Times New Roman" w:hAnsi="Times New Roman" w:cs="Times New Roman"/>
          <w:sz w:val="24"/>
          <w:szCs w:val="24"/>
        </w:rPr>
      </w:pPr>
      <w:r w:rsidRPr="00CD1B10">
        <w:rPr>
          <w:rFonts w:ascii="Times New Roman" w:hAnsi="Times New Roman" w:cs="Times New Roman"/>
          <w:sz w:val="24"/>
          <w:szCs w:val="24"/>
        </w:rPr>
        <w:t xml:space="preserve">In the present </w:t>
      </w:r>
      <w:r w:rsidR="003529A8">
        <w:rPr>
          <w:rFonts w:ascii="Times New Roman" w:hAnsi="Times New Roman" w:cs="Times New Roman"/>
          <w:sz w:val="24"/>
          <w:szCs w:val="24"/>
        </w:rPr>
        <w:t>research</w:t>
      </w:r>
      <w:r w:rsidRPr="00CD1B10">
        <w:rPr>
          <w:rFonts w:ascii="Times New Roman" w:hAnsi="Times New Roman" w:cs="Times New Roman"/>
          <w:sz w:val="24"/>
          <w:szCs w:val="24"/>
        </w:rPr>
        <w:t>, two instruments were applied with the purpose of evaluating the variables of perceived stress and the perception of the school-family relationship in the context of virtual education during the pandemic.</w:t>
      </w:r>
    </w:p>
    <w:p w14:paraId="1F962D5B" w14:textId="52CEEA13" w:rsidR="00D5756F" w:rsidRPr="00CD1B10" w:rsidRDefault="00D5756F" w:rsidP="002F2142">
      <w:pPr>
        <w:spacing w:line="360" w:lineRule="auto"/>
        <w:jc w:val="both"/>
        <w:rPr>
          <w:rFonts w:ascii="Times New Roman" w:hAnsi="Times New Roman" w:cs="Times New Roman"/>
          <w:b/>
          <w:bCs/>
          <w:sz w:val="24"/>
          <w:szCs w:val="24"/>
        </w:rPr>
      </w:pPr>
      <w:r w:rsidRPr="00CD1B10">
        <w:rPr>
          <w:rFonts w:ascii="Times New Roman" w:hAnsi="Times New Roman" w:cs="Times New Roman"/>
          <w:b/>
          <w:bCs/>
          <w:sz w:val="24"/>
          <w:szCs w:val="24"/>
        </w:rPr>
        <w:t>Perceived Stress Scale (</w:t>
      </w:r>
      <w:r w:rsidR="003529A8">
        <w:rPr>
          <w:rFonts w:ascii="Times New Roman" w:hAnsi="Times New Roman" w:cs="Times New Roman"/>
          <w:b/>
          <w:bCs/>
          <w:sz w:val="24"/>
          <w:szCs w:val="24"/>
        </w:rPr>
        <w:t>PSS</w:t>
      </w:r>
      <w:r w:rsidRPr="00CD1B10">
        <w:rPr>
          <w:rFonts w:ascii="Times New Roman" w:hAnsi="Times New Roman" w:cs="Times New Roman"/>
          <w:b/>
          <w:bCs/>
          <w:sz w:val="24"/>
          <w:szCs w:val="24"/>
        </w:rPr>
        <w:t>-14)</w:t>
      </w:r>
    </w:p>
    <w:p w14:paraId="205315FF" w14:textId="341B7C73" w:rsidR="00D5756F" w:rsidRPr="00CD1B10" w:rsidRDefault="00D5756F" w:rsidP="002F2142">
      <w:pPr>
        <w:spacing w:line="360" w:lineRule="auto"/>
        <w:jc w:val="both"/>
        <w:rPr>
          <w:rFonts w:ascii="Times New Roman" w:hAnsi="Times New Roman" w:cs="Times New Roman"/>
          <w:b/>
          <w:bCs/>
          <w:sz w:val="24"/>
          <w:szCs w:val="24"/>
        </w:rPr>
      </w:pPr>
      <w:r w:rsidRPr="00CD1B10">
        <w:rPr>
          <w:rFonts w:ascii="Times New Roman" w:hAnsi="Times New Roman" w:cs="Times New Roman"/>
          <w:sz w:val="24"/>
          <w:szCs w:val="24"/>
        </w:rPr>
        <w:t xml:space="preserve">The Perceived Stress Scale </w:t>
      </w:r>
      <w:r w:rsidR="003529A8">
        <w:rPr>
          <w:rFonts w:ascii="Times New Roman" w:hAnsi="Times New Roman" w:cs="Times New Roman"/>
          <w:sz w:val="24"/>
          <w:szCs w:val="24"/>
        </w:rPr>
        <w:t xml:space="preserve">is </w:t>
      </w:r>
      <w:r w:rsidR="00385F88" w:rsidRPr="00CD1B10">
        <w:rPr>
          <w:rFonts w:ascii="Times New Roman" w:hAnsi="Times New Roman" w:cs="Times New Roman"/>
          <w:sz w:val="24"/>
          <w:szCs w:val="24"/>
        </w:rPr>
        <w:t>the</w:t>
      </w:r>
      <w:r w:rsidR="00181376" w:rsidRPr="00CD1B10">
        <w:rPr>
          <w:rFonts w:ascii="Times New Roman" w:hAnsi="Times New Roman" w:cs="Times New Roman"/>
          <w:sz w:val="24"/>
          <w:szCs w:val="24"/>
        </w:rPr>
        <w:t xml:space="preserve"> </w:t>
      </w:r>
      <w:r w:rsidR="00CE26B4" w:rsidRPr="00CD1B10">
        <w:rPr>
          <w:rFonts w:ascii="Times New Roman" w:hAnsi="Times New Roman" w:cs="Times New Roman"/>
          <w:sz w:val="24"/>
          <w:szCs w:val="24"/>
        </w:rPr>
        <w:t xml:space="preserve">adaptation </w:t>
      </w:r>
      <w:r w:rsidR="00385F88" w:rsidRPr="00CD1B10">
        <w:rPr>
          <w:rFonts w:ascii="Times New Roman" w:hAnsi="Times New Roman" w:cs="Times New Roman"/>
          <w:sz w:val="24"/>
          <w:szCs w:val="24"/>
        </w:rPr>
        <w:t>of the original questionnaire of</w:t>
      </w:r>
      <w:r w:rsidR="00385F88">
        <w:rPr>
          <w:rFonts w:ascii="Times New Roman" w:hAnsi="Times New Roman" w:cs="Times New Roman"/>
          <w:sz w:val="24"/>
          <w:szCs w:val="24"/>
          <w:lang w:val="es-EC"/>
        </w:rPr>
        <w:fldChar w:fldCharType="begin"/>
      </w:r>
      <w:r w:rsidR="00261749" w:rsidRPr="00CD1B10">
        <w:rPr>
          <w:rFonts w:ascii="Times New Roman" w:hAnsi="Times New Roman" w:cs="Times New Roman"/>
          <w:sz w:val="24"/>
          <w:szCs w:val="24"/>
        </w:rPr>
        <w:instrText xml:space="preserve"> ADDIN ZOTERO_ITEM CSL_CITATION {"citationID":"N4VaNlxe","properties":{"formattedCitation":"(1983)","plainCitation":"(1983)","dontUpdate":true,"noteIndex":0},"citationItems":[{"id":2885,"uris":["http://zotero.org/users/11513704/items/N2V7SD5Y"],"itemData":{"id":2885,"type":"article-journal","abstract":"Presents data on the Perceived Stress Scale (PSS), a 14-item measure of the degree to which situations in one's life are appraised as stressful. Concurrent and predictive validities and internal and test-retest reliabilities of the new scale were determined using scores from 446 undergraduates and from 64 Ss (mean age 38.4 yrs) participating in a smoking-cessation program offered by the university. Results show that the PSS had adequate reliability and was a better predictor of the outcome in question (depressive and physical symptomatology, utilization of health services, social anxiety, and smoking-reduction maintenance) than were life-event scores. When compared to a depressive symptomatology scale, the PSS was found to measure a different and independent predictive construct. Additional data indicated adequate reliability and validity of a 4-item version of the PSS for telephone interviews. It is suggested that the PSS, which is appended, be used to examine the role of nonspecific appraised stress in the etiology of disease and behavioral disorders and as an outcome measure of experienced levels of stress. (41 ref) (PsycInfo Database Record (c) 2021 APA, all rights reserved)","container-title":"Journal of Health and Social Behavior","DOI":"10.2307/2136404","ISSN":"2150-6000","issue":"4","note":"publisher-place: US\npublisher: American Sociological Assn","page":"385-396","source":"APA PsycNet","title":"A global measure of perceived stress","volume":"24","author":[{"family":"Cohen","given":"Sheldon"},{"family":"Kamarck","given":"Tom"},{"family":"Mermelstein","given":"Robin"}],"issued":{"date-parts":[["1983"]]}},"suppress-author":true}],"schema":"https://github.com/citation-style-language/schema/raw/master/csl-citation.json"} </w:instrText>
      </w:r>
      <w:r w:rsidR="00385F88">
        <w:rPr>
          <w:rFonts w:ascii="Times New Roman" w:hAnsi="Times New Roman" w:cs="Times New Roman"/>
          <w:sz w:val="24"/>
          <w:szCs w:val="24"/>
          <w:lang w:val="es-EC"/>
        </w:rPr>
        <w:fldChar w:fldCharType="separate"/>
      </w:r>
      <w:r w:rsidR="0010369D" w:rsidRPr="00CD1B10">
        <w:rPr>
          <w:rFonts w:ascii="Times New Roman" w:hAnsi="Times New Roman" w:cs="Times New Roman"/>
          <w:sz w:val="24"/>
          <w:szCs w:val="24"/>
        </w:rPr>
        <w:t xml:space="preserve"> Cohen</w:t>
      </w:r>
      <w:r w:rsidR="003529A8">
        <w:rPr>
          <w:rFonts w:ascii="Times New Roman" w:hAnsi="Times New Roman" w:cs="Times New Roman"/>
          <w:sz w:val="24"/>
          <w:szCs w:val="24"/>
        </w:rPr>
        <w:t xml:space="preserve"> </w:t>
      </w:r>
      <w:r w:rsidR="0010369D" w:rsidRPr="00CD1B10">
        <w:rPr>
          <w:rFonts w:ascii="Times New Roman" w:hAnsi="Times New Roman" w:cs="Times New Roman"/>
          <w:sz w:val="24"/>
        </w:rPr>
        <w:t>(1983)</w:t>
      </w:r>
      <w:r w:rsidR="00385F88">
        <w:rPr>
          <w:rFonts w:ascii="Times New Roman" w:hAnsi="Times New Roman" w:cs="Times New Roman"/>
          <w:sz w:val="24"/>
          <w:szCs w:val="24"/>
          <w:lang w:val="es-EC"/>
        </w:rPr>
        <w:fldChar w:fldCharType="end"/>
      </w:r>
      <w:r w:rsidR="00750EA3" w:rsidRPr="00CD1B10">
        <w:rPr>
          <w:rFonts w:ascii="Times New Roman" w:hAnsi="Times New Roman" w:cs="Times New Roman"/>
          <w:sz w:val="24"/>
          <w:szCs w:val="24"/>
        </w:rPr>
        <w:t xml:space="preserve">, </w:t>
      </w:r>
      <w:r w:rsidR="00880C9E" w:rsidRPr="00CD1B10">
        <w:rPr>
          <w:rFonts w:ascii="Times New Roman" w:hAnsi="Times New Roman" w:cs="Times New Roman"/>
          <w:sz w:val="24"/>
          <w:szCs w:val="24"/>
        </w:rPr>
        <w:t xml:space="preserve">adapted by </w:t>
      </w:r>
      <w:r w:rsidR="0084623D" w:rsidRPr="00CD1B10">
        <w:rPr>
          <w:rFonts w:ascii="Times New Roman" w:hAnsi="Times New Roman" w:cs="Times New Roman"/>
          <w:sz w:val="24"/>
        </w:rPr>
        <w:t>Remor &amp; Carrobles</w:t>
      </w:r>
      <w:r w:rsidR="003529A8">
        <w:rPr>
          <w:rFonts w:ascii="Times New Roman" w:hAnsi="Times New Roman" w:cs="Times New Roman"/>
          <w:sz w:val="24"/>
        </w:rPr>
        <w:t xml:space="preserve"> </w:t>
      </w:r>
      <w:r w:rsidR="00880C9E">
        <w:rPr>
          <w:rFonts w:ascii="Times New Roman" w:hAnsi="Times New Roman" w:cs="Times New Roman"/>
          <w:b/>
          <w:bCs/>
          <w:sz w:val="24"/>
          <w:szCs w:val="24"/>
          <w:lang w:val="es-EC"/>
        </w:rPr>
        <w:fldChar w:fldCharType="begin"/>
      </w:r>
      <w:r w:rsidR="00863D52" w:rsidRPr="00CD1B10">
        <w:rPr>
          <w:rFonts w:ascii="Times New Roman" w:hAnsi="Times New Roman" w:cs="Times New Roman"/>
          <w:b/>
          <w:bCs/>
          <w:sz w:val="24"/>
          <w:szCs w:val="24"/>
        </w:rPr>
        <w:instrText xml:space="preserve"> ADDIN ZOTERO_ITEM CSL_CITATION {"citationID":"BILCcncD","properties":{"formattedCitation":"(2001)","plainCitation":"(2001)","noteIndex":0},"citationItems":[{"id":2893,"uris":["http://zotero.org/users/11513704/items/YWWWSK59"],"itemData":{"id":2893,"type":"article-journal","abstract":"The 14-items Perceived Stress Scale (PSS-14; Cohen, Kamarck &amp; Mermelstein, 1983) has been proven to be very useful to assess perceived stress. The PSS-14 was designed to measure the degree to which situations in an individual's life are appraised as stressful. The aim of this study is to assess psychometric properties of the PSS-14 scale in a 100 HIV+ Spanish sample. Data on sociodemographical, immunological, medical and psychological status (Anxiety and Stress) were taken into account. The reliability and validity analyses have been performed. Cronbach's Alpha values are of 0.67. Concurrent validity, determined by correlation with the anxiety level and a 10 point scale of the level of ìstress during the past monthî, was high (p&lt;0,001). Predictive validity for Anxiety [R2c=0,42; F=72,983; p=0,000] and for the 10 point scale of stress during the past month [R2c=0,28; F=40,349; p=0,000] was acceptable. It is concluded that PSS-14 is a substantially reliable and valid instrument in the assessment of perceived stress.","language":"es","page":"195-201","source":"Zotero","title":"Spanish version of the Perceived Stress Scale (PSS-14): Psychometric study in a HIV+ sample","volume":"7","author":[{"family":"Remor","given":"Eduardo"},{"family":"Carrobles","given":"JosÈ Antonio"}],"issued":{"date-parts":[["2001"]]}},"suppress-author":true}],"schema":"https://github.com/citation-style-language/schema/raw/master/csl-citation.json"} </w:instrText>
      </w:r>
      <w:r w:rsidR="00880C9E">
        <w:rPr>
          <w:rFonts w:ascii="Times New Roman" w:hAnsi="Times New Roman" w:cs="Times New Roman"/>
          <w:b/>
          <w:bCs/>
          <w:sz w:val="24"/>
          <w:szCs w:val="24"/>
          <w:lang w:val="es-EC"/>
        </w:rPr>
        <w:fldChar w:fldCharType="separate"/>
      </w:r>
      <w:r w:rsidR="00863D52" w:rsidRPr="00CD1B10">
        <w:rPr>
          <w:rFonts w:ascii="Times New Roman" w:hAnsi="Times New Roman" w:cs="Times New Roman"/>
          <w:sz w:val="24"/>
        </w:rPr>
        <w:t>(2001)</w:t>
      </w:r>
      <w:r w:rsidR="00880C9E">
        <w:rPr>
          <w:rFonts w:ascii="Times New Roman" w:hAnsi="Times New Roman" w:cs="Times New Roman"/>
          <w:b/>
          <w:bCs/>
          <w:sz w:val="24"/>
          <w:szCs w:val="24"/>
          <w:lang w:val="es-EC"/>
        </w:rPr>
        <w:fldChar w:fldCharType="end"/>
      </w:r>
      <w:r w:rsidR="003529A8" w:rsidRPr="003529A8">
        <w:rPr>
          <w:rFonts w:ascii="Times New Roman" w:hAnsi="Times New Roman" w:cs="Times New Roman"/>
          <w:b/>
          <w:bCs/>
          <w:sz w:val="24"/>
          <w:szCs w:val="24"/>
        </w:rPr>
        <w:t>,</w:t>
      </w:r>
      <w:r w:rsidR="000449F4" w:rsidRPr="00CD1B10">
        <w:rPr>
          <w:rFonts w:ascii="Times New Roman" w:hAnsi="Times New Roman" w:cs="Times New Roman"/>
          <w:sz w:val="24"/>
          <w:szCs w:val="24"/>
        </w:rPr>
        <w:t xml:space="preserve"> which </w:t>
      </w:r>
      <w:r w:rsidRPr="00CD1B10">
        <w:rPr>
          <w:rFonts w:ascii="Times New Roman" w:hAnsi="Times New Roman" w:cs="Times New Roman"/>
          <w:sz w:val="24"/>
          <w:szCs w:val="24"/>
        </w:rPr>
        <w:t>is a widely used tool in the psychological field to measure the perception of stress in everyday situations. In this study</w:t>
      </w:r>
      <w:r w:rsidR="003529A8">
        <w:rPr>
          <w:rFonts w:ascii="Times New Roman" w:hAnsi="Times New Roman" w:cs="Times New Roman"/>
          <w:sz w:val="24"/>
          <w:szCs w:val="24"/>
        </w:rPr>
        <w:t>,</w:t>
      </w:r>
      <w:r w:rsidRPr="00CD1B10">
        <w:rPr>
          <w:rFonts w:ascii="Times New Roman" w:hAnsi="Times New Roman" w:cs="Times New Roman"/>
          <w:sz w:val="24"/>
          <w:szCs w:val="24"/>
        </w:rPr>
        <w:t xml:space="preserve"> we used the 14-item version, adapted to the Spanish-speaking context and previously validated in various countries. This scale makes it possible to identify the degree to which people consider that their life has been unpredictable, uncontrollable</w:t>
      </w:r>
      <w:r w:rsidR="003529A8">
        <w:rPr>
          <w:rFonts w:ascii="Times New Roman" w:hAnsi="Times New Roman" w:cs="Times New Roman"/>
          <w:sz w:val="24"/>
          <w:szCs w:val="24"/>
        </w:rPr>
        <w:t>,</w:t>
      </w:r>
      <w:r w:rsidRPr="00CD1B10">
        <w:rPr>
          <w:rFonts w:ascii="Times New Roman" w:hAnsi="Times New Roman" w:cs="Times New Roman"/>
          <w:sz w:val="24"/>
          <w:szCs w:val="24"/>
        </w:rPr>
        <w:t xml:space="preserve"> or overloaded.</w:t>
      </w:r>
    </w:p>
    <w:p w14:paraId="726C96A3" w14:textId="5B392571" w:rsidR="00D5756F" w:rsidRPr="00CD1B10" w:rsidRDefault="00D5756F" w:rsidP="002F2142">
      <w:pPr>
        <w:spacing w:line="360" w:lineRule="auto"/>
        <w:jc w:val="both"/>
        <w:rPr>
          <w:rFonts w:ascii="Times New Roman" w:hAnsi="Times New Roman" w:cs="Times New Roman"/>
          <w:sz w:val="24"/>
          <w:szCs w:val="24"/>
        </w:rPr>
      </w:pPr>
      <w:r w:rsidRPr="00CD1B10">
        <w:rPr>
          <w:rFonts w:ascii="Times New Roman" w:hAnsi="Times New Roman" w:cs="Times New Roman"/>
          <w:sz w:val="24"/>
          <w:szCs w:val="24"/>
        </w:rPr>
        <w:t xml:space="preserve">The instrument consists of statements related to recent experiences and the frequency with which these have been experienced as stressful. Responses are collected using a five-level Likert-type scale, from "never" to "very often". Some items are reverse-scored to </w:t>
      </w:r>
      <w:r w:rsidRPr="00CD1B10">
        <w:rPr>
          <w:rFonts w:ascii="Times New Roman" w:hAnsi="Times New Roman" w:cs="Times New Roman"/>
          <w:sz w:val="24"/>
          <w:szCs w:val="24"/>
        </w:rPr>
        <w:lastRenderedPageBreak/>
        <w:t xml:space="preserve">ensure the validity of the analysis. The total of the scores allows the stress levels to be classified into four ranges: </w:t>
      </w:r>
      <w:r w:rsidR="003529A8">
        <w:rPr>
          <w:rFonts w:ascii="Times New Roman" w:hAnsi="Times New Roman" w:cs="Times New Roman"/>
          <w:sz w:val="24"/>
          <w:szCs w:val="24"/>
        </w:rPr>
        <w:t>low</w:t>
      </w:r>
      <w:r w:rsidRPr="00CD1B10">
        <w:rPr>
          <w:rFonts w:ascii="Times New Roman" w:hAnsi="Times New Roman" w:cs="Times New Roman"/>
          <w:sz w:val="24"/>
          <w:szCs w:val="24"/>
        </w:rPr>
        <w:t>, medium, moderate</w:t>
      </w:r>
      <w:r w:rsidR="003529A8">
        <w:rPr>
          <w:rFonts w:ascii="Times New Roman" w:hAnsi="Times New Roman" w:cs="Times New Roman"/>
          <w:sz w:val="24"/>
          <w:szCs w:val="24"/>
        </w:rPr>
        <w:t>,</w:t>
      </w:r>
      <w:r w:rsidRPr="00CD1B10">
        <w:rPr>
          <w:rFonts w:ascii="Times New Roman" w:hAnsi="Times New Roman" w:cs="Times New Roman"/>
          <w:sz w:val="24"/>
          <w:szCs w:val="24"/>
        </w:rPr>
        <w:t xml:space="preserve"> and high.</w:t>
      </w:r>
    </w:p>
    <w:p w14:paraId="71CF1A72" w14:textId="6FD43303" w:rsidR="00D5756F" w:rsidRPr="00CD1B10" w:rsidRDefault="00D5756F" w:rsidP="002F2142">
      <w:pPr>
        <w:spacing w:line="360" w:lineRule="auto"/>
        <w:jc w:val="both"/>
        <w:rPr>
          <w:rFonts w:ascii="Times New Roman" w:hAnsi="Times New Roman" w:cs="Times New Roman"/>
          <w:sz w:val="24"/>
          <w:szCs w:val="24"/>
        </w:rPr>
      </w:pPr>
      <w:r w:rsidRPr="00CD1B10">
        <w:rPr>
          <w:rFonts w:ascii="Times New Roman" w:hAnsi="Times New Roman" w:cs="Times New Roman"/>
          <w:sz w:val="24"/>
          <w:szCs w:val="24"/>
        </w:rPr>
        <w:t>From a technical perspective, the scale has demonstrated adequate levels of internal consistency, with Cronbach's alpha coefficients above 0.80 in studies conducted in Latin America, even in populations similar to the one analyzed in this research. Its application is agile, can be individual or collective, and does not require complex technical conditions.</w:t>
      </w:r>
    </w:p>
    <w:p w14:paraId="31367DA7" w14:textId="258B6AE9" w:rsidR="00D5756F" w:rsidRPr="00CD1B10" w:rsidRDefault="00D5756F" w:rsidP="002F2142">
      <w:pPr>
        <w:spacing w:line="360" w:lineRule="auto"/>
        <w:jc w:val="both"/>
        <w:rPr>
          <w:rFonts w:ascii="Times New Roman" w:hAnsi="Times New Roman" w:cs="Times New Roman"/>
          <w:b/>
          <w:bCs/>
          <w:sz w:val="24"/>
          <w:szCs w:val="24"/>
        </w:rPr>
      </w:pPr>
      <w:r w:rsidRPr="00CD1B10">
        <w:rPr>
          <w:rFonts w:ascii="Times New Roman" w:hAnsi="Times New Roman" w:cs="Times New Roman"/>
          <w:b/>
          <w:bCs/>
          <w:sz w:val="24"/>
          <w:szCs w:val="24"/>
        </w:rPr>
        <w:t>Instrument on the school-family relationship in the virtual context</w:t>
      </w:r>
    </w:p>
    <w:p w14:paraId="36176A36" w14:textId="7490F5BB" w:rsidR="00D5756F" w:rsidRPr="00CD1B10" w:rsidRDefault="00D5756F" w:rsidP="002F2142">
      <w:pPr>
        <w:spacing w:line="360" w:lineRule="auto"/>
        <w:jc w:val="both"/>
        <w:rPr>
          <w:rFonts w:ascii="Times New Roman" w:hAnsi="Times New Roman" w:cs="Times New Roman"/>
          <w:sz w:val="24"/>
          <w:szCs w:val="24"/>
        </w:rPr>
      </w:pPr>
      <w:r w:rsidRPr="00CD1B10">
        <w:rPr>
          <w:rFonts w:ascii="Times New Roman" w:hAnsi="Times New Roman" w:cs="Times New Roman"/>
          <w:sz w:val="24"/>
          <w:szCs w:val="24"/>
        </w:rPr>
        <w:t xml:space="preserve">The second instrument was specifically designed to explore the perception of mothers and fathers on the relationship between home and school during the implementation of virtual education in the context of the health crisis </w:t>
      </w:r>
      <w:r w:rsidR="00584957" w:rsidRPr="00CD1B10">
        <w:rPr>
          <w:rFonts w:ascii="Times New Roman" w:hAnsi="Times New Roman" w:cs="Times New Roman"/>
          <w:sz w:val="24"/>
          <w:szCs w:val="24"/>
        </w:rPr>
        <w:t xml:space="preserve">by author </w:t>
      </w:r>
      <w:r w:rsidR="00214B37" w:rsidRPr="00CD1B10">
        <w:rPr>
          <w:rFonts w:ascii="Times New Roman" w:hAnsi="Times New Roman" w:cs="Times New Roman"/>
          <w:sz w:val="24"/>
          <w:szCs w:val="24"/>
        </w:rPr>
        <w:t>Piere Rojas</w:t>
      </w:r>
      <w:r w:rsidR="00203509">
        <w:rPr>
          <w:rFonts w:ascii="Times New Roman" w:hAnsi="Times New Roman" w:cs="Times New Roman"/>
          <w:sz w:val="24"/>
          <w:szCs w:val="24"/>
        </w:rPr>
        <w:t xml:space="preserve"> </w:t>
      </w:r>
      <w:r w:rsidR="00584957">
        <w:rPr>
          <w:rFonts w:ascii="Times New Roman" w:hAnsi="Times New Roman" w:cs="Times New Roman"/>
          <w:sz w:val="24"/>
          <w:szCs w:val="24"/>
          <w:lang w:val="es-EC"/>
        </w:rPr>
        <w:fldChar w:fldCharType="begin"/>
      </w:r>
      <w:r w:rsidR="00214B37" w:rsidRPr="00CD1B10">
        <w:rPr>
          <w:rFonts w:ascii="Times New Roman" w:hAnsi="Times New Roman" w:cs="Times New Roman"/>
          <w:sz w:val="24"/>
          <w:szCs w:val="24"/>
        </w:rPr>
        <w:instrText xml:space="preserve"> ADDIN ZOTERO_ITEM CSL_CITATION {"citationID":"bhBkCgFo","properties":{"formattedCitation":"(2020)","plainCitation":"(2020)","noteIndex":0},"citationItems":[{"id":2896,"uris":["http://zotero.org/users/11513704/items/42GX6387"],"itemData":{"id":2896,"type":"article-journal","container-title":"Conrado","ISSN":"1990-8644","issue":"77","page":"298-306","source":"SciELO","title":"Instrumento para evaluar la relación escuela-familia en el proceso educativo virtual provocado por la Covid-19","volume":"16","author":[{"family":"Pire Rojas","given":"Alexis"}],"issued":{"date-parts":[["2020",12]]}},"suppress-author":true}],"schema":"https://github.com/citation-style-language/schema/raw/master/csl-citation.json"} </w:instrText>
      </w:r>
      <w:r w:rsidR="00584957">
        <w:rPr>
          <w:rFonts w:ascii="Times New Roman" w:hAnsi="Times New Roman" w:cs="Times New Roman"/>
          <w:sz w:val="24"/>
          <w:szCs w:val="24"/>
          <w:lang w:val="es-EC"/>
        </w:rPr>
        <w:fldChar w:fldCharType="separate"/>
      </w:r>
      <w:r w:rsidR="00214B37" w:rsidRPr="00CD1B10">
        <w:rPr>
          <w:rFonts w:ascii="Times New Roman" w:hAnsi="Times New Roman" w:cs="Times New Roman"/>
          <w:sz w:val="24"/>
        </w:rPr>
        <w:t>(2020)</w:t>
      </w:r>
      <w:r w:rsidR="00584957">
        <w:rPr>
          <w:rFonts w:ascii="Times New Roman" w:hAnsi="Times New Roman" w:cs="Times New Roman"/>
          <w:sz w:val="24"/>
          <w:szCs w:val="24"/>
          <w:lang w:val="es-EC"/>
        </w:rPr>
        <w:fldChar w:fldCharType="end"/>
      </w:r>
      <w:r w:rsidRPr="00CD1B10">
        <w:rPr>
          <w:rFonts w:ascii="Times New Roman" w:hAnsi="Times New Roman" w:cs="Times New Roman"/>
          <w:sz w:val="24"/>
          <w:szCs w:val="24"/>
        </w:rPr>
        <w:t>. The questionnaire was developed from a pilot test in educational institutions in Quito and was validated with the support of specialists using the Delphi method, which guarantees its relevance and contextual validity.</w:t>
      </w:r>
    </w:p>
    <w:p w14:paraId="66325504" w14:textId="782FFE4B" w:rsidR="00D5756F" w:rsidRPr="00CD1B10" w:rsidRDefault="00D5756F" w:rsidP="002F2142">
      <w:pPr>
        <w:spacing w:line="360" w:lineRule="auto"/>
        <w:jc w:val="both"/>
        <w:rPr>
          <w:rFonts w:ascii="Times New Roman" w:hAnsi="Times New Roman" w:cs="Times New Roman"/>
          <w:sz w:val="24"/>
          <w:szCs w:val="24"/>
        </w:rPr>
      </w:pPr>
      <w:r w:rsidRPr="00CD1B10">
        <w:rPr>
          <w:rFonts w:ascii="Times New Roman" w:hAnsi="Times New Roman" w:cs="Times New Roman"/>
          <w:sz w:val="24"/>
          <w:szCs w:val="24"/>
        </w:rPr>
        <w:t>It is made up of 21 items: 19 items of an evaluative type, measured with a five-level Likert-type scale that allows identifying the degree of agreement or disagreement with situations related to communication, family participation</w:t>
      </w:r>
      <w:r w:rsidR="00203509">
        <w:rPr>
          <w:rFonts w:ascii="Times New Roman" w:hAnsi="Times New Roman" w:cs="Times New Roman"/>
          <w:sz w:val="24"/>
          <w:szCs w:val="24"/>
        </w:rPr>
        <w:t>,</w:t>
      </w:r>
      <w:r w:rsidRPr="00CD1B10">
        <w:rPr>
          <w:rFonts w:ascii="Times New Roman" w:hAnsi="Times New Roman" w:cs="Times New Roman"/>
          <w:sz w:val="24"/>
          <w:szCs w:val="24"/>
        </w:rPr>
        <w:t xml:space="preserve"> and access to technological tools; and 2 additional items that collect information on the technological conditions in the home.</w:t>
      </w:r>
    </w:p>
    <w:p w14:paraId="33F47676" w14:textId="77777777" w:rsidR="00D5756F" w:rsidRPr="00CD1B10" w:rsidRDefault="00D5756F" w:rsidP="002F2142">
      <w:pPr>
        <w:spacing w:line="360" w:lineRule="auto"/>
        <w:jc w:val="both"/>
        <w:rPr>
          <w:rFonts w:ascii="Times New Roman" w:hAnsi="Times New Roman" w:cs="Times New Roman"/>
          <w:sz w:val="24"/>
          <w:szCs w:val="24"/>
        </w:rPr>
      </w:pPr>
      <w:r w:rsidRPr="00CD1B10">
        <w:rPr>
          <w:rFonts w:ascii="Times New Roman" w:hAnsi="Times New Roman" w:cs="Times New Roman"/>
          <w:sz w:val="24"/>
          <w:szCs w:val="24"/>
        </w:rPr>
        <w:t>The reliability analysis of the instrument yielded a Cronbach's alpha coefficient of 0.824, which indicates an adequate internal consistency for its use in similar contexts. Its structure allows a comprehensive assessment of the conditions under which the families faced the virtual educational process, making it a relevant tool for analyzing the impact of the pandemic on family educational dynamics.</w:t>
      </w:r>
    </w:p>
    <w:p w14:paraId="2E19A502" w14:textId="3AF73703" w:rsidR="000B26CB" w:rsidRPr="00CD1B10" w:rsidRDefault="000B26CB" w:rsidP="002F2142">
      <w:pPr>
        <w:spacing w:before="100" w:beforeAutospacing="1" w:after="100" w:afterAutospacing="1" w:line="360" w:lineRule="auto"/>
        <w:jc w:val="both"/>
        <w:rPr>
          <w:rFonts w:ascii="Times New Roman" w:eastAsia="Times New Roman" w:hAnsi="Times New Roman" w:cs="Times New Roman"/>
          <w:b/>
          <w:bCs/>
          <w:sz w:val="24"/>
          <w:szCs w:val="24"/>
          <w:lang w:eastAsia="es-EC"/>
        </w:rPr>
      </w:pPr>
      <w:r w:rsidRPr="00CD1B10">
        <w:rPr>
          <w:rFonts w:ascii="Times New Roman" w:eastAsia="Times New Roman" w:hAnsi="Times New Roman" w:cs="Times New Roman"/>
          <w:b/>
          <w:bCs/>
          <w:sz w:val="24"/>
          <w:szCs w:val="24"/>
          <w:lang w:eastAsia="es-EC"/>
        </w:rPr>
        <w:t>Procedure</w:t>
      </w:r>
    </w:p>
    <w:p w14:paraId="4F52DE3A" w14:textId="2B721CBE" w:rsidR="009C5CF2" w:rsidRPr="00CD1B10" w:rsidRDefault="00D62F27" w:rsidP="002F2142">
      <w:pPr>
        <w:spacing w:before="100" w:beforeAutospacing="1" w:after="100" w:afterAutospacing="1" w:line="360" w:lineRule="auto"/>
        <w:jc w:val="both"/>
        <w:rPr>
          <w:rFonts w:ascii="Times New Roman" w:hAnsi="Times New Roman" w:cs="Times New Roman"/>
          <w:sz w:val="24"/>
          <w:szCs w:val="24"/>
          <w:shd w:val="clear" w:color="auto" w:fill="FFFFFF"/>
        </w:rPr>
      </w:pPr>
      <w:r w:rsidRPr="00CD1B10">
        <w:rPr>
          <w:rFonts w:ascii="Times New Roman" w:eastAsia="Times New Roman" w:hAnsi="Times New Roman" w:cs="Times New Roman"/>
          <w:sz w:val="24"/>
          <w:szCs w:val="24"/>
          <w:lang w:eastAsia="es-EC"/>
        </w:rPr>
        <w:t xml:space="preserve">In the first instance we </w:t>
      </w:r>
      <w:r w:rsidR="00F722FB" w:rsidRPr="00CD1B10">
        <w:rPr>
          <w:rFonts w:ascii="Times New Roman" w:eastAsia="Times New Roman" w:hAnsi="Times New Roman" w:cs="Times New Roman"/>
          <w:sz w:val="24"/>
          <w:szCs w:val="24"/>
          <w:lang w:eastAsia="es-EC"/>
        </w:rPr>
        <w:t xml:space="preserve">proceeded </w:t>
      </w:r>
      <w:r w:rsidRPr="00CD1B10">
        <w:rPr>
          <w:rFonts w:ascii="Times New Roman" w:eastAsia="Times New Roman" w:hAnsi="Times New Roman" w:cs="Times New Roman"/>
          <w:sz w:val="24"/>
          <w:szCs w:val="24"/>
          <w:lang w:eastAsia="es-EC"/>
        </w:rPr>
        <w:t xml:space="preserve">to </w:t>
      </w:r>
      <w:r w:rsidR="00550664" w:rsidRPr="00CD1B10">
        <w:rPr>
          <w:rFonts w:ascii="Times New Roman" w:eastAsia="Times New Roman" w:hAnsi="Times New Roman" w:cs="Times New Roman"/>
          <w:sz w:val="24"/>
          <w:szCs w:val="24"/>
          <w:lang w:eastAsia="es-EC"/>
        </w:rPr>
        <w:t xml:space="preserve">structure the corresponding information </w:t>
      </w:r>
      <w:r w:rsidR="006D4544" w:rsidRPr="00CD1B10">
        <w:rPr>
          <w:rFonts w:ascii="Times New Roman" w:eastAsia="Times New Roman" w:hAnsi="Times New Roman" w:cs="Times New Roman"/>
          <w:sz w:val="24"/>
          <w:szCs w:val="24"/>
          <w:lang w:eastAsia="es-EC"/>
        </w:rPr>
        <w:t xml:space="preserve">Google forms, </w:t>
      </w:r>
      <w:r w:rsidR="00F722FB" w:rsidRPr="00CD1B10">
        <w:rPr>
          <w:rFonts w:ascii="Times New Roman" w:eastAsia="Times New Roman" w:hAnsi="Times New Roman" w:cs="Times New Roman"/>
          <w:sz w:val="24"/>
          <w:szCs w:val="24"/>
          <w:lang w:eastAsia="es-EC"/>
        </w:rPr>
        <w:t>the bank of questions</w:t>
      </w:r>
      <w:r w:rsidR="00AB4011" w:rsidRPr="00CD1B10">
        <w:rPr>
          <w:rFonts w:ascii="Times New Roman" w:eastAsia="Times New Roman" w:hAnsi="Times New Roman" w:cs="Times New Roman"/>
          <w:sz w:val="24"/>
          <w:szCs w:val="24"/>
          <w:lang w:eastAsia="es-EC"/>
        </w:rPr>
        <w:t xml:space="preserve">, the same that </w:t>
      </w:r>
      <w:r w:rsidR="00E917C1" w:rsidRPr="00CD1B10">
        <w:rPr>
          <w:rFonts w:ascii="Times New Roman" w:eastAsia="Times New Roman" w:hAnsi="Times New Roman" w:cs="Times New Roman"/>
          <w:sz w:val="24"/>
          <w:szCs w:val="24"/>
          <w:lang w:eastAsia="es-EC"/>
        </w:rPr>
        <w:t xml:space="preserve">integrate </w:t>
      </w:r>
      <w:r w:rsidR="00AB4011" w:rsidRPr="00CD1B10">
        <w:rPr>
          <w:rFonts w:ascii="Times New Roman" w:eastAsia="Times New Roman" w:hAnsi="Times New Roman" w:cs="Times New Roman"/>
          <w:sz w:val="24"/>
          <w:szCs w:val="24"/>
          <w:lang w:eastAsia="es-EC"/>
        </w:rPr>
        <w:t xml:space="preserve">sociodemographic </w:t>
      </w:r>
      <w:r w:rsidR="00E917C1" w:rsidRPr="00CD1B10">
        <w:rPr>
          <w:rFonts w:ascii="Times New Roman" w:eastAsia="Times New Roman" w:hAnsi="Times New Roman" w:cs="Times New Roman"/>
          <w:sz w:val="24"/>
          <w:szCs w:val="24"/>
          <w:lang w:eastAsia="es-EC"/>
        </w:rPr>
        <w:t>questions</w:t>
      </w:r>
      <w:r w:rsidR="00254191" w:rsidRPr="00CD1B10">
        <w:rPr>
          <w:rFonts w:ascii="Times New Roman" w:eastAsia="Times New Roman" w:hAnsi="Times New Roman" w:cs="Times New Roman"/>
          <w:sz w:val="24"/>
          <w:szCs w:val="24"/>
          <w:lang w:eastAsia="es-EC"/>
        </w:rPr>
        <w:t xml:space="preserve">, </w:t>
      </w:r>
      <w:r w:rsidR="007F5472" w:rsidRPr="00CD1B10">
        <w:rPr>
          <w:rFonts w:ascii="Times New Roman" w:eastAsia="Times New Roman" w:hAnsi="Times New Roman" w:cs="Times New Roman"/>
          <w:sz w:val="24"/>
          <w:szCs w:val="24"/>
          <w:lang w:eastAsia="es-EC"/>
        </w:rPr>
        <w:t xml:space="preserve">the </w:t>
      </w:r>
      <w:r w:rsidR="00254191" w:rsidRPr="00CD1B10">
        <w:rPr>
          <w:rFonts w:ascii="Times New Roman" w:eastAsia="Times New Roman" w:hAnsi="Times New Roman" w:cs="Times New Roman"/>
          <w:sz w:val="24"/>
          <w:szCs w:val="24"/>
          <w:lang w:eastAsia="es-EC"/>
        </w:rPr>
        <w:t xml:space="preserve">respective information about the study </w:t>
      </w:r>
      <w:r w:rsidR="00AB4011" w:rsidRPr="00CD1B10">
        <w:rPr>
          <w:rFonts w:ascii="Times New Roman" w:eastAsia="Times New Roman" w:hAnsi="Times New Roman" w:cs="Times New Roman"/>
          <w:sz w:val="24"/>
          <w:szCs w:val="24"/>
          <w:lang w:eastAsia="es-EC"/>
        </w:rPr>
        <w:t xml:space="preserve">and </w:t>
      </w:r>
      <w:r w:rsidR="00DE11B8" w:rsidRPr="00CD1B10">
        <w:rPr>
          <w:rFonts w:ascii="Times New Roman" w:eastAsia="Times New Roman" w:hAnsi="Times New Roman" w:cs="Times New Roman"/>
          <w:sz w:val="24"/>
          <w:szCs w:val="24"/>
          <w:lang w:eastAsia="es-EC"/>
        </w:rPr>
        <w:t xml:space="preserve">finally </w:t>
      </w:r>
      <w:r w:rsidR="00E917C1" w:rsidRPr="00CD1B10">
        <w:rPr>
          <w:rFonts w:ascii="Times New Roman" w:eastAsia="Times New Roman" w:hAnsi="Times New Roman" w:cs="Times New Roman"/>
          <w:sz w:val="24"/>
          <w:szCs w:val="24"/>
          <w:lang w:eastAsia="es-EC"/>
        </w:rPr>
        <w:t xml:space="preserve">the </w:t>
      </w:r>
      <w:r w:rsidR="00AB4011" w:rsidRPr="00CD1B10">
        <w:rPr>
          <w:rFonts w:ascii="Times New Roman" w:eastAsia="Times New Roman" w:hAnsi="Times New Roman" w:cs="Times New Roman"/>
          <w:sz w:val="24"/>
          <w:szCs w:val="24"/>
          <w:lang w:eastAsia="es-EC"/>
        </w:rPr>
        <w:t xml:space="preserve">instruments </w:t>
      </w:r>
      <w:r w:rsidR="00F722FB" w:rsidRPr="00CD1B10">
        <w:rPr>
          <w:rFonts w:ascii="Times New Roman" w:eastAsia="Times New Roman" w:hAnsi="Times New Roman" w:cs="Times New Roman"/>
          <w:sz w:val="24"/>
          <w:szCs w:val="24"/>
          <w:lang w:eastAsia="es-EC"/>
        </w:rPr>
        <w:t xml:space="preserve">in the form </w:t>
      </w:r>
      <w:r w:rsidR="007F5472" w:rsidRPr="00CD1B10">
        <w:rPr>
          <w:rFonts w:ascii="Times New Roman" w:eastAsia="Times New Roman" w:hAnsi="Times New Roman" w:cs="Times New Roman"/>
          <w:sz w:val="24"/>
          <w:szCs w:val="24"/>
          <w:lang w:eastAsia="es-EC"/>
        </w:rPr>
        <w:t xml:space="preserve">and additionally informed consent, the same that aims to </w:t>
      </w:r>
      <w:r w:rsidR="00203815" w:rsidRPr="00CD1B10">
        <w:rPr>
          <w:rFonts w:ascii="Times New Roman" w:eastAsia="Times New Roman" w:hAnsi="Times New Roman" w:cs="Times New Roman"/>
          <w:sz w:val="24"/>
          <w:szCs w:val="24"/>
          <w:lang w:eastAsia="es-EC"/>
        </w:rPr>
        <w:t xml:space="preserve">develop a study with the ethical principles of research; </w:t>
      </w:r>
      <w:r w:rsidR="00F71349" w:rsidRPr="00CD1B10">
        <w:rPr>
          <w:rFonts w:ascii="Times New Roman" w:eastAsia="Times New Roman" w:hAnsi="Times New Roman" w:cs="Times New Roman"/>
          <w:sz w:val="24"/>
          <w:szCs w:val="24"/>
          <w:lang w:eastAsia="es-EC"/>
        </w:rPr>
        <w:t xml:space="preserve">confidentiality, </w:t>
      </w:r>
      <w:r w:rsidR="007F5472" w:rsidRPr="00CD1B10">
        <w:rPr>
          <w:rFonts w:ascii="Times New Roman" w:eastAsia="Times New Roman" w:hAnsi="Times New Roman" w:cs="Times New Roman"/>
          <w:sz w:val="24"/>
          <w:szCs w:val="24"/>
          <w:lang w:eastAsia="es-EC"/>
        </w:rPr>
        <w:t xml:space="preserve">respecting the participation of individuals </w:t>
      </w:r>
      <w:r w:rsidR="00F71349" w:rsidRPr="00CD1B10">
        <w:rPr>
          <w:rFonts w:ascii="Times New Roman" w:eastAsia="Times New Roman" w:hAnsi="Times New Roman" w:cs="Times New Roman"/>
          <w:sz w:val="24"/>
          <w:szCs w:val="24"/>
          <w:lang w:eastAsia="es-EC"/>
        </w:rPr>
        <w:lastRenderedPageBreak/>
        <w:t xml:space="preserve">(autonomy) </w:t>
      </w:r>
      <w:r w:rsidR="00AA5448" w:rsidRPr="00CD1B10">
        <w:rPr>
          <w:rFonts w:ascii="Times New Roman" w:eastAsia="Times New Roman" w:hAnsi="Times New Roman" w:cs="Times New Roman"/>
          <w:sz w:val="24"/>
          <w:szCs w:val="24"/>
          <w:lang w:eastAsia="es-EC"/>
        </w:rPr>
        <w:t>and</w:t>
      </w:r>
      <w:r w:rsidR="000C2E2D">
        <w:rPr>
          <w:rFonts w:ascii="Times New Roman" w:eastAsia="Times New Roman" w:hAnsi="Times New Roman" w:cs="Times New Roman"/>
          <w:sz w:val="24"/>
          <w:szCs w:val="24"/>
          <w:lang w:val="es-EC" w:eastAsia="es-EC"/>
        </w:rPr>
        <w:fldChar w:fldCharType="begin"/>
      </w:r>
      <w:r w:rsidR="00957583" w:rsidRPr="00CD1B10">
        <w:rPr>
          <w:rFonts w:ascii="Times New Roman" w:eastAsia="Times New Roman" w:hAnsi="Times New Roman" w:cs="Times New Roman"/>
          <w:sz w:val="24"/>
          <w:szCs w:val="24"/>
          <w:lang w:eastAsia="es-EC"/>
        </w:rPr>
        <w:instrText xml:space="preserve"> ADDIN ZOTERO_ITEM CSL_CITATION {"citationID":"wg3E3WcR","properties":{"formattedCitation":"(L\\uc0\\u228{}nsimies-Antikainen et\\uc0\\u160{}al., 2010)","plainCitation":"(Länsimies-Antikainen et al., 2010)","noteIndex":0},"citationItems":[{"id":2915,"uris":["http://zotero.org/users/11513704/items/RWFJNSMJ"],"itemData":{"id":2915,"type":"webpage","title":"Evaluation of informed consent in health research: a questionnaire survey","URL":"https://onlinelibrary.wiley.com/doi/10.1111/j.1471-6712.2008.00684.x","author":[{"family":"Länsimies-Antikainen","given":"Helena"},{"family":"Laitinen","given":"Tomi"},{"family":"Rauramaa","given":"Rainer"},{"family":"Maija Pietilä","given":"Anna"}],"accessed":{"date-parts":[["2025",6,14]]},"issued":{"date-parts":[["2010"]]}}}],"schema":"https://github.com/citation-style-language/schema/raw/master/csl-citation.json"} </w:instrText>
      </w:r>
      <w:r w:rsidR="000C2E2D">
        <w:rPr>
          <w:rFonts w:ascii="Times New Roman" w:eastAsia="Times New Roman" w:hAnsi="Times New Roman" w:cs="Times New Roman"/>
          <w:sz w:val="24"/>
          <w:szCs w:val="24"/>
          <w:lang w:val="es-EC" w:eastAsia="es-EC"/>
        </w:rPr>
        <w:fldChar w:fldCharType="separate"/>
      </w:r>
      <w:r w:rsidR="00957583" w:rsidRPr="00CD1B10">
        <w:rPr>
          <w:rFonts w:ascii="Times New Roman" w:hAnsi="Times New Roman" w:cs="Times New Roman"/>
          <w:sz w:val="24"/>
          <w:szCs w:val="24"/>
        </w:rPr>
        <w:t xml:space="preserve"> (Länsimies-Antikainen et al., 2010)</w:t>
      </w:r>
      <w:r w:rsidR="000C2E2D">
        <w:rPr>
          <w:rFonts w:ascii="Times New Roman" w:eastAsia="Times New Roman" w:hAnsi="Times New Roman" w:cs="Times New Roman"/>
          <w:sz w:val="24"/>
          <w:szCs w:val="24"/>
          <w:lang w:val="es-EC" w:eastAsia="es-EC"/>
        </w:rPr>
        <w:fldChar w:fldCharType="end"/>
      </w:r>
      <w:r w:rsidR="001F1C74" w:rsidRPr="00CD1B10">
        <w:rPr>
          <w:rFonts w:ascii="Times New Roman" w:eastAsia="Times New Roman" w:hAnsi="Times New Roman" w:cs="Times New Roman"/>
          <w:sz w:val="24"/>
          <w:szCs w:val="24"/>
          <w:lang w:eastAsia="es-EC"/>
        </w:rPr>
        <w:t>. Subsequently</w:t>
      </w:r>
      <w:r w:rsidR="00BA7293" w:rsidRPr="00CD1B10">
        <w:rPr>
          <w:rFonts w:ascii="Times New Roman" w:eastAsia="Times New Roman" w:hAnsi="Times New Roman" w:cs="Times New Roman"/>
          <w:sz w:val="24"/>
          <w:szCs w:val="24"/>
          <w:lang w:eastAsia="es-EC"/>
        </w:rPr>
        <w:t xml:space="preserve">, the link </w:t>
      </w:r>
      <w:r w:rsidR="001F1C74" w:rsidRPr="00CD1B10">
        <w:rPr>
          <w:rFonts w:ascii="Times New Roman" w:eastAsia="Times New Roman" w:hAnsi="Times New Roman" w:cs="Times New Roman"/>
          <w:sz w:val="24"/>
          <w:szCs w:val="24"/>
          <w:lang w:eastAsia="es-EC"/>
        </w:rPr>
        <w:t xml:space="preserve">was sent to </w:t>
      </w:r>
      <w:r w:rsidR="00BA7293" w:rsidRPr="00CD1B10">
        <w:rPr>
          <w:rFonts w:ascii="Times New Roman" w:eastAsia="Times New Roman" w:hAnsi="Times New Roman" w:cs="Times New Roman"/>
          <w:sz w:val="24"/>
          <w:szCs w:val="24"/>
          <w:lang w:eastAsia="es-EC"/>
        </w:rPr>
        <w:t xml:space="preserve">the participants so that they could </w:t>
      </w:r>
      <w:r w:rsidR="00C101E5" w:rsidRPr="00CD1B10">
        <w:rPr>
          <w:rFonts w:ascii="Times New Roman" w:eastAsia="Times New Roman" w:hAnsi="Times New Roman" w:cs="Times New Roman"/>
          <w:sz w:val="24"/>
          <w:szCs w:val="24"/>
          <w:lang w:eastAsia="es-EC"/>
        </w:rPr>
        <w:t xml:space="preserve">answer the questions </w:t>
      </w:r>
      <w:sdt>
        <w:sdtPr>
          <w:rPr>
            <w:rFonts w:ascii="Times New Roman" w:hAnsi="Times New Roman" w:cs="Times New Roman"/>
            <w:sz w:val="24"/>
            <w:szCs w:val="24"/>
            <w:shd w:val="clear" w:color="auto" w:fill="FFFFFF"/>
          </w:rPr>
          <w:id w:val="-1040128374"/>
          <w:citation/>
        </w:sdtPr>
        <w:sdtEndPr/>
        <w:sdtContent>
          <w:r w:rsidR="002E3B21" w:rsidRPr="00CD1B10">
            <w:rPr>
              <w:rFonts w:ascii="Times New Roman" w:hAnsi="Times New Roman" w:cs="Times New Roman"/>
              <w:noProof/>
              <w:sz w:val="24"/>
              <w:szCs w:val="24"/>
              <w:shd w:val="clear" w:color="auto" w:fill="FFFFFF"/>
            </w:rPr>
            <w:t>(Casas M, 2016; Martín, Apericio, &amp; Jarne, 2023) .</w:t>
          </w:r>
        </w:sdtContent>
      </w:sdt>
    </w:p>
    <w:p w14:paraId="6F51A053" w14:textId="3A18797F" w:rsidR="009C5CF2" w:rsidRPr="00CD1B10" w:rsidRDefault="009C5CF2" w:rsidP="002F2142">
      <w:pPr>
        <w:spacing w:before="100" w:beforeAutospacing="1" w:after="100" w:afterAutospacing="1" w:line="360" w:lineRule="auto"/>
        <w:jc w:val="both"/>
        <w:rPr>
          <w:rFonts w:ascii="Times New Roman" w:hAnsi="Times New Roman" w:cs="Times New Roman"/>
          <w:b/>
          <w:bCs/>
          <w:sz w:val="24"/>
          <w:szCs w:val="24"/>
          <w:shd w:val="clear" w:color="auto" w:fill="FFFFFF"/>
        </w:rPr>
      </w:pPr>
      <w:r w:rsidRPr="00CD1B10">
        <w:rPr>
          <w:rFonts w:ascii="Times New Roman" w:hAnsi="Times New Roman" w:cs="Times New Roman"/>
          <w:b/>
          <w:bCs/>
          <w:sz w:val="24"/>
          <w:szCs w:val="24"/>
          <w:shd w:val="clear" w:color="auto" w:fill="FFFFFF"/>
        </w:rPr>
        <w:t>Data analysis</w:t>
      </w:r>
    </w:p>
    <w:p w14:paraId="5A4CDF24" w14:textId="13240FC3" w:rsidR="000B26CB" w:rsidRPr="00CD1B10" w:rsidRDefault="00E32B3B" w:rsidP="002F2142">
      <w:pPr>
        <w:spacing w:before="100" w:beforeAutospacing="1" w:after="100" w:afterAutospacing="1" w:line="360" w:lineRule="auto"/>
        <w:jc w:val="both"/>
        <w:rPr>
          <w:rFonts w:ascii="Times New Roman" w:hAnsi="Times New Roman" w:cs="Times New Roman"/>
          <w:sz w:val="24"/>
          <w:szCs w:val="24"/>
          <w:shd w:val="clear" w:color="auto" w:fill="FFFFFF"/>
        </w:rPr>
      </w:pPr>
      <w:r w:rsidRPr="00CD1B10">
        <w:rPr>
          <w:rFonts w:ascii="Times New Roman" w:hAnsi="Times New Roman" w:cs="Times New Roman"/>
          <w:sz w:val="24"/>
          <w:szCs w:val="24"/>
          <w:shd w:val="clear" w:color="auto" w:fill="FFFFFF"/>
        </w:rPr>
        <w:t xml:space="preserve">For this study, the statistical treatment applied </w:t>
      </w:r>
      <w:r w:rsidR="006C415E" w:rsidRPr="00CD1B10">
        <w:rPr>
          <w:rFonts w:ascii="Times New Roman" w:hAnsi="Times New Roman" w:cs="Times New Roman"/>
          <w:sz w:val="24"/>
          <w:szCs w:val="24"/>
          <w:shd w:val="clear" w:color="auto" w:fill="FFFFFF"/>
        </w:rPr>
        <w:t>was as follows</w:t>
      </w:r>
      <w:r w:rsidR="0095703E" w:rsidRPr="00CD1B10">
        <w:rPr>
          <w:rFonts w:ascii="Times New Roman" w:hAnsi="Times New Roman" w:cs="Times New Roman"/>
          <w:sz w:val="24"/>
          <w:szCs w:val="24"/>
          <w:shd w:val="clear" w:color="auto" w:fill="FFFFFF"/>
        </w:rPr>
        <w:t xml:space="preserve">. We proceeded to apply a </w:t>
      </w:r>
      <w:r w:rsidR="00BB41D0" w:rsidRPr="00CD1B10">
        <w:rPr>
          <w:rFonts w:ascii="Times New Roman" w:hAnsi="Times New Roman" w:cs="Times New Roman"/>
          <w:sz w:val="24"/>
          <w:szCs w:val="24"/>
          <w:shd w:val="clear" w:color="auto" w:fill="FFFFFF"/>
        </w:rPr>
        <w:t xml:space="preserve">frequency analysis </w:t>
      </w:r>
      <w:r w:rsidR="00203509">
        <w:rPr>
          <w:rFonts w:ascii="Times New Roman" w:hAnsi="Times New Roman" w:cs="Times New Roman"/>
          <w:sz w:val="24"/>
          <w:szCs w:val="24"/>
          <w:shd w:val="clear" w:color="auto" w:fill="FFFFFF"/>
        </w:rPr>
        <w:t>to review or verify</w:t>
      </w:r>
      <w:r w:rsidR="00BB41D0" w:rsidRPr="00CD1B10">
        <w:rPr>
          <w:rFonts w:ascii="Times New Roman" w:hAnsi="Times New Roman" w:cs="Times New Roman"/>
          <w:sz w:val="24"/>
          <w:szCs w:val="24"/>
          <w:shd w:val="clear" w:color="auto" w:fill="FFFFFF"/>
        </w:rPr>
        <w:t xml:space="preserve"> </w:t>
      </w:r>
      <w:r w:rsidR="002B40C1" w:rsidRPr="00CD1B10">
        <w:rPr>
          <w:rFonts w:ascii="Times New Roman" w:hAnsi="Times New Roman" w:cs="Times New Roman"/>
          <w:sz w:val="24"/>
          <w:szCs w:val="24"/>
          <w:shd w:val="clear" w:color="auto" w:fill="FFFFFF"/>
        </w:rPr>
        <w:t xml:space="preserve">if there are empty or missing data. Once the data had been reviewed, </w:t>
      </w:r>
      <w:r w:rsidR="007B5470" w:rsidRPr="00CD1B10">
        <w:rPr>
          <w:rFonts w:ascii="Times New Roman" w:hAnsi="Times New Roman" w:cs="Times New Roman"/>
          <w:sz w:val="24"/>
          <w:szCs w:val="24"/>
          <w:shd w:val="clear" w:color="auto" w:fill="FFFFFF"/>
        </w:rPr>
        <w:t>first</w:t>
      </w:r>
      <w:r w:rsidR="00442AD9" w:rsidRPr="00CD1B10">
        <w:rPr>
          <w:rFonts w:ascii="Times New Roman" w:hAnsi="Times New Roman" w:cs="Times New Roman"/>
          <w:sz w:val="24"/>
          <w:szCs w:val="24"/>
          <w:shd w:val="clear" w:color="auto" w:fill="FFFFFF"/>
        </w:rPr>
        <w:t xml:space="preserve">, a descriptive analysis </w:t>
      </w:r>
      <w:r w:rsidR="002B40C1" w:rsidRPr="00CD1B10">
        <w:rPr>
          <w:rFonts w:ascii="Times New Roman" w:hAnsi="Times New Roman" w:cs="Times New Roman"/>
          <w:sz w:val="24"/>
          <w:szCs w:val="24"/>
          <w:shd w:val="clear" w:color="auto" w:fill="FFFFFF"/>
        </w:rPr>
        <w:t xml:space="preserve">of the data was applied to </w:t>
      </w:r>
      <w:r w:rsidR="00992BB9" w:rsidRPr="00CD1B10">
        <w:rPr>
          <w:rFonts w:ascii="Times New Roman" w:hAnsi="Times New Roman" w:cs="Times New Roman"/>
          <w:sz w:val="24"/>
          <w:szCs w:val="24"/>
          <w:shd w:val="clear" w:color="auto" w:fill="FFFFFF"/>
        </w:rPr>
        <w:t xml:space="preserve">detail the </w:t>
      </w:r>
      <w:r w:rsidR="001D11C7" w:rsidRPr="00CD1B10">
        <w:rPr>
          <w:rFonts w:ascii="Times New Roman" w:hAnsi="Times New Roman" w:cs="Times New Roman"/>
          <w:sz w:val="24"/>
          <w:szCs w:val="24"/>
          <w:shd w:val="clear" w:color="auto" w:fill="FFFFFF"/>
        </w:rPr>
        <w:t xml:space="preserve">sociodemographic </w:t>
      </w:r>
      <w:r w:rsidR="00992BB9" w:rsidRPr="00CD1B10">
        <w:rPr>
          <w:rFonts w:ascii="Times New Roman" w:hAnsi="Times New Roman" w:cs="Times New Roman"/>
          <w:sz w:val="24"/>
          <w:szCs w:val="24"/>
          <w:shd w:val="clear" w:color="auto" w:fill="FFFFFF"/>
        </w:rPr>
        <w:t xml:space="preserve">characteristics of the study sample. </w:t>
      </w:r>
      <w:r w:rsidR="00953769" w:rsidRPr="00CD1B10">
        <w:rPr>
          <w:rFonts w:ascii="Times New Roman" w:hAnsi="Times New Roman" w:cs="Times New Roman"/>
          <w:sz w:val="24"/>
          <w:szCs w:val="24"/>
          <w:shd w:val="clear" w:color="auto" w:fill="FFFFFF"/>
        </w:rPr>
        <w:t xml:space="preserve">The objective is to evaluate </w:t>
      </w:r>
      <w:r w:rsidR="00442AD9" w:rsidRPr="00CD1B10">
        <w:rPr>
          <w:rFonts w:ascii="Times New Roman" w:hAnsi="Times New Roman" w:cs="Times New Roman"/>
          <w:sz w:val="24"/>
          <w:szCs w:val="24"/>
          <w:shd w:val="clear" w:color="auto" w:fill="FFFFFF"/>
        </w:rPr>
        <w:t xml:space="preserve">the associations </w:t>
      </w:r>
      <w:r w:rsidR="00953769" w:rsidRPr="00CD1B10">
        <w:rPr>
          <w:rFonts w:ascii="Times New Roman" w:hAnsi="Times New Roman" w:cs="Times New Roman"/>
          <w:sz w:val="24"/>
          <w:szCs w:val="24"/>
          <w:shd w:val="clear" w:color="auto" w:fill="FFFFFF"/>
        </w:rPr>
        <w:t>of the variables</w:t>
      </w:r>
      <w:r w:rsidR="00442AD9" w:rsidRPr="00CD1B10">
        <w:rPr>
          <w:rFonts w:ascii="Times New Roman" w:hAnsi="Times New Roman" w:cs="Times New Roman"/>
          <w:sz w:val="24"/>
          <w:szCs w:val="24"/>
          <w:shd w:val="clear" w:color="auto" w:fill="FFFFFF"/>
        </w:rPr>
        <w:t xml:space="preserve">, the assumption of normality of the distribution of the data is verified </w:t>
      </w:r>
      <w:r w:rsidR="00203509">
        <w:rPr>
          <w:rFonts w:ascii="Times New Roman" w:hAnsi="Times New Roman" w:cs="Times New Roman"/>
          <w:sz w:val="24"/>
          <w:szCs w:val="24"/>
          <w:shd w:val="clear" w:color="auto" w:fill="FFFFFF"/>
        </w:rPr>
        <w:t>through</w:t>
      </w:r>
      <w:r w:rsidR="00815D16" w:rsidRPr="00CD1B10">
        <w:rPr>
          <w:rFonts w:ascii="Times New Roman" w:hAnsi="Times New Roman" w:cs="Times New Roman"/>
          <w:sz w:val="24"/>
          <w:szCs w:val="24"/>
          <w:shd w:val="clear" w:color="auto" w:fill="FFFFFF"/>
        </w:rPr>
        <w:t xml:space="preserve"> the </w:t>
      </w:r>
      <w:r w:rsidR="00815D16" w:rsidRPr="00CD1B10">
        <w:rPr>
          <w:rFonts w:ascii="Times New Roman" w:eastAsia="Times New Roman" w:hAnsi="Times New Roman" w:cs="Times New Roman"/>
          <w:sz w:val="24"/>
          <w:szCs w:val="24"/>
          <w:lang w:eastAsia="es-EC"/>
        </w:rPr>
        <w:t>Kolmogórov-Smirnov test</w:t>
      </w:r>
      <w:r w:rsidR="00147C6A">
        <w:rPr>
          <w:rFonts w:ascii="Times New Roman" w:eastAsia="Times New Roman" w:hAnsi="Times New Roman" w:cs="Times New Roman"/>
          <w:sz w:val="24"/>
          <w:szCs w:val="24"/>
          <w:lang w:eastAsia="es-EC"/>
        </w:rPr>
        <w:t>,</w:t>
      </w:r>
      <w:r w:rsidR="00815D16" w:rsidRPr="00CD1B10">
        <w:rPr>
          <w:rFonts w:ascii="Times New Roman" w:eastAsia="Times New Roman" w:hAnsi="Times New Roman" w:cs="Times New Roman"/>
          <w:sz w:val="24"/>
          <w:szCs w:val="24"/>
          <w:lang w:eastAsia="es-EC"/>
        </w:rPr>
        <w:t xml:space="preserve"> and a statistical significance level of 0.05 (p &lt; 0.05) is established </w:t>
      </w:r>
      <w:r w:rsidR="00BA73B0" w:rsidRPr="00CD1B10">
        <w:rPr>
          <w:rFonts w:ascii="Times New Roman" w:eastAsia="Times New Roman" w:hAnsi="Times New Roman" w:cs="Times New Roman"/>
          <w:sz w:val="24"/>
          <w:szCs w:val="24"/>
          <w:lang w:eastAsia="es-EC"/>
        </w:rPr>
        <w:t xml:space="preserve">to </w:t>
      </w:r>
      <w:r w:rsidR="00015166" w:rsidRPr="00CD1B10">
        <w:rPr>
          <w:rFonts w:ascii="Times New Roman" w:hAnsi="Times New Roman" w:cs="Times New Roman"/>
          <w:sz w:val="24"/>
          <w:szCs w:val="24"/>
          <w:shd w:val="clear" w:color="auto" w:fill="FFFFFF"/>
        </w:rPr>
        <w:t xml:space="preserve">subsequently select the appropriate statistical analysis </w:t>
      </w:r>
      <w:r w:rsidR="00EC66A6" w:rsidRPr="00CD1B10">
        <w:rPr>
          <w:rFonts w:ascii="Times New Roman" w:hAnsi="Times New Roman" w:cs="Times New Roman"/>
          <w:sz w:val="24"/>
          <w:szCs w:val="24"/>
          <w:shd w:val="clear" w:color="auto" w:fill="FFFFFF"/>
        </w:rPr>
        <w:t xml:space="preserve">such as Sperman or Pearson, </w:t>
      </w:r>
      <w:r w:rsidR="00203509">
        <w:rPr>
          <w:rFonts w:ascii="Times New Roman" w:hAnsi="Times New Roman" w:cs="Times New Roman"/>
          <w:sz w:val="24"/>
          <w:szCs w:val="24"/>
          <w:shd w:val="clear" w:color="auto" w:fill="FFFFFF"/>
        </w:rPr>
        <w:t>depending on the case.</w:t>
      </w:r>
    </w:p>
    <w:p w14:paraId="280E4550" w14:textId="41A5087C" w:rsidR="00692D50" w:rsidRPr="00CD1B10" w:rsidRDefault="00692D50" w:rsidP="002F2142">
      <w:pPr>
        <w:spacing w:before="100" w:beforeAutospacing="1" w:after="100" w:afterAutospacing="1" w:line="360" w:lineRule="auto"/>
        <w:jc w:val="both"/>
        <w:rPr>
          <w:rFonts w:ascii="Times New Roman" w:eastAsia="Times New Roman" w:hAnsi="Times New Roman" w:cs="Times New Roman"/>
          <w:b/>
          <w:bCs/>
          <w:sz w:val="24"/>
          <w:szCs w:val="24"/>
          <w:lang w:eastAsia="es-EC"/>
        </w:rPr>
      </w:pPr>
      <w:r w:rsidRPr="00CD1B10">
        <w:rPr>
          <w:rFonts w:ascii="Times New Roman" w:eastAsia="Times New Roman" w:hAnsi="Times New Roman" w:cs="Times New Roman"/>
          <w:b/>
          <w:bCs/>
          <w:sz w:val="24"/>
          <w:szCs w:val="24"/>
          <w:lang w:eastAsia="es-EC"/>
        </w:rPr>
        <w:t>Results</w:t>
      </w:r>
    </w:p>
    <w:p w14:paraId="201D211D" w14:textId="672B4223" w:rsidR="00D5241F" w:rsidRPr="00CD1B10" w:rsidRDefault="00EB00BC" w:rsidP="002F2142">
      <w:pPr>
        <w:pStyle w:val="NormalWeb"/>
        <w:spacing w:line="360" w:lineRule="auto"/>
        <w:jc w:val="both"/>
        <w:rPr>
          <w:lang w:val="en-US"/>
        </w:rPr>
      </w:pPr>
      <w:r w:rsidRPr="00CD1B10">
        <w:rPr>
          <w:lang w:val="en-US"/>
        </w:rPr>
        <w:t xml:space="preserve">The data presented in Table </w:t>
      </w:r>
      <w:r w:rsidR="00011919" w:rsidRPr="00CD1B10">
        <w:rPr>
          <w:lang w:val="en-US"/>
        </w:rPr>
        <w:t xml:space="preserve">1 </w:t>
      </w:r>
      <w:r w:rsidRPr="00CD1B10">
        <w:rPr>
          <w:lang w:val="en-US"/>
        </w:rPr>
        <w:t xml:space="preserve">are described below and allow us to characterize the population on the basis of basic sociodemographic variables. Regarding </w:t>
      </w:r>
      <w:r w:rsidR="000B016A" w:rsidRPr="00CD1B10">
        <w:rPr>
          <w:lang w:val="en-US"/>
        </w:rPr>
        <w:t xml:space="preserve">parental role, the mother was identified by most of the participants. Regarding marital status, the most populated category was married. Almost 32% of the participants live with their partner in a common-law relationship, 23% were single, 8% were divorced, and almost 1% were widowed. As for the level of education attained, the most populated category is by far the high school level. In second place are students who have completed primary education. </w:t>
      </w:r>
      <w:r w:rsidR="00203509" w:rsidRPr="00203509">
        <w:rPr>
          <w:lang w:val="en-US"/>
        </w:rPr>
        <w:t>To a much lesser extent, third-level and fourth-level education are reported.</w:t>
      </w:r>
    </w:p>
    <w:p w14:paraId="520E498F" w14:textId="06BB076B" w:rsidR="00D5241F" w:rsidRPr="002F2142" w:rsidRDefault="008A7538" w:rsidP="002F2142">
      <w:pPr>
        <w:spacing w:before="100" w:beforeAutospacing="1" w:after="100" w:afterAutospacing="1" w:line="360" w:lineRule="auto"/>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 xml:space="preserve">Table </w:t>
      </w:r>
      <w:r w:rsidR="00011919">
        <w:rPr>
          <w:rFonts w:ascii="Times New Roman" w:eastAsia="Times New Roman" w:hAnsi="Times New Roman" w:cs="Times New Roman"/>
          <w:b/>
          <w:bCs/>
          <w:sz w:val="24"/>
          <w:szCs w:val="24"/>
          <w:lang w:val="es-EC" w:eastAsia="es-EC"/>
        </w:rPr>
        <w:t>1</w:t>
      </w:r>
    </w:p>
    <w:p w14:paraId="28000B48" w14:textId="7144A69E" w:rsidR="00203509" w:rsidRPr="002F2142" w:rsidRDefault="008A7538" w:rsidP="002F2142">
      <w:pPr>
        <w:spacing w:before="100" w:beforeAutospacing="1" w:after="100" w:afterAutospacing="1" w:line="360" w:lineRule="auto"/>
        <w:rPr>
          <w:rFonts w:ascii="Times New Roman" w:eastAsia="Times New Roman" w:hAnsi="Times New Roman" w:cs="Times New Roman"/>
          <w:i/>
          <w:iCs/>
          <w:sz w:val="24"/>
          <w:szCs w:val="24"/>
          <w:lang w:val="es-EC" w:eastAsia="es-EC"/>
        </w:rPr>
      </w:pPr>
      <w:r w:rsidRPr="002F2142">
        <w:rPr>
          <w:rFonts w:ascii="Times New Roman" w:eastAsia="Times New Roman" w:hAnsi="Times New Roman" w:cs="Times New Roman"/>
          <w:i/>
          <w:iCs/>
          <w:sz w:val="24"/>
          <w:szCs w:val="24"/>
          <w:lang w:val="es-EC" w:eastAsia="es-EC"/>
        </w:rPr>
        <w:t>Characteristics of sociodemographic variables</w:t>
      </w:r>
    </w:p>
    <w:tbl>
      <w:tblPr>
        <w:tblStyle w:val="Tablaconcuadrcula"/>
        <w:tblW w:w="946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633"/>
        <w:gridCol w:w="2245"/>
        <w:gridCol w:w="2156"/>
      </w:tblGrid>
      <w:tr w:rsidR="00D47749" w:rsidRPr="002F2142" w14:paraId="09F28AEA" w14:textId="2B58F91F" w:rsidTr="0006288B">
        <w:trPr>
          <w:trHeight w:val="329"/>
        </w:trPr>
        <w:tc>
          <w:tcPr>
            <w:tcW w:w="2435" w:type="dxa"/>
            <w:tcBorders>
              <w:top w:val="single" w:sz="4" w:space="0" w:color="auto"/>
              <w:bottom w:val="single" w:sz="4" w:space="0" w:color="auto"/>
            </w:tcBorders>
            <w:vAlign w:val="center"/>
          </w:tcPr>
          <w:p w14:paraId="79ECC527" w14:textId="0573176A" w:rsidR="00D47749" w:rsidRPr="002F2142" w:rsidRDefault="00D47749"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Variable</w:t>
            </w:r>
          </w:p>
        </w:tc>
        <w:tc>
          <w:tcPr>
            <w:tcW w:w="2633" w:type="dxa"/>
            <w:tcBorders>
              <w:top w:val="single" w:sz="4" w:space="0" w:color="auto"/>
              <w:bottom w:val="single" w:sz="4" w:space="0" w:color="auto"/>
            </w:tcBorders>
            <w:vAlign w:val="center"/>
          </w:tcPr>
          <w:p w14:paraId="0B546028" w14:textId="4AB742C3" w:rsidR="00D47749" w:rsidRPr="002F2142" w:rsidRDefault="00D47749"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Category</w:t>
            </w:r>
          </w:p>
        </w:tc>
        <w:tc>
          <w:tcPr>
            <w:tcW w:w="2245" w:type="dxa"/>
            <w:tcBorders>
              <w:top w:val="single" w:sz="4" w:space="0" w:color="auto"/>
              <w:bottom w:val="single" w:sz="4" w:space="0" w:color="auto"/>
            </w:tcBorders>
            <w:vAlign w:val="center"/>
          </w:tcPr>
          <w:p w14:paraId="3EF9A317" w14:textId="231AD7B4" w:rsidR="00D47749" w:rsidRPr="002F2142" w:rsidRDefault="00D47749"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f</w:t>
            </w:r>
          </w:p>
        </w:tc>
        <w:tc>
          <w:tcPr>
            <w:tcW w:w="2156" w:type="dxa"/>
            <w:tcBorders>
              <w:top w:val="single" w:sz="4" w:space="0" w:color="auto"/>
              <w:bottom w:val="single" w:sz="4" w:space="0" w:color="auto"/>
            </w:tcBorders>
            <w:vAlign w:val="center"/>
          </w:tcPr>
          <w:p w14:paraId="0F59EE1C" w14:textId="57D1D80D" w:rsidR="00D47749" w:rsidRPr="002F2142" w:rsidRDefault="00D47749"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w:t>
            </w:r>
          </w:p>
        </w:tc>
      </w:tr>
      <w:tr w:rsidR="00CB0827" w:rsidRPr="002F2142" w14:paraId="25687746" w14:textId="77777777" w:rsidTr="0006288B">
        <w:trPr>
          <w:trHeight w:val="329"/>
        </w:trPr>
        <w:tc>
          <w:tcPr>
            <w:tcW w:w="2435" w:type="dxa"/>
            <w:vMerge w:val="restart"/>
            <w:tcBorders>
              <w:top w:val="single" w:sz="4" w:space="0" w:color="auto"/>
            </w:tcBorders>
            <w:vAlign w:val="center"/>
          </w:tcPr>
          <w:p w14:paraId="4A3BCED9" w14:textId="75B394DE" w:rsidR="00CB0827" w:rsidRPr="002F2142" w:rsidRDefault="00CB0827"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Paternal role</w:t>
            </w:r>
          </w:p>
        </w:tc>
        <w:tc>
          <w:tcPr>
            <w:tcW w:w="2633" w:type="dxa"/>
            <w:tcBorders>
              <w:top w:val="single" w:sz="4" w:space="0" w:color="auto"/>
            </w:tcBorders>
            <w:vAlign w:val="center"/>
          </w:tcPr>
          <w:p w14:paraId="737B4800" w14:textId="5617F6C2" w:rsidR="00CB0827" w:rsidRPr="002F2142" w:rsidRDefault="00CB0827"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Mother</w:t>
            </w:r>
          </w:p>
        </w:tc>
        <w:tc>
          <w:tcPr>
            <w:tcW w:w="2245" w:type="dxa"/>
            <w:tcBorders>
              <w:top w:val="single" w:sz="4" w:space="0" w:color="auto"/>
            </w:tcBorders>
            <w:vAlign w:val="center"/>
          </w:tcPr>
          <w:p w14:paraId="5B861ACA" w14:textId="592E2109" w:rsidR="00CB0827" w:rsidRPr="002F2142" w:rsidRDefault="008764F9"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75</w:t>
            </w:r>
          </w:p>
        </w:tc>
        <w:tc>
          <w:tcPr>
            <w:tcW w:w="2156" w:type="dxa"/>
            <w:tcBorders>
              <w:top w:val="single" w:sz="4" w:space="0" w:color="auto"/>
            </w:tcBorders>
            <w:vAlign w:val="center"/>
          </w:tcPr>
          <w:p w14:paraId="42BE9BB6" w14:textId="0D71879F" w:rsidR="00CB0827" w:rsidRPr="002F2142" w:rsidRDefault="009A4764"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hAnsi="Times New Roman" w:cs="Times New Roman"/>
                <w:sz w:val="24"/>
                <w:szCs w:val="24"/>
              </w:rPr>
              <w:t>71.43 %</w:t>
            </w:r>
          </w:p>
        </w:tc>
      </w:tr>
      <w:tr w:rsidR="00CB0827" w:rsidRPr="002F2142" w14:paraId="099582F3" w14:textId="77777777" w:rsidTr="0006288B">
        <w:trPr>
          <w:trHeight w:val="345"/>
        </w:trPr>
        <w:tc>
          <w:tcPr>
            <w:tcW w:w="2435" w:type="dxa"/>
            <w:vMerge/>
            <w:vAlign w:val="center"/>
          </w:tcPr>
          <w:p w14:paraId="34639C70" w14:textId="77777777" w:rsidR="00CB0827" w:rsidRPr="002F2142" w:rsidRDefault="00CB0827"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p>
        </w:tc>
        <w:tc>
          <w:tcPr>
            <w:tcW w:w="2633" w:type="dxa"/>
            <w:vAlign w:val="center"/>
          </w:tcPr>
          <w:p w14:paraId="6C753F50" w14:textId="5487FC69" w:rsidR="00CB0827" w:rsidRPr="002F2142" w:rsidRDefault="00CB0827"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Father</w:t>
            </w:r>
          </w:p>
        </w:tc>
        <w:tc>
          <w:tcPr>
            <w:tcW w:w="2245" w:type="dxa"/>
            <w:vAlign w:val="center"/>
          </w:tcPr>
          <w:p w14:paraId="690ADCF7" w14:textId="75EF7D8B" w:rsidR="00CB0827" w:rsidRPr="002F2142" w:rsidRDefault="008764F9"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30</w:t>
            </w:r>
          </w:p>
        </w:tc>
        <w:tc>
          <w:tcPr>
            <w:tcW w:w="2156" w:type="dxa"/>
            <w:vAlign w:val="center"/>
          </w:tcPr>
          <w:p w14:paraId="60CBE823" w14:textId="41D851BE" w:rsidR="00CB0827" w:rsidRPr="002F2142" w:rsidRDefault="009A4764"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hAnsi="Times New Roman" w:cs="Times New Roman"/>
                <w:sz w:val="24"/>
                <w:szCs w:val="24"/>
              </w:rPr>
              <w:t>28.57 %</w:t>
            </w:r>
          </w:p>
        </w:tc>
      </w:tr>
      <w:tr w:rsidR="00B140A6" w:rsidRPr="002F2142" w14:paraId="2C112F87" w14:textId="4B383FE3" w:rsidTr="0006288B">
        <w:trPr>
          <w:trHeight w:val="329"/>
        </w:trPr>
        <w:tc>
          <w:tcPr>
            <w:tcW w:w="2435" w:type="dxa"/>
            <w:vMerge w:val="restart"/>
            <w:vAlign w:val="center"/>
          </w:tcPr>
          <w:p w14:paraId="38C7F984" w14:textId="2D56DE18" w:rsidR="00B140A6" w:rsidRPr="002F2142" w:rsidRDefault="00722ED7"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Participant's marital status</w:t>
            </w:r>
          </w:p>
        </w:tc>
        <w:tc>
          <w:tcPr>
            <w:tcW w:w="2633" w:type="dxa"/>
          </w:tcPr>
          <w:p w14:paraId="6ABC13DE" w14:textId="4104D3AB" w:rsidR="00B140A6" w:rsidRPr="002F2142" w:rsidRDefault="00B140A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Single</w:t>
            </w:r>
          </w:p>
        </w:tc>
        <w:tc>
          <w:tcPr>
            <w:tcW w:w="2245" w:type="dxa"/>
          </w:tcPr>
          <w:p w14:paraId="4C532076" w14:textId="56B5F6BF" w:rsidR="00B140A6" w:rsidRPr="002F2142" w:rsidRDefault="005E4112"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24</w:t>
            </w:r>
          </w:p>
        </w:tc>
        <w:tc>
          <w:tcPr>
            <w:tcW w:w="2156" w:type="dxa"/>
          </w:tcPr>
          <w:p w14:paraId="47F7C068" w14:textId="6EF47E76" w:rsidR="00B140A6" w:rsidRPr="002F2142" w:rsidRDefault="00AB3EB5"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22.86 %</w:t>
            </w:r>
          </w:p>
        </w:tc>
      </w:tr>
      <w:tr w:rsidR="00B140A6" w:rsidRPr="002F2142" w14:paraId="4603EC0C" w14:textId="20BF2FB1" w:rsidTr="0006288B">
        <w:trPr>
          <w:trHeight w:val="345"/>
        </w:trPr>
        <w:tc>
          <w:tcPr>
            <w:tcW w:w="2435" w:type="dxa"/>
            <w:vMerge/>
          </w:tcPr>
          <w:p w14:paraId="2A590DA9" w14:textId="77777777" w:rsidR="00B140A6" w:rsidRPr="002F2142" w:rsidRDefault="00B140A6" w:rsidP="002F2142">
            <w:pPr>
              <w:spacing w:before="100" w:beforeAutospacing="1" w:after="100" w:afterAutospacing="1" w:line="360" w:lineRule="auto"/>
              <w:rPr>
                <w:rFonts w:ascii="Times New Roman" w:eastAsia="Times New Roman" w:hAnsi="Times New Roman" w:cs="Times New Roman"/>
                <w:b/>
                <w:bCs/>
                <w:sz w:val="24"/>
                <w:szCs w:val="24"/>
                <w:lang w:val="es-EC" w:eastAsia="es-EC"/>
              </w:rPr>
            </w:pPr>
          </w:p>
        </w:tc>
        <w:tc>
          <w:tcPr>
            <w:tcW w:w="2633" w:type="dxa"/>
          </w:tcPr>
          <w:p w14:paraId="356DC80A" w14:textId="42F5E5CA" w:rsidR="00B140A6" w:rsidRPr="002F2142" w:rsidRDefault="00B140A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Married</w:t>
            </w:r>
          </w:p>
        </w:tc>
        <w:tc>
          <w:tcPr>
            <w:tcW w:w="2245" w:type="dxa"/>
          </w:tcPr>
          <w:p w14:paraId="4F9FF196" w14:textId="79FFCEBB" w:rsidR="00B140A6" w:rsidRPr="002F2142" w:rsidRDefault="001A080E"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39</w:t>
            </w:r>
          </w:p>
        </w:tc>
        <w:tc>
          <w:tcPr>
            <w:tcW w:w="2156" w:type="dxa"/>
          </w:tcPr>
          <w:p w14:paraId="619568F3" w14:textId="24B2C8E5" w:rsidR="00B140A6" w:rsidRPr="002F2142" w:rsidRDefault="00AB3EB5"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37.14 %</w:t>
            </w:r>
          </w:p>
        </w:tc>
      </w:tr>
      <w:tr w:rsidR="00B140A6" w:rsidRPr="002F2142" w14:paraId="5A20C5DC" w14:textId="562DFFBA" w:rsidTr="0006288B">
        <w:trPr>
          <w:trHeight w:val="345"/>
        </w:trPr>
        <w:tc>
          <w:tcPr>
            <w:tcW w:w="2435" w:type="dxa"/>
            <w:vMerge/>
          </w:tcPr>
          <w:p w14:paraId="1F83590F" w14:textId="77777777" w:rsidR="00B140A6" w:rsidRPr="002F2142" w:rsidRDefault="00B140A6" w:rsidP="002F2142">
            <w:pPr>
              <w:spacing w:before="100" w:beforeAutospacing="1" w:after="100" w:afterAutospacing="1" w:line="360" w:lineRule="auto"/>
              <w:rPr>
                <w:rFonts w:ascii="Times New Roman" w:eastAsia="Times New Roman" w:hAnsi="Times New Roman" w:cs="Times New Roman"/>
                <w:b/>
                <w:bCs/>
                <w:sz w:val="24"/>
                <w:szCs w:val="24"/>
                <w:lang w:val="es-EC" w:eastAsia="es-EC"/>
              </w:rPr>
            </w:pPr>
          </w:p>
        </w:tc>
        <w:tc>
          <w:tcPr>
            <w:tcW w:w="2633" w:type="dxa"/>
          </w:tcPr>
          <w:p w14:paraId="0CFC5FFB" w14:textId="39D76470" w:rsidR="00B140A6" w:rsidRPr="002F2142" w:rsidRDefault="00B140A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Free union</w:t>
            </w:r>
          </w:p>
        </w:tc>
        <w:tc>
          <w:tcPr>
            <w:tcW w:w="2245" w:type="dxa"/>
          </w:tcPr>
          <w:p w14:paraId="48FAD741" w14:textId="15199863" w:rsidR="00B140A6" w:rsidRPr="002F2142" w:rsidRDefault="001A080E"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33</w:t>
            </w:r>
          </w:p>
        </w:tc>
        <w:tc>
          <w:tcPr>
            <w:tcW w:w="2156" w:type="dxa"/>
          </w:tcPr>
          <w:p w14:paraId="3DB860E8" w14:textId="30FCFC32" w:rsidR="00B140A6" w:rsidRPr="002F2142" w:rsidRDefault="00AB3EB5"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31.43 %</w:t>
            </w:r>
          </w:p>
        </w:tc>
      </w:tr>
      <w:tr w:rsidR="00B140A6" w:rsidRPr="002F2142" w14:paraId="7A0C8FF8" w14:textId="6F66DDD0" w:rsidTr="0006288B">
        <w:trPr>
          <w:trHeight w:val="345"/>
        </w:trPr>
        <w:tc>
          <w:tcPr>
            <w:tcW w:w="2435" w:type="dxa"/>
            <w:vMerge/>
          </w:tcPr>
          <w:p w14:paraId="36535C51" w14:textId="77777777" w:rsidR="00B140A6" w:rsidRPr="002F2142" w:rsidRDefault="00B140A6" w:rsidP="002F2142">
            <w:pPr>
              <w:spacing w:before="100" w:beforeAutospacing="1" w:after="100" w:afterAutospacing="1" w:line="360" w:lineRule="auto"/>
              <w:rPr>
                <w:rFonts w:ascii="Times New Roman" w:eastAsia="Times New Roman" w:hAnsi="Times New Roman" w:cs="Times New Roman"/>
                <w:b/>
                <w:bCs/>
                <w:sz w:val="24"/>
                <w:szCs w:val="24"/>
                <w:lang w:val="es-EC" w:eastAsia="es-EC"/>
              </w:rPr>
            </w:pPr>
          </w:p>
        </w:tc>
        <w:tc>
          <w:tcPr>
            <w:tcW w:w="2633" w:type="dxa"/>
          </w:tcPr>
          <w:p w14:paraId="37096FA2" w14:textId="17F313E3" w:rsidR="00B140A6" w:rsidRPr="002F2142" w:rsidRDefault="00B140A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Divorced</w:t>
            </w:r>
          </w:p>
        </w:tc>
        <w:tc>
          <w:tcPr>
            <w:tcW w:w="2245" w:type="dxa"/>
          </w:tcPr>
          <w:p w14:paraId="000C7C63" w14:textId="23E50D6D" w:rsidR="00B140A6" w:rsidRPr="002F2142" w:rsidRDefault="001A080E"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8</w:t>
            </w:r>
          </w:p>
        </w:tc>
        <w:tc>
          <w:tcPr>
            <w:tcW w:w="2156" w:type="dxa"/>
          </w:tcPr>
          <w:p w14:paraId="5858798F" w14:textId="308DB60A" w:rsidR="00B140A6" w:rsidRPr="002F2142" w:rsidRDefault="008F56DB"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7.62 %</w:t>
            </w:r>
          </w:p>
        </w:tc>
      </w:tr>
      <w:tr w:rsidR="00B140A6" w:rsidRPr="002F2142" w14:paraId="43D30F02" w14:textId="5A071A4B" w:rsidTr="0006288B">
        <w:trPr>
          <w:trHeight w:val="345"/>
        </w:trPr>
        <w:tc>
          <w:tcPr>
            <w:tcW w:w="2435" w:type="dxa"/>
            <w:vMerge/>
          </w:tcPr>
          <w:p w14:paraId="4EFC0B2A" w14:textId="77777777" w:rsidR="00B140A6" w:rsidRPr="002F2142" w:rsidRDefault="00B140A6" w:rsidP="002F2142">
            <w:pPr>
              <w:spacing w:before="100" w:beforeAutospacing="1" w:after="100" w:afterAutospacing="1" w:line="360" w:lineRule="auto"/>
              <w:rPr>
                <w:rFonts w:ascii="Times New Roman" w:eastAsia="Times New Roman" w:hAnsi="Times New Roman" w:cs="Times New Roman"/>
                <w:b/>
                <w:bCs/>
                <w:sz w:val="24"/>
                <w:szCs w:val="24"/>
                <w:lang w:val="es-EC" w:eastAsia="es-EC"/>
              </w:rPr>
            </w:pPr>
          </w:p>
        </w:tc>
        <w:tc>
          <w:tcPr>
            <w:tcW w:w="2633" w:type="dxa"/>
          </w:tcPr>
          <w:p w14:paraId="36452B4A" w14:textId="69F6F218" w:rsidR="00B140A6" w:rsidRPr="002F2142" w:rsidRDefault="00B140A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Widow/er</w:t>
            </w:r>
          </w:p>
        </w:tc>
        <w:tc>
          <w:tcPr>
            <w:tcW w:w="2245" w:type="dxa"/>
          </w:tcPr>
          <w:p w14:paraId="169A9857" w14:textId="2540E525" w:rsidR="00B140A6" w:rsidRPr="002F2142" w:rsidRDefault="001A080E"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w:t>
            </w:r>
          </w:p>
        </w:tc>
        <w:tc>
          <w:tcPr>
            <w:tcW w:w="2156" w:type="dxa"/>
          </w:tcPr>
          <w:p w14:paraId="5D88A688" w14:textId="55C037A4" w:rsidR="00B140A6" w:rsidRPr="002F2142" w:rsidRDefault="008F56DB"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0.95 %</w:t>
            </w:r>
          </w:p>
        </w:tc>
      </w:tr>
      <w:tr w:rsidR="00D47749" w:rsidRPr="002F2142" w14:paraId="7AACED83" w14:textId="6A3A38B7" w:rsidTr="0006288B">
        <w:trPr>
          <w:trHeight w:val="329"/>
        </w:trPr>
        <w:tc>
          <w:tcPr>
            <w:tcW w:w="2435" w:type="dxa"/>
          </w:tcPr>
          <w:p w14:paraId="12F38B8F" w14:textId="2733B654" w:rsidR="00D47749" w:rsidRPr="002F2142" w:rsidRDefault="00D47749"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p>
        </w:tc>
        <w:tc>
          <w:tcPr>
            <w:tcW w:w="2633" w:type="dxa"/>
          </w:tcPr>
          <w:p w14:paraId="243D9989" w14:textId="7504D7DD" w:rsidR="00D47749" w:rsidRPr="002F2142" w:rsidRDefault="002D0E3A"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Total</w:t>
            </w:r>
          </w:p>
        </w:tc>
        <w:tc>
          <w:tcPr>
            <w:tcW w:w="2245" w:type="dxa"/>
          </w:tcPr>
          <w:p w14:paraId="6A37D32A" w14:textId="46C2EC64" w:rsidR="00D47749" w:rsidRPr="002F2142" w:rsidRDefault="00013BCA"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105</w:t>
            </w:r>
          </w:p>
        </w:tc>
        <w:tc>
          <w:tcPr>
            <w:tcW w:w="2156" w:type="dxa"/>
          </w:tcPr>
          <w:p w14:paraId="569EB3AC" w14:textId="7824CC36" w:rsidR="00D47749" w:rsidRPr="002F2142" w:rsidRDefault="002D0E3A"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100%</w:t>
            </w:r>
          </w:p>
        </w:tc>
      </w:tr>
      <w:tr w:rsidR="00D47749" w:rsidRPr="002F2142" w14:paraId="415C34AE" w14:textId="7481ACFD" w:rsidTr="0006288B">
        <w:trPr>
          <w:trHeight w:val="345"/>
        </w:trPr>
        <w:tc>
          <w:tcPr>
            <w:tcW w:w="2435" w:type="dxa"/>
            <w:vMerge w:val="restart"/>
            <w:vAlign w:val="center"/>
          </w:tcPr>
          <w:p w14:paraId="5720B313" w14:textId="4893580C" w:rsidR="00D47749" w:rsidRPr="002F2142" w:rsidRDefault="00D47749"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Study Level</w:t>
            </w:r>
          </w:p>
        </w:tc>
        <w:tc>
          <w:tcPr>
            <w:tcW w:w="2633" w:type="dxa"/>
          </w:tcPr>
          <w:p w14:paraId="1C82BCBE" w14:textId="5AC5676C" w:rsidR="00D47749" w:rsidRPr="002F2142" w:rsidRDefault="00D47749"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Primary</w:t>
            </w:r>
          </w:p>
        </w:tc>
        <w:tc>
          <w:tcPr>
            <w:tcW w:w="2245" w:type="dxa"/>
          </w:tcPr>
          <w:p w14:paraId="5E8F7A85" w14:textId="092B6B43" w:rsidR="00D47749" w:rsidRPr="002F2142" w:rsidRDefault="00D47749"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28</w:t>
            </w:r>
          </w:p>
        </w:tc>
        <w:tc>
          <w:tcPr>
            <w:tcW w:w="2156" w:type="dxa"/>
          </w:tcPr>
          <w:p w14:paraId="2DD651E2" w14:textId="579B3C65" w:rsidR="00D47749" w:rsidRPr="002F2142" w:rsidRDefault="00353D47"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27.62 %</w:t>
            </w:r>
          </w:p>
        </w:tc>
      </w:tr>
      <w:tr w:rsidR="00DE7016" w:rsidRPr="002F2142" w14:paraId="58D571A8" w14:textId="34D4B550" w:rsidTr="0006288B">
        <w:trPr>
          <w:trHeight w:val="345"/>
        </w:trPr>
        <w:tc>
          <w:tcPr>
            <w:tcW w:w="2435" w:type="dxa"/>
            <w:vMerge/>
          </w:tcPr>
          <w:p w14:paraId="4BDF7FA8" w14:textId="77777777" w:rsidR="00DE7016" w:rsidRPr="002F2142" w:rsidRDefault="00DE7016" w:rsidP="002F2142">
            <w:pPr>
              <w:spacing w:before="100" w:beforeAutospacing="1" w:after="100" w:afterAutospacing="1" w:line="360" w:lineRule="auto"/>
              <w:rPr>
                <w:rFonts w:ascii="Times New Roman" w:eastAsia="Times New Roman" w:hAnsi="Times New Roman" w:cs="Times New Roman"/>
                <w:sz w:val="24"/>
                <w:szCs w:val="24"/>
                <w:lang w:val="es-EC" w:eastAsia="es-EC"/>
              </w:rPr>
            </w:pPr>
          </w:p>
        </w:tc>
        <w:tc>
          <w:tcPr>
            <w:tcW w:w="2633" w:type="dxa"/>
          </w:tcPr>
          <w:p w14:paraId="58313928" w14:textId="0C3A064E" w:rsidR="00DE7016" w:rsidRPr="002F2142" w:rsidRDefault="00DE701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Secondary</w:t>
            </w:r>
          </w:p>
        </w:tc>
        <w:tc>
          <w:tcPr>
            <w:tcW w:w="2245" w:type="dxa"/>
          </w:tcPr>
          <w:p w14:paraId="736A874C" w14:textId="68173528" w:rsidR="00DE7016" w:rsidRPr="002F2142" w:rsidRDefault="00DE701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53</w:t>
            </w:r>
          </w:p>
        </w:tc>
        <w:tc>
          <w:tcPr>
            <w:tcW w:w="2156" w:type="dxa"/>
          </w:tcPr>
          <w:p w14:paraId="5F3C81F2" w14:textId="3CC0945E" w:rsidR="00DE7016" w:rsidRPr="002F2142" w:rsidRDefault="00DE701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51.43 %</w:t>
            </w:r>
          </w:p>
        </w:tc>
      </w:tr>
      <w:tr w:rsidR="00DE7016" w:rsidRPr="002F2142" w14:paraId="580CDFB3" w14:textId="4A15DFB3" w:rsidTr="0006288B">
        <w:trPr>
          <w:trHeight w:val="345"/>
        </w:trPr>
        <w:tc>
          <w:tcPr>
            <w:tcW w:w="2435" w:type="dxa"/>
            <w:vMerge/>
          </w:tcPr>
          <w:p w14:paraId="4755BEBC" w14:textId="77777777" w:rsidR="00DE7016" w:rsidRPr="002F2142" w:rsidRDefault="00DE7016" w:rsidP="002F2142">
            <w:pPr>
              <w:spacing w:before="100" w:beforeAutospacing="1" w:after="100" w:afterAutospacing="1" w:line="360" w:lineRule="auto"/>
              <w:rPr>
                <w:rFonts w:ascii="Times New Roman" w:eastAsia="Times New Roman" w:hAnsi="Times New Roman" w:cs="Times New Roman"/>
                <w:sz w:val="24"/>
                <w:szCs w:val="24"/>
                <w:lang w:val="es-EC" w:eastAsia="es-EC"/>
              </w:rPr>
            </w:pPr>
          </w:p>
        </w:tc>
        <w:tc>
          <w:tcPr>
            <w:tcW w:w="2633" w:type="dxa"/>
          </w:tcPr>
          <w:p w14:paraId="3F831162" w14:textId="2CE86E6F" w:rsidR="00DE7016" w:rsidRPr="002F2142" w:rsidRDefault="00DE701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Third level</w:t>
            </w:r>
          </w:p>
        </w:tc>
        <w:tc>
          <w:tcPr>
            <w:tcW w:w="2245" w:type="dxa"/>
          </w:tcPr>
          <w:p w14:paraId="223EA356" w14:textId="27DB1AF7" w:rsidR="00DE7016" w:rsidRPr="002F2142" w:rsidRDefault="00DE701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19</w:t>
            </w:r>
          </w:p>
        </w:tc>
        <w:tc>
          <w:tcPr>
            <w:tcW w:w="2156" w:type="dxa"/>
          </w:tcPr>
          <w:p w14:paraId="4433C43F" w14:textId="7968D81D" w:rsidR="00DE7016" w:rsidRPr="002F2142" w:rsidRDefault="00DE701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19.05 %</w:t>
            </w:r>
          </w:p>
        </w:tc>
      </w:tr>
      <w:tr w:rsidR="00DE7016" w:rsidRPr="002F2142" w14:paraId="2BDED941" w14:textId="69A45216" w:rsidTr="0006288B">
        <w:trPr>
          <w:trHeight w:val="329"/>
        </w:trPr>
        <w:tc>
          <w:tcPr>
            <w:tcW w:w="2435" w:type="dxa"/>
            <w:vMerge/>
          </w:tcPr>
          <w:p w14:paraId="2640571F" w14:textId="77777777" w:rsidR="00DE7016" w:rsidRPr="002F2142" w:rsidRDefault="00DE7016" w:rsidP="002F2142">
            <w:pPr>
              <w:spacing w:before="100" w:beforeAutospacing="1" w:after="100" w:afterAutospacing="1" w:line="360" w:lineRule="auto"/>
              <w:rPr>
                <w:rFonts w:ascii="Times New Roman" w:eastAsia="Times New Roman" w:hAnsi="Times New Roman" w:cs="Times New Roman"/>
                <w:sz w:val="24"/>
                <w:szCs w:val="24"/>
                <w:lang w:val="es-EC" w:eastAsia="es-EC"/>
              </w:rPr>
            </w:pPr>
          </w:p>
        </w:tc>
        <w:tc>
          <w:tcPr>
            <w:tcW w:w="2633" w:type="dxa"/>
          </w:tcPr>
          <w:p w14:paraId="0D5B0F2A" w14:textId="30A37948" w:rsidR="00DE7016" w:rsidRPr="002F2142" w:rsidRDefault="00DE701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Fourth Level</w:t>
            </w:r>
          </w:p>
        </w:tc>
        <w:tc>
          <w:tcPr>
            <w:tcW w:w="2245" w:type="dxa"/>
          </w:tcPr>
          <w:p w14:paraId="79617BFF" w14:textId="1BA63F76" w:rsidR="00DE7016" w:rsidRPr="002F2142" w:rsidRDefault="00DE701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2</w:t>
            </w:r>
          </w:p>
        </w:tc>
        <w:tc>
          <w:tcPr>
            <w:tcW w:w="2156" w:type="dxa"/>
          </w:tcPr>
          <w:p w14:paraId="5FEE094E" w14:textId="32D00496" w:rsidR="00DE7016" w:rsidRPr="002F2142" w:rsidRDefault="00DE701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1.90 %</w:t>
            </w:r>
          </w:p>
        </w:tc>
      </w:tr>
    </w:tbl>
    <w:p w14:paraId="60F7B572" w14:textId="7AA5EA72" w:rsidR="00DC5D5A" w:rsidRPr="00147C6A" w:rsidRDefault="00A768FB" w:rsidP="002F2142">
      <w:pPr>
        <w:pStyle w:val="NormalWeb"/>
        <w:spacing w:line="360" w:lineRule="auto"/>
        <w:jc w:val="both"/>
        <w:rPr>
          <w:lang w:val="en-US"/>
        </w:rPr>
      </w:pPr>
      <w:r w:rsidRPr="00CD1B10">
        <w:rPr>
          <w:lang w:val="en-US"/>
        </w:rPr>
        <w:t xml:space="preserve">Table </w:t>
      </w:r>
      <w:r w:rsidR="00011919" w:rsidRPr="00CD1B10">
        <w:rPr>
          <w:lang w:val="en-US"/>
        </w:rPr>
        <w:t xml:space="preserve">2 </w:t>
      </w:r>
      <w:r w:rsidRPr="00CD1B10">
        <w:rPr>
          <w:lang w:val="en-US"/>
        </w:rPr>
        <w:t xml:space="preserve">describes the means of </w:t>
      </w:r>
      <w:r w:rsidR="00E17F82" w:rsidRPr="00CD1B10">
        <w:rPr>
          <w:lang w:val="en-US"/>
        </w:rPr>
        <w:t xml:space="preserve">communication </w:t>
      </w:r>
      <w:r w:rsidRPr="00CD1B10">
        <w:rPr>
          <w:lang w:val="en-US"/>
        </w:rPr>
        <w:t xml:space="preserve">between the parents and the teacher </w:t>
      </w:r>
      <w:r w:rsidR="00E17F82" w:rsidRPr="00CD1B10">
        <w:rPr>
          <w:lang w:val="en-US"/>
        </w:rPr>
        <w:t xml:space="preserve">during class participation </w:t>
      </w:r>
      <w:r w:rsidRPr="00CD1B10">
        <w:rPr>
          <w:lang w:val="en-US"/>
        </w:rPr>
        <w:t>in the virtual modality in covid 19 time</w:t>
      </w:r>
      <w:r w:rsidR="00402408" w:rsidRPr="00CD1B10">
        <w:rPr>
          <w:lang w:val="en-US"/>
        </w:rPr>
        <w:t xml:space="preserve">. The </w:t>
      </w:r>
      <w:r w:rsidR="00E17F82" w:rsidRPr="00CD1B10">
        <w:rPr>
          <w:lang w:val="en-US"/>
        </w:rPr>
        <w:t xml:space="preserve">means </w:t>
      </w:r>
      <w:r w:rsidR="00402408" w:rsidRPr="00CD1B10">
        <w:rPr>
          <w:lang w:val="en-US"/>
        </w:rPr>
        <w:t xml:space="preserve">of communication </w:t>
      </w:r>
      <w:r w:rsidR="00E17F82" w:rsidRPr="00CD1B10">
        <w:rPr>
          <w:lang w:val="en-US"/>
        </w:rPr>
        <w:t xml:space="preserve">played </w:t>
      </w:r>
      <w:r w:rsidR="00402408" w:rsidRPr="00CD1B10">
        <w:rPr>
          <w:lang w:val="en-US"/>
        </w:rPr>
        <w:t xml:space="preserve">a </w:t>
      </w:r>
      <w:r w:rsidR="00E17F82" w:rsidRPr="00CD1B10">
        <w:rPr>
          <w:lang w:val="en-US"/>
        </w:rPr>
        <w:t xml:space="preserve">fundamental </w:t>
      </w:r>
      <w:r w:rsidR="00402408" w:rsidRPr="00CD1B10">
        <w:rPr>
          <w:lang w:val="en-US"/>
        </w:rPr>
        <w:t xml:space="preserve">role in </w:t>
      </w:r>
      <w:r w:rsidR="0022313C" w:rsidRPr="00CD1B10">
        <w:rPr>
          <w:lang w:val="en-US"/>
        </w:rPr>
        <w:t xml:space="preserve">the students' </w:t>
      </w:r>
      <w:r w:rsidR="00DD43D5" w:rsidRPr="00CD1B10">
        <w:rPr>
          <w:lang w:val="en-US"/>
        </w:rPr>
        <w:t>educational</w:t>
      </w:r>
      <w:r w:rsidR="00E17F82" w:rsidRPr="00CD1B10">
        <w:rPr>
          <w:lang w:val="en-US"/>
        </w:rPr>
        <w:t xml:space="preserve"> environment</w:t>
      </w:r>
      <w:r w:rsidR="0022313C" w:rsidRPr="00CD1B10">
        <w:rPr>
          <w:lang w:val="en-US"/>
        </w:rPr>
        <w:t xml:space="preserve">. </w:t>
      </w:r>
      <w:r w:rsidR="0090051D" w:rsidRPr="00CD1B10">
        <w:rPr>
          <w:lang w:val="en-US"/>
        </w:rPr>
        <w:t>According to the results</w:t>
      </w:r>
      <w:r w:rsidR="0022313C" w:rsidRPr="00CD1B10">
        <w:rPr>
          <w:lang w:val="en-US"/>
        </w:rPr>
        <w:t xml:space="preserve">, the tool that was predominant in pandemic </w:t>
      </w:r>
      <w:r w:rsidR="0096232A" w:rsidRPr="00CD1B10">
        <w:rPr>
          <w:lang w:val="en-US"/>
        </w:rPr>
        <w:t>situations</w:t>
      </w:r>
      <w:r w:rsidR="009D70DF" w:rsidRPr="00CD1B10">
        <w:rPr>
          <w:lang w:val="en-US"/>
        </w:rPr>
        <w:t xml:space="preserve"> </w:t>
      </w:r>
      <w:r w:rsidR="0022313C" w:rsidRPr="00CD1B10">
        <w:rPr>
          <w:lang w:val="en-US"/>
        </w:rPr>
        <w:t xml:space="preserve">was </w:t>
      </w:r>
      <w:r w:rsidR="003E00BD" w:rsidRPr="00CD1B10">
        <w:rPr>
          <w:lang w:val="en-US"/>
        </w:rPr>
        <w:t xml:space="preserve">WhatsApp, </w:t>
      </w:r>
      <w:r w:rsidR="009D70DF" w:rsidRPr="00CD1B10">
        <w:rPr>
          <w:lang w:val="en-US"/>
        </w:rPr>
        <w:t xml:space="preserve">where 82.9% of the participants </w:t>
      </w:r>
      <w:r w:rsidR="00DC5D5A">
        <w:rPr>
          <w:lang w:val="en-US"/>
        </w:rPr>
        <w:t>used it as</w:t>
      </w:r>
      <w:r w:rsidR="009D70DF" w:rsidRPr="00CD1B10">
        <w:rPr>
          <w:lang w:val="en-US"/>
        </w:rPr>
        <w:t xml:space="preserve"> </w:t>
      </w:r>
      <w:r w:rsidR="00C12032" w:rsidRPr="00CD1B10">
        <w:rPr>
          <w:lang w:val="en-US"/>
        </w:rPr>
        <w:t xml:space="preserve">one of the main channels of information and response. Other </w:t>
      </w:r>
      <w:r w:rsidR="0090051D" w:rsidRPr="00CD1B10">
        <w:rPr>
          <w:lang w:val="en-US"/>
        </w:rPr>
        <w:t xml:space="preserve">media </w:t>
      </w:r>
      <w:r w:rsidR="00C12032" w:rsidRPr="00CD1B10">
        <w:rPr>
          <w:lang w:val="en-US"/>
        </w:rPr>
        <w:t xml:space="preserve">mentioned by the participants </w:t>
      </w:r>
      <w:r w:rsidR="00DC5D5A">
        <w:rPr>
          <w:lang w:val="en-US"/>
        </w:rPr>
        <w:t>were the</w:t>
      </w:r>
      <w:r w:rsidR="000F5093" w:rsidRPr="00CD1B10">
        <w:rPr>
          <w:lang w:val="en-US"/>
        </w:rPr>
        <w:t xml:space="preserve"> </w:t>
      </w:r>
      <w:r w:rsidR="0090051D" w:rsidRPr="00CD1B10">
        <w:rPr>
          <w:lang w:val="en-US"/>
        </w:rPr>
        <w:t xml:space="preserve">Google Classroom </w:t>
      </w:r>
      <w:r w:rsidR="001C7732" w:rsidRPr="00CD1B10">
        <w:rPr>
          <w:lang w:val="en-US"/>
        </w:rPr>
        <w:t>accounts</w:t>
      </w:r>
      <w:r w:rsidR="00DC5D5A">
        <w:rPr>
          <w:lang w:val="en-US"/>
        </w:rPr>
        <w:t>,</w:t>
      </w:r>
      <w:r w:rsidR="001C7732" w:rsidRPr="00CD1B10">
        <w:rPr>
          <w:lang w:val="en-US"/>
        </w:rPr>
        <w:t xml:space="preserve"> </w:t>
      </w:r>
      <w:r w:rsidR="00715AD5" w:rsidRPr="00CD1B10">
        <w:rPr>
          <w:lang w:val="en-US"/>
        </w:rPr>
        <w:t>being 5.7%</w:t>
      </w:r>
      <w:r w:rsidR="00DC5D5A">
        <w:rPr>
          <w:lang w:val="en-US"/>
        </w:rPr>
        <w:t>,</w:t>
      </w:r>
      <w:r w:rsidR="00715AD5" w:rsidRPr="00CD1B10">
        <w:rPr>
          <w:lang w:val="en-US"/>
        </w:rPr>
        <w:t xml:space="preserve"> and also (2.9%) </w:t>
      </w:r>
      <w:r w:rsidR="000F5093" w:rsidRPr="00CD1B10">
        <w:rPr>
          <w:lang w:val="en-US"/>
        </w:rPr>
        <w:t>accessed institutional accounts</w:t>
      </w:r>
      <w:r w:rsidR="00E74F69" w:rsidRPr="00CD1B10">
        <w:rPr>
          <w:lang w:val="en-US"/>
        </w:rPr>
        <w:t xml:space="preserve">. </w:t>
      </w:r>
      <w:r w:rsidR="00DC5D5A" w:rsidRPr="00DC5D5A">
        <w:rPr>
          <w:lang w:val="en-US"/>
        </w:rPr>
        <w:t xml:space="preserve">Some accessed other types of media to contact teachers: 1.9% (video calls) and 6.7% (others). In this case, there is evidence that technologies in times of crisis, whether related to health or other situations, can be beneficial in supporting students’ education. </w:t>
      </w:r>
      <w:r w:rsidR="00DC5D5A" w:rsidRPr="00ED7FDA">
        <w:rPr>
          <w:lang w:val="en-US"/>
        </w:rPr>
        <w:t>This enables flexibility in the teaching and learning process.</w:t>
      </w:r>
    </w:p>
    <w:p w14:paraId="3FDDBF8A" w14:textId="4A201BBD" w:rsidR="00DC5D5A" w:rsidRDefault="001B714E" w:rsidP="002F2142">
      <w:pPr>
        <w:pStyle w:val="NormalWeb"/>
        <w:spacing w:line="360" w:lineRule="auto"/>
        <w:jc w:val="both"/>
        <w:rPr>
          <w:b/>
          <w:bCs/>
          <w:lang w:val="en-US"/>
        </w:rPr>
      </w:pPr>
      <w:r w:rsidRPr="00CD1B10">
        <w:rPr>
          <w:b/>
          <w:bCs/>
          <w:lang w:val="en-US"/>
        </w:rPr>
        <w:t xml:space="preserve">Table </w:t>
      </w:r>
      <w:r w:rsidR="00011919" w:rsidRPr="00CD1B10">
        <w:rPr>
          <w:b/>
          <w:bCs/>
          <w:lang w:val="en-US"/>
        </w:rPr>
        <w:t>2</w:t>
      </w:r>
    </w:p>
    <w:p w14:paraId="4CD4F31B" w14:textId="207F3DA9" w:rsidR="00147C6A" w:rsidRDefault="00147C6A" w:rsidP="002F2142">
      <w:pPr>
        <w:pStyle w:val="NormalWeb"/>
        <w:spacing w:line="360" w:lineRule="auto"/>
        <w:jc w:val="both"/>
        <w:rPr>
          <w:b/>
          <w:bCs/>
          <w:lang w:val="en-US"/>
        </w:rPr>
      </w:pPr>
    </w:p>
    <w:p w14:paraId="4C6D309E" w14:textId="13EF0E65" w:rsidR="00147C6A" w:rsidRDefault="00147C6A" w:rsidP="002F2142">
      <w:pPr>
        <w:pStyle w:val="NormalWeb"/>
        <w:spacing w:line="360" w:lineRule="auto"/>
        <w:jc w:val="both"/>
        <w:rPr>
          <w:b/>
          <w:bCs/>
          <w:lang w:val="en-US"/>
        </w:rPr>
      </w:pPr>
    </w:p>
    <w:p w14:paraId="5507E8DF" w14:textId="2B7D84FC" w:rsidR="00147C6A" w:rsidRDefault="00147C6A" w:rsidP="002F2142">
      <w:pPr>
        <w:pStyle w:val="NormalWeb"/>
        <w:spacing w:line="360" w:lineRule="auto"/>
        <w:jc w:val="both"/>
        <w:rPr>
          <w:b/>
          <w:bCs/>
          <w:lang w:val="en-US"/>
        </w:rPr>
      </w:pPr>
    </w:p>
    <w:p w14:paraId="09638673" w14:textId="77777777" w:rsidR="00147C6A" w:rsidRPr="00CD1B10" w:rsidRDefault="00147C6A" w:rsidP="002F2142">
      <w:pPr>
        <w:pStyle w:val="NormalWeb"/>
        <w:spacing w:line="360" w:lineRule="auto"/>
        <w:jc w:val="both"/>
        <w:rPr>
          <w:b/>
          <w:bCs/>
          <w:lang w:val="en-US"/>
        </w:rPr>
      </w:pPr>
    </w:p>
    <w:p w14:paraId="2CD490F4" w14:textId="71C9A62C" w:rsidR="00DC5D5A" w:rsidRPr="00DC5D5A" w:rsidRDefault="00DC5D5A" w:rsidP="00DC5D5A">
      <w:pPr>
        <w:pStyle w:val="NormalWeb"/>
        <w:spacing w:line="360" w:lineRule="auto"/>
        <w:jc w:val="both"/>
        <w:rPr>
          <w:i/>
          <w:iCs/>
          <w:lang w:val="en-US"/>
        </w:rPr>
      </w:pPr>
      <w:r w:rsidRPr="00DC5D5A">
        <w:rPr>
          <w:i/>
          <w:iCs/>
          <w:lang w:val="en-US"/>
        </w:rPr>
        <w:t>Means of communication used to contact the teacher during times of crisis.</w:t>
      </w:r>
    </w:p>
    <w:tbl>
      <w:tblPr>
        <w:tblStyle w:val="Tablaconcuadrcula"/>
        <w:tblW w:w="88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2840"/>
        <w:gridCol w:w="2726"/>
      </w:tblGrid>
      <w:tr w:rsidR="001B714E" w:rsidRPr="002F2142" w14:paraId="22950B65" w14:textId="77777777" w:rsidTr="00B13769">
        <w:trPr>
          <w:trHeight w:val="253"/>
        </w:trPr>
        <w:tc>
          <w:tcPr>
            <w:tcW w:w="3331" w:type="dxa"/>
            <w:tcBorders>
              <w:top w:val="single" w:sz="4" w:space="0" w:color="auto"/>
              <w:bottom w:val="single" w:sz="4" w:space="0" w:color="auto"/>
            </w:tcBorders>
          </w:tcPr>
          <w:p w14:paraId="28C7A156" w14:textId="4A2DCE9B" w:rsidR="001B714E" w:rsidRPr="002F2142" w:rsidRDefault="001B714E" w:rsidP="00B13769">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Pr>
                <w:rFonts w:ascii="Times New Roman" w:eastAsia="Times New Roman" w:hAnsi="Times New Roman" w:cs="Times New Roman"/>
                <w:b/>
                <w:bCs/>
                <w:sz w:val="24"/>
                <w:szCs w:val="24"/>
                <w:lang w:val="es-EC" w:eastAsia="es-EC"/>
              </w:rPr>
              <w:t>Media and communications</w:t>
            </w:r>
          </w:p>
        </w:tc>
        <w:tc>
          <w:tcPr>
            <w:tcW w:w="2840" w:type="dxa"/>
            <w:tcBorders>
              <w:top w:val="single" w:sz="4" w:space="0" w:color="auto"/>
              <w:bottom w:val="single" w:sz="4" w:space="0" w:color="auto"/>
            </w:tcBorders>
          </w:tcPr>
          <w:p w14:paraId="0D8515BF" w14:textId="77777777" w:rsidR="001B714E" w:rsidRPr="002F2142" w:rsidRDefault="001B714E" w:rsidP="00B13769">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n</w:t>
            </w:r>
          </w:p>
        </w:tc>
        <w:tc>
          <w:tcPr>
            <w:tcW w:w="2726" w:type="dxa"/>
            <w:tcBorders>
              <w:top w:val="single" w:sz="4" w:space="0" w:color="auto"/>
              <w:bottom w:val="single" w:sz="4" w:space="0" w:color="auto"/>
            </w:tcBorders>
          </w:tcPr>
          <w:p w14:paraId="459FE806" w14:textId="77777777" w:rsidR="001B714E" w:rsidRPr="002F2142" w:rsidRDefault="001B714E" w:rsidP="00B13769">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w:t>
            </w:r>
          </w:p>
        </w:tc>
      </w:tr>
      <w:tr w:rsidR="001B714E" w:rsidRPr="002F2142" w14:paraId="779FB975" w14:textId="77777777" w:rsidTr="004E07BF">
        <w:trPr>
          <w:trHeight w:val="243"/>
        </w:trPr>
        <w:tc>
          <w:tcPr>
            <w:tcW w:w="3331" w:type="dxa"/>
            <w:tcBorders>
              <w:top w:val="single" w:sz="4" w:space="0" w:color="auto"/>
              <w:bottom w:val="nil"/>
            </w:tcBorders>
          </w:tcPr>
          <w:p w14:paraId="4AE2D3AB" w14:textId="27516DFA"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WhatsApp</w:t>
            </w:r>
          </w:p>
        </w:tc>
        <w:tc>
          <w:tcPr>
            <w:tcW w:w="2840" w:type="dxa"/>
            <w:tcBorders>
              <w:top w:val="single" w:sz="4" w:space="0" w:color="auto"/>
              <w:bottom w:val="nil"/>
            </w:tcBorders>
            <w:vAlign w:val="center"/>
          </w:tcPr>
          <w:p w14:paraId="7ADF26E0" w14:textId="125F6202"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1B714E">
              <w:rPr>
                <w:rFonts w:ascii="Times New Roman" w:eastAsia="Times New Roman" w:hAnsi="Times New Roman" w:cs="Times New Roman"/>
                <w:sz w:val="24"/>
                <w:szCs w:val="24"/>
                <w:lang w:val="es-EC" w:eastAsia="es-EC"/>
              </w:rPr>
              <w:t>87</w:t>
            </w:r>
          </w:p>
        </w:tc>
        <w:tc>
          <w:tcPr>
            <w:tcW w:w="2726" w:type="dxa"/>
            <w:tcBorders>
              <w:top w:val="single" w:sz="4" w:space="0" w:color="auto"/>
              <w:bottom w:val="nil"/>
            </w:tcBorders>
            <w:vAlign w:val="center"/>
          </w:tcPr>
          <w:p w14:paraId="5DE364D2" w14:textId="6543707E"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1B714E">
              <w:rPr>
                <w:rFonts w:ascii="Times New Roman" w:eastAsia="Times New Roman" w:hAnsi="Times New Roman" w:cs="Times New Roman"/>
                <w:sz w:val="24"/>
                <w:szCs w:val="24"/>
                <w:lang w:val="es-EC" w:eastAsia="es-EC"/>
              </w:rPr>
              <w:t xml:space="preserve">82,9 </w:t>
            </w:r>
          </w:p>
        </w:tc>
      </w:tr>
      <w:tr w:rsidR="001B714E" w:rsidRPr="002F2142" w14:paraId="203B43D8" w14:textId="77777777" w:rsidTr="004E07BF">
        <w:trPr>
          <w:trHeight w:val="253"/>
        </w:trPr>
        <w:tc>
          <w:tcPr>
            <w:tcW w:w="3331" w:type="dxa"/>
            <w:tcBorders>
              <w:top w:val="nil"/>
              <w:bottom w:val="nil"/>
            </w:tcBorders>
          </w:tcPr>
          <w:p w14:paraId="459AB04B" w14:textId="2D4F12D7"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Classrom</w:t>
            </w:r>
          </w:p>
        </w:tc>
        <w:tc>
          <w:tcPr>
            <w:tcW w:w="2840" w:type="dxa"/>
            <w:tcBorders>
              <w:top w:val="nil"/>
              <w:bottom w:val="nil"/>
            </w:tcBorders>
            <w:vAlign w:val="center"/>
          </w:tcPr>
          <w:p w14:paraId="5A6A1193" w14:textId="54A0DC54"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1B714E">
              <w:rPr>
                <w:rFonts w:ascii="Times New Roman" w:eastAsia="Times New Roman" w:hAnsi="Times New Roman" w:cs="Times New Roman"/>
                <w:sz w:val="24"/>
                <w:szCs w:val="24"/>
                <w:lang w:val="es-EC" w:eastAsia="es-EC"/>
              </w:rPr>
              <w:t>6</w:t>
            </w:r>
          </w:p>
        </w:tc>
        <w:tc>
          <w:tcPr>
            <w:tcW w:w="2726" w:type="dxa"/>
            <w:tcBorders>
              <w:top w:val="nil"/>
              <w:bottom w:val="nil"/>
            </w:tcBorders>
            <w:vAlign w:val="center"/>
          </w:tcPr>
          <w:p w14:paraId="3231168F" w14:textId="673F8EC0"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1B714E">
              <w:rPr>
                <w:rFonts w:ascii="Times New Roman" w:eastAsia="Times New Roman" w:hAnsi="Times New Roman" w:cs="Times New Roman"/>
                <w:sz w:val="24"/>
                <w:szCs w:val="24"/>
                <w:lang w:val="es-EC" w:eastAsia="es-EC"/>
              </w:rPr>
              <w:t xml:space="preserve">5,7 </w:t>
            </w:r>
          </w:p>
        </w:tc>
      </w:tr>
      <w:tr w:rsidR="001B714E" w:rsidRPr="002F2142" w14:paraId="2BB6AF05" w14:textId="77777777" w:rsidTr="004E07BF">
        <w:trPr>
          <w:trHeight w:val="243"/>
        </w:trPr>
        <w:tc>
          <w:tcPr>
            <w:tcW w:w="3331" w:type="dxa"/>
            <w:tcBorders>
              <w:top w:val="nil"/>
              <w:bottom w:val="nil"/>
            </w:tcBorders>
          </w:tcPr>
          <w:p w14:paraId="1CA66B6B" w14:textId="2A4F42E0"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Corporate account</w:t>
            </w:r>
          </w:p>
        </w:tc>
        <w:tc>
          <w:tcPr>
            <w:tcW w:w="2840" w:type="dxa"/>
            <w:tcBorders>
              <w:top w:val="nil"/>
              <w:bottom w:val="nil"/>
            </w:tcBorders>
            <w:vAlign w:val="center"/>
          </w:tcPr>
          <w:p w14:paraId="3773B952" w14:textId="11CAEB14"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1B714E">
              <w:rPr>
                <w:rFonts w:ascii="Times New Roman" w:eastAsia="Times New Roman" w:hAnsi="Times New Roman" w:cs="Times New Roman"/>
                <w:sz w:val="24"/>
                <w:szCs w:val="24"/>
                <w:lang w:val="es-EC" w:eastAsia="es-EC"/>
              </w:rPr>
              <w:t>3</w:t>
            </w:r>
          </w:p>
        </w:tc>
        <w:tc>
          <w:tcPr>
            <w:tcW w:w="2726" w:type="dxa"/>
            <w:tcBorders>
              <w:top w:val="nil"/>
              <w:bottom w:val="nil"/>
            </w:tcBorders>
            <w:vAlign w:val="center"/>
          </w:tcPr>
          <w:p w14:paraId="6D994345" w14:textId="0C545B0F"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1B714E">
              <w:rPr>
                <w:rFonts w:ascii="Times New Roman" w:eastAsia="Times New Roman" w:hAnsi="Times New Roman" w:cs="Times New Roman"/>
                <w:sz w:val="24"/>
                <w:szCs w:val="24"/>
                <w:lang w:val="es-EC" w:eastAsia="es-EC"/>
              </w:rPr>
              <w:t xml:space="preserve">2,9 </w:t>
            </w:r>
          </w:p>
        </w:tc>
      </w:tr>
      <w:tr w:rsidR="001B714E" w:rsidRPr="002F2142" w14:paraId="794B11EB" w14:textId="77777777" w:rsidTr="004E07BF">
        <w:trPr>
          <w:trHeight w:val="253"/>
        </w:trPr>
        <w:tc>
          <w:tcPr>
            <w:tcW w:w="3331" w:type="dxa"/>
            <w:tcBorders>
              <w:top w:val="nil"/>
              <w:bottom w:val="nil"/>
            </w:tcBorders>
          </w:tcPr>
          <w:p w14:paraId="1A651D86" w14:textId="2268F0ED"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lastRenderedPageBreak/>
              <w:t xml:space="preserve">Via </w:t>
            </w:r>
            <w:r w:rsidR="00DC5D5A">
              <w:rPr>
                <w:rFonts w:ascii="Times New Roman" w:eastAsia="Times New Roman" w:hAnsi="Times New Roman" w:cs="Times New Roman"/>
                <w:sz w:val="24"/>
                <w:szCs w:val="24"/>
                <w:lang w:val="es-EC" w:eastAsia="es-EC"/>
              </w:rPr>
              <w:t xml:space="preserve">a </w:t>
            </w:r>
            <w:r>
              <w:rPr>
                <w:rFonts w:ascii="Times New Roman" w:eastAsia="Times New Roman" w:hAnsi="Times New Roman" w:cs="Times New Roman"/>
                <w:sz w:val="24"/>
                <w:szCs w:val="24"/>
                <w:lang w:val="es-EC" w:eastAsia="es-EC"/>
              </w:rPr>
              <w:t>telephone call</w:t>
            </w:r>
          </w:p>
        </w:tc>
        <w:tc>
          <w:tcPr>
            <w:tcW w:w="2840" w:type="dxa"/>
            <w:tcBorders>
              <w:top w:val="nil"/>
              <w:bottom w:val="nil"/>
            </w:tcBorders>
            <w:vAlign w:val="center"/>
          </w:tcPr>
          <w:p w14:paraId="342A54D4" w14:textId="64731127"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1B714E">
              <w:rPr>
                <w:rFonts w:ascii="Times New Roman" w:eastAsia="Times New Roman" w:hAnsi="Times New Roman" w:cs="Times New Roman"/>
                <w:sz w:val="24"/>
                <w:szCs w:val="24"/>
                <w:lang w:val="es-EC" w:eastAsia="es-EC"/>
              </w:rPr>
              <w:t>2</w:t>
            </w:r>
          </w:p>
        </w:tc>
        <w:tc>
          <w:tcPr>
            <w:tcW w:w="2726" w:type="dxa"/>
            <w:tcBorders>
              <w:top w:val="nil"/>
              <w:bottom w:val="nil"/>
            </w:tcBorders>
            <w:vAlign w:val="center"/>
          </w:tcPr>
          <w:p w14:paraId="570516DD" w14:textId="1B35F2DE"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1B714E">
              <w:rPr>
                <w:rFonts w:ascii="Times New Roman" w:eastAsia="Times New Roman" w:hAnsi="Times New Roman" w:cs="Times New Roman"/>
                <w:sz w:val="24"/>
                <w:szCs w:val="24"/>
                <w:lang w:val="es-EC" w:eastAsia="es-EC"/>
              </w:rPr>
              <w:t xml:space="preserve">1,9 </w:t>
            </w:r>
          </w:p>
        </w:tc>
      </w:tr>
      <w:tr w:rsidR="001B714E" w:rsidRPr="002F2142" w14:paraId="15534E56" w14:textId="77777777" w:rsidTr="001B714E">
        <w:trPr>
          <w:trHeight w:val="253"/>
        </w:trPr>
        <w:tc>
          <w:tcPr>
            <w:tcW w:w="3331" w:type="dxa"/>
            <w:tcBorders>
              <w:top w:val="nil"/>
              <w:bottom w:val="single" w:sz="4" w:space="0" w:color="auto"/>
            </w:tcBorders>
          </w:tcPr>
          <w:p w14:paraId="087B2CF1" w14:textId="07988936" w:rsidR="001B714E"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Others</w:t>
            </w:r>
          </w:p>
        </w:tc>
        <w:tc>
          <w:tcPr>
            <w:tcW w:w="2840" w:type="dxa"/>
            <w:tcBorders>
              <w:top w:val="nil"/>
              <w:bottom w:val="single" w:sz="4" w:space="0" w:color="auto"/>
            </w:tcBorders>
            <w:vAlign w:val="center"/>
          </w:tcPr>
          <w:p w14:paraId="7877C215" w14:textId="2D660479"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1B714E">
              <w:rPr>
                <w:rFonts w:ascii="Times New Roman" w:eastAsia="Times New Roman" w:hAnsi="Times New Roman" w:cs="Times New Roman"/>
                <w:sz w:val="24"/>
                <w:szCs w:val="24"/>
                <w:lang w:val="es-EC" w:eastAsia="es-EC"/>
              </w:rPr>
              <w:t>7</w:t>
            </w:r>
          </w:p>
        </w:tc>
        <w:tc>
          <w:tcPr>
            <w:tcW w:w="2726" w:type="dxa"/>
            <w:tcBorders>
              <w:top w:val="nil"/>
              <w:bottom w:val="single" w:sz="4" w:space="0" w:color="auto"/>
            </w:tcBorders>
            <w:vAlign w:val="center"/>
          </w:tcPr>
          <w:p w14:paraId="255DAA19" w14:textId="7FB2ECC3"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1B714E">
              <w:rPr>
                <w:rFonts w:ascii="Times New Roman" w:eastAsia="Times New Roman" w:hAnsi="Times New Roman" w:cs="Times New Roman"/>
                <w:sz w:val="24"/>
                <w:szCs w:val="24"/>
                <w:lang w:val="es-EC" w:eastAsia="es-EC"/>
              </w:rPr>
              <w:t xml:space="preserve">6,7 </w:t>
            </w:r>
          </w:p>
        </w:tc>
      </w:tr>
      <w:tr w:rsidR="001B714E" w:rsidRPr="002F2142" w14:paraId="2CECA69D" w14:textId="77777777" w:rsidTr="001B714E">
        <w:trPr>
          <w:trHeight w:val="253"/>
        </w:trPr>
        <w:tc>
          <w:tcPr>
            <w:tcW w:w="3331" w:type="dxa"/>
            <w:tcBorders>
              <w:top w:val="single" w:sz="4" w:space="0" w:color="auto"/>
              <w:bottom w:val="single" w:sz="4" w:space="0" w:color="auto"/>
            </w:tcBorders>
          </w:tcPr>
          <w:p w14:paraId="4FFB6B51" w14:textId="77777777"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Total</w:t>
            </w:r>
          </w:p>
        </w:tc>
        <w:tc>
          <w:tcPr>
            <w:tcW w:w="2840" w:type="dxa"/>
            <w:tcBorders>
              <w:top w:val="single" w:sz="4" w:space="0" w:color="auto"/>
              <w:bottom w:val="single" w:sz="4" w:space="0" w:color="auto"/>
            </w:tcBorders>
          </w:tcPr>
          <w:p w14:paraId="7B50E182" w14:textId="77777777"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105</w:t>
            </w:r>
          </w:p>
        </w:tc>
        <w:tc>
          <w:tcPr>
            <w:tcW w:w="2726" w:type="dxa"/>
            <w:tcBorders>
              <w:top w:val="single" w:sz="4" w:space="0" w:color="auto"/>
              <w:bottom w:val="single" w:sz="4" w:space="0" w:color="auto"/>
            </w:tcBorders>
          </w:tcPr>
          <w:p w14:paraId="68E82552" w14:textId="77777777" w:rsidR="001B714E" w:rsidRPr="002F2142" w:rsidRDefault="001B714E" w:rsidP="001B714E">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100%</w:t>
            </w:r>
          </w:p>
        </w:tc>
      </w:tr>
    </w:tbl>
    <w:p w14:paraId="46DB4C2B" w14:textId="0DB552B6" w:rsidR="00DC5D5A" w:rsidRDefault="00DC5D5A" w:rsidP="002F2142">
      <w:pPr>
        <w:spacing w:before="100" w:beforeAutospacing="1" w:after="100" w:afterAutospacing="1" w:line="360" w:lineRule="auto"/>
        <w:rPr>
          <w:rFonts w:ascii="Times New Roman" w:eastAsia="Times New Roman" w:hAnsi="Times New Roman" w:cs="Times New Roman"/>
          <w:sz w:val="24"/>
          <w:szCs w:val="24"/>
          <w:lang w:eastAsia="es-EC"/>
        </w:rPr>
      </w:pPr>
      <w:r w:rsidRPr="00DC5D5A">
        <w:rPr>
          <w:rFonts w:ascii="Times New Roman" w:eastAsia="Times New Roman" w:hAnsi="Times New Roman" w:cs="Times New Roman"/>
          <w:sz w:val="24"/>
          <w:szCs w:val="24"/>
          <w:lang w:eastAsia="es-EC"/>
        </w:rPr>
        <w:t xml:space="preserve">Table 3 presents the results of parental stress levels, showing that most participants exhibit a medium level of stress. Additionally, a group with moderate stress can be observed, closely followed by those with high stress levels. However, a clear indication from the collected data is that only 14.29% of the sample shows a low level of parental stress, which may be relevant </w:t>
      </w:r>
      <w:r>
        <w:rPr>
          <w:rFonts w:ascii="Times New Roman" w:eastAsia="Times New Roman" w:hAnsi="Times New Roman" w:cs="Times New Roman"/>
          <w:sz w:val="24"/>
          <w:szCs w:val="24"/>
          <w:lang w:eastAsia="es-EC"/>
        </w:rPr>
        <w:t>concerning</w:t>
      </w:r>
      <w:r w:rsidRPr="00DC5D5A">
        <w:rPr>
          <w:rFonts w:ascii="Times New Roman" w:eastAsia="Times New Roman" w:hAnsi="Times New Roman" w:cs="Times New Roman"/>
          <w:sz w:val="24"/>
          <w:szCs w:val="24"/>
          <w:lang w:eastAsia="es-EC"/>
        </w:rPr>
        <w:t xml:space="preserve"> family psychological health and parent–child dynamics.</w:t>
      </w:r>
    </w:p>
    <w:p w14:paraId="07D869C5" w14:textId="6F165582" w:rsidR="00011919" w:rsidRPr="00DC5D5A" w:rsidRDefault="008A7538" w:rsidP="002F2142">
      <w:pPr>
        <w:spacing w:before="100" w:beforeAutospacing="1" w:after="100" w:afterAutospacing="1" w:line="360" w:lineRule="auto"/>
        <w:rPr>
          <w:rFonts w:ascii="Times New Roman" w:eastAsia="Times New Roman" w:hAnsi="Times New Roman" w:cs="Times New Roman"/>
          <w:b/>
          <w:bCs/>
          <w:sz w:val="24"/>
          <w:szCs w:val="24"/>
          <w:lang w:eastAsia="es-EC"/>
        </w:rPr>
      </w:pPr>
      <w:r w:rsidRPr="00DC5D5A">
        <w:rPr>
          <w:rFonts w:ascii="Times New Roman" w:eastAsia="Times New Roman" w:hAnsi="Times New Roman" w:cs="Times New Roman"/>
          <w:b/>
          <w:bCs/>
          <w:sz w:val="24"/>
          <w:szCs w:val="24"/>
          <w:lang w:eastAsia="es-EC"/>
        </w:rPr>
        <w:t xml:space="preserve">Table </w:t>
      </w:r>
      <w:r w:rsidR="00011919" w:rsidRPr="00DC5D5A">
        <w:rPr>
          <w:rFonts w:ascii="Times New Roman" w:eastAsia="Times New Roman" w:hAnsi="Times New Roman" w:cs="Times New Roman"/>
          <w:b/>
          <w:bCs/>
          <w:sz w:val="24"/>
          <w:szCs w:val="24"/>
          <w:lang w:eastAsia="es-EC"/>
        </w:rPr>
        <w:t>3</w:t>
      </w:r>
    </w:p>
    <w:p w14:paraId="59EB9CC8" w14:textId="5EA555C6" w:rsidR="00AF2578" w:rsidRPr="002F2142" w:rsidRDefault="008A7538" w:rsidP="002F2142">
      <w:pPr>
        <w:spacing w:before="100" w:beforeAutospacing="1" w:after="100" w:afterAutospacing="1" w:line="360" w:lineRule="auto"/>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sz w:val="24"/>
          <w:szCs w:val="24"/>
          <w:lang w:val="es-EC" w:eastAsia="es-EC"/>
        </w:rPr>
        <w:t>Parental stress level</w:t>
      </w:r>
    </w:p>
    <w:tbl>
      <w:tblPr>
        <w:tblStyle w:val="Tablaconcuadrcula"/>
        <w:tblW w:w="88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2840"/>
        <w:gridCol w:w="2726"/>
      </w:tblGrid>
      <w:tr w:rsidR="00AF2578" w:rsidRPr="002F2142" w14:paraId="4FD6D8B0" w14:textId="77777777" w:rsidTr="008A7538">
        <w:trPr>
          <w:trHeight w:val="253"/>
        </w:trPr>
        <w:tc>
          <w:tcPr>
            <w:tcW w:w="3331" w:type="dxa"/>
            <w:tcBorders>
              <w:top w:val="single" w:sz="4" w:space="0" w:color="auto"/>
              <w:bottom w:val="single" w:sz="4" w:space="0" w:color="auto"/>
            </w:tcBorders>
          </w:tcPr>
          <w:p w14:paraId="3EEA8EFB"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Stress level</w:t>
            </w:r>
          </w:p>
        </w:tc>
        <w:tc>
          <w:tcPr>
            <w:tcW w:w="2840" w:type="dxa"/>
            <w:tcBorders>
              <w:top w:val="single" w:sz="4" w:space="0" w:color="auto"/>
              <w:bottom w:val="single" w:sz="4" w:space="0" w:color="auto"/>
            </w:tcBorders>
          </w:tcPr>
          <w:p w14:paraId="477C035B"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n</w:t>
            </w:r>
          </w:p>
        </w:tc>
        <w:tc>
          <w:tcPr>
            <w:tcW w:w="2726" w:type="dxa"/>
            <w:tcBorders>
              <w:top w:val="single" w:sz="4" w:space="0" w:color="auto"/>
              <w:bottom w:val="single" w:sz="4" w:space="0" w:color="auto"/>
            </w:tcBorders>
          </w:tcPr>
          <w:p w14:paraId="7B99A188"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w:t>
            </w:r>
          </w:p>
        </w:tc>
      </w:tr>
      <w:tr w:rsidR="00AF2578" w:rsidRPr="002F2142" w14:paraId="782E684A" w14:textId="77777777" w:rsidTr="008A7538">
        <w:trPr>
          <w:trHeight w:val="243"/>
        </w:trPr>
        <w:tc>
          <w:tcPr>
            <w:tcW w:w="3331" w:type="dxa"/>
            <w:tcBorders>
              <w:top w:val="single" w:sz="4" w:space="0" w:color="auto"/>
            </w:tcBorders>
          </w:tcPr>
          <w:p w14:paraId="0043C291" w14:textId="3F8037D9" w:rsidR="00AF2578" w:rsidRPr="002F2142" w:rsidRDefault="00DC5D5A"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Low</w:t>
            </w:r>
            <w:r w:rsidR="00AF2578" w:rsidRPr="002F2142">
              <w:rPr>
                <w:rFonts w:ascii="Times New Roman" w:eastAsia="Times New Roman" w:hAnsi="Times New Roman" w:cs="Times New Roman"/>
                <w:sz w:val="24"/>
                <w:szCs w:val="24"/>
                <w:lang w:val="es-EC" w:eastAsia="es-EC"/>
              </w:rPr>
              <w:t xml:space="preserve"> level</w:t>
            </w:r>
          </w:p>
        </w:tc>
        <w:tc>
          <w:tcPr>
            <w:tcW w:w="2840" w:type="dxa"/>
            <w:tcBorders>
              <w:top w:val="single" w:sz="4" w:space="0" w:color="auto"/>
            </w:tcBorders>
          </w:tcPr>
          <w:p w14:paraId="428BD3FF"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15</w:t>
            </w:r>
          </w:p>
        </w:tc>
        <w:tc>
          <w:tcPr>
            <w:tcW w:w="2726" w:type="dxa"/>
            <w:tcBorders>
              <w:top w:val="single" w:sz="4" w:space="0" w:color="auto"/>
            </w:tcBorders>
          </w:tcPr>
          <w:p w14:paraId="0950B4A2"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14,29</w:t>
            </w:r>
          </w:p>
        </w:tc>
      </w:tr>
      <w:tr w:rsidR="00AF2578" w:rsidRPr="002F2142" w14:paraId="1A796B3F" w14:textId="77777777" w:rsidTr="008A7538">
        <w:trPr>
          <w:trHeight w:val="253"/>
        </w:trPr>
        <w:tc>
          <w:tcPr>
            <w:tcW w:w="3331" w:type="dxa"/>
          </w:tcPr>
          <w:p w14:paraId="2763DCFD"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Medium level</w:t>
            </w:r>
          </w:p>
        </w:tc>
        <w:tc>
          <w:tcPr>
            <w:tcW w:w="2840" w:type="dxa"/>
          </w:tcPr>
          <w:p w14:paraId="3D21A45C"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39</w:t>
            </w:r>
          </w:p>
        </w:tc>
        <w:tc>
          <w:tcPr>
            <w:tcW w:w="2726" w:type="dxa"/>
          </w:tcPr>
          <w:p w14:paraId="4EAB3E14"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37,14</w:t>
            </w:r>
          </w:p>
        </w:tc>
      </w:tr>
      <w:tr w:rsidR="00AF2578" w:rsidRPr="002F2142" w14:paraId="3D571AAB" w14:textId="77777777" w:rsidTr="008A7538">
        <w:trPr>
          <w:trHeight w:val="243"/>
        </w:trPr>
        <w:tc>
          <w:tcPr>
            <w:tcW w:w="3331" w:type="dxa"/>
          </w:tcPr>
          <w:p w14:paraId="3F140B88"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Moderate level</w:t>
            </w:r>
          </w:p>
        </w:tc>
        <w:tc>
          <w:tcPr>
            <w:tcW w:w="2840" w:type="dxa"/>
          </w:tcPr>
          <w:p w14:paraId="7F0B2A5B"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29</w:t>
            </w:r>
          </w:p>
        </w:tc>
        <w:tc>
          <w:tcPr>
            <w:tcW w:w="2726" w:type="dxa"/>
          </w:tcPr>
          <w:p w14:paraId="6A64EFF9"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27,62</w:t>
            </w:r>
          </w:p>
        </w:tc>
      </w:tr>
      <w:tr w:rsidR="00AF2578" w:rsidRPr="002F2142" w14:paraId="4A0C7664" w14:textId="77777777" w:rsidTr="008A7538">
        <w:trPr>
          <w:trHeight w:val="253"/>
        </w:trPr>
        <w:tc>
          <w:tcPr>
            <w:tcW w:w="3331" w:type="dxa"/>
            <w:tcBorders>
              <w:bottom w:val="single" w:sz="4" w:space="0" w:color="auto"/>
            </w:tcBorders>
          </w:tcPr>
          <w:p w14:paraId="51A6EB96"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High level</w:t>
            </w:r>
          </w:p>
        </w:tc>
        <w:tc>
          <w:tcPr>
            <w:tcW w:w="2840" w:type="dxa"/>
            <w:tcBorders>
              <w:bottom w:val="single" w:sz="4" w:space="0" w:color="auto"/>
            </w:tcBorders>
          </w:tcPr>
          <w:p w14:paraId="0BA8AEB0"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22</w:t>
            </w:r>
          </w:p>
        </w:tc>
        <w:tc>
          <w:tcPr>
            <w:tcW w:w="2726" w:type="dxa"/>
            <w:tcBorders>
              <w:bottom w:val="single" w:sz="4" w:space="0" w:color="auto"/>
            </w:tcBorders>
          </w:tcPr>
          <w:p w14:paraId="61425D91"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20,95</w:t>
            </w:r>
          </w:p>
        </w:tc>
      </w:tr>
      <w:tr w:rsidR="00AF2578" w:rsidRPr="002F2142" w14:paraId="792411F8" w14:textId="77777777" w:rsidTr="008A7538">
        <w:trPr>
          <w:trHeight w:val="253"/>
        </w:trPr>
        <w:tc>
          <w:tcPr>
            <w:tcW w:w="3331" w:type="dxa"/>
            <w:tcBorders>
              <w:top w:val="single" w:sz="4" w:space="0" w:color="auto"/>
              <w:bottom w:val="single" w:sz="4" w:space="0" w:color="auto"/>
            </w:tcBorders>
          </w:tcPr>
          <w:p w14:paraId="5B26B7B0"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Total</w:t>
            </w:r>
          </w:p>
        </w:tc>
        <w:tc>
          <w:tcPr>
            <w:tcW w:w="2840" w:type="dxa"/>
            <w:tcBorders>
              <w:top w:val="single" w:sz="4" w:space="0" w:color="auto"/>
              <w:bottom w:val="single" w:sz="4" w:space="0" w:color="auto"/>
            </w:tcBorders>
          </w:tcPr>
          <w:p w14:paraId="7761C136"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105</w:t>
            </w:r>
          </w:p>
        </w:tc>
        <w:tc>
          <w:tcPr>
            <w:tcW w:w="2726" w:type="dxa"/>
            <w:tcBorders>
              <w:top w:val="single" w:sz="4" w:space="0" w:color="auto"/>
              <w:bottom w:val="single" w:sz="4" w:space="0" w:color="auto"/>
            </w:tcBorders>
          </w:tcPr>
          <w:p w14:paraId="7C3E327E"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100%</w:t>
            </w:r>
          </w:p>
        </w:tc>
      </w:tr>
    </w:tbl>
    <w:p w14:paraId="44A308A5" w14:textId="346F1E51" w:rsidR="003C05E3" w:rsidRPr="00CD1B10" w:rsidRDefault="00011919" w:rsidP="00B60C07">
      <w:pPr>
        <w:pStyle w:val="NormalWeb"/>
        <w:spacing w:line="360" w:lineRule="auto"/>
        <w:jc w:val="both"/>
        <w:rPr>
          <w:lang w:val="en-US"/>
        </w:rPr>
      </w:pPr>
      <w:r w:rsidRPr="00CD1B10">
        <w:rPr>
          <w:lang w:val="en-US"/>
        </w:rPr>
        <w:t xml:space="preserve">Table 4 shows that the </w:t>
      </w:r>
      <w:r w:rsidR="00E47B68" w:rsidRPr="00CD1B10">
        <w:rPr>
          <w:lang w:val="en-US"/>
        </w:rPr>
        <w:t xml:space="preserve">technological </w:t>
      </w:r>
      <w:r w:rsidRPr="00CD1B10">
        <w:rPr>
          <w:lang w:val="en-US"/>
        </w:rPr>
        <w:t xml:space="preserve">difficulties </w:t>
      </w:r>
      <w:r w:rsidR="00E47B68" w:rsidRPr="00CD1B10">
        <w:rPr>
          <w:lang w:val="en-US"/>
        </w:rPr>
        <w:t xml:space="preserve">most frequently reported by the participants </w:t>
      </w:r>
      <w:r w:rsidR="00DC5D5A">
        <w:rPr>
          <w:lang w:val="en-US"/>
        </w:rPr>
        <w:t>were</w:t>
      </w:r>
      <w:r w:rsidR="00E47B68" w:rsidRPr="00CD1B10">
        <w:rPr>
          <w:lang w:val="en-US"/>
        </w:rPr>
        <w:t xml:space="preserve"> the lack of Internet access, with </w:t>
      </w:r>
      <w:r w:rsidR="00B929F9" w:rsidRPr="00CD1B10">
        <w:rPr>
          <w:lang w:val="en-US"/>
        </w:rPr>
        <w:t>31.</w:t>
      </w:r>
      <w:r w:rsidR="00E47B68" w:rsidRPr="00CD1B10">
        <w:rPr>
          <w:lang w:val="en-US"/>
        </w:rPr>
        <w:t xml:space="preserve">43% of the total. Low connection speed and insufficient technological means were the most frequent problems, both with 18.10% </w:t>
      </w:r>
      <w:r w:rsidR="00BB4F2D" w:rsidRPr="00CD1B10">
        <w:rPr>
          <w:lang w:val="en-US"/>
        </w:rPr>
        <w:t>(18)</w:t>
      </w:r>
      <w:r w:rsidR="00E47B68" w:rsidRPr="00CD1B10">
        <w:rPr>
          <w:lang w:val="en-US"/>
        </w:rPr>
        <w:t xml:space="preserve">. In 17.14 % </w:t>
      </w:r>
      <w:r w:rsidR="00BB4F2D" w:rsidRPr="00CD1B10">
        <w:rPr>
          <w:lang w:val="en-US"/>
        </w:rPr>
        <w:t xml:space="preserve">(17) </w:t>
      </w:r>
      <w:r w:rsidR="00E47B68" w:rsidRPr="00CD1B10">
        <w:rPr>
          <w:lang w:val="en-US"/>
        </w:rPr>
        <w:t>of the cases</w:t>
      </w:r>
      <w:r w:rsidR="00DC5D5A">
        <w:rPr>
          <w:lang w:val="en-US"/>
        </w:rPr>
        <w:t>,</w:t>
      </w:r>
      <w:r w:rsidR="00E47B68" w:rsidRPr="00CD1B10">
        <w:rPr>
          <w:lang w:val="en-US"/>
        </w:rPr>
        <w:t xml:space="preserve"> the difficulty was the lack of time for training in Information and Communication Technologies, and </w:t>
      </w:r>
      <w:r w:rsidR="00D31E7A" w:rsidRPr="00CD1B10">
        <w:rPr>
          <w:lang w:val="en-US"/>
        </w:rPr>
        <w:t xml:space="preserve">13.33 </w:t>
      </w:r>
      <w:r w:rsidR="00E47B68" w:rsidRPr="00CD1B10">
        <w:rPr>
          <w:lang w:val="en-US"/>
        </w:rPr>
        <w:t xml:space="preserve">% </w:t>
      </w:r>
      <w:r w:rsidR="00BB4F2D" w:rsidRPr="00CD1B10">
        <w:rPr>
          <w:lang w:val="en-US"/>
        </w:rPr>
        <w:t xml:space="preserve">(14) </w:t>
      </w:r>
      <w:r w:rsidR="00D31E7A" w:rsidRPr="00CD1B10">
        <w:rPr>
          <w:lang w:val="en-US"/>
        </w:rPr>
        <w:t xml:space="preserve">reported that they </w:t>
      </w:r>
      <w:r w:rsidR="001C176D" w:rsidRPr="00CD1B10">
        <w:rPr>
          <w:lang w:val="en-US"/>
        </w:rPr>
        <w:t xml:space="preserve">had no </w:t>
      </w:r>
      <w:r w:rsidR="00E47B68" w:rsidRPr="00CD1B10">
        <w:rPr>
          <w:lang w:val="en-US"/>
        </w:rPr>
        <w:t xml:space="preserve">specific </w:t>
      </w:r>
      <w:r w:rsidR="001C176D" w:rsidRPr="00CD1B10">
        <w:rPr>
          <w:lang w:val="en-US"/>
        </w:rPr>
        <w:t xml:space="preserve">difficulty. </w:t>
      </w:r>
      <w:r w:rsidR="00E47B68" w:rsidRPr="00CD1B10">
        <w:rPr>
          <w:lang w:val="en-US"/>
        </w:rPr>
        <w:t>As can be concluded, these are structural and pedagogical challenges, which, in some way, will impact the performance of the households studied in terms of their technological adaptation skills and capabilities.</w:t>
      </w:r>
    </w:p>
    <w:p w14:paraId="0FFCB643" w14:textId="54973491" w:rsidR="00011919" w:rsidRPr="00CD1B10" w:rsidRDefault="008A7538" w:rsidP="002F2142">
      <w:pPr>
        <w:spacing w:before="100" w:beforeAutospacing="1" w:after="100" w:afterAutospacing="1" w:line="360" w:lineRule="auto"/>
        <w:rPr>
          <w:rFonts w:ascii="Times New Roman" w:eastAsia="Times New Roman" w:hAnsi="Times New Roman" w:cs="Times New Roman"/>
          <w:b/>
          <w:bCs/>
          <w:sz w:val="24"/>
          <w:szCs w:val="24"/>
          <w:lang w:eastAsia="es-EC"/>
        </w:rPr>
      </w:pPr>
      <w:r w:rsidRPr="00CD1B10">
        <w:rPr>
          <w:rFonts w:ascii="Times New Roman" w:eastAsia="Times New Roman" w:hAnsi="Times New Roman" w:cs="Times New Roman"/>
          <w:b/>
          <w:bCs/>
          <w:sz w:val="24"/>
          <w:szCs w:val="24"/>
          <w:lang w:eastAsia="es-EC"/>
        </w:rPr>
        <w:t xml:space="preserve">Table </w:t>
      </w:r>
      <w:r w:rsidR="00011919" w:rsidRPr="00CD1B10">
        <w:rPr>
          <w:rFonts w:ascii="Times New Roman" w:eastAsia="Times New Roman" w:hAnsi="Times New Roman" w:cs="Times New Roman"/>
          <w:b/>
          <w:bCs/>
          <w:sz w:val="24"/>
          <w:szCs w:val="24"/>
          <w:lang w:eastAsia="es-EC"/>
        </w:rPr>
        <w:t>4</w:t>
      </w:r>
    </w:p>
    <w:p w14:paraId="4C3C0B3E" w14:textId="1F64FB84" w:rsidR="00AF3E57" w:rsidRPr="00CD1B10" w:rsidRDefault="008A7538" w:rsidP="002F2142">
      <w:pPr>
        <w:spacing w:before="100" w:beforeAutospacing="1" w:after="100" w:afterAutospacing="1" w:line="360" w:lineRule="auto"/>
        <w:rPr>
          <w:rFonts w:ascii="Times New Roman" w:eastAsia="Times New Roman" w:hAnsi="Times New Roman" w:cs="Times New Roman"/>
          <w:i/>
          <w:iCs/>
          <w:sz w:val="24"/>
          <w:szCs w:val="24"/>
          <w:lang w:eastAsia="es-EC"/>
        </w:rPr>
      </w:pPr>
      <w:r w:rsidRPr="00CD1B10">
        <w:rPr>
          <w:rFonts w:ascii="Times New Roman" w:eastAsia="Times New Roman" w:hAnsi="Times New Roman" w:cs="Times New Roman"/>
          <w:i/>
          <w:iCs/>
          <w:sz w:val="24"/>
          <w:szCs w:val="24"/>
          <w:lang w:eastAsia="es-EC"/>
        </w:rPr>
        <w:t xml:space="preserve">Technological </w:t>
      </w:r>
      <w:r w:rsidR="00011919" w:rsidRPr="00CD1B10">
        <w:rPr>
          <w:rFonts w:ascii="Times New Roman" w:eastAsia="Times New Roman" w:hAnsi="Times New Roman" w:cs="Times New Roman"/>
          <w:i/>
          <w:iCs/>
          <w:sz w:val="24"/>
          <w:szCs w:val="24"/>
          <w:lang w:eastAsia="es-EC"/>
        </w:rPr>
        <w:t>difficulties in times of pandemic.</w:t>
      </w:r>
    </w:p>
    <w:tbl>
      <w:tblPr>
        <w:tblStyle w:val="Tablaconcuadrcula"/>
        <w:tblW w:w="95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4"/>
        <w:gridCol w:w="576"/>
        <w:gridCol w:w="2857"/>
      </w:tblGrid>
      <w:tr w:rsidR="00AF2578" w:rsidRPr="002F2142" w14:paraId="03C4CA93" w14:textId="77777777" w:rsidTr="002C2160">
        <w:trPr>
          <w:trHeight w:val="204"/>
        </w:trPr>
        <w:tc>
          <w:tcPr>
            <w:tcW w:w="6164" w:type="dxa"/>
            <w:tcBorders>
              <w:top w:val="single" w:sz="4" w:space="0" w:color="auto"/>
              <w:bottom w:val="single" w:sz="4" w:space="0" w:color="auto"/>
            </w:tcBorders>
          </w:tcPr>
          <w:p w14:paraId="6A6D218A" w14:textId="1DF06CD4" w:rsidR="00AF2578" w:rsidRPr="002F2142" w:rsidRDefault="002A0570"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Technological difficulties</w:t>
            </w:r>
          </w:p>
        </w:tc>
        <w:tc>
          <w:tcPr>
            <w:tcW w:w="576" w:type="dxa"/>
            <w:tcBorders>
              <w:top w:val="single" w:sz="4" w:space="0" w:color="auto"/>
              <w:bottom w:val="single" w:sz="4" w:space="0" w:color="auto"/>
            </w:tcBorders>
          </w:tcPr>
          <w:p w14:paraId="77AC9348"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n</w:t>
            </w:r>
          </w:p>
        </w:tc>
        <w:tc>
          <w:tcPr>
            <w:tcW w:w="2857" w:type="dxa"/>
            <w:tcBorders>
              <w:top w:val="single" w:sz="4" w:space="0" w:color="auto"/>
              <w:bottom w:val="single" w:sz="4" w:space="0" w:color="auto"/>
            </w:tcBorders>
          </w:tcPr>
          <w:p w14:paraId="329B1D6E"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w:t>
            </w:r>
          </w:p>
        </w:tc>
      </w:tr>
      <w:tr w:rsidR="00AF2578" w:rsidRPr="002F2142" w14:paraId="642F896E" w14:textId="77777777" w:rsidTr="002C2160">
        <w:trPr>
          <w:trHeight w:val="197"/>
        </w:trPr>
        <w:tc>
          <w:tcPr>
            <w:tcW w:w="6164" w:type="dxa"/>
            <w:tcBorders>
              <w:top w:val="single" w:sz="4" w:space="0" w:color="auto"/>
              <w:bottom w:val="nil"/>
            </w:tcBorders>
          </w:tcPr>
          <w:p w14:paraId="2F9C1310" w14:textId="5C246D65" w:rsidR="00AF2578" w:rsidRPr="002F2142" w:rsidRDefault="00AF2578" w:rsidP="002F2142">
            <w:pPr>
              <w:spacing w:before="100" w:beforeAutospacing="1" w:after="100" w:afterAutospacing="1" w:line="360" w:lineRule="auto"/>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lastRenderedPageBreak/>
              <w:t>Lack of internet</w:t>
            </w:r>
          </w:p>
        </w:tc>
        <w:tc>
          <w:tcPr>
            <w:tcW w:w="576" w:type="dxa"/>
            <w:tcBorders>
              <w:top w:val="single" w:sz="4" w:space="0" w:color="auto"/>
              <w:bottom w:val="nil"/>
            </w:tcBorders>
          </w:tcPr>
          <w:p w14:paraId="1194265B" w14:textId="0C9276C7" w:rsidR="00AF2578" w:rsidRPr="002F2142" w:rsidRDefault="001762E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33</w:t>
            </w:r>
          </w:p>
        </w:tc>
        <w:tc>
          <w:tcPr>
            <w:tcW w:w="2857" w:type="dxa"/>
            <w:tcBorders>
              <w:top w:val="single" w:sz="4" w:space="0" w:color="auto"/>
              <w:bottom w:val="nil"/>
            </w:tcBorders>
          </w:tcPr>
          <w:p w14:paraId="7B9026DB" w14:textId="248F4CC0" w:rsidR="00AF2578" w:rsidRPr="002F2142" w:rsidRDefault="001762E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Pr>
                <w:rFonts w:ascii="Times New Roman" w:hAnsi="Times New Roman" w:cs="Times New Roman"/>
                <w:sz w:val="24"/>
                <w:szCs w:val="24"/>
              </w:rPr>
              <w:t>31,43</w:t>
            </w:r>
          </w:p>
        </w:tc>
      </w:tr>
      <w:tr w:rsidR="00AF2578" w:rsidRPr="002F2142" w14:paraId="026ECE25" w14:textId="77777777" w:rsidTr="002C2160">
        <w:trPr>
          <w:trHeight w:val="204"/>
        </w:trPr>
        <w:tc>
          <w:tcPr>
            <w:tcW w:w="6164" w:type="dxa"/>
            <w:tcBorders>
              <w:top w:val="nil"/>
              <w:bottom w:val="nil"/>
            </w:tcBorders>
          </w:tcPr>
          <w:p w14:paraId="0EB83421" w14:textId="2C5BA913" w:rsidR="00AF2578" w:rsidRPr="002F2142" w:rsidRDefault="00D11D19" w:rsidP="002F2142">
            <w:pPr>
              <w:spacing w:before="100" w:beforeAutospacing="1" w:after="100" w:afterAutospacing="1" w:line="360" w:lineRule="auto"/>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Internet - low speed</w:t>
            </w:r>
          </w:p>
        </w:tc>
        <w:tc>
          <w:tcPr>
            <w:tcW w:w="576" w:type="dxa"/>
            <w:tcBorders>
              <w:top w:val="nil"/>
              <w:bottom w:val="nil"/>
            </w:tcBorders>
          </w:tcPr>
          <w:p w14:paraId="4BB4906F" w14:textId="29B4E2F2" w:rsidR="00AF2578" w:rsidRPr="002F2142" w:rsidRDefault="00B229CD"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18</w:t>
            </w:r>
          </w:p>
        </w:tc>
        <w:tc>
          <w:tcPr>
            <w:tcW w:w="2857" w:type="dxa"/>
            <w:tcBorders>
              <w:top w:val="nil"/>
              <w:bottom w:val="nil"/>
            </w:tcBorders>
          </w:tcPr>
          <w:p w14:paraId="6915BFDF" w14:textId="3A89BEF3" w:rsidR="00AF2578" w:rsidRPr="002F2142" w:rsidRDefault="007C0804"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 xml:space="preserve">18.10 </w:t>
            </w:r>
          </w:p>
        </w:tc>
      </w:tr>
      <w:tr w:rsidR="00AF2578" w:rsidRPr="002F2142" w14:paraId="38F74B66" w14:textId="77777777" w:rsidTr="002C2160">
        <w:trPr>
          <w:trHeight w:val="197"/>
        </w:trPr>
        <w:tc>
          <w:tcPr>
            <w:tcW w:w="6164" w:type="dxa"/>
            <w:tcBorders>
              <w:top w:val="nil"/>
              <w:bottom w:val="nil"/>
            </w:tcBorders>
          </w:tcPr>
          <w:p w14:paraId="6FE705C7" w14:textId="1F163352" w:rsidR="00AF2578" w:rsidRPr="002F2142" w:rsidRDefault="00D11D19" w:rsidP="002F2142">
            <w:pPr>
              <w:spacing w:before="100" w:beforeAutospacing="1" w:after="100" w:afterAutospacing="1" w:line="360" w:lineRule="auto"/>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Insufficient technological resources</w:t>
            </w:r>
          </w:p>
        </w:tc>
        <w:tc>
          <w:tcPr>
            <w:tcW w:w="576" w:type="dxa"/>
            <w:tcBorders>
              <w:top w:val="nil"/>
              <w:bottom w:val="nil"/>
            </w:tcBorders>
          </w:tcPr>
          <w:p w14:paraId="0CD5A72C" w14:textId="255BCFC1" w:rsidR="00AF2578" w:rsidRPr="002F2142" w:rsidRDefault="00B229CD"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18</w:t>
            </w:r>
          </w:p>
        </w:tc>
        <w:tc>
          <w:tcPr>
            <w:tcW w:w="2857" w:type="dxa"/>
            <w:tcBorders>
              <w:top w:val="nil"/>
              <w:bottom w:val="nil"/>
            </w:tcBorders>
          </w:tcPr>
          <w:p w14:paraId="7B7B018C" w14:textId="34B14722" w:rsidR="00AF2578" w:rsidRPr="002F2142" w:rsidRDefault="007C0804"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 xml:space="preserve">18.10 </w:t>
            </w:r>
          </w:p>
        </w:tc>
      </w:tr>
      <w:tr w:rsidR="00AF2578" w:rsidRPr="002F2142" w14:paraId="571C2DCF" w14:textId="77777777" w:rsidTr="002C2160">
        <w:trPr>
          <w:trHeight w:val="204"/>
        </w:trPr>
        <w:tc>
          <w:tcPr>
            <w:tcW w:w="6164" w:type="dxa"/>
            <w:tcBorders>
              <w:top w:val="nil"/>
              <w:bottom w:val="nil"/>
            </w:tcBorders>
          </w:tcPr>
          <w:p w14:paraId="0214657F" w14:textId="02A673D0" w:rsidR="00AF2578" w:rsidRPr="00CD1B10" w:rsidRDefault="00AC5093" w:rsidP="002F2142">
            <w:pPr>
              <w:spacing w:before="100" w:beforeAutospacing="1" w:after="100" w:afterAutospacing="1" w:line="360" w:lineRule="auto"/>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 xml:space="preserve">Lack of training time </w:t>
            </w:r>
            <w:r w:rsidR="00DC5D5A">
              <w:rPr>
                <w:rFonts w:ascii="Times New Roman" w:eastAsia="Times New Roman" w:hAnsi="Times New Roman" w:cs="Times New Roman"/>
                <w:sz w:val="24"/>
                <w:szCs w:val="24"/>
                <w:lang w:eastAsia="es-EC"/>
              </w:rPr>
              <w:t>concerning</w:t>
            </w:r>
            <w:r w:rsidRPr="00CD1B10">
              <w:rPr>
                <w:rFonts w:ascii="Times New Roman" w:eastAsia="Times New Roman" w:hAnsi="Times New Roman" w:cs="Times New Roman"/>
                <w:sz w:val="24"/>
                <w:szCs w:val="24"/>
                <w:lang w:eastAsia="es-EC"/>
              </w:rPr>
              <w:t xml:space="preserve"> the technology</w:t>
            </w:r>
          </w:p>
        </w:tc>
        <w:tc>
          <w:tcPr>
            <w:tcW w:w="576" w:type="dxa"/>
            <w:tcBorders>
              <w:top w:val="nil"/>
              <w:bottom w:val="nil"/>
            </w:tcBorders>
          </w:tcPr>
          <w:p w14:paraId="638659A7" w14:textId="0B8FBB8A" w:rsidR="00AF2578" w:rsidRPr="002F2142" w:rsidRDefault="00B229CD"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17</w:t>
            </w:r>
          </w:p>
        </w:tc>
        <w:tc>
          <w:tcPr>
            <w:tcW w:w="2857" w:type="dxa"/>
            <w:tcBorders>
              <w:top w:val="nil"/>
              <w:bottom w:val="nil"/>
            </w:tcBorders>
          </w:tcPr>
          <w:p w14:paraId="342A556E" w14:textId="28803359" w:rsidR="00AF2578" w:rsidRPr="002F2142" w:rsidRDefault="007C0804"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hAnsi="Times New Roman" w:cs="Times New Roman"/>
                <w:sz w:val="24"/>
                <w:szCs w:val="24"/>
              </w:rPr>
              <w:t xml:space="preserve">17.14 </w:t>
            </w:r>
          </w:p>
        </w:tc>
      </w:tr>
      <w:tr w:rsidR="00B229CD" w:rsidRPr="002F2142" w14:paraId="2557F482" w14:textId="77777777" w:rsidTr="002C2160">
        <w:trPr>
          <w:trHeight w:val="204"/>
        </w:trPr>
        <w:tc>
          <w:tcPr>
            <w:tcW w:w="6164" w:type="dxa"/>
            <w:tcBorders>
              <w:top w:val="nil"/>
              <w:bottom w:val="single" w:sz="4" w:space="0" w:color="auto"/>
            </w:tcBorders>
          </w:tcPr>
          <w:p w14:paraId="62E8A4EE" w14:textId="30158D74" w:rsidR="00B229CD" w:rsidRPr="002F2142" w:rsidRDefault="003C05E3" w:rsidP="002F2142">
            <w:pPr>
              <w:spacing w:before="100" w:beforeAutospacing="1" w:after="100" w:afterAutospacing="1" w:line="360" w:lineRule="auto"/>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No difficulty</w:t>
            </w:r>
          </w:p>
        </w:tc>
        <w:tc>
          <w:tcPr>
            <w:tcW w:w="576" w:type="dxa"/>
            <w:tcBorders>
              <w:top w:val="nil"/>
              <w:bottom w:val="single" w:sz="4" w:space="0" w:color="auto"/>
            </w:tcBorders>
          </w:tcPr>
          <w:p w14:paraId="120C1AED" w14:textId="15E6E73F" w:rsidR="00B229CD" w:rsidRPr="002F2142" w:rsidRDefault="001762E6"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t>14</w:t>
            </w:r>
          </w:p>
        </w:tc>
        <w:tc>
          <w:tcPr>
            <w:tcW w:w="2857" w:type="dxa"/>
            <w:tcBorders>
              <w:top w:val="nil"/>
              <w:bottom w:val="single" w:sz="4" w:space="0" w:color="auto"/>
            </w:tcBorders>
          </w:tcPr>
          <w:p w14:paraId="7571AF1D" w14:textId="5DC6A16C" w:rsidR="00B229CD" w:rsidRPr="002F2142" w:rsidRDefault="004B789B"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Pr>
                <w:rFonts w:ascii="Times New Roman" w:hAnsi="Times New Roman" w:cs="Times New Roman"/>
                <w:sz w:val="24"/>
                <w:szCs w:val="24"/>
              </w:rPr>
              <w:t>13.</w:t>
            </w:r>
            <w:r w:rsidR="00032C4F" w:rsidRPr="002F2142">
              <w:rPr>
                <w:rFonts w:ascii="Times New Roman" w:hAnsi="Times New Roman" w:cs="Times New Roman"/>
                <w:sz w:val="24"/>
                <w:szCs w:val="24"/>
              </w:rPr>
              <w:t xml:space="preserve">33 </w:t>
            </w:r>
          </w:p>
        </w:tc>
      </w:tr>
      <w:tr w:rsidR="00AF2578" w:rsidRPr="002F2142" w14:paraId="752772A6" w14:textId="77777777" w:rsidTr="002C2160">
        <w:trPr>
          <w:trHeight w:val="204"/>
        </w:trPr>
        <w:tc>
          <w:tcPr>
            <w:tcW w:w="6164" w:type="dxa"/>
            <w:tcBorders>
              <w:top w:val="single" w:sz="4" w:space="0" w:color="auto"/>
              <w:bottom w:val="single" w:sz="4" w:space="0" w:color="auto"/>
            </w:tcBorders>
          </w:tcPr>
          <w:p w14:paraId="6F1637A9" w14:textId="77777777" w:rsidR="00AF2578" w:rsidRPr="002F2142" w:rsidRDefault="00AF2578" w:rsidP="002F2142">
            <w:pPr>
              <w:spacing w:before="100" w:beforeAutospacing="1" w:after="100" w:afterAutospacing="1" w:line="360" w:lineRule="auto"/>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Total</w:t>
            </w:r>
          </w:p>
        </w:tc>
        <w:tc>
          <w:tcPr>
            <w:tcW w:w="576" w:type="dxa"/>
            <w:tcBorders>
              <w:top w:val="single" w:sz="4" w:space="0" w:color="auto"/>
              <w:bottom w:val="single" w:sz="4" w:space="0" w:color="auto"/>
            </w:tcBorders>
          </w:tcPr>
          <w:p w14:paraId="426249F4" w14:textId="77777777" w:rsidR="00AF2578" w:rsidRPr="002F2142" w:rsidRDefault="00AF2578"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105</w:t>
            </w:r>
          </w:p>
        </w:tc>
        <w:tc>
          <w:tcPr>
            <w:tcW w:w="2857" w:type="dxa"/>
            <w:tcBorders>
              <w:top w:val="single" w:sz="4" w:space="0" w:color="auto"/>
              <w:bottom w:val="single" w:sz="4" w:space="0" w:color="auto"/>
            </w:tcBorders>
          </w:tcPr>
          <w:p w14:paraId="4FBBDD59" w14:textId="17CADA46" w:rsidR="00AF2578" w:rsidRPr="002F2142" w:rsidRDefault="00032C4F" w:rsidP="002F2142">
            <w:pPr>
              <w:spacing w:before="100" w:beforeAutospacing="1" w:after="100" w:afterAutospacing="1" w:line="360" w:lineRule="auto"/>
              <w:jc w:val="center"/>
              <w:rPr>
                <w:rFonts w:ascii="Times New Roman" w:eastAsia="Times New Roman" w:hAnsi="Times New Roman" w:cs="Times New Roman"/>
                <w:sz w:val="24"/>
                <w:szCs w:val="24"/>
                <w:lang w:val="es-EC" w:eastAsia="es-EC"/>
              </w:rPr>
            </w:pPr>
            <w:r w:rsidRPr="002F2142">
              <w:rPr>
                <w:rFonts w:ascii="Times New Roman" w:eastAsia="Times New Roman" w:hAnsi="Times New Roman" w:cs="Times New Roman"/>
                <w:sz w:val="24"/>
                <w:szCs w:val="24"/>
                <w:lang w:val="es-EC" w:eastAsia="es-EC"/>
              </w:rPr>
              <w:t>100%</w:t>
            </w:r>
          </w:p>
        </w:tc>
      </w:tr>
    </w:tbl>
    <w:p w14:paraId="06C27477" w14:textId="78FECFBA" w:rsidR="00011919" w:rsidRPr="00DC5D5A" w:rsidRDefault="00011919" w:rsidP="00DC5D5A">
      <w:pPr>
        <w:pStyle w:val="NormalWeb"/>
        <w:spacing w:line="360" w:lineRule="auto"/>
        <w:jc w:val="both"/>
        <w:rPr>
          <w:lang w:val="en-US"/>
        </w:rPr>
      </w:pPr>
      <w:r w:rsidRPr="00CD1B10">
        <w:rPr>
          <w:lang w:val="en-US"/>
        </w:rPr>
        <w:t xml:space="preserve">In Table 5, </w:t>
      </w:r>
      <w:r w:rsidR="005B6987" w:rsidRPr="00CD1B10">
        <w:rPr>
          <w:lang w:val="en-US"/>
        </w:rPr>
        <w:t xml:space="preserve">Spearman's correlation analyses indicated that there are significant associations between the dimensions of coping and perceptions of stress with the components of the educational virtual environment. First, the data indicated that perceived stress coping showed moderate positive coefficients with communication, participation and virtual setting, with </w:t>
      </w:r>
      <w:r w:rsidR="00390E59" w:rsidRPr="00CD1B10">
        <w:rPr>
          <w:lang w:val="en-US"/>
        </w:rPr>
        <w:t>(</w:t>
      </w:r>
      <w:r w:rsidR="00B41A73" w:rsidRPr="00CD1B10">
        <w:rPr>
          <w:lang w:val="en-US"/>
        </w:rPr>
        <w:t xml:space="preserve">p </w:t>
      </w:r>
      <w:r w:rsidR="005B6987" w:rsidRPr="00CD1B10">
        <w:rPr>
          <w:lang w:val="en-US"/>
        </w:rPr>
        <w:t>=.360</w:t>
      </w:r>
      <w:r w:rsidR="00390E59" w:rsidRPr="00CD1B10">
        <w:rPr>
          <w:lang w:val="en-US"/>
        </w:rPr>
        <w:t>)</w:t>
      </w:r>
      <w:r w:rsidR="005B6987" w:rsidRPr="00CD1B10">
        <w:rPr>
          <w:lang w:val="en-US"/>
        </w:rPr>
        <w:t xml:space="preserve">, </w:t>
      </w:r>
      <w:r w:rsidR="005B6987" w:rsidRPr="002F2142">
        <w:t>ρ</w:t>
      </w:r>
      <w:r w:rsidR="005B6987" w:rsidRPr="00CD1B10">
        <w:rPr>
          <w:lang w:val="en-US"/>
        </w:rPr>
        <w:t xml:space="preserve"> =.332 and </w:t>
      </w:r>
      <w:r w:rsidR="00B41A73" w:rsidRPr="00CD1B10">
        <w:rPr>
          <w:lang w:val="en-US"/>
        </w:rPr>
        <w:t xml:space="preserve">p </w:t>
      </w:r>
      <w:r w:rsidR="005B6987" w:rsidRPr="00CD1B10">
        <w:rPr>
          <w:lang w:val="en-US"/>
        </w:rPr>
        <w:t>=.409</w:t>
      </w:r>
      <w:r w:rsidR="00390E59" w:rsidRPr="00CD1B10">
        <w:rPr>
          <w:lang w:val="en-US"/>
        </w:rPr>
        <w:t>)</w:t>
      </w:r>
      <w:r w:rsidR="005B6987" w:rsidRPr="00CD1B10">
        <w:rPr>
          <w:lang w:val="en-US"/>
        </w:rPr>
        <w:t xml:space="preserve">, respectively, all </w:t>
      </w:r>
      <w:r w:rsidR="00B41A73" w:rsidRPr="00CD1B10">
        <w:rPr>
          <w:lang w:val="en-US"/>
        </w:rPr>
        <w:t xml:space="preserve">p </w:t>
      </w:r>
      <w:r w:rsidR="005B6987" w:rsidRPr="00CD1B10">
        <w:rPr>
          <w:lang w:val="en-US"/>
        </w:rPr>
        <w:t xml:space="preserve">&lt;.001, suggesting that a higher level of perceived stress coping goes hand in hand with greater interaction of the subjects with the virtual environment. In contrast, as far as stress perceptions are concerned, negative correlations were found in all cases, with </w:t>
      </w:r>
      <w:r w:rsidR="00390E59" w:rsidRPr="00CD1B10">
        <w:rPr>
          <w:lang w:val="en-US"/>
        </w:rPr>
        <w:t>(</w:t>
      </w:r>
      <w:r w:rsidR="00390E59" w:rsidRPr="002F2142">
        <w:t>ρ</w:t>
      </w:r>
      <w:r w:rsidR="00390E59" w:rsidRPr="00CD1B10">
        <w:rPr>
          <w:lang w:val="en-US"/>
        </w:rPr>
        <w:t xml:space="preserve"> </w:t>
      </w:r>
      <w:r w:rsidR="005B6987" w:rsidRPr="00CD1B10">
        <w:rPr>
          <w:lang w:val="en-US"/>
        </w:rPr>
        <w:t xml:space="preserve">= -.290 and </w:t>
      </w:r>
      <w:r w:rsidR="00B41A73" w:rsidRPr="00CD1B10">
        <w:rPr>
          <w:lang w:val="en-US"/>
        </w:rPr>
        <w:t xml:space="preserve">p </w:t>
      </w:r>
      <w:r w:rsidR="005B6987" w:rsidRPr="00CD1B10">
        <w:rPr>
          <w:lang w:val="en-US"/>
        </w:rPr>
        <w:t>&lt;.001</w:t>
      </w:r>
      <w:r w:rsidR="00CF7C66" w:rsidRPr="00CD1B10">
        <w:rPr>
          <w:lang w:val="en-US"/>
        </w:rPr>
        <w:t xml:space="preserve">) </w:t>
      </w:r>
      <w:r w:rsidR="005B6987" w:rsidRPr="00CD1B10">
        <w:rPr>
          <w:lang w:val="en-US"/>
        </w:rPr>
        <w:t xml:space="preserve">for communication, </w:t>
      </w:r>
      <w:r w:rsidR="00CF7C66" w:rsidRPr="00CD1B10">
        <w:rPr>
          <w:lang w:val="en-US"/>
        </w:rPr>
        <w:t>(</w:t>
      </w:r>
      <w:r w:rsidR="00B41A73" w:rsidRPr="00CD1B10">
        <w:rPr>
          <w:lang w:val="en-US"/>
        </w:rPr>
        <w:t xml:space="preserve">p </w:t>
      </w:r>
      <w:r w:rsidR="005B6987" w:rsidRPr="00CD1B10">
        <w:rPr>
          <w:lang w:val="en-US"/>
        </w:rPr>
        <w:t xml:space="preserve">= -.428 and </w:t>
      </w:r>
      <w:r w:rsidR="00B41A73" w:rsidRPr="00CD1B10">
        <w:rPr>
          <w:lang w:val="en-US"/>
        </w:rPr>
        <w:t xml:space="preserve">p </w:t>
      </w:r>
      <w:r w:rsidR="005B6987" w:rsidRPr="00CD1B10">
        <w:rPr>
          <w:lang w:val="en-US"/>
        </w:rPr>
        <w:t>&lt;.001</w:t>
      </w:r>
      <w:r w:rsidR="00CF7C66" w:rsidRPr="00CD1B10">
        <w:rPr>
          <w:lang w:val="en-US"/>
        </w:rPr>
        <w:t xml:space="preserve">) </w:t>
      </w:r>
      <w:r w:rsidR="005B6987" w:rsidRPr="00CD1B10">
        <w:rPr>
          <w:lang w:val="en-US"/>
        </w:rPr>
        <w:t xml:space="preserve">for participation and </w:t>
      </w:r>
      <w:r w:rsidR="00CF7C66" w:rsidRPr="00CD1B10">
        <w:rPr>
          <w:lang w:val="en-US"/>
        </w:rPr>
        <w:t>(</w:t>
      </w:r>
      <w:r w:rsidR="00CF7C66" w:rsidRPr="002F2142">
        <w:t>ρ</w:t>
      </w:r>
      <w:r w:rsidR="00CF7C66" w:rsidRPr="00CD1B10">
        <w:rPr>
          <w:lang w:val="en-US"/>
        </w:rPr>
        <w:t xml:space="preserve"> </w:t>
      </w:r>
      <w:r w:rsidR="005B6987" w:rsidRPr="00CD1B10">
        <w:rPr>
          <w:lang w:val="en-US"/>
        </w:rPr>
        <w:t xml:space="preserve">= -.135 and </w:t>
      </w:r>
      <w:r w:rsidR="00B41A73" w:rsidRPr="00CD1B10">
        <w:rPr>
          <w:lang w:val="en-US"/>
        </w:rPr>
        <w:t xml:space="preserve">p </w:t>
      </w:r>
      <w:r w:rsidR="005B6987" w:rsidRPr="00CD1B10">
        <w:rPr>
          <w:lang w:val="en-US"/>
        </w:rPr>
        <w:t>&lt;.001</w:t>
      </w:r>
      <w:r w:rsidR="00CF7C66" w:rsidRPr="00CD1B10">
        <w:rPr>
          <w:lang w:val="en-US"/>
        </w:rPr>
        <w:t xml:space="preserve">) </w:t>
      </w:r>
      <w:r w:rsidR="005B6987" w:rsidRPr="00CD1B10">
        <w:rPr>
          <w:lang w:val="en-US"/>
        </w:rPr>
        <w:t>for the correlation of issues related to the virtual setting.</w:t>
      </w:r>
    </w:p>
    <w:p w14:paraId="7F105C2B" w14:textId="1854C2D0" w:rsidR="00011919" w:rsidRPr="00CD1B10" w:rsidRDefault="008A7538" w:rsidP="002F2142">
      <w:pPr>
        <w:spacing w:before="100" w:beforeAutospacing="1" w:after="100" w:afterAutospacing="1" w:line="360" w:lineRule="auto"/>
        <w:rPr>
          <w:rFonts w:ascii="Times New Roman" w:eastAsia="Times New Roman" w:hAnsi="Times New Roman" w:cs="Times New Roman"/>
          <w:sz w:val="24"/>
          <w:szCs w:val="24"/>
          <w:lang w:eastAsia="es-EC"/>
        </w:rPr>
      </w:pPr>
      <w:r w:rsidRPr="00CD1B10">
        <w:rPr>
          <w:rFonts w:ascii="Times New Roman" w:eastAsia="Times New Roman" w:hAnsi="Times New Roman" w:cs="Times New Roman"/>
          <w:b/>
          <w:bCs/>
          <w:sz w:val="24"/>
          <w:szCs w:val="24"/>
          <w:lang w:eastAsia="es-EC"/>
        </w:rPr>
        <w:t xml:space="preserve">Table </w:t>
      </w:r>
      <w:r w:rsidRPr="00CD1B10">
        <w:rPr>
          <w:rFonts w:ascii="Times New Roman" w:eastAsia="Times New Roman" w:hAnsi="Times New Roman" w:cs="Times New Roman"/>
          <w:sz w:val="24"/>
          <w:szCs w:val="24"/>
          <w:lang w:eastAsia="es-EC"/>
        </w:rPr>
        <w:t xml:space="preserve">5 </w:t>
      </w:r>
    </w:p>
    <w:p w14:paraId="50053A01" w14:textId="4CAE4FAB" w:rsidR="0071748D" w:rsidRPr="00CD1B10" w:rsidRDefault="00DC5D5A" w:rsidP="002F2142">
      <w:pPr>
        <w:spacing w:before="100" w:beforeAutospacing="1" w:after="100" w:afterAutospacing="1" w:line="360" w:lineRule="auto"/>
        <w:rPr>
          <w:rFonts w:ascii="Times New Roman" w:eastAsia="Times New Roman" w:hAnsi="Times New Roman" w:cs="Times New Roman"/>
          <w:i/>
          <w:iCs/>
          <w:sz w:val="24"/>
          <w:szCs w:val="24"/>
          <w:lang w:eastAsia="es-EC"/>
        </w:rPr>
      </w:pPr>
      <w:r>
        <w:rPr>
          <w:rFonts w:ascii="Times New Roman" w:eastAsia="Times New Roman" w:hAnsi="Times New Roman" w:cs="Times New Roman"/>
          <w:i/>
          <w:iCs/>
          <w:sz w:val="24"/>
          <w:szCs w:val="24"/>
          <w:lang w:eastAsia="es-EC"/>
        </w:rPr>
        <w:t>Spearman's</w:t>
      </w:r>
      <w:r w:rsidR="008A7538" w:rsidRPr="00CD1B10">
        <w:rPr>
          <w:rFonts w:ascii="Times New Roman" w:eastAsia="Times New Roman" w:hAnsi="Times New Roman" w:cs="Times New Roman"/>
          <w:i/>
          <w:iCs/>
          <w:sz w:val="24"/>
          <w:szCs w:val="24"/>
          <w:lang w:eastAsia="es-EC"/>
        </w:rPr>
        <w:t xml:space="preserve"> </w:t>
      </w:r>
      <w:r w:rsidR="007D3B9C">
        <w:rPr>
          <w:rFonts w:ascii="Times New Roman" w:eastAsia="Times New Roman" w:hAnsi="Times New Roman" w:cs="Times New Roman"/>
          <w:i/>
          <w:iCs/>
          <w:sz w:val="24"/>
          <w:szCs w:val="24"/>
          <w:lang w:eastAsia="es-EC"/>
        </w:rPr>
        <w:t>correlation</w:t>
      </w:r>
      <w:r w:rsidR="00011919" w:rsidRPr="00CD1B10">
        <w:rPr>
          <w:rFonts w:ascii="Times New Roman" w:eastAsia="Times New Roman" w:hAnsi="Times New Roman" w:cs="Times New Roman"/>
          <w:i/>
          <w:iCs/>
          <w:sz w:val="24"/>
          <w:szCs w:val="24"/>
          <w:lang w:eastAsia="es-EC"/>
        </w:rPr>
        <w:t xml:space="preserve"> </w:t>
      </w:r>
      <w:r w:rsidR="008A7538" w:rsidRPr="00CD1B10">
        <w:rPr>
          <w:rFonts w:ascii="Times New Roman" w:eastAsia="Times New Roman" w:hAnsi="Times New Roman" w:cs="Times New Roman"/>
          <w:i/>
          <w:iCs/>
          <w:sz w:val="24"/>
          <w:szCs w:val="24"/>
          <w:lang w:eastAsia="es-EC"/>
        </w:rPr>
        <w:t>according to the dimensions of the variables.</w:t>
      </w:r>
    </w:p>
    <w:tbl>
      <w:tblPr>
        <w:tblW w:w="960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49"/>
        <w:gridCol w:w="1845"/>
        <w:gridCol w:w="1558"/>
        <w:gridCol w:w="1800"/>
        <w:gridCol w:w="1349"/>
        <w:gridCol w:w="1800"/>
      </w:tblGrid>
      <w:tr w:rsidR="0019655A" w:rsidRPr="002F2142" w14:paraId="18EB68A9" w14:textId="77777777" w:rsidTr="008A7538">
        <w:trPr>
          <w:cantSplit/>
          <w:trHeight w:val="190"/>
        </w:trPr>
        <w:tc>
          <w:tcPr>
            <w:tcW w:w="4652" w:type="dxa"/>
            <w:gridSpan w:val="3"/>
            <w:tcBorders>
              <w:top w:val="single" w:sz="4" w:space="0" w:color="auto"/>
              <w:bottom w:val="single" w:sz="4" w:space="0" w:color="auto"/>
            </w:tcBorders>
            <w:shd w:val="clear" w:color="auto" w:fill="auto"/>
            <w:vAlign w:val="bottom"/>
          </w:tcPr>
          <w:p w14:paraId="56978B74" w14:textId="77777777" w:rsidR="00B52815" w:rsidRPr="00CD1B10" w:rsidRDefault="00B52815" w:rsidP="002F2142">
            <w:pPr>
              <w:autoSpaceDE w:val="0"/>
              <w:autoSpaceDN w:val="0"/>
              <w:adjustRightInd w:val="0"/>
              <w:spacing w:after="0" w:line="360" w:lineRule="auto"/>
              <w:rPr>
                <w:rFonts w:ascii="Times New Roman" w:hAnsi="Times New Roman" w:cs="Times New Roman"/>
                <w:sz w:val="24"/>
                <w:szCs w:val="24"/>
              </w:rPr>
            </w:pPr>
          </w:p>
        </w:tc>
        <w:tc>
          <w:tcPr>
            <w:tcW w:w="1800" w:type="dxa"/>
            <w:tcBorders>
              <w:top w:val="single" w:sz="4" w:space="0" w:color="auto"/>
              <w:bottom w:val="single" w:sz="4" w:space="0" w:color="auto"/>
            </w:tcBorders>
            <w:shd w:val="clear" w:color="auto" w:fill="auto"/>
            <w:vAlign w:val="bottom"/>
          </w:tcPr>
          <w:p w14:paraId="0ECDB464" w14:textId="77777777" w:rsidR="00B52815" w:rsidRPr="002F2142" w:rsidRDefault="00B52815"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Communication</w:t>
            </w:r>
          </w:p>
        </w:tc>
        <w:tc>
          <w:tcPr>
            <w:tcW w:w="1349" w:type="dxa"/>
            <w:tcBorders>
              <w:top w:val="single" w:sz="4" w:space="0" w:color="auto"/>
              <w:bottom w:val="single" w:sz="4" w:space="0" w:color="auto"/>
            </w:tcBorders>
            <w:shd w:val="clear" w:color="auto" w:fill="auto"/>
            <w:vAlign w:val="bottom"/>
          </w:tcPr>
          <w:p w14:paraId="048E0C3D" w14:textId="4488F134" w:rsidR="00B52815" w:rsidRPr="002F2142" w:rsidRDefault="0015539D"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Participation</w:t>
            </w:r>
          </w:p>
        </w:tc>
        <w:tc>
          <w:tcPr>
            <w:tcW w:w="1800" w:type="dxa"/>
            <w:tcBorders>
              <w:top w:val="single" w:sz="4" w:space="0" w:color="auto"/>
              <w:bottom w:val="single" w:sz="4" w:space="0" w:color="auto"/>
            </w:tcBorders>
            <w:shd w:val="clear" w:color="auto" w:fill="auto"/>
            <w:vAlign w:val="bottom"/>
          </w:tcPr>
          <w:p w14:paraId="58784492" w14:textId="77777777" w:rsidR="00B52815" w:rsidRPr="002F2142" w:rsidRDefault="00B52815"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Virtual scenario</w:t>
            </w:r>
          </w:p>
        </w:tc>
      </w:tr>
      <w:tr w:rsidR="007670DA" w:rsidRPr="002F2142" w14:paraId="2FE5841E" w14:textId="77777777" w:rsidTr="008A7538">
        <w:trPr>
          <w:cantSplit/>
          <w:trHeight w:val="92"/>
        </w:trPr>
        <w:tc>
          <w:tcPr>
            <w:tcW w:w="1249" w:type="dxa"/>
            <w:vMerge w:val="restart"/>
            <w:tcBorders>
              <w:top w:val="single" w:sz="4" w:space="0" w:color="auto"/>
            </w:tcBorders>
            <w:shd w:val="clear" w:color="auto" w:fill="auto"/>
          </w:tcPr>
          <w:p w14:paraId="1A1AEA26" w14:textId="77777777" w:rsidR="00B52815" w:rsidRPr="002F2142" w:rsidRDefault="00B52815" w:rsidP="002F2142">
            <w:pPr>
              <w:autoSpaceDE w:val="0"/>
              <w:autoSpaceDN w:val="0"/>
              <w:adjustRightInd w:val="0"/>
              <w:spacing w:after="0" w:line="360" w:lineRule="auto"/>
              <w:ind w:left="60" w:right="60"/>
              <w:rPr>
                <w:rFonts w:ascii="Times New Roman" w:hAnsi="Times New Roman" w:cs="Times New Roman"/>
                <w:sz w:val="24"/>
                <w:szCs w:val="24"/>
              </w:rPr>
            </w:pPr>
            <w:r w:rsidRPr="002F2142">
              <w:rPr>
                <w:rFonts w:ascii="Times New Roman" w:hAnsi="Times New Roman" w:cs="Times New Roman"/>
                <w:sz w:val="24"/>
                <w:szCs w:val="24"/>
              </w:rPr>
              <w:t>Spearman's Rho</w:t>
            </w:r>
          </w:p>
        </w:tc>
        <w:tc>
          <w:tcPr>
            <w:tcW w:w="1845" w:type="dxa"/>
            <w:vMerge w:val="restart"/>
            <w:tcBorders>
              <w:top w:val="single" w:sz="4" w:space="0" w:color="auto"/>
            </w:tcBorders>
            <w:shd w:val="clear" w:color="auto" w:fill="auto"/>
          </w:tcPr>
          <w:p w14:paraId="1595639D" w14:textId="77777777" w:rsidR="00B52815" w:rsidRPr="002F2142" w:rsidRDefault="00B52815" w:rsidP="002F2142">
            <w:pPr>
              <w:autoSpaceDE w:val="0"/>
              <w:autoSpaceDN w:val="0"/>
              <w:adjustRightInd w:val="0"/>
              <w:spacing w:after="0" w:line="360" w:lineRule="auto"/>
              <w:ind w:left="60" w:right="60"/>
              <w:rPr>
                <w:rFonts w:ascii="Times New Roman" w:hAnsi="Times New Roman" w:cs="Times New Roman"/>
                <w:sz w:val="24"/>
                <w:szCs w:val="24"/>
              </w:rPr>
            </w:pPr>
            <w:r w:rsidRPr="002F2142">
              <w:rPr>
                <w:rFonts w:ascii="Times New Roman" w:hAnsi="Times New Roman" w:cs="Times New Roman"/>
                <w:sz w:val="24"/>
                <w:szCs w:val="24"/>
              </w:rPr>
              <w:t>Coping with stress</w:t>
            </w:r>
          </w:p>
        </w:tc>
        <w:tc>
          <w:tcPr>
            <w:tcW w:w="1557" w:type="dxa"/>
            <w:tcBorders>
              <w:top w:val="single" w:sz="4" w:space="0" w:color="auto"/>
            </w:tcBorders>
            <w:shd w:val="clear" w:color="auto" w:fill="auto"/>
          </w:tcPr>
          <w:p w14:paraId="1F1B2D2B" w14:textId="77777777" w:rsidR="00B52815" w:rsidRPr="002F2142" w:rsidRDefault="00B52815" w:rsidP="002F2142">
            <w:pPr>
              <w:autoSpaceDE w:val="0"/>
              <w:autoSpaceDN w:val="0"/>
              <w:adjustRightInd w:val="0"/>
              <w:spacing w:after="0" w:line="360" w:lineRule="auto"/>
              <w:ind w:left="60" w:right="60"/>
              <w:rPr>
                <w:rFonts w:ascii="Times New Roman" w:hAnsi="Times New Roman" w:cs="Times New Roman"/>
                <w:sz w:val="24"/>
                <w:szCs w:val="24"/>
              </w:rPr>
            </w:pPr>
            <w:r w:rsidRPr="002F2142">
              <w:rPr>
                <w:rFonts w:ascii="Times New Roman" w:hAnsi="Times New Roman" w:cs="Times New Roman"/>
                <w:sz w:val="24"/>
                <w:szCs w:val="24"/>
              </w:rPr>
              <w:t>Correlation coefficient</w:t>
            </w:r>
          </w:p>
        </w:tc>
        <w:tc>
          <w:tcPr>
            <w:tcW w:w="1800" w:type="dxa"/>
            <w:tcBorders>
              <w:top w:val="single" w:sz="4" w:space="0" w:color="auto"/>
            </w:tcBorders>
            <w:shd w:val="clear" w:color="auto" w:fill="auto"/>
          </w:tcPr>
          <w:p w14:paraId="70A087C3" w14:textId="1C0FC219" w:rsidR="00B52815" w:rsidRPr="002F2142" w:rsidRDefault="007D3B9C" w:rsidP="002F214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w:t>
            </w:r>
            <w:r w:rsidR="00B52815" w:rsidRPr="002F2142">
              <w:rPr>
                <w:rFonts w:ascii="Times New Roman" w:hAnsi="Times New Roman" w:cs="Times New Roman"/>
                <w:sz w:val="24"/>
                <w:szCs w:val="24"/>
              </w:rPr>
              <w:t>360</w:t>
            </w:r>
            <w:r w:rsidR="00B52815" w:rsidRPr="002F2142">
              <w:rPr>
                <w:rFonts w:ascii="Times New Roman" w:hAnsi="Times New Roman" w:cs="Times New Roman"/>
                <w:sz w:val="24"/>
                <w:szCs w:val="24"/>
                <w:vertAlign w:val="superscript"/>
              </w:rPr>
              <w:t>**</w:t>
            </w:r>
          </w:p>
        </w:tc>
        <w:tc>
          <w:tcPr>
            <w:tcW w:w="1349" w:type="dxa"/>
            <w:tcBorders>
              <w:top w:val="single" w:sz="4" w:space="0" w:color="auto"/>
            </w:tcBorders>
            <w:shd w:val="clear" w:color="auto" w:fill="auto"/>
          </w:tcPr>
          <w:p w14:paraId="59852612" w14:textId="48E903E6" w:rsidR="00B52815" w:rsidRPr="002F2142" w:rsidRDefault="007D3B9C" w:rsidP="002F214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w:t>
            </w:r>
            <w:r w:rsidR="00B52815" w:rsidRPr="002F2142">
              <w:rPr>
                <w:rFonts w:ascii="Times New Roman" w:hAnsi="Times New Roman" w:cs="Times New Roman"/>
                <w:sz w:val="24"/>
                <w:szCs w:val="24"/>
              </w:rPr>
              <w:t>332</w:t>
            </w:r>
            <w:r w:rsidR="00B52815" w:rsidRPr="002F2142">
              <w:rPr>
                <w:rFonts w:ascii="Times New Roman" w:hAnsi="Times New Roman" w:cs="Times New Roman"/>
                <w:sz w:val="24"/>
                <w:szCs w:val="24"/>
                <w:vertAlign w:val="superscript"/>
              </w:rPr>
              <w:t>**</w:t>
            </w:r>
          </w:p>
        </w:tc>
        <w:tc>
          <w:tcPr>
            <w:tcW w:w="1800" w:type="dxa"/>
            <w:tcBorders>
              <w:top w:val="single" w:sz="4" w:space="0" w:color="auto"/>
            </w:tcBorders>
            <w:shd w:val="clear" w:color="auto" w:fill="auto"/>
          </w:tcPr>
          <w:p w14:paraId="64125F79" w14:textId="03B3856C" w:rsidR="00B52815" w:rsidRPr="002F2142" w:rsidRDefault="007D3B9C" w:rsidP="002F214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w:t>
            </w:r>
            <w:r w:rsidR="00B52815" w:rsidRPr="002F2142">
              <w:rPr>
                <w:rFonts w:ascii="Times New Roman" w:hAnsi="Times New Roman" w:cs="Times New Roman"/>
                <w:sz w:val="24"/>
                <w:szCs w:val="24"/>
              </w:rPr>
              <w:t>409</w:t>
            </w:r>
            <w:r w:rsidR="00B52815" w:rsidRPr="002F2142">
              <w:rPr>
                <w:rFonts w:ascii="Times New Roman" w:hAnsi="Times New Roman" w:cs="Times New Roman"/>
                <w:sz w:val="24"/>
                <w:szCs w:val="24"/>
                <w:vertAlign w:val="superscript"/>
              </w:rPr>
              <w:t>**</w:t>
            </w:r>
          </w:p>
        </w:tc>
      </w:tr>
      <w:tr w:rsidR="00160677" w:rsidRPr="002F2142" w14:paraId="7D3D7DAD" w14:textId="77777777" w:rsidTr="008A7538">
        <w:trPr>
          <w:cantSplit/>
          <w:trHeight w:val="100"/>
        </w:trPr>
        <w:tc>
          <w:tcPr>
            <w:tcW w:w="1249" w:type="dxa"/>
            <w:vMerge/>
            <w:shd w:val="clear" w:color="auto" w:fill="auto"/>
          </w:tcPr>
          <w:p w14:paraId="130A409A" w14:textId="77777777" w:rsidR="00B52815" w:rsidRPr="002F2142" w:rsidRDefault="00B52815" w:rsidP="002F2142">
            <w:pPr>
              <w:autoSpaceDE w:val="0"/>
              <w:autoSpaceDN w:val="0"/>
              <w:adjustRightInd w:val="0"/>
              <w:spacing w:after="0" w:line="360" w:lineRule="auto"/>
              <w:rPr>
                <w:rFonts w:ascii="Times New Roman" w:hAnsi="Times New Roman" w:cs="Times New Roman"/>
                <w:sz w:val="24"/>
                <w:szCs w:val="24"/>
              </w:rPr>
            </w:pPr>
          </w:p>
        </w:tc>
        <w:tc>
          <w:tcPr>
            <w:tcW w:w="1845" w:type="dxa"/>
            <w:vMerge/>
            <w:shd w:val="clear" w:color="auto" w:fill="auto"/>
          </w:tcPr>
          <w:p w14:paraId="0B5D1549" w14:textId="77777777" w:rsidR="00B52815" w:rsidRPr="002F2142" w:rsidRDefault="00B52815" w:rsidP="002F2142">
            <w:pPr>
              <w:autoSpaceDE w:val="0"/>
              <w:autoSpaceDN w:val="0"/>
              <w:adjustRightInd w:val="0"/>
              <w:spacing w:after="0" w:line="360" w:lineRule="auto"/>
              <w:rPr>
                <w:rFonts w:ascii="Times New Roman" w:hAnsi="Times New Roman" w:cs="Times New Roman"/>
                <w:sz w:val="24"/>
                <w:szCs w:val="24"/>
              </w:rPr>
            </w:pPr>
          </w:p>
        </w:tc>
        <w:tc>
          <w:tcPr>
            <w:tcW w:w="1557" w:type="dxa"/>
            <w:shd w:val="clear" w:color="auto" w:fill="auto"/>
          </w:tcPr>
          <w:p w14:paraId="0D0653FC" w14:textId="77777777" w:rsidR="00B52815" w:rsidRPr="002F2142" w:rsidRDefault="00B52815" w:rsidP="002F2142">
            <w:pPr>
              <w:autoSpaceDE w:val="0"/>
              <w:autoSpaceDN w:val="0"/>
              <w:adjustRightInd w:val="0"/>
              <w:spacing w:after="0" w:line="360" w:lineRule="auto"/>
              <w:ind w:left="60" w:right="60"/>
              <w:rPr>
                <w:rFonts w:ascii="Times New Roman" w:hAnsi="Times New Roman" w:cs="Times New Roman"/>
                <w:sz w:val="24"/>
                <w:szCs w:val="24"/>
              </w:rPr>
            </w:pPr>
            <w:r w:rsidRPr="002F2142">
              <w:rPr>
                <w:rFonts w:ascii="Times New Roman" w:hAnsi="Times New Roman" w:cs="Times New Roman"/>
                <w:sz w:val="24"/>
                <w:szCs w:val="24"/>
              </w:rPr>
              <w:t>Sig. (bilateral)</w:t>
            </w:r>
          </w:p>
        </w:tc>
        <w:tc>
          <w:tcPr>
            <w:tcW w:w="1800" w:type="dxa"/>
            <w:shd w:val="clear" w:color="auto" w:fill="auto"/>
          </w:tcPr>
          <w:p w14:paraId="46D0A271" w14:textId="67823F61" w:rsidR="00B52815" w:rsidRPr="002F2142" w:rsidRDefault="007D3B9C" w:rsidP="002F214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w:t>
            </w:r>
            <w:r w:rsidR="00B52815" w:rsidRPr="002F2142">
              <w:rPr>
                <w:rFonts w:ascii="Times New Roman" w:hAnsi="Times New Roman" w:cs="Times New Roman"/>
                <w:sz w:val="24"/>
                <w:szCs w:val="24"/>
              </w:rPr>
              <w:t>000</w:t>
            </w:r>
          </w:p>
        </w:tc>
        <w:tc>
          <w:tcPr>
            <w:tcW w:w="1349" w:type="dxa"/>
            <w:shd w:val="clear" w:color="auto" w:fill="auto"/>
          </w:tcPr>
          <w:p w14:paraId="4CF4B639" w14:textId="73D17B0E" w:rsidR="00B52815" w:rsidRPr="002F2142" w:rsidRDefault="007D3B9C" w:rsidP="002F214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w:t>
            </w:r>
            <w:r w:rsidR="00B52815" w:rsidRPr="002F2142">
              <w:rPr>
                <w:rFonts w:ascii="Times New Roman" w:hAnsi="Times New Roman" w:cs="Times New Roman"/>
                <w:sz w:val="24"/>
                <w:szCs w:val="24"/>
              </w:rPr>
              <w:t>000</w:t>
            </w:r>
          </w:p>
        </w:tc>
        <w:tc>
          <w:tcPr>
            <w:tcW w:w="1800" w:type="dxa"/>
            <w:shd w:val="clear" w:color="auto" w:fill="auto"/>
          </w:tcPr>
          <w:p w14:paraId="62FF7522" w14:textId="0839A027" w:rsidR="00B52815" w:rsidRPr="002F2142" w:rsidRDefault="007D3B9C" w:rsidP="002F214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w:t>
            </w:r>
            <w:r w:rsidR="00B52815" w:rsidRPr="002F2142">
              <w:rPr>
                <w:rFonts w:ascii="Times New Roman" w:hAnsi="Times New Roman" w:cs="Times New Roman"/>
                <w:sz w:val="24"/>
                <w:szCs w:val="24"/>
              </w:rPr>
              <w:t>000</w:t>
            </w:r>
          </w:p>
        </w:tc>
      </w:tr>
      <w:tr w:rsidR="007670DA" w:rsidRPr="002F2142" w14:paraId="2565D67A" w14:textId="77777777" w:rsidTr="008A7538">
        <w:trPr>
          <w:cantSplit/>
          <w:trHeight w:val="187"/>
        </w:trPr>
        <w:tc>
          <w:tcPr>
            <w:tcW w:w="1249" w:type="dxa"/>
            <w:vMerge/>
            <w:shd w:val="clear" w:color="auto" w:fill="auto"/>
          </w:tcPr>
          <w:p w14:paraId="3B0B5E5E" w14:textId="77777777" w:rsidR="00B52815" w:rsidRPr="002F2142" w:rsidRDefault="00B52815" w:rsidP="002F2142">
            <w:pPr>
              <w:autoSpaceDE w:val="0"/>
              <w:autoSpaceDN w:val="0"/>
              <w:adjustRightInd w:val="0"/>
              <w:spacing w:after="0" w:line="360" w:lineRule="auto"/>
              <w:rPr>
                <w:rFonts w:ascii="Times New Roman" w:hAnsi="Times New Roman" w:cs="Times New Roman"/>
                <w:sz w:val="24"/>
                <w:szCs w:val="24"/>
              </w:rPr>
            </w:pPr>
          </w:p>
        </w:tc>
        <w:tc>
          <w:tcPr>
            <w:tcW w:w="1845" w:type="dxa"/>
            <w:vMerge/>
            <w:tcBorders>
              <w:bottom w:val="single" w:sz="4" w:space="0" w:color="auto"/>
            </w:tcBorders>
            <w:shd w:val="clear" w:color="auto" w:fill="auto"/>
          </w:tcPr>
          <w:p w14:paraId="3E301431" w14:textId="77777777" w:rsidR="00B52815" w:rsidRPr="002F2142" w:rsidRDefault="00B52815" w:rsidP="002F2142">
            <w:pPr>
              <w:autoSpaceDE w:val="0"/>
              <w:autoSpaceDN w:val="0"/>
              <w:adjustRightInd w:val="0"/>
              <w:spacing w:after="0" w:line="360" w:lineRule="auto"/>
              <w:rPr>
                <w:rFonts w:ascii="Times New Roman" w:hAnsi="Times New Roman" w:cs="Times New Roman"/>
                <w:sz w:val="24"/>
                <w:szCs w:val="24"/>
              </w:rPr>
            </w:pPr>
          </w:p>
        </w:tc>
        <w:tc>
          <w:tcPr>
            <w:tcW w:w="1557" w:type="dxa"/>
            <w:tcBorders>
              <w:bottom w:val="single" w:sz="4" w:space="0" w:color="auto"/>
            </w:tcBorders>
            <w:shd w:val="clear" w:color="auto" w:fill="auto"/>
          </w:tcPr>
          <w:p w14:paraId="55835FAF" w14:textId="77777777" w:rsidR="00B52815" w:rsidRPr="002F2142" w:rsidRDefault="00B52815" w:rsidP="002F2142">
            <w:pPr>
              <w:autoSpaceDE w:val="0"/>
              <w:autoSpaceDN w:val="0"/>
              <w:adjustRightInd w:val="0"/>
              <w:spacing w:after="0" w:line="360" w:lineRule="auto"/>
              <w:ind w:left="60" w:right="60"/>
              <w:rPr>
                <w:rFonts w:ascii="Times New Roman" w:hAnsi="Times New Roman" w:cs="Times New Roman"/>
                <w:sz w:val="24"/>
                <w:szCs w:val="24"/>
              </w:rPr>
            </w:pPr>
            <w:r w:rsidRPr="002F2142">
              <w:rPr>
                <w:rFonts w:ascii="Times New Roman" w:hAnsi="Times New Roman" w:cs="Times New Roman"/>
                <w:sz w:val="24"/>
                <w:szCs w:val="24"/>
              </w:rPr>
              <w:t>N</w:t>
            </w:r>
          </w:p>
        </w:tc>
        <w:tc>
          <w:tcPr>
            <w:tcW w:w="1800" w:type="dxa"/>
            <w:tcBorders>
              <w:bottom w:val="single" w:sz="4" w:space="0" w:color="auto"/>
            </w:tcBorders>
            <w:shd w:val="clear" w:color="auto" w:fill="auto"/>
          </w:tcPr>
          <w:p w14:paraId="2BFAAC25" w14:textId="77777777" w:rsidR="00B52815" w:rsidRPr="002F2142" w:rsidRDefault="00B52815"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105</w:t>
            </w:r>
          </w:p>
        </w:tc>
        <w:tc>
          <w:tcPr>
            <w:tcW w:w="1349" w:type="dxa"/>
            <w:tcBorders>
              <w:bottom w:val="single" w:sz="4" w:space="0" w:color="auto"/>
            </w:tcBorders>
            <w:shd w:val="clear" w:color="auto" w:fill="auto"/>
          </w:tcPr>
          <w:p w14:paraId="4AAACCAD" w14:textId="77777777" w:rsidR="00B52815" w:rsidRPr="002F2142" w:rsidRDefault="00B52815"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105</w:t>
            </w:r>
          </w:p>
        </w:tc>
        <w:tc>
          <w:tcPr>
            <w:tcW w:w="1800" w:type="dxa"/>
            <w:tcBorders>
              <w:bottom w:val="single" w:sz="4" w:space="0" w:color="auto"/>
            </w:tcBorders>
            <w:shd w:val="clear" w:color="auto" w:fill="auto"/>
          </w:tcPr>
          <w:p w14:paraId="157ADC65" w14:textId="77777777" w:rsidR="00B52815" w:rsidRPr="002F2142" w:rsidRDefault="00B52815"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105</w:t>
            </w:r>
          </w:p>
        </w:tc>
      </w:tr>
      <w:tr w:rsidR="007670DA" w:rsidRPr="002F2142" w14:paraId="404C798F" w14:textId="77777777" w:rsidTr="008A7538">
        <w:trPr>
          <w:cantSplit/>
          <w:trHeight w:val="100"/>
        </w:trPr>
        <w:tc>
          <w:tcPr>
            <w:tcW w:w="1249" w:type="dxa"/>
            <w:vMerge/>
            <w:shd w:val="clear" w:color="auto" w:fill="auto"/>
          </w:tcPr>
          <w:p w14:paraId="4EE1BA3F" w14:textId="77777777" w:rsidR="00B52815" w:rsidRPr="002F2142" w:rsidRDefault="00B52815" w:rsidP="002F2142">
            <w:pPr>
              <w:autoSpaceDE w:val="0"/>
              <w:autoSpaceDN w:val="0"/>
              <w:adjustRightInd w:val="0"/>
              <w:spacing w:after="0" w:line="360" w:lineRule="auto"/>
              <w:rPr>
                <w:rFonts w:ascii="Times New Roman" w:hAnsi="Times New Roman" w:cs="Times New Roman"/>
                <w:sz w:val="24"/>
                <w:szCs w:val="24"/>
              </w:rPr>
            </w:pPr>
          </w:p>
        </w:tc>
        <w:tc>
          <w:tcPr>
            <w:tcW w:w="1845" w:type="dxa"/>
            <w:vMerge w:val="restart"/>
            <w:tcBorders>
              <w:top w:val="single" w:sz="4" w:space="0" w:color="auto"/>
              <w:bottom w:val="nil"/>
            </w:tcBorders>
            <w:shd w:val="clear" w:color="auto" w:fill="auto"/>
          </w:tcPr>
          <w:p w14:paraId="44B2D801" w14:textId="77777777" w:rsidR="00B52815" w:rsidRPr="002F2142" w:rsidRDefault="00B52815" w:rsidP="002F2142">
            <w:pPr>
              <w:autoSpaceDE w:val="0"/>
              <w:autoSpaceDN w:val="0"/>
              <w:adjustRightInd w:val="0"/>
              <w:spacing w:after="0" w:line="360" w:lineRule="auto"/>
              <w:ind w:left="60" w:right="60"/>
              <w:rPr>
                <w:rFonts w:ascii="Times New Roman" w:hAnsi="Times New Roman" w:cs="Times New Roman"/>
                <w:sz w:val="24"/>
                <w:szCs w:val="24"/>
              </w:rPr>
            </w:pPr>
            <w:r w:rsidRPr="002F2142">
              <w:rPr>
                <w:rFonts w:ascii="Times New Roman" w:hAnsi="Times New Roman" w:cs="Times New Roman"/>
                <w:sz w:val="24"/>
                <w:szCs w:val="24"/>
              </w:rPr>
              <w:t>Perceptions of stress</w:t>
            </w:r>
          </w:p>
        </w:tc>
        <w:tc>
          <w:tcPr>
            <w:tcW w:w="1557" w:type="dxa"/>
            <w:tcBorders>
              <w:top w:val="single" w:sz="4" w:space="0" w:color="auto"/>
              <w:bottom w:val="nil"/>
            </w:tcBorders>
            <w:shd w:val="clear" w:color="auto" w:fill="auto"/>
          </w:tcPr>
          <w:p w14:paraId="1C158564" w14:textId="77777777" w:rsidR="00B52815" w:rsidRPr="002F2142" w:rsidRDefault="00B52815" w:rsidP="002F2142">
            <w:pPr>
              <w:autoSpaceDE w:val="0"/>
              <w:autoSpaceDN w:val="0"/>
              <w:adjustRightInd w:val="0"/>
              <w:spacing w:after="0" w:line="360" w:lineRule="auto"/>
              <w:ind w:left="60" w:right="60"/>
              <w:rPr>
                <w:rFonts w:ascii="Times New Roman" w:hAnsi="Times New Roman" w:cs="Times New Roman"/>
                <w:sz w:val="24"/>
                <w:szCs w:val="24"/>
              </w:rPr>
            </w:pPr>
            <w:r w:rsidRPr="002F2142">
              <w:rPr>
                <w:rFonts w:ascii="Times New Roman" w:hAnsi="Times New Roman" w:cs="Times New Roman"/>
                <w:sz w:val="24"/>
                <w:szCs w:val="24"/>
              </w:rPr>
              <w:t>Correlation coefficient</w:t>
            </w:r>
          </w:p>
        </w:tc>
        <w:tc>
          <w:tcPr>
            <w:tcW w:w="1800" w:type="dxa"/>
            <w:tcBorders>
              <w:top w:val="single" w:sz="4" w:space="0" w:color="auto"/>
              <w:bottom w:val="nil"/>
            </w:tcBorders>
            <w:shd w:val="clear" w:color="auto" w:fill="auto"/>
          </w:tcPr>
          <w:p w14:paraId="00AB1DCE" w14:textId="5F3D2302" w:rsidR="00B52815" w:rsidRPr="002F2142" w:rsidRDefault="00253FC2"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w:t>
            </w:r>
            <w:r w:rsidR="007D3B9C">
              <w:rPr>
                <w:rFonts w:ascii="Times New Roman" w:hAnsi="Times New Roman" w:cs="Times New Roman"/>
                <w:sz w:val="24"/>
                <w:szCs w:val="24"/>
              </w:rPr>
              <w:t>.</w:t>
            </w:r>
            <w:r w:rsidR="00B52815" w:rsidRPr="002F2142">
              <w:rPr>
                <w:rFonts w:ascii="Times New Roman" w:hAnsi="Times New Roman" w:cs="Times New Roman"/>
                <w:sz w:val="24"/>
                <w:szCs w:val="24"/>
              </w:rPr>
              <w:t>290</w:t>
            </w:r>
            <w:r w:rsidR="00B52815" w:rsidRPr="002F2142">
              <w:rPr>
                <w:rFonts w:ascii="Times New Roman" w:hAnsi="Times New Roman" w:cs="Times New Roman"/>
                <w:sz w:val="24"/>
                <w:szCs w:val="24"/>
                <w:vertAlign w:val="superscript"/>
              </w:rPr>
              <w:t>**</w:t>
            </w:r>
          </w:p>
        </w:tc>
        <w:tc>
          <w:tcPr>
            <w:tcW w:w="1349" w:type="dxa"/>
            <w:tcBorders>
              <w:top w:val="single" w:sz="4" w:space="0" w:color="auto"/>
              <w:bottom w:val="nil"/>
            </w:tcBorders>
            <w:shd w:val="clear" w:color="auto" w:fill="auto"/>
          </w:tcPr>
          <w:p w14:paraId="3FA31E76" w14:textId="77777777" w:rsidR="00B52815" w:rsidRPr="002F2142" w:rsidRDefault="00B52815"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-428</w:t>
            </w:r>
            <w:r w:rsidRPr="002F2142">
              <w:rPr>
                <w:rFonts w:ascii="Times New Roman" w:hAnsi="Times New Roman" w:cs="Times New Roman"/>
                <w:sz w:val="24"/>
                <w:szCs w:val="24"/>
                <w:vertAlign w:val="superscript"/>
              </w:rPr>
              <w:t>**</w:t>
            </w:r>
          </w:p>
        </w:tc>
        <w:tc>
          <w:tcPr>
            <w:tcW w:w="1800" w:type="dxa"/>
            <w:tcBorders>
              <w:top w:val="single" w:sz="4" w:space="0" w:color="auto"/>
              <w:bottom w:val="nil"/>
            </w:tcBorders>
            <w:shd w:val="clear" w:color="auto" w:fill="auto"/>
          </w:tcPr>
          <w:p w14:paraId="6FD4584D" w14:textId="3565EE82" w:rsidR="00B52815" w:rsidRPr="002F2142" w:rsidRDefault="00B52815"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w:t>
            </w:r>
            <w:r w:rsidR="007D3B9C">
              <w:rPr>
                <w:rFonts w:ascii="Times New Roman" w:hAnsi="Times New Roman" w:cs="Times New Roman"/>
                <w:sz w:val="24"/>
                <w:szCs w:val="24"/>
              </w:rPr>
              <w:t>.</w:t>
            </w:r>
            <w:r w:rsidRPr="002F2142">
              <w:rPr>
                <w:rFonts w:ascii="Times New Roman" w:hAnsi="Times New Roman" w:cs="Times New Roman"/>
                <w:sz w:val="24"/>
                <w:szCs w:val="24"/>
              </w:rPr>
              <w:t>135</w:t>
            </w:r>
            <w:r w:rsidRPr="002F2142">
              <w:rPr>
                <w:rFonts w:ascii="Times New Roman" w:hAnsi="Times New Roman" w:cs="Times New Roman"/>
                <w:sz w:val="24"/>
                <w:szCs w:val="24"/>
                <w:vertAlign w:val="superscript"/>
              </w:rPr>
              <w:t>**</w:t>
            </w:r>
          </w:p>
        </w:tc>
      </w:tr>
      <w:tr w:rsidR="007670DA" w:rsidRPr="002F2142" w14:paraId="4FD81B7B" w14:textId="77777777" w:rsidTr="008A7538">
        <w:trPr>
          <w:cantSplit/>
          <w:trHeight w:val="100"/>
        </w:trPr>
        <w:tc>
          <w:tcPr>
            <w:tcW w:w="1249" w:type="dxa"/>
            <w:vMerge/>
            <w:shd w:val="clear" w:color="auto" w:fill="auto"/>
          </w:tcPr>
          <w:p w14:paraId="50E038E4" w14:textId="77777777" w:rsidR="00B52815" w:rsidRPr="002F2142" w:rsidRDefault="00B52815" w:rsidP="002F2142">
            <w:pPr>
              <w:autoSpaceDE w:val="0"/>
              <w:autoSpaceDN w:val="0"/>
              <w:adjustRightInd w:val="0"/>
              <w:spacing w:after="0" w:line="360" w:lineRule="auto"/>
              <w:rPr>
                <w:rFonts w:ascii="Times New Roman" w:hAnsi="Times New Roman" w:cs="Times New Roman"/>
                <w:sz w:val="24"/>
                <w:szCs w:val="24"/>
              </w:rPr>
            </w:pPr>
          </w:p>
        </w:tc>
        <w:tc>
          <w:tcPr>
            <w:tcW w:w="1845" w:type="dxa"/>
            <w:vMerge/>
            <w:tcBorders>
              <w:top w:val="nil"/>
              <w:bottom w:val="nil"/>
            </w:tcBorders>
            <w:shd w:val="clear" w:color="auto" w:fill="auto"/>
          </w:tcPr>
          <w:p w14:paraId="44F369C8" w14:textId="77777777" w:rsidR="00B52815" w:rsidRPr="002F2142" w:rsidRDefault="00B52815" w:rsidP="002F2142">
            <w:pPr>
              <w:autoSpaceDE w:val="0"/>
              <w:autoSpaceDN w:val="0"/>
              <w:adjustRightInd w:val="0"/>
              <w:spacing w:after="0" w:line="360" w:lineRule="auto"/>
              <w:rPr>
                <w:rFonts w:ascii="Times New Roman" w:hAnsi="Times New Roman" w:cs="Times New Roman"/>
                <w:sz w:val="24"/>
                <w:szCs w:val="24"/>
              </w:rPr>
            </w:pPr>
          </w:p>
        </w:tc>
        <w:tc>
          <w:tcPr>
            <w:tcW w:w="1557" w:type="dxa"/>
            <w:tcBorders>
              <w:top w:val="nil"/>
              <w:bottom w:val="nil"/>
            </w:tcBorders>
            <w:shd w:val="clear" w:color="auto" w:fill="auto"/>
          </w:tcPr>
          <w:p w14:paraId="492DE729" w14:textId="77777777" w:rsidR="00B52815" w:rsidRPr="002F2142" w:rsidRDefault="00B52815" w:rsidP="002F2142">
            <w:pPr>
              <w:autoSpaceDE w:val="0"/>
              <w:autoSpaceDN w:val="0"/>
              <w:adjustRightInd w:val="0"/>
              <w:spacing w:after="0" w:line="360" w:lineRule="auto"/>
              <w:ind w:left="60" w:right="60"/>
              <w:rPr>
                <w:rFonts w:ascii="Times New Roman" w:hAnsi="Times New Roman" w:cs="Times New Roman"/>
                <w:sz w:val="24"/>
                <w:szCs w:val="24"/>
              </w:rPr>
            </w:pPr>
            <w:r w:rsidRPr="002F2142">
              <w:rPr>
                <w:rFonts w:ascii="Times New Roman" w:hAnsi="Times New Roman" w:cs="Times New Roman"/>
                <w:sz w:val="24"/>
                <w:szCs w:val="24"/>
              </w:rPr>
              <w:t>Sig. (bilateral)</w:t>
            </w:r>
          </w:p>
        </w:tc>
        <w:tc>
          <w:tcPr>
            <w:tcW w:w="1800" w:type="dxa"/>
            <w:tcBorders>
              <w:top w:val="nil"/>
              <w:bottom w:val="nil"/>
            </w:tcBorders>
            <w:shd w:val="clear" w:color="auto" w:fill="auto"/>
          </w:tcPr>
          <w:p w14:paraId="0109F101" w14:textId="7A783D44" w:rsidR="00B52815" w:rsidRPr="002F2142" w:rsidRDefault="007D3B9C" w:rsidP="002F214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w:t>
            </w:r>
            <w:r w:rsidR="00B52815" w:rsidRPr="002F2142">
              <w:rPr>
                <w:rFonts w:ascii="Times New Roman" w:hAnsi="Times New Roman" w:cs="Times New Roman"/>
                <w:sz w:val="24"/>
                <w:szCs w:val="24"/>
              </w:rPr>
              <w:t>000</w:t>
            </w:r>
          </w:p>
        </w:tc>
        <w:tc>
          <w:tcPr>
            <w:tcW w:w="1349" w:type="dxa"/>
            <w:tcBorders>
              <w:top w:val="nil"/>
              <w:bottom w:val="nil"/>
            </w:tcBorders>
            <w:shd w:val="clear" w:color="auto" w:fill="auto"/>
          </w:tcPr>
          <w:p w14:paraId="756F766C" w14:textId="5C92A373" w:rsidR="00B52815" w:rsidRPr="002F2142" w:rsidRDefault="007D3B9C" w:rsidP="002F214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w:t>
            </w:r>
            <w:r w:rsidR="00B52815" w:rsidRPr="002F2142">
              <w:rPr>
                <w:rFonts w:ascii="Times New Roman" w:hAnsi="Times New Roman" w:cs="Times New Roman"/>
                <w:sz w:val="24"/>
                <w:szCs w:val="24"/>
              </w:rPr>
              <w:t>000</w:t>
            </w:r>
          </w:p>
        </w:tc>
        <w:tc>
          <w:tcPr>
            <w:tcW w:w="1800" w:type="dxa"/>
            <w:tcBorders>
              <w:top w:val="nil"/>
              <w:bottom w:val="nil"/>
            </w:tcBorders>
            <w:shd w:val="clear" w:color="auto" w:fill="auto"/>
          </w:tcPr>
          <w:p w14:paraId="501EFCE1" w14:textId="7F168048" w:rsidR="00B52815" w:rsidRPr="002F2142" w:rsidRDefault="007D3B9C" w:rsidP="002F214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w:t>
            </w:r>
            <w:r w:rsidR="00B52815" w:rsidRPr="002F2142">
              <w:rPr>
                <w:rFonts w:ascii="Times New Roman" w:hAnsi="Times New Roman" w:cs="Times New Roman"/>
                <w:sz w:val="24"/>
                <w:szCs w:val="24"/>
              </w:rPr>
              <w:t>000</w:t>
            </w:r>
          </w:p>
        </w:tc>
      </w:tr>
      <w:tr w:rsidR="007670DA" w:rsidRPr="002F2142" w14:paraId="60145CB3" w14:textId="77777777" w:rsidTr="008A7538">
        <w:trPr>
          <w:cantSplit/>
          <w:trHeight w:val="183"/>
        </w:trPr>
        <w:tc>
          <w:tcPr>
            <w:tcW w:w="1249" w:type="dxa"/>
            <w:vMerge/>
            <w:shd w:val="clear" w:color="auto" w:fill="auto"/>
          </w:tcPr>
          <w:p w14:paraId="30A30C0F" w14:textId="77777777" w:rsidR="00B52815" w:rsidRPr="002F2142" w:rsidRDefault="00B52815" w:rsidP="002F2142">
            <w:pPr>
              <w:autoSpaceDE w:val="0"/>
              <w:autoSpaceDN w:val="0"/>
              <w:adjustRightInd w:val="0"/>
              <w:spacing w:after="0" w:line="360" w:lineRule="auto"/>
              <w:rPr>
                <w:rFonts w:ascii="Times New Roman" w:hAnsi="Times New Roman" w:cs="Times New Roman"/>
                <w:sz w:val="24"/>
                <w:szCs w:val="24"/>
              </w:rPr>
            </w:pPr>
          </w:p>
        </w:tc>
        <w:tc>
          <w:tcPr>
            <w:tcW w:w="1845" w:type="dxa"/>
            <w:vMerge/>
            <w:tcBorders>
              <w:top w:val="nil"/>
              <w:bottom w:val="single" w:sz="4" w:space="0" w:color="auto"/>
            </w:tcBorders>
            <w:shd w:val="clear" w:color="auto" w:fill="auto"/>
          </w:tcPr>
          <w:p w14:paraId="7A127523" w14:textId="77777777" w:rsidR="00B52815" w:rsidRPr="002F2142" w:rsidRDefault="00B52815" w:rsidP="002F2142">
            <w:pPr>
              <w:autoSpaceDE w:val="0"/>
              <w:autoSpaceDN w:val="0"/>
              <w:adjustRightInd w:val="0"/>
              <w:spacing w:after="0" w:line="360" w:lineRule="auto"/>
              <w:rPr>
                <w:rFonts w:ascii="Times New Roman" w:hAnsi="Times New Roman" w:cs="Times New Roman"/>
                <w:sz w:val="24"/>
                <w:szCs w:val="24"/>
              </w:rPr>
            </w:pPr>
          </w:p>
        </w:tc>
        <w:tc>
          <w:tcPr>
            <w:tcW w:w="1557" w:type="dxa"/>
            <w:tcBorders>
              <w:top w:val="nil"/>
              <w:bottom w:val="single" w:sz="4" w:space="0" w:color="auto"/>
            </w:tcBorders>
            <w:shd w:val="clear" w:color="auto" w:fill="auto"/>
          </w:tcPr>
          <w:p w14:paraId="3124A9D1" w14:textId="77777777" w:rsidR="00B52815" w:rsidRPr="002F2142" w:rsidRDefault="00B52815" w:rsidP="002F2142">
            <w:pPr>
              <w:autoSpaceDE w:val="0"/>
              <w:autoSpaceDN w:val="0"/>
              <w:adjustRightInd w:val="0"/>
              <w:spacing w:after="0" w:line="360" w:lineRule="auto"/>
              <w:ind w:left="60" w:right="60"/>
              <w:rPr>
                <w:rFonts w:ascii="Times New Roman" w:hAnsi="Times New Roman" w:cs="Times New Roman"/>
                <w:sz w:val="24"/>
                <w:szCs w:val="24"/>
              </w:rPr>
            </w:pPr>
            <w:r w:rsidRPr="002F2142">
              <w:rPr>
                <w:rFonts w:ascii="Times New Roman" w:hAnsi="Times New Roman" w:cs="Times New Roman"/>
                <w:sz w:val="24"/>
                <w:szCs w:val="24"/>
              </w:rPr>
              <w:t>N</w:t>
            </w:r>
          </w:p>
        </w:tc>
        <w:tc>
          <w:tcPr>
            <w:tcW w:w="1800" w:type="dxa"/>
            <w:tcBorders>
              <w:top w:val="nil"/>
              <w:bottom w:val="single" w:sz="4" w:space="0" w:color="auto"/>
            </w:tcBorders>
            <w:shd w:val="clear" w:color="auto" w:fill="auto"/>
          </w:tcPr>
          <w:p w14:paraId="66937231" w14:textId="77777777" w:rsidR="00B52815" w:rsidRPr="002F2142" w:rsidRDefault="00B52815"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105</w:t>
            </w:r>
          </w:p>
        </w:tc>
        <w:tc>
          <w:tcPr>
            <w:tcW w:w="1349" w:type="dxa"/>
            <w:tcBorders>
              <w:top w:val="nil"/>
              <w:bottom w:val="single" w:sz="4" w:space="0" w:color="auto"/>
            </w:tcBorders>
            <w:shd w:val="clear" w:color="auto" w:fill="auto"/>
          </w:tcPr>
          <w:p w14:paraId="4190B5A4" w14:textId="77777777" w:rsidR="00B52815" w:rsidRPr="002F2142" w:rsidRDefault="00B52815"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105</w:t>
            </w:r>
          </w:p>
        </w:tc>
        <w:tc>
          <w:tcPr>
            <w:tcW w:w="1800" w:type="dxa"/>
            <w:tcBorders>
              <w:top w:val="nil"/>
              <w:bottom w:val="single" w:sz="4" w:space="0" w:color="auto"/>
            </w:tcBorders>
            <w:shd w:val="clear" w:color="auto" w:fill="auto"/>
          </w:tcPr>
          <w:p w14:paraId="6795275F" w14:textId="77777777" w:rsidR="00B52815" w:rsidRPr="002F2142" w:rsidRDefault="00B52815" w:rsidP="002F2142">
            <w:pPr>
              <w:autoSpaceDE w:val="0"/>
              <w:autoSpaceDN w:val="0"/>
              <w:adjustRightInd w:val="0"/>
              <w:spacing w:after="0" w:line="360" w:lineRule="auto"/>
              <w:ind w:left="60" w:right="60"/>
              <w:jc w:val="center"/>
              <w:rPr>
                <w:rFonts w:ascii="Times New Roman" w:hAnsi="Times New Roman" w:cs="Times New Roman"/>
                <w:sz w:val="24"/>
                <w:szCs w:val="24"/>
              </w:rPr>
            </w:pPr>
            <w:r w:rsidRPr="002F2142">
              <w:rPr>
                <w:rFonts w:ascii="Times New Roman" w:hAnsi="Times New Roman" w:cs="Times New Roman"/>
                <w:sz w:val="24"/>
                <w:szCs w:val="24"/>
              </w:rPr>
              <w:t>105</w:t>
            </w:r>
          </w:p>
        </w:tc>
      </w:tr>
    </w:tbl>
    <w:p w14:paraId="397742E3" w14:textId="3C97BA4E" w:rsidR="003217C3" w:rsidRPr="002F2142" w:rsidRDefault="003217C3" w:rsidP="002F2142">
      <w:pPr>
        <w:spacing w:before="100" w:beforeAutospacing="1" w:after="100" w:afterAutospacing="1" w:line="360" w:lineRule="auto"/>
        <w:rPr>
          <w:rFonts w:ascii="Times New Roman" w:eastAsia="Times New Roman" w:hAnsi="Times New Roman" w:cs="Times New Roman"/>
          <w:b/>
          <w:bCs/>
          <w:sz w:val="24"/>
          <w:szCs w:val="24"/>
          <w:lang w:val="es-EC" w:eastAsia="es-EC"/>
        </w:rPr>
      </w:pPr>
      <w:r w:rsidRPr="002F2142">
        <w:rPr>
          <w:rFonts w:ascii="Times New Roman" w:eastAsia="Times New Roman" w:hAnsi="Times New Roman" w:cs="Times New Roman"/>
          <w:b/>
          <w:bCs/>
          <w:sz w:val="24"/>
          <w:szCs w:val="24"/>
          <w:lang w:val="es-EC" w:eastAsia="es-EC"/>
        </w:rPr>
        <w:t>Discussion</w:t>
      </w:r>
    </w:p>
    <w:p w14:paraId="392448E8" w14:textId="48B9B036" w:rsidR="00AA768F" w:rsidRPr="00CD1B10" w:rsidRDefault="00F552CC"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lastRenderedPageBreak/>
        <w:t>The results obtained in this study allow us to reflect on the significant relationship between parental stress levels and participation in virtual educational environments. The positive correlation between stress coping and the dimensions of communication, participation</w:t>
      </w:r>
      <w:r w:rsidR="009E5911">
        <w:rPr>
          <w:rFonts w:ascii="Times New Roman" w:eastAsia="Times New Roman" w:hAnsi="Times New Roman" w:cs="Times New Roman"/>
          <w:sz w:val="24"/>
          <w:szCs w:val="24"/>
          <w:lang w:eastAsia="es-EC"/>
        </w:rPr>
        <w:t>,</w:t>
      </w:r>
      <w:r w:rsidRPr="00CD1B10">
        <w:rPr>
          <w:rFonts w:ascii="Times New Roman" w:eastAsia="Times New Roman" w:hAnsi="Times New Roman" w:cs="Times New Roman"/>
          <w:sz w:val="24"/>
          <w:szCs w:val="24"/>
          <w:lang w:eastAsia="es-EC"/>
        </w:rPr>
        <w:t xml:space="preserve"> and adaptation to the virtual scenario suggests that parents with greater emotional resources and stronger coping strategies manage to integrate more effectively in technology-mediated educational processes. This finding is consistent with previous research highlighting the role of psychosocial support and family resilience in contexts of accelerated digital transition</w:t>
      </w:r>
      <w:r w:rsidR="00714665" w:rsidRPr="00CD1B10">
        <w:rPr>
          <w:rFonts w:ascii="Times New Roman" w:eastAsia="Times New Roman" w:hAnsi="Times New Roman" w:cs="Times New Roman"/>
          <w:sz w:val="24"/>
          <w:szCs w:val="24"/>
          <w:lang w:eastAsia="es-EC"/>
        </w:rPr>
        <w:t xml:space="preserve">. </w:t>
      </w:r>
      <w:r w:rsidR="008A7DB2" w:rsidRPr="00CD1B10">
        <w:rPr>
          <w:rFonts w:ascii="Times New Roman" w:eastAsia="Times New Roman" w:hAnsi="Times New Roman" w:cs="Times New Roman"/>
          <w:sz w:val="24"/>
          <w:szCs w:val="24"/>
          <w:lang w:eastAsia="es-EC"/>
        </w:rPr>
        <w:t xml:space="preserve">The study by </w:t>
      </w:r>
      <w:r w:rsidR="008A7DB2" w:rsidRPr="00CD1B10">
        <w:rPr>
          <w:rFonts w:ascii="Times New Roman" w:hAnsi="Times New Roman" w:cs="Times New Roman"/>
          <w:sz w:val="24"/>
          <w:szCs w:val="24"/>
        </w:rPr>
        <w:t>Meitasari et al</w:t>
      </w:r>
      <w:r w:rsidR="008A7DB2" w:rsidRPr="00CD1B10">
        <w:rPr>
          <w:rFonts w:ascii="Times New Roman" w:eastAsia="Times New Roman" w:hAnsi="Times New Roman" w:cs="Times New Roman"/>
          <w:sz w:val="24"/>
          <w:szCs w:val="24"/>
          <w:lang w:eastAsia="es-EC"/>
        </w:rPr>
        <w:t xml:space="preserve">  </w:t>
      </w:r>
      <w:r w:rsidR="008A7DB2">
        <w:rPr>
          <w:rFonts w:ascii="Times New Roman" w:eastAsia="Times New Roman" w:hAnsi="Times New Roman" w:cs="Times New Roman"/>
          <w:sz w:val="24"/>
          <w:szCs w:val="24"/>
          <w:lang w:val="es-EC" w:eastAsia="es-EC"/>
        </w:rPr>
        <w:fldChar w:fldCharType="begin"/>
      </w:r>
      <w:r w:rsidR="008A7DB2" w:rsidRPr="00CD1B10">
        <w:rPr>
          <w:rFonts w:ascii="Times New Roman" w:eastAsia="Times New Roman" w:hAnsi="Times New Roman" w:cs="Times New Roman"/>
          <w:sz w:val="24"/>
          <w:szCs w:val="24"/>
          <w:lang w:eastAsia="es-EC"/>
        </w:rPr>
        <w:instrText xml:space="preserve"> ADDIN ZOTERO_ITEM CSL_CITATION {"citationID":"XoecDxMo","properties":{"formattedCitation":"(2023)","plainCitation":"(2023)","noteIndex":0},"citationItems":[{"id":2900,"uris":["http://zotero.org/users/11513704/items/Y68V74TE"],"itemData":{"id":2900,"type":"article-journal","abstract":"The family has a pivotal role in social development, as it represents the fundamental unit of society that contributes to achieving the Sustainable Development Goals (SDGs). Consequently, policies geared towards enhancing family well-being, such as poverty reduction, health, and education, are indispensable. Inevitably, families encounter challenges and difficulties, especially for poor household with limited capacity and resources to buffer from shocks. Nevertheless, some families are able to rebound quickly and learn from their struggles, a phenomenon known as resilience. Family resilience denotes a family's strength capacity to rebound from adversity and emerge stronger and more empowered. Using a depth interview method in Tapos, Depok, West Java, Indonesia, this study examines family resilience based on Froma Walsh's Key Processes, analyzing the strengths that enable families to overcome adversity. Participants were selected through purposive sampling, comprising two underprivileged families that receive government social assistance. Despite coming from impoverished backgrounds, these families possess resilience values that enable them to effectively fulfill their social roles and realize their aspirations. The findings reveal that family spirituality, adaptability, family connectedness, and communities support facilitate family members to grow and thrive despite adversity.","container-title":"International Journal of Social Science Research and Review","DOI":"10.47814/ijssrr.v6i6.1154","ISSN":"2700-2497","issue":"6","language":"en","license":"Copyright (c) 2023 Indah Meitasari, Fentiny Nugroho, Triyanti Anugrahini","note":"number: 6","page":"204-217","source":"ijssrr.com","title":"Fostering Low-Income Family Resilience: Findings from Walsh Family Resilience Framework in Tapos Depok, Indonesia","title-short":"Fostering Low-Income Family Resilience","volume":"6","author":[{"family":"Meitasari","given":"Indah"},{"family":"Nugroho","given":"Fentiny"},{"family":"Anugrahini","given":"Triyanti"}],"issued":{"date-parts":[["2023",6,8]]}},"suppress-author":true}],"schema":"https://github.com/citation-style-language/schema/raw/master/csl-citation.json"} </w:instrText>
      </w:r>
      <w:r w:rsidR="008A7DB2">
        <w:rPr>
          <w:rFonts w:ascii="Times New Roman" w:eastAsia="Times New Roman" w:hAnsi="Times New Roman" w:cs="Times New Roman"/>
          <w:sz w:val="24"/>
          <w:szCs w:val="24"/>
          <w:lang w:val="es-EC" w:eastAsia="es-EC"/>
        </w:rPr>
        <w:fldChar w:fldCharType="separate"/>
      </w:r>
      <w:r w:rsidR="008A7DB2" w:rsidRPr="00CD1B10">
        <w:rPr>
          <w:rFonts w:ascii="Times New Roman" w:hAnsi="Times New Roman" w:cs="Times New Roman"/>
          <w:sz w:val="24"/>
        </w:rPr>
        <w:t>(2023)</w:t>
      </w:r>
      <w:r w:rsidR="008A7DB2">
        <w:rPr>
          <w:rFonts w:ascii="Times New Roman" w:eastAsia="Times New Roman" w:hAnsi="Times New Roman" w:cs="Times New Roman"/>
          <w:sz w:val="24"/>
          <w:szCs w:val="24"/>
          <w:lang w:val="es-EC" w:eastAsia="es-EC"/>
        </w:rPr>
        <w:fldChar w:fldCharType="end"/>
      </w:r>
      <w:r w:rsidR="008D1840" w:rsidRPr="00CD1B10">
        <w:rPr>
          <w:rFonts w:ascii="Times New Roman" w:eastAsia="Times New Roman" w:hAnsi="Times New Roman" w:cs="Times New Roman"/>
          <w:sz w:val="24"/>
          <w:szCs w:val="24"/>
          <w:lang w:eastAsia="es-EC"/>
        </w:rPr>
        <w:t xml:space="preserve"> highlights </w:t>
      </w:r>
      <w:r w:rsidR="001E6C88" w:rsidRPr="00CD1B10">
        <w:rPr>
          <w:rFonts w:ascii="Times New Roman" w:eastAsia="Times New Roman" w:hAnsi="Times New Roman" w:cs="Times New Roman"/>
          <w:sz w:val="24"/>
          <w:szCs w:val="24"/>
          <w:lang w:eastAsia="es-EC"/>
        </w:rPr>
        <w:t xml:space="preserve">the role of the family system in </w:t>
      </w:r>
      <w:r w:rsidR="009E5911">
        <w:rPr>
          <w:rFonts w:ascii="Times New Roman" w:eastAsia="Times New Roman" w:hAnsi="Times New Roman" w:cs="Times New Roman"/>
          <w:sz w:val="24"/>
          <w:szCs w:val="24"/>
          <w:lang w:eastAsia="es-EC"/>
        </w:rPr>
        <w:t>crises</w:t>
      </w:r>
      <w:r w:rsidR="0018747F" w:rsidRPr="00CD1B10">
        <w:rPr>
          <w:rFonts w:ascii="Times New Roman" w:eastAsia="Times New Roman" w:hAnsi="Times New Roman" w:cs="Times New Roman"/>
          <w:sz w:val="24"/>
          <w:szCs w:val="24"/>
          <w:lang w:eastAsia="es-EC"/>
        </w:rPr>
        <w:t xml:space="preserve">, where resilience and adaptability are key to </w:t>
      </w:r>
      <w:r w:rsidR="00AA768F" w:rsidRPr="00CD1B10">
        <w:rPr>
          <w:rFonts w:ascii="Times New Roman" w:eastAsia="Times New Roman" w:hAnsi="Times New Roman" w:cs="Times New Roman"/>
          <w:sz w:val="24"/>
          <w:szCs w:val="24"/>
          <w:lang w:eastAsia="es-EC"/>
        </w:rPr>
        <w:t xml:space="preserve">strengthening the family </w:t>
      </w:r>
      <w:r w:rsidR="00CA1189" w:rsidRPr="00CD1B10">
        <w:rPr>
          <w:rFonts w:ascii="Times New Roman" w:eastAsia="Times New Roman" w:hAnsi="Times New Roman" w:cs="Times New Roman"/>
          <w:sz w:val="24"/>
          <w:szCs w:val="24"/>
          <w:lang w:eastAsia="es-EC"/>
        </w:rPr>
        <w:t xml:space="preserve">in the management of </w:t>
      </w:r>
      <w:r w:rsidR="008A7DB2" w:rsidRPr="00CD1B10">
        <w:rPr>
          <w:rFonts w:ascii="Times New Roman" w:eastAsia="Times New Roman" w:hAnsi="Times New Roman" w:cs="Times New Roman"/>
          <w:sz w:val="24"/>
          <w:szCs w:val="24"/>
          <w:lang w:eastAsia="es-EC"/>
        </w:rPr>
        <w:t>technological resources.</w:t>
      </w:r>
    </w:p>
    <w:p w14:paraId="06C44E1A" w14:textId="66DF4DE3" w:rsidR="00F552CC" w:rsidRPr="00CD1B10" w:rsidRDefault="00F552CC"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On the contrary, high stress perceptions were negatively associated with these dimensions, which shows that unmanaged stress can act as a limiting factor for the active involvement of parents in the educational accompaniment of their children</w:t>
      </w:r>
      <w:r w:rsidR="008E4D32">
        <w:rPr>
          <w:rFonts w:ascii="Times New Roman" w:eastAsia="Times New Roman" w:hAnsi="Times New Roman" w:cs="Times New Roman"/>
          <w:sz w:val="24"/>
          <w:szCs w:val="24"/>
          <w:lang w:val="es-EC" w:eastAsia="es-EC"/>
        </w:rPr>
        <w:fldChar w:fldCharType="begin"/>
      </w:r>
      <w:r w:rsidR="005C46E9" w:rsidRPr="00CD1B10">
        <w:rPr>
          <w:rFonts w:ascii="Times New Roman" w:eastAsia="Times New Roman" w:hAnsi="Times New Roman" w:cs="Times New Roman"/>
          <w:sz w:val="24"/>
          <w:szCs w:val="24"/>
          <w:lang w:eastAsia="es-EC"/>
        </w:rPr>
        <w:instrText xml:space="preserve"> ADDIN ZOTERO_ITEM CSL_CITATION {"citationID":"ph5XvEie","properties":{"formattedCitation":"(Cheng et\\uc0\\u160{}al., 2024; Tekavc, 2023)","plainCitation":"(Cheng et al., 2024; Tekavc, 2023)","noteIndex":0},"citationItems":[{"id":2904,"uris":["http://zotero.org/users/11513704/items/JM6GJXDW"],"itemData":{"id":2904,"type":"article-journal","abstract":"This study focuses on the relationships among parental psychological stress, parental views of school success, and parental involvement during the COVID-19 pandemic and after the introduction of the double reduction policy. The results of a related questionnaire survey of 459 parents showed that two dimensions of parental views of school success – parental views of academic success and parental views of social success – significantly influenced four dimensions of parental involvement: involvement in school activities, monitoring, interest development, and helping with homework (except for anxiety and over-protection). In addition, the positive effect of parental views of academic success on anxiety and over-protection and monitoring was more pronounced when moderated by psychological stress, and parental views of social success positively influenced involvement in school activities only when psychological stress was low. This study can help increase students’, parents’, and schools’ understanding of parental involvement during the pandemic and the relationship between parental views of school success and parental involvement. It provides detailed recommendations for parents, schools, and the government on improving parental involvement since the beginning of the pandemic. The study’s significance, limitations, and implications are also discussed.","container-title":"Asia Pacific Journal of Education","DOI":"10.1080/02188791.2024.2328230","ISSN":"0218-8791","issue":"0","note":"publisher: Routledge\n_eprint: https://doi.org/10.1080/02188791.2024.2328230","page":"1-18","source":"Taylor and Francis+NEJM","title":"Psychological stress, parental involvement and parental views of school success for children during the COVID-19: a moderated model","title-short":"Psychological stress, parental involvement and parental views of school success for children during the COVID-19","volume":"0","author":[{"family":"Cheng","given":"Sanyin"},{"family":"Li","given":"XuXu"},{"family":"Luo","given":"Yan"},{"family":"Li ,","given":"Qiaoqiao"},{"family":"Li","given":"Jiaqi"},{"family":"Zhang","given":"Hongna","non-dropping-particle":"and"}],"issued":{"date-parts":[["2024"]]}},"label":"page"},{"id":2907,"uris":["http://zotero.org/users/11513704/items/VHVE7ML4"],"itemData":{"id":2907,"type":"article-journal","container-title":"Journal of Elementary Education","DOI":"https://doi.org/10.18690/rei.16.3.3089","issue":"3","title":"Parental Involvement in the Educational Process as a Potential Factor in Tachers’ Experience of Work Stress | Journal of Elementary Education","URL":"https://doi.org/10.18690/rei.16.3.3089","volume":"16","author":[{"family":"Tekavc","given":"Janja"}],"accessed":{"date-parts":[["2025",6,14]]},"issued":{"date-parts":[["2023"]]}},"label":"page"}],"schema":"https://github.com/citation-style-language/schema/raw/master/csl-citation.json"} </w:instrText>
      </w:r>
      <w:r w:rsidR="008E4D32">
        <w:rPr>
          <w:rFonts w:ascii="Times New Roman" w:eastAsia="Times New Roman" w:hAnsi="Times New Roman" w:cs="Times New Roman"/>
          <w:sz w:val="24"/>
          <w:szCs w:val="24"/>
          <w:lang w:val="es-EC" w:eastAsia="es-EC"/>
        </w:rPr>
        <w:fldChar w:fldCharType="separate"/>
      </w:r>
      <w:r w:rsidR="005C46E9" w:rsidRPr="00CD1B10">
        <w:rPr>
          <w:rFonts w:ascii="Times New Roman" w:hAnsi="Times New Roman" w:cs="Times New Roman"/>
          <w:sz w:val="24"/>
          <w:szCs w:val="24"/>
        </w:rPr>
        <w:t xml:space="preserve"> (Cheng et al., 2024; Tekavc, 2023)</w:t>
      </w:r>
      <w:r w:rsidR="008E4D32">
        <w:rPr>
          <w:rFonts w:ascii="Times New Roman" w:eastAsia="Times New Roman" w:hAnsi="Times New Roman" w:cs="Times New Roman"/>
          <w:sz w:val="24"/>
          <w:szCs w:val="24"/>
          <w:lang w:val="es-EC" w:eastAsia="es-EC"/>
        </w:rPr>
        <w:fldChar w:fldCharType="end"/>
      </w:r>
      <w:r w:rsidRPr="00CD1B10">
        <w:rPr>
          <w:rFonts w:ascii="Times New Roman" w:eastAsia="Times New Roman" w:hAnsi="Times New Roman" w:cs="Times New Roman"/>
          <w:sz w:val="24"/>
          <w:szCs w:val="24"/>
          <w:lang w:eastAsia="es-EC"/>
        </w:rPr>
        <w:t>. This situation is aggravated in contexts marked by structural barriers such as lack of connectivity, shortage of devices</w:t>
      </w:r>
      <w:r w:rsidR="009E5911">
        <w:rPr>
          <w:rFonts w:ascii="Times New Roman" w:eastAsia="Times New Roman" w:hAnsi="Times New Roman" w:cs="Times New Roman"/>
          <w:sz w:val="24"/>
          <w:szCs w:val="24"/>
          <w:lang w:eastAsia="es-EC"/>
        </w:rPr>
        <w:t>,</w:t>
      </w:r>
      <w:r w:rsidRPr="00CD1B10">
        <w:rPr>
          <w:rFonts w:ascii="Times New Roman" w:eastAsia="Times New Roman" w:hAnsi="Times New Roman" w:cs="Times New Roman"/>
          <w:sz w:val="24"/>
          <w:szCs w:val="24"/>
          <w:lang w:eastAsia="es-EC"/>
        </w:rPr>
        <w:t xml:space="preserve"> or lack of time for technological training, conditions that were evidenced in this study</w:t>
      </w:r>
      <w:r w:rsidR="00865C14">
        <w:rPr>
          <w:rFonts w:ascii="Times New Roman" w:eastAsia="Times New Roman" w:hAnsi="Times New Roman" w:cs="Times New Roman"/>
          <w:sz w:val="24"/>
          <w:szCs w:val="24"/>
          <w:lang w:val="es-EC" w:eastAsia="es-EC"/>
        </w:rPr>
        <w:fldChar w:fldCharType="begin"/>
      </w:r>
      <w:r w:rsidR="00865C14" w:rsidRPr="00CD1B10">
        <w:rPr>
          <w:rFonts w:ascii="Times New Roman" w:eastAsia="Times New Roman" w:hAnsi="Times New Roman" w:cs="Times New Roman"/>
          <w:sz w:val="24"/>
          <w:szCs w:val="24"/>
          <w:lang w:eastAsia="es-EC"/>
        </w:rPr>
        <w:instrText xml:space="preserve"> ADDIN ZOTERO_ITEM CSL_CITATION {"citationID":"41WZQWq6","properties":{"formattedCitation":"(Sintema &amp; Singogo, 2020)","plainCitation":"(Sintema &amp; Singogo, 2020)","noteIndex":0},"citationItems":[{"id":2917,"uris":["http://zotero.org/users/11513704/items/GWYI35QC"],"itemData":{"id":2917,"type":"article-journal","abstract":"Schools in Zambia partner with students’ families and communities through the Parents Teachers Association to promote community participation in the academic and social welfare of students. However, this partnership is sometimes weakened by unexpected external factors to the detriment of the students’ educational development. This study used the theoretical lens of Epstein’s School-Family-Community partnership model to examine the role of parents in the home environment in creating a supportive technological environment for school children in response to the effects of COVID-19 on education. To accomplish the purpose of the study, twenty parents responded to open-ended written interviews. Data were qualitatively analyzed using content analysis. Results revealed inadequate preparation of parents to respond to the academic needs of their school children. Households were facing numerous challenges in procuring curriculum materials like prescribed textbooks. Further, it was revealed that electricity load shading negatively affected students’ access to the educational content on television and e-learning facilities aimed at supplementing school classroom instruction. The study concluded that there were limited or no technology resources in Zambian homes to support students’ access to education during the COVID-19 period.","container-title":"International Journal of Professional Development, Learners and Learning","DOI":"10.30935/ijpdll/9290","ISSN":"2754-0618","issue":"1","language":"english","note":"publisher: Bastas","page":"ep2101","source":"www.ijpdll.com","title":"Educational Preparedness of the Home Environment: A Technological Perspective Amidst Coronavirus (COVID-19) Outbreak","title-short":"Educational Preparedness of the Home Environment","volume":"2","author":[{"family":"Sintema","given":"Edgar John"},{"family":"Singogo","given":"Derick"}],"issued":{"date-parts":[["2020",11,29]]}}}],"schema":"https://github.com/citation-style-language/schema/raw/master/csl-citation.json"} </w:instrText>
      </w:r>
      <w:r w:rsidR="00865C14">
        <w:rPr>
          <w:rFonts w:ascii="Times New Roman" w:eastAsia="Times New Roman" w:hAnsi="Times New Roman" w:cs="Times New Roman"/>
          <w:sz w:val="24"/>
          <w:szCs w:val="24"/>
          <w:lang w:val="es-EC" w:eastAsia="es-EC"/>
        </w:rPr>
        <w:fldChar w:fldCharType="separate"/>
      </w:r>
      <w:r w:rsidR="00865C14" w:rsidRPr="00865C14">
        <w:rPr>
          <w:rFonts w:ascii="Times New Roman" w:hAnsi="Times New Roman" w:cs="Times New Roman"/>
          <w:sz w:val="24"/>
        </w:rPr>
        <w:t xml:space="preserve"> (Sintema &amp; Singogo., 2020)</w:t>
      </w:r>
      <w:r w:rsidR="00865C14">
        <w:rPr>
          <w:rFonts w:ascii="Times New Roman" w:eastAsia="Times New Roman" w:hAnsi="Times New Roman" w:cs="Times New Roman"/>
          <w:sz w:val="24"/>
          <w:szCs w:val="24"/>
          <w:lang w:val="es-EC" w:eastAsia="es-EC"/>
        </w:rPr>
        <w:fldChar w:fldCharType="end"/>
      </w:r>
    </w:p>
    <w:p w14:paraId="33F4E3D5" w14:textId="77C7E29A" w:rsidR="00F552CC" w:rsidRPr="00CD1B10" w:rsidRDefault="00F552CC" w:rsidP="00947E67">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These results make visible the digital inequalities that persist in households and the need to generate public policies aimed at reducing the technological gap, strengthening access to basic digital services</w:t>
      </w:r>
      <w:r w:rsidR="009E5911">
        <w:rPr>
          <w:rFonts w:ascii="Times New Roman" w:eastAsia="Times New Roman" w:hAnsi="Times New Roman" w:cs="Times New Roman"/>
          <w:sz w:val="24"/>
          <w:szCs w:val="24"/>
          <w:lang w:eastAsia="es-EC"/>
        </w:rPr>
        <w:t>,</w:t>
      </w:r>
      <w:r w:rsidRPr="00CD1B10">
        <w:rPr>
          <w:rFonts w:ascii="Times New Roman" w:eastAsia="Times New Roman" w:hAnsi="Times New Roman" w:cs="Times New Roman"/>
          <w:sz w:val="24"/>
          <w:szCs w:val="24"/>
          <w:lang w:eastAsia="es-EC"/>
        </w:rPr>
        <w:t xml:space="preserve"> and promoting training programs that include mental health and digital education components for mothers, fathers</w:t>
      </w:r>
      <w:r w:rsidR="009E5911">
        <w:rPr>
          <w:rFonts w:ascii="Times New Roman" w:eastAsia="Times New Roman" w:hAnsi="Times New Roman" w:cs="Times New Roman"/>
          <w:sz w:val="24"/>
          <w:szCs w:val="24"/>
          <w:lang w:eastAsia="es-EC"/>
        </w:rPr>
        <w:t>,</w:t>
      </w:r>
      <w:r w:rsidRPr="00CD1B10">
        <w:rPr>
          <w:rFonts w:ascii="Times New Roman" w:eastAsia="Times New Roman" w:hAnsi="Times New Roman" w:cs="Times New Roman"/>
          <w:sz w:val="24"/>
          <w:szCs w:val="24"/>
          <w:lang w:eastAsia="es-EC"/>
        </w:rPr>
        <w:t xml:space="preserve"> and caregivers</w:t>
      </w:r>
      <w:r w:rsidR="000206CC">
        <w:rPr>
          <w:rFonts w:ascii="Times New Roman" w:eastAsia="Times New Roman" w:hAnsi="Times New Roman" w:cs="Times New Roman"/>
          <w:sz w:val="24"/>
          <w:szCs w:val="24"/>
          <w:lang w:val="es-EC" w:eastAsia="es-EC"/>
        </w:rPr>
        <w:fldChar w:fldCharType="begin"/>
      </w:r>
      <w:r w:rsidR="000206CC" w:rsidRPr="00CD1B10">
        <w:rPr>
          <w:rFonts w:ascii="Times New Roman" w:eastAsia="Times New Roman" w:hAnsi="Times New Roman" w:cs="Times New Roman"/>
          <w:sz w:val="24"/>
          <w:szCs w:val="24"/>
          <w:lang w:eastAsia="es-EC"/>
        </w:rPr>
        <w:instrText xml:space="preserve"> ADDIN ZOTERO_ITEM CSL_CITATION {"citationID":"QjVPZuYt","properties":{"formattedCitation":"(van de Werfhorst et\\uc0\\u160{}al., 2022)","plainCitation":"(van de Werfhorst et al., 2022)","noteIndex":0},"citationItems":[{"id":2909,"uris":["http://zotero.org/users/11513704/items/WN67QM8C"],"itemData":{"id":2909,"type":"article-journal","abstract":"The COVID-19 pandemic has disordered the educational process across the globe, as schools suddenly had to provide their teaching in an online environment. One question that raised immediate concern is the potential impact of this forced and rapid digitalization on inequalities in the learning process by social class, migration background and gender. Elaborating on the literature on the digital divide, we study inequalities in multi-level digital readiness of students and schools before the pandemic took place. Using data from the International Computer and Information Literacy Study (ICILS) on seven countries, and the Teaching and Learning International Survey (TALIS) on 45 countries, both from 2018, we demonstrate that schools and students vary in their readiness for digital education. However, school variation in digital readiness is not systematically related to student composition by SES and migration background. We thus find little evidence for a hypothesized ‘multi-level’ digital divide, which would result from systematic gradients in the readiness of school environments for digital education by student composition. More important drivers for a digital divide during the COVID-19 pandemic are the ICT skills students have, which are strongly related to students’ socioeconomic background. For digital education to be effective for every student, it is important that schools focus on improving students’ digital skills.","container-title":"Computers and Education Open","DOI":"10.1016/j.caeo.2022.100100","ISSN":"2666-5573","journalAbbreviation":"Computers and Education Open","page":"100100","source":"ScienceDirect","title":"The digital divide in online education: Inequality in digital readiness of students and schools","title-short":"The digital divide in online education","volume":"3","author":[{"family":"Werfhorst","given":"Herman G.","non-dropping-particle":"van de"},{"family":"Kessenich","given":"Emma"},{"family":"Geven","given":"Sara"}],"issued":{"date-parts":[["2022",12,1]]}}}],"schema":"https://github.com/citation-style-language/schema/raw/master/csl-citation.json"} </w:instrText>
      </w:r>
      <w:r w:rsidR="000206CC">
        <w:rPr>
          <w:rFonts w:ascii="Times New Roman" w:eastAsia="Times New Roman" w:hAnsi="Times New Roman" w:cs="Times New Roman"/>
          <w:sz w:val="24"/>
          <w:szCs w:val="24"/>
          <w:lang w:val="es-EC" w:eastAsia="es-EC"/>
        </w:rPr>
        <w:fldChar w:fldCharType="separate"/>
      </w:r>
      <w:r w:rsidR="000206CC" w:rsidRPr="00CD1B10">
        <w:rPr>
          <w:rFonts w:ascii="Times New Roman" w:hAnsi="Times New Roman" w:cs="Times New Roman"/>
          <w:sz w:val="24"/>
          <w:szCs w:val="24"/>
        </w:rPr>
        <w:t xml:space="preserve"> (van de Werfhorst et al., 2022).</w:t>
      </w:r>
      <w:r w:rsidR="000206CC">
        <w:rPr>
          <w:rFonts w:ascii="Times New Roman" w:eastAsia="Times New Roman" w:hAnsi="Times New Roman" w:cs="Times New Roman"/>
          <w:sz w:val="24"/>
          <w:szCs w:val="24"/>
          <w:lang w:val="es-EC" w:eastAsia="es-EC"/>
        </w:rPr>
        <w:fldChar w:fldCharType="end"/>
      </w:r>
    </w:p>
    <w:p w14:paraId="4D1FBCD1" w14:textId="729AF2DF" w:rsidR="00D801B6" w:rsidRPr="00CD1B10" w:rsidRDefault="00D801B6" w:rsidP="00947E67">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 xml:space="preserve">According to the study by </w:t>
      </w:r>
      <w:r w:rsidR="00BA0F27" w:rsidRPr="00CD1B10">
        <w:rPr>
          <w:rFonts w:ascii="Times New Roman" w:eastAsia="Times New Roman" w:hAnsi="Times New Roman" w:cs="Times New Roman"/>
          <w:sz w:val="24"/>
          <w:szCs w:val="24"/>
          <w:lang w:eastAsia="es-EC"/>
        </w:rPr>
        <w:t>Gómez-Navas &amp; Del Pilar Marín-Rivas</w:t>
      </w:r>
      <w:r w:rsidR="009E5911">
        <w:rPr>
          <w:rFonts w:ascii="Times New Roman" w:eastAsia="Times New Roman" w:hAnsi="Times New Roman" w:cs="Times New Roman"/>
          <w:sz w:val="24"/>
          <w:szCs w:val="24"/>
          <w:lang w:eastAsia="es-EC"/>
        </w:rPr>
        <w:t xml:space="preserve"> </w:t>
      </w:r>
      <w:r w:rsidRPr="00947E67">
        <w:rPr>
          <w:rFonts w:ascii="Times New Roman" w:eastAsia="Times New Roman" w:hAnsi="Times New Roman" w:cs="Times New Roman"/>
          <w:sz w:val="24"/>
          <w:szCs w:val="24"/>
          <w:lang w:val="es-EC" w:eastAsia="es-EC"/>
        </w:rPr>
        <w:fldChar w:fldCharType="begin"/>
      </w:r>
      <w:r w:rsidR="00BA0F27" w:rsidRPr="00CD1B10">
        <w:rPr>
          <w:rFonts w:ascii="Times New Roman" w:eastAsia="Times New Roman" w:hAnsi="Times New Roman" w:cs="Times New Roman"/>
          <w:sz w:val="24"/>
          <w:szCs w:val="24"/>
          <w:lang w:eastAsia="es-EC"/>
        </w:rPr>
        <w:instrText xml:space="preserve"> ADDIN ZOTERO_ITEM CSL_CITATION {"citationID":"PnQ0BFBk","properties":{"formattedCitation":"(2023)","plainCitation":"(2023)","noteIndex":0},"citationItems":[{"id":2874,"uris":["http://zotero.org/users/11513704/items/ZZXBRAQ2"],"itemData":{"id":2874,"type":"article-journal","abstract":"This study presents a view of how family/school relationships were affected by the remote or virtual education implemented during the COVID-19 pandemic; it also looks at the im-pact on educational space and time, and the consequences for socialization and schooling. To understand the respondents' experiences during the strict lockdown and school closures, 104 narratives were compiled from parents, students, and teachers at the compulsory educa-tional level. The methodology employed immediate experience from a socio-analytical per-spective: a resource that exposed, in a dark moment, the normalized daily experiences of families and schools, and the continuities and discontinuities of the lockdown. The analysis reveals strategies for home schooling that led to an overload for families, an unfavorable perception of the quality of learning, and the loss of the school's pedagogical authority or the school's obligation to cede part of its functions to the family. © 2023 Consejo Mexicano de Investigacion Educativa. All rights reserved.","archive":"Scopus","container-title":"Revista Mexicana de Investigacion Educativa","issue":"98","page":"837-862","source":"Scopus","title":"Education during lockdown in Colombia: A view at family-school relationships during the pandemic","title-short":"EDUCACIÓN EN CONFINAMIENTO EN COLOMBIA Una mirada a las relaciones familia-escuela en tiempos de pandemia","volume":"28","author":[{"family":"Gómez-Navas","given":"D."},{"family":"Del Pilar Marín-Rivas","given":"M."}],"issued":{"date-parts":[["2023"]]}},"suppress-author":true}],"schema":"https://github.com/citation-style-language/schema/raw/master/csl-citation.json"} </w:instrText>
      </w:r>
      <w:r w:rsidRPr="00947E67">
        <w:rPr>
          <w:rFonts w:ascii="Times New Roman" w:eastAsia="Times New Roman" w:hAnsi="Times New Roman" w:cs="Times New Roman"/>
          <w:sz w:val="24"/>
          <w:szCs w:val="24"/>
          <w:lang w:val="es-EC" w:eastAsia="es-EC"/>
        </w:rPr>
        <w:fldChar w:fldCharType="separate"/>
      </w:r>
      <w:r w:rsidR="00BA0F27" w:rsidRPr="00CD1B10">
        <w:rPr>
          <w:rFonts w:ascii="Times New Roman" w:eastAsia="Times New Roman" w:hAnsi="Times New Roman" w:cs="Times New Roman"/>
          <w:sz w:val="24"/>
          <w:szCs w:val="24"/>
          <w:lang w:eastAsia="es-EC"/>
        </w:rPr>
        <w:t>(2023)</w:t>
      </w:r>
      <w:r w:rsidRPr="00947E67">
        <w:rPr>
          <w:rFonts w:ascii="Times New Roman" w:eastAsia="Times New Roman" w:hAnsi="Times New Roman" w:cs="Times New Roman"/>
          <w:sz w:val="24"/>
          <w:szCs w:val="24"/>
          <w:lang w:val="es-EC" w:eastAsia="es-EC"/>
        </w:rPr>
        <w:fldChar w:fldCharType="end"/>
      </w:r>
      <w:r w:rsidR="009E5911" w:rsidRPr="009E5911">
        <w:rPr>
          <w:rFonts w:ascii="Times New Roman" w:eastAsia="Times New Roman" w:hAnsi="Times New Roman" w:cs="Times New Roman"/>
          <w:sz w:val="24"/>
          <w:szCs w:val="24"/>
          <w:lang w:eastAsia="es-EC"/>
        </w:rPr>
        <w:t>,</w:t>
      </w:r>
      <w:r w:rsidR="008F526E" w:rsidRPr="00CD1B10">
        <w:rPr>
          <w:rFonts w:ascii="Times New Roman" w:eastAsia="Times New Roman" w:hAnsi="Times New Roman" w:cs="Times New Roman"/>
          <w:sz w:val="24"/>
          <w:szCs w:val="24"/>
          <w:lang w:eastAsia="es-EC"/>
        </w:rPr>
        <w:t xml:space="preserve"> they evaluate </w:t>
      </w:r>
      <w:r w:rsidR="00551D29" w:rsidRPr="00CD1B10">
        <w:rPr>
          <w:rFonts w:ascii="Times New Roman" w:eastAsia="Times New Roman" w:hAnsi="Times New Roman" w:cs="Times New Roman"/>
          <w:sz w:val="24"/>
          <w:szCs w:val="24"/>
          <w:lang w:eastAsia="es-EC"/>
        </w:rPr>
        <w:t xml:space="preserve">the impact of the relationship </w:t>
      </w:r>
      <w:r w:rsidR="00EC498C" w:rsidRPr="00CD1B10">
        <w:rPr>
          <w:rFonts w:ascii="Times New Roman" w:eastAsia="Times New Roman" w:hAnsi="Times New Roman" w:cs="Times New Roman"/>
          <w:sz w:val="24"/>
          <w:szCs w:val="24"/>
          <w:lang w:eastAsia="es-EC"/>
        </w:rPr>
        <w:t xml:space="preserve">between families and schools </w:t>
      </w:r>
      <w:r w:rsidR="00233DFA" w:rsidRPr="00CD1B10">
        <w:rPr>
          <w:rFonts w:ascii="Times New Roman" w:eastAsia="Times New Roman" w:hAnsi="Times New Roman" w:cs="Times New Roman"/>
          <w:sz w:val="24"/>
          <w:szCs w:val="24"/>
          <w:lang w:eastAsia="es-EC"/>
        </w:rPr>
        <w:t xml:space="preserve">in </w:t>
      </w:r>
      <w:r w:rsidR="0051371A" w:rsidRPr="00CD1B10">
        <w:rPr>
          <w:rFonts w:ascii="Times New Roman" w:eastAsia="Times New Roman" w:hAnsi="Times New Roman" w:cs="Times New Roman"/>
          <w:sz w:val="24"/>
          <w:szCs w:val="24"/>
          <w:lang w:eastAsia="es-EC"/>
        </w:rPr>
        <w:t xml:space="preserve">times of </w:t>
      </w:r>
      <w:r w:rsidR="009E5911">
        <w:rPr>
          <w:rFonts w:ascii="Times New Roman" w:eastAsia="Times New Roman" w:hAnsi="Times New Roman" w:cs="Times New Roman"/>
          <w:sz w:val="24"/>
          <w:szCs w:val="24"/>
          <w:lang w:eastAsia="es-EC"/>
        </w:rPr>
        <w:t>COVID-19</w:t>
      </w:r>
      <w:r w:rsidR="0051371A" w:rsidRPr="00CD1B10">
        <w:rPr>
          <w:rFonts w:ascii="Times New Roman" w:eastAsia="Times New Roman" w:hAnsi="Times New Roman" w:cs="Times New Roman"/>
          <w:sz w:val="24"/>
          <w:szCs w:val="24"/>
          <w:lang w:eastAsia="es-EC"/>
        </w:rPr>
        <w:t xml:space="preserve">. </w:t>
      </w:r>
      <w:r w:rsidR="00551D29" w:rsidRPr="00CD1B10">
        <w:rPr>
          <w:rFonts w:ascii="Times New Roman" w:eastAsia="Times New Roman" w:hAnsi="Times New Roman" w:cs="Times New Roman"/>
          <w:sz w:val="24"/>
          <w:szCs w:val="24"/>
          <w:lang w:eastAsia="es-EC"/>
        </w:rPr>
        <w:t>According to the study</w:t>
      </w:r>
      <w:r w:rsidR="008945DB" w:rsidRPr="00CD1B10">
        <w:rPr>
          <w:rFonts w:ascii="Times New Roman" w:eastAsia="Times New Roman" w:hAnsi="Times New Roman" w:cs="Times New Roman"/>
          <w:sz w:val="24"/>
          <w:szCs w:val="24"/>
          <w:lang w:eastAsia="es-EC"/>
        </w:rPr>
        <w:t xml:space="preserve">, parents </w:t>
      </w:r>
      <w:r w:rsidR="00EE1A20" w:rsidRPr="00CD1B10">
        <w:rPr>
          <w:rFonts w:ascii="Times New Roman" w:eastAsia="Times New Roman" w:hAnsi="Times New Roman" w:cs="Times New Roman"/>
          <w:sz w:val="24"/>
          <w:szCs w:val="24"/>
          <w:lang w:eastAsia="es-EC"/>
        </w:rPr>
        <w:t>reported</w:t>
      </w:r>
      <w:r w:rsidR="008945DB" w:rsidRPr="00CD1B10">
        <w:rPr>
          <w:rFonts w:ascii="Times New Roman" w:eastAsia="Times New Roman" w:hAnsi="Times New Roman" w:cs="Times New Roman"/>
          <w:sz w:val="24"/>
          <w:szCs w:val="24"/>
          <w:lang w:eastAsia="es-EC"/>
        </w:rPr>
        <w:t xml:space="preserve"> experiences </w:t>
      </w:r>
      <w:r w:rsidR="00166E08" w:rsidRPr="00CD1B10">
        <w:rPr>
          <w:rFonts w:ascii="Times New Roman" w:eastAsia="Times New Roman" w:hAnsi="Times New Roman" w:cs="Times New Roman"/>
          <w:sz w:val="24"/>
          <w:szCs w:val="24"/>
          <w:lang w:eastAsia="es-EC"/>
        </w:rPr>
        <w:t xml:space="preserve">of overload </w:t>
      </w:r>
      <w:r w:rsidR="0081613B" w:rsidRPr="00CD1B10">
        <w:rPr>
          <w:rFonts w:ascii="Times New Roman" w:eastAsia="Times New Roman" w:hAnsi="Times New Roman" w:cs="Times New Roman"/>
          <w:sz w:val="24"/>
          <w:szCs w:val="24"/>
          <w:lang w:eastAsia="es-EC"/>
        </w:rPr>
        <w:t xml:space="preserve">in the accompaniment of their children's education, as well as </w:t>
      </w:r>
      <w:r w:rsidR="00A874FA" w:rsidRPr="00CD1B10">
        <w:rPr>
          <w:rFonts w:ascii="Times New Roman" w:eastAsia="Times New Roman" w:hAnsi="Times New Roman" w:cs="Times New Roman"/>
          <w:sz w:val="24"/>
          <w:szCs w:val="24"/>
          <w:lang w:eastAsia="es-EC"/>
        </w:rPr>
        <w:t xml:space="preserve">a poor </w:t>
      </w:r>
      <w:r w:rsidR="008F526E" w:rsidRPr="00CD1B10">
        <w:rPr>
          <w:rFonts w:ascii="Times New Roman" w:eastAsia="Times New Roman" w:hAnsi="Times New Roman" w:cs="Times New Roman"/>
          <w:sz w:val="24"/>
          <w:szCs w:val="24"/>
          <w:lang w:eastAsia="es-EC"/>
        </w:rPr>
        <w:t xml:space="preserve">perception </w:t>
      </w:r>
      <w:r w:rsidR="00A874FA" w:rsidRPr="00CD1B10">
        <w:rPr>
          <w:rFonts w:ascii="Times New Roman" w:eastAsia="Times New Roman" w:hAnsi="Times New Roman" w:cs="Times New Roman"/>
          <w:sz w:val="24"/>
          <w:szCs w:val="24"/>
          <w:lang w:eastAsia="es-EC"/>
        </w:rPr>
        <w:t xml:space="preserve">of the quality of education and pedagogical loss </w:t>
      </w:r>
      <w:r w:rsidR="008F526E" w:rsidRPr="00CD1B10">
        <w:rPr>
          <w:rFonts w:ascii="Times New Roman" w:eastAsia="Times New Roman" w:hAnsi="Times New Roman" w:cs="Times New Roman"/>
          <w:sz w:val="24"/>
          <w:szCs w:val="24"/>
          <w:lang w:eastAsia="es-EC"/>
        </w:rPr>
        <w:t>in times of pandemic</w:t>
      </w:r>
      <w:r w:rsidR="009E5911">
        <w:rPr>
          <w:rFonts w:ascii="Times New Roman" w:eastAsia="Times New Roman" w:hAnsi="Times New Roman" w:cs="Times New Roman"/>
          <w:sz w:val="24"/>
          <w:szCs w:val="24"/>
          <w:lang w:eastAsia="es-EC"/>
        </w:rPr>
        <w:t>.</w:t>
      </w:r>
    </w:p>
    <w:p w14:paraId="2F94FAAE" w14:textId="2F783806" w:rsidR="003217C3" w:rsidRPr="00CD1B10" w:rsidRDefault="003217C3" w:rsidP="002F2142">
      <w:pPr>
        <w:spacing w:before="100" w:beforeAutospacing="1" w:after="100" w:afterAutospacing="1" w:line="360" w:lineRule="auto"/>
        <w:rPr>
          <w:rFonts w:ascii="Times New Roman" w:eastAsia="Times New Roman" w:hAnsi="Times New Roman" w:cs="Times New Roman"/>
          <w:b/>
          <w:bCs/>
          <w:sz w:val="24"/>
          <w:szCs w:val="24"/>
          <w:lang w:eastAsia="es-EC"/>
        </w:rPr>
      </w:pPr>
      <w:r w:rsidRPr="00CD1B10">
        <w:rPr>
          <w:rFonts w:ascii="Times New Roman" w:eastAsia="Times New Roman" w:hAnsi="Times New Roman" w:cs="Times New Roman"/>
          <w:b/>
          <w:bCs/>
          <w:sz w:val="24"/>
          <w:szCs w:val="24"/>
          <w:lang w:eastAsia="es-EC"/>
        </w:rPr>
        <w:t>Conclusion</w:t>
      </w:r>
    </w:p>
    <w:p w14:paraId="366BC2C4" w14:textId="05DE26B0" w:rsidR="00800E47" w:rsidRPr="00CD1B10" w:rsidRDefault="00800E47"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CD1B10">
        <w:rPr>
          <w:rFonts w:ascii="Times New Roman" w:eastAsia="Times New Roman" w:hAnsi="Times New Roman" w:cs="Times New Roman"/>
          <w:sz w:val="24"/>
          <w:szCs w:val="24"/>
          <w:lang w:eastAsia="es-EC"/>
        </w:rPr>
        <w:t xml:space="preserve">The present study showed a significant </w:t>
      </w:r>
      <w:r w:rsidR="00147C6A">
        <w:rPr>
          <w:rFonts w:ascii="Times New Roman" w:eastAsia="Times New Roman" w:hAnsi="Times New Roman" w:cs="Times New Roman"/>
          <w:sz w:val="24"/>
          <w:szCs w:val="24"/>
          <w:lang w:eastAsia="es-EC"/>
        </w:rPr>
        <w:t>relationship</w:t>
      </w:r>
      <w:r w:rsidRPr="00CD1B10">
        <w:rPr>
          <w:rFonts w:ascii="Times New Roman" w:eastAsia="Times New Roman" w:hAnsi="Times New Roman" w:cs="Times New Roman"/>
          <w:sz w:val="24"/>
          <w:szCs w:val="24"/>
          <w:lang w:eastAsia="es-EC"/>
        </w:rPr>
        <w:t xml:space="preserve"> between the level of parental stress and the ability to adapt to the virtual educational environment, highlighting the role of emotional coping as a protective factor in the face of technological challenges. The data </w:t>
      </w:r>
      <w:r w:rsidRPr="00CD1B10">
        <w:rPr>
          <w:rFonts w:ascii="Times New Roman" w:eastAsia="Times New Roman" w:hAnsi="Times New Roman" w:cs="Times New Roman"/>
          <w:sz w:val="24"/>
          <w:szCs w:val="24"/>
          <w:lang w:eastAsia="es-EC"/>
        </w:rPr>
        <w:lastRenderedPageBreak/>
        <w:t>reveal that the greater the capacity to cope with stress, the better the interaction of mothers and fathers with ICT-mediated educational processes. In turn, high perceptions of stress are associated with lower participation and communication in these environments, which limits their role of accompaniment.</w:t>
      </w:r>
    </w:p>
    <w:p w14:paraId="6C262584" w14:textId="655249DE" w:rsidR="007D4576" w:rsidRPr="00147C6A" w:rsidRDefault="00147C6A" w:rsidP="002F2142">
      <w:pPr>
        <w:spacing w:before="100" w:beforeAutospacing="1" w:after="100" w:afterAutospacing="1" w:line="360" w:lineRule="auto"/>
        <w:jc w:val="both"/>
        <w:rPr>
          <w:rFonts w:ascii="Times New Roman" w:eastAsia="Times New Roman" w:hAnsi="Times New Roman" w:cs="Times New Roman"/>
          <w:sz w:val="24"/>
          <w:szCs w:val="24"/>
          <w:lang w:eastAsia="es-EC"/>
        </w:rPr>
      </w:pPr>
      <w:r w:rsidRPr="00147C6A">
        <w:rPr>
          <w:rFonts w:ascii="Times New Roman" w:eastAsia="Times New Roman" w:hAnsi="Times New Roman" w:cs="Times New Roman"/>
          <w:sz w:val="24"/>
          <w:szCs w:val="24"/>
          <w:lang w:eastAsia="es-EC"/>
        </w:rPr>
        <w:t>Likewise, structural technological barriers were identified, such as the lack of internet access, low connection speeds, and insufficient devices, all of which negatively impact the educational experience at home and deepen access gaps. These findings reaffirm the need to implement comprehensive policies that strengthen families' digital capacities, ensure equitable connectivity, and provide emotional support to caregivers in times of crisis or digital transition.</w:t>
      </w:r>
    </w:p>
    <w:p w14:paraId="3974AB1D" w14:textId="6034FEF7" w:rsidR="00A73D05" w:rsidRPr="00E96C3B" w:rsidRDefault="00E96C3B" w:rsidP="002F2142">
      <w:pPr>
        <w:spacing w:before="100" w:beforeAutospacing="1" w:after="100" w:afterAutospacing="1" w:line="360" w:lineRule="auto"/>
        <w:jc w:val="both"/>
        <w:rPr>
          <w:rFonts w:ascii="Times New Roman" w:eastAsia="Times New Roman" w:hAnsi="Times New Roman" w:cs="Times New Roman"/>
          <w:b/>
          <w:bCs/>
          <w:sz w:val="24"/>
          <w:szCs w:val="24"/>
          <w:lang w:val="es-EC" w:eastAsia="es-EC"/>
        </w:rPr>
      </w:pPr>
      <w:r w:rsidRPr="00E96C3B">
        <w:rPr>
          <w:rFonts w:ascii="Times New Roman" w:eastAsia="Times New Roman" w:hAnsi="Times New Roman" w:cs="Times New Roman"/>
          <w:b/>
          <w:bCs/>
          <w:sz w:val="24"/>
          <w:szCs w:val="24"/>
          <w:lang w:val="es-EC" w:eastAsia="es-EC"/>
        </w:rPr>
        <w:t>References</w:t>
      </w:r>
    </w:p>
    <w:p w14:paraId="523DBE37" w14:textId="77777777" w:rsidR="00CD1B10" w:rsidRPr="001612E1" w:rsidRDefault="00CD1B10" w:rsidP="00CD1B10">
      <w:pPr>
        <w:pStyle w:val="Bibliografa"/>
        <w:rPr>
          <w:rFonts w:ascii="Times New Roman" w:hAnsi="Times New Roman" w:cs="Times New Roman"/>
          <w:sz w:val="24"/>
        </w:rPr>
      </w:pPr>
      <w:r>
        <w:rPr>
          <w:rFonts w:eastAsia="Times New Roman"/>
          <w:lang w:val="es-EC" w:eastAsia="es-EC"/>
        </w:rPr>
        <w:fldChar w:fldCharType="begin"/>
      </w:r>
      <w:r>
        <w:rPr>
          <w:rFonts w:eastAsia="Times New Roman"/>
          <w:lang w:val="es-EC" w:eastAsia="es-EC"/>
        </w:rPr>
        <w:instrText xml:space="preserve"> ADDIN ZOTERO_BIBL {"uncited":[],"omitted":[],"custom":[]} CSL_BIBLIOGRAPHY </w:instrText>
      </w:r>
      <w:r>
        <w:rPr>
          <w:rFonts w:eastAsia="Times New Roman"/>
          <w:lang w:val="es-EC" w:eastAsia="es-EC"/>
        </w:rPr>
        <w:fldChar w:fldCharType="separate"/>
      </w:r>
      <w:r w:rsidRPr="001612E1">
        <w:rPr>
          <w:rFonts w:ascii="Times New Roman" w:hAnsi="Times New Roman" w:cs="Times New Roman"/>
          <w:sz w:val="24"/>
          <w:lang w:val="es-EC"/>
        </w:rPr>
        <w:t xml:space="preserve">Antunes, S., &amp; Barreto, S. (2022a). </w:t>
      </w:r>
      <w:r w:rsidRPr="001612E1">
        <w:rPr>
          <w:rFonts w:ascii="Times New Roman" w:hAnsi="Times New Roman" w:cs="Times New Roman"/>
          <w:sz w:val="24"/>
        </w:rPr>
        <w:t xml:space="preserve">Design Education: The Impact of the COVID-19 Pandemic. </w:t>
      </w:r>
      <w:r w:rsidRPr="001612E1">
        <w:rPr>
          <w:rFonts w:ascii="Times New Roman" w:hAnsi="Times New Roman" w:cs="Times New Roman"/>
          <w:i/>
          <w:iCs/>
          <w:sz w:val="24"/>
        </w:rPr>
        <w:t>Springer Series in Design and Innovation</w:t>
      </w:r>
      <w:r w:rsidRPr="001612E1">
        <w:rPr>
          <w:rFonts w:ascii="Times New Roman" w:hAnsi="Times New Roman" w:cs="Times New Roman"/>
          <w:sz w:val="24"/>
        </w:rPr>
        <w:t xml:space="preserve">, </w:t>
      </w:r>
      <w:r w:rsidRPr="001612E1">
        <w:rPr>
          <w:rFonts w:ascii="Times New Roman" w:hAnsi="Times New Roman" w:cs="Times New Roman"/>
          <w:i/>
          <w:iCs/>
          <w:sz w:val="24"/>
        </w:rPr>
        <w:t>16</w:t>
      </w:r>
      <w:r w:rsidRPr="001612E1">
        <w:rPr>
          <w:rFonts w:ascii="Times New Roman" w:hAnsi="Times New Roman" w:cs="Times New Roman"/>
          <w:sz w:val="24"/>
        </w:rPr>
        <w:t>, 147–160. Scopus. https://doi.org/10.1007/978-3-030-79879-6_11</w:t>
      </w:r>
    </w:p>
    <w:p w14:paraId="25B720AB"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Antunes, S., &amp; Barreto, S. (2022b). Design Education: The Impact of the COVID-19 Pandemic. </w:t>
      </w:r>
      <w:r w:rsidRPr="001612E1">
        <w:rPr>
          <w:rFonts w:ascii="Times New Roman" w:hAnsi="Times New Roman" w:cs="Times New Roman"/>
          <w:i/>
          <w:iCs/>
          <w:sz w:val="24"/>
        </w:rPr>
        <w:t>Springer Series in Design and Innovation</w:t>
      </w:r>
      <w:r w:rsidRPr="001612E1">
        <w:rPr>
          <w:rFonts w:ascii="Times New Roman" w:hAnsi="Times New Roman" w:cs="Times New Roman"/>
          <w:sz w:val="24"/>
        </w:rPr>
        <w:t xml:space="preserve">, </w:t>
      </w:r>
      <w:r w:rsidRPr="001612E1">
        <w:rPr>
          <w:rFonts w:ascii="Times New Roman" w:hAnsi="Times New Roman" w:cs="Times New Roman"/>
          <w:i/>
          <w:iCs/>
          <w:sz w:val="24"/>
        </w:rPr>
        <w:t>16</w:t>
      </w:r>
      <w:r w:rsidRPr="001612E1">
        <w:rPr>
          <w:rFonts w:ascii="Times New Roman" w:hAnsi="Times New Roman" w:cs="Times New Roman"/>
          <w:sz w:val="24"/>
        </w:rPr>
        <w:t>, 147–160. Scopus. https://doi.org/10.1007/978-3-030-79879-6_11</w:t>
      </w:r>
    </w:p>
    <w:p w14:paraId="7D6D0E0B"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lang w:val="es-EC"/>
        </w:rPr>
        <w:t xml:space="preserve">Ato, M., López-García, J. J., &amp; Benavente, A. (2013). Un sistema de clasificación de los diseños de investigación en psicología. </w:t>
      </w:r>
      <w:r w:rsidRPr="001612E1">
        <w:rPr>
          <w:rFonts w:ascii="Times New Roman" w:hAnsi="Times New Roman" w:cs="Times New Roman"/>
          <w:i/>
          <w:iCs/>
          <w:sz w:val="24"/>
        </w:rPr>
        <w:t>Anales de Psicología / Annals of Psychology</w:t>
      </w:r>
      <w:r w:rsidRPr="001612E1">
        <w:rPr>
          <w:rFonts w:ascii="Times New Roman" w:hAnsi="Times New Roman" w:cs="Times New Roman"/>
          <w:sz w:val="24"/>
        </w:rPr>
        <w:t xml:space="preserve">, </w:t>
      </w:r>
      <w:r w:rsidRPr="001612E1">
        <w:rPr>
          <w:rFonts w:ascii="Times New Roman" w:hAnsi="Times New Roman" w:cs="Times New Roman"/>
          <w:i/>
          <w:iCs/>
          <w:sz w:val="24"/>
        </w:rPr>
        <w:t>29</w:t>
      </w:r>
      <w:r w:rsidRPr="001612E1">
        <w:rPr>
          <w:rFonts w:ascii="Times New Roman" w:hAnsi="Times New Roman" w:cs="Times New Roman"/>
          <w:sz w:val="24"/>
        </w:rPr>
        <w:t>(3), Article 3. https://doi.org/10.6018/analesps.29.3.178511</w:t>
      </w:r>
    </w:p>
    <w:p w14:paraId="5BC0B89A"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Beghetto, R. A. (2021). How Times of Crisis Serve as a Catalyst for Creative Action: An Agentic Perspective. </w:t>
      </w:r>
      <w:r w:rsidRPr="001612E1">
        <w:rPr>
          <w:rFonts w:ascii="Times New Roman" w:hAnsi="Times New Roman" w:cs="Times New Roman"/>
          <w:i/>
          <w:iCs/>
          <w:sz w:val="24"/>
        </w:rPr>
        <w:t>Frontiers in Psychology</w:t>
      </w:r>
      <w:r w:rsidRPr="001612E1">
        <w:rPr>
          <w:rFonts w:ascii="Times New Roman" w:hAnsi="Times New Roman" w:cs="Times New Roman"/>
          <w:sz w:val="24"/>
        </w:rPr>
        <w:t xml:space="preserve">, </w:t>
      </w:r>
      <w:r w:rsidRPr="001612E1">
        <w:rPr>
          <w:rFonts w:ascii="Times New Roman" w:hAnsi="Times New Roman" w:cs="Times New Roman"/>
          <w:i/>
          <w:iCs/>
          <w:sz w:val="24"/>
        </w:rPr>
        <w:t>11</w:t>
      </w:r>
      <w:r w:rsidRPr="001612E1">
        <w:rPr>
          <w:rFonts w:ascii="Times New Roman" w:hAnsi="Times New Roman" w:cs="Times New Roman"/>
          <w:sz w:val="24"/>
        </w:rPr>
        <w:t>. Scopus. https://doi.org/10.3389/fpsyg.2020.600685</w:t>
      </w:r>
    </w:p>
    <w:p w14:paraId="0B76C87C" w14:textId="77777777" w:rsidR="00CD1B10" w:rsidRPr="001612E1" w:rsidRDefault="00CD1B10" w:rsidP="00CD1B10">
      <w:pPr>
        <w:pStyle w:val="Bibliografa"/>
        <w:rPr>
          <w:rFonts w:ascii="Times New Roman" w:hAnsi="Times New Roman" w:cs="Times New Roman"/>
          <w:sz w:val="24"/>
          <w:lang w:val="es-EC"/>
        </w:rPr>
      </w:pPr>
      <w:r w:rsidRPr="001612E1">
        <w:rPr>
          <w:rFonts w:ascii="Times New Roman" w:hAnsi="Times New Roman" w:cs="Times New Roman"/>
          <w:sz w:val="24"/>
        </w:rPr>
        <w:t xml:space="preserve">Brečić, P., Jendričko, T., Vidović, D., Makarić, P., Ćurković, M., &amp; Ćelić, I. (2020). Impact of the COVID-19 pandemic on patients with anxiety and depressive disorders. </w:t>
      </w:r>
      <w:r w:rsidRPr="001612E1">
        <w:rPr>
          <w:rFonts w:ascii="Times New Roman" w:hAnsi="Times New Roman" w:cs="Times New Roman"/>
          <w:i/>
          <w:iCs/>
          <w:sz w:val="24"/>
          <w:lang w:val="es-EC"/>
        </w:rPr>
        <w:t>Medicus</w:t>
      </w:r>
      <w:r w:rsidRPr="001612E1">
        <w:rPr>
          <w:rFonts w:ascii="Times New Roman" w:hAnsi="Times New Roman" w:cs="Times New Roman"/>
          <w:sz w:val="24"/>
          <w:lang w:val="es-EC"/>
        </w:rPr>
        <w:t xml:space="preserve">, </w:t>
      </w:r>
      <w:r w:rsidRPr="001612E1">
        <w:rPr>
          <w:rFonts w:ascii="Times New Roman" w:hAnsi="Times New Roman" w:cs="Times New Roman"/>
          <w:i/>
          <w:iCs/>
          <w:sz w:val="24"/>
          <w:lang w:val="es-EC"/>
        </w:rPr>
        <w:t>29</w:t>
      </w:r>
      <w:r w:rsidRPr="001612E1">
        <w:rPr>
          <w:rFonts w:ascii="Times New Roman" w:hAnsi="Times New Roman" w:cs="Times New Roman"/>
          <w:sz w:val="24"/>
          <w:lang w:val="es-EC"/>
        </w:rPr>
        <w:t>(2), 237–242. Scopus.</w:t>
      </w:r>
    </w:p>
    <w:p w14:paraId="66F5FD09" w14:textId="77777777" w:rsidR="00CD1B10" w:rsidRPr="001612E1" w:rsidRDefault="00CD1B10" w:rsidP="00CD1B10">
      <w:pPr>
        <w:pStyle w:val="Bibliografa"/>
        <w:rPr>
          <w:rFonts w:ascii="Times New Roman" w:hAnsi="Times New Roman" w:cs="Times New Roman"/>
          <w:sz w:val="24"/>
          <w:lang w:val="es-EC"/>
        </w:rPr>
      </w:pPr>
      <w:r w:rsidRPr="001612E1">
        <w:rPr>
          <w:rFonts w:ascii="Times New Roman" w:hAnsi="Times New Roman" w:cs="Times New Roman"/>
          <w:sz w:val="24"/>
          <w:lang w:val="es-EC"/>
        </w:rPr>
        <w:lastRenderedPageBreak/>
        <w:t xml:space="preserve">Buitrago Ramírez, F., Ciurana Misol, R., Fernández Alonso, M. D. C., &amp; Tizón García, J. L. (2020). Salud mental en epidemias: Una perspectiva desde la Atención Primaria de Salud española. </w:t>
      </w:r>
      <w:r w:rsidRPr="001612E1">
        <w:rPr>
          <w:rFonts w:ascii="Times New Roman" w:hAnsi="Times New Roman" w:cs="Times New Roman"/>
          <w:i/>
          <w:iCs/>
          <w:sz w:val="24"/>
          <w:lang w:val="es-EC"/>
        </w:rPr>
        <w:t>Atención Primaria</w:t>
      </w:r>
      <w:r w:rsidRPr="001612E1">
        <w:rPr>
          <w:rFonts w:ascii="Times New Roman" w:hAnsi="Times New Roman" w:cs="Times New Roman"/>
          <w:sz w:val="24"/>
          <w:lang w:val="es-EC"/>
        </w:rPr>
        <w:t xml:space="preserve">, </w:t>
      </w:r>
      <w:r w:rsidRPr="001612E1">
        <w:rPr>
          <w:rFonts w:ascii="Times New Roman" w:hAnsi="Times New Roman" w:cs="Times New Roman"/>
          <w:i/>
          <w:iCs/>
          <w:sz w:val="24"/>
          <w:lang w:val="es-EC"/>
        </w:rPr>
        <w:t>52</w:t>
      </w:r>
      <w:r w:rsidRPr="001612E1">
        <w:rPr>
          <w:rFonts w:ascii="Times New Roman" w:hAnsi="Times New Roman" w:cs="Times New Roman"/>
          <w:sz w:val="24"/>
          <w:lang w:val="es-EC"/>
        </w:rPr>
        <w:t>, 93–113. https://doi.org/10.1016/j.aprim.2020.09.004</w:t>
      </w:r>
    </w:p>
    <w:p w14:paraId="05F920C2" w14:textId="19EEB513"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lang w:val="es-EC"/>
        </w:rPr>
        <w:t xml:space="preserve">Cersosimo, G., &amp; Marra, P. (2020). </w:t>
      </w:r>
      <w:r w:rsidRPr="001612E1">
        <w:rPr>
          <w:rFonts w:ascii="Times New Roman" w:hAnsi="Times New Roman" w:cs="Times New Roman"/>
          <w:sz w:val="24"/>
        </w:rPr>
        <w:t xml:space="preserve">In the Time of COVID-19: Love and Transformations in the Family. </w:t>
      </w:r>
      <w:r w:rsidRPr="001612E1">
        <w:rPr>
          <w:rFonts w:ascii="Times New Roman" w:hAnsi="Times New Roman" w:cs="Times New Roman"/>
          <w:i/>
          <w:iCs/>
          <w:sz w:val="24"/>
        </w:rPr>
        <w:t>Italian Sociological Review</w:t>
      </w:r>
      <w:r w:rsidRPr="001612E1">
        <w:rPr>
          <w:rFonts w:ascii="Times New Roman" w:hAnsi="Times New Roman" w:cs="Times New Roman"/>
          <w:sz w:val="24"/>
        </w:rPr>
        <w:t xml:space="preserve">, </w:t>
      </w:r>
      <w:r w:rsidRPr="001612E1">
        <w:rPr>
          <w:rFonts w:ascii="Times New Roman" w:hAnsi="Times New Roman" w:cs="Times New Roman"/>
          <w:i/>
          <w:iCs/>
          <w:sz w:val="24"/>
        </w:rPr>
        <w:t>Vol</w:t>
      </w:r>
      <w:r w:rsidR="00147C6A">
        <w:rPr>
          <w:rFonts w:ascii="Times New Roman" w:hAnsi="Times New Roman" w:cs="Times New Roman"/>
          <w:i/>
          <w:iCs/>
          <w:sz w:val="24"/>
        </w:rPr>
        <w:t>.</w:t>
      </w:r>
      <w:r w:rsidRPr="001612E1">
        <w:rPr>
          <w:rFonts w:ascii="Times New Roman" w:hAnsi="Times New Roman" w:cs="Times New Roman"/>
          <w:i/>
          <w:iCs/>
          <w:sz w:val="24"/>
        </w:rPr>
        <w:t xml:space="preserve"> 10</w:t>
      </w:r>
      <w:r w:rsidRPr="001612E1">
        <w:rPr>
          <w:rFonts w:ascii="Times New Roman" w:hAnsi="Times New Roman" w:cs="Times New Roman"/>
          <w:sz w:val="24"/>
        </w:rPr>
        <w:t>, 711 Pages. https://doi.org/10.13136/ISR.V10I3S.395</w:t>
      </w:r>
    </w:p>
    <w:p w14:paraId="416A67D3"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Chen, C. Y.-C., Byrne, E., &amp; Vélez, T. (2022). A Preliminary Study of COVID-19-related Stressors, Parenting Stress, and Parental Psychological Well-being Among Parents of School-age Children. </w:t>
      </w:r>
      <w:r w:rsidRPr="001612E1">
        <w:rPr>
          <w:rFonts w:ascii="Times New Roman" w:hAnsi="Times New Roman" w:cs="Times New Roman"/>
          <w:i/>
          <w:iCs/>
          <w:sz w:val="24"/>
        </w:rPr>
        <w:t>Journal of Child and Family Studies</w:t>
      </w:r>
      <w:r w:rsidRPr="001612E1">
        <w:rPr>
          <w:rFonts w:ascii="Times New Roman" w:hAnsi="Times New Roman" w:cs="Times New Roman"/>
          <w:sz w:val="24"/>
        </w:rPr>
        <w:t xml:space="preserve">, </w:t>
      </w:r>
      <w:r w:rsidRPr="001612E1">
        <w:rPr>
          <w:rFonts w:ascii="Times New Roman" w:hAnsi="Times New Roman" w:cs="Times New Roman"/>
          <w:i/>
          <w:iCs/>
          <w:sz w:val="24"/>
        </w:rPr>
        <w:t>31</w:t>
      </w:r>
      <w:r w:rsidRPr="001612E1">
        <w:rPr>
          <w:rFonts w:ascii="Times New Roman" w:hAnsi="Times New Roman" w:cs="Times New Roman"/>
          <w:sz w:val="24"/>
        </w:rPr>
        <w:t>(6), 1558–1569. Scopus. https://doi.org/10.1007/s10826-022-02321-1</w:t>
      </w:r>
    </w:p>
    <w:p w14:paraId="2A1DF015"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Cheng, S., Li, X., Luo, Y., Li , Q., Li, J., &amp; and Zhang, H. (2024). Psychological stress, parental involvement and parental views of school success for children during the COVID-19: A moderated model. </w:t>
      </w:r>
      <w:r w:rsidRPr="001612E1">
        <w:rPr>
          <w:rFonts w:ascii="Times New Roman" w:hAnsi="Times New Roman" w:cs="Times New Roman"/>
          <w:i/>
          <w:iCs/>
          <w:sz w:val="24"/>
        </w:rPr>
        <w:t>Asia Pacific Journal of Education</w:t>
      </w:r>
      <w:r w:rsidRPr="001612E1">
        <w:rPr>
          <w:rFonts w:ascii="Times New Roman" w:hAnsi="Times New Roman" w:cs="Times New Roman"/>
          <w:sz w:val="24"/>
        </w:rPr>
        <w:t xml:space="preserve">, </w:t>
      </w:r>
      <w:r w:rsidRPr="001612E1">
        <w:rPr>
          <w:rFonts w:ascii="Times New Roman" w:hAnsi="Times New Roman" w:cs="Times New Roman"/>
          <w:i/>
          <w:iCs/>
          <w:sz w:val="24"/>
        </w:rPr>
        <w:t>0</w:t>
      </w:r>
      <w:r w:rsidRPr="001612E1">
        <w:rPr>
          <w:rFonts w:ascii="Times New Roman" w:hAnsi="Times New Roman" w:cs="Times New Roman"/>
          <w:sz w:val="24"/>
        </w:rPr>
        <w:t>(0), 1–18. https://doi.org/10.1080/02188791.2024.2328230</w:t>
      </w:r>
    </w:p>
    <w:p w14:paraId="599014B8"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Cohen, S., Kamarck, T., &amp; Mermelstein, R. (1983). A global measure of perceived stress. </w:t>
      </w:r>
      <w:r w:rsidRPr="001612E1">
        <w:rPr>
          <w:rFonts w:ascii="Times New Roman" w:hAnsi="Times New Roman" w:cs="Times New Roman"/>
          <w:i/>
          <w:iCs/>
          <w:sz w:val="24"/>
        </w:rPr>
        <w:t>Journal of Health and Social Behavior</w:t>
      </w:r>
      <w:r w:rsidRPr="001612E1">
        <w:rPr>
          <w:rFonts w:ascii="Times New Roman" w:hAnsi="Times New Roman" w:cs="Times New Roman"/>
          <w:sz w:val="24"/>
        </w:rPr>
        <w:t xml:space="preserve">, </w:t>
      </w:r>
      <w:r w:rsidRPr="001612E1">
        <w:rPr>
          <w:rFonts w:ascii="Times New Roman" w:hAnsi="Times New Roman" w:cs="Times New Roman"/>
          <w:i/>
          <w:iCs/>
          <w:sz w:val="24"/>
        </w:rPr>
        <w:t>24</w:t>
      </w:r>
      <w:r w:rsidRPr="001612E1">
        <w:rPr>
          <w:rFonts w:ascii="Times New Roman" w:hAnsi="Times New Roman" w:cs="Times New Roman"/>
          <w:sz w:val="24"/>
        </w:rPr>
        <w:t>(4), 385–396. https://doi.org/10.2307/2136404</w:t>
      </w:r>
    </w:p>
    <w:p w14:paraId="0777AE70"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Coniglio, N. D., Hoxhaj, R., &amp; Jayet, H. (2025). Coping with education supply shocks: How COVID-19 affected parents’ time spent on children’s education. </w:t>
      </w:r>
      <w:r w:rsidRPr="001612E1">
        <w:rPr>
          <w:rFonts w:ascii="Times New Roman" w:hAnsi="Times New Roman" w:cs="Times New Roman"/>
          <w:i/>
          <w:iCs/>
          <w:sz w:val="24"/>
        </w:rPr>
        <w:t>Applied Economics Letters</w:t>
      </w:r>
      <w:r w:rsidRPr="001612E1">
        <w:rPr>
          <w:rFonts w:ascii="Times New Roman" w:hAnsi="Times New Roman" w:cs="Times New Roman"/>
          <w:sz w:val="24"/>
        </w:rPr>
        <w:t xml:space="preserve">, </w:t>
      </w:r>
      <w:r w:rsidRPr="001612E1">
        <w:rPr>
          <w:rFonts w:ascii="Times New Roman" w:hAnsi="Times New Roman" w:cs="Times New Roman"/>
          <w:i/>
          <w:iCs/>
          <w:sz w:val="24"/>
        </w:rPr>
        <w:t>32</w:t>
      </w:r>
      <w:r w:rsidRPr="001612E1">
        <w:rPr>
          <w:rFonts w:ascii="Times New Roman" w:hAnsi="Times New Roman" w:cs="Times New Roman"/>
          <w:sz w:val="24"/>
        </w:rPr>
        <w:t>(3), 346–350. Scopus. https://doi.org/10.1080/13504851.2023.2269625</w:t>
      </w:r>
    </w:p>
    <w:p w14:paraId="156BBF21"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Crandall, A., Daines, C., Hanson, C. L., &amp; Barnes, M. D. (2023). The effects of COVID-19 stressors and family life on anxiety and depression one-year into the </w:t>
      </w:r>
      <w:r w:rsidRPr="001612E1">
        <w:rPr>
          <w:rFonts w:ascii="Times New Roman" w:hAnsi="Times New Roman" w:cs="Times New Roman"/>
          <w:sz w:val="24"/>
        </w:rPr>
        <w:lastRenderedPageBreak/>
        <w:t xml:space="preserve">COVID-19 pandemic. </w:t>
      </w:r>
      <w:r w:rsidRPr="001612E1">
        <w:rPr>
          <w:rFonts w:ascii="Times New Roman" w:hAnsi="Times New Roman" w:cs="Times New Roman"/>
          <w:i/>
          <w:iCs/>
          <w:sz w:val="24"/>
        </w:rPr>
        <w:t>Family Process</w:t>
      </w:r>
      <w:r w:rsidRPr="001612E1">
        <w:rPr>
          <w:rFonts w:ascii="Times New Roman" w:hAnsi="Times New Roman" w:cs="Times New Roman"/>
          <w:sz w:val="24"/>
        </w:rPr>
        <w:t xml:space="preserve">, </w:t>
      </w:r>
      <w:r w:rsidRPr="001612E1">
        <w:rPr>
          <w:rFonts w:ascii="Times New Roman" w:hAnsi="Times New Roman" w:cs="Times New Roman"/>
          <w:i/>
          <w:iCs/>
          <w:sz w:val="24"/>
        </w:rPr>
        <w:t>62</w:t>
      </w:r>
      <w:r w:rsidRPr="001612E1">
        <w:rPr>
          <w:rFonts w:ascii="Times New Roman" w:hAnsi="Times New Roman" w:cs="Times New Roman"/>
          <w:sz w:val="24"/>
        </w:rPr>
        <w:t>(1), 336–351. https://doi.org/10.1111/famp.12771</w:t>
      </w:r>
    </w:p>
    <w:p w14:paraId="6190108E"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Damme, W. V., Dahake, R., Delamou, A., Ingelbeen, B., Wouters, E., Vanham, G., Pas, R. van de, Dossou, J.-P., Ir, P., Abimbola, S., Borght, S. V. der, Narayanan, D., Bloom, G., Engelgem, I. V., Ahmed, M. A. A., Kiendrébéogo, J. A., Verdonck, K., Brouwere, V. D., Bello, K., … Assefa, Y. (2020). The COVID-19 pandemic: Diverse contexts; different epidemics—how and why? </w:t>
      </w:r>
      <w:r w:rsidRPr="001612E1">
        <w:rPr>
          <w:rFonts w:ascii="Times New Roman" w:hAnsi="Times New Roman" w:cs="Times New Roman"/>
          <w:i/>
          <w:iCs/>
          <w:sz w:val="24"/>
        </w:rPr>
        <w:t>BMJ Global Health</w:t>
      </w:r>
      <w:r w:rsidRPr="001612E1">
        <w:rPr>
          <w:rFonts w:ascii="Times New Roman" w:hAnsi="Times New Roman" w:cs="Times New Roman"/>
          <w:sz w:val="24"/>
        </w:rPr>
        <w:t xml:space="preserve">, </w:t>
      </w:r>
      <w:r w:rsidRPr="001612E1">
        <w:rPr>
          <w:rFonts w:ascii="Times New Roman" w:hAnsi="Times New Roman" w:cs="Times New Roman"/>
          <w:i/>
          <w:iCs/>
          <w:sz w:val="24"/>
        </w:rPr>
        <w:t>5</w:t>
      </w:r>
      <w:r w:rsidRPr="001612E1">
        <w:rPr>
          <w:rFonts w:ascii="Times New Roman" w:hAnsi="Times New Roman" w:cs="Times New Roman"/>
          <w:sz w:val="24"/>
        </w:rPr>
        <w:t>(7). https://doi.org/10.1136/bmjgh-2020-003098</w:t>
      </w:r>
    </w:p>
    <w:p w14:paraId="6ED800EF"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Ferreras-Listán, M., Hunt-Gómez, C. I., Moreno-Crespo, P., &amp; Moreno-Fernández, O. (2021). School–family relations: An educational challenge in times of covid-19. </w:t>
      </w:r>
      <w:r w:rsidRPr="001612E1">
        <w:rPr>
          <w:rFonts w:ascii="Times New Roman" w:hAnsi="Times New Roman" w:cs="Times New Roman"/>
          <w:i/>
          <w:iCs/>
          <w:sz w:val="24"/>
        </w:rPr>
        <w:t>International Journal of Environmental Research and Public Health</w:t>
      </w:r>
      <w:r w:rsidRPr="001612E1">
        <w:rPr>
          <w:rFonts w:ascii="Times New Roman" w:hAnsi="Times New Roman" w:cs="Times New Roman"/>
          <w:sz w:val="24"/>
        </w:rPr>
        <w:t xml:space="preserve">, </w:t>
      </w:r>
      <w:r w:rsidRPr="001612E1">
        <w:rPr>
          <w:rFonts w:ascii="Times New Roman" w:hAnsi="Times New Roman" w:cs="Times New Roman"/>
          <w:i/>
          <w:iCs/>
          <w:sz w:val="24"/>
        </w:rPr>
        <w:t>18</w:t>
      </w:r>
      <w:r w:rsidRPr="001612E1">
        <w:rPr>
          <w:rFonts w:ascii="Times New Roman" w:hAnsi="Times New Roman" w:cs="Times New Roman"/>
          <w:sz w:val="24"/>
        </w:rPr>
        <w:t>(20). Scopus. https://doi.org/10.3390/ijerph182010681</w:t>
      </w:r>
    </w:p>
    <w:p w14:paraId="6FA8B97F"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Filip, R., Puscaselu, R. G., Anchidin Norocel, L., Dimian, M., &amp; Savage, W. (2022). </w:t>
      </w:r>
      <w:r w:rsidRPr="001612E1">
        <w:rPr>
          <w:rFonts w:ascii="Times New Roman" w:hAnsi="Times New Roman" w:cs="Times New Roman"/>
          <w:i/>
          <w:iCs/>
          <w:sz w:val="24"/>
        </w:rPr>
        <w:t>Global Challenges to Public Health Care Systems during the COVID-19 Pandemic: A Review of Pandemic Measures and Problems</w:t>
      </w:r>
      <w:r w:rsidRPr="001612E1">
        <w:rPr>
          <w:rFonts w:ascii="Times New Roman" w:hAnsi="Times New Roman" w:cs="Times New Roman"/>
          <w:sz w:val="24"/>
        </w:rPr>
        <w:t>. https://www.mdpi.com/2075-4426/12/8/1295</w:t>
      </w:r>
    </w:p>
    <w:p w14:paraId="36E133E6"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Garfin, D. R. (2020). Technology as a coping tool during the coronavirus disease 2019 (COVID-19) pandemic: Implications and recommendations. </w:t>
      </w:r>
      <w:r w:rsidRPr="001612E1">
        <w:rPr>
          <w:rFonts w:ascii="Times New Roman" w:hAnsi="Times New Roman" w:cs="Times New Roman"/>
          <w:i/>
          <w:iCs/>
          <w:sz w:val="24"/>
        </w:rPr>
        <w:t>Stress and Health</w:t>
      </w:r>
      <w:r w:rsidRPr="001612E1">
        <w:rPr>
          <w:rFonts w:ascii="Times New Roman" w:hAnsi="Times New Roman" w:cs="Times New Roman"/>
          <w:sz w:val="24"/>
        </w:rPr>
        <w:t xml:space="preserve">, </w:t>
      </w:r>
      <w:r w:rsidRPr="001612E1">
        <w:rPr>
          <w:rFonts w:ascii="Times New Roman" w:hAnsi="Times New Roman" w:cs="Times New Roman"/>
          <w:i/>
          <w:iCs/>
          <w:sz w:val="24"/>
        </w:rPr>
        <w:t>36</w:t>
      </w:r>
      <w:r w:rsidRPr="001612E1">
        <w:rPr>
          <w:rFonts w:ascii="Times New Roman" w:hAnsi="Times New Roman" w:cs="Times New Roman"/>
          <w:sz w:val="24"/>
        </w:rPr>
        <w:t>(4), 555–559. https://doi.org/10.1002/smi.2975</w:t>
      </w:r>
    </w:p>
    <w:p w14:paraId="7890D4A5" w14:textId="77777777" w:rsidR="00CD1B10" w:rsidRPr="001612E1" w:rsidRDefault="00CD1B10" w:rsidP="00CD1B10">
      <w:pPr>
        <w:pStyle w:val="Bibliografa"/>
        <w:rPr>
          <w:rFonts w:ascii="Times New Roman" w:hAnsi="Times New Roman" w:cs="Times New Roman"/>
          <w:sz w:val="24"/>
          <w:lang w:val="es-EC"/>
        </w:rPr>
      </w:pPr>
      <w:r w:rsidRPr="001612E1">
        <w:rPr>
          <w:rFonts w:ascii="Times New Roman" w:hAnsi="Times New Roman" w:cs="Times New Roman"/>
          <w:sz w:val="24"/>
        </w:rPr>
        <w:t xml:space="preserve">Gómez-Navas, D., &amp; Del Pilar Marín-Rivas, M. (2023). Education during lockdown in Colombia: A view at family-school relationships during the pandemic. </w:t>
      </w:r>
      <w:r w:rsidRPr="001612E1">
        <w:rPr>
          <w:rFonts w:ascii="Times New Roman" w:hAnsi="Times New Roman" w:cs="Times New Roman"/>
          <w:i/>
          <w:iCs/>
          <w:sz w:val="24"/>
          <w:lang w:val="es-EC"/>
        </w:rPr>
        <w:t>Revista Mexicana de Investigacion Educativa</w:t>
      </w:r>
      <w:r w:rsidRPr="001612E1">
        <w:rPr>
          <w:rFonts w:ascii="Times New Roman" w:hAnsi="Times New Roman" w:cs="Times New Roman"/>
          <w:sz w:val="24"/>
          <w:lang w:val="es-EC"/>
        </w:rPr>
        <w:t xml:space="preserve">, </w:t>
      </w:r>
      <w:r w:rsidRPr="001612E1">
        <w:rPr>
          <w:rFonts w:ascii="Times New Roman" w:hAnsi="Times New Roman" w:cs="Times New Roman"/>
          <w:i/>
          <w:iCs/>
          <w:sz w:val="24"/>
          <w:lang w:val="es-EC"/>
        </w:rPr>
        <w:t>28</w:t>
      </w:r>
      <w:r w:rsidRPr="001612E1">
        <w:rPr>
          <w:rFonts w:ascii="Times New Roman" w:hAnsi="Times New Roman" w:cs="Times New Roman"/>
          <w:sz w:val="24"/>
          <w:lang w:val="es-EC"/>
        </w:rPr>
        <w:t>(98), 837–862. Scopus.</w:t>
      </w:r>
    </w:p>
    <w:p w14:paraId="673AB2D4"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lang w:val="es-EC"/>
        </w:rPr>
        <w:t xml:space="preserve">Hernández Sampieri, R., &amp; Mendoza Torres, C. P. (2018). </w:t>
      </w:r>
      <w:r w:rsidRPr="001612E1">
        <w:rPr>
          <w:rFonts w:ascii="Times New Roman" w:hAnsi="Times New Roman" w:cs="Times New Roman"/>
          <w:i/>
          <w:iCs/>
          <w:sz w:val="24"/>
          <w:lang w:val="es-EC"/>
        </w:rPr>
        <w:t>Metodología de la investigación: Las rutas cuantitativa, cualitativa y mixta</w:t>
      </w:r>
      <w:r w:rsidRPr="001612E1">
        <w:rPr>
          <w:rFonts w:ascii="Times New Roman" w:hAnsi="Times New Roman" w:cs="Times New Roman"/>
          <w:sz w:val="24"/>
          <w:lang w:val="es-EC"/>
        </w:rPr>
        <w:t xml:space="preserve"> (First edition). </w:t>
      </w:r>
      <w:r w:rsidRPr="001612E1">
        <w:rPr>
          <w:rFonts w:ascii="Times New Roman" w:hAnsi="Times New Roman" w:cs="Times New Roman"/>
          <w:sz w:val="24"/>
        </w:rPr>
        <w:t>McGraw-Hill Education.</w:t>
      </w:r>
    </w:p>
    <w:p w14:paraId="51EB56A4"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lastRenderedPageBreak/>
        <w:t xml:space="preserve">Jia, J. S., Lu, X., Yuan, Y., Xu, G., Jia, J., &amp; Christakis, N. A. (2020). Population flow drives spatio-temporal distribution of COVID-19 in China. </w:t>
      </w:r>
      <w:r w:rsidRPr="001612E1">
        <w:rPr>
          <w:rFonts w:ascii="Times New Roman" w:hAnsi="Times New Roman" w:cs="Times New Roman"/>
          <w:i/>
          <w:iCs/>
          <w:sz w:val="24"/>
        </w:rPr>
        <w:t>Nature</w:t>
      </w:r>
      <w:r w:rsidRPr="001612E1">
        <w:rPr>
          <w:rFonts w:ascii="Times New Roman" w:hAnsi="Times New Roman" w:cs="Times New Roman"/>
          <w:sz w:val="24"/>
        </w:rPr>
        <w:t xml:space="preserve">, </w:t>
      </w:r>
      <w:r w:rsidRPr="001612E1">
        <w:rPr>
          <w:rFonts w:ascii="Times New Roman" w:hAnsi="Times New Roman" w:cs="Times New Roman"/>
          <w:i/>
          <w:iCs/>
          <w:sz w:val="24"/>
        </w:rPr>
        <w:t>582</w:t>
      </w:r>
      <w:r w:rsidRPr="001612E1">
        <w:rPr>
          <w:rFonts w:ascii="Times New Roman" w:hAnsi="Times New Roman" w:cs="Times New Roman"/>
          <w:sz w:val="24"/>
        </w:rPr>
        <w:t>(7812), 389–394. https://doi.org/10.1038/s41586-020-2284-y</w:t>
      </w:r>
    </w:p>
    <w:p w14:paraId="4C67B36F"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Kaisar, S. (2023). Alternative Assessment Practices in Higher Education during the COVID-19 Pandemic. </w:t>
      </w:r>
      <w:r w:rsidRPr="001612E1">
        <w:rPr>
          <w:rFonts w:ascii="Times New Roman" w:hAnsi="Times New Roman" w:cs="Times New Roman"/>
          <w:i/>
          <w:iCs/>
          <w:sz w:val="24"/>
        </w:rPr>
        <w:t>Journal of Learning and Educational Policy</w:t>
      </w:r>
      <w:r w:rsidRPr="001612E1">
        <w:rPr>
          <w:rFonts w:ascii="Times New Roman" w:hAnsi="Times New Roman" w:cs="Times New Roman"/>
          <w:sz w:val="24"/>
        </w:rPr>
        <w:t xml:space="preserve">, </w:t>
      </w:r>
      <w:r w:rsidRPr="001612E1">
        <w:rPr>
          <w:rFonts w:ascii="Times New Roman" w:hAnsi="Times New Roman" w:cs="Times New Roman"/>
          <w:i/>
          <w:iCs/>
          <w:sz w:val="24"/>
        </w:rPr>
        <w:t>3</w:t>
      </w:r>
      <w:r w:rsidRPr="001612E1">
        <w:rPr>
          <w:rFonts w:ascii="Times New Roman" w:hAnsi="Times New Roman" w:cs="Times New Roman"/>
          <w:sz w:val="24"/>
        </w:rPr>
        <w:t>(05), Article 05. https://doi.org/10.55529/jlep.35.37.43</w:t>
      </w:r>
    </w:p>
    <w:p w14:paraId="415B8BB5"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Krupina, N. A., &amp; Shirenova, S. D. (2024). Impaired Cognitive Functions in Prolonged Social Isolation: Results of Human Studies and Animal Experiments. </w:t>
      </w:r>
      <w:r w:rsidRPr="001612E1">
        <w:rPr>
          <w:rFonts w:ascii="Times New Roman" w:hAnsi="Times New Roman" w:cs="Times New Roman"/>
          <w:i/>
          <w:iCs/>
          <w:sz w:val="24"/>
        </w:rPr>
        <w:t>Neuroscience and Behavioral Physiology</w:t>
      </w:r>
      <w:r w:rsidRPr="001612E1">
        <w:rPr>
          <w:rFonts w:ascii="Times New Roman" w:hAnsi="Times New Roman" w:cs="Times New Roman"/>
          <w:sz w:val="24"/>
        </w:rPr>
        <w:t xml:space="preserve">, </w:t>
      </w:r>
      <w:r w:rsidRPr="001612E1">
        <w:rPr>
          <w:rFonts w:ascii="Times New Roman" w:hAnsi="Times New Roman" w:cs="Times New Roman"/>
          <w:i/>
          <w:iCs/>
          <w:sz w:val="24"/>
        </w:rPr>
        <w:t>54</w:t>
      </w:r>
      <w:r w:rsidRPr="001612E1">
        <w:rPr>
          <w:rFonts w:ascii="Times New Roman" w:hAnsi="Times New Roman" w:cs="Times New Roman"/>
          <w:sz w:val="24"/>
        </w:rPr>
        <w:t>(5), 749–763. Scopus. https://doi.org/10.1007/s11055-024-01655-1</w:t>
      </w:r>
    </w:p>
    <w:p w14:paraId="700B652F"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Länsimies-Antikainen, H., Laitinen, T., Rauramaa, R., &amp; Maija Pietilä, A. (2010). </w:t>
      </w:r>
      <w:r w:rsidRPr="001612E1">
        <w:rPr>
          <w:rFonts w:ascii="Times New Roman" w:hAnsi="Times New Roman" w:cs="Times New Roman"/>
          <w:i/>
          <w:iCs/>
          <w:sz w:val="24"/>
        </w:rPr>
        <w:t>Evaluation of informed consent in health research: A questionnaire survey</w:t>
      </w:r>
      <w:r w:rsidRPr="001612E1">
        <w:rPr>
          <w:rFonts w:ascii="Times New Roman" w:hAnsi="Times New Roman" w:cs="Times New Roman"/>
          <w:sz w:val="24"/>
        </w:rPr>
        <w:t>. https://onlinelibrary.wiley.com/doi/10.1111/j.1471-6712.2008.00684.x</w:t>
      </w:r>
    </w:p>
    <w:p w14:paraId="0035B264"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Mann, L. M., &amp; Walker, B. R. (2022). The role of equanimity in mediating the relationship between psychological distress and social isolation during COVID-19. </w:t>
      </w:r>
      <w:r w:rsidRPr="001612E1">
        <w:rPr>
          <w:rFonts w:ascii="Times New Roman" w:hAnsi="Times New Roman" w:cs="Times New Roman"/>
          <w:i/>
          <w:iCs/>
          <w:sz w:val="24"/>
        </w:rPr>
        <w:t>Journal of Affective Disorders</w:t>
      </w:r>
      <w:r w:rsidRPr="001612E1">
        <w:rPr>
          <w:rFonts w:ascii="Times New Roman" w:hAnsi="Times New Roman" w:cs="Times New Roman"/>
          <w:sz w:val="24"/>
        </w:rPr>
        <w:t xml:space="preserve">, </w:t>
      </w:r>
      <w:r w:rsidRPr="001612E1">
        <w:rPr>
          <w:rFonts w:ascii="Times New Roman" w:hAnsi="Times New Roman" w:cs="Times New Roman"/>
          <w:i/>
          <w:iCs/>
          <w:sz w:val="24"/>
        </w:rPr>
        <w:t>296</w:t>
      </w:r>
      <w:r w:rsidRPr="001612E1">
        <w:rPr>
          <w:rFonts w:ascii="Times New Roman" w:hAnsi="Times New Roman" w:cs="Times New Roman"/>
          <w:sz w:val="24"/>
        </w:rPr>
        <w:t>, 370–379. Scopus. https://doi.org/10.1016/j.jad.2021.09.087</w:t>
      </w:r>
    </w:p>
    <w:p w14:paraId="2709529D"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McVicar, M. (2015). Decisions in crisis—An examination. </w:t>
      </w:r>
      <w:r w:rsidRPr="001612E1">
        <w:rPr>
          <w:rFonts w:ascii="Times New Roman" w:hAnsi="Times New Roman" w:cs="Times New Roman"/>
          <w:i/>
          <w:iCs/>
          <w:sz w:val="24"/>
        </w:rPr>
        <w:t>Comparative Strategy</w:t>
      </w:r>
      <w:r w:rsidRPr="001612E1">
        <w:rPr>
          <w:rFonts w:ascii="Times New Roman" w:hAnsi="Times New Roman" w:cs="Times New Roman"/>
          <w:sz w:val="24"/>
        </w:rPr>
        <w:t xml:space="preserve">, </w:t>
      </w:r>
      <w:r w:rsidRPr="001612E1">
        <w:rPr>
          <w:rFonts w:ascii="Times New Roman" w:hAnsi="Times New Roman" w:cs="Times New Roman"/>
          <w:i/>
          <w:iCs/>
          <w:sz w:val="24"/>
        </w:rPr>
        <w:t>34</w:t>
      </w:r>
      <w:r w:rsidRPr="001612E1">
        <w:rPr>
          <w:rFonts w:ascii="Times New Roman" w:hAnsi="Times New Roman" w:cs="Times New Roman"/>
          <w:sz w:val="24"/>
        </w:rPr>
        <w:t>(1), 14–43. Scopus. https://doi.org/10.1080/01495933.2015.994403</w:t>
      </w:r>
    </w:p>
    <w:p w14:paraId="2BB311ED"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lang w:val="es-EC"/>
        </w:rPr>
        <w:t xml:space="preserve">Meitasari, I., Nugroho, F., &amp; Anugrahini, T. (2023). </w:t>
      </w:r>
      <w:r w:rsidRPr="001612E1">
        <w:rPr>
          <w:rFonts w:ascii="Times New Roman" w:hAnsi="Times New Roman" w:cs="Times New Roman"/>
          <w:sz w:val="24"/>
        </w:rPr>
        <w:t xml:space="preserve">Fostering Low-Income Family Resilience: Findings from Walsh Family Resilience Framework in Tapos Depok, Indonesia. </w:t>
      </w:r>
      <w:r w:rsidRPr="001612E1">
        <w:rPr>
          <w:rFonts w:ascii="Times New Roman" w:hAnsi="Times New Roman" w:cs="Times New Roman"/>
          <w:i/>
          <w:iCs/>
          <w:sz w:val="24"/>
        </w:rPr>
        <w:t>International Journal of Social Science Research and Review</w:t>
      </w:r>
      <w:r w:rsidRPr="001612E1">
        <w:rPr>
          <w:rFonts w:ascii="Times New Roman" w:hAnsi="Times New Roman" w:cs="Times New Roman"/>
          <w:sz w:val="24"/>
        </w:rPr>
        <w:t xml:space="preserve">, </w:t>
      </w:r>
      <w:r w:rsidRPr="001612E1">
        <w:rPr>
          <w:rFonts w:ascii="Times New Roman" w:hAnsi="Times New Roman" w:cs="Times New Roman"/>
          <w:i/>
          <w:iCs/>
          <w:sz w:val="24"/>
        </w:rPr>
        <w:t>6</w:t>
      </w:r>
      <w:r w:rsidRPr="001612E1">
        <w:rPr>
          <w:rFonts w:ascii="Times New Roman" w:hAnsi="Times New Roman" w:cs="Times New Roman"/>
          <w:sz w:val="24"/>
        </w:rPr>
        <w:t>(6), Article 6. https://doi.org/10.47814/ijssrr.v6i6.1154</w:t>
      </w:r>
    </w:p>
    <w:p w14:paraId="0FC37E80"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Morsut, C., &amp; Kruke, B. I. (2017). </w:t>
      </w:r>
      <w:r w:rsidRPr="001612E1">
        <w:rPr>
          <w:rFonts w:ascii="Times New Roman" w:hAnsi="Times New Roman" w:cs="Times New Roman"/>
          <w:i/>
          <w:iCs/>
          <w:sz w:val="24"/>
        </w:rPr>
        <w:t>Human factors in crisis governance: The l’aquila case</w:t>
      </w:r>
      <w:r w:rsidRPr="001612E1">
        <w:rPr>
          <w:rFonts w:ascii="Times New Roman" w:hAnsi="Times New Roman" w:cs="Times New Roman"/>
          <w:sz w:val="24"/>
        </w:rPr>
        <w:t>. 335–342. Scopus. https://doi.org/10.1201/9781315210469-45</w:t>
      </w:r>
    </w:p>
    <w:p w14:paraId="59D8C054"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lastRenderedPageBreak/>
        <w:t xml:space="preserve">Ogwu, E. N., Emelogu, N. U., Azor, R. O., &amp; Okwo, F. A. (2023). Educational Technology Adoption in Instructional Delivery in the New Global reality. </w:t>
      </w:r>
      <w:r w:rsidRPr="001612E1">
        <w:rPr>
          <w:rFonts w:ascii="Times New Roman" w:hAnsi="Times New Roman" w:cs="Times New Roman"/>
          <w:i/>
          <w:iCs/>
          <w:sz w:val="24"/>
        </w:rPr>
        <w:t>Education and Information Technologies</w:t>
      </w:r>
      <w:r w:rsidRPr="001612E1">
        <w:rPr>
          <w:rFonts w:ascii="Times New Roman" w:hAnsi="Times New Roman" w:cs="Times New Roman"/>
          <w:sz w:val="24"/>
        </w:rPr>
        <w:t xml:space="preserve">, </w:t>
      </w:r>
      <w:r w:rsidRPr="001612E1">
        <w:rPr>
          <w:rFonts w:ascii="Times New Roman" w:hAnsi="Times New Roman" w:cs="Times New Roman"/>
          <w:i/>
          <w:iCs/>
          <w:sz w:val="24"/>
        </w:rPr>
        <w:t>28</w:t>
      </w:r>
      <w:r w:rsidRPr="001612E1">
        <w:rPr>
          <w:rFonts w:ascii="Times New Roman" w:hAnsi="Times New Roman" w:cs="Times New Roman"/>
          <w:sz w:val="24"/>
        </w:rPr>
        <w:t>(1), 1065–1080. https://doi.org/10.1007/s10639-022-11203-4</w:t>
      </w:r>
    </w:p>
    <w:p w14:paraId="6B572975"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Omenn, G. S. (2010). Evolution and public health. </w:t>
      </w:r>
      <w:r w:rsidRPr="001612E1">
        <w:rPr>
          <w:rFonts w:ascii="Times New Roman" w:hAnsi="Times New Roman" w:cs="Times New Roman"/>
          <w:i/>
          <w:iCs/>
          <w:sz w:val="24"/>
        </w:rPr>
        <w:t>Proceedings of the National Academy of Sciences</w:t>
      </w:r>
      <w:r w:rsidRPr="001612E1">
        <w:rPr>
          <w:rFonts w:ascii="Times New Roman" w:hAnsi="Times New Roman" w:cs="Times New Roman"/>
          <w:sz w:val="24"/>
        </w:rPr>
        <w:t xml:space="preserve">, </w:t>
      </w:r>
      <w:r w:rsidRPr="001612E1">
        <w:rPr>
          <w:rFonts w:ascii="Times New Roman" w:hAnsi="Times New Roman" w:cs="Times New Roman"/>
          <w:i/>
          <w:iCs/>
          <w:sz w:val="24"/>
        </w:rPr>
        <w:t>107</w:t>
      </w:r>
      <w:r w:rsidRPr="001612E1">
        <w:rPr>
          <w:rFonts w:ascii="Times New Roman" w:hAnsi="Times New Roman" w:cs="Times New Roman"/>
          <w:sz w:val="24"/>
        </w:rPr>
        <w:t>(suppl_1), 1702–1709. https://doi.org/10.1073/pnas.0906198106</w:t>
      </w:r>
    </w:p>
    <w:p w14:paraId="09DE70A2" w14:textId="77777777" w:rsidR="00CD1B10" w:rsidRPr="001612E1" w:rsidRDefault="00CD1B10" w:rsidP="00CD1B10">
      <w:pPr>
        <w:pStyle w:val="Bibliografa"/>
        <w:rPr>
          <w:rFonts w:ascii="Times New Roman" w:hAnsi="Times New Roman" w:cs="Times New Roman"/>
          <w:sz w:val="24"/>
          <w:lang w:val="es-EC"/>
        </w:rPr>
      </w:pPr>
      <w:r w:rsidRPr="001612E1">
        <w:rPr>
          <w:rFonts w:ascii="Times New Roman" w:hAnsi="Times New Roman" w:cs="Times New Roman"/>
          <w:sz w:val="24"/>
          <w:lang w:val="es-EC"/>
        </w:rPr>
        <w:t xml:space="preserve">OMS. (2022). </w:t>
      </w:r>
      <w:r w:rsidRPr="001612E1">
        <w:rPr>
          <w:rFonts w:ascii="Times New Roman" w:hAnsi="Times New Roman" w:cs="Times New Roman"/>
          <w:i/>
          <w:iCs/>
          <w:sz w:val="24"/>
          <w:lang w:val="es-EC"/>
        </w:rPr>
        <w:t>Trastornos mentales</w:t>
      </w:r>
      <w:r w:rsidRPr="001612E1">
        <w:rPr>
          <w:rFonts w:ascii="Times New Roman" w:hAnsi="Times New Roman" w:cs="Times New Roman"/>
          <w:sz w:val="24"/>
          <w:lang w:val="es-EC"/>
        </w:rPr>
        <w:t>. https://www.who.int/es/news-room/fact-sheets/detail/mental-disorders</w:t>
      </w:r>
    </w:p>
    <w:p w14:paraId="3593A588"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Onyeaka, H., Anumudu, C., &amp; Mbaegbu, P. (2021). </w:t>
      </w:r>
      <w:r w:rsidRPr="001612E1">
        <w:rPr>
          <w:rFonts w:ascii="Times New Roman" w:hAnsi="Times New Roman" w:cs="Times New Roman"/>
          <w:i/>
          <w:iCs/>
          <w:sz w:val="24"/>
        </w:rPr>
        <w:t>COVID-19 pandemic: A review of the global lockdown and its far-reaching effects</w:t>
      </w:r>
      <w:r w:rsidRPr="001612E1">
        <w:rPr>
          <w:rFonts w:ascii="Times New Roman" w:hAnsi="Times New Roman" w:cs="Times New Roman"/>
          <w:sz w:val="24"/>
        </w:rPr>
        <w:t>. https://doi.org/10.1177/00368504211019854</w:t>
      </w:r>
    </w:p>
    <w:p w14:paraId="7C423276"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Passey, D. (2024). Lessons from Learner Home Engagement Prior to and during Covid-19: Are Parents and Guardians Prepared for Future Crises? </w:t>
      </w:r>
      <w:r w:rsidRPr="001612E1">
        <w:rPr>
          <w:rFonts w:ascii="Times New Roman" w:hAnsi="Times New Roman" w:cs="Times New Roman"/>
          <w:i/>
          <w:iCs/>
          <w:sz w:val="24"/>
        </w:rPr>
        <w:t>Journal of Information Processing</w:t>
      </w:r>
      <w:r w:rsidRPr="001612E1">
        <w:rPr>
          <w:rFonts w:ascii="Times New Roman" w:hAnsi="Times New Roman" w:cs="Times New Roman"/>
          <w:sz w:val="24"/>
        </w:rPr>
        <w:t xml:space="preserve">, </w:t>
      </w:r>
      <w:r w:rsidRPr="001612E1">
        <w:rPr>
          <w:rFonts w:ascii="Times New Roman" w:hAnsi="Times New Roman" w:cs="Times New Roman"/>
          <w:i/>
          <w:iCs/>
          <w:sz w:val="24"/>
        </w:rPr>
        <w:t>32</w:t>
      </w:r>
      <w:r w:rsidRPr="001612E1">
        <w:rPr>
          <w:rFonts w:ascii="Times New Roman" w:hAnsi="Times New Roman" w:cs="Times New Roman"/>
          <w:sz w:val="24"/>
        </w:rPr>
        <w:t>, 53–61. Scopus. https://doi.org/10.2197/ipsjjip.32.53</w:t>
      </w:r>
    </w:p>
    <w:p w14:paraId="1296D3D4"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Pire Rojas, A. (2020). </w:t>
      </w:r>
      <w:r w:rsidRPr="001612E1">
        <w:rPr>
          <w:rFonts w:ascii="Times New Roman" w:hAnsi="Times New Roman" w:cs="Times New Roman"/>
          <w:sz w:val="24"/>
          <w:lang w:val="es-EC"/>
        </w:rPr>
        <w:t xml:space="preserve">Instrumento para evaluar la relación escuela-familia en el proceso educativo virtual provocado por la Covid-19. </w:t>
      </w:r>
      <w:r w:rsidRPr="001612E1">
        <w:rPr>
          <w:rFonts w:ascii="Times New Roman" w:hAnsi="Times New Roman" w:cs="Times New Roman"/>
          <w:i/>
          <w:iCs/>
          <w:sz w:val="24"/>
        </w:rPr>
        <w:t>Conrado</w:t>
      </w:r>
      <w:r w:rsidRPr="001612E1">
        <w:rPr>
          <w:rFonts w:ascii="Times New Roman" w:hAnsi="Times New Roman" w:cs="Times New Roman"/>
          <w:sz w:val="24"/>
        </w:rPr>
        <w:t xml:space="preserve">, </w:t>
      </w:r>
      <w:r w:rsidRPr="001612E1">
        <w:rPr>
          <w:rFonts w:ascii="Times New Roman" w:hAnsi="Times New Roman" w:cs="Times New Roman"/>
          <w:i/>
          <w:iCs/>
          <w:sz w:val="24"/>
        </w:rPr>
        <w:t>16</w:t>
      </w:r>
      <w:r w:rsidRPr="001612E1">
        <w:rPr>
          <w:rFonts w:ascii="Times New Roman" w:hAnsi="Times New Roman" w:cs="Times New Roman"/>
          <w:sz w:val="24"/>
        </w:rPr>
        <w:t>(77), 298–306.</w:t>
      </w:r>
    </w:p>
    <w:p w14:paraId="3F492257"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Rangel-de Lázaro, G., &amp; Duart, J. (2023). </w:t>
      </w:r>
      <w:r w:rsidRPr="001612E1">
        <w:rPr>
          <w:rFonts w:ascii="Times New Roman" w:hAnsi="Times New Roman" w:cs="Times New Roman"/>
          <w:i/>
          <w:iCs/>
          <w:sz w:val="24"/>
        </w:rPr>
        <w:t>You Can Handle, You Can Teach It: Systematic Review on the Use of Extended Reality and Artificial Intelligence Technologies for Online Higher Education</w:t>
      </w:r>
      <w:r w:rsidRPr="001612E1">
        <w:rPr>
          <w:rFonts w:ascii="Times New Roman" w:hAnsi="Times New Roman" w:cs="Times New Roman"/>
          <w:sz w:val="24"/>
        </w:rPr>
        <w:t>. https://www.mdpi.com/2071-1050/15/4/3507</w:t>
      </w:r>
    </w:p>
    <w:p w14:paraId="73B73187"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lang w:val="es-EC"/>
        </w:rPr>
        <w:t xml:space="preserve">Remor, E., &amp; Carrobles, J. A. (2001). </w:t>
      </w:r>
      <w:r w:rsidRPr="001612E1">
        <w:rPr>
          <w:rFonts w:ascii="Times New Roman" w:hAnsi="Times New Roman" w:cs="Times New Roman"/>
          <w:i/>
          <w:iCs/>
          <w:sz w:val="24"/>
        </w:rPr>
        <w:t>Spanish version of the Perceived Stress Scale (PSS-14): Psychometric study in a HIV+ sample</w:t>
      </w:r>
      <w:r w:rsidRPr="001612E1">
        <w:rPr>
          <w:rFonts w:ascii="Times New Roman" w:hAnsi="Times New Roman" w:cs="Times New Roman"/>
          <w:sz w:val="24"/>
        </w:rPr>
        <w:t xml:space="preserve">. </w:t>
      </w:r>
      <w:r w:rsidRPr="001612E1">
        <w:rPr>
          <w:rFonts w:ascii="Times New Roman" w:hAnsi="Times New Roman" w:cs="Times New Roman"/>
          <w:i/>
          <w:iCs/>
          <w:sz w:val="24"/>
        </w:rPr>
        <w:t>7</w:t>
      </w:r>
      <w:r w:rsidRPr="001612E1">
        <w:rPr>
          <w:rFonts w:ascii="Times New Roman" w:hAnsi="Times New Roman" w:cs="Times New Roman"/>
          <w:sz w:val="24"/>
        </w:rPr>
        <w:t>, 195–201.</w:t>
      </w:r>
    </w:p>
    <w:p w14:paraId="55F404A6"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lastRenderedPageBreak/>
        <w:t xml:space="preserve">Sadia, Kashif, M., &amp; Shujjaudin, M. (2023). Covid-19 is A Catalyst for the Emergence of Information Technology in Education Institutes. </w:t>
      </w:r>
      <w:r w:rsidRPr="001612E1">
        <w:rPr>
          <w:rFonts w:ascii="Times New Roman" w:hAnsi="Times New Roman" w:cs="Times New Roman"/>
          <w:i/>
          <w:iCs/>
          <w:sz w:val="24"/>
        </w:rPr>
        <w:t>Journal of Development and Social Sciences</w:t>
      </w:r>
      <w:r w:rsidRPr="001612E1">
        <w:rPr>
          <w:rFonts w:ascii="Times New Roman" w:hAnsi="Times New Roman" w:cs="Times New Roman"/>
          <w:sz w:val="24"/>
        </w:rPr>
        <w:t xml:space="preserve">, </w:t>
      </w:r>
      <w:r w:rsidRPr="001612E1">
        <w:rPr>
          <w:rFonts w:ascii="Times New Roman" w:hAnsi="Times New Roman" w:cs="Times New Roman"/>
          <w:i/>
          <w:iCs/>
          <w:sz w:val="24"/>
        </w:rPr>
        <w:t>4</w:t>
      </w:r>
      <w:r w:rsidRPr="001612E1">
        <w:rPr>
          <w:rFonts w:ascii="Times New Roman" w:hAnsi="Times New Roman" w:cs="Times New Roman"/>
          <w:sz w:val="24"/>
        </w:rPr>
        <w:t>(2), Article 2. https://doi.org/10.47205/jdss.2023(4-II)44</w:t>
      </w:r>
    </w:p>
    <w:p w14:paraId="0D6330D8"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Shahid, R., &amp; Mughal, A. M. (2020). E-learning: A way out in COVID-19 Crisis. </w:t>
      </w:r>
      <w:r w:rsidRPr="001612E1">
        <w:rPr>
          <w:rFonts w:ascii="Times New Roman" w:hAnsi="Times New Roman" w:cs="Times New Roman"/>
          <w:i/>
          <w:iCs/>
          <w:sz w:val="24"/>
        </w:rPr>
        <w:t>Journal of Rawalpindi Medical College</w:t>
      </w:r>
      <w:r w:rsidRPr="001612E1">
        <w:rPr>
          <w:rFonts w:ascii="Times New Roman" w:hAnsi="Times New Roman" w:cs="Times New Roman"/>
          <w:sz w:val="24"/>
        </w:rPr>
        <w:t xml:space="preserve">, </w:t>
      </w:r>
      <w:r w:rsidRPr="001612E1">
        <w:rPr>
          <w:rFonts w:ascii="Times New Roman" w:hAnsi="Times New Roman" w:cs="Times New Roman"/>
          <w:i/>
          <w:iCs/>
          <w:sz w:val="24"/>
        </w:rPr>
        <w:t>24</w:t>
      </w:r>
      <w:r w:rsidRPr="001612E1">
        <w:rPr>
          <w:rFonts w:ascii="Times New Roman" w:hAnsi="Times New Roman" w:cs="Times New Roman"/>
          <w:sz w:val="24"/>
        </w:rPr>
        <w:t>(3), 180. https://doi.org/10.37939/jrmc.v24i3.1486</w:t>
      </w:r>
    </w:p>
    <w:p w14:paraId="31558E75"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lang w:val="es-EC"/>
        </w:rPr>
        <w:t xml:space="preserve">Sintema, E. J., &amp; Singogo, D. (2020). </w:t>
      </w:r>
      <w:r w:rsidRPr="001612E1">
        <w:rPr>
          <w:rFonts w:ascii="Times New Roman" w:hAnsi="Times New Roman" w:cs="Times New Roman"/>
          <w:sz w:val="24"/>
        </w:rPr>
        <w:t xml:space="preserve">Educational Preparedness of the Home Environment: A Technological Perspective Amidst Coronavirus (COVID-19) Outbreak. </w:t>
      </w:r>
      <w:r w:rsidRPr="001612E1">
        <w:rPr>
          <w:rFonts w:ascii="Times New Roman" w:hAnsi="Times New Roman" w:cs="Times New Roman"/>
          <w:i/>
          <w:iCs/>
          <w:sz w:val="24"/>
        </w:rPr>
        <w:t>International Journal of Professional Development, Learners and Learning</w:t>
      </w:r>
      <w:r w:rsidRPr="001612E1">
        <w:rPr>
          <w:rFonts w:ascii="Times New Roman" w:hAnsi="Times New Roman" w:cs="Times New Roman"/>
          <w:sz w:val="24"/>
        </w:rPr>
        <w:t xml:space="preserve">, </w:t>
      </w:r>
      <w:r w:rsidRPr="001612E1">
        <w:rPr>
          <w:rFonts w:ascii="Times New Roman" w:hAnsi="Times New Roman" w:cs="Times New Roman"/>
          <w:i/>
          <w:iCs/>
          <w:sz w:val="24"/>
        </w:rPr>
        <w:t>2</w:t>
      </w:r>
      <w:r w:rsidRPr="001612E1">
        <w:rPr>
          <w:rFonts w:ascii="Times New Roman" w:hAnsi="Times New Roman" w:cs="Times New Roman"/>
          <w:sz w:val="24"/>
        </w:rPr>
        <w:t>(1), ep2101. https://doi.org/10.30935/ijpdll/9290</w:t>
      </w:r>
    </w:p>
    <w:p w14:paraId="3A46FCFD"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Solehah, E., &amp; Ariantini, N. S. (2022). </w:t>
      </w:r>
      <w:r w:rsidRPr="001612E1">
        <w:rPr>
          <w:rFonts w:ascii="Times New Roman" w:hAnsi="Times New Roman" w:cs="Times New Roman"/>
          <w:i/>
          <w:iCs/>
          <w:sz w:val="24"/>
        </w:rPr>
        <w:t>Psycoeducation of the Resilience of the Family of Patients with Mental Disorders in Overcoming Psychosocial Problems in the Transition of the Covid-19 Pandemic in the Region Buleleng Regency of Bali | Journal Of Nursing Practice</w:t>
      </w:r>
      <w:r w:rsidRPr="001612E1">
        <w:rPr>
          <w:rFonts w:ascii="Times New Roman" w:hAnsi="Times New Roman" w:cs="Times New Roman"/>
          <w:sz w:val="24"/>
        </w:rPr>
        <w:t>. https://doi.org/10.30994/jnp.v6i1.277</w:t>
      </w:r>
    </w:p>
    <w:p w14:paraId="5064519F"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Stafford, G. E., Carlile Carter, H., Cole, L. B., Loraas, D. M., &amp; Gulwadi, G. B. (2023). Feeling WELL: COVID-19 and the Adoption of Wellness Themes in Interior Design Curricula. </w:t>
      </w:r>
      <w:r w:rsidRPr="001612E1">
        <w:rPr>
          <w:rFonts w:ascii="Times New Roman" w:hAnsi="Times New Roman" w:cs="Times New Roman"/>
          <w:i/>
          <w:iCs/>
          <w:sz w:val="24"/>
        </w:rPr>
        <w:t>Journal of Interior Design</w:t>
      </w:r>
      <w:r w:rsidRPr="001612E1">
        <w:rPr>
          <w:rFonts w:ascii="Times New Roman" w:hAnsi="Times New Roman" w:cs="Times New Roman"/>
          <w:sz w:val="24"/>
        </w:rPr>
        <w:t xml:space="preserve">, </w:t>
      </w:r>
      <w:r w:rsidRPr="001612E1">
        <w:rPr>
          <w:rFonts w:ascii="Times New Roman" w:hAnsi="Times New Roman" w:cs="Times New Roman"/>
          <w:i/>
          <w:iCs/>
          <w:sz w:val="24"/>
        </w:rPr>
        <w:t>48</w:t>
      </w:r>
      <w:r w:rsidRPr="001612E1">
        <w:rPr>
          <w:rFonts w:ascii="Times New Roman" w:hAnsi="Times New Roman" w:cs="Times New Roman"/>
          <w:sz w:val="24"/>
        </w:rPr>
        <w:t>(2), 119–138. Scopus. https://doi.org/10.1177/10717641231168593</w:t>
      </w:r>
    </w:p>
    <w:p w14:paraId="339C2731"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Struyf, A., van der Zanden, P., Cornelissen, F., Geijsel, F., Schreurs, B., Volman, M., Denessen, E., &amp; Sleegers, P. (2022). Exploring resilience: How five secondary schools resiliently shaped school-family partnerships with parents of disadvantaged students during the COVID-19 pandemic. </w:t>
      </w:r>
      <w:r w:rsidRPr="001612E1">
        <w:rPr>
          <w:rFonts w:ascii="Times New Roman" w:hAnsi="Times New Roman" w:cs="Times New Roman"/>
          <w:i/>
          <w:iCs/>
          <w:sz w:val="24"/>
        </w:rPr>
        <w:t>Pedagogische Studien</w:t>
      </w:r>
      <w:r w:rsidRPr="001612E1">
        <w:rPr>
          <w:rFonts w:ascii="Times New Roman" w:hAnsi="Times New Roman" w:cs="Times New Roman"/>
          <w:sz w:val="24"/>
        </w:rPr>
        <w:t xml:space="preserve">, </w:t>
      </w:r>
      <w:r w:rsidRPr="001612E1">
        <w:rPr>
          <w:rFonts w:ascii="Times New Roman" w:hAnsi="Times New Roman" w:cs="Times New Roman"/>
          <w:i/>
          <w:iCs/>
          <w:sz w:val="24"/>
        </w:rPr>
        <w:t>99</w:t>
      </w:r>
      <w:r w:rsidRPr="001612E1">
        <w:rPr>
          <w:rFonts w:ascii="Times New Roman" w:hAnsi="Times New Roman" w:cs="Times New Roman"/>
          <w:sz w:val="24"/>
        </w:rPr>
        <w:t>(3), 278–303. Scopus.</w:t>
      </w:r>
    </w:p>
    <w:p w14:paraId="089841E5"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lastRenderedPageBreak/>
        <w:t xml:space="preserve">Tekavc, J. (2023). Parental Involvement in the Educational Process as a Potential Factor in Tachers’ Experience of Work Stress | Journal of Elementary Education. </w:t>
      </w:r>
      <w:r w:rsidRPr="001612E1">
        <w:rPr>
          <w:rFonts w:ascii="Times New Roman" w:hAnsi="Times New Roman" w:cs="Times New Roman"/>
          <w:i/>
          <w:iCs/>
          <w:sz w:val="24"/>
        </w:rPr>
        <w:t>Journal of Elementary Education</w:t>
      </w:r>
      <w:r w:rsidRPr="001612E1">
        <w:rPr>
          <w:rFonts w:ascii="Times New Roman" w:hAnsi="Times New Roman" w:cs="Times New Roman"/>
          <w:sz w:val="24"/>
        </w:rPr>
        <w:t xml:space="preserve">, </w:t>
      </w:r>
      <w:r w:rsidRPr="001612E1">
        <w:rPr>
          <w:rFonts w:ascii="Times New Roman" w:hAnsi="Times New Roman" w:cs="Times New Roman"/>
          <w:i/>
          <w:iCs/>
          <w:sz w:val="24"/>
        </w:rPr>
        <w:t>16</w:t>
      </w:r>
      <w:r w:rsidRPr="001612E1">
        <w:rPr>
          <w:rFonts w:ascii="Times New Roman" w:hAnsi="Times New Roman" w:cs="Times New Roman"/>
          <w:sz w:val="24"/>
        </w:rPr>
        <w:t>(3). https://doi.org/10.18690/rei.16.3.3089</w:t>
      </w:r>
    </w:p>
    <w:p w14:paraId="54249F6B"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Thahir, M., Widiawati, W., &amp; Baitillah, N. (2023). The Post Pandemic Education: A Blended Learning Approach For Teaching And Learning In Higher Education in New Normal Era. </w:t>
      </w:r>
      <w:r w:rsidRPr="001612E1">
        <w:rPr>
          <w:rFonts w:ascii="Times New Roman" w:hAnsi="Times New Roman" w:cs="Times New Roman"/>
          <w:i/>
          <w:iCs/>
          <w:sz w:val="24"/>
        </w:rPr>
        <w:t>International Journal of Ethno-Sciences and Education Research</w:t>
      </w:r>
      <w:r w:rsidRPr="001612E1">
        <w:rPr>
          <w:rFonts w:ascii="Times New Roman" w:hAnsi="Times New Roman" w:cs="Times New Roman"/>
          <w:sz w:val="24"/>
        </w:rPr>
        <w:t xml:space="preserve">, </w:t>
      </w:r>
      <w:r w:rsidRPr="001612E1">
        <w:rPr>
          <w:rFonts w:ascii="Times New Roman" w:hAnsi="Times New Roman" w:cs="Times New Roman"/>
          <w:i/>
          <w:iCs/>
          <w:sz w:val="24"/>
        </w:rPr>
        <w:t>3</w:t>
      </w:r>
      <w:r w:rsidRPr="001612E1">
        <w:rPr>
          <w:rFonts w:ascii="Times New Roman" w:hAnsi="Times New Roman" w:cs="Times New Roman"/>
          <w:sz w:val="24"/>
        </w:rPr>
        <w:t>(3), Article 3. https://doi.org/10.46336/ijeer.v3i3.461</w:t>
      </w:r>
    </w:p>
    <w:p w14:paraId="1C04B2AD"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Ugochukwu Okwudili Matthew, Ado Saleh Kazaure, Jazuli Sanusi Kazaure, Ibrahim Muhammad Hassan, Andrew Chinonso Nwanakwaugwu, &amp; Nwamaka U. Okafor. (2022). Educational Technology Adaptation &amp; Implication for Media Technology Adoption in the Period of COVID-19. </w:t>
      </w:r>
      <w:r w:rsidRPr="001612E1">
        <w:rPr>
          <w:rFonts w:ascii="Times New Roman" w:hAnsi="Times New Roman" w:cs="Times New Roman"/>
          <w:i/>
          <w:iCs/>
          <w:sz w:val="24"/>
        </w:rPr>
        <w:t>Journal of Trends in Computer Science and Smart Technology</w:t>
      </w:r>
      <w:r w:rsidRPr="001612E1">
        <w:rPr>
          <w:rFonts w:ascii="Times New Roman" w:hAnsi="Times New Roman" w:cs="Times New Roman"/>
          <w:sz w:val="24"/>
        </w:rPr>
        <w:t xml:space="preserve">, </w:t>
      </w:r>
      <w:r w:rsidRPr="001612E1">
        <w:rPr>
          <w:rFonts w:ascii="Times New Roman" w:hAnsi="Times New Roman" w:cs="Times New Roman"/>
          <w:i/>
          <w:iCs/>
          <w:sz w:val="24"/>
        </w:rPr>
        <w:t>4</w:t>
      </w:r>
      <w:r w:rsidRPr="001612E1">
        <w:rPr>
          <w:rFonts w:ascii="Times New Roman" w:hAnsi="Times New Roman" w:cs="Times New Roman"/>
          <w:sz w:val="24"/>
        </w:rPr>
        <w:t>(4), 226–245. https://doi.org/10.36548/jtcsst.2022.4.002</w:t>
      </w:r>
    </w:p>
    <w:p w14:paraId="7B47526A"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van de Werfhorst, H. G., Kessenich, E., &amp; Geven, S. (2022). The digital divide in online education: Inequality in digital readiness of students and schools. </w:t>
      </w:r>
      <w:r w:rsidRPr="001612E1">
        <w:rPr>
          <w:rFonts w:ascii="Times New Roman" w:hAnsi="Times New Roman" w:cs="Times New Roman"/>
          <w:i/>
          <w:iCs/>
          <w:sz w:val="24"/>
        </w:rPr>
        <w:t>Computers and Education Open</w:t>
      </w:r>
      <w:r w:rsidRPr="001612E1">
        <w:rPr>
          <w:rFonts w:ascii="Times New Roman" w:hAnsi="Times New Roman" w:cs="Times New Roman"/>
          <w:sz w:val="24"/>
        </w:rPr>
        <w:t xml:space="preserve">, </w:t>
      </w:r>
      <w:r w:rsidRPr="001612E1">
        <w:rPr>
          <w:rFonts w:ascii="Times New Roman" w:hAnsi="Times New Roman" w:cs="Times New Roman"/>
          <w:i/>
          <w:iCs/>
          <w:sz w:val="24"/>
        </w:rPr>
        <w:t>3</w:t>
      </w:r>
      <w:r w:rsidRPr="001612E1">
        <w:rPr>
          <w:rFonts w:ascii="Times New Roman" w:hAnsi="Times New Roman" w:cs="Times New Roman"/>
          <w:sz w:val="24"/>
        </w:rPr>
        <w:t>, 100100. https://doi.org/10.1016/j.caeo.2022.100100</w:t>
      </w:r>
    </w:p>
    <w:p w14:paraId="7A3195DB"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Velavan, T., &amp; Meyer, C. (2020). </w:t>
      </w:r>
      <w:r w:rsidRPr="001612E1">
        <w:rPr>
          <w:rFonts w:ascii="Times New Roman" w:hAnsi="Times New Roman" w:cs="Times New Roman"/>
          <w:i/>
          <w:iCs/>
          <w:sz w:val="24"/>
        </w:rPr>
        <w:t>The COVID‐19 epidemic—Velavan—2020—Tropical Medicine &amp; International Health—Wiley Online Library</w:t>
      </w:r>
      <w:r w:rsidRPr="001612E1">
        <w:rPr>
          <w:rFonts w:ascii="Times New Roman" w:hAnsi="Times New Roman" w:cs="Times New Roman"/>
          <w:sz w:val="24"/>
        </w:rPr>
        <w:t>. https://onlinelibrary.wiley.com/doi/10.1111/tmi.13383</w:t>
      </w:r>
    </w:p>
    <w:p w14:paraId="5B4EDB62"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Walper, S., Ulrich, S. M., &amp; Kindler, H. (2023). Familiale Belastungsfaktoren für die emotionale Entwicklung junger Kinder. </w:t>
      </w:r>
      <w:r w:rsidRPr="001612E1">
        <w:rPr>
          <w:rFonts w:ascii="Times New Roman" w:hAnsi="Times New Roman" w:cs="Times New Roman"/>
          <w:i/>
          <w:iCs/>
          <w:sz w:val="24"/>
        </w:rPr>
        <w:t>Bundesgesundheitsblatt - Gesundheitsforschung - Gesundheitsschutz</w:t>
      </w:r>
      <w:r w:rsidRPr="001612E1">
        <w:rPr>
          <w:rFonts w:ascii="Times New Roman" w:hAnsi="Times New Roman" w:cs="Times New Roman"/>
          <w:sz w:val="24"/>
        </w:rPr>
        <w:t xml:space="preserve">, </w:t>
      </w:r>
      <w:r w:rsidRPr="001612E1">
        <w:rPr>
          <w:rFonts w:ascii="Times New Roman" w:hAnsi="Times New Roman" w:cs="Times New Roman"/>
          <w:i/>
          <w:iCs/>
          <w:sz w:val="24"/>
        </w:rPr>
        <w:t>66</w:t>
      </w:r>
      <w:r w:rsidRPr="001612E1">
        <w:rPr>
          <w:rFonts w:ascii="Times New Roman" w:hAnsi="Times New Roman" w:cs="Times New Roman"/>
          <w:sz w:val="24"/>
        </w:rPr>
        <w:t>(7), 717–726. https://doi.org/10.1007/s00103-023-03730-3</w:t>
      </w:r>
    </w:p>
    <w:p w14:paraId="7B431CEF"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Wang, L., Nabi, G., Zuo, L., Wu, Y., &amp; Li, D. (2022). Impacts of the COVID-19 Pandemic on Mental Health and Potential Solutions in Different Members in an </w:t>
      </w:r>
      <w:r w:rsidRPr="001612E1">
        <w:rPr>
          <w:rFonts w:ascii="Times New Roman" w:hAnsi="Times New Roman" w:cs="Times New Roman"/>
          <w:sz w:val="24"/>
        </w:rPr>
        <w:lastRenderedPageBreak/>
        <w:t xml:space="preserve">Ordinary Family Unit. </w:t>
      </w:r>
      <w:r w:rsidRPr="001612E1">
        <w:rPr>
          <w:rFonts w:ascii="Times New Roman" w:hAnsi="Times New Roman" w:cs="Times New Roman"/>
          <w:i/>
          <w:iCs/>
          <w:sz w:val="24"/>
        </w:rPr>
        <w:t>Frontiers in Psychiatry</w:t>
      </w:r>
      <w:r w:rsidRPr="001612E1">
        <w:rPr>
          <w:rFonts w:ascii="Times New Roman" w:hAnsi="Times New Roman" w:cs="Times New Roman"/>
          <w:sz w:val="24"/>
        </w:rPr>
        <w:t xml:space="preserve">, </w:t>
      </w:r>
      <w:r w:rsidRPr="001612E1">
        <w:rPr>
          <w:rFonts w:ascii="Times New Roman" w:hAnsi="Times New Roman" w:cs="Times New Roman"/>
          <w:i/>
          <w:iCs/>
          <w:sz w:val="24"/>
        </w:rPr>
        <w:t>12</w:t>
      </w:r>
      <w:r w:rsidRPr="001612E1">
        <w:rPr>
          <w:rFonts w:ascii="Times New Roman" w:hAnsi="Times New Roman" w:cs="Times New Roman"/>
          <w:sz w:val="24"/>
        </w:rPr>
        <w:t>, 735653. https://doi.org/10.3389/fpsyt.2021.735653</w:t>
      </w:r>
    </w:p>
    <w:p w14:paraId="58B9F0F6"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Zhang, X. (2021). Barriers and benefits of primary caregivers’ involvement in children’s education during COVID-19 school closures. </w:t>
      </w:r>
      <w:r w:rsidRPr="001612E1">
        <w:rPr>
          <w:rFonts w:ascii="Times New Roman" w:hAnsi="Times New Roman" w:cs="Times New Roman"/>
          <w:i/>
          <w:iCs/>
          <w:sz w:val="24"/>
        </w:rPr>
        <w:t>International Journal of Disaster Risk Reduction</w:t>
      </w:r>
      <w:r w:rsidRPr="001612E1">
        <w:rPr>
          <w:rFonts w:ascii="Times New Roman" w:hAnsi="Times New Roman" w:cs="Times New Roman"/>
          <w:sz w:val="24"/>
        </w:rPr>
        <w:t xml:space="preserve">, </w:t>
      </w:r>
      <w:r w:rsidRPr="001612E1">
        <w:rPr>
          <w:rFonts w:ascii="Times New Roman" w:hAnsi="Times New Roman" w:cs="Times New Roman"/>
          <w:i/>
          <w:iCs/>
          <w:sz w:val="24"/>
        </w:rPr>
        <w:t>66</w:t>
      </w:r>
      <w:r w:rsidRPr="001612E1">
        <w:rPr>
          <w:rFonts w:ascii="Times New Roman" w:hAnsi="Times New Roman" w:cs="Times New Roman"/>
          <w:sz w:val="24"/>
        </w:rPr>
        <w:t>. Scopus. https://doi.org/10.1016/j.ijdrr.2021.102570</w:t>
      </w:r>
    </w:p>
    <w:p w14:paraId="705DFC2F" w14:textId="77777777" w:rsidR="00CD1B10" w:rsidRPr="001612E1" w:rsidRDefault="00CD1B10" w:rsidP="00CD1B10">
      <w:pPr>
        <w:pStyle w:val="Bibliografa"/>
        <w:rPr>
          <w:rFonts w:ascii="Times New Roman" w:hAnsi="Times New Roman" w:cs="Times New Roman"/>
          <w:sz w:val="24"/>
        </w:rPr>
      </w:pPr>
      <w:r w:rsidRPr="001612E1">
        <w:rPr>
          <w:rFonts w:ascii="Times New Roman" w:hAnsi="Times New Roman" w:cs="Times New Roman"/>
          <w:sz w:val="24"/>
        </w:rPr>
        <w:t xml:space="preserve">Zhu, K., Wang, S., Yue, Y., Smith, B. A., Zhang, Z.-F., Freudenheim, J. L., Niu, Z., Zhang, J., Smith, E., Ye, J., Cao, Y., Zhang, J., Hennessy, D. A., Lei, L., &amp; Mu, L. (2023). Disparities in insecurity, social support, and family relationships in association with poor mental health among US adults during the COVID-19 pandemic. </w:t>
      </w:r>
      <w:r w:rsidRPr="001612E1">
        <w:rPr>
          <w:rFonts w:ascii="Times New Roman" w:hAnsi="Times New Roman" w:cs="Times New Roman"/>
          <w:i/>
          <w:iCs/>
          <w:sz w:val="24"/>
        </w:rPr>
        <w:t>Scientific Reports</w:t>
      </w:r>
      <w:r w:rsidRPr="001612E1">
        <w:rPr>
          <w:rFonts w:ascii="Times New Roman" w:hAnsi="Times New Roman" w:cs="Times New Roman"/>
          <w:sz w:val="24"/>
        </w:rPr>
        <w:t xml:space="preserve">, </w:t>
      </w:r>
      <w:r w:rsidRPr="001612E1">
        <w:rPr>
          <w:rFonts w:ascii="Times New Roman" w:hAnsi="Times New Roman" w:cs="Times New Roman"/>
          <w:i/>
          <w:iCs/>
          <w:sz w:val="24"/>
        </w:rPr>
        <w:t>13</w:t>
      </w:r>
      <w:r w:rsidRPr="001612E1">
        <w:rPr>
          <w:rFonts w:ascii="Times New Roman" w:hAnsi="Times New Roman" w:cs="Times New Roman"/>
          <w:sz w:val="24"/>
        </w:rPr>
        <w:t>(1), 9731. https://doi.org/10.1038/s41598-023-35981-0</w:t>
      </w:r>
    </w:p>
    <w:p w14:paraId="60A089B6" w14:textId="77777777" w:rsidR="00CD1B10" w:rsidRPr="002F2142" w:rsidRDefault="00CD1B10" w:rsidP="00CD1B10">
      <w:pPr>
        <w:pStyle w:val="Bibliografa"/>
        <w:ind w:left="0" w:firstLine="0"/>
        <w:rPr>
          <w:rFonts w:ascii="Times New Roman" w:eastAsia="Times New Roman" w:hAnsi="Times New Roman" w:cs="Times New Roman"/>
          <w:sz w:val="24"/>
          <w:szCs w:val="24"/>
          <w:lang w:val="es-EC" w:eastAsia="es-EC"/>
        </w:rPr>
      </w:pPr>
      <w:r>
        <w:rPr>
          <w:rFonts w:ascii="Times New Roman" w:eastAsia="Times New Roman" w:hAnsi="Times New Roman" w:cs="Times New Roman"/>
          <w:sz w:val="24"/>
          <w:szCs w:val="24"/>
          <w:lang w:val="es-EC" w:eastAsia="es-EC"/>
        </w:rPr>
        <w:fldChar w:fldCharType="end"/>
      </w:r>
    </w:p>
    <w:p w14:paraId="51F99392" w14:textId="6D3CD82A" w:rsidR="008C0559" w:rsidRPr="002F2142" w:rsidRDefault="008C0559" w:rsidP="00CD1B10">
      <w:pPr>
        <w:pStyle w:val="Bibliografa"/>
        <w:rPr>
          <w:rFonts w:ascii="Times New Roman" w:eastAsia="Times New Roman" w:hAnsi="Times New Roman" w:cs="Times New Roman"/>
          <w:sz w:val="24"/>
          <w:szCs w:val="24"/>
          <w:lang w:val="es-EC" w:eastAsia="es-EC"/>
        </w:rPr>
      </w:pPr>
    </w:p>
    <w:sectPr w:rsidR="008C0559" w:rsidRPr="002F2142" w:rsidSect="000B62D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0BE7" w14:textId="77777777" w:rsidR="00486D00" w:rsidRDefault="00486D00" w:rsidP="00FD1263">
      <w:pPr>
        <w:spacing w:after="0" w:line="240" w:lineRule="auto"/>
      </w:pPr>
      <w:r>
        <w:separator/>
      </w:r>
    </w:p>
  </w:endnote>
  <w:endnote w:type="continuationSeparator" w:id="0">
    <w:p w14:paraId="3E49880B" w14:textId="77777777" w:rsidR="00486D00" w:rsidRDefault="00486D00" w:rsidP="00FD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C51F" w14:textId="77777777" w:rsidR="00486D00" w:rsidRDefault="00486D00" w:rsidP="00FD1263">
      <w:pPr>
        <w:spacing w:after="0" w:line="240" w:lineRule="auto"/>
      </w:pPr>
      <w:r>
        <w:separator/>
      </w:r>
    </w:p>
  </w:footnote>
  <w:footnote w:type="continuationSeparator" w:id="0">
    <w:p w14:paraId="6B9B5AB4" w14:textId="77777777" w:rsidR="00486D00" w:rsidRDefault="00486D00" w:rsidP="00FD1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56F3D"/>
    <w:multiLevelType w:val="hybridMultilevel"/>
    <w:tmpl w:val="CBB0DA7E"/>
    <w:lvl w:ilvl="0" w:tplc="29449E50">
      <w:start w:val="1"/>
      <w:numFmt w:val="decimal"/>
      <w:lvlText w:val="%1"/>
      <w:lvlJc w:val="left"/>
      <w:pPr>
        <w:ind w:left="473" w:hanging="360"/>
      </w:pPr>
      <w:rPr>
        <w:rFonts w:hint="default"/>
      </w:rPr>
    </w:lvl>
    <w:lvl w:ilvl="1" w:tplc="300A0019" w:tentative="1">
      <w:start w:val="1"/>
      <w:numFmt w:val="lowerLetter"/>
      <w:lvlText w:val="%2."/>
      <w:lvlJc w:val="left"/>
      <w:pPr>
        <w:ind w:left="1193" w:hanging="360"/>
      </w:pPr>
    </w:lvl>
    <w:lvl w:ilvl="2" w:tplc="300A001B" w:tentative="1">
      <w:start w:val="1"/>
      <w:numFmt w:val="lowerRoman"/>
      <w:lvlText w:val="%3."/>
      <w:lvlJc w:val="right"/>
      <w:pPr>
        <w:ind w:left="1913" w:hanging="180"/>
      </w:pPr>
    </w:lvl>
    <w:lvl w:ilvl="3" w:tplc="300A000F" w:tentative="1">
      <w:start w:val="1"/>
      <w:numFmt w:val="decimal"/>
      <w:lvlText w:val="%4."/>
      <w:lvlJc w:val="left"/>
      <w:pPr>
        <w:ind w:left="2633" w:hanging="360"/>
      </w:pPr>
    </w:lvl>
    <w:lvl w:ilvl="4" w:tplc="300A0019" w:tentative="1">
      <w:start w:val="1"/>
      <w:numFmt w:val="lowerLetter"/>
      <w:lvlText w:val="%5."/>
      <w:lvlJc w:val="left"/>
      <w:pPr>
        <w:ind w:left="3353" w:hanging="360"/>
      </w:pPr>
    </w:lvl>
    <w:lvl w:ilvl="5" w:tplc="300A001B" w:tentative="1">
      <w:start w:val="1"/>
      <w:numFmt w:val="lowerRoman"/>
      <w:lvlText w:val="%6."/>
      <w:lvlJc w:val="right"/>
      <w:pPr>
        <w:ind w:left="4073" w:hanging="180"/>
      </w:pPr>
    </w:lvl>
    <w:lvl w:ilvl="6" w:tplc="300A000F" w:tentative="1">
      <w:start w:val="1"/>
      <w:numFmt w:val="decimal"/>
      <w:lvlText w:val="%7."/>
      <w:lvlJc w:val="left"/>
      <w:pPr>
        <w:ind w:left="4793" w:hanging="360"/>
      </w:pPr>
    </w:lvl>
    <w:lvl w:ilvl="7" w:tplc="300A0019" w:tentative="1">
      <w:start w:val="1"/>
      <w:numFmt w:val="lowerLetter"/>
      <w:lvlText w:val="%8."/>
      <w:lvlJc w:val="left"/>
      <w:pPr>
        <w:ind w:left="5513" w:hanging="360"/>
      </w:pPr>
    </w:lvl>
    <w:lvl w:ilvl="8" w:tplc="300A001B" w:tentative="1">
      <w:start w:val="1"/>
      <w:numFmt w:val="lowerRoman"/>
      <w:lvlText w:val="%9."/>
      <w:lvlJc w:val="right"/>
      <w:pPr>
        <w:ind w:left="6233" w:hanging="180"/>
      </w:pPr>
    </w:lvl>
  </w:abstractNum>
  <w:abstractNum w:abstractNumId="1" w15:restartNumberingAfterBreak="0">
    <w:nsid w:val="1D976528"/>
    <w:multiLevelType w:val="hybridMultilevel"/>
    <w:tmpl w:val="15C0E21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7BD3427"/>
    <w:multiLevelType w:val="hybridMultilevel"/>
    <w:tmpl w:val="09AEC37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E7A3D67"/>
    <w:multiLevelType w:val="hybridMultilevel"/>
    <w:tmpl w:val="95CC47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0D470E8"/>
    <w:multiLevelType w:val="hybridMultilevel"/>
    <w:tmpl w:val="8842EEF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D5B007A"/>
    <w:multiLevelType w:val="hybridMultilevel"/>
    <w:tmpl w:val="DACED0D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714F40F7"/>
    <w:multiLevelType w:val="hybridMultilevel"/>
    <w:tmpl w:val="2264D90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71F341C0"/>
    <w:multiLevelType w:val="hybridMultilevel"/>
    <w:tmpl w:val="67D48A2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A6"/>
    <w:rsid w:val="000015AA"/>
    <w:rsid w:val="000021E7"/>
    <w:rsid w:val="000046AD"/>
    <w:rsid w:val="0000675B"/>
    <w:rsid w:val="000106DA"/>
    <w:rsid w:val="0001141E"/>
    <w:rsid w:val="00011595"/>
    <w:rsid w:val="00011919"/>
    <w:rsid w:val="00013BCA"/>
    <w:rsid w:val="00015166"/>
    <w:rsid w:val="000206CC"/>
    <w:rsid w:val="00021738"/>
    <w:rsid w:val="0002577E"/>
    <w:rsid w:val="00032C4F"/>
    <w:rsid w:val="00033132"/>
    <w:rsid w:val="000446A8"/>
    <w:rsid w:val="000449F4"/>
    <w:rsid w:val="000458D7"/>
    <w:rsid w:val="00060ADD"/>
    <w:rsid w:val="0006288B"/>
    <w:rsid w:val="00066C4F"/>
    <w:rsid w:val="0007220B"/>
    <w:rsid w:val="0007267F"/>
    <w:rsid w:val="00074EE3"/>
    <w:rsid w:val="00076683"/>
    <w:rsid w:val="000927BB"/>
    <w:rsid w:val="00097F7B"/>
    <w:rsid w:val="000A35AD"/>
    <w:rsid w:val="000A523B"/>
    <w:rsid w:val="000A6869"/>
    <w:rsid w:val="000A761F"/>
    <w:rsid w:val="000B016A"/>
    <w:rsid w:val="000B26CB"/>
    <w:rsid w:val="000B2E66"/>
    <w:rsid w:val="000B55E7"/>
    <w:rsid w:val="000B62D7"/>
    <w:rsid w:val="000C168B"/>
    <w:rsid w:val="000C2E2D"/>
    <w:rsid w:val="000D1885"/>
    <w:rsid w:val="000D2137"/>
    <w:rsid w:val="000D2873"/>
    <w:rsid w:val="000D5BA7"/>
    <w:rsid w:val="000F05B8"/>
    <w:rsid w:val="000F1AFD"/>
    <w:rsid w:val="000F5093"/>
    <w:rsid w:val="000F629B"/>
    <w:rsid w:val="0010369D"/>
    <w:rsid w:val="00103D3E"/>
    <w:rsid w:val="00126C5E"/>
    <w:rsid w:val="00126CAB"/>
    <w:rsid w:val="001353B7"/>
    <w:rsid w:val="00140866"/>
    <w:rsid w:val="00141FED"/>
    <w:rsid w:val="001431F0"/>
    <w:rsid w:val="00147C6A"/>
    <w:rsid w:val="00147F87"/>
    <w:rsid w:val="00151803"/>
    <w:rsid w:val="001545F7"/>
    <w:rsid w:val="0015539D"/>
    <w:rsid w:val="001571DD"/>
    <w:rsid w:val="00160677"/>
    <w:rsid w:val="00160FD7"/>
    <w:rsid w:val="001612E1"/>
    <w:rsid w:val="00164F72"/>
    <w:rsid w:val="00166E08"/>
    <w:rsid w:val="00167B37"/>
    <w:rsid w:val="001724D3"/>
    <w:rsid w:val="001762E6"/>
    <w:rsid w:val="00177BD6"/>
    <w:rsid w:val="00177D4E"/>
    <w:rsid w:val="00181376"/>
    <w:rsid w:val="001853BF"/>
    <w:rsid w:val="0018747F"/>
    <w:rsid w:val="00190DBB"/>
    <w:rsid w:val="00195FDA"/>
    <w:rsid w:val="0019655A"/>
    <w:rsid w:val="00197376"/>
    <w:rsid w:val="001A080E"/>
    <w:rsid w:val="001B5D43"/>
    <w:rsid w:val="001B6DA9"/>
    <w:rsid w:val="001B714E"/>
    <w:rsid w:val="001C176D"/>
    <w:rsid w:val="001C51E0"/>
    <w:rsid w:val="001C7732"/>
    <w:rsid w:val="001D11C7"/>
    <w:rsid w:val="001D687D"/>
    <w:rsid w:val="001D7B5D"/>
    <w:rsid w:val="001E4F3B"/>
    <w:rsid w:val="001E5697"/>
    <w:rsid w:val="001E6C88"/>
    <w:rsid w:val="001F1C74"/>
    <w:rsid w:val="001F7E3C"/>
    <w:rsid w:val="00203509"/>
    <w:rsid w:val="00203815"/>
    <w:rsid w:val="002042E6"/>
    <w:rsid w:val="00214B37"/>
    <w:rsid w:val="00214ECC"/>
    <w:rsid w:val="00215254"/>
    <w:rsid w:val="002200BD"/>
    <w:rsid w:val="0022313C"/>
    <w:rsid w:val="00233DFA"/>
    <w:rsid w:val="002345CA"/>
    <w:rsid w:val="0024133B"/>
    <w:rsid w:val="002437F9"/>
    <w:rsid w:val="00253FC2"/>
    <w:rsid w:val="00254191"/>
    <w:rsid w:val="00254CDA"/>
    <w:rsid w:val="00261749"/>
    <w:rsid w:val="00264229"/>
    <w:rsid w:val="00271D59"/>
    <w:rsid w:val="0027318C"/>
    <w:rsid w:val="00280C6D"/>
    <w:rsid w:val="00281E2B"/>
    <w:rsid w:val="00281E3B"/>
    <w:rsid w:val="00282C79"/>
    <w:rsid w:val="00290A8B"/>
    <w:rsid w:val="00292A76"/>
    <w:rsid w:val="00293176"/>
    <w:rsid w:val="00294DDC"/>
    <w:rsid w:val="002961F3"/>
    <w:rsid w:val="002A0570"/>
    <w:rsid w:val="002A15B4"/>
    <w:rsid w:val="002A1778"/>
    <w:rsid w:val="002A464F"/>
    <w:rsid w:val="002A60B1"/>
    <w:rsid w:val="002B40C1"/>
    <w:rsid w:val="002B5677"/>
    <w:rsid w:val="002C2160"/>
    <w:rsid w:val="002D0E3A"/>
    <w:rsid w:val="002D6C01"/>
    <w:rsid w:val="002E2A5B"/>
    <w:rsid w:val="002E3019"/>
    <w:rsid w:val="002E3B21"/>
    <w:rsid w:val="002E406C"/>
    <w:rsid w:val="002E62AC"/>
    <w:rsid w:val="002F2142"/>
    <w:rsid w:val="002F4410"/>
    <w:rsid w:val="003001EF"/>
    <w:rsid w:val="00303721"/>
    <w:rsid w:val="0031735E"/>
    <w:rsid w:val="003217C3"/>
    <w:rsid w:val="003309A7"/>
    <w:rsid w:val="00331ABC"/>
    <w:rsid w:val="00333E19"/>
    <w:rsid w:val="00334054"/>
    <w:rsid w:val="00334941"/>
    <w:rsid w:val="00336F93"/>
    <w:rsid w:val="00337ECB"/>
    <w:rsid w:val="00343F33"/>
    <w:rsid w:val="00346BD7"/>
    <w:rsid w:val="003477BE"/>
    <w:rsid w:val="003529A8"/>
    <w:rsid w:val="00353D47"/>
    <w:rsid w:val="003767BC"/>
    <w:rsid w:val="003775C6"/>
    <w:rsid w:val="003824F2"/>
    <w:rsid w:val="00383C24"/>
    <w:rsid w:val="00385F88"/>
    <w:rsid w:val="00390E59"/>
    <w:rsid w:val="003930DD"/>
    <w:rsid w:val="00397768"/>
    <w:rsid w:val="003A2891"/>
    <w:rsid w:val="003A2B68"/>
    <w:rsid w:val="003A3321"/>
    <w:rsid w:val="003B5477"/>
    <w:rsid w:val="003C05E3"/>
    <w:rsid w:val="003C07B1"/>
    <w:rsid w:val="003C0D5C"/>
    <w:rsid w:val="003C38CF"/>
    <w:rsid w:val="003C39F6"/>
    <w:rsid w:val="003C3C22"/>
    <w:rsid w:val="003C4EBC"/>
    <w:rsid w:val="003C5656"/>
    <w:rsid w:val="003E00BD"/>
    <w:rsid w:val="003E15D7"/>
    <w:rsid w:val="003F127E"/>
    <w:rsid w:val="003F3A58"/>
    <w:rsid w:val="003F5100"/>
    <w:rsid w:val="00401D08"/>
    <w:rsid w:val="00402408"/>
    <w:rsid w:val="004267FD"/>
    <w:rsid w:val="00431A36"/>
    <w:rsid w:val="0043681C"/>
    <w:rsid w:val="00442AD9"/>
    <w:rsid w:val="0044510B"/>
    <w:rsid w:val="00447C00"/>
    <w:rsid w:val="00452815"/>
    <w:rsid w:val="00462B91"/>
    <w:rsid w:val="00465C59"/>
    <w:rsid w:val="004672AF"/>
    <w:rsid w:val="00467F24"/>
    <w:rsid w:val="00475244"/>
    <w:rsid w:val="00482787"/>
    <w:rsid w:val="00485C63"/>
    <w:rsid w:val="00486D00"/>
    <w:rsid w:val="00486E45"/>
    <w:rsid w:val="00493633"/>
    <w:rsid w:val="004B45CB"/>
    <w:rsid w:val="004B789B"/>
    <w:rsid w:val="004B7BCF"/>
    <w:rsid w:val="004C5055"/>
    <w:rsid w:val="004C53D3"/>
    <w:rsid w:val="004F1229"/>
    <w:rsid w:val="004F426F"/>
    <w:rsid w:val="004F45E2"/>
    <w:rsid w:val="004F7505"/>
    <w:rsid w:val="00501227"/>
    <w:rsid w:val="00504EE5"/>
    <w:rsid w:val="0051371A"/>
    <w:rsid w:val="005326A4"/>
    <w:rsid w:val="00532B00"/>
    <w:rsid w:val="005364CE"/>
    <w:rsid w:val="00537DD1"/>
    <w:rsid w:val="00540CBF"/>
    <w:rsid w:val="0054328B"/>
    <w:rsid w:val="00550664"/>
    <w:rsid w:val="00551D29"/>
    <w:rsid w:val="005547A5"/>
    <w:rsid w:val="0055545F"/>
    <w:rsid w:val="005556B0"/>
    <w:rsid w:val="00561A85"/>
    <w:rsid w:val="00567DA8"/>
    <w:rsid w:val="005707C8"/>
    <w:rsid w:val="00572972"/>
    <w:rsid w:val="00576BEC"/>
    <w:rsid w:val="00576E83"/>
    <w:rsid w:val="00583A83"/>
    <w:rsid w:val="00584957"/>
    <w:rsid w:val="0059035B"/>
    <w:rsid w:val="0059572E"/>
    <w:rsid w:val="005A25EB"/>
    <w:rsid w:val="005B6987"/>
    <w:rsid w:val="005C46E9"/>
    <w:rsid w:val="005C5EB6"/>
    <w:rsid w:val="005C7452"/>
    <w:rsid w:val="005E4112"/>
    <w:rsid w:val="005F039F"/>
    <w:rsid w:val="005F300F"/>
    <w:rsid w:val="005F50B4"/>
    <w:rsid w:val="0060175F"/>
    <w:rsid w:val="00601F4E"/>
    <w:rsid w:val="00604AA9"/>
    <w:rsid w:val="006127A1"/>
    <w:rsid w:val="00613369"/>
    <w:rsid w:val="00615CEE"/>
    <w:rsid w:val="00622132"/>
    <w:rsid w:val="00626386"/>
    <w:rsid w:val="00635134"/>
    <w:rsid w:val="00637ACA"/>
    <w:rsid w:val="00651D9A"/>
    <w:rsid w:val="0066613B"/>
    <w:rsid w:val="00670EAA"/>
    <w:rsid w:val="00675442"/>
    <w:rsid w:val="006844A1"/>
    <w:rsid w:val="006870BD"/>
    <w:rsid w:val="0068780A"/>
    <w:rsid w:val="00692D50"/>
    <w:rsid w:val="0069480B"/>
    <w:rsid w:val="00696AA6"/>
    <w:rsid w:val="00696CA1"/>
    <w:rsid w:val="00696FC3"/>
    <w:rsid w:val="006B0905"/>
    <w:rsid w:val="006B279E"/>
    <w:rsid w:val="006C415E"/>
    <w:rsid w:val="006D4544"/>
    <w:rsid w:val="006D5C26"/>
    <w:rsid w:val="006E2272"/>
    <w:rsid w:val="006F0A93"/>
    <w:rsid w:val="006F62C7"/>
    <w:rsid w:val="007101EF"/>
    <w:rsid w:val="00710C67"/>
    <w:rsid w:val="00714665"/>
    <w:rsid w:val="00715AD5"/>
    <w:rsid w:val="0071748D"/>
    <w:rsid w:val="00720188"/>
    <w:rsid w:val="00720A79"/>
    <w:rsid w:val="00722ED7"/>
    <w:rsid w:val="007255B6"/>
    <w:rsid w:val="00725CDD"/>
    <w:rsid w:val="007359FA"/>
    <w:rsid w:val="007413BF"/>
    <w:rsid w:val="00750EA3"/>
    <w:rsid w:val="007520E1"/>
    <w:rsid w:val="0075245A"/>
    <w:rsid w:val="00752951"/>
    <w:rsid w:val="00756690"/>
    <w:rsid w:val="00757C6D"/>
    <w:rsid w:val="007664EE"/>
    <w:rsid w:val="007670C1"/>
    <w:rsid w:val="007670DA"/>
    <w:rsid w:val="00773CCB"/>
    <w:rsid w:val="00774119"/>
    <w:rsid w:val="0077425B"/>
    <w:rsid w:val="00774B9F"/>
    <w:rsid w:val="007769F1"/>
    <w:rsid w:val="00780EDE"/>
    <w:rsid w:val="007836EA"/>
    <w:rsid w:val="00785DFB"/>
    <w:rsid w:val="0079314E"/>
    <w:rsid w:val="007A3472"/>
    <w:rsid w:val="007A705F"/>
    <w:rsid w:val="007B50E8"/>
    <w:rsid w:val="007B5470"/>
    <w:rsid w:val="007B7819"/>
    <w:rsid w:val="007C0804"/>
    <w:rsid w:val="007C1974"/>
    <w:rsid w:val="007C4FDF"/>
    <w:rsid w:val="007C69EA"/>
    <w:rsid w:val="007D3B9C"/>
    <w:rsid w:val="007D4576"/>
    <w:rsid w:val="007E3DDD"/>
    <w:rsid w:val="007E5358"/>
    <w:rsid w:val="007E7188"/>
    <w:rsid w:val="007F34E2"/>
    <w:rsid w:val="007F381F"/>
    <w:rsid w:val="007F5472"/>
    <w:rsid w:val="007F71A3"/>
    <w:rsid w:val="00800E47"/>
    <w:rsid w:val="008021F0"/>
    <w:rsid w:val="00805E98"/>
    <w:rsid w:val="00807B85"/>
    <w:rsid w:val="00813E06"/>
    <w:rsid w:val="0081510B"/>
    <w:rsid w:val="00815D16"/>
    <w:rsid w:val="0081613B"/>
    <w:rsid w:val="00816CAF"/>
    <w:rsid w:val="00835425"/>
    <w:rsid w:val="00835CDB"/>
    <w:rsid w:val="00837547"/>
    <w:rsid w:val="008425A7"/>
    <w:rsid w:val="00844722"/>
    <w:rsid w:val="008458F9"/>
    <w:rsid w:val="0084623D"/>
    <w:rsid w:val="008504F1"/>
    <w:rsid w:val="0085284A"/>
    <w:rsid w:val="00853C32"/>
    <w:rsid w:val="00855C49"/>
    <w:rsid w:val="00863D52"/>
    <w:rsid w:val="00865C14"/>
    <w:rsid w:val="008764F9"/>
    <w:rsid w:val="00880C9E"/>
    <w:rsid w:val="008839E4"/>
    <w:rsid w:val="0089041F"/>
    <w:rsid w:val="00892E7A"/>
    <w:rsid w:val="008945DB"/>
    <w:rsid w:val="008A7538"/>
    <w:rsid w:val="008A7DB2"/>
    <w:rsid w:val="008B099C"/>
    <w:rsid w:val="008B164C"/>
    <w:rsid w:val="008B5FDC"/>
    <w:rsid w:val="008B7C8D"/>
    <w:rsid w:val="008C0559"/>
    <w:rsid w:val="008C5FFC"/>
    <w:rsid w:val="008C76A2"/>
    <w:rsid w:val="008D1840"/>
    <w:rsid w:val="008E0C0F"/>
    <w:rsid w:val="008E1976"/>
    <w:rsid w:val="008E4D32"/>
    <w:rsid w:val="008F526E"/>
    <w:rsid w:val="008F56DB"/>
    <w:rsid w:val="0090051D"/>
    <w:rsid w:val="00901BC1"/>
    <w:rsid w:val="009030F7"/>
    <w:rsid w:val="00904A8C"/>
    <w:rsid w:val="00935710"/>
    <w:rsid w:val="00937F11"/>
    <w:rsid w:val="00945472"/>
    <w:rsid w:val="009454C2"/>
    <w:rsid w:val="00947E67"/>
    <w:rsid w:val="00953769"/>
    <w:rsid w:val="00956F44"/>
    <w:rsid w:val="0095703E"/>
    <w:rsid w:val="00957583"/>
    <w:rsid w:val="009603A9"/>
    <w:rsid w:val="0096232A"/>
    <w:rsid w:val="00962636"/>
    <w:rsid w:val="00967C88"/>
    <w:rsid w:val="00977C9E"/>
    <w:rsid w:val="0098559D"/>
    <w:rsid w:val="009866D3"/>
    <w:rsid w:val="009869C4"/>
    <w:rsid w:val="00992BB9"/>
    <w:rsid w:val="00993793"/>
    <w:rsid w:val="009942FF"/>
    <w:rsid w:val="009949EF"/>
    <w:rsid w:val="00994C78"/>
    <w:rsid w:val="0099502F"/>
    <w:rsid w:val="00996660"/>
    <w:rsid w:val="00997C79"/>
    <w:rsid w:val="009A3F35"/>
    <w:rsid w:val="009A4764"/>
    <w:rsid w:val="009A51BB"/>
    <w:rsid w:val="009A6253"/>
    <w:rsid w:val="009B1C8A"/>
    <w:rsid w:val="009B77DA"/>
    <w:rsid w:val="009C184A"/>
    <w:rsid w:val="009C5CF2"/>
    <w:rsid w:val="009C72BB"/>
    <w:rsid w:val="009D08E9"/>
    <w:rsid w:val="009D1B15"/>
    <w:rsid w:val="009D5CC7"/>
    <w:rsid w:val="009D648E"/>
    <w:rsid w:val="009D70DF"/>
    <w:rsid w:val="009E16A9"/>
    <w:rsid w:val="009E5911"/>
    <w:rsid w:val="009E7958"/>
    <w:rsid w:val="009F7D4B"/>
    <w:rsid w:val="00A12891"/>
    <w:rsid w:val="00A142CB"/>
    <w:rsid w:val="00A149DA"/>
    <w:rsid w:val="00A2317D"/>
    <w:rsid w:val="00A23A74"/>
    <w:rsid w:val="00A42A7E"/>
    <w:rsid w:val="00A460BE"/>
    <w:rsid w:val="00A47C54"/>
    <w:rsid w:val="00A50679"/>
    <w:rsid w:val="00A5191C"/>
    <w:rsid w:val="00A54861"/>
    <w:rsid w:val="00A552EE"/>
    <w:rsid w:val="00A619C6"/>
    <w:rsid w:val="00A62EA5"/>
    <w:rsid w:val="00A648D0"/>
    <w:rsid w:val="00A67167"/>
    <w:rsid w:val="00A73D05"/>
    <w:rsid w:val="00A76547"/>
    <w:rsid w:val="00A768FB"/>
    <w:rsid w:val="00A76CBB"/>
    <w:rsid w:val="00A827DE"/>
    <w:rsid w:val="00A840C2"/>
    <w:rsid w:val="00A86E4E"/>
    <w:rsid w:val="00A874FA"/>
    <w:rsid w:val="00A9093D"/>
    <w:rsid w:val="00A94649"/>
    <w:rsid w:val="00AA1C95"/>
    <w:rsid w:val="00AA4AA3"/>
    <w:rsid w:val="00AA4C71"/>
    <w:rsid w:val="00AA5448"/>
    <w:rsid w:val="00AA631B"/>
    <w:rsid w:val="00AA768F"/>
    <w:rsid w:val="00AB19C4"/>
    <w:rsid w:val="00AB3EB5"/>
    <w:rsid w:val="00AB4011"/>
    <w:rsid w:val="00AC31D4"/>
    <w:rsid w:val="00AC3277"/>
    <w:rsid w:val="00AC5093"/>
    <w:rsid w:val="00AC6F4A"/>
    <w:rsid w:val="00AD47E7"/>
    <w:rsid w:val="00AD6626"/>
    <w:rsid w:val="00AD6DA1"/>
    <w:rsid w:val="00AE0640"/>
    <w:rsid w:val="00AE4BBE"/>
    <w:rsid w:val="00AF1A7B"/>
    <w:rsid w:val="00AF2578"/>
    <w:rsid w:val="00AF3398"/>
    <w:rsid w:val="00AF3E57"/>
    <w:rsid w:val="00AF42D3"/>
    <w:rsid w:val="00AF74D8"/>
    <w:rsid w:val="00B140A6"/>
    <w:rsid w:val="00B16300"/>
    <w:rsid w:val="00B229CD"/>
    <w:rsid w:val="00B230D7"/>
    <w:rsid w:val="00B24052"/>
    <w:rsid w:val="00B30EC8"/>
    <w:rsid w:val="00B41A73"/>
    <w:rsid w:val="00B441E9"/>
    <w:rsid w:val="00B52815"/>
    <w:rsid w:val="00B604D1"/>
    <w:rsid w:val="00B60C07"/>
    <w:rsid w:val="00B64969"/>
    <w:rsid w:val="00B7131D"/>
    <w:rsid w:val="00B762CD"/>
    <w:rsid w:val="00B84507"/>
    <w:rsid w:val="00B854AE"/>
    <w:rsid w:val="00B91125"/>
    <w:rsid w:val="00B92179"/>
    <w:rsid w:val="00B929F9"/>
    <w:rsid w:val="00B93252"/>
    <w:rsid w:val="00B96D55"/>
    <w:rsid w:val="00BA0F08"/>
    <w:rsid w:val="00BA0F27"/>
    <w:rsid w:val="00BA353F"/>
    <w:rsid w:val="00BA367C"/>
    <w:rsid w:val="00BA559F"/>
    <w:rsid w:val="00BA6362"/>
    <w:rsid w:val="00BA7293"/>
    <w:rsid w:val="00BA73B0"/>
    <w:rsid w:val="00BA7D2A"/>
    <w:rsid w:val="00BB185C"/>
    <w:rsid w:val="00BB41D0"/>
    <w:rsid w:val="00BB4F2D"/>
    <w:rsid w:val="00BC2848"/>
    <w:rsid w:val="00BC7FA9"/>
    <w:rsid w:val="00BD2362"/>
    <w:rsid w:val="00BE017B"/>
    <w:rsid w:val="00BE1C39"/>
    <w:rsid w:val="00BE31AE"/>
    <w:rsid w:val="00BF0239"/>
    <w:rsid w:val="00BF1C60"/>
    <w:rsid w:val="00BF5F11"/>
    <w:rsid w:val="00C00B3D"/>
    <w:rsid w:val="00C101E5"/>
    <w:rsid w:val="00C12032"/>
    <w:rsid w:val="00C17984"/>
    <w:rsid w:val="00C20155"/>
    <w:rsid w:val="00C2312A"/>
    <w:rsid w:val="00C279CB"/>
    <w:rsid w:val="00C30931"/>
    <w:rsid w:val="00C30AF0"/>
    <w:rsid w:val="00C30B99"/>
    <w:rsid w:val="00C33D00"/>
    <w:rsid w:val="00C343FF"/>
    <w:rsid w:val="00C34C2A"/>
    <w:rsid w:val="00C37588"/>
    <w:rsid w:val="00C4477B"/>
    <w:rsid w:val="00C467C7"/>
    <w:rsid w:val="00C505E0"/>
    <w:rsid w:val="00C57C29"/>
    <w:rsid w:val="00C62A57"/>
    <w:rsid w:val="00C64007"/>
    <w:rsid w:val="00C71F57"/>
    <w:rsid w:val="00C76A19"/>
    <w:rsid w:val="00C83757"/>
    <w:rsid w:val="00C90B92"/>
    <w:rsid w:val="00C9140C"/>
    <w:rsid w:val="00C93E72"/>
    <w:rsid w:val="00CA1189"/>
    <w:rsid w:val="00CA2EE9"/>
    <w:rsid w:val="00CB0827"/>
    <w:rsid w:val="00CB0C0A"/>
    <w:rsid w:val="00CC0158"/>
    <w:rsid w:val="00CC3717"/>
    <w:rsid w:val="00CC4EB8"/>
    <w:rsid w:val="00CC5A7A"/>
    <w:rsid w:val="00CD0FFD"/>
    <w:rsid w:val="00CD1B10"/>
    <w:rsid w:val="00CE26B4"/>
    <w:rsid w:val="00CF10B4"/>
    <w:rsid w:val="00CF52C4"/>
    <w:rsid w:val="00CF7C66"/>
    <w:rsid w:val="00D06A03"/>
    <w:rsid w:val="00D10871"/>
    <w:rsid w:val="00D11D19"/>
    <w:rsid w:val="00D1457A"/>
    <w:rsid w:val="00D15CD7"/>
    <w:rsid w:val="00D217F3"/>
    <w:rsid w:val="00D219DD"/>
    <w:rsid w:val="00D2221F"/>
    <w:rsid w:val="00D22463"/>
    <w:rsid w:val="00D23364"/>
    <w:rsid w:val="00D24445"/>
    <w:rsid w:val="00D25724"/>
    <w:rsid w:val="00D25F71"/>
    <w:rsid w:val="00D307A6"/>
    <w:rsid w:val="00D30BE4"/>
    <w:rsid w:val="00D31E7A"/>
    <w:rsid w:val="00D44B79"/>
    <w:rsid w:val="00D452DC"/>
    <w:rsid w:val="00D46936"/>
    <w:rsid w:val="00D47749"/>
    <w:rsid w:val="00D47F1F"/>
    <w:rsid w:val="00D51F94"/>
    <w:rsid w:val="00D5241F"/>
    <w:rsid w:val="00D5756F"/>
    <w:rsid w:val="00D625B7"/>
    <w:rsid w:val="00D62F27"/>
    <w:rsid w:val="00D72404"/>
    <w:rsid w:val="00D7788C"/>
    <w:rsid w:val="00D801B6"/>
    <w:rsid w:val="00D828B1"/>
    <w:rsid w:val="00D90DBD"/>
    <w:rsid w:val="00D92E40"/>
    <w:rsid w:val="00D9342B"/>
    <w:rsid w:val="00D94661"/>
    <w:rsid w:val="00DA6517"/>
    <w:rsid w:val="00DB066E"/>
    <w:rsid w:val="00DB1EE7"/>
    <w:rsid w:val="00DC17B3"/>
    <w:rsid w:val="00DC50B2"/>
    <w:rsid w:val="00DC5D5A"/>
    <w:rsid w:val="00DD43D5"/>
    <w:rsid w:val="00DD5748"/>
    <w:rsid w:val="00DD5D2A"/>
    <w:rsid w:val="00DE11B8"/>
    <w:rsid w:val="00DE2B2A"/>
    <w:rsid w:val="00DE7016"/>
    <w:rsid w:val="00DE771A"/>
    <w:rsid w:val="00DE7CCA"/>
    <w:rsid w:val="00E04C88"/>
    <w:rsid w:val="00E065C3"/>
    <w:rsid w:val="00E11BCB"/>
    <w:rsid w:val="00E13AFB"/>
    <w:rsid w:val="00E15540"/>
    <w:rsid w:val="00E17F82"/>
    <w:rsid w:val="00E27627"/>
    <w:rsid w:val="00E32B3B"/>
    <w:rsid w:val="00E33FDE"/>
    <w:rsid w:val="00E365AA"/>
    <w:rsid w:val="00E44418"/>
    <w:rsid w:val="00E45769"/>
    <w:rsid w:val="00E47B68"/>
    <w:rsid w:val="00E5094E"/>
    <w:rsid w:val="00E518C8"/>
    <w:rsid w:val="00E53A6C"/>
    <w:rsid w:val="00E552BF"/>
    <w:rsid w:val="00E63C60"/>
    <w:rsid w:val="00E74F69"/>
    <w:rsid w:val="00E917C1"/>
    <w:rsid w:val="00E96C3B"/>
    <w:rsid w:val="00EA778A"/>
    <w:rsid w:val="00EB00BC"/>
    <w:rsid w:val="00EB2920"/>
    <w:rsid w:val="00EC498C"/>
    <w:rsid w:val="00EC66A6"/>
    <w:rsid w:val="00ED19F9"/>
    <w:rsid w:val="00ED317B"/>
    <w:rsid w:val="00ED3A25"/>
    <w:rsid w:val="00ED7FDA"/>
    <w:rsid w:val="00EE0F27"/>
    <w:rsid w:val="00EE1A20"/>
    <w:rsid w:val="00EF1215"/>
    <w:rsid w:val="00EF4749"/>
    <w:rsid w:val="00EF6790"/>
    <w:rsid w:val="00F03C20"/>
    <w:rsid w:val="00F21AA1"/>
    <w:rsid w:val="00F241D1"/>
    <w:rsid w:val="00F25EC1"/>
    <w:rsid w:val="00F268C5"/>
    <w:rsid w:val="00F35ED4"/>
    <w:rsid w:val="00F36919"/>
    <w:rsid w:val="00F40633"/>
    <w:rsid w:val="00F40A4C"/>
    <w:rsid w:val="00F43EC4"/>
    <w:rsid w:val="00F51F99"/>
    <w:rsid w:val="00F552CC"/>
    <w:rsid w:val="00F57E3F"/>
    <w:rsid w:val="00F57F5C"/>
    <w:rsid w:val="00F6335D"/>
    <w:rsid w:val="00F638F8"/>
    <w:rsid w:val="00F65AFA"/>
    <w:rsid w:val="00F6769A"/>
    <w:rsid w:val="00F70CA5"/>
    <w:rsid w:val="00F71349"/>
    <w:rsid w:val="00F722FB"/>
    <w:rsid w:val="00F73F51"/>
    <w:rsid w:val="00F74B1C"/>
    <w:rsid w:val="00F75288"/>
    <w:rsid w:val="00F84E96"/>
    <w:rsid w:val="00F947EC"/>
    <w:rsid w:val="00F96865"/>
    <w:rsid w:val="00FA21EE"/>
    <w:rsid w:val="00FA7FE0"/>
    <w:rsid w:val="00FC0469"/>
    <w:rsid w:val="00FC64C9"/>
    <w:rsid w:val="00FD084B"/>
    <w:rsid w:val="00FD1263"/>
    <w:rsid w:val="00FD2B64"/>
    <w:rsid w:val="00FD4A02"/>
    <w:rsid w:val="00FD569B"/>
    <w:rsid w:val="00FD75B2"/>
    <w:rsid w:val="00FE2D6B"/>
    <w:rsid w:val="00FE3BD5"/>
    <w:rsid w:val="00FE6C2F"/>
    <w:rsid w:val="00FF3DB1"/>
    <w:rsid w:val="00FF4665"/>
    <w:rsid w:val="00FF653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C0FE8"/>
  <w15:chartTrackingRefBased/>
  <w15:docId w15:val="{72E54BE5-5B13-47B9-812B-D78CA7D6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44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6A"/>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Textoennegrita">
    <w:name w:val="Strong"/>
    <w:basedOn w:val="Fuentedeprrafopredeter"/>
    <w:uiPriority w:val="22"/>
    <w:qFormat/>
    <w:rsid w:val="00331ABC"/>
    <w:rPr>
      <w:b/>
      <w:bCs/>
    </w:rPr>
  </w:style>
  <w:style w:type="character" w:styleId="nfasis">
    <w:name w:val="Emphasis"/>
    <w:basedOn w:val="Fuentedeprrafopredeter"/>
    <w:uiPriority w:val="20"/>
    <w:qFormat/>
    <w:rsid w:val="003C05E3"/>
    <w:rPr>
      <w:i/>
      <w:iCs/>
    </w:rPr>
  </w:style>
  <w:style w:type="paragraph" w:styleId="Bibliografa">
    <w:name w:val="Bibliography"/>
    <w:basedOn w:val="Normal"/>
    <w:next w:val="Normal"/>
    <w:uiPriority w:val="37"/>
    <w:unhideWhenUsed/>
    <w:rsid w:val="007255B6"/>
    <w:pPr>
      <w:spacing w:after="0" w:line="480" w:lineRule="auto"/>
      <w:ind w:left="720" w:hanging="720"/>
    </w:pPr>
  </w:style>
  <w:style w:type="paragraph" w:styleId="Encabezado">
    <w:name w:val="header"/>
    <w:basedOn w:val="Normal"/>
    <w:link w:val="EncabezadoCar"/>
    <w:uiPriority w:val="99"/>
    <w:unhideWhenUsed/>
    <w:rsid w:val="00FD12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1263"/>
    <w:rPr>
      <w:lang w:val="en-US"/>
    </w:rPr>
  </w:style>
  <w:style w:type="paragraph" w:styleId="Piedepgina">
    <w:name w:val="footer"/>
    <w:basedOn w:val="Normal"/>
    <w:link w:val="PiedepginaCar"/>
    <w:uiPriority w:val="99"/>
    <w:unhideWhenUsed/>
    <w:rsid w:val="00FD12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1263"/>
    <w:rPr>
      <w:lang w:val="en-US"/>
    </w:rPr>
  </w:style>
  <w:style w:type="paragraph" w:customStyle="1" w:styleId="MDPI16affiliation">
    <w:name w:val="MDPI_1.6_affiliation"/>
    <w:basedOn w:val="Normal"/>
    <w:qFormat/>
    <w:rsid w:val="009869C4"/>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character" w:styleId="Hipervnculo">
    <w:name w:val="Hyperlink"/>
    <w:uiPriority w:val="99"/>
    <w:unhideWhenUsed/>
    <w:rsid w:val="009869C4"/>
    <w:rPr>
      <w:color w:val="0563C1"/>
      <w:u w:val="single"/>
    </w:rPr>
  </w:style>
  <w:style w:type="character" w:styleId="Mencinsinresolver">
    <w:name w:val="Unresolved Mention"/>
    <w:basedOn w:val="Fuentedeprrafopredeter"/>
    <w:uiPriority w:val="99"/>
    <w:semiHidden/>
    <w:unhideWhenUsed/>
    <w:rsid w:val="00F43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6166">
      <w:bodyDiv w:val="1"/>
      <w:marLeft w:val="0"/>
      <w:marRight w:val="0"/>
      <w:marTop w:val="0"/>
      <w:marBottom w:val="0"/>
      <w:divBdr>
        <w:top w:val="none" w:sz="0" w:space="0" w:color="auto"/>
        <w:left w:val="none" w:sz="0" w:space="0" w:color="auto"/>
        <w:bottom w:val="none" w:sz="0" w:space="0" w:color="auto"/>
        <w:right w:val="none" w:sz="0" w:space="0" w:color="auto"/>
      </w:divBdr>
    </w:div>
    <w:div w:id="234169725">
      <w:bodyDiv w:val="1"/>
      <w:marLeft w:val="0"/>
      <w:marRight w:val="0"/>
      <w:marTop w:val="0"/>
      <w:marBottom w:val="0"/>
      <w:divBdr>
        <w:top w:val="none" w:sz="0" w:space="0" w:color="auto"/>
        <w:left w:val="none" w:sz="0" w:space="0" w:color="auto"/>
        <w:bottom w:val="none" w:sz="0" w:space="0" w:color="auto"/>
        <w:right w:val="none" w:sz="0" w:space="0" w:color="auto"/>
      </w:divBdr>
    </w:div>
    <w:div w:id="253317746">
      <w:bodyDiv w:val="1"/>
      <w:marLeft w:val="0"/>
      <w:marRight w:val="0"/>
      <w:marTop w:val="0"/>
      <w:marBottom w:val="0"/>
      <w:divBdr>
        <w:top w:val="none" w:sz="0" w:space="0" w:color="auto"/>
        <w:left w:val="none" w:sz="0" w:space="0" w:color="auto"/>
        <w:bottom w:val="none" w:sz="0" w:space="0" w:color="auto"/>
        <w:right w:val="none" w:sz="0" w:space="0" w:color="auto"/>
      </w:divBdr>
    </w:div>
    <w:div w:id="436950865">
      <w:bodyDiv w:val="1"/>
      <w:marLeft w:val="0"/>
      <w:marRight w:val="0"/>
      <w:marTop w:val="0"/>
      <w:marBottom w:val="0"/>
      <w:divBdr>
        <w:top w:val="none" w:sz="0" w:space="0" w:color="auto"/>
        <w:left w:val="none" w:sz="0" w:space="0" w:color="auto"/>
        <w:bottom w:val="none" w:sz="0" w:space="0" w:color="auto"/>
        <w:right w:val="none" w:sz="0" w:space="0" w:color="auto"/>
      </w:divBdr>
    </w:div>
    <w:div w:id="446509950">
      <w:bodyDiv w:val="1"/>
      <w:marLeft w:val="0"/>
      <w:marRight w:val="0"/>
      <w:marTop w:val="0"/>
      <w:marBottom w:val="0"/>
      <w:divBdr>
        <w:top w:val="none" w:sz="0" w:space="0" w:color="auto"/>
        <w:left w:val="none" w:sz="0" w:space="0" w:color="auto"/>
        <w:bottom w:val="none" w:sz="0" w:space="0" w:color="auto"/>
        <w:right w:val="none" w:sz="0" w:space="0" w:color="auto"/>
      </w:divBdr>
    </w:div>
    <w:div w:id="499582072">
      <w:bodyDiv w:val="1"/>
      <w:marLeft w:val="0"/>
      <w:marRight w:val="0"/>
      <w:marTop w:val="0"/>
      <w:marBottom w:val="0"/>
      <w:divBdr>
        <w:top w:val="none" w:sz="0" w:space="0" w:color="auto"/>
        <w:left w:val="none" w:sz="0" w:space="0" w:color="auto"/>
        <w:bottom w:val="none" w:sz="0" w:space="0" w:color="auto"/>
        <w:right w:val="none" w:sz="0" w:space="0" w:color="auto"/>
      </w:divBdr>
    </w:div>
    <w:div w:id="505899791">
      <w:bodyDiv w:val="1"/>
      <w:marLeft w:val="0"/>
      <w:marRight w:val="0"/>
      <w:marTop w:val="0"/>
      <w:marBottom w:val="0"/>
      <w:divBdr>
        <w:top w:val="none" w:sz="0" w:space="0" w:color="auto"/>
        <w:left w:val="none" w:sz="0" w:space="0" w:color="auto"/>
        <w:bottom w:val="none" w:sz="0" w:space="0" w:color="auto"/>
        <w:right w:val="none" w:sz="0" w:space="0" w:color="auto"/>
      </w:divBdr>
    </w:div>
    <w:div w:id="523591553">
      <w:bodyDiv w:val="1"/>
      <w:marLeft w:val="0"/>
      <w:marRight w:val="0"/>
      <w:marTop w:val="0"/>
      <w:marBottom w:val="0"/>
      <w:divBdr>
        <w:top w:val="none" w:sz="0" w:space="0" w:color="auto"/>
        <w:left w:val="none" w:sz="0" w:space="0" w:color="auto"/>
        <w:bottom w:val="none" w:sz="0" w:space="0" w:color="auto"/>
        <w:right w:val="none" w:sz="0" w:space="0" w:color="auto"/>
      </w:divBdr>
    </w:div>
    <w:div w:id="526918212">
      <w:bodyDiv w:val="1"/>
      <w:marLeft w:val="0"/>
      <w:marRight w:val="0"/>
      <w:marTop w:val="0"/>
      <w:marBottom w:val="0"/>
      <w:divBdr>
        <w:top w:val="none" w:sz="0" w:space="0" w:color="auto"/>
        <w:left w:val="none" w:sz="0" w:space="0" w:color="auto"/>
        <w:bottom w:val="none" w:sz="0" w:space="0" w:color="auto"/>
        <w:right w:val="none" w:sz="0" w:space="0" w:color="auto"/>
      </w:divBdr>
    </w:div>
    <w:div w:id="670328123">
      <w:bodyDiv w:val="1"/>
      <w:marLeft w:val="0"/>
      <w:marRight w:val="0"/>
      <w:marTop w:val="0"/>
      <w:marBottom w:val="0"/>
      <w:divBdr>
        <w:top w:val="none" w:sz="0" w:space="0" w:color="auto"/>
        <w:left w:val="none" w:sz="0" w:space="0" w:color="auto"/>
        <w:bottom w:val="none" w:sz="0" w:space="0" w:color="auto"/>
        <w:right w:val="none" w:sz="0" w:space="0" w:color="auto"/>
      </w:divBdr>
    </w:div>
    <w:div w:id="690837298">
      <w:bodyDiv w:val="1"/>
      <w:marLeft w:val="0"/>
      <w:marRight w:val="0"/>
      <w:marTop w:val="0"/>
      <w:marBottom w:val="0"/>
      <w:divBdr>
        <w:top w:val="none" w:sz="0" w:space="0" w:color="auto"/>
        <w:left w:val="none" w:sz="0" w:space="0" w:color="auto"/>
        <w:bottom w:val="none" w:sz="0" w:space="0" w:color="auto"/>
        <w:right w:val="none" w:sz="0" w:space="0" w:color="auto"/>
      </w:divBdr>
    </w:div>
    <w:div w:id="696808119">
      <w:bodyDiv w:val="1"/>
      <w:marLeft w:val="0"/>
      <w:marRight w:val="0"/>
      <w:marTop w:val="0"/>
      <w:marBottom w:val="0"/>
      <w:divBdr>
        <w:top w:val="none" w:sz="0" w:space="0" w:color="auto"/>
        <w:left w:val="none" w:sz="0" w:space="0" w:color="auto"/>
        <w:bottom w:val="none" w:sz="0" w:space="0" w:color="auto"/>
        <w:right w:val="none" w:sz="0" w:space="0" w:color="auto"/>
      </w:divBdr>
    </w:div>
    <w:div w:id="738333470">
      <w:bodyDiv w:val="1"/>
      <w:marLeft w:val="0"/>
      <w:marRight w:val="0"/>
      <w:marTop w:val="0"/>
      <w:marBottom w:val="0"/>
      <w:divBdr>
        <w:top w:val="none" w:sz="0" w:space="0" w:color="auto"/>
        <w:left w:val="none" w:sz="0" w:space="0" w:color="auto"/>
        <w:bottom w:val="none" w:sz="0" w:space="0" w:color="auto"/>
        <w:right w:val="none" w:sz="0" w:space="0" w:color="auto"/>
      </w:divBdr>
    </w:div>
    <w:div w:id="918099749">
      <w:bodyDiv w:val="1"/>
      <w:marLeft w:val="0"/>
      <w:marRight w:val="0"/>
      <w:marTop w:val="0"/>
      <w:marBottom w:val="0"/>
      <w:divBdr>
        <w:top w:val="none" w:sz="0" w:space="0" w:color="auto"/>
        <w:left w:val="none" w:sz="0" w:space="0" w:color="auto"/>
        <w:bottom w:val="none" w:sz="0" w:space="0" w:color="auto"/>
        <w:right w:val="none" w:sz="0" w:space="0" w:color="auto"/>
      </w:divBdr>
    </w:div>
    <w:div w:id="1020861077">
      <w:bodyDiv w:val="1"/>
      <w:marLeft w:val="0"/>
      <w:marRight w:val="0"/>
      <w:marTop w:val="0"/>
      <w:marBottom w:val="0"/>
      <w:divBdr>
        <w:top w:val="none" w:sz="0" w:space="0" w:color="auto"/>
        <w:left w:val="none" w:sz="0" w:space="0" w:color="auto"/>
        <w:bottom w:val="none" w:sz="0" w:space="0" w:color="auto"/>
        <w:right w:val="none" w:sz="0" w:space="0" w:color="auto"/>
      </w:divBdr>
    </w:div>
    <w:div w:id="1135759072">
      <w:bodyDiv w:val="1"/>
      <w:marLeft w:val="0"/>
      <w:marRight w:val="0"/>
      <w:marTop w:val="0"/>
      <w:marBottom w:val="0"/>
      <w:divBdr>
        <w:top w:val="none" w:sz="0" w:space="0" w:color="auto"/>
        <w:left w:val="none" w:sz="0" w:space="0" w:color="auto"/>
        <w:bottom w:val="none" w:sz="0" w:space="0" w:color="auto"/>
        <w:right w:val="none" w:sz="0" w:space="0" w:color="auto"/>
      </w:divBdr>
      <w:divsChild>
        <w:div w:id="1717506488">
          <w:marLeft w:val="0"/>
          <w:marRight w:val="0"/>
          <w:marTop w:val="0"/>
          <w:marBottom w:val="0"/>
          <w:divBdr>
            <w:top w:val="none" w:sz="0" w:space="0" w:color="auto"/>
            <w:left w:val="none" w:sz="0" w:space="0" w:color="auto"/>
            <w:bottom w:val="none" w:sz="0" w:space="0" w:color="auto"/>
            <w:right w:val="none" w:sz="0" w:space="0" w:color="auto"/>
          </w:divBdr>
          <w:divsChild>
            <w:div w:id="1384477263">
              <w:marLeft w:val="0"/>
              <w:marRight w:val="0"/>
              <w:marTop w:val="0"/>
              <w:marBottom w:val="0"/>
              <w:divBdr>
                <w:top w:val="none" w:sz="0" w:space="0" w:color="auto"/>
                <w:left w:val="none" w:sz="0" w:space="0" w:color="auto"/>
                <w:bottom w:val="none" w:sz="0" w:space="0" w:color="auto"/>
                <w:right w:val="none" w:sz="0" w:space="0" w:color="auto"/>
              </w:divBdr>
              <w:divsChild>
                <w:div w:id="484586562">
                  <w:marLeft w:val="0"/>
                  <w:marRight w:val="0"/>
                  <w:marTop w:val="0"/>
                  <w:marBottom w:val="0"/>
                  <w:divBdr>
                    <w:top w:val="none" w:sz="0" w:space="0" w:color="auto"/>
                    <w:left w:val="none" w:sz="0" w:space="0" w:color="auto"/>
                    <w:bottom w:val="none" w:sz="0" w:space="0" w:color="auto"/>
                    <w:right w:val="none" w:sz="0" w:space="0" w:color="auto"/>
                  </w:divBdr>
                  <w:divsChild>
                    <w:div w:id="1739401666">
                      <w:marLeft w:val="0"/>
                      <w:marRight w:val="0"/>
                      <w:marTop w:val="0"/>
                      <w:marBottom w:val="0"/>
                      <w:divBdr>
                        <w:top w:val="none" w:sz="0" w:space="0" w:color="auto"/>
                        <w:left w:val="none" w:sz="0" w:space="0" w:color="auto"/>
                        <w:bottom w:val="none" w:sz="0" w:space="0" w:color="auto"/>
                        <w:right w:val="none" w:sz="0" w:space="0" w:color="auto"/>
                      </w:divBdr>
                      <w:divsChild>
                        <w:div w:id="1738552350">
                          <w:marLeft w:val="0"/>
                          <w:marRight w:val="0"/>
                          <w:marTop w:val="0"/>
                          <w:marBottom w:val="0"/>
                          <w:divBdr>
                            <w:top w:val="none" w:sz="0" w:space="0" w:color="auto"/>
                            <w:left w:val="none" w:sz="0" w:space="0" w:color="auto"/>
                            <w:bottom w:val="none" w:sz="0" w:space="0" w:color="auto"/>
                            <w:right w:val="none" w:sz="0" w:space="0" w:color="auto"/>
                          </w:divBdr>
                          <w:divsChild>
                            <w:div w:id="1590384385">
                              <w:marLeft w:val="0"/>
                              <w:marRight w:val="0"/>
                              <w:marTop w:val="0"/>
                              <w:marBottom w:val="0"/>
                              <w:divBdr>
                                <w:top w:val="none" w:sz="0" w:space="0" w:color="auto"/>
                                <w:left w:val="none" w:sz="0" w:space="0" w:color="auto"/>
                                <w:bottom w:val="none" w:sz="0" w:space="0" w:color="auto"/>
                                <w:right w:val="none" w:sz="0" w:space="0" w:color="auto"/>
                              </w:divBdr>
                              <w:divsChild>
                                <w:div w:id="1893687909">
                                  <w:marLeft w:val="0"/>
                                  <w:marRight w:val="0"/>
                                  <w:marTop w:val="0"/>
                                  <w:marBottom w:val="0"/>
                                  <w:divBdr>
                                    <w:top w:val="none" w:sz="0" w:space="0" w:color="auto"/>
                                    <w:left w:val="none" w:sz="0" w:space="0" w:color="auto"/>
                                    <w:bottom w:val="none" w:sz="0" w:space="0" w:color="auto"/>
                                    <w:right w:val="none" w:sz="0" w:space="0" w:color="auto"/>
                                  </w:divBdr>
                                  <w:divsChild>
                                    <w:div w:id="15730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265560">
      <w:bodyDiv w:val="1"/>
      <w:marLeft w:val="0"/>
      <w:marRight w:val="0"/>
      <w:marTop w:val="0"/>
      <w:marBottom w:val="0"/>
      <w:divBdr>
        <w:top w:val="none" w:sz="0" w:space="0" w:color="auto"/>
        <w:left w:val="none" w:sz="0" w:space="0" w:color="auto"/>
        <w:bottom w:val="none" w:sz="0" w:space="0" w:color="auto"/>
        <w:right w:val="none" w:sz="0" w:space="0" w:color="auto"/>
      </w:divBdr>
    </w:div>
    <w:div w:id="1303342678">
      <w:bodyDiv w:val="1"/>
      <w:marLeft w:val="0"/>
      <w:marRight w:val="0"/>
      <w:marTop w:val="0"/>
      <w:marBottom w:val="0"/>
      <w:divBdr>
        <w:top w:val="none" w:sz="0" w:space="0" w:color="auto"/>
        <w:left w:val="none" w:sz="0" w:space="0" w:color="auto"/>
        <w:bottom w:val="none" w:sz="0" w:space="0" w:color="auto"/>
        <w:right w:val="none" w:sz="0" w:space="0" w:color="auto"/>
      </w:divBdr>
    </w:div>
    <w:div w:id="1646811558">
      <w:bodyDiv w:val="1"/>
      <w:marLeft w:val="0"/>
      <w:marRight w:val="0"/>
      <w:marTop w:val="0"/>
      <w:marBottom w:val="0"/>
      <w:divBdr>
        <w:top w:val="none" w:sz="0" w:space="0" w:color="auto"/>
        <w:left w:val="none" w:sz="0" w:space="0" w:color="auto"/>
        <w:bottom w:val="none" w:sz="0" w:space="0" w:color="auto"/>
        <w:right w:val="none" w:sz="0" w:space="0" w:color="auto"/>
      </w:divBdr>
    </w:div>
    <w:div w:id="1721830304">
      <w:bodyDiv w:val="1"/>
      <w:marLeft w:val="0"/>
      <w:marRight w:val="0"/>
      <w:marTop w:val="0"/>
      <w:marBottom w:val="0"/>
      <w:divBdr>
        <w:top w:val="none" w:sz="0" w:space="0" w:color="auto"/>
        <w:left w:val="none" w:sz="0" w:space="0" w:color="auto"/>
        <w:bottom w:val="none" w:sz="0" w:space="0" w:color="auto"/>
        <w:right w:val="none" w:sz="0" w:space="0" w:color="auto"/>
      </w:divBdr>
    </w:div>
    <w:div w:id="1729449191">
      <w:bodyDiv w:val="1"/>
      <w:marLeft w:val="0"/>
      <w:marRight w:val="0"/>
      <w:marTop w:val="0"/>
      <w:marBottom w:val="0"/>
      <w:divBdr>
        <w:top w:val="none" w:sz="0" w:space="0" w:color="auto"/>
        <w:left w:val="none" w:sz="0" w:space="0" w:color="auto"/>
        <w:bottom w:val="none" w:sz="0" w:space="0" w:color="auto"/>
        <w:right w:val="none" w:sz="0" w:space="0" w:color="auto"/>
      </w:divBdr>
    </w:div>
    <w:div w:id="1770542793">
      <w:bodyDiv w:val="1"/>
      <w:marLeft w:val="0"/>
      <w:marRight w:val="0"/>
      <w:marTop w:val="0"/>
      <w:marBottom w:val="0"/>
      <w:divBdr>
        <w:top w:val="none" w:sz="0" w:space="0" w:color="auto"/>
        <w:left w:val="none" w:sz="0" w:space="0" w:color="auto"/>
        <w:bottom w:val="none" w:sz="0" w:space="0" w:color="auto"/>
        <w:right w:val="none" w:sz="0" w:space="0" w:color="auto"/>
      </w:divBdr>
    </w:div>
    <w:div w:id="1773819921">
      <w:bodyDiv w:val="1"/>
      <w:marLeft w:val="0"/>
      <w:marRight w:val="0"/>
      <w:marTop w:val="0"/>
      <w:marBottom w:val="0"/>
      <w:divBdr>
        <w:top w:val="none" w:sz="0" w:space="0" w:color="auto"/>
        <w:left w:val="none" w:sz="0" w:space="0" w:color="auto"/>
        <w:bottom w:val="none" w:sz="0" w:space="0" w:color="auto"/>
        <w:right w:val="none" w:sz="0" w:space="0" w:color="auto"/>
      </w:divBdr>
    </w:div>
    <w:div w:id="1788233397">
      <w:bodyDiv w:val="1"/>
      <w:marLeft w:val="0"/>
      <w:marRight w:val="0"/>
      <w:marTop w:val="0"/>
      <w:marBottom w:val="0"/>
      <w:divBdr>
        <w:top w:val="none" w:sz="0" w:space="0" w:color="auto"/>
        <w:left w:val="none" w:sz="0" w:space="0" w:color="auto"/>
        <w:bottom w:val="none" w:sz="0" w:space="0" w:color="auto"/>
        <w:right w:val="none" w:sz="0" w:space="0" w:color="auto"/>
      </w:divBdr>
    </w:div>
    <w:div w:id="1856461415">
      <w:bodyDiv w:val="1"/>
      <w:marLeft w:val="0"/>
      <w:marRight w:val="0"/>
      <w:marTop w:val="0"/>
      <w:marBottom w:val="0"/>
      <w:divBdr>
        <w:top w:val="none" w:sz="0" w:space="0" w:color="auto"/>
        <w:left w:val="none" w:sz="0" w:space="0" w:color="auto"/>
        <w:bottom w:val="none" w:sz="0" w:space="0" w:color="auto"/>
        <w:right w:val="none" w:sz="0" w:space="0" w:color="auto"/>
      </w:divBdr>
    </w:div>
    <w:div w:id="21282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Cas161</b:Tag>
    <b:SourceType>JournalArticle</b:SourceType>
    <b:Guid>{5EB8597A-2867-4E3C-91DE-55440FAD2607}</b:Guid>
    <b:Title>Declaration of Helsinki: reflections and proposals for its renovation</b:Title>
    <b:Year>2016</b:Year>
    <b:JournalName>BIOETHICS UPdate </b:JournalName>
    <b:Pages>41-55</b:Pages>
    <b:Volume>2</b:Volume>
    <b:Issue>1</b:Issue>
    <b:DOI>10.1016/j.bioet.2016.05.004</b:DOI>
    <b:Author>
      <b:Author>
        <b:NameList>
          <b:Person>
            <b:Last>Casas M</b:Last>
            <b:Middle>de la Luz</b:Middle>
            <b:First>M</b:First>
          </b:Person>
        </b:NameList>
      </b:Author>
    </b:Author>
    <b:RefOrder>8</b:RefOrder>
  </b:Source>
  <b:Source>
    <b:Tag>Mar233</b:Tag>
    <b:SourceType>Book</b:SourceType>
    <b:Guid>{AD24FAA9-237A-40B6-920A-B942788F038A}</b:Guid>
    <b:Title>Ética en la practica de la Psicología</b:Title>
    <b:JournalName>Herder </b:JournalName>
    <b:Year>2023</b:Year>
    <b:Author>
      <b:Author>
        <b:NameList>
          <b:Person>
            <b:Last>Martín</b:Last>
            <b:First>Julia</b:First>
          </b:Person>
          <b:Person>
            <b:Last>Apericio</b:Last>
            <b:First>Susana</b:First>
          </b:Person>
          <b:Person>
            <b:Last>Jarne</b:Last>
            <b:First>Adolfo</b:First>
          </b:Person>
        </b:NameList>
      </b:Author>
    </b:Author>
    <b:Publisher>Herder</b:Publisher>
    <b:RefOrder>9</b:RefOrder>
  </b:Source>
</b:Sources>
</file>

<file path=customXml/itemProps1.xml><?xml version="1.0" encoding="utf-8"?>
<ds:datastoreItem xmlns:ds="http://schemas.openxmlformats.org/officeDocument/2006/customXml" ds:itemID="{B205F232-8B1D-4079-B62C-B7BF1F36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18846</Words>
  <Characters>103653</Characters>
  <Application>Microsoft Office Word</Application>
  <DocSecurity>0</DocSecurity>
  <Lines>863</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Kevin Acosta Barreno</dc:creator>
  <cp:keywords>, docId:2E5ADE42F67F87DDD124D0197B78475B</cp:keywords>
  <dc:description/>
  <cp:lastModifiedBy>Jonathan Kevin Acosta Barreno</cp:lastModifiedBy>
  <cp:revision>5</cp:revision>
  <dcterms:created xsi:type="dcterms:W3CDTF">2025-06-15T20:55:00Z</dcterms:created>
  <dcterms:modified xsi:type="dcterms:W3CDTF">2025-06-15T23:03:00Z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id="kHISO6VY"/&gt;&lt;style id="http://www.zotero.org/styles/apa" locale="es-MX" hasBibliography="1" bibliographyStyleHasBeenSet="1"/&gt;&lt;prefs&gt;&lt;pref name="fieldType" value="Field"/&gt;&lt;/prefs&gt;&lt;/data&gt;</vt:lpwstr>
  </property>
  <property fmtid="{D5CDD505-2E9C-101B-9397-08002B2CF9AE}" pid="3" name="GrammarlyDocumentId">
    <vt:lpwstr>6afc401726a566585ffc91d8d1316c9697a8a2c2a674c895ec9f0f15b40abd75</vt:lpwstr>
  </property>
</Properties>
</file>