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AA" w:rsidRDefault="00E3249E">
      <w:pPr>
        <w:pBdr>
          <w:top w:val="nil"/>
          <w:left w:val="nil"/>
          <w:bottom w:val="nil"/>
          <w:right w:val="nil"/>
          <w:between w:val="nil"/>
        </w:pBdr>
        <w:jc w:val="center"/>
        <w:rPr>
          <w:b/>
          <w:color w:val="000000"/>
          <w:sz w:val="36"/>
          <w:szCs w:val="36"/>
        </w:rPr>
      </w:pPr>
      <w:r>
        <w:rPr>
          <w:b/>
          <w:color w:val="000000"/>
          <w:sz w:val="36"/>
          <w:szCs w:val="36"/>
        </w:rPr>
        <w:t xml:space="preserve"> </w:t>
      </w:r>
      <w:r w:rsidR="00144938" w:rsidRPr="00144938">
        <w:rPr>
          <w:b/>
          <w:color w:val="000000"/>
          <w:sz w:val="36"/>
          <w:szCs w:val="36"/>
        </w:rPr>
        <w:t>Autoestima y violencia de género: Cuestionando supuestos lineales</w:t>
      </w:r>
    </w:p>
    <w:p w:rsidR="00DB7FAA" w:rsidRDefault="00DB7FAA">
      <w:pPr>
        <w:rPr>
          <w:b/>
        </w:rPr>
      </w:pPr>
    </w:p>
    <w:p w:rsidR="004810E3" w:rsidRPr="004810E3" w:rsidRDefault="004810E3" w:rsidP="004810E3">
      <w:pPr>
        <w:rPr>
          <w:rFonts w:ascii="Amasis MT Pro Light" w:hAnsi="Amasis MT Pro Light" w:cstheme="minorHAnsi"/>
          <w:b/>
          <w:bCs/>
          <w:lang w:val="en-US"/>
        </w:rPr>
      </w:pPr>
      <w:proofErr w:type="spellStart"/>
      <w:r>
        <w:rPr>
          <w:rFonts w:ascii="Amasis MT Pro Light" w:hAnsi="Amasis MT Pro Light" w:cstheme="minorHAnsi"/>
          <w:b/>
          <w:bCs/>
          <w:lang w:val="en-US"/>
        </w:rPr>
        <w:t>Mayerly</w:t>
      </w:r>
      <w:proofErr w:type="spellEnd"/>
      <w:r>
        <w:rPr>
          <w:rFonts w:ascii="Amasis MT Pro Light" w:hAnsi="Amasis MT Pro Light" w:cstheme="minorHAnsi"/>
          <w:b/>
          <w:bCs/>
          <w:lang w:val="en-US"/>
        </w:rPr>
        <w:t xml:space="preserve"> Ximena </w:t>
      </w:r>
      <w:proofErr w:type="spellStart"/>
      <w:r>
        <w:rPr>
          <w:rFonts w:ascii="Amasis MT Pro Light" w:hAnsi="Amasis MT Pro Light" w:cstheme="minorHAnsi"/>
          <w:b/>
          <w:bCs/>
          <w:lang w:val="en-US"/>
        </w:rPr>
        <w:t>Calle</w:t>
      </w:r>
      <w:proofErr w:type="spellEnd"/>
      <w:r>
        <w:rPr>
          <w:rFonts w:ascii="Amasis MT Pro Light" w:hAnsi="Amasis MT Pro Light" w:cstheme="minorHAnsi"/>
          <w:b/>
          <w:bCs/>
          <w:lang w:val="en-US"/>
        </w:rPr>
        <w:t>-</w:t>
      </w:r>
      <w:r w:rsidRPr="00CE6B99">
        <w:rPr>
          <w:rFonts w:ascii="Amasis MT Pro Light" w:hAnsi="Amasis MT Pro Light" w:cstheme="minorHAnsi"/>
          <w:b/>
          <w:bCs/>
          <w:lang w:val="en-US"/>
        </w:rPr>
        <w:t>Velez</w:t>
      </w:r>
      <w:r>
        <w:rPr>
          <w:rFonts w:ascii="Amasis MT Pro Light" w:hAnsi="Amasis MT Pro Light" w:cstheme="minorHAnsi"/>
          <w:b/>
          <w:bCs/>
          <w:lang w:val="en-US"/>
        </w:rPr>
        <w:t xml:space="preserve">, </w:t>
      </w:r>
      <w:r w:rsidRPr="004810E3">
        <w:rPr>
          <w:rFonts w:ascii="Amasis MT Pro Light" w:hAnsi="Amasis MT Pro Light" w:cstheme="minorHAnsi"/>
          <w:b/>
          <w:bCs/>
          <w:lang w:val="en-US"/>
        </w:rPr>
        <w:t xml:space="preserve">Celery </w:t>
      </w:r>
      <w:proofErr w:type="spellStart"/>
      <w:r w:rsidRPr="004810E3">
        <w:rPr>
          <w:rFonts w:ascii="Amasis MT Pro Light" w:hAnsi="Amasis MT Pro Light" w:cstheme="minorHAnsi"/>
          <w:b/>
          <w:bCs/>
          <w:lang w:val="en-US"/>
        </w:rPr>
        <w:t>Shantal</w:t>
      </w:r>
      <w:proofErr w:type="spellEnd"/>
      <w:r w:rsidRPr="004810E3">
        <w:rPr>
          <w:rFonts w:ascii="Amasis MT Pro Light" w:hAnsi="Amasis MT Pro Light" w:cstheme="minorHAnsi"/>
          <w:b/>
          <w:bCs/>
          <w:lang w:val="en-US"/>
        </w:rPr>
        <w:t xml:space="preserve"> </w:t>
      </w:r>
      <w:proofErr w:type="spellStart"/>
      <w:r w:rsidRPr="004810E3">
        <w:rPr>
          <w:rFonts w:ascii="Amasis MT Pro Light" w:hAnsi="Amasis MT Pro Light" w:cstheme="minorHAnsi"/>
          <w:b/>
          <w:bCs/>
          <w:lang w:val="en-US"/>
        </w:rPr>
        <w:t>Luzuriaga</w:t>
      </w:r>
      <w:proofErr w:type="spellEnd"/>
      <w:r w:rsidRPr="004810E3">
        <w:rPr>
          <w:rFonts w:ascii="Amasis MT Pro Light" w:hAnsi="Amasis MT Pro Light" w:cstheme="minorHAnsi"/>
          <w:b/>
          <w:bCs/>
          <w:lang w:val="en-US"/>
        </w:rPr>
        <w:t xml:space="preserve"> Once</w:t>
      </w:r>
      <w:r>
        <w:rPr>
          <w:rFonts w:ascii="Amasis MT Pro Light" w:hAnsi="Amasis MT Pro Light" w:cstheme="minorHAnsi"/>
          <w:b/>
          <w:bCs/>
          <w:lang w:val="en-US"/>
        </w:rPr>
        <w:t xml:space="preserve">, </w:t>
      </w:r>
      <w:r w:rsidRPr="004810E3">
        <w:rPr>
          <w:rFonts w:ascii="Amasis MT Pro Light" w:hAnsi="Amasis MT Pro Light" w:cstheme="minorHAnsi"/>
          <w:b/>
          <w:bCs/>
          <w:lang w:val="en-US"/>
        </w:rPr>
        <w:t xml:space="preserve">Carlos </w:t>
      </w:r>
      <w:proofErr w:type="spellStart"/>
      <w:r w:rsidRPr="004810E3">
        <w:rPr>
          <w:rFonts w:ascii="Amasis MT Pro Light" w:hAnsi="Amasis MT Pro Light" w:cstheme="minorHAnsi"/>
          <w:b/>
          <w:bCs/>
          <w:lang w:val="en-US"/>
        </w:rPr>
        <w:t>Carpio</w:t>
      </w:r>
      <w:proofErr w:type="spellEnd"/>
      <w:r w:rsidRPr="004810E3">
        <w:rPr>
          <w:rFonts w:ascii="Amasis MT Pro Light" w:hAnsi="Amasis MT Pro Light" w:cstheme="minorHAnsi"/>
          <w:b/>
          <w:bCs/>
          <w:lang w:val="en-US"/>
        </w:rPr>
        <w:t xml:space="preserve"> </w:t>
      </w:r>
      <w:proofErr w:type="spellStart"/>
      <w:r w:rsidRPr="004810E3">
        <w:rPr>
          <w:rFonts w:ascii="Amasis MT Pro Light" w:hAnsi="Amasis MT Pro Light" w:cstheme="minorHAnsi"/>
          <w:b/>
          <w:bCs/>
          <w:lang w:val="en-US"/>
        </w:rPr>
        <w:t>Mosquera</w:t>
      </w:r>
      <w:proofErr w:type="spellEnd"/>
    </w:p>
    <w:p w:rsidR="00DB7FAA" w:rsidRDefault="00DB7FAA">
      <w:pPr>
        <w:rPr>
          <w:i/>
          <w:sz w:val="28"/>
          <w:szCs w:val="28"/>
        </w:rPr>
      </w:pPr>
    </w:p>
    <w:p w:rsidR="004810E3" w:rsidRPr="004810E3" w:rsidRDefault="004810E3" w:rsidP="004810E3">
      <w:pPr>
        <w:rPr>
          <w:i/>
          <w:szCs w:val="28"/>
        </w:rPr>
      </w:pPr>
      <w:r w:rsidRPr="004810E3">
        <w:rPr>
          <w:i/>
          <w:szCs w:val="28"/>
        </w:rPr>
        <w:t>Universidad Técnica de Machala, Ecuador; Universidad Técnica de Machala, Ecuador; Universidad Técnica de Machala, Ecuador;</w:t>
      </w:r>
    </w:p>
    <w:p w:rsidR="00DB7FAA" w:rsidRDefault="00E3249E">
      <w:pPr>
        <w:rPr>
          <w:rFonts w:ascii="Times" w:eastAsia="Times" w:hAnsi="Times" w:cs="Times"/>
          <w:i/>
          <w:sz w:val="28"/>
          <w:szCs w:val="28"/>
        </w:rPr>
      </w:pPr>
      <w:r>
        <w:rPr>
          <w:noProof/>
          <w:lang w:val="es-419" w:eastAsia="es-419"/>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72200" cy="25400"/>
                        </a:xfrm>
                        <a:prstGeom prst="rect"/>
                        <a:ln/>
                      </pic:spPr>
                    </pic:pic>
                  </a:graphicData>
                </a:graphic>
              </wp:anchor>
            </w:drawing>
          </mc:Fallback>
        </mc:AlternateContent>
      </w:r>
    </w:p>
    <w:p w:rsidR="00DB7FAA" w:rsidRDefault="00DB7FAA">
      <w:pPr>
        <w:rPr>
          <w:b/>
          <w:sz w:val="20"/>
          <w:szCs w:val="20"/>
        </w:rPr>
      </w:pPr>
    </w:p>
    <w:p w:rsidR="00144938" w:rsidRDefault="00144938" w:rsidP="00144938">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rsidR="00144938" w:rsidRDefault="00F142D1" w:rsidP="00144938">
      <w:pPr>
        <w:rPr>
          <w:i/>
          <w:sz w:val="20"/>
          <w:szCs w:val="20"/>
        </w:rPr>
      </w:pPr>
      <w:r>
        <w:rPr>
          <w:sz w:val="20"/>
          <w:szCs w:val="20"/>
        </w:rPr>
        <w:t xml:space="preserve">Objetivo: </w:t>
      </w:r>
      <w:r w:rsidR="00144938" w:rsidRPr="0000573B">
        <w:rPr>
          <w:sz w:val="20"/>
          <w:szCs w:val="20"/>
        </w:rPr>
        <w:t xml:space="preserve">Se </w:t>
      </w:r>
      <w:proofErr w:type="spellStart"/>
      <w:r w:rsidR="00144938" w:rsidRPr="0000573B">
        <w:rPr>
          <w:sz w:val="20"/>
          <w:szCs w:val="20"/>
        </w:rPr>
        <w:t>hipotetizó</w:t>
      </w:r>
      <w:proofErr w:type="spellEnd"/>
      <w:r w:rsidR="00144938" w:rsidRPr="0000573B">
        <w:rPr>
          <w:sz w:val="20"/>
          <w:szCs w:val="20"/>
        </w:rPr>
        <w:t xml:space="preserve"> que la autoestima no se asocia linealmente con las actitudes hacia la violencia de género en mujeres universitarias. Método Estudio transversal correlacional con 655 mujeres de carreras de salud de la Universidad Técnica de Machala, Ecuador (M edad = 21.3, DT = 2.4). Se aplicaron la Escala de Autoestima de </w:t>
      </w:r>
      <w:proofErr w:type="spellStart"/>
      <w:r w:rsidR="00144938" w:rsidRPr="0000573B">
        <w:rPr>
          <w:sz w:val="20"/>
          <w:szCs w:val="20"/>
        </w:rPr>
        <w:t>Rosenberg</w:t>
      </w:r>
      <w:proofErr w:type="spellEnd"/>
      <w:r w:rsidR="00144938" w:rsidRPr="0000573B">
        <w:rPr>
          <w:sz w:val="20"/>
          <w:szCs w:val="20"/>
        </w:rPr>
        <w:t xml:space="preserve"> (α = .802) y la Escala de Actitudes hacia la Violencia de Género (α = .873). Se calcularon la correlación de Pearson y un ANOVA entre categorías de autoestima (baja, media, alta); los IC 95 % se estimaron mediante la transformación z de Fisher y F no central, respectivamente. Resultados Los análisis estadísticos no encontraron relación significativa entre la autoestima y las actitudes hacia la violencia de género. Las mujeres con niveles bajos, medios y altos de autoestima mostraron puntajes similares de rechazo hacia la violencia, lo que indica que esta variable individual no explica diferencias en dichas actitudes dentro de la muestra estudiada. Conclusiones La ausencia de relación lineal cuestiona la premisa de que una autoestima baja incremente directamente la vulnerabilidad a la violencia de género. Los hallazgos respaldan la necesidad de modelos psicosociales multicausales que integren factores estructurales y contextuales para diseñar intervenciones de prevención más efectivas, superando enfoques que responsabilizan individualmente a las víctimas. Estos hallazgos requieren replicación en poblaciones diversas para confirmar su alcance en diferentes contextos educativos y socioculturales.</w:t>
      </w:r>
    </w:p>
    <w:p w:rsidR="00144938" w:rsidRDefault="00144938" w:rsidP="00144938">
      <w:pPr>
        <w:rPr>
          <w:sz w:val="20"/>
          <w:szCs w:val="20"/>
        </w:rPr>
      </w:pPr>
    </w:p>
    <w:p w:rsidR="00144938" w:rsidRDefault="00144938" w:rsidP="00144938">
      <w:pPr>
        <w:jc w:val="both"/>
        <w:rPr>
          <w:b/>
          <w:sz w:val="20"/>
          <w:szCs w:val="20"/>
        </w:rPr>
      </w:pPr>
      <w:r>
        <w:rPr>
          <w:b/>
          <w:sz w:val="20"/>
          <w:szCs w:val="20"/>
        </w:rPr>
        <w:t>Palabras claves</w:t>
      </w:r>
    </w:p>
    <w:p w:rsidR="00144938" w:rsidRDefault="00144938" w:rsidP="00144938">
      <w:pPr>
        <w:pBdr>
          <w:top w:val="nil"/>
          <w:left w:val="nil"/>
          <w:bottom w:val="nil"/>
          <w:right w:val="nil"/>
          <w:between w:val="nil"/>
        </w:pBdr>
        <w:spacing w:after="120"/>
        <w:rPr>
          <w:b/>
          <w:smallCaps/>
          <w:color w:val="000000"/>
          <w:sz w:val="20"/>
          <w:szCs w:val="20"/>
        </w:rPr>
      </w:pPr>
      <w:r w:rsidRPr="0000573B">
        <w:rPr>
          <w:sz w:val="20"/>
          <w:szCs w:val="20"/>
        </w:rPr>
        <w:t>autoestima, violencia de género, actitudes, mujeres</w:t>
      </w:r>
    </w:p>
    <w:p w:rsidR="00DB7FAA" w:rsidRDefault="00E3249E" w:rsidP="00F142D1">
      <w:pPr>
        <w:pBdr>
          <w:top w:val="nil"/>
          <w:left w:val="nil"/>
          <w:bottom w:val="nil"/>
          <w:right w:val="nil"/>
          <w:between w:val="nil"/>
        </w:pBdr>
        <w:spacing w:before="240" w:after="120"/>
        <w:jc w:val="center"/>
        <w:rPr>
          <w:b/>
          <w:smallCaps/>
          <w:color w:val="000000"/>
          <w:sz w:val="20"/>
          <w:szCs w:val="20"/>
        </w:rPr>
      </w:pPr>
      <w:proofErr w:type="spellStart"/>
      <w:r>
        <w:rPr>
          <w:b/>
          <w:smallCaps/>
          <w:color w:val="000000"/>
          <w:sz w:val="20"/>
          <w:szCs w:val="20"/>
        </w:rPr>
        <w:t>Abstract</w:t>
      </w:r>
      <w:proofErr w:type="spellEnd"/>
    </w:p>
    <w:p w:rsidR="00DB7FAA" w:rsidRDefault="0000573B" w:rsidP="004810E3">
      <w:pPr>
        <w:rPr>
          <w:sz w:val="20"/>
          <w:szCs w:val="20"/>
        </w:rPr>
      </w:pPr>
      <w:proofErr w:type="spellStart"/>
      <w:r w:rsidRPr="0000573B">
        <w:rPr>
          <w:sz w:val="20"/>
          <w:szCs w:val="20"/>
        </w:rPr>
        <w:t>Objective</w:t>
      </w:r>
      <w:proofErr w:type="spellEnd"/>
      <w:r w:rsidRPr="0000573B">
        <w:rPr>
          <w:sz w:val="20"/>
          <w:szCs w:val="20"/>
        </w:rPr>
        <w:t xml:space="preserve">: </w:t>
      </w:r>
      <w:proofErr w:type="spellStart"/>
      <w:r w:rsidRPr="0000573B">
        <w:rPr>
          <w:sz w:val="20"/>
          <w:szCs w:val="20"/>
        </w:rPr>
        <w:t>It</w:t>
      </w:r>
      <w:proofErr w:type="spellEnd"/>
      <w:r w:rsidRPr="0000573B">
        <w:rPr>
          <w:sz w:val="20"/>
          <w:szCs w:val="20"/>
        </w:rPr>
        <w:t xml:space="preserve"> </w:t>
      </w:r>
      <w:proofErr w:type="spellStart"/>
      <w:r w:rsidRPr="0000573B">
        <w:rPr>
          <w:sz w:val="20"/>
          <w:szCs w:val="20"/>
        </w:rPr>
        <w:t>was</w:t>
      </w:r>
      <w:proofErr w:type="spellEnd"/>
      <w:r w:rsidRPr="0000573B">
        <w:rPr>
          <w:sz w:val="20"/>
          <w:szCs w:val="20"/>
        </w:rPr>
        <w:t xml:space="preserve"> </w:t>
      </w:r>
      <w:proofErr w:type="spellStart"/>
      <w:r w:rsidRPr="0000573B">
        <w:rPr>
          <w:sz w:val="20"/>
          <w:szCs w:val="20"/>
        </w:rPr>
        <w:t>hypothesized</w:t>
      </w:r>
      <w:proofErr w:type="spellEnd"/>
      <w:r w:rsidRPr="0000573B">
        <w:rPr>
          <w:sz w:val="20"/>
          <w:szCs w:val="20"/>
        </w:rPr>
        <w:t xml:space="preserve"> </w:t>
      </w:r>
      <w:proofErr w:type="spellStart"/>
      <w:r w:rsidRPr="0000573B">
        <w:rPr>
          <w:sz w:val="20"/>
          <w:szCs w:val="20"/>
        </w:rPr>
        <w:t>that</w:t>
      </w:r>
      <w:proofErr w:type="spellEnd"/>
      <w:r w:rsidRPr="0000573B">
        <w:rPr>
          <w:sz w:val="20"/>
          <w:szCs w:val="20"/>
        </w:rPr>
        <w:t xml:space="preserve"> </w:t>
      </w:r>
      <w:proofErr w:type="spellStart"/>
      <w:r w:rsidRPr="0000573B">
        <w:rPr>
          <w:sz w:val="20"/>
          <w:szCs w:val="20"/>
        </w:rPr>
        <w:t>self-esteem</w:t>
      </w:r>
      <w:proofErr w:type="spellEnd"/>
      <w:r w:rsidRPr="0000573B">
        <w:rPr>
          <w:sz w:val="20"/>
          <w:szCs w:val="20"/>
        </w:rPr>
        <w:t xml:space="preserve"> </w:t>
      </w:r>
      <w:proofErr w:type="spellStart"/>
      <w:r w:rsidRPr="0000573B">
        <w:rPr>
          <w:sz w:val="20"/>
          <w:szCs w:val="20"/>
        </w:rPr>
        <w:t>is</w:t>
      </w:r>
      <w:proofErr w:type="spellEnd"/>
      <w:r w:rsidRPr="0000573B">
        <w:rPr>
          <w:sz w:val="20"/>
          <w:szCs w:val="20"/>
        </w:rPr>
        <w:t xml:space="preserve"> </w:t>
      </w:r>
      <w:proofErr w:type="spellStart"/>
      <w:r w:rsidRPr="0000573B">
        <w:rPr>
          <w:sz w:val="20"/>
          <w:szCs w:val="20"/>
        </w:rPr>
        <w:t>not</w:t>
      </w:r>
      <w:proofErr w:type="spellEnd"/>
      <w:r w:rsidRPr="0000573B">
        <w:rPr>
          <w:sz w:val="20"/>
          <w:szCs w:val="20"/>
        </w:rPr>
        <w:t xml:space="preserve"> </w:t>
      </w:r>
      <w:proofErr w:type="spellStart"/>
      <w:r w:rsidRPr="0000573B">
        <w:rPr>
          <w:sz w:val="20"/>
          <w:szCs w:val="20"/>
        </w:rPr>
        <w:t>linearly</w:t>
      </w:r>
      <w:proofErr w:type="spellEnd"/>
      <w:r w:rsidRPr="0000573B">
        <w:rPr>
          <w:sz w:val="20"/>
          <w:szCs w:val="20"/>
        </w:rPr>
        <w:t xml:space="preserve"> </w:t>
      </w:r>
      <w:proofErr w:type="spellStart"/>
      <w:r w:rsidRPr="0000573B">
        <w:rPr>
          <w:sz w:val="20"/>
          <w:szCs w:val="20"/>
        </w:rPr>
        <w:t>associated</w:t>
      </w:r>
      <w:proofErr w:type="spellEnd"/>
      <w:r w:rsidRPr="0000573B">
        <w:rPr>
          <w:sz w:val="20"/>
          <w:szCs w:val="20"/>
        </w:rPr>
        <w:t xml:space="preserve"> </w:t>
      </w:r>
      <w:proofErr w:type="spellStart"/>
      <w:r w:rsidRPr="0000573B">
        <w:rPr>
          <w:sz w:val="20"/>
          <w:szCs w:val="20"/>
        </w:rPr>
        <w:t>with</w:t>
      </w:r>
      <w:proofErr w:type="spellEnd"/>
      <w:r w:rsidRPr="0000573B">
        <w:rPr>
          <w:sz w:val="20"/>
          <w:szCs w:val="20"/>
        </w:rPr>
        <w:t xml:space="preserve"> </w:t>
      </w:r>
      <w:proofErr w:type="spellStart"/>
      <w:r w:rsidRPr="0000573B">
        <w:rPr>
          <w:sz w:val="20"/>
          <w:szCs w:val="20"/>
        </w:rPr>
        <w:t>attitudes</w:t>
      </w:r>
      <w:proofErr w:type="spellEnd"/>
      <w:r w:rsidRPr="0000573B">
        <w:rPr>
          <w:sz w:val="20"/>
          <w:szCs w:val="20"/>
        </w:rPr>
        <w:t xml:space="preserve"> </w:t>
      </w:r>
      <w:proofErr w:type="spellStart"/>
      <w:r w:rsidRPr="0000573B">
        <w:rPr>
          <w:sz w:val="20"/>
          <w:szCs w:val="20"/>
        </w:rPr>
        <w:t>toward</w:t>
      </w:r>
      <w:proofErr w:type="spellEnd"/>
      <w:r w:rsidRPr="0000573B">
        <w:rPr>
          <w:sz w:val="20"/>
          <w:szCs w:val="20"/>
        </w:rPr>
        <w:t xml:space="preserve"> </w:t>
      </w:r>
      <w:proofErr w:type="spellStart"/>
      <w:r w:rsidRPr="0000573B">
        <w:rPr>
          <w:sz w:val="20"/>
          <w:szCs w:val="20"/>
        </w:rPr>
        <w:t>gender-based</w:t>
      </w:r>
      <w:proofErr w:type="spellEnd"/>
      <w:r w:rsidRPr="0000573B">
        <w:rPr>
          <w:sz w:val="20"/>
          <w:szCs w:val="20"/>
        </w:rPr>
        <w:t xml:space="preserve"> </w:t>
      </w:r>
      <w:proofErr w:type="spellStart"/>
      <w:r w:rsidRPr="0000573B">
        <w:rPr>
          <w:sz w:val="20"/>
          <w:szCs w:val="20"/>
        </w:rPr>
        <w:t>violence</w:t>
      </w:r>
      <w:proofErr w:type="spellEnd"/>
      <w:r w:rsidRPr="0000573B">
        <w:rPr>
          <w:sz w:val="20"/>
          <w:szCs w:val="20"/>
        </w:rPr>
        <w:t xml:space="preserve"> in </w:t>
      </w:r>
      <w:proofErr w:type="spellStart"/>
      <w:r w:rsidRPr="0000573B">
        <w:rPr>
          <w:sz w:val="20"/>
          <w:szCs w:val="20"/>
        </w:rPr>
        <w:t>university</w:t>
      </w:r>
      <w:proofErr w:type="spellEnd"/>
      <w:r w:rsidRPr="0000573B">
        <w:rPr>
          <w:sz w:val="20"/>
          <w:szCs w:val="20"/>
        </w:rPr>
        <w:t xml:space="preserve"> </w:t>
      </w:r>
      <w:proofErr w:type="spellStart"/>
      <w:r w:rsidRPr="0000573B">
        <w:rPr>
          <w:sz w:val="20"/>
          <w:szCs w:val="20"/>
        </w:rPr>
        <w:t>women</w:t>
      </w:r>
      <w:proofErr w:type="spellEnd"/>
      <w:r w:rsidRPr="0000573B">
        <w:rPr>
          <w:sz w:val="20"/>
          <w:szCs w:val="20"/>
        </w:rPr>
        <w:t xml:space="preserve">. </w:t>
      </w:r>
      <w:proofErr w:type="spellStart"/>
      <w:r w:rsidRPr="0000573B">
        <w:rPr>
          <w:sz w:val="20"/>
          <w:szCs w:val="20"/>
        </w:rPr>
        <w:t>Method</w:t>
      </w:r>
      <w:proofErr w:type="spellEnd"/>
      <w:r w:rsidRPr="0000573B">
        <w:rPr>
          <w:sz w:val="20"/>
          <w:szCs w:val="20"/>
        </w:rPr>
        <w:t>: Cross-</w:t>
      </w:r>
      <w:proofErr w:type="spellStart"/>
      <w:r w:rsidRPr="0000573B">
        <w:rPr>
          <w:sz w:val="20"/>
          <w:szCs w:val="20"/>
        </w:rPr>
        <w:t>sectional</w:t>
      </w:r>
      <w:proofErr w:type="spellEnd"/>
      <w:r w:rsidRPr="0000573B">
        <w:rPr>
          <w:sz w:val="20"/>
          <w:szCs w:val="20"/>
        </w:rPr>
        <w:t xml:space="preserve"> </w:t>
      </w:r>
      <w:proofErr w:type="spellStart"/>
      <w:r w:rsidRPr="0000573B">
        <w:rPr>
          <w:sz w:val="20"/>
          <w:szCs w:val="20"/>
        </w:rPr>
        <w:t>correlational</w:t>
      </w:r>
      <w:proofErr w:type="spellEnd"/>
      <w:r w:rsidRPr="0000573B">
        <w:rPr>
          <w:sz w:val="20"/>
          <w:szCs w:val="20"/>
        </w:rPr>
        <w:t xml:space="preserve"> </w:t>
      </w:r>
      <w:proofErr w:type="spellStart"/>
      <w:r w:rsidRPr="0000573B">
        <w:rPr>
          <w:sz w:val="20"/>
          <w:szCs w:val="20"/>
        </w:rPr>
        <w:t>study</w:t>
      </w:r>
      <w:proofErr w:type="spellEnd"/>
      <w:r w:rsidRPr="0000573B">
        <w:rPr>
          <w:sz w:val="20"/>
          <w:szCs w:val="20"/>
        </w:rPr>
        <w:t xml:space="preserve"> </w:t>
      </w:r>
      <w:proofErr w:type="spellStart"/>
      <w:r w:rsidRPr="0000573B">
        <w:rPr>
          <w:sz w:val="20"/>
          <w:szCs w:val="20"/>
        </w:rPr>
        <w:t>with</w:t>
      </w:r>
      <w:proofErr w:type="spellEnd"/>
      <w:r w:rsidRPr="0000573B">
        <w:rPr>
          <w:sz w:val="20"/>
          <w:szCs w:val="20"/>
        </w:rPr>
        <w:t xml:space="preserve"> 655 </w:t>
      </w:r>
      <w:proofErr w:type="spellStart"/>
      <w:r w:rsidRPr="0000573B">
        <w:rPr>
          <w:sz w:val="20"/>
          <w:szCs w:val="20"/>
        </w:rPr>
        <w:t>women</w:t>
      </w:r>
      <w:proofErr w:type="spellEnd"/>
      <w:r w:rsidRPr="0000573B">
        <w:rPr>
          <w:sz w:val="20"/>
          <w:szCs w:val="20"/>
        </w:rPr>
        <w:t xml:space="preserve"> </w:t>
      </w:r>
      <w:proofErr w:type="spellStart"/>
      <w:r w:rsidRPr="0000573B">
        <w:rPr>
          <w:sz w:val="20"/>
          <w:szCs w:val="20"/>
        </w:rPr>
        <w:t>from</w:t>
      </w:r>
      <w:proofErr w:type="spellEnd"/>
      <w:r w:rsidRPr="0000573B">
        <w:rPr>
          <w:sz w:val="20"/>
          <w:szCs w:val="20"/>
        </w:rPr>
        <w:t xml:space="preserve"> </w:t>
      </w:r>
      <w:proofErr w:type="spellStart"/>
      <w:r w:rsidRPr="0000573B">
        <w:rPr>
          <w:sz w:val="20"/>
          <w:szCs w:val="20"/>
        </w:rPr>
        <w:t>health</w:t>
      </w:r>
      <w:proofErr w:type="spellEnd"/>
      <w:r w:rsidRPr="0000573B">
        <w:rPr>
          <w:sz w:val="20"/>
          <w:szCs w:val="20"/>
        </w:rPr>
        <w:t xml:space="preserve"> </w:t>
      </w:r>
      <w:proofErr w:type="spellStart"/>
      <w:r w:rsidRPr="0000573B">
        <w:rPr>
          <w:sz w:val="20"/>
          <w:szCs w:val="20"/>
        </w:rPr>
        <w:t>careers</w:t>
      </w:r>
      <w:proofErr w:type="spellEnd"/>
      <w:r w:rsidRPr="0000573B">
        <w:rPr>
          <w:sz w:val="20"/>
          <w:szCs w:val="20"/>
        </w:rPr>
        <w:t xml:space="preserve"> at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Technical</w:t>
      </w:r>
      <w:proofErr w:type="spellEnd"/>
      <w:r w:rsidRPr="0000573B">
        <w:rPr>
          <w:sz w:val="20"/>
          <w:szCs w:val="20"/>
        </w:rPr>
        <w:t xml:space="preserve"> </w:t>
      </w:r>
      <w:proofErr w:type="spellStart"/>
      <w:r w:rsidRPr="0000573B">
        <w:rPr>
          <w:sz w:val="20"/>
          <w:szCs w:val="20"/>
        </w:rPr>
        <w:t>University</w:t>
      </w:r>
      <w:proofErr w:type="spellEnd"/>
      <w:r w:rsidRPr="0000573B">
        <w:rPr>
          <w:sz w:val="20"/>
          <w:szCs w:val="20"/>
        </w:rPr>
        <w:t xml:space="preserve"> of Machala, Ecuador (M </w:t>
      </w:r>
      <w:proofErr w:type="spellStart"/>
      <w:r w:rsidRPr="0000573B">
        <w:rPr>
          <w:sz w:val="20"/>
          <w:szCs w:val="20"/>
        </w:rPr>
        <w:t>age</w:t>
      </w:r>
      <w:proofErr w:type="spellEnd"/>
      <w:r w:rsidRPr="0000573B">
        <w:rPr>
          <w:sz w:val="20"/>
          <w:szCs w:val="20"/>
        </w:rPr>
        <w:t xml:space="preserve"> = 21.3, SD = 2.4).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Rosenberg</w:t>
      </w:r>
      <w:proofErr w:type="spellEnd"/>
      <w:r w:rsidRPr="0000573B">
        <w:rPr>
          <w:sz w:val="20"/>
          <w:szCs w:val="20"/>
        </w:rPr>
        <w:t xml:space="preserve"> </w:t>
      </w:r>
      <w:proofErr w:type="spellStart"/>
      <w:r w:rsidRPr="0000573B">
        <w:rPr>
          <w:sz w:val="20"/>
          <w:szCs w:val="20"/>
        </w:rPr>
        <w:t>Self-Esteem</w:t>
      </w:r>
      <w:proofErr w:type="spellEnd"/>
      <w:r w:rsidRPr="0000573B">
        <w:rPr>
          <w:sz w:val="20"/>
          <w:szCs w:val="20"/>
        </w:rPr>
        <w:t xml:space="preserve"> </w:t>
      </w:r>
      <w:proofErr w:type="spellStart"/>
      <w:r w:rsidRPr="0000573B">
        <w:rPr>
          <w:sz w:val="20"/>
          <w:szCs w:val="20"/>
        </w:rPr>
        <w:t>Scale</w:t>
      </w:r>
      <w:proofErr w:type="spellEnd"/>
      <w:r w:rsidRPr="0000573B">
        <w:rPr>
          <w:sz w:val="20"/>
          <w:szCs w:val="20"/>
        </w:rPr>
        <w:t xml:space="preserve"> (α = .802) and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Attitudes</w:t>
      </w:r>
      <w:proofErr w:type="spellEnd"/>
      <w:r w:rsidRPr="0000573B">
        <w:rPr>
          <w:sz w:val="20"/>
          <w:szCs w:val="20"/>
        </w:rPr>
        <w:t xml:space="preserve"> </w:t>
      </w:r>
      <w:proofErr w:type="spellStart"/>
      <w:r w:rsidRPr="0000573B">
        <w:rPr>
          <w:sz w:val="20"/>
          <w:szCs w:val="20"/>
        </w:rPr>
        <w:t>toward</w:t>
      </w:r>
      <w:proofErr w:type="spellEnd"/>
      <w:r w:rsidRPr="0000573B">
        <w:rPr>
          <w:sz w:val="20"/>
          <w:szCs w:val="20"/>
        </w:rPr>
        <w:t xml:space="preserve"> </w:t>
      </w:r>
      <w:proofErr w:type="spellStart"/>
      <w:r w:rsidRPr="0000573B">
        <w:rPr>
          <w:sz w:val="20"/>
          <w:szCs w:val="20"/>
        </w:rPr>
        <w:t>Gender-Based</w:t>
      </w:r>
      <w:proofErr w:type="spellEnd"/>
      <w:r w:rsidRPr="0000573B">
        <w:rPr>
          <w:sz w:val="20"/>
          <w:szCs w:val="20"/>
        </w:rPr>
        <w:t xml:space="preserve"> </w:t>
      </w:r>
      <w:proofErr w:type="spellStart"/>
      <w:r w:rsidRPr="0000573B">
        <w:rPr>
          <w:sz w:val="20"/>
          <w:szCs w:val="20"/>
        </w:rPr>
        <w:t>Violence</w:t>
      </w:r>
      <w:proofErr w:type="spellEnd"/>
      <w:r w:rsidRPr="0000573B">
        <w:rPr>
          <w:sz w:val="20"/>
          <w:szCs w:val="20"/>
        </w:rPr>
        <w:t xml:space="preserve"> </w:t>
      </w:r>
      <w:proofErr w:type="spellStart"/>
      <w:r w:rsidRPr="0000573B">
        <w:rPr>
          <w:sz w:val="20"/>
          <w:szCs w:val="20"/>
        </w:rPr>
        <w:t>Scale</w:t>
      </w:r>
      <w:proofErr w:type="spellEnd"/>
      <w:r w:rsidRPr="0000573B">
        <w:rPr>
          <w:sz w:val="20"/>
          <w:szCs w:val="20"/>
        </w:rPr>
        <w:t xml:space="preserve"> (α = .873) </w:t>
      </w:r>
      <w:proofErr w:type="spellStart"/>
      <w:r w:rsidRPr="0000573B">
        <w:rPr>
          <w:sz w:val="20"/>
          <w:szCs w:val="20"/>
        </w:rPr>
        <w:t>were</w:t>
      </w:r>
      <w:proofErr w:type="spellEnd"/>
      <w:r w:rsidRPr="0000573B">
        <w:rPr>
          <w:sz w:val="20"/>
          <w:szCs w:val="20"/>
        </w:rPr>
        <w:t xml:space="preserve"> </w:t>
      </w:r>
      <w:proofErr w:type="spellStart"/>
      <w:r w:rsidRPr="0000573B">
        <w:rPr>
          <w:sz w:val="20"/>
          <w:szCs w:val="20"/>
        </w:rPr>
        <w:t>administered</w:t>
      </w:r>
      <w:proofErr w:type="spellEnd"/>
      <w:r w:rsidRPr="0000573B">
        <w:rPr>
          <w:sz w:val="20"/>
          <w:szCs w:val="20"/>
        </w:rPr>
        <w:t xml:space="preserve">. Pearson </w:t>
      </w:r>
      <w:proofErr w:type="spellStart"/>
      <w:r w:rsidRPr="0000573B">
        <w:rPr>
          <w:sz w:val="20"/>
          <w:szCs w:val="20"/>
        </w:rPr>
        <w:t>correlation</w:t>
      </w:r>
      <w:proofErr w:type="spellEnd"/>
      <w:r w:rsidRPr="0000573B">
        <w:rPr>
          <w:sz w:val="20"/>
          <w:szCs w:val="20"/>
        </w:rPr>
        <w:t xml:space="preserve"> and ANOVA </w:t>
      </w:r>
      <w:proofErr w:type="spellStart"/>
      <w:r w:rsidRPr="0000573B">
        <w:rPr>
          <w:sz w:val="20"/>
          <w:szCs w:val="20"/>
        </w:rPr>
        <w:t>between</w:t>
      </w:r>
      <w:proofErr w:type="spellEnd"/>
      <w:r w:rsidRPr="0000573B">
        <w:rPr>
          <w:sz w:val="20"/>
          <w:szCs w:val="20"/>
        </w:rPr>
        <w:t xml:space="preserve"> </w:t>
      </w:r>
      <w:proofErr w:type="spellStart"/>
      <w:r w:rsidRPr="0000573B">
        <w:rPr>
          <w:sz w:val="20"/>
          <w:szCs w:val="20"/>
        </w:rPr>
        <w:t>self-esteem</w:t>
      </w:r>
      <w:proofErr w:type="spellEnd"/>
      <w:r w:rsidRPr="0000573B">
        <w:rPr>
          <w:sz w:val="20"/>
          <w:szCs w:val="20"/>
        </w:rPr>
        <w:t xml:space="preserve"> </w:t>
      </w:r>
      <w:proofErr w:type="spellStart"/>
      <w:r w:rsidRPr="0000573B">
        <w:rPr>
          <w:sz w:val="20"/>
          <w:szCs w:val="20"/>
        </w:rPr>
        <w:t>categories</w:t>
      </w:r>
      <w:proofErr w:type="spellEnd"/>
      <w:r w:rsidRPr="0000573B">
        <w:rPr>
          <w:sz w:val="20"/>
          <w:szCs w:val="20"/>
        </w:rPr>
        <w:t xml:space="preserve"> (</w:t>
      </w:r>
      <w:proofErr w:type="spellStart"/>
      <w:r w:rsidRPr="0000573B">
        <w:rPr>
          <w:sz w:val="20"/>
          <w:szCs w:val="20"/>
        </w:rPr>
        <w:t>low</w:t>
      </w:r>
      <w:proofErr w:type="spellEnd"/>
      <w:r w:rsidRPr="0000573B">
        <w:rPr>
          <w:sz w:val="20"/>
          <w:szCs w:val="20"/>
        </w:rPr>
        <w:t xml:space="preserve">, </w:t>
      </w:r>
      <w:proofErr w:type="spellStart"/>
      <w:r w:rsidRPr="0000573B">
        <w:rPr>
          <w:sz w:val="20"/>
          <w:szCs w:val="20"/>
        </w:rPr>
        <w:t>medium</w:t>
      </w:r>
      <w:proofErr w:type="spellEnd"/>
      <w:r w:rsidRPr="0000573B">
        <w:rPr>
          <w:sz w:val="20"/>
          <w:szCs w:val="20"/>
        </w:rPr>
        <w:t xml:space="preserve">, </w:t>
      </w:r>
      <w:proofErr w:type="spellStart"/>
      <w:r w:rsidRPr="0000573B">
        <w:rPr>
          <w:sz w:val="20"/>
          <w:szCs w:val="20"/>
        </w:rPr>
        <w:t>high</w:t>
      </w:r>
      <w:proofErr w:type="spellEnd"/>
      <w:r w:rsidRPr="0000573B">
        <w:rPr>
          <w:sz w:val="20"/>
          <w:szCs w:val="20"/>
        </w:rPr>
        <w:t xml:space="preserve">) </w:t>
      </w:r>
      <w:proofErr w:type="spellStart"/>
      <w:r w:rsidRPr="0000573B">
        <w:rPr>
          <w:sz w:val="20"/>
          <w:szCs w:val="20"/>
        </w:rPr>
        <w:t>were</w:t>
      </w:r>
      <w:proofErr w:type="spellEnd"/>
      <w:r w:rsidRPr="0000573B">
        <w:rPr>
          <w:sz w:val="20"/>
          <w:szCs w:val="20"/>
        </w:rPr>
        <w:t xml:space="preserve"> </w:t>
      </w:r>
      <w:proofErr w:type="spellStart"/>
      <w:r w:rsidRPr="0000573B">
        <w:rPr>
          <w:sz w:val="20"/>
          <w:szCs w:val="20"/>
        </w:rPr>
        <w:t>calculated</w:t>
      </w:r>
      <w:proofErr w:type="spellEnd"/>
      <w:r w:rsidRPr="0000573B">
        <w:rPr>
          <w:sz w:val="20"/>
          <w:szCs w:val="20"/>
        </w:rPr>
        <w:t xml:space="preserve">; 95% </w:t>
      </w:r>
      <w:proofErr w:type="spellStart"/>
      <w:r w:rsidRPr="0000573B">
        <w:rPr>
          <w:sz w:val="20"/>
          <w:szCs w:val="20"/>
        </w:rPr>
        <w:t>CIs</w:t>
      </w:r>
      <w:proofErr w:type="spellEnd"/>
      <w:r w:rsidRPr="0000573B">
        <w:rPr>
          <w:sz w:val="20"/>
          <w:szCs w:val="20"/>
        </w:rPr>
        <w:t xml:space="preserve"> </w:t>
      </w:r>
      <w:proofErr w:type="spellStart"/>
      <w:r w:rsidRPr="0000573B">
        <w:rPr>
          <w:sz w:val="20"/>
          <w:szCs w:val="20"/>
        </w:rPr>
        <w:t>were</w:t>
      </w:r>
      <w:proofErr w:type="spellEnd"/>
      <w:r w:rsidRPr="0000573B">
        <w:rPr>
          <w:sz w:val="20"/>
          <w:szCs w:val="20"/>
        </w:rPr>
        <w:t xml:space="preserve"> </w:t>
      </w:r>
      <w:proofErr w:type="spellStart"/>
      <w:r w:rsidRPr="0000573B">
        <w:rPr>
          <w:sz w:val="20"/>
          <w:szCs w:val="20"/>
        </w:rPr>
        <w:t>estimated</w:t>
      </w:r>
      <w:proofErr w:type="spellEnd"/>
      <w:r w:rsidRPr="0000573B">
        <w:rPr>
          <w:sz w:val="20"/>
          <w:szCs w:val="20"/>
        </w:rPr>
        <w:t xml:space="preserve"> </w:t>
      </w:r>
      <w:proofErr w:type="spellStart"/>
      <w:r w:rsidRPr="0000573B">
        <w:rPr>
          <w:sz w:val="20"/>
          <w:szCs w:val="20"/>
        </w:rPr>
        <w:t>using</w:t>
      </w:r>
      <w:proofErr w:type="spellEnd"/>
      <w:r w:rsidRPr="0000573B">
        <w:rPr>
          <w:sz w:val="20"/>
          <w:szCs w:val="20"/>
        </w:rPr>
        <w:t xml:space="preserve"> </w:t>
      </w:r>
      <w:proofErr w:type="spellStart"/>
      <w:r w:rsidRPr="0000573B">
        <w:rPr>
          <w:sz w:val="20"/>
          <w:szCs w:val="20"/>
        </w:rPr>
        <w:t>Fisher’s</w:t>
      </w:r>
      <w:proofErr w:type="spellEnd"/>
      <w:r w:rsidRPr="0000573B">
        <w:rPr>
          <w:sz w:val="20"/>
          <w:szCs w:val="20"/>
        </w:rPr>
        <w:t xml:space="preserve"> z </w:t>
      </w:r>
      <w:proofErr w:type="spellStart"/>
      <w:r w:rsidRPr="0000573B">
        <w:rPr>
          <w:sz w:val="20"/>
          <w:szCs w:val="20"/>
        </w:rPr>
        <w:t>transformation</w:t>
      </w:r>
      <w:proofErr w:type="spellEnd"/>
      <w:r w:rsidRPr="0000573B">
        <w:rPr>
          <w:sz w:val="20"/>
          <w:szCs w:val="20"/>
        </w:rPr>
        <w:t xml:space="preserve"> and non-central F, </w:t>
      </w:r>
      <w:proofErr w:type="spellStart"/>
      <w:r w:rsidRPr="0000573B">
        <w:rPr>
          <w:sz w:val="20"/>
          <w:szCs w:val="20"/>
        </w:rPr>
        <w:t>respectively</w:t>
      </w:r>
      <w:proofErr w:type="spellEnd"/>
      <w:r w:rsidRPr="0000573B">
        <w:rPr>
          <w:sz w:val="20"/>
          <w:szCs w:val="20"/>
        </w:rPr>
        <w:t xml:space="preserve">. </w:t>
      </w:r>
      <w:proofErr w:type="spellStart"/>
      <w:r w:rsidRPr="0000573B">
        <w:rPr>
          <w:sz w:val="20"/>
          <w:szCs w:val="20"/>
        </w:rPr>
        <w:t>Results</w:t>
      </w:r>
      <w:proofErr w:type="spellEnd"/>
      <w:r w:rsidRPr="0000573B">
        <w:rPr>
          <w:sz w:val="20"/>
          <w:szCs w:val="20"/>
        </w:rPr>
        <w:t xml:space="preserve">: </w:t>
      </w:r>
      <w:proofErr w:type="spellStart"/>
      <w:r w:rsidRPr="0000573B">
        <w:rPr>
          <w:sz w:val="20"/>
          <w:szCs w:val="20"/>
        </w:rPr>
        <w:t>Statistical</w:t>
      </w:r>
      <w:proofErr w:type="spellEnd"/>
      <w:r w:rsidRPr="0000573B">
        <w:rPr>
          <w:sz w:val="20"/>
          <w:szCs w:val="20"/>
        </w:rPr>
        <w:t xml:space="preserve"> </w:t>
      </w:r>
      <w:proofErr w:type="spellStart"/>
      <w:r w:rsidRPr="0000573B">
        <w:rPr>
          <w:sz w:val="20"/>
          <w:szCs w:val="20"/>
        </w:rPr>
        <w:t>analyses</w:t>
      </w:r>
      <w:proofErr w:type="spellEnd"/>
      <w:r w:rsidRPr="0000573B">
        <w:rPr>
          <w:sz w:val="20"/>
          <w:szCs w:val="20"/>
        </w:rPr>
        <w:t xml:space="preserve"> </w:t>
      </w:r>
      <w:proofErr w:type="spellStart"/>
      <w:r w:rsidRPr="0000573B">
        <w:rPr>
          <w:sz w:val="20"/>
          <w:szCs w:val="20"/>
        </w:rPr>
        <w:t>found</w:t>
      </w:r>
      <w:proofErr w:type="spellEnd"/>
      <w:r w:rsidRPr="0000573B">
        <w:rPr>
          <w:sz w:val="20"/>
          <w:szCs w:val="20"/>
        </w:rPr>
        <w:t xml:space="preserve"> no </w:t>
      </w:r>
      <w:proofErr w:type="spellStart"/>
      <w:r w:rsidRPr="0000573B">
        <w:rPr>
          <w:sz w:val="20"/>
          <w:szCs w:val="20"/>
        </w:rPr>
        <w:t>significant</w:t>
      </w:r>
      <w:proofErr w:type="spellEnd"/>
      <w:r w:rsidRPr="0000573B">
        <w:rPr>
          <w:sz w:val="20"/>
          <w:szCs w:val="20"/>
        </w:rPr>
        <w:t xml:space="preserve"> </w:t>
      </w:r>
      <w:proofErr w:type="spellStart"/>
      <w:r w:rsidRPr="0000573B">
        <w:rPr>
          <w:sz w:val="20"/>
          <w:szCs w:val="20"/>
        </w:rPr>
        <w:t>relationship</w:t>
      </w:r>
      <w:proofErr w:type="spellEnd"/>
      <w:r w:rsidRPr="0000573B">
        <w:rPr>
          <w:sz w:val="20"/>
          <w:szCs w:val="20"/>
        </w:rPr>
        <w:t xml:space="preserve"> </w:t>
      </w:r>
      <w:proofErr w:type="spellStart"/>
      <w:r w:rsidRPr="0000573B">
        <w:rPr>
          <w:sz w:val="20"/>
          <w:szCs w:val="20"/>
        </w:rPr>
        <w:t>between</w:t>
      </w:r>
      <w:proofErr w:type="spellEnd"/>
      <w:r w:rsidRPr="0000573B">
        <w:rPr>
          <w:sz w:val="20"/>
          <w:szCs w:val="20"/>
        </w:rPr>
        <w:t xml:space="preserve"> </w:t>
      </w:r>
      <w:proofErr w:type="spellStart"/>
      <w:r w:rsidRPr="0000573B">
        <w:rPr>
          <w:sz w:val="20"/>
          <w:szCs w:val="20"/>
        </w:rPr>
        <w:t>self-esteem</w:t>
      </w:r>
      <w:proofErr w:type="spellEnd"/>
      <w:r w:rsidRPr="0000573B">
        <w:rPr>
          <w:sz w:val="20"/>
          <w:szCs w:val="20"/>
        </w:rPr>
        <w:t xml:space="preserve"> and </w:t>
      </w:r>
      <w:proofErr w:type="spellStart"/>
      <w:r w:rsidRPr="0000573B">
        <w:rPr>
          <w:sz w:val="20"/>
          <w:szCs w:val="20"/>
        </w:rPr>
        <w:t>attitudes</w:t>
      </w:r>
      <w:proofErr w:type="spellEnd"/>
      <w:r w:rsidRPr="0000573B">
        <w:rPr>
          <w:sz w:val="20"/>
          <w:szCs w:val="20"/>
        </w:rPr>
        <w:t xml:space="preserve"> </w:t>
      </w:r>
      <w:proofErr w:type="spellStart"/>
      <w:r w:rsidRPr="0000573B">
        <w:rPr>
          <w:sz w:val="20"/>
          <w:szCs w:val="20"/>
        </w:rPr>
        <w:t>toward</w:t>
      </w:r>
      <w:proofErr w:type="spellEnd"/>
      <w:r w:rsidRPr="0000573B">
        <w:rPr>
          <w:sz w:val="20"/>
          <w:szCs w:val="20"/>
        </w:rPr>
        <w:t xml:space="preserve"> </w:t>
      </w:r>
      <w:proofErr w:type="spellStart"/>
      <w:r w:rsidRPr="0000573B">
        <w:rPr>
          <w:sz w:val="20"/>
          <w:szCs w:val="20"/>
        </w:rPr>
        <w:t>gender-based</w:t>
      </w:r>
      <w:proofErr w:type="spellEnd"/>
      <w:r w:rsidRPr="0000573B">
        <w:rPr>
          <w:sz w:val="20"/>
          <w:szCs w:val="20"/>
        </w:rPr>
        <w:t xml:space="preserve"> </w:t>
      </w:r>
      <w:proofErr w:type="spellStart"/>
      <w:r w:rsidRPr="0000573B">
        <w:rPr>
          <w:sz w:val="20"/>
          <w:szCs w:val="20"/>
        </w:rPr>
        <w:t>violence</w:t>
      </w:r>
      <w:proofErr w:type="spellEnd"/>
      <w:r w:rsidRPr="0000573B">
        <w:rPr>
          <w:sz w:val="20"/>
          <w:szCs w:val="20"/>
        </w:rPr>
        <w:t xml:space="preserve">. </w:t>
      </w:r>
      <w:proofErr w:type="spellStart"/>
      <w:r w:rsidRPr="0000573B">
        <w:rPr>
          <w:sz w:val="20"/>
          <w:szCs w:val="20"/>
        </w:rPr>
        <w:t>Women</w:t>
      </w:r>
      <w:proofErr w:type="spellEnd"/>
      <w:r w:rsidRPr="0000573B">
        <w:rPr>
          <w:sz w:val="20"/>
          <w:szCs w:val="20"/>
        </w:rPr>
        <w:t xml:space="preserve"> </w:t>
      </w:r>
      <w:proofErr w:type="spellStart"/>
      <w:r w:rsidRPr="0000573B">
        <w:rPr>
          <w:sz w:val="20"/>
          <w:szCs w:val="20"/>
        </w:rPr>
        <w:t>with</w:t>
      </w:r>
      <w:proofErr w:type="spellEnd"/>
      <w:r w:rsidRPr="0000573B">
        <w:rPr>
          <w:sz w:val="20"/>
          <w:szCs w:val="20"/>
        </w:rPr>
        <w:t xml:space="preserve"> </w:t>
      </w:r>
      <w:proofErr w:type="spellStart"/>
      <w:r w:rsidRPr="0000573B">
        <w:rPr>
          <w:sz w:val="20"/>
          <w:szCs w:val="20"/>
        </w:rPr>
        <w:t>low</w:t>
      </w:r>
      <w:proofErr w:type="spellEnd"/>
      <w:r w:rsidRPr="0000573B">
        <w:rPr>
          <w:sz w:val="20"/>
          <w:szCs w:val="20"/>
        </w:rPr>
        <w:t xml:space="preserve">, </w:t>
      </w:r>
      <w:proofErr w:type="spellStart"/>
      <w:r w:rsidRPr="0000573B">
        <w:rPr>
          <w:sz w:val="20"/>
          <w:szCs w:val="20"/>
        </w:rPr>
        <w:t>medium</w:t>
      </w:r>
      <w:proofErr w:type="spellEnd"/>
      <w:r w:rsidRPr="0000573B">
        <w:rPr>
          <w:sz w:val="20"/>
          <w:szCs w:val="20"/>
        </w:rPr>
        <w:t xml:space="preserve">, and </w:t>
      </w:r>
      <w:proofErr w:type="spellStart"/>
      <w:r w:rsidRPr="0000573B">
        <w:rPr>
          <w:sz w:val="20"/>
          <w:szCs w:val="20"/>
        </w:rPr>
        <w:t>high</w:t>
      </w:r>
      <w:proofErr w:type="spellEnd"/>
      <w:r w:rsidRPr="0000573B">
        <w:rPr>
          <w:sz w:val="20"/>
          <w:szCs w:val="20"/>
        </w:rPr>
        <w:t xml:space="preserve"> </w:t>
      </w:r>
      <w:proofErr w:type="spellStart"/>
      <w:r w:rsidRPr="0000573B">
        <w:rPr>
          <w:sz w:val="20"/>
          <w:szCs w:val="20"/>
        </w:rPr>
        <w:t>levels</w:t>
      </w:r>
      <w:proofErr w:type="spellEnd"/>
      <w:r w:rsidRPr="0000573B">
        <w:rPr>
          <w:sz w:val="20"/>
          <w:szCs w:val="20"/>
        </w:rPr>
        <w:t xml:space="preserve"> of </w:t>
      </w:r>
      <w:proofErr w:type="spellStart"/>
      <w:r w:rsidRPr="0000573B">
        <w:rPr>
          <w:sz w:val="20"/>
          <w:szCs w:val="20"/>
        </w:rPr>
        <w:t>self-esteem</w:t>
      </w:r>
      <w:proofErr w:type="spellEnd"/>
      <w:r w:rsidRPr="0000573B">
        <w:rPr>
          <w:sz w:val="20"/>
          <w:szCs w:val="20"/>
        </w:rPr>
        <w:t xml:space="preserve"> </w:t>
      </w:r>
      <w:proofErr w:type="spellStart"/>
      <w:r w:rsidRPr="0000573B">
        <w:rPr>
          <w:sz w:val="20"/>
          <w:szCs w:val="20"/>
        </w:rPr>
        <w:t>showed</w:t>
      </w:r>
      <w:proofErr w:type="spellEnd"/>
      <w:r w:rsidRPr="0000573B">
        <w:rPr>
          <w:sz w:val="20"/>
          <w:szCs w:val="20"/>
        </w:rPr>
        <w:t xml:space="preserve"> similar scores of </w:t>
      </w:r>
      <w:proofErr w:type="spellStart"/>
      <w:r w:rsidRPr="0000573B">
        <w:rPr>
          <w:sz w:val="20"/>
          <w:szCs w:val="20"/>
        </w:rPr>
        <w:t>rejection</w:t>
      </w:r>
      <w:proofErr w:type="spellEnd"/>
      <w:r w:rsidRPr="0000573B">
        <w:rPr>
          <w:sz w:val="20"/>
          <w:szCs w:val="20"/>
        </w:rPr>
        <w:t xml:space="preserve"> </w:t>
      </w:r>
      <w:proofErr w:type="spellStart"/>
      <w:r w:rsidRPr="0000573B">
        <w:rPr>
          <w:sz w:val="20"/>
          <w:szCs w:val="20"/>
        </w:rPr>
        <w:t>toward</w:t>
      </w:r>
      <w:proofErr w:type="spellEnd"/>
      <w:r w:rsidRPr="0000573B">
        <w:rPr>
          <w:sz w:val="20"/>
          <w:szCs w:val="20"/>
        </w:rPr>
        <w:t xml:space="preserve"> </w:t>
      </w:r>
      <w:proofErr w:type="spellStart"/>
      <w:r w:rsidRPr="0000573B">
        <w:rPr>
          <w:sz w:val="20"/>
          <w:szCs w:val="20"/>
        </w:rPr>
        <w:t>violence</w:t>
      </w:r>
      <w:proofErr w:type="spellEnd"/>
      <w:r w:rsidRPr="0000573B">
        <w:rPr>
          <w:sz w:val="20"/>
          <w:szCs w:val="20"/>
        </w:rPr>
        <w:t xml:space="preserve">, </w:t>
      </w:r>
      <w:proofErr w:type="spellStart"/>
      <w:r w:rsidRPr="0000573B">
        <w:rPr>
          <w:sz w:val="20"/>
          <w:szCs w:val="20"/>
        </w:rPr>
        <w:t>indicating</w:t>
      </w:r>
      <w:proofErr w:type="spellEnd"/>
      <w:r w:rsidRPr="0000573B">
        <w:rPr>
          <w:sz w:val="20"/>
          <w:szCs w:val="20"/>
        </w:rPr>
        <w:t xml:space="preserve"> </w:t>
      </w:r>
      <w:proofErr w:type="spellStart"/>
      <w:r w:rsidRPr="0000573B">
        <w:rPr>
          <w:sz w:val="20"/>
          <w:szCs w:val="20"/>
        </w:rPr>
        <w:t>that</w:t>
      </w:r>
      <w:proofErr w:type="spellEnd"/>
      <w:r w:rsidRPr="0000573B">
        <w:rPr>
          <w:sz w:val="20"/>
          <w:szCs w:val="20"/>
        </w:rPr>
        <w:t xml:space="preserve"> </w:t>
      </w:r>
      <w:proofErr w:type="spellStart"/>
      <w:r w:rsidRPr="0000573B">
        <w:rPr>
          <w:sz w:val="20"/>
          <w:szCs w:val="20"/>
        </w:rPr>
        <w:t>this</w:t>
      </w:r>
      <w:proofErr w:type="spellEnd"/>
      <w:r w:rsidRPr="0000573B">
        <w:rPr>
          <w:sz w:val="20"/>
          <w:szCs w:val="20"/>
        </w:rPr>
        <w:t xml:space="preserve"> individual variable </w:t>
      </w:r>
      <w:proofErr w:type="spellStart"/>
      <w:r w:rsidRPr="0000573B">
        <w:rPr>
          <w:sz w:val="20"/>
          <w:szCs w:val="20"/>
        </w:rPr>
        <w:t>does</w:t>
      </w:r>
      <w:proofErr w:type="spellEnd"/>
      <w:r w:rsidRPr="0000573B">
        <w:rPr>
          <w:sz w:val="20"/>
          <w:szCs w:val="20"/>
        </w:rPr>
        <w:t xml:space="preserve"> </w:t>
      </w:r>
      <w:proofErr w:type="spellStart"/>
      <w:r w:rsidRPr="0000573B">
        <w:rPr>
          <w:sz w:val="20"/>
          <w:szCs w:val="20"/>
        </w:rPr>
        <w:t>not</w:t>
      </w:r>
      <w:proofErr w:type="spellEnd"/>
      <w:r w:rsidRPr="0000573B">
        <w:rPr>
          <w:sz w:val="20"/>
          <w:szCs w:val="20"/>
        </w:rPr>
        <w:t xml:space="preserve"> </w:t>
      </w:r>
      <w:proofErr w:type="spellStart"/>
      <w:r w:rsidRPr="0000573B">
        <w:rPr>
          <w:sz w:val="20"/>
          <w:szCs w:val="20"/>
        </w:rPr>
        <w:t>explain</w:t>
      </w:r>
      <w:proofErr w:type="spellEnd"/>
      <w:r w:rsidRPr="0000573B">
        <w:rPr>
          <w:sz w:val="20"/>
          <w:szCs w:val="20"/>
        </w:rPr>
        <w:t xml:space="preserve"> </w:t>
      </w:r>
      <w:proofErr w:type="spellStart"/>
      <w:r w:rsidRPr="0000573B">
        <w:rPr>
          <w:sz w:val="20"/>
          <w:szCs w:val="20"/>
        </w:rPr>
        <w:t>differences</w:t>
      </w:r>
      <w:proofErr w:type="spellEnd"/>
      <w:r w:rsidRPr="0000573B">
        <w:rPr>
          <w:sz w:val="20"/>
          <w:szCs w:val="20"/>
        </w:rPr>
        <w:t xml:space="preserve"> in </w:t>
      </w:r>
      <w:proofErr w:type="spellStart"/>
      <w:r w:rsidRPr="0000573B">
        <w:rPr>
          <w:sz w:val="20"/>
          <w:szCs w:val="20"/>
        </w:rPr>
        <w:t>such</w:t>
      </w:r>
      <w:proofErr w:type="spellEnd"/>
      <w:r w:rsidRPr="0000573B">
        <w:rPr>
          <w:sz w:val="20"/>
          <w:szCs w:val="20"/>
        </w:rPr>
        <w:t xml:space="preserve"> </w:t>
      </w:r>
      <w:proofErr w:type="spellStart"/>
      <w:r w:rsidRPr="0000573B">
        <w:rPr>
          <w:sz w:val="20"/>
          <w:szCs w:val="20"/>
        </w:rPr>
        <w:t>attitudes</w:t>
      </w:r>
      <w:proofErr w:type="spellEnd"/>
      <w:r w:rsidRPr="0000573B">
        <w:rPr>
          <w:sz w:val="20"/>
          <w:szCs w:val="20"/>
        </w:rPr>
        <w:t xml:space="preserve"> </w:t>
      </w:r>
      <w:proofErr w:type="spellStart"/>
      <w:r w:rsidRPr="0000573B">
        <w:rPr>
          <w:sz w:val="20"/>
          <w:szCs w:val="20"/>
        </w:rPr>
        <w:t>within</w:t>
      </w:r>
      <w:proofErr w:type="spellEnd"/>
      <w:r w:rsidRPr="0000573B">
        <w:rPr>
          <w:sz w:val="20"/>
          <w:szCs w:val="20"/>
        </w:rPr>
        <w:t xml:space="preserve">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studied</w:t>
      </w:r>
      <w:proofErr w:type="spellEnd"/>
      <w:r w:rsidRPr="0000573B">
        <w:rPr>
          <w:sz w:val="20"/>
          <w:szCs w:val="20"/>
        </w:rPr>
        <w:t xml:space="preserve"> </w:t>
      </w:r>
      <w:proofErr w:type="spellStart"/>
      <w:r w:rsidRPr="0000573B">
        <w:rPr>
          <w:sz w:val="20"/>
          <w:szCs w:val="20"/>
        </w:rPr>
        <w:t>sample</w:t>
      </w:r>
      <w:proofErr w:type="spellEnd"/>
      <w:r w:rsidRPr="0000573B">
        <w:rPr>
          <w:sz w:val="20"/>
          <w:szCs w:val="20"/>
        </w:rPr>
        <w:t xml:space="preserve">. </w:t>
      </w:r>
      <w:proofErr w:type="spellStart"/>
      <w:r w:rsidRPr="0000573B">
        <w:rPr>
          <w:sz w:val="20"/>
          <w:szCs w:val="20"/>
        </w:rPr>
        <w:t>Conclusions</w:t>
      </w:r>
      <w:proofErr w:type="spellEnd"/>
      <w:r w:rsidRPr="0000573B">
        <w:rPr>
          <w:sz w:val="20"/>
          <w:szCs w:val="20"/>
        </w:rPr>
        <w:t xml:space="preserve">: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absence</w:t>
      </w:r>
      <w:proofErr w:type="spellEnd"/>
      <w:r w:rsidRPr="0000573B">
        <w:rPr>
          <w:sz w:val="20"/>
          <w:szCs w:val="20"/>
        </w:rPr>
        <w:t xml:space="preserve"> of a linear </w:t>
      </w:r>
      <w:proofErr w:type="spellStart"/>
      <w:r w:rsidRPr="0000573B">
        <w:rPr>
          <w:sz w:val="20"/>
          <w:szCs w:val="20"/>
        </w:rPr>
        <w:t>relationship</w:t>
      </w:r>
      <w:proofErr w:type="spellEnd"/>
      <w:r w:rsidRPr="0000573B">
        <w:rPr>
          <w:sz w:val="20"/>
          <w:szCs w:val="20"/>
        </w:rPr>
        <w:t xml:space="preserve"> </w:t>
      </w:r>
      <w:proofErr w:type="spellStart"/>
      <w:r w:rsidRPr="0000573B">
        <w:rPr>
          <w:sz w:val="20"/>
          <w:szCs w:val="20"/>
        </w:rPr>
        <w:t>questions</w:t>
      </w:r>
      <w:proofErr w:type="spellEnd"/>
      <w:r w:rsidRPr="0000573B">
        <w:rPr>
          <w:sz w:val="20"/>
          <w:szCs w:val="20"/>
        </w:rPr>
        <w:t xml:space="preserve">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premise</w:t>
      </w:r>
      <w:proofErr w:type="spellEnd"/>
      <w:r w:rsidRPr="0000573B">
        <w:rPr>
          <w:sz w:val="20"/>
          <w:szCs w:val="20"/>
        </w:rPr>
        <w:t xml:space="preserve"> </w:t>
      </w:r>
      <w:proofErr w:type="spellStart"/>
      <w:r w:rsidRPr="0000573B">
        <w:rPr>
          <w:sz w:val="20"/>
          <w:szCs w:val="20"/>
        </w:rPr>
        <w:t>that</w:t>
      </w:r>
      <w:proofErr w:type="spellEnd"/>
      <w:r w:rsidRPr="0000573B">
        <w:rPr>
          <w:sz w:val="20"/>
          <w:szCs w:val="20"/>
        </w:rPr>
        <w:t xml:space="preserve"> </w:t>
      </w:r>
      <w:proofErr w:type="spellStart"/>
      <w:r w:rsidRPr="0000573B">
        <w:rPr>
          <w:sz w:val="20"/>
          <w:szCs w:val="20"/>
        </w:rPr>
        <w:t>low</w:t>
      </w:r>
      <w:proofErr w:type="spellEnd"/>
      <w:r w:rsidRPr="0000573B">
        <w:rPr>
          <w:sz w:val="20"/>
          <w:szCs w:val="20"/>
        </w:rPr>
        <w:t xml:space="preserve"> </w:t>
      </w:r>
      <w:proofErr w:type="spellStart"/>
      <w:r w:rsidRPr="0000573B">
        <w:rPr>
          <w:sz w:val="20"/>
          <w:szCs w:val="20"/>
        </w:rPr>
        <w:t>self-esteem</w:t>
      </w:r>
      <w:proofErr w:type="spellEnd"/>
      <w:r w:rsidRPr="0000573B">
        <w:rPr>
          <w:sz w:val="20"/>
          <w:szCs w:val="20"/>
        </w:rPr>
        <w:t xml:space="preserve"> </w:t>
      </w:r>
      <w:proofErr w:type="spellStart"/>
      <w:r w:rsidRPr="0000573B">
        <w:rPr>
          <w:sz w:val="20"/>
          <w:szCs w:val="20"/>
        </w:rPr>
        <w:t>directly</w:t>
      </w:r>
      <w:proofErr w:type="spellEnd"/>
      <w:r w:rsidRPr="0000573B">
        <w:rPr>
          <w:sz w:val="20"/>
          <w:szCs w:val="20"/>
        </w:rPr>
        <w:t xml:space="preserve"> </w:t>
      </w:r>
      <w:proofErr w:type="spellStart"/>
      <w:r w:rsidRPr="0000573B">
        <w:rPr>
          <w:sz w:val="20"/>
          <w:szCs w:val="20"/>
        </w:rPr>
        <w:t>increases</w:t>
      </w:r>
      <w:proofErr w:type="spellEnd"/>
      <w:r w:rsidRPr="0000573B">
        <w:rPr>
          <w:sz w:val="20"/>
          <w:szCs w:val="20"/>
        </w:rPr>
        <w:t xml:space="preserve"> </w:t>
      </w:r>
      <w:proofErr w:type="spellStart"/>
      <w:r w:rsidRPr="0000573B">
        <w:rPr>
          <w:sz w:val="20"/>
          <w:szCs w:val="20"/>
        </w:rPr>
        <w:t>vulnerability</w:t>
      </w:r>
      <w:proofErr w:type="spellEnd"/>
      <w:r w:rsidRPr="0000573B">
        <w:rPr>
          <w:sz w:val="20"/>
          <w:szCs w:val="20"/>
        </w:rPr>
        <w:t xml:space="preserve"> to </w:t>
      </w:r>
      <w:proofErr w:type="spellStart"/>
      <w:r w:rsidRPr="0000573B">
        <w:rPr>
          <w:sz w:val="20"/>
          <w:szCs w:val="20"/>
        </w:rPr>
        <w:t>gender-based</w:t>
      </w:r>
      <w:proofErr w:type="spellEnd"/>
      <w:r w:rsidRPr="0000573B">
        <w:rPr>
          <w:sz w:val="20"/>
          <w:szCs w:val="20"/>
        </w:rPr>
        <w:t xml:space="preserve"> </w:t>
      </w:r>
      <w:proofErr w:type="spellStart"/>
      <w:r w:rsidRPr="0000573B">
        <w:rPr>
          <w:sz w:val="20"/>
          <w:szCs w:val="20"/>
        </w:rPr>
        <w:t>violence</w:t>
      </w:r>
      <w:proofErr w:type="spellEnd"/>
      <w:r w:rsidRPr="0000573B">
        <w:rPr>
          <w:sz w:val="20"/>
          <w:szCs w:val="20"/>
        </w:rPr>
        <w:t xml:space="preserve">.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findings</w:t>
      </w:r>
      <w:proofErr w:type="spellEnd"/>
      <w:r w:rsidRPr="0000573B">
        <w:rPr>
          <w:sz w:val="20"/>
          <w:szCs w:val="20"/>
        </w:rPr>
        <w:t xml:space="preserve"> </w:t>
      </w:r>
      <w:proofErr w:type="spellStart"/>
      <w:r w:rsidRPr="0000573B">
        <w:rPr>
          <w:sz w:val="20"/>
          <w:szCs w:val="20"/>
        </w:rPr>
        <w:t>support</w:t>
      </w:r>
      <w:proofErr w:type="spellEnd"/>
      <w:r w:rsidRPr="0000573B">
        <w:rPr>
          <w:sz w:val="20"/>
          <w:szCs w:val="20"/>
        </w:rPr>
        <w:t xml:space="preserve"> </w:t>
      </w:r>
      <w:proofErr w:type="spellStart"/>
      <w:r w:rsidRPr="0000573B">
        <w:rPr>
          <w:sz w:val="20"/>
          <w:szCs w:val="20"/>
        </w:rPr>
        <w:t>the</w:t>
      </w:r>
      <w:proofErr w:type="spellEnd"/>
      <w:r w:rsidRPr="0000573B">
        <w:rPr>
          <w:sz w:val="20"/>
          <w:szCs w:val="20"/>
        </w:rPr>
        <w:t xml:space="preserve"> </w:t>
      </w:r>
      <w:proofErr w:type="spellStart"/>
      <w:r w:rsidRPr="0000573B">
        <w:rPr>
          <w:sz w:val="20"/>
          <w:szCs w:val="20"/>
        </w:rPr>
        <w:t>need</w:t>
      </w:r>
      <w:proofErr w:type="spellEnd"/>
      <w:r w:rsidRPr="0000573B">
        <w:rPr>
          <w:sz w:val="20"/>
          <w:szCs w:val="20"/>
        </w:rPr>
        <w:t xml:space="preserve"> </w:t>
      </w:r>
      <w:proofErr w:type="spellStart"/>
      <w:r w:rsidRPr="0000573B">
        <w:rPr>
          <w:sz w:val="20"/>
          <w:szCs w:val="20"/>
        </w:rPr>
        <w:t>for</w:t>
      </w:r>
      <w:proofErr w:type="spellEnd"/>
      <w:r w:rsidRPr="0000573B">
        <w:rPr>
          <w:sz w:val="20"/>
          <w:szCs w:val="20"/>
        </w:rPr>
        <w:t xml:space="preserve"> multicausal </w:t>
      </w:r>
      <w:proofErr w:type="spellStart"/>
      <w:r w:rsidRPr="0000573B">
        <w:rPr>
          <w:sz w:val="20"/>
          <w:szCs w:val="20"/>
        </w:rPr>
        <w:t>psychosocial</w:t>
      </w:r>
      <w:proofErr w:type="spellEnd"/>
      <w:r w:rsidRPr="0000573B">
        <w:rPr>
          <w:sz w:val="20"/>
          <w:szCs w:val="20"/>
        </w:rPr>
        <w:t xml:space="preserve"> </w:t>
      </w:r>
      <w:proofErr w:type="spellStart"/>
      <w:r w:rsidRPr="0000573B">
        <w:rPr>
          <w:sz w:val="20"/>
          <w:szCs w:val="20"/>
        </w:rPr>
        <w:t>models</w:t>
      </w:r>
      <w:proofErr w:type="spellEnd"/>
      <w:r w:rsidRPr="0000573B">
        <w:rPr>
          <w:sz w:val="20"/>
          <w:szCs w:val="20"/>
        </w:rPr>
        <w:t xml:space="preserve"> </w:t>
      </w:r>
      <w:proofErr w:type="spellStart"/>
      <w:r w:rsidRPr="0000573B">
        <w:rPr>
          <w:sz w:val="20"/>
          <w:szCs w:val="20"/>
        </w:rPr>
        <w:t>that</w:t>
      </w:r>
      <w:proofErr w:type="spellEnd"/>
      <w:r w:rsidRPr="0000573B">
        <w:rPr>
          <w:sz w:val="20"/>
          <w:szCs w:val="20"/>
        </w:rPr>
        <w:t xml:space="preserve"> </w:t>
      </w:r>
      <w:proofErr w:type="spellStart"/>
      <w:r w:rsidRPr="0000573B">
        <w:rPr>
          <w:sz w:val="20"/>
          <w:szCs w:val="20"/>
        </w:rPr>
        <w:t>integrate</w:t>
      </w:r>
      <w:proofErr w:type="spellEnd"/>
      <w:r w:rsidRPr="0000573B">
        <w:rPr>
          <w:sz w:val="20"/>
          <w:szCs w:val="20"/>
        </w:rPr>
        <w:t xml:space="preserve"> </w:t>
      </w:r>
      <w:proofErr w:type="spellStart"/>
      <w:r w:rsidRPr="0000573B">
        <w:rPr>
          <w:sz w:val="20"/>
          <w:szCs w:val="20"/>
        </w:rPr>
        <w:t>structural</w:t>
      </w:r>
      <w:proofErr w:type="spellEnd"/>
      <w:r w:rsidRPr="0000573B">
        <w:rPr>
          <w:sz w:val="20"/>
          <w:szCs w:val="20"/>
        </w:rPr>
        <w:t xml:space="preserve"> and contextual </w:t>
      </w:r>
      <w:proofErr w:type="spellStart"/>
      <w:r w:rsidRPr="0000573B">
        <w:rPr>
          <w:sz w:val="20"/>
          <w:szCs w:val="20"/>
        </w:rPr>
        <w:t>factors</w:t>
      </w:r>
      <w:proofErr w:type="spellEnd"/>
      <w:r w:rsidRPr="0000573B">
        <w:rPr>
          <w:sz w:val="20"/>
          <w:szCs w:val="20"/>
        </w:rPr>
        <w:t xml:space="preserve"> to </w:t>
      </w:r>
      <w:proofErr w:type="spellStart"/>
      <w:r w:rsidRPr="0000573B">
        <w:rPr>
          <w:sz w:val="20"/>
          <w:szCs w:val="20"/>
        </w:rPr>
        <w:t>design</w:t>
      </w:r>
      <w:proofErr w:type="spellEnd"/>
      <w:r w:rsidRPr="0000573B">
        <w:rPr>
          <w:sz w:val="20"/>
          <w:szCs w:val="20"/>
        </w:rPr>
        <w:t xml:space="preserve"> more </w:t>
      </w:r>
      <w:proofErr w:type="spellStart"/>
      <w:r w:rsidRPr="0000573B">
        <w:rPr>
          <w:sz w:val="20"/>
          <w:szCs w:val="20"/>
        </w:rPr>
        <w:t>effective</w:t>
      </w:r>
      <w:proofErr w:type="spellEnd"/>
      <w:r w:rsidRPr="0000573B">
        <w:rPr>
          <w:sz w:val="20"/>
          <w:szCs w:val="20"/>
        </w:rPr>
        <w:t xml:space="preserve"> </w:t>
      </w:r>
      <w:proofErr w:type="spellStart"/>
      <w:r w:rsidRPr="0000573B">
        <w:rPr>
          <w:sz w:val="20"/>
          <w:szCs w:val="20"/>
        </w:rPr>
        <w:t>prevention</w:t>
      </w:r>
      <w:proofErr w:type="spellEnd"/>
      <w:r w:rsidRPr="0000573B">
        <w:rPr>
          <w:sz w:val="20"/>
          <w:szCs w:val="20"/>
        </w:rPr>
        <w:t xml:space="preserve"> </w:t>
      </w:r>
      <w:proofErr w:type="spellStart"/>
      <w:r w:rsidRPr="0000573B">
        <w:rPr>
          <w:sz w:val="20"/>
          <w:szCs w:val="20"/>
        </w:rPr>
        <w:t>interventions</w:t>
      </w:r>
      <w:proofErr w:type="spellEnd"/>
      <w:r w:rsidRPr="0000573B">
        <w:rPr>
          <w:sz w:val="20"/>
          <w:szCs w:val="20"/>
        </w:rPr>
        <w:t xml:space="preserve">, </w:t>
      </w:r>
      <w:proofErr w:type="spellStart"/>
      <w:r w:rsidRPr="0000573B">
        <w:rPr>
          <w:sz w:val="20"/>
          <w:szCs w:val="20"/>
        </w:rPr>
        <w:t>moving</w:t>
      </w:r>
      <w:proofErr w:type="spellEnd"/>
      <w:r w:rsidRPr="0000573B">
        <w:rPr>
          <w:sz w:val="20"/>
          <w:szCs w:val="20"/>
        </w:rPr>
        <w:t xml:space="preserve"> </w:t>
      </w:r>
      <w:proofErr w:type="spellStart"/>
      <w:r w:rsidRPr="0000573B">
        <w:rPr>
          <w:sz w:val="20"/>
          <w:szCs w:val="20"/>
        </w:rPr>
        <w:t>beyond</w:t>
      </w:r>
      <w:proofErr w:type="spellEnd"/>
      <w:r w:rsidRPr="0000573B">
        <w:rPr>
          <w:sz w:val="20"/>
          <w:szCs w:val="20"/>
        </w:rPr>
        <w:t xml:space="preserve"> </w:t>
      </w:r>
      <w:proofErr w:type="spellStart"/>
      <w:r w:rsidRPr="0000573B">
        <w:rPr>
          <w:sz w:val="20"/>
          <w:szCs w:val="20"/>
        </w:rPr>
        <w:t>approaches</w:t>
      </w:r>
      <w:proofErr w:type="spellEnd"/>
      <w:r w:rsidRPr="0000573B">
        <w:rPr>
          <w:sz w:val="20"/>
          <w:szCs w:val="20"/>
        </w:rPr>
        <w:t xml:space="preserve"> </w:t>
      </w:r>
      <w:proofErr w:type="spellStart"/>
      <w:r w:rsidRPr="0000573B">
        <w:rPr>
          <w:sz w:val="20"/>
          <w:szCs w:val="20"/>
        </w:rPr>
        <w:t>that</w:t>
      </w:r>
      <w:proofErr w:type="spellEnd"/>
      <w:r w:rsidRPr="0000573B">
        <w:rPr>
          <w:sz w:val="20"/>
          <w:szCs w:val="20"/>
        </w:rPr>
        <w:t xml:space="preserve"> </w:t>
      </w:r>
      <w:proofErr w:type="spellStart"/>
      <w:r w:rsidRPr="0000573B">
        <w:rPr>
          <w:sz w:val="20"/>
          <w:szCs w:val="20"/>
        </w:rPr>
        <w:t>individually</w:t>
      </w:r>
      <w:proofErr w:type="spellEnd"/>
      <w:r w:rsidRPr="0000573B">
        <w:rPr>
          <w:sz w:val="20"/>
          <w:szCs w:val="20"/>
        </w:rPr>
        <w:t xml:space="preserve"> </w:t>
      </w:r>
      <w:proofErr w:type="spellStart"/>
      <w:r w:rsidRPr="0000573B">
        <w:rPr>
          <w:sz w:val="20"/>
          <w:szCs w:val="20"/>
        </w:rPr>
        <w:t>blame</w:t>
      </w:r>
      <w:proofErr w:type="spellEnd"/>
      <w:r w:rsidRPr="0000573B">
        <w:rPr>
          <w:sz w:val="20"/>
          <w:szCs w:val="20"/>
        </w:rPr>
        <w:t xml:space="preserve"> </w:t>
      </w:r>
      <w:proofErr w:type="spellStart"/>
      <w:r w:rsidRPr="0000573B">
        <w:rPr>
          <w:sz w:val="20"/>
          <w:szCs w:val="20"/>
        </w:rPr>
        <w:t>victims</w:t>
      </w:r>
      <w:proofErr w:type="spellEnd"/>
      <w:r w:rsidRPr="0000573B">
        <w:rPr>
          <w:sz w:val="20"/>
          <w:szCs w:val="20"/>
        </w:rPr>
        <w:t>.</w:t>
      </w:r>
    </w:p>
    <w:p w:rsidR="00DB7FAA" w:rsidRDefault="00DB7FAA">
      <w:pPr>
        <w:rPr>
          <w:sz w:val="20"/>
          <w:szCs w:val="20"/>
        </w:rPr>
      </w:pPr>
    </w:p>
    <w:p w:rsidR="00DB7FAA" w:rsidRDefault="00E3249E">
      <w:pPr>
        <w:rPr>
          <w:b/>
          <w:sz w:val="20"/>
          <w:szCs w:val="20"/>
        </w:rPr>
      </w:pPr>
      <w:proofErr w:type="spellStart"/>
      <w:r>
        <w:rPr>
          <w:b/>
          <w:sz w:val="20"/>
          <w:szCs w:val="20"/>
        </w:rPr>
        <w:t>Keywords</w:t>
      </w:r>
      <w:proofErr w:type="spellEnd"/>
    </w:p>
    <w:p w:rsidR="00DB7FAA" w:rsidRDefault="00144938">
      <w:pPr>
        <w:jc w:val="both"/>
        <w:rPr>
          <w:sz w:val="20"/>
          <w:szCs w:val="20"/>
        </w:rPr>
      </w:pPr>
      <w:proofErr w:type="spellStart"/>
      <w:r w:rsidRPr="00144938">
        <w:rPr>
          <w:sz w:val="20"/>
          <w:szCs w:val="20"/>
        </w:rPr>
        <w:t>self-esteem</w:t>
      </w:r>
      <w:proofErr w:type="spellEnd"/>
      <w:r w:rsidRPr="00144938">
        <w:rPr>
          <w:sz w:val="20"/>
          <w:szCs w:val="20"/>
        </w:rPr>
        <w:t xml:space="preserve">, </w:t>
      </w:r>
      <w:proofErr w:type="spellStart"/>
      <w:r w:rsidRPr="00144938">
        <w:rPr>
          <w:sz w:val="20"/>
          <w:szCs w:val="20"/>
        </w:rPr>
        <w:t>gender-based</w:t>
      </w:r>
      <w:proofErr w:type="spellEnd"/>
      <w:r w:rsidRPr="00144938">
        <w:rPr>
          <w:sz w:val="20"/>
          <w:szCs w:val="20"/>
        </w:rPr>
        <w:t xml:space="preserve"> </w:t>
      </w:r>
      <w:proofErr w:type="spellStart"/>
      <w:r w:rsidRPr="00144938">
        <w:rPr>
          <w:sz w:val="20"/>
          <w:szCs w:val="20"/>
        </w:rPr>
        <w:t>violence</w:t>
      </w:r>
      <w:proofErr w:type="spellEnd"/>
      <w:r w:rsidRPr="00144938">
        <w:rPr>
          <w:sz w:val="20"/>
          <w:szCs w:val="20"/>
        </w:rPr>
        <w:t xml:space="preserve">, </w:t>
      </w:r>
      <w:proofErr w:type="spellStart"/>
      <w:r w:rsidRPr="00144938">
        <w:rPr>
          <w:sz w:val="20"/>
          <w:szCs w:val="20"/>
        </w:rPr>
        <w:t>attitudes</w:t>
      </w:r>
      <w:proofErr w:type="spellEnd"/>
      <w:r w:rsidRPr="00144938">
        <w:rPr>
          <w:sz w:val="20"/>
          <w:szCs w:val="20"/>
        </w:rPr>
        <w:t xml:space="preserve">, </w:t>
      </w:r>
      <w:proofErr w:type="spellStart"/>
      <w:r w:rsidRPr="00144938">
        <w:rPr>
          <w:sz w:val="20"/>
          <w:szCs w:val="20"/>
        </w:rPr>
        <w:t>women</w:t>
      </w:r>
      <w:proofErr w:type="spellEnd"/>
    </w:p>
    <w:p w:rsidR="00DB7FAA" w:rsidRDefault="00DB7FAA">
      <w:pPr>
        <w:jc w:val="both"/>
        <w:rPr>
          <w:sz w:val="20"/>
          <w:szCs w:val="20"/>
        </w:rPr>
      </w:pPr>
    </w:p>
    <w:p w:rsidR="00DB7FAA" w:rsidRDefault="00E3249E">
      <w:pPr>
        <w:jc w:val="both"/>
        <w:rPr>
          <w:sz w:val="20"/>
          <w:szCs w:val="20"/>
        </w:rPr>
      </w:pPr>
      <w:r>
        <w:rPr>
          <w:noProof/>
          <w:lang w:val="es-419" w:eastAsia="es-419"/>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6000" cy="259200"/>
                    </a:xfrm>
                    <a:prstGeom prst="rect">
                      <a:avLst/>
                    </a:prstGeom>
                    <a:ln/>
                  </pic:spPr>
                </pic:pic>
              </a:graphicData>
            </a:graphic>
          </wp:anchor>
        </w:drawing>
      </w:r>
    </w:p>
    <w:p w:rsidR="00DB7FAA" w:rsidRDefault="00DB7FAA">
      <w:pPr>
        <w:rPr>
          <w:b/>
        </w:rPr>
      </w:pPr>
    </w:p>
    <w:p w:rsidR="00DB7FAA" w:rsidRPr="00144938" w:rsidRDefault="00E3249E" w:rsidP="00144938">
      <w:pPr>
        <w:pBdr>
          <w:top w:val="nil"/>
          <w:left w:val="nil"/>
          <w:bottom w:val="nil"/>
          <w:right w:val="nil"/>
          <w:between w:val="nil"/>
        </w:pBdr>
        <w:jc w:val="center"/>
        <w:rPr>
          <w:color w:val="000000"/>
        </w:rPr>
      </w:pPr>
      <w:r>
        <w:br w:type="page"/>
      </w:r>
      <w:proofErr w:type="spellStart"/>
      <w:r w:rsidR="00144938" w:rsidRPr="00144938">
        <w:rPr>
          <w:color w:val="000000"/>
        </w:rPr>
        <w:lastRenderedPageBreak/>
        <w:t>Self-Esteem</w:t>
      </w:r>
      <w:proofErr w:type="spellEnd"/>
      <w:r w:rsidR="00144938" w:rsidRPr="00144938">
        <w:rPr>
          <w:color w:val="000000"/>
        </w:rPr>
        <w:t xml:space="preserve"> and </w:t>
      </w:r>
      <w:proofErr w:type="spellStart"/>
      <w:r w:rsidR="00144938" w:rsidRPr="00144938">
        <w:rPr>
          <w:color w:val="000000"/>
        </w:rPr>
        <w:t>Gender-Based</w:t>
      </w:r>
      <w:proofErr w:type="spellEnd"/>
      <w:r w:rsidR="00144938" w:rsidRPr="00144938">
        <w:rPr>
          <w:color w:val="000000"/>
        </w:rPr>
        <w:t xml:space="preserve"> </w:t>
      </w:r>
      <w:proofErr w:type="spellStart"/>
      <w:r w:rsidR="00144938" w:rsidRPr="00144938">
        <w:rPr>
          <w:color w:val="000000"/>
        </w:rPr>
        <w:t>Violence</w:t>
      </w:r>
      <w:proofErr w:type="spellEnd"/>
      <w:r w:rsidR="00144938" w:rsidRPr="00144938">
        <w:rPr>
          <w:color w:val="000000"/>
        </w:rPr>
        <w:t xml:space="preserve">: </w:t>
      </w:r>
      <w:proofErr w:type="spellStart"/>
      <w:r w:rsidR="00144938" w:rsidRPr="00144938">
        <w:rPr>
          <w:color w:val="000000"/>
        </w:rPr>
        <w:t>Questioning</w:t>
      </w:r>
      <w:proofErr w:type="spellEnd"/>
      <w:r w:rsidR="00144938" w:rsidRPr="00144938">
        <w:rPr>
          <w:color w:val="000000"/>
        </w:rPr>
        <w:t xml:space="preserve"> Linear </w:t>
      </w:r>
      <w:proofErr w:type="spellStart"/>
      <w:r w:rsidR="00144938" w:rsidRPr="00144938">
        <w:rPr>
          <w:color w:val="000000"/>
        </w:rPr>
        <w:t>Assumptions</w:t>
      </w:r>
      <w:proofErr w:type="spellEnd"/>
    </w:p>
    <w:p w:rsidR="0000573B" w:rsidRDefault="0000573B">
      <w:pPr>
        <w:pBdr>
          <w:top w:val="nil"/>
          <w:left w:val="nil"/>
          <w:bottom w:val="nil"/>
          <w:right w:val="nil"/>
          <w:between w:val="nil"/>
        </w:pBdr>
        <w:jc w:val="center"/>
        <w:rPr>
          <w:b/>
          <w:color w:val="000000"/>
        </w:rPr>
      </w:pPr>
    </w:p>
    <w:p w:rsidR="00DB7FAA" w:rsidRDefault="0000573B">
      <w:pPr>
        <w:pBdr>
          <w:top w:val="nil"/>
          <w:left w:val="nil"/>
          <w:bottom w:val="nil"/>
          <w:right w:val="nil"/>
          <w:between w:val="nil"/>
        </w:pBdr>
        <w:jc w:val="center"/>
        <w:rPr>
          <w:b/>
          <w:color w:val="000000"/>
        </w:rPr>
      </w:pPr>
      <w:r>
        <w:rPr>
          <w:b/>
          <w:color w:val="000000"/>
        </w:rPr>
        <w:t>Introducció</w:t>
      </w:r>
      <w:r w:rsidR="00E3249E">
        <w:rPr>
          <w:b/>
          <w:color w:val="000000"/>
        </w:rPr>
        <w:t>n</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La violencia de género constituye una de las manifestaciones más persistentes de desigualdad estructural en las sociedades contemporáneas, afectando aproximadamente a una de cada tres mujeres a nivel mundial (Organización Mundial de la Salud, 2021). En América Latina, donde las tasas de feminicidio y violencia íntima de pareja superan los promedios globales —etiquetada como una “pandemia silenciosa” por ONU‑Mujeres (2022)—, Ecuador no escapa a esta realidad. Según el Instituto Nacional de Estadística y Censos (INEC, 2019), el 65 % de las mujeres ecuatorianas mayores de 15 años han sufrido alguna forma de violencia, y el 40.8 % haber sufrido violencia psicológica en el c</w:t>
      </w:r>
      <w:r w:rsidR="002B6146">
        <w:rPr>
          <w:color w:val="000000"/>
        </w:rPr>
        <w:t>ontexto de relaciones de pareja</w:t>
      </w:r>
      <w:r w:rsidRPr="0000573B">
        <w:rPr>
          <w:color w:val="000000"/>
        </w:rPr>
        <w:t xml:space="preserve">. </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Estas cifras reflejan un entramado complejo de factores culturales, económicos y psicosociales que perpetúan ciclos de violencia normalizados en las dinámicas relacionales (</w:t>
      </w:r>
      <w:proofErr w:type="spellStart"/>
      <w:r w:rsidRPr="0000573B">
        <w:rPr>
          <w:color w:val="000000"/>
        </w:rPr>
        <w:t>Heise</w:t>
      </w:r>
      <w:proofErr w:type="spellEnd"/>
      <w:r w:rsidRPr="0000573B">
        <w:rPr>
          <w:color w:val="000000"/>
        </w:rPr>
        <w:t xml:space="preserve">, 2011; </w:t>
      </w:r>
      <w:proofErr w:type="spellStart"/>
      <w:r w:rsidRPr="0000573B">
        <w:rPr>
          <w:color w:val="000000"/>
        </w:rPr>
        <w:t>Jewkes</w:t>
      </w:r>
      <w:proofErr w:type="spellEnd"/>
      <w:r w:rsidRPr="0000573B">
        <w:rPr>
          <w:color w:val="000000"/>
        </w:rPr>
        <w:t xml:space="preserve"> et al., 2015). La magnitud del fenómeno en contextos universitarios, donde paradójicamente se esperaría mayor conciencia crítica sobre estas problemáticas, sugiere que los enfoques tradicionales de comprensión e intervención requieren una revisión fundamental (Varela et al., 2022).</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Durante décadas, la psicología ha abordado la violencia de género privilegiando explicaciones centradas en características individuales de las víctimas, particularmente su autoestima, estableciendo una ecuación aparentemente lógica pero profundamente problemática (</w:t>
      </w:r>
      <w:proofErr w:type="spellStart"/>
      <w:r w:rsidRPr="0000573B">
        <w:rPr>
          <w:color w:val="000000"/>
        </w:rPr>
        <w:t>Hunnicutt</w:t>
      </w:r>
      <w:proofErr w:type="spellEnd"/>
      <w:r w:rsidRPr="0000573B">
        <w:rPr>
          <w:color w:val="000000"/>
        </w:rPr>
        <w:t xml:space="preserve">; 2009; Ali &amp; </w:t>
      </w:r>
      <w:proofErr w:type="spellStart"/>
      <w:r w:rsidRPr="0000573B">
        <w:rPr>
          <w:color w:val="000000"/>
        </w:rPr>
        <w:t>Naylor</w:t>
      </w:r>
      <w:proofErr w:type="spellEnd"/>
      <w:r w:rsidRPr="0000573B">
        <w:rPr>
          <w:color w:val="000000"/>
        </w:rPr>
        <w:t>, 2013)</w:t>
      </w:r>
      <w:r w:rsidR="002B6146">
        <w:rPr>
          <w:color w:val="000000"/>
        </w:rPr>
        <w:t>.</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 xml:space="preserve">Es importante aclarar que este estudio no busca perpetuar la </w:t>
      </w:r>
      <w:proofErr w:type="spellStart"/>
      <w:r w:rsidRPr="0000573B">
        <w:rPr>
          <w:color w:val="000000"/>
        </w:rPr>
        <w:t>responsabilización</w:t>
      </w:r>
      <w:proofErr w:type="spellEnd"/>
      <w:r w:rsidRPr="0000573B">
        <w:rPr>
          <w:color w:val="000000"/>
        </w:rPr>
        <w:t xml:space="preserve"> de las víctimas al examinar su autoestima. Por el contrario, pretende demostrar empíricamente la falta de sustento de estos modelos tradicionales, proporcionando evidencia para su abandono definitivo en favor de enfoques estructurales y contextuales</w:t>
      </w:r>
      <w:r w:rsidR="002B6146">
        <w:rPr>
          <w:color w:val="000000"/>
        </w:rPr>
        <w:t>.</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 xml:space="preserve">Esta perspectiva, arraigada en modelos clínicos tradicionales, ha generado intervenciones que, aunque bien intencionadas, pueden perpetuar inadvertidamente la </w:t>
      </w:r>
      <w:proofErr w:type="spellStart"/>
      <w:r w:rsidRPr="0000573B">
        <w:rPr>
          <w:color w:val="000000"/>
        </w:rPr>
        <w:t>responsabilización</w:t>
      </w:r>
      <w:proofErr w:type="spellEnd"/>
      <w:r w:rsidRPr="0000573B">
        <w:rPr>
          <w:color w:val="000000"/>
        </w:rPr>
        <w:t xml:space="preserve"> de las víctimas por su situación, desviando la atención de las estructuras patriarcales y las dinámicas de poder que sostienen la violencia. La presente investigación surge precisamente de la necesidad de interrogar críticamente estos supuestos, examinando empíricamente la relación entre autoestima y actitudes hacia la violencia de género en un contexto específico que permita desentrañar las complejidades de este fenómeno más allá de las simplificaciones teóricas dominantes.</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lastRenderedPageBreak/>
        <w:t xml:space="preserve">Las aproximaciones clásicas a la violencia de género, como el ciclo de la violencia descrito por Walker (1979), vinculaban directamente baja autoestima con vulnerabilidad femenina. Sin embargo, </w:t>
      </w:r>
      <w:proofErr w:type="spellStart"/>
      <w:r w:rsidRPr="0000573B">
        <w:rPr>
          <w:color w:val="000000"/>
        </w:rPr>
        <w:t>Matheson</w:t>
      </w:r>
      <w:proofErr w:type="spellEnd"/>
      <w:r w:rsidRPr="0000573B">
        <w:rPr>
          <w:color w:val="000000"/>
        </w:rPr>
        <w:t xml:space="preserve"> et al. (2015) documentaron que la relación entre autoestima y experiencia de violencia es compleja y no lineal, con mujeres de todos los niveles de autoestima reportando victimización. Nuestros resultados extienden esta observación al ámbito de las actitudes, sugiriendo que el rechazo a la violencia opera independientemente de la autovaloración personal.</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 xml:space="preserve">La teoría de la autoestima contingente de </w:t>
      </w:r>
      <w:proofErr w:type="spellStart"/>
      <w:r w:rsidRPr="0000573B">
        <w:rPr>
          <w:color w:val="000000"/>
        </w:rPr>
        <w:t>Crocker</w:t>
      </w:r>
      <w:proofErr w:type="spellEnd"/>
      <w:r w:rsidRPr="0000573B">
        <w:rPr>
          <w:color w:val="000000"/>
        </w:rPr>
        <w:t xml:space="preserve"> y Wolfe (2001) propone una revisión más pertinente, enfocándose en los dominios específicos que sustentan la autovaloración. Perspectivas </w:t>
      </w:r>
      <w:proofErr w:type="spellStart"/>
      <w:r w:rsidRPr="0000573B">
        <w:rPr>
          <w:color w:val="000000"/>
        </w:rPr>
        <w:t>interseccionales</w:t>
      </w:r>
      <w:proofErr w:type="spellEnd"/>
      <w:r w:rsidRPr="0000573B">
        <w:rPr>
          <w:color w:val="000000"/>
        </w:rPr>
        <w:t xml:space="preserve"> (</w:t>
      </w:r>
      <w:proofErr w:type="spellStart"/>
      <w:r w:rsidRPr="0000573B">
        <w:rPr>
          <w:color w:val="000000"/>
        </w:rPr>
        <w:t>Crenshaw</w:t>
      </w:r>
      <w:proofErr w:type="spellEnd"/>
      <w:r w:rsidRPr="0000573B">
        <w:rPr>
          <w:color w:val="000000"/>
        </w:rPr>
        <w:t xml:space="preserve">, 1989) y </w:t>
      </w:r>
      <w:proofErr w:type="spellStart"/>
      <w:r w:rsidRPr="0000573B">
        <w:rPr>
          <w:color w:val="000000"/>
        </w:rPr>
        <w:t>decoloniales</w:t>
      </w:r>
      <w:proofErr w:type="spellEnd"/>
      <w:r w:rsidRPr="0000573B">
        <w:rPr>
          <w:color w:val="000000"/>
        </w:rPr>
        <w:t xml:space="preserve"> (</w:t>
      </w:r>
      <w:proofErr w:type="spellStart"/>
      <w:r w:rsidRPr="0000573B">
        <w:rPr>
          <w:color w:val="000000"/>
        </w:rPr>
        <w:t>Segato</w:t>
      </w:r>
      <w:proofErr w:type="spellEnd"/>
      <w:r w:rsidRPr="0000573B">
        <w:rPr>
          <w:color w:val="000000"/>
        </w:rPr>
        <w:t>, 2003; Lugones, 2007) han reforzado la idea de que la violencia de género se enmarca en sistemas de opresión estructurales que no pueden analizarse sin considerar variables como clase, etnia, identidad de género y legado colonial. Los estudios en contextos universitarios latinoamericanos han evidenciado que factores como los discursos feministas, la educación y las normas culturales ejercen una influencia más decisiva en las actitudes hacia la violencia que la autoestima individual (Trujillo y Pastor, 2021)</w:t>
      </w:r>
      <w:r w:rsidR="002B6146">
        <w:rPr>
          <w:color w:val="000000"/>
        </w:rPr>
        <w:t>.</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Estas investigaciones en poblaciones universitarias latinoamericanas han encontrado que las actitudes hacia la violencia de género están más fuertemente asociadas con factores como la exposición a discursos feministas, el nivel educativo y las normas culturales del entorno, que con características psicológicas individuales como la autoestima. Estos hallazgos sugieren que las intervenciones centradas exclusivamente en fortalecer la autoestima individual pueden ser insuficientes o incluso contraproducentes si no abordan simultáneamente las estructuras sociales que naturalizan y perpetúan la violencia.</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A pesar de la abundante literatura sobre violencia de género, persiste una brecha crítica en la comprensión de la relación entre autoestima y actitudes hacia la violencia (</w:t>
      </w:r>
      <w:proofErr w:type="spellStart"/>
      <w:r w:rsidRPr="0000573B">
        <w:rPr>
          <w:color w:val="000000"/>
        </w:rPr>
        <w:t>Jordan</w:t>
      </w:r>
      <w:proofErr w:type="spellEnd"/>
      <w:r w:rsidRPr="0000573B">
        <w:rPr>
          <w:color w:val="000000"/>
        </w:rPr>
        <w:t xml:space="preserve">, Campbell, &amp; </w:t>
      </w:r>
      <w:proofErr w:type="spellStart"/>
      <w:r w:rsidRPr="0000573B">
        <w:rPr>
          <w:color w:val="000000"/>
        </w:rPr>
        <w:t>Follingstad</w:t>
      </w:r>
      <w:proofErr w:type="spellEnd"/>
      <w:r w:rsidRPr="0000573B">
        <w:rPr>
          <w:color w:val="000000"/>
        </w:rPr>
        <w:t xml:space="preserve">, 2010; Trujillo </w:t>
      </w:r>
      <w:proofErr w:type="spellStart"/>
      <w:r w:rsidRPr="0000573B">
        <w:rPr>
          <w:color w:val="000000"/>
        </w:rPr>
        <w:t>Cristoffanini</w:t>
      </w:r>
      <w:proofErr w:type="spellEnd"/>
      <w:r w:rsidRPr="0000573B">
        <w:rPr>
          <w:color w:val="000000"/>
        </w:rPr>
        <w:t xml:space="preserve"> &amp; Pastor </w:t>
      </w:r>
      <w:proofErr w:type="spellStart"/>
      <w:r w:rsidRPr="0000573B">
        <w:rPr>
          <w:color w:val="000000"/>
        </w:rPr>
        <w:t>Gosálbez</w:t>
      </w:r>
      <w:proofErr w:type="spellEnd"/>
      <w:r w:rsidRPr="0000573B">
        <w:rPr>
          <w:color w:val="000000"/>
        </w:rPr>
        <w:t xml:space="preserve">, 2021). Algunas investigaciones asumían una relación directa entre estas variables, perpetuando modelos explicativos que no han sido sometidos a escrutinio empírico riguroso en contextos específicos (Walker, 1979; </w:t>
      </w:r>
      <w:proofErr w:type="spellStart"/>
      <w:r w:rsidRPr="0000573B">
        <w:rPr>
          <w:color w:val="000000"/>
        </w:rPr>
        <w:t>Dutton</w:t>
      </w:r>
      <w:proofErr w:type="spellEnd"/>
      <w:r w:rsidRPr="0000573B">
        <w:rPr>
          <w:color w:val="000000"/>
        </w:rPr>
        <w:t xml:space="preserve">, 1995). A la par, escasean los estudios que examinen esta relación en poblaciones universitarias latinoamericanas, donde convergen factores educativos, generacionales y culturales únicos que podrían indagar las asociaciones tradicionalmente planteadas (González &amp; Ramírez, 2019; Trujillo </w:t>
      </w:r>
      <w:proofErr w:type="spellStart"/>
      <w:r w:rsidRPr="0000573B">
        <w:rPr>
          <w:color w:val="000000"/>
        </w:rPr>
        <w:t>Cristoffanini</w:t>
      </w:r>
      <w:proofErr w:type="spellEnd"/>
      <w:r w:rsidRPr="0000573B">
        <w:rPr>
          <w:color w:val="000000"/>
        </w:rPr>
        <w:t xml:space="preserve"> &amp; Pastor </w:t>
      </w:r>
      <w:proofErr w:type="spellStart"/>
      <w:r w:rsidRPr="0000573B">
        <w:rPr>
          <w:color w:val="000000"/>
        </w:rPr>
        <w:t>Gosálbez</w:t>
      </w:r>
      <w:proofErr w:type="spellEnd"/>
      <w:r w:rsidRPr="0000573B">
        <w:rPr>
          <w:color w:val="000000"/>
        </w:rPr>
        <w:t xml:space="preserve">, 2021). Esta ausencia de evidencia </w:t>
      </w:r>
      <w:r w:rsidRPr="0000573B">
        <w:rPr>
          <w:color w:val="000000"/>
        </w:rPr>
        <w:lastRenderedPageBreak/>
        <w:t>contextualizada ha llevado a la implementación de intervenciones basadas en supuestos no verificados, limitando su efectividad y perpetuando enfoques que pueden resultar inadecuados para las realidades locales (</w:t>
      </w:r>
      <w:proofErr w:type="spellStart"/>
      <w:r w:rsidRPr="0000573B">
        <w:rPr>
          <w:color w:val="000000"/>
        </w:rPr>
        <w:t>Jewkes</w:t>
      </w:r>
      <w:proofErr w:type="spellEnd"/>
      <w:r w:rsidRPr="0000573B">
        <w:rPr>
          <w:color w:val="000000"/>
        </w:rPr>
        <w:t xml:space="preserve"> et al., 2020; García-Moreno et al., 2015).</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 xml:space="preserve">La relevancia de este estudio trasciende el ámbito académico para impactar directamente en las políticas públicas y las prácticas de intervención psicosocial. En un contexto donde los recursos para la prevención y atención de la violencia de género son limitados, resulta fundamental cuestionar si las estrategias centradas en el fortalecimiento de la autoestima individual representan una transformación efectiva (Anderson, 2023; </w:t>
      </w:r>
      <w:proofErr w:type="spellStart"/>
      <w:r w:rsidRPr="0000573B">
        <w:rPr>
          <w:color w:val="000000"/>
        </w:rPr>
        <w:t>Michau</w:t>
      </w:r>
      <w:proofErr w:type="spellEnd"/>
      <w:r w:rsidRPr="0000573B">
        <w:rPr>
          <w:color w:val="000000"/>
        </w:rPr>
        <w:t xml:space="preserve"> et al., 2015). Además, este estudio contribuye al desarrollo de una psicología latinoamericana crítica que interrogue la aplicabilidad teorías importadas, promoviendo la generación de conocimiento situado y culturalmente pertinente (Fernández, 2009; </w:t>
      </w:r>
      <w:proofErr w:type="spellStart"/>
      <w:r w:rsidRPr="0000573B">
        <w:rPr>
          <w:color w:val="000000"/>
        </w:rPr>
        <w:t>Tajer</w:t>
      </w:r>
      <w:proofErr w:type="spellEnd"/>
      <w:r w:rsidRPr="0000573B">
        <w:rPr>
          <w:color w:val="000000"/>
        </w:rPr>
        <w:t xml:space="preserve">, 2012). </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 xml:space="preserve">El presente estudio se propone analizar la relación entre los niveles de autoestima y las actitudes hacia la violencia de género en una muestra de mujeres universitarias de la provincia de El Oro, Ecuador. Específicamente, busca determinar si existe una correlación entre niveles de autoestima y el rechazo hacia la violencia de género. </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 xml:space="preserve">Se </w:t>
      </w:r>
      <w:proofErr w:type="spellStart"/>
      <w:r w:rsidRPr="0000573B">
        <w:rPr>
          <w:color w:val="000000"/>
        </w:rPr>
        <w:t>hipotetiza</w:t>
      </w:r>
      <w:proofErr w:type="spellEnd"/>
      <w:r w:rsidRPr="0000573B">
        <w:rPr>
          <w:color w:val="000000"/>
        </w:rPr>
        <w:t xml:space="preserve"> que no existirá una relación lineal entre ambas variables, sugiriendo que las actitudes hacia la violencia están determinadas por factores más complejos que trascienden las características psicológicas </w:t>
      </w:r>
      <w:proofErr w:type="spellStart"/>
      <w:r w:rsidRPr="0000573B">
        <w:rPr>
          <w:color w:val="000000"/>
        </w:rPr>
        <w:t>individualizantes</w:t>
      </w:r>
      <w:proofErr w:type="spellEnd"/>
      <w:r w:rsidRPr="0000573B">
        <w:rPr>
          <w:color w:val="000000"/>
        </w:rPr>
        <w:t>. Basándonos en la evidencia emergente sobre la naturaleza multifactorial de la violencia de género (</w:t>
      </w:r>
      <w:proofErr w:type="spellStart"/>
      <w:r w:rsidRPr="0000573B">
        <w:rPr>
          <w:color w:val="000000"/>
        </w:rPr>
        <w:t>Heise</w:t>
      </w:r>
      <w:proofErr w:type="spellEnd"/>
      <w:r w:rsidRPr="0000573B">
        <w:rPr>
          <w:color w:val="000000"/>
        </w:rPr>
        <w:t xml:space="preserve">, 2011; </w:t>
      </w:r>
      <w:proofErr w:type="spellStart"/>
      <w:r w:rsidRPr="0000573B">
        <w:rPr>
          <w:color w:val="000000"/>
        </w:rPr>
        <w:t>Jewkes</w:t>
      </w:r>
      <w:proofErr w:type="spellEnd"/>
      <w:r w:rsidRPr="0000573B">
        <w:rPr>
          <w:color w:val="000000"/>
        </w:rPr>
        <w:t xml:space="preserve"> et al., 2015), planteamos las siguientes hipótesis:</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w:t>
      </w:r>
      <w:r w:rsidRPr="0000573B">
        <w:rPr>
          <w:color w:val="000000"/>
        </w:rPr>
        <w:tab/>
        <w:t>H₀: Existe una correlación negativa significativa entre autoestima y rechazo a la violencia de género.</w:t>
      </w:r>
    </w:p>
    <w:p w:rsidR="0000573B" w:rsidRPr="0000573B" w:rsidRDefault="0000573B" w:rsidP="004810E3">
      <w:pPr>
        <w:pBdr>
          <w:top w:val="nil"/>
          <w:left w:val="nil"/>
          <w:bottom w:val="nil"/>
          <w:right w:val="nil"/>
          <w:between w:val="nil"/>
        </w:pBdr>
        <w:spacing w:line="360" w:lineRule="auto"/>
        <w:ind w:firstLine="708"/>
        <w:rPr>
          <w:color w:val="000000"/>
        </w:rPr>
      </w:pPr>
      <w:r w:rsidRPr="0000573B">
        <w:rPr>
          <w:color w:val="000000"/>
        </w:rPr>
        <w:t>•</w:t>
      </w:r>
      <w:r w:rsidRPr="0000573B">
        <w:rPr>
          <w:color w:val="000000"/>
        </w:rPr>
        <w:tab/>
        <w:t>H₁: No existe correlación significativa entre autoestima y rechazo a la violencia de género.</w:t>
      </w:r>
    </w:p>
    <w:p w:rsidR="00DB7FAA" w:rsidRDefault="00DB7FAA" w:rsidP="004810E3">
      <w:pPr>
        <w:pBdr>
          <w:top w:val="nil"/>
          <w:left w:val="nil"/>
          <w:bottom w:val="nil"/>
          <w:right w:val="nil"/>
          <w:between w:val="nil"/>
        </w:pBdr>
        <w:spacing w:line="360" w:lineRule="auto"/>
        <w:ind w:firstLine="708"/>
        <w:rPr>
          <w:color w:val="000000"/>
        </w:rPr>
      </w:pPr>
    </w:p>
    <w:p w:rsidR="00DB7FAA" w:rsidRDefault="0000573B" w:rsidP="004810E3">
      <w:pPr>
        <w:pBdr>
          <w:top w:val="nil"/>
          <w:left w:val="nil"/>
          <w:bottom w:val="nil"/>
          <w:right w:val="nil"/>
          <w:between w:val="nil"/>
        </w:pBdr>
        <w:rPr>
          <w:b/>
          <w:color w:val="000000"/>
        </w:rPr>
      </w:pPr>
      <w:r>
        <w:rPr>
          <w:b/>
          <w:color w:val="000000"/>
        </w:rPr>
        <w:t>Método</w:t>
      </w:r>
    </w:p>
    <w:p w:rsidR="00DB7FAA" w:rsidRDefault="00514EF8" w:rsidP="004810E3">
      <w:pPr>
        <w:pBdr>
          <w:top w:val="nil"/>
          <w:left w:val="nil"/>
          <w:bottom w:val="nil"/>
          <w:right w:val="nil"/>
          <w:between w:val="nil"/>
        </w:pBdr>
        <w:spacing w:line="360" w:lineRule="auto"/>
        <w:ind w:firstLine="708"/>
        <w:rPr>
          <w:color w:val="000000"/>
        </w:rPr>
      </w:pPr>
      <w:r w:rsidRPr="00514EF8">
        <w:rPr>
          <w:color w:val="000000"/>
        </w:rPr>
        <w:t>Se empleó un diseño cuantitativo de corte transversal con alcance correlacional (Hernández-</w:t>
      </w:r>
      <w:proofErr w:type="spellStart"/>
      <w:r w:rsidRPr="00514EF8">
        <w:rPr>
          <w:color w:val="000000"/>
        </w:rPr>
        <w:t>Sampieri</w:t>
      </w:r>
      <w:proofErr w:type="spellEnd"/>
      <w:r w:rsidRPr="00514EF8">
        <w:rPr>
          <w:color w:val="000000"/>
        </w:rPr>
        <w:t xml:space="preserve"> &amp; Mendoza, 2018). Esta elección metodológica responde a la necesidad de examinar la relación entre autoestima y actitudes hacia la violencia de género sin asumir causalidad, permitiendo cuestionar los modelos lineales tradicionalmente aceptados (Ato et al., 2013). El diseño transversal resulta apropiado </w:t>
      </w:r>
      <w:r w:rsidRPr="00514EF8">
        <w:rPr>
          <w:color w:val="000000"/>
        </w:rPr>
        <w:lastRenderedPageBreak/>
        <w:t>para esta aproximación contextual y crítica, estableciendo una línea base para futuras investigaciones longitudinales (</w:t>
      </w:r>
      <w:proofErr w:type="spellStart"/>
      <w:r w:rsidRPr="00514EF8">
        <w:rPr>
          <w:color w:val="000000"/>
        </w:rPr>
        <w:t>Creswell</w:t>
      </w:r>
      <w:proofErr w:type="spellEnd"/>
      <w:r w:rsidRPr="00514EF8">
        <w:rPr>
          <w:color w:val="000000"/>
        </w:rPr>
        <w:t xml:space="preserve"> &amp; </w:t>
      </w:r>
      <w:proofErr w:type="spellStart"/>
      <w:r w:rsidRPr="00514EF8">
        <w:rPr>
          <w:color w:val="000000"/>
        </w:rPr>
        <w:t>Creswell</w:t>
      </w:r>
      <w:proofErr w:type="spellEnd"/>
      <w:r w:rsidRPr="00514EF8">
        <w:rPr>
          <w:color w:val="000000"/>
        </w:rPr>
        <w:t>, 2018).</w:t>
      </w:r>
    </w:p>
    <w:p w:rsidR="00DB7FAA" w:rsidRDefault="00925245" w:rsidP="004810E3">
      <w:pPr>
        <w:pBdr>
          <w:top w:val="nil"/>
          <w:left w:val="nil"/>
          <w:bottom w:val="nil"/>
          <w:right w:val="nil"/>
          <w:between w:val="nil"/>
        </w:pBdr>
        <w:spacing w:line="360" w:lineRule="auto"/>
        <w:rPr>
          <w:b/>
          <w:i/>
          <w:color w:val="000000"/>
        </w:rPr>
      </w:pPr>
      <w:r>
        <w:rPr>
          <w:b/>
          <w:i/>
          <w:color w:val="000000"/>
        </w:rPr>
        <w:t>Participantes</w:t>
      </w:r>
    </w:p>
    <w:p w:rsidR="00514EF8" w:rsidRPr="00514EF8" w:rsidRDefault="00514EF8" w:rsidP="004810E3">
      <w:pPr>
        <w:pBdr>
          <w:top w:val="nil"/>
          <w:left w:val="nil"/>
          <w:bottom w:val="nil"/>
          <w:right w:val="nil"/>
          <w:between w:val="nil"/>
        </w:pBdr>
        <w:spacing w:line="360" w:lineRule="auto"/>
        <w:ind w:firstLine="708"/>
        <w:rPr>
          <w:color w:val="000000"/>
        </w:rPr>
      </w:pPr>
      <w:r w:rsidRPr="00514EF8">
        <w:rPr>
          <w:color w:val="000000"/>
        </w:rPr>
        <w:t>La muestra estuvo conformada por 655 mujeres estudiantes de carreras del área de Salud y Bienestar en la Universidad Técnica de Machala (edad M = 21.3, DT = 2.4, rango = 17-30 años). La selección de esta población responde a criterios teóricos y pragmáticos: las estudiantes del área de salud representan un grupo que recibe formación académica sobre estudios de género mientras navegan sus propias experiencias relacionales, ofreciendo una perspectiva única sobre la tensión entre conocimiento formal y experiencia vivida (</w:t>
      </w:r>
      <w:proofErr w:type="spellStart"/>
      <w:r w:rsidRPr="00514EF8">
        <w:rPr>
          <w:color w:val="000000"/>
        </w:rPr>
        <w:t>Macmillan</w:t>
      </w:r>
      <w:proofErr w:type="spellEnd"/>
      <w:r w:rsidRPr="00514EF8">
        <w:rPr>
          <w:color w:val="000000"/>
        </w:rPr>
        <w:t xml:space="preserve"> et al., 2021; Valls et al., 2016).</w:t>
      </w:r>
    </w:p>
    <w:p w:rsidR="00DB7FAA" w:rsidRDefault="00514EF8" w:rsidP="004810E3">
      <w:pPr>
        <w:pBdr>
          <w:top w:val="nil"/>
          <w:left w:val="nil"/>
          <w:bottom w:val="nil"/>
          <w:right w:val="nil"/>
          <w:between w:val="nil"/>
        </w:pBdr>
        <w:spacing w:line="360" w:lineRule="auto"/>
        <w:ind w:firstLine="708"/>
        <w:rPr>
          <w:color w:val="000000"/>
        </w:rPr>
      </w:pPr>
      <w:r w:rsidRPr="00514EF8">
        <w:rPr>
          <w:color w:val="000000"/>
        </w:rPr>
        <w:t xml:space="preserve">El tamaño </w:t>
      </w:r>
      <w:proofErr w:type="spellStart"/>
      <w:r w:rsidRPr="00514EF8">
        <w:rPr>
          <w:color w:val="000000"/>
        </w:rPr>
        <w:t>muestral</w:t>
      </w:r>
      <w:proofErr w:type="spellEnd"/>
      <w:r w:rsidRPr="00514EF8">
        <w:rPr>
          <w:color w:val="000000"/>
        </w:rPr>
        <w:t xml:space="preserve"> se determinó mediante análisis de poder estadístico a priori utilizando G*</w:t>
      </w:r>
      <w:proofErr w:type="spellStart"/>
      <w:r w:rsidRPr="00514EF8">
        <w:rPr>
          <w:color w:val="000000"/>
        </w:rPr>
        <w:t>Power</w:t>
      </w:r>
      <w:proofErr w:type="spellEnd"/>
      <w:r w:rsidRPr="00514EF8">
        <w:rPr>
          <w:color w:val="000000"/>
        </w:rPr>
        <w:t xml:space="preserve"> 3.1.9.7 (Faul et al., 2009), considerando los siguientes parámetros:</w:t>
      </w:r>
    </w:p>
    <w:p w:rsidR="00514EF8" w:rsidRPr="00514EF8" w:rsidRDefault="00514EF8" w:rsidP="00514EF8">
      <w:pPr>
        <w:pBdr>
          <w:top w:val="nil"/>
          <w:left w:val="nil"/>
          <w:bottom w:val="nil"/>
          <w:right w:val="nil"/>
          <w:between w:val="nil"/>
        </w:pBdr>
        <w:spacing w:line="360" w:lineRule="auto"/>
        <w:ind w:firstLine="708"/>
        <w:jc w:val="both"/>
        <w:rPr>
          <w:b/>
          <w:color w:val="000000"/>
        </w:rPr>
      </w:pPr>
      <w:r w:rsidRPr="00514EF8">
        <w:rPr>
          <w:b/>
          <w:color w:val="000000"/>
        </w:rPr>
        <w:t xml:space="preserve">Tabla 1 </w:t>
      </w:r>
    </w:p>
    <w:p w:rsidR="00514EF8" w:rsidRDefault="00514EF8" w:rsidP="00514EF8">
      <w:pPr>
        <w:pBdr>
          <w:top w:val="nil"/>
          <w:left w:val="nil"/>
          <w:bottom w:val="nil"/>
          <w:right w:val="nil"/>
          <w:between w:val="nil"/>
        </w:pBdr>
        <w:spacing w:line="360" w:lineRule="auto"/>
        <w:ind w:firstLine="708"/>
        <w:jc w:val="both"/>
        <w:rPr>
          <w:color w:val="000000"/>
        </w:rPr>
      </w:pPr>
      <w:r w:rsidRPr="00514EF8">
        <w:rPr>
          <w:color w:val="000000"/>
        </w:rPr>
        <w:t xml:space="preserve">Cálculo del tamaño </w:t>
      </w:r>
      <w:proofErr w:type="spellStart"/>
      <w:r w:rsidRPr="00514EF8">
        <w:rPr>
          <w:color w:val="000000"/>
        </w:rPr>
        <w:t>muestral</w:t>
      </w:r>
      <w:proofErr w:type="spellEnd"/>
      <w:r w:rsidRPr="00514EF8">
        <w:rPr>
          <w:color w:val="000000"/>
        </w:rPr>
        <w:t xml:space="preserve"> mediante análisis de poder a priori</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136"/>
        <w:gridCol w:w="2120"/>
        <w:gridCol w:w="2120"/>
      </w:tblGrid>
      <w:tr w:rsidR="00514EF8" w:rsidRPr="00905EF9" w:rsidTr="00925245">
        <w:tc>
          <w:tcPr>
            <w:tcW w:w="2160" w:type="dxa"/>
            <w:tcBorders>
              <w:top w:val="single" w:sz="4" w:space="0" w:color="auto"/>
              <w:bottom w:val="single" w:sz="4" w:space="0" w:color="auto"/>
            </w:tcBorders>
            <w:shd w:val="clear" w:color="auto" w:fill="auto"/>
          </w:tcPr>
          <w:p w:rsidR="00514EF8" w:rsidRPr="00905EF9" w:rsidRDefault="00514EF8" w:rsidP="00B27734">
            <w:pPr>
              <w:spacing w:after="160" w:line="360" w:lineRule="auto"/>
              <w:rPr>
                <w:sz w:val="24"/>
                <w:szCs w:val="24"/>
              </w:rPr>
            </w:pPr>
            <w:r w:rsidRPr="00905EF9">
              <w:rPr>
                <w:sz w:val="24"/>
                <w:szCs w:val="24"/>
              </w:rPr>
              <w:t>Análisis</w:t>
            </w:r>
          </w:p>
        </w:tc>
        <w:tc>
          <w:tcPr>
            <w:tcW w:w="2160" w:type="dxa"/>
            <w:tcBorders>
              <w:top w:val="single" w:sz="4" w:space="0" w:color="auto"/>
              <w:bottom w:val="single" w:sz="4" w:space="0" w:color="auto"/>
            </w:tcBorders>
            <w:shd w:val="clear" w:color="auto" w:fill="auto"/>
          </w:tcPr>
          <w:p w:rsidR="00514EF8" w:rsidRPr="00905EF9" w:rsidRDefault="00514EF8" w:rsidP="00B27734">
            <w:pPr>
              <w:spacing w:after="160" w:line="360" w:lineRule="auto"/>
              <w:rPr>
                <w:sz w:val="24"/>
                <w:szCs w:val="24"/>
              </w:rPr>
            </w:pPr>
            <w:r w:rsidRPr="00905EF9">
              <w:rPr>
                <w:sz w:val="24"/>
                <w:szCs w:val="24"/>
              </w:rPr>
              <w:t>Parámetros</w:t>
            </w:r>
          </w:p>
        </w:tc>
        <w:tc>
          <w:tcPr>
            <w:tcW w:w="2160" w:type="dxa"/>
            <w:tcBorders>
              <w:top w:val="single" w:sz="4" w:space="0" w:color="auto"/>
              <w:bottom w:val="single" w:sz="4" w:space="0" w:color="auto"/>
            </w:tcBorders>
            <w:shd w:val="clear" w:color="auto" w:fill="auto"/>
          </w:tcPr>
          <w:p w:rsidR="00514EF8" w:rsidRPr="00905EF9" w:rsidRDefault="00514EF8" w:rsidP="00B27734">
            <w:pPr>
              <w:spacing w:after="160" w:line="360" w:lineRule="auto"/>
              <w:rPr>
                <w:sz w:val="24"/>
                <w:szCs w:val="24"/>
              </w:rPr>
            </w:pPr>
            <w:r w:rsidRPr="00905EF9">
              <w:rPr>
                <w:sz w:val="24"/>
                <w:szCs w:val="24"/>
              </w:rPr>
              <w:t>n requerida</w:t>
            </w:r>
          </w:p>
        </w:tc>
        <w:tc>
          <w:tcPr>
            <w:tcW w:w="2160" w:type="dxa"/>
            <w:tcBorders>
              <w:top w:val="single" w:sz="4" w:space="0" w:color="auto"/>
              <w:bottom w:val="single" w:sz="4" w:space="0" w:color="auto"/>
            </w:tcBorders>
            <w:shd w:val="clear" w:color="auto" w:fill="auto"/>
          </w:tcPr>
          <w:p w:rsidR="00514EF8" w:rsidRPr="00905EF9" w:rsidRDefault="00514EF8" w:rsidP="00B27734">
            <w:pPr>
              <w:spacing w:after="160" w:line="360" w:lineRule="auto"/>
              <w:rPr>
                <w:sz w:val="24"/>
                <w:szCs w:val="24"/>
              </w:rPr>
            </w:pPr>
            <w:r w:rsidRPr="00905EF9">
              <w:rPr>
                <w:sz w:val="24"/>
                <w:szCs w:val="24"/>
              </w:rPr>
              <w:t>n ajustada*</w:t>
            </w:r>
          </w:p>
        </w:tc>
      </w:tr>
      <w:tr w:rsidR="00514EF8" w:rsidRPr="00905EF9" w:rsidTr="00925245">
        <w:tc>
          <w:tcPr>
            <w:tcW w:w="2160" w:type="dxa"/>
            <w:tcBorders>
              <w:top w:val="single" w:sz="4" w:space="0" w:color="auto"/>
              <w:bottom w:val="nil"/>
            </w:tcBorders>
          </w:tcPr>
          <w:p w:rsidR="00514EF8" w:rsidRPr="00905EF9" w:rsidRDefault="00514EF8" w:rsidP="00B27734">
            <w:pPr>
              <w:spacing w:after="160" w:line="360" w:lineRule="auto"/>
              <w:rPr>
                <w:sz w:val="24"/>
                <w:szCs w:val="24"/>
              </w:rPr>
            </w:pPr>
            <w:r w:rsidRPr="00905EF9">
              <w:rPr>
                <w:sz w:val="24"/>
                <w:szCs w:val="24"/>
              </w:rPr>
              <w:t xml:space="preserve">Correlación </w:t>
            </w:r>
            <w:proofErr w:type="spellStart"/>
            <w:r w:rsidRPr="00905EF9">
              <w:rPr>
                <w:sz w:val="24"/>
                <w:szCs w:val="24"/>
              </w:rPr>
              <w:t>bivariada</w:t>
            </w:r>
            <w:proofErr w:type="spellEnd"/>
          </w:p>
        </w:tc>
        <w:tc>
          <w:tcPr>
            <w:tcW w:w="2160" w:type="dxa"/>
            <w:tcBorders>
              <w:top w:val="single" w:sz="4" w:space="0" w:color="auto"/>
              <w:bottom w:val="nil"/>
            </w:tcBorders>
          </w:tcPr>
          <w:p w:rsidR="00514EF8" w:rsidRPr="00905EF9" w:rsidRDefault="00514EF8" w:rsidP="00B27734">
            <w:pPr>
              <w:spacing w:after="160" w:line="360" w:lineRule="auto"/>
              <w:rPr>
                <w:sz w:val="24"/>
                <w:szCs w:val="24"/>
              </w:rPr>
            </w:pPr>
            <w:r w:rsidRPr="00905EF9">
              <w:rPr>
                <w:sz w:val="24"/>
                <w:szCs w:val="24"/>
              </w:rPr>
              <w:t>• Prueba: Correlación (dos colas)</w:t>
            </w:r>
            <w:r w:rsidRPr="00905EF9">
              <w:rPr>
                <w:sz w:val="24"/>
                <w:szCs w:val="24"/>
              </w:rPr>
              <w:br/>
              <w:t>• α = .05</w:t>
            </w:r>
            <w:r w:rsidRPr="00905EF9">
              <w:rPr>
                <w:sz w:val="24"/>
                <w:szCs w:val="24"/>
              </w:rPr>
              <w:br/>
              <w:t>• Poder (1–β) = .80</w:t>
            </w:r>
            <w:r w:rsidRPr="00905EF9">
              <w:rPr>
                <w:sz w:val="24"/>
                <w:szCs w:val="24"/>
              </w:rPr>
              <w:br/>
              <w:t>• Tamaño del efecto: r = .15 (pequeño)</w:t>
            </w:r>
          </w:p>
        </w:tc>
        <w:tc>
          <w:tcPr>
            <w:tcW w:w="2160" w:type="dxa"/>
            <w:tcBorders>
              <w:top w:val="single" w:sz="4" w:space="0" w:color="auto"/>
              <w:bottom w:val="nil"/>
            </w:tcBorders>
          </w:tcPr>
          <w:p w:rsidR="00514EF8" w:rsidRPr="00905EF9" w:rsidRDefault="00514EF8" w:rsidP="00B27734">
            <w:pPr>
              <w:spacing w:after="160" w:line="360" w:lineRule="auto"/>
              <w:rPr>
                <w:sz w:val="24"/>
                <w:szCs w:val="24"/>
              </w:rPr>
            </w:pPr>
            <w:r w:rsidRPr="00905EF9">
              <w:rPr>
                <w:sz w:val="24"/>
                <w:szCs w:val="24"/>
              </w:rPr>
              <w:t>346</w:t>
            </w:r>
          </w:p>
        </w:tc>
        <w:tc>
          <w:tcPr>
            <w:tcW w:w="2160" w:type="dxa"/>
            <w:tcBorders>
              <w:top w:val="single" w:sz="4" w:space="0" w:color="auto"/>
              <w:bottom w:val="nil"/>
            </w:tcBorders>
          </w:tcPr>
          <w:p w:rsidR="00514EF8" w:rsidRPr="00905EF9" w:rsidRDefault="00514EF8" w:rsidP="00B27734">
            <w:pPr>
              <w:spacing w:after="160" w:line="360" w:lineRule="auto"/>
              <w:rPr>
                <w:sz w:val="24"/>
                <w:szCs w:val="24"/>
              </w:rPr>
            </w:pPr>
            <w:r w:rsidRPr="00905EF9">
              <w:rPr>
                <w:sz w:val="24"/>
                <w:szCs w:val="24"/>
              </w:rPr>
              <w:t>433</w:t>
            </w:r>
          </w:p>
        </w:tc>
      </w:tr>
      <w:tr w:rsidR="00514EF8" w:rsidRPr="00905EF9" w:rsidTr="00925245">
        <w:tc>
          <w:tcPr>
            <w:tcW w:w="2160" w:type="dxa"/>
            <w:tcBorders>
              <w:top w:val="nil"/>
              <w:bottom w:val="nil"/>
            </w:tcBorders>
          </w:tcPr>
          <w:p w:rsidR="00514EF8" w:rsidRPr="00905EF9" w:rsidRDefault="00514EF8" w:rsidP="00B27734">
            <w:pPr>
              <w:spacing w:after="160" w:line="360" w:lineRule="auto"/>
              <w:rPr>
                <w:sz w:val="24"/>
                <w:szCs w:val="24"/>
              </w:rPr>
            </w:pPr>
            <w:r w:rsidRPr="00905EF9">
              <w:rPr>
                <w:sz w:val="24"/>
                <w:szCs w:val="24"/>
              </w:rPr>
              <w:t>ANOVA de un factor</w:t>
            </w:r>
          </w:p>
        </w:tc>
        <w:tc>
          <w:tcPr>
            <w:tcW w:w="2160" w:type="dxa"/>
            <w:tcBorders>
              <w:top w:val="nil"/>
              <w:bottom w:val="nil"/>
            </w:tcBorders>
          </w:tcPr>
          <w:p w:rsidR="00514EF8" w:rsidRPr="00905EF9" w:rsidRDefault="00514EF8" w:rsidP="00B27734">
            <w:pPr>
              <w:spacing w:after="160" w:line="360" w:lineRule="auto"/>
              <w:rPr>
                <w:sz w:val="24"/>
                <w:szCs w:val="24"/>
              </w:rPr>
            </w:pPr>
            <w:r w:rsidRPr="00905EF9">
              <w:rPr>
                <w:sz w:val="24"/>
                <w:szCs w:val="24"/>
              </w:rPr>
              <w:t>• Prueba: F (ANOVA)</w:t>
            </w:r>
            <w:r w:rsidRPr="00905EF9">
              <w:rPr>
                <w:sz w:val="24"/>
                <w:szCs w:val="24"/>
              </w:rPr>
              <w:br/>
              <w:t>• α = .05</w:t>
            </w:r>
            <w:r w:rsidRPr="00905EF9">
              <w:rPr>
                <w:sz w:val="24"/>
                <w:szCs w:val="24"/>
              </w:rPr>
              <w:br/>
              <w:t>• Poder (1–β) = .80</w:t>
            </w:r>
            <w:r w:rsidRPr="00905EF9">
              <w:rPr>
                <w:sz w:val="24"/>
                <w:szCs w:val="24"/>
              </w:rPr>
              <w:br/>
              <w:t>• Número de grupos: 3</w:t>
            </w:r>
            <w:r w:rsidRPr="00905EF9">
              <w:rPr>
                <w:sz w:val="24"/>
                <w:szCs w:val="24"/>
              </w:rPr>
              <w:br/>
              <w:t xml:space="preserve">• Tamaño del efecto: f = .15 </w:t>
            </w:r>
            <w:r w:rsidRPr="00905EF9">
              <w:rPr>
                <w:sz w:val="24"/>
                <w:szCs w:val="24"/>
              </w:rPr>
              <w:lastRenderedPageBreak/>
              <w:t>(pequeño)</w:t>
            </w:r>
            <w:r w:rsidRPr="00905EF9">
              <w:rPr>
                <w:sz w:val="24"/>
                <w:szCs w:val="24"/>
              </w:rPr>
              <w:br/>
              <w:t>• η² = .022</w:t>
            </w:r>
          </w:p>
        </w:tc>
        <w:tc>
          <w:tcPr>
            <w:tcW w:w="2160" w:type="dxa"/>
            <w:tcBorders>
              <w:top w:val="nil"/>
              <w:bottom w:val="nil"/>
            </w:tcBorders>
          </w:tcPr>
          <w:p w:rsidR="00514EF8" w:rsidRPr="00905EF9" w:rsidRDefault="00514EF8" w:rsidP="00B27734">
            <w:pPr>
              <w:spacing w:after="160" w:line="360" w:lineRule="auto"/>
              <w:rPr>
                <w:sz w:val="24"/>
                <w:szCs w:val="24"/>
              </w:rPr>
            </w:pPr>
            <w:r w:rsidRPr="00905EF9">
              <w:rPr>
                <w:sz w:val="24"/>
                <w:szCs w:val="24"/>
              </w:rPr>
              <w:lastRenderedPageBreak/>
              <w:t>432</w:t>
            </w:r>
          </w:p>
        </w:tc>
        <w:tc>
          <w:tcPr>
            <w:tcW w:w="2160" w:type="dxa"/>
            <w:tcBorders>
              <w:top w:val="nil"/>
              <w:bottom w:val="nil"/>
            </w:tcBorders>
          </w:tcPr>
          <w:p w:rsidR="00514EF8" w:rsidRPr="00905EF9" w:rsidRDefault="00514EF8" w:rsidP="00B27734">
            <w:pPr>
              <w:spacing w:after="160" w:line="360" w:lineRule="auto"/>
              <w:rPr>
                <w:sz w:val="24"/>
                <w:szCs w:val="24"/>
              </w:rPr>
            </w:pPr>
            <w:r w:rsidRPr="00905EF9">
              <w:rPr>
                <w:sz w:val="24"/>
                <w:szCs w:val="24"/>
              </w:rPr>
              <w:t>540</w:t>
            </w:r>
          </w:p>
        </w:tc>
      </w:tr>
      <w:tr w:rsidR="00514EF8" w:rsidRPr="00905EF9" w:rsidTr="00925245">
        <w:tc>
          <w:tcPr>
            <w:tcW w:w="2160" w:type="dxa"/>
            <w:tcBorders>
              <w:top w:val="nil"/>
            </w:tcBorders>
          </w:tcPr>
          <w:p w:rsidR="00514EF8" w:rsidRPr="00905EF9" w:rsidRDefault="00514EF8" w:rsidP="00B27734">
            <w:pPr>
              <w:spacing w:after="160" w:line="360" w:lineRule="auto"/>
              <w:rPr>
                <w:sz w:val="24"/>
                <w:szCs w:val="24"/>
              </w:rPr>
            </w:pPr>
            <w:r w:rsidRPr="00905EF9">
              <w:rPr>
                <w:sz w:val="24"/>
                <w:szCs w:val="24"/>
              </w:rPr>
              <w:lastRenderedPageBreak/>
              <w:t xml:space="preserve">Tamaño </w:t>
            </w:r>
            <w:proofErr w:type="spellStart"/>
            <w:r w:rsidRPr="00905EF9">
              <w:rPr>
                <w:sz w:val="24"/>
                <w:szCs w:val="24"/>
              </w:rPr>
              <w:t>muestral</w:t>
            </w:r>
            <w:proofErr w:type="spellEnd"/>
            <w:r w:rsidRPr="00905EF9">
              <w:rPr>
                <w:sz w:val="24"/>
                <w:szCs w:val="24"/>
              </w:rPr>
              <w:t xml:space="preserve"> definitivo</w:t>
            </w:r>
          </w:p>
        </w:tc>
        <w:tc>
          <w:tcPr>
            <w:tcW w:w="2160" w:type="dxa"/>
            <w:tcBorders>
              <w:top w:val="nil"/>
            </w:tcBorders>
          </w:tcPr>
          <w:p w:rsidR="00514EF8" w:rsidRPr="00905EF9" w:rsidRDefault="00514EF8" w:rsidP="00B27734">
            <w:pPr>
              <w:spacing w:after="160" w:line="360" w:lineRule="auto"/>
              <w:rPr>
                <w:sz w:val="24"/>
                <w:szCs w:val="24"/>
              </w:rPr>
            </w:pPr>
            <w:r w:rsidRPr="00905EF9">
              <w:rPr>
                <w:sz w:val="24"/>
                <w:szCs w:val="24"/>
              </w:rPr>
              <w:t>Considerando el análisis más exigente (ANOVA ajustado) y margen adicional del 20%</w:t>
            </w:r>
          </w:p>
        </w:tc>
        <w:tc>
          <w:tcPr>
            <w:tcW w:w="2160" w:type="dxa"/>
            <w:tcBorders>
              <w:top w:val="nil"/>
            </w:tcBorders>
          </w:tcPr>
          <w:p w:rsidR="00514EF8" w:rsidRPr="00905EF9" w:rsidRDefault="00514EF8" w:rsidP="00B27734">
            <w:pPr>
              <w:spacing w:after="160" w:line="360" w:lineRule="auto"/>
              <w:rPr>
                <w:sz w:val="24"/>
                <w:szCs w:val="24"/>
              </w:rPr>
            </w:pPr>
            <w:r w:rsidRPr="00905EF9">
              <w:rPr>
                <w:sz w:val="24"/>
                <w:szCs w:val="24"/>
              </w:rPr>
              <w:t>540</w:t>
            </w:r>
          </w:p>
        </w:tc>
        <w:tc>
          <w:tcPr>
            <w:tcW w:w="2160" w:type="dxa"/>
            <w:tcBorders>
              <w:top w:val="nil"/>
            </w:tcBorders>
          </w:tcPr>
          <w:p w:rsidR="00514EF8" w:rsidRPr="00905EF9" w:rsidRDefault="00514EF8" w:rsidP="00B27734">
            <w:pPr>
              <w:spacing w:after="160" w:line="360" w:lineRule="auto"/>
              <w:rPr>
                <w:sz w:val="24"/>
                <w:szCs w:val="24"/>
              </w:rPr>
            </w:pPr>
            <w:r w:rsidRPr="00905EF9">
              <w:rPr>
                <w:sz w:val="24"/>
                <w:szCs w:val="24"/>
              </w:rPr>
              <w:t>655</w:t>
            </w:r>
          </w:p>
        </w:tc>
      </w:tr>
    </w:tbl>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Nota. *El ajuste considera una tasa potencial de atrición del 25% (n requerida × 1.25). El tamaño final obtenido (N = 655) proporciona poder &gt; .95 para detectar efectos pequeños en ambos análisis (Cohen, 1988).</w:t>
      </w:r>
    </w:p>
    <w:p w:rsidR="00514EF8" w:rsidRDefault="00925245" w:rsidP="004810E3">
      <w:pPr>
        <w:pBdr>
          <w:top w:val="nil"/>
          <w:left w:val="nil"/>
          <w:bottom w:val="nil"/>
          <w:right w:val="nil"/>
          <w:between w:val="nil"/>
        </w:pBdr>
        <w:spacing w:line="360" w:lineRule="auto"/>
        <w:ind w:firstLine="708"/>
        <w:rPr>
          <w:color w:val="000000"/>
        </w:rPr>
      </w:pPr>
      <w:r w:rsidRPr="00925245">
        <w:rPr>
          <w:color w:val="000000"/>
        </w:rPr>
        <w:t>Reconocemos que esta muestra específica (estudiantes universitarias de carreras de salud) presenta características particulares que limitan la generalización de los hallazgos. Sin embargo, constituye una población estratégica para el testeo inicial de hipótesis, dado su acceso a formación en género y su posición generacional única.</w:t>
      </w:r>
    </w:p>
    <w:p w:rsidR="00DB7FAA" w:rsidRDefault="00514EF8">
      <w:pPr>
        <w:pBdr>
          <w:top w:val="nil"/>
          <w:left w:val="nil"/>
          <w:bottom w:val="nil"/>
          <w:right w:val="nil"/>
          <w:between w:val="nil"/>
        </w:pBdr>
        <w:spacing w:line="360" w:lineRule="auto"/>
        <w:jc w:val="both"/>
        <w:rPr>
          <w:b/>
          <w:i/>
          <w:color w:val="000000"/>
        </w:rPr>
      </w:pPr>
      <w:r>
        <w:rPr>
          <w:b/>
          <w:i/>
          <w:color w:val="000000"/>
        </w:rPr>
        <w:t>Instrumentos</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 xml:space="preserve">Escala de Autoestima de </w:t>
      </w:r>
      <w:proofErr w:type="spellStart"/>
      <w:r w:rsidRPr="00925245">
        <w:rPr>
          <w:color w:val="000000"/>
        </w:rPr>
        <w:t>Rosenberg</w:t>
      </w:r>
      <w:proofErr w:type="spellEnd"/>
      <w:r w:rsidRPr="00925245">
        <w:rPr>
          <w:color w:val="000000"/>
        </w:rPr>
        <w:t xml:space="preserve"> (EAR). Se utilizó la versión validada al español de la escala original de </w:t>
      </w:r>
      <w:proofErr w:type="spellStart"/>
      <w:r w:rsidRPr="00925245">
        <w:rPr>
          <w:color w:val="000000"/>
        </w:rPr>
        <w:t>Rosenberg</w:t>
      </w:r>
      <w:proofErr w:type="spellEnd"/>
      <w:r w:rsidRPr="00925245">
        <w:rPr>
          <w:color w:val="000000"/>
        </w:rPr>
        <w:t>, que consta de 10 ítems formulados en forma positiva y negativa, puntuados en una escala Likert de 4 puntos (de “muy de acuerdo” a “muy en desacuerdo”). Evalúa la autovaloración global de las personas, con puntuaciones entre 10 y 40. Los puntos de corte utilizados fueron: baja (10-25), media (26-32) y alta (33-40), adaptados para población universitaria latinoamericana según Yánez et al. (2020). Esta categorización permite una distribución más equilibrada en muestras con tendencia a puntuaciones medio-altas.</w:t>
      </w:r>
    </w:p>
    <w:p w:rsidR="00DB7FAA" w:rsidRDefault="00925245" w:rsidP="004810E3">
      <w:pPr>
        <w:pBdr>
          <w:top w:val="nil"/>
          <w:left w:val="nil"/>
          <w:bottom w:val="nil"/>
          <w:right w:val="nil"/>
          <w:between w:val="nil"/>
        </w:pBdr>
        <w:spacing w:line="360" w:lineRule="auto"/>
        <w:ind w:firstLine="708"/>
        <w:rPr>
          <w:color w:val="000000"/>
        </w:rPr>
      </w:pPr>
      <w:r w:rsidRPr="00925245">
        <w:rPr>
          <w:color w:val="000000"/>
        </w:rPr>
        <w:t>Escala de Actitudes hacia la Violencia de Género (EAVG). Se empleó la escala desarrollada por Mateos (2011), compuesta por 20 ítems que evalúan actitudes hacia la violencia de género y creencias sexistas, en formato Likert de 5 puntos. Esta escala contempla ítems tanto normativos como contra-normativos, lo que permite detectar niveles de acuerdo o rechazo ante diversas expresiones de violencia y desigualdad. Para facilitar su interpretación, las puntuaciones fueron transformadas a una escala de 0 a 100, donde valores más altos indican mayor rechazo hacia la violencia. La consistencia interna en esta muestra fue excelente (α = .873), superando el criterio de .70 recomendado para investigación (</w:t>
      </w:r>
      <w:proofErr w:type="spellStart"/>
      <w:r w:rsidRPr="00925245">
        <w:rPr>
          <w:color w:val="000000"/>
        </w:rPr>
        <w:t>Nunnally</w:t>
      </w:r>
      <w:proofErr w:type="spellEnd"/>
      <w:r w:rsidRPr="00925245">
        <w:rPr>
          <w:color w:val="000000"/>
        </w:rPr>
        <w:t xml:space="preserve"> &amp; </w:t>
      </w:r>
      <w:proofErr w:type="spellStart"/>
      <w:r w:rsidRPr="00925245">
        <w:rPr>
          <w:color w:val="000000"/>
        </w:rPr>
        <w:t>Bernstein</w:t>
      </w:r>
      <w:proofErr w:type="spellEnd"/>
      <w:r w:rsidRPr="00925245">
        <w:rPr>
          <w:color w:val="000000"/>
        </w:rPr>
        <w:t>, 1994).</w:t>
      </w:r>
    </w:p>
    <w:p w:rsidR="00DB7FAA" w:rsidRDefault="00925245">
      <w:pPr>
        <w:pBdr>
          <w:top w:val="nil"/>
          <w:left w:val="nil"/>
          <w:bottom w:val="nil"/>
          <w:right w:val="nil"/>
          <w:between w:val="nil"/>
        </w:pBdr>
        <w:spacing w:line="360" w:lineRule="auto"/>
        <w:jc w:val="both"/>
        <w:rPr>
          <w:b/>
          <w:i/>
          <w:color w:val="000000"/>
        </w:rPr>
      </w:pPr>
      <w:r>
        <w:rPr>
          <w:b/>
          <w:i/>
          <w:color w:val="000000"/>
        </w:rPr>
        <w:t>Procedimiento</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lastRenderedPageBreak/>
        <w:t xml:space="preserve">La recolección de datos se realizó durante dos períodos académicos consecutivos (abril-agosto 2023 y septiembre 2023-enero 2024) mediante un formulario digital alojado en Google </w:t>
      </w:r>
      <w:proofErr w:type="spellStart"/>
      <w:r w:rsidRPr="00925245">
        <w:rPr>
          <w:color w:val="000000"/>
        </w:rPr>
        <w:t>Forms</w:t>
      </w:r>
      <w:proofErr w:type="spellEnd"/>
      <w:r w:rsidRPr="00925245">
        <w:rPr>
          <w:color w:val="000000"/>
        </w:rPr>
        <w:t>, método digital que ha demostrado recursivamente su validez (Braun et al., 2021).</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El protocolo de aplicación incluyó:</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1.</w:t>
      </w:r>
      <w:r w:rsidRPr="00925245">
        <w:rPr>
          <w:color w:val="000000"/>
        </w:rPr>
        <w:tab/>
        <w:t>Reclutamiento: Invitación a través de coordinadores de carrera y redes institucionales, siguiendo un muestreo no probabilístico por conveniencia (</w:t>
      </w:r>
      <w:proofErr w:type="spellStart"/>
      <w:r w:rsidRPr="00925245">
        <w:rPr>
          <w:color w:val="000000"/>
        </w:rPr>
        <w:t>Etikan</w:t>
      </w:r>
      <w:proofErr w:type="spellEnd"/>
      <w:r w:rsidRPr="00925245">
        <w:rPr>
          <w:color w:val="000000"/>
        </w:rPr>
        <w:t xml:space="preserve"> et al., 2016)</w:t>
      </w:r>
      <w:r w:rsidR="002B6146">
        <w:rPr>
          <w:color w:val="000000"/>
        </w:rPr>
        <w:t>.</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2.</w:t>
      </w:r>
      <w:r w:rsidRPr="00925245">
        <w:rPr>
          <w:color w:val="000000"/>
        </w:rPr>
        <w:tab/>
        <w:t>Consentimiento informado: Información sobre objetivos, voluntariedad y confidencialidad (no tenían que agregar correos o nombres) y derecho a retirarse según principios de Belmont (</w:t>
      </w:r>
      <w:proofErr w:type="spellStart"/>
      <w:r w:rsidRPr="00925245">
        <w:rPr>
          <w:color w:val="000000"/>
        </w:rPr>
        <w:t>National</w:t>
      </w:r>
      <w:proofErr w:type="spellEnd"/>
      <w:r w:rsidRPr="00925245">
        <w:rPr>
          <w:color w:val="000000"/>
        </w:rPr>
        <w:t xml:space="preserve"> </w:t>
      </w:r>
      <w:proofErr w:type="spellStart"/>
      <w:r w:rsidRPr="00925245">
        <w:rPr>
          <w:color w:val="000000"/>
        </w:rPr>
        <w:t>Commission</w:t>
      </w:r>
      <w:proofErr w:type="spellEnd"/>
      <w:r w:rsidRPr="00925245">
        <w:rPr>
          <w:color w:val="000000"/>
        </w:rPr>
        <w:t xml:space="preserve"> </w:t>
      </w:r>
      <w:proofErr w:type="spellStart"/>
      <w:r w:rsidRPr="00925245">
        <w:rPr>
          <w:color w:val="000000"/>
        </w:rPr>
        <w:t>for</w:t>
      </w:r>
      <w:proofErr w:type="spellEnd"/>
      <w:r w:rsidRPr="00925245">
        <w:rPr>
          <w:color w:val="000000"/>
        </w:rPr>
        <w:t xml:space="preserve"> </w:t>
      </w:r>
      <w:proofErr w:type="spellStart"/>
      <w:r w:rsidRPr="00925245">
        <w:rPr>
          <w:color w:val="000000"/>
        </w:rPr>
        <w:t>the</w:t>
      </w:r>
      <w:proofErr w:type="spellEnd"/>
      <w:r w:rsidRPr="00925245">
        <w:rPr>
          <w:color w:val="000000"/>
        </w:rPr>
        <w:t xml:space="preserve"> </w:t>
      </w:r>
      <w:proofErr w:type="spellStart"/>
      <w:r w:rsidRPr="00925245">
        <w:rPr>
          <w:color w:val="000000"/>
        </w:rPr>
        <w:t>Protection</w:t>
      </w:r>
      <w:proofErr w:type="spellEnd"/>
      <w:r w:rsidRPr="00925245">
        <w:rPr>
          <w:color w:val="000000"/>
        </w:rPr>
        <w:t xml:space="preserve"> of Human </w:t>
      </w:r>
      <w:proofErr w:type="spellStart"/>
      <w:r w:rsidRPr="00925245">
        <w:rPr>
          <w:color w:val="000000"/>
        </w:rPr>
        <w:t>Subjects</w:t>
      </w:r>
      <w:proofErr w:type="spellEnd"/>
      <w:r w:rsidRPr="00925245">
        <w:rPr>
          <w:color w:val="000000"/>
        </w:rPr>
        <w:t>, 1979)</w:t>
      </w:r>
      <w:r w:rsidR="002B6146">
        <w:rPr>
          <w:color w:val="000000"/>
        </w:rPr>
        <w:t>.</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3.</w:t>
      </w:r>
      <w:r w:rsidRPr="00925245">
        <w:rPr>
          <w:color w:val="000000"/>
        </w:rPr>
        <w:tab/>
        <w:t>Aplicación: Datos sociodemográficos (edad, estado civil o situación de pareja, carrera, semestre, identidad de género) seguidos de los instrumentos (escalas). La duración aproximada de completamiento del cuestionario fue de 10 minutos.</w:t>
      </w:r>
    </w:p>
    <w:p w:rsidR="00925245" w:rsidRPr="00925245" w:rsidRDefault="00925245" w:rsidP="004810E3">
      <w:pPr>
        <w:pBdr>
          <w:top w:val="nil"/>
          <w:left w:val="nil"/>
          <w:bottom w:val="nil"/>
          <w:right w:val="nil"/>
          <w:between w:val="nil"/>
        </w:pBdr>
        <w:spacing w:line="360" w:lineRule="auto"/>
        <w:ind w:firstLine="708"/>
        <w:rPr>
          <w:color w:val="000000"/>
        </w:rPr>
      </w:pPr>
      <w:r w:rsidRPr="00925245">
        <w:rPr>
          <w:color w:val="000000"/>
        </w:rPr>
        <w:t>4.</w:t>
      </w:r>
      <w:r w:rsidRPr="00925245">
        <w:rPr>
          <w:color w:val="000000"/>
        </w:rPr>
        <w:tab/>
        <w:t>Protocolo de contención: Información sobre servicios de bienestar y apoyo psicológico institucional (</w:t>
      </w:r>
      <w:proofErr w:type="spellStart"/>
      <w:r w:rsidRPr="00925245">
        <w:rPr>
          <w:color w:val="000000"/>
        </w:rPr>
        <w:t>Draucker</w:t>
      </w:r>
      <w:proofErr w:type="spellEnd"/>
      <w:r w:rsidRPr="00925245">
        <w:rPr>
          <w:color w:val="000000"/>
        </w:rPr>
        <w:t xml:space="preserve"> et al., 2009)</w:t>
      </w:r>
      <w:r w:rsidR="002B6146">
        <w:rPr>
          <w:color w:val="000000"/>
        </w:rPr>
        <w:t>.</w:t>
      </w:r>
    </w:p>
    <w:p w:rsidR="00DB7FAA" w:rsidRDefault="00925245" w:rsidP="004810E3">
      <w:pPr>
        <w:pBdr>
          <w:top w:val="nil"/>
          <w:left w:val="nil"/>
          <w:bottom w:val="nil"/>
          <w:right w:val="nil"/>
          <w:between w:val="nil"/>
        </w:pBdr>
        <w:spacing w:line="360" w:lineRule="auto"/>
        <w:ind w:firstLine="708"/>
        <w:rPr>
          <w:color w:val="000000"/>
        </w:rPr>
      </w:pPr>
      <w:r w:rsidRPr="00925245">
        <w:rPr>
          <w:color w:val="000000"/>
        </w:rPr>
        <w:t>De 953 respuestas iniciales, se analizaron 655 correspondientes a participantes que se identificaron con el género femenino. La decisión de focalizar en esta población responde al objetivo específico de contrastar teorías tradicionales sobre mujeres y violencia. Futuros estudios deben incluir diversas perspectivas de género para una comprensión más integral del fenómeno.</w:t>
      </w:r>
    </w:p>
    <w:p w:rsidR="00DB7FAA" w:rsidRDefault="00925245">
      <w:pPr>
        <w:pBdr>
          <w:top w:val="nil"/>
          <w:left w:val="nil"/>
          <w:bottom w:val="nil"/>
          <w:right w:val="nil"/>
          <w:between w:val="nil"/>
        </w:pBdr>
        <w:spacing w:line="360" w:lineRule="auto"/>
        <w:jc w:val="both"/>
        <w:rPr>
          <w:b/>
          <w:i/>
          <w:color w:val="000000"/>
        </w:rPr>
      </w:pPr>
      <w:r>
        <w:rPr>
          <w:b/>
          <w:i/>
          <w:color w:val="000000"/>
        </w:rPr>
        <w:t>Análisis de datos</w:t>
      </w:r>
    </w:p>
    <w:p w:rsidR="00925245" w:rsidRDefault="00925245" w:rsidP="004810E3">
      <w:pPr>
        <w:pBdr>
          <w:top w:val="nil"/>
          <w:left w:val="nil"/>
          <w:bottom w:val="nil"/>
          <w:right w:val="nil"/>
          <w:between w:val="nil"/>
        </w:pBdr>
        <w:spacing w:line="360" w:lineRule="auto"/>
        <w:ind w:firstLine="708"/>
        <w:rPr>
          <w:color w:val="000000"/>
        </w:rPr>
      </w:pPr>
      <w:r w:rsidRPr="00925245">
        <w:rPr>
          <w:color w:val="000000"/>
        </w:rPr>
        <w:t xml:space="preserve">Los datos fueron analizados utilizando el software estadístico IBM SPSS </w:t>
      </w:r>
      <w:proofErr w:type="spellStart"/>
      <w:r w:rsidRPr="00925245">
        <w:rPr>
          <w:color w:val="000000"/>
        </w:rPr>
        <w:t>Statistics</w:t>
      </w:r>
      <w:proofErr w:type="spellEnd"/>
      <w:r w:rsidRPr="00925245">
        <w:rPr>
          <w:color w:val="000000"/>
        </w:rPr>
        <w:t xml:space="preserve"> (versión 30.0.0.0; IBM Corp.), siguiendo las recomendaciones de Field (2018) para análisis correl</w:t>
      </w:r>
      <w:r>
        <w:rPr>
          <w:color w:val="000000"/>
        </w:rPr>
        <w:t>acionales:</w:t>
      </w:r>
    </w:p>
    <w:p w:rsidR="00DB7FAA" w:rsidRDefault="00925245" w:rsidP="004810E3">
      <w:pPr>
        <w:pStyle w:val="Prrafodelista"/>
        <w:numPr>
          <w:ilvl w:val="0"/>
          <w:numId w:val="4"/>
        </w:numPr>
        <w:pBdr>
          <w:top w:val="nil"/>
          <w:left w:val="nil"/>
          <w:bottom w:val="nil"/>
          <w:right w:val="nil"/>
          <w:between w:val="nil"/>
        </w:pBdr>
        <w:spacing w:line="360" w:lineRule="auto"/>
        <w:rPr>
          <w:color w:val="000000"/>
        </w:rPr>
      </w:pPr>
      <w:r w:rsidRPr="00925245">
        <w:rPr>
          <w:color w:val="000000"/>
        </w:rPr>
        <w:t>Análisis preliminares:</w:t>
      </w:r>
    </w:p>
    <w:p w:rsidR="00925245" w:rsidRPr="00925245" w:rsidRDefault="00925245" w:rsidP="004810E3">
      <w:pPr>
        <w:pStyle w:val="Prrafodelista"/>
        <w:numPr>
          <w:ilvl w:val="0"/>
          <w:numId w:val="5"/>
        </w:numPr>
        <w:spacing w:line="360" w:lineRule="auto"/>
        <w:rPr>
          <w:color w:val="000000"/>
        </w:rPr>
      </w:pPr>
      <w:r w:rsidRPr="00925245">
        <w:rPr>
          <w:color w:val="000000"/>
        </w:rPr>
        <w:t>Evaluación de datos perdidos (&lt; 5% por variable) mediante análisis MCAR de Little (</w:t>
      </w:r>
      <w:proofErr w:type="spellStart"/>
      <w:r w:rsidRPr="00925245">
        <w:rPr>
          <w:color w:val="000000"/>
        </w:rPr>
        <w:t>Rubin</w:t>
      </w:r>
      <w:proofErr w:type="spellEnd"/>
      <w:r w:rsidRPr="00925245">
        <w:rPr>
          <w:color w:val="000000"/>
        </w:rPr>
        <w:t>, 1976)</w:t>
      </w:r>
    </w:p>
    <w:p w:rsidR="00925245" w:rsidRPr="00905EF9" w:rsidRDefault="00925245" w:rsidP="004810E3">
      <w:pPr>
        <w:pStyle w:val="Prrafodelista"/>
        <w:numPr>
          <w:ilvl w:val="0"/>
          <w:numId w:val="5"/>
        </w:numPr>
        <w:spacing w:line="360" w:lineRule="auto"/>
        <w:rPr>
          <w:rFonts w:eastAsia="Calibri"/>
          <w:lang w:val="es-ES"/>
        </w:rPr>
      </w:pPr>
      <w:r w:rsidRPr="00905EF9">
        <w:rPr>
          <w:rFonts w:eastAsia="Calibri"/>
          <w:lang w:val="es-ES"/>
        </w:rPr>
        <w:t xml:space="preserve">Análisis de consistencia interna (α de </w:t>
      </w:r>
      <w:proofErr w:type="spellStart"/>
      <w:r w:rsidRPr="00905EF9">
        <w:rPr>
          <w:rFonts w:eastAsia="Calibri"/>
          <w:lang w:val="es-ES"/>
        </w:rPr>
        <w:t>Cronbach</w:t>
      </w:r>
      <w:proofErr w:type="spellEnd"/>
      <w:r w:rsidRPr="00905EF9">
        <w:rPr>
          <w:rFonts w:eastAsia="Calibri"/>
          <w:lang w:val="es-ES"/>
        </w:rPr>
        <w:t xml:space="preserve">) según criterios de George y </w:t>
      </w:r>
      <w:proofErr w:type="spellStart"/>
      <w:r w:rsidRPr="00905EF9">
        <w:rPr>
          <w:rFonts w:eastAsia="Calibri"/>
          <w:lang w:val="es-ES"/>
        </w:rPr>
        <w:t>Mallery</w:t>
      </w:r>
      <w:proofErr w:type="spellEnd"/>
      <w:r w:rsidRPr="00905EF9">
        <w:rPr>
          <w:rFonts w:eastAsia="Calibri"/>
          <w:lang w:val="es-ES"/>
        </w:rPr>
        <w:t xml:space="preserve"> (2019)</w:t>
      </w:r>
    </w:p>
    <w:p w:rsidR="00925245" w:rsidRPr="00925245" w:rsidRDefault="00925245" w:rsidP="004810E3">
      <w:pPr>
        <w:pStyle w:val="Prrafodelista"/>
        <w:numPr>
          <w:ilvl w:val="0"/>
          <w:numId w:val="5"/>
        </w:numPr>
        <w:spacing w:line="360" w:lineRule="auto"/>
        <w:rPr>
          <w:color w:val="000000"/>
        </w:rPr>
      </w:pPr>
      <w:r w:rsidRPr="00925245">
        <w:rPr>
          <w:color w:val="000000"/>
        </w:rPr>
        <w:t xml:space="preserve">Verificación de supuestos estadísticos (normalidad con </w:t>
      </w:r>
      <w:proofErr w:type="spellStart"/>
      <w:r w:rsidRPr="00925245">
        <w:rPr>
          <w:color w:val="000000"/>
        </w:rPr>
        <w:t>Kolmogorov-Smirnov</w:t>
      </w:r>
      <w:proofErr w:type="spellEnd"/>
      <w:r w:rsidRPr="00925245">
        <w:rPr>
          <w:color w:val="000000"/>
        </w:rPr>
        <w:t xml:space="preserve">, </w:t>
      </w:r>
      <w:proofErr w:type="spellStart"/>
      <w:r w:rsidRPr="00925245">
        <w:rPr>
          <w:color w:val="000000"/>
        </w:rPr>
        <w:t>homocedasticidad</w:t>
      </w:r>
      <w:proofErr w:type="spellEnd"/>
      <w:r w:rsidRPr="00925245">
        <w:rPr>
          <w:color w:val="000000"/>
        </w:rPr>
        <w:t xml:space="preserve"> con prueba de </w:t>
      </w:r>
      <w:proofErr w:type="spellStart"/>
      <w:r w:rsidRPr="00925245">
        <w:rPr>
          <w:color w:val="000000"/>
        </w:rPr>
        <w:t>Levene</w:t>
      </w:r>
      <w:proofErr w:type="spellEnd"/>
      <w:r w:rsidRPr="00925245">
        <w:rPr>
          <w:color w:val="000000"/>
        </w:rPr>
        <w:t>) (</w:t>
      </w:r>
      <w:proofErr w:type="spellStart"/>
      <w:r w:rsidRPr="00925245">
        <w:rPr>
          <w:color w:val="000000"/>
        </w:rPr>
        <w:t>Tabachnick</w:t>
      </w:r>
      <w:proofErr w:type="spellEnd"/>
      <w:r w:rsidRPr="00925245">
        <w:rPr>
          <w:color w:val="000000"/>
        </w:rPr>
        <w:t xml:space="preserve"> &amp; </w:t>
      </w:r>
      <w:proofErr w:type="spellStart"/>
      <w:r w:rsidRPr="00925245">
        <w:rPr>
          <w:color w:val="000000"/>
        </w:rPr>
        <w:t>Fidell</w:t>
      </w:r>
      <w:proofErr w:type="spellEnd"/>
      <w:r w:rsidRPr="00925245">
        <w:rPr>
          <w:color w:val="000000"/>
        </w:rPr>
        <w:t>, 2019)</w:t>
      </w:r>
    </w:p>
    <w:p w:rsidR="00925245" w:rsidRPr="00925245" w:rsidRDefault="00925245" w:rsidP="004810E3">
      <w:pPr>
        <w:pStyle w:val="Prrafodelista"/>
        <w:numPr>
          <w:ilvl w:val="0"/>
          <w:numId w:val="4"/>
        </w:numPr>
        <w:spacing w:line="360" w:lineRule="auto"/>
        <w:rPr>
          <w:color w:val="000000"/>
        </w:rPr>
      </w:pPr>
      <w:r w:rsidRPr="00925245">
        <w:rPr>
          <w:color w:val="000000"/>
        </w:rPr>
        <w:lastRenderedPageBreak/>
        <w:t xml:space="preserve">Análisis descriptivos: </w:t>
      </w:r>
    </w:p>
    <w:p w:rsidR="00925245" w:rsidRPr="00925245" w:rsidRDefault="00925245" w:rsidP="004810E3">
      <w:pPr>
        <w:pStyle w:val="Prrafodelista"/>
        <w:numPr>
          <w:ilvl w:val="0"/>
          <w:numId w:val="7"/>
        </w:numPr>
        <w:spacing w:line="360" w:lineRule="auto"/>
        <w:rPr>
          <w:color w:val="000000"/>
        </w:rPr>
      </w:pPr>
      <w:r w:rsidRPr="00925245">
        <w:rPr>
          <w:color w:val="000000"/>
        </w:rPr>
        <w:t>Estadísticos de tendencia central y dispersión</w:t>
      </w:r>
    </w:p>
    <w:p w:rsidR="00925245" w:rsidRDefault="00925245" w:rsidP="004810E3">
      <w:pPr>
        <w:pStyle w:val="Prrafodelista"/>
        <w:numPr>
          <w:ilvl w:val="0"/>
          <w:numId w:val="7"/>
        </w:numPr>
        <w:spacing w:line="360" w:lineRule="auto"/>
        <w:rPr>
          <w:rFonts w:eastAsia="Calibri"/>
          <w:lang w:val="es-ES"/>
        </w:rPr>
      </w:pPr>
      <w:r w:rsidRPr="00905EF9">
        <w:rPr>
          <w:rFonts w:eastAsia="Calibri"/>
          <w:lang w:val="es-ES"/>
        </w:rPr>
        <w:t>Distribución por categorías de autoestima</w:t>
      </w:r>
    </w:p>
    <w:p w:rsidR="00925245" w:rsidRDefault="00925245" w:rsidP="004810E3">
      <w:pPr>
        <w:pStyle w:val="Prrafodelista"/>
        <w:numPr>
          <w:ilvl w:val="0"/>
          <w:numId w:val="4"/>
        </w:numPr>
        <w:spacing w:line="360" w:lineRule="auto"/>
        <w:rPr>
          <w:rFonts w:eastAsia="Calibri"/>
          <w:lang w:val="es-ES"/>
        </w:rPr>
      </w:pPr>
      <w:r w:rsidRPr="00925245">
        <w:rPr>
          <w:rFonts w:eastAsia="Calibri"/>
          <w:lang w:val="es-ES"/>
        </w:rPr>
        <w:t xml:space="preserve">Análisis principales: </w:t>
      </w:r>
    </w:p>
    <w:p w:rsidR="00256670" w:rsidRPr="00256670" w:rsidRDefault="00256670" w:rsidP="004810E3">
      <w:pPr>
        <w:pStyle w:val="Prrafodelista"/>
        <w:numPr>
          <w:ilvl w:val="0"/>
          <w:numId w:val="11"/>
        </w:numPr>
        <w:spacing w:line="360" w:lineRule="auto"/>
        <w:rPr>
          <w:rFonts w:eastAsia="Calibri"/>
          <w:lang w:val="es-ES"/>
        </w:rPr>
      </w:pPr>
      <w:r w:rsidRPr="00256670">
        <w:rPr>
          <w:rFonts w:eastAsia="Calibri"/>
          <w:lang w:val="es-ES"/>
        </w:rPr>
        <w:t xml:space="preserve">Correlación de Pearson como análisis principal. Dado que la prueba de </w:t>
      </w:r>
      <w:proofErr w:type="spellStart"/>
      <w:r w:rsidRPr="00256670">
        <w:rPr>
          <w:rFonts w:eastAsia="Calibri"/>
          <w:lang w:val="es-ES"/>
        </w:rPr>
        <w:t>Kolmogorov-Smirnov</w:t>
      </w:r>
      <w:proofErr w:type="spellEnd"/>
      <w:r w:rsidRPr="00256670">
        <w:rPr>
          <w:rFonts w:eastAsia="Calibri"/>
          <w:lang w:val="es-ES"/>
        </w:rPr>
        <w:t xml:space="preserve"> mostró desviación de la normalidad en la variable EAVG (p &lt; .05), se utilizó adicionalmente el coeficiente de </w:t>
      </w:r>
      <w:proofErr w:type="spellStart"/>
      <w:r w:rsidRPr="00256670">
        <w:rPr>
          <w:rFonts w:eastAsia="Calibri"/>
          <w:lang w:val="es-ES"/>
        </w:rPr>
        <w:t>Spearman</w:t>
      </w:r>
      <w:proofErr w:type="spellEnd"/>
      <w:r w:rsidRPr="00256670">
        <w:rPr>
          <w:rFonts w:eastAsia="Calibri"/>
          <w:lang w:val="es-ES"/>
        </w:rPr>
        <w:t xml:space="preserve"> como análisis de sensibilidad no paramétrico (</w:t>
      </w:r>
      <w:proofErr w:type="spellStart"/>
      <w:r w:rsidRPr="00256670">
        <w:rPr>
          <w:rFonts w:eastAsia="Calibri"/>
          <w:lang w:val="es-ES"/>
        </w:rPr>
        <w:t>Schober</w:t>
      </w:r>
      <w:proofErr w:type="spellEnd"/>
      <w:r w:rsidRPr="00256670">
        <w:rPr>
          <w:rFonts w:eastAsia="Calibri"/>
          <w:lang w:val="es-ES"/>
        </w:rPr>
        <w:t xml:space="preserve"> et al., 2018)</w:t>
      </w:r>
    </w:p>
    <w:p w:rsidR="00256670" w:rsidRPr="00256670" w:rsidRDefault="00256670" w:rsidP="004810E3">
      <w:pPr>
        <w:pStyle w:val="Prrafodelista"/>
        <w:numPr>
          <w:ilvl w:val="0"/>
          <w:numId w:val="11"/>
        </w:numPr>
        <w:spacing w:line="360" w:lineRule="auto"/>
        <w:rPr>
          <w:rFonts w:eastAsia="Calibri"/>
          <w:lang w:val="es-ES"/>
        </w:rPr>
      </w:pPr>
      <w:r w:rsidRPr="00256670">
        <w:rPr>
          <w:rFonts w:eastAsia="Calibri"/>
          <w:lang w:val="es-ES"/>
        </w:rPr>
        <w:t xml:space="preserve">ANOVA de un factor con prueba de </w:t>
      </w:r>
      <w:proofErr w:type="spellStart"/>
      <w:r w:rsidRPr="00256670">
        <w:rPr>
          <w:rFonts w:eastAsia="Calibri"/>
          <w:lang w:val="es-ES"/>
        </w:rPr>
        <w:t>Levene</w:t>
      </w:r>
      <w:proofErr w:type="spellEnd"/>
      <w:r w:rsidRPr="00256670">
        <w:rPr>
          <w:rFonts w:eastAsia="Calibri"/>
          <w:lang w:val="es-ES"/>
        </w:rPr>
        <w:t xml:space="preserve"> (</w:t>
      </w:r>
      <w:proofErr w:type="spellStart"/>
      <w:r w:rsidRPr="00256670">
        <w:rPr>
          <w:rFonts w:eastAsia="Calibri"/>
          <w:lang w:val="es-ES"/>
        </w:rPr>
        <w:t>Welch</w:t>
      </w:r>
      <w:proofErr w:type="spellEnd"/>
      <w:r w:rsidRPr="00256670">
        <w:rPr>
          <w:rFonts w:eastAsia="Calibri"/>
          <w:lang w:val="es-ES"/>
        </w:rPr>
        <w:t>, 1951)</w:t>
      </w:r>
    </w:p>
    <w:p w:rsidR="00256670" w:rsidRPr="00256670" w:rsidRDefault="00256670" w:rsidP="004810E3">
      <w:pPr>
        <w:pStyle w:val="Prrafodelista"/>
        <w:numPr>
          <w:ilvl w:val="0"/>
          <w:numId w:val="11"/>
        </w:numPr>
        <w:spacing w:line="360" w:lineRule="auto"/>
        <w:rPr>
          <w:rFonts w:eastAsia="Calibri"/>
          <w:lang w:val="es-ES"/>
        </w:rPr>
      </w:pPr>
      <w:r w:rsidRPr="00256670">
        <w:rPr>
          <w:rFonts w:eastAsia="Calibri"/>
          <w:lang w:val="es-ES"/>
        </w:rPr>
        <w:t>Comparaciones post hoc (</w:t>
      </w:r>
      <w:proofErr w:type="spellStart"/>
      <w:r w:rsidRPr="00256670">
        <w:rPr>
          <w:rFonts w:eastAsia="Calibri"/>
          <w:lang w:val="es-ES"/>
        </w:rPr>
        <w:t>Tukey</w:t>
      </w:r>
      <w:proofErr w:type="spellEnd"/>
      <w:r w:rsidRPr="00256670">
        <w:rPr>
          <w:rFonts w:eastAsia="Calibri"/>
          <w:lang w:val="es-ES"/>
        </w:rPr>
        <w:t xml:space="preserve"> HSD y </w:t>
      </w:r>
      <w:proofErr w:type="spellStart"/>
      <w:r w:rsidRPr="00256670">
        <w:rPr>
          <w:rFonts w:eastAsia="Calibri"/>
          <w:lang w:val="es-ES"/>
        </w:rPr>
        <w:t>Games-Howell</w:t>
      </w:r>
      <w:proofErr w:type="spellEnd"/>
      <w:r w:rsidRPr="00256670">
        <w:rPr>
          <w:rFonts w:eastAsia="Calibri"/>
          <w:lang w:val="es-ES"/>
        </w:rPr>
        <w:t>) según recomendaciones de Maxwell et al. (2017)</w:t>
      </w:r>
    </w:p>
    <w:p w:rsidR="00256670" w:rsidRPr="00256670" w:rsidRDefault="00256670" w:rsidP="004810E3">
      <w:pPr>
        <w:pStyle w:val="Prrafodelista"/>
        <w:numPr>
          <w:ilvl w:val="0"/>
          <w:numId w:val="11"/>
        </w:numPr>
        <w:spacing w:line="360" w:lineRule="auto"/>
        <w:rPr>
          <w:rFonts w:eastAsia="Calibri"/>
          <w:lang w:val="es-ES"/>
        </w:rPr>
      </w:pPr>
      <w:r w:rsidRPr="00256670">
        <w:rPr>
          <w:rFonts w:eastAsia="Calibri"/>
          <w:lang w:val="es-ES"/>
        </w:rPr>
        <w:t>Tamaños del efecto (r², η², ω²) con IC 95% mediante transformación z de Fisher (</w:t>
      </w:r>
      <w:proofErr w:type="spellStart"/>
      <w:r w:rsidRPr="00256670">
        <w:rPr>
          <w:rFonts w:eastAsia="Calibri"/>
          <w:lang w:val="es-ES"/>
        </w:rPr>
        <w:t>Cumming</w:t>
      </w:r>
      <w:proofErr w:type="spellEnd"/>
      <w:r w:rsidRPr="00256670">
        <w:rPr>
          <w:rFonts w:eastAsia="Calibri"/>
          <w:lang w:val="es-ES"/>
        </w:rPr>
        <w:t>, 2012)</w:t>
      </w:r>
    </w:p>
    <w:p w:rsidR="00256670" w:rsidRPr="00256670" w:rsidRDefault="00256670" w:rsidP="004810E3">
      <w:pPr>
        <w:pStyle w:val="Prrafodelista"/>
        <w:numPr>
          <w:ilvl w:val="0"/>
          <w:numId w:val="4"/>
        </w:numPr>
        <w:spacing w:line="360" w:lineRule="auto"/>
        <w:rPr>
          <w:rFonts w:eastAsia="Calibri"/>
          <w:lang w:val="es-ES"/>
        </w:rPr>
      </w:pPr>
      <w:r w:rsidRPr="00256670">
        <w:rPr>
          <w:rFonts w:eastAsia="Calibri"/>
          <w:lang w:val="es-ES"/>
        </w:rPr>
        <w:t xml:space="preserve">Análisis de sensibilidad: </w:t>
      </w:r>
    </w:p>
    <w:p w:rsidR="00256670" w:rsidRPr="00256670" w:rsidRDefault="00256670" w:rsidP="004810E3">
      <w:pPr>
        <w:pStyle w:val="Prrafodelista"/>
        <w:numPr>
          <w:ilvl w:val="0"/>
          <w:numId w:val="12"/>
        </w:numPr>
        <w:spacing w:line="360" w:lineRule="auto"/>
        <w:rPr>
          <w:rFonts w:eastAsia="Calibri"/>
          <w:lang w:val="es-ES"/>
        </w:rPr>
      </w:pPr>
      <w:r w:rsidRPr="00256670">
        <w:rPr>
          <w:rFonts w:eastAsia="Calibri"/>
          <w:lang w:val="es-ES"/>
        </w:rPr>
        <w:t xml:space="preserve">Identificación de casos atípicos mediante distancia de </w:t>
      </w:r>
      <w:proofErr w:type="spellStart"/>
      <w:r w:rsidRPr="00256670">
        <w:rPr>
          <w:rFonts w:eastAsia="Calibri"/>
          <w:lang w:val="es-ES"/>
        </w:rPr>
        <w:t>Mahalanobis</w:t>
      </w:r>
      <w:proofErr w:type="spellEnd"/>
      <w:r w:rsidRPr="00256670">
        <w:rPr>
          <w:rFonts w:eastAsia="Calibri"/>
          <w:lang w:val="es-ES"/>
        </w:rPr>
        <w:t xml:space="preserve"> (χ²</w:t>
      </w:r>
      <w:proofErr w:type="gramStart"/>
      <w:r w:rsidRPr="00256670">
        <w:rPr>
          <w:rFonts w:eastAsia="Calibri"/>
          <w:lang w:val="es-ES"/>
        </w:rPr>
        <w:t>₍.₀</w:t>
      </w:r>
      <w:proofErr w:type="gramEnd"/>
      <w:r w:rsidRPr="00256670">
        <w:rPr>
          <w:rFonts w:eastAsia="Calibri"/>
          <w:lang w:val="es-ES"/>
        </w:rPr>
        <w:t>₀₁, ₂₎ = 13.82) (</w:t>
      </w:r>
      <w:proofErr w:type="spellStart"/>
      <w:r w:rsidRPr="00256670">
        <w:rPr>
          <w:rFonts w:eastAsia="Calibri"/>
          <w:lang w:val="es-ES"/>
        </w:rPr>
        <w:t>Aguinis</w:t>
      </w:r>
      <w:proofErr w:type="spellEnd"/>
      <w:r w:rsidRPr="00256670">
        <w:rPr>
          <w:rFonts w:eastAsia="Calibri"/>
          <w:lang w:val="es-ES"/>
        </w:rPr>
        <w:t xml:space="preserve"> et al., 2013)</w:t>
      </w:r>
    </w:p>
    <w:p w:rsidR="00256670" w:rsidRDefault="00256670" w:rsidP="004810E3">
      <w:pPr>
        <w:pStyle w:val="Prrafodelista"/>
        <w:numPr>
          <w:ilvl w:val="0"/>
          <w:numId w:val="12"/>
        </w:numPr>
        <w:spacing w:line="360" w:lineRule="auto"/>
        <w:rPr>
          <w:rFonts w:eastAsia="Calibri"/>
          <w:lang w:val="es-ES"/>
        </w:rPr>
      </w:pPr>
      <w:r w:rsidRPr="00256670">
        <w:rPr>
          <w:rFonts w:eastAsia="Calibri"/>
          <w:lang w:val="es-ES"/>
        </w:rPr>
        <w:t>Re-análisis excluyendo valores extremos</w:t>
      </w:r>
    </w:p>
    <w:p w:rsidR="00256670" w:rsidRPr="00256670" w:rsidRDefault="00256670" w:rsidP="004810E3">
      <w:pPr>
        <w:spacing w:line="360" w:lineRule="auto"/>
        <w:ind w:left="720"/>
        <w:rPr>
          <w:rFonts w:eastAsia="Calibri"/>
          <w:lang w:val="es-ES"/>
        </w:rPr>
      </w:pPr>
      <w:r w:rsidRPr="00256670">
        <w:rPr>
          <w:rFonts w:eastAsia="Calibri"/>
          <w:lang w:val="es-ES"/>
        </w:rPr>
        <w:t>Se empleó α = .05 bilateral para todas las pruebas, reflejando una postura conservadora ante la naturaleza exploratoria del estudio (</w:t>
      </w:r>
      <w:proofErr w:type="spellStart"/>
      <w:r w:rsidRPr="00256670">
        <w:rPr>
          <w:rFonts w:eastAsia="Calibri"/>
          <w:lang w:val="es-ES"/>
        </w:rPr>
        <w:t>Benjamin</w:t>
      </w:r>
      <w:proofErr w:type="spellEnd"/>
      <w:r w:rsidRPr="00256670">
        <w:rPr>
          <w:rFonts w:eastAsia="Calibri"/>
          <w:lang w:val="es-ES"/>
        </w:rPr>
        <w:t xml:space="preserve"> et al., 2018).</w:t>
      </w:r>
    </w:p>
    <w:p w:rsidR="00256670" w:rsidRPr="00256670" w:rsidRDefault="00256670" w:rsidP="004810E3">
      <w:pPr>
        <w:spacing w:line="360" w:lineRule="auto"/>
        <w:ind w:left="720"/>
        <w:rPr>
          <w:rFonts w:eastAsia="Calibri"/>
          <w:lang w:val="es-ES"/>
        </w:rPr>
      </w:pPr>
      <w:r w:rsidRPr="00256670">
        <w:rPr>
          <w:rFonts w:eastAsia="Calibri"/>
          <w:lang w:val="es-ES"/>
        </w:rPr>
        <w:t>Los procedimientos estadísticos aplicados evidenciaron patrones no lineales en la relación entre autoestima y actitudes hacia la violencia de género, cuyas implicaciones se abordan en la sección de resultados</w:t>
      </w:r>
      <w:r>
        <w:rPr>
          <w:rFonts w:eastAsia="Calibri"/>
          <w:lang w:val="es-ES"/>
        </w:rPr>
        <w:t>.</w:t>
      </w:r>
    </w:p>
    <w:p w:rsidR="00DB7FAA" w:rsidRDefault="00E3249E">
      <w:pPr>
        <w:pBdr>
          <w:top w:val="nil"/>
          <w:left w:val="nil"/>
          <w:bottom w:val="nil"/>
          <w:right w:val="nil"/>
          <w:between w:val="nil"/>
        </w:pBdr>
        <w:jc w:val="center"/>
        <w:rPr>
          <w:b/>
          <w:color w:val="000000"/>
        </w:rPr>
      </w:pPr>
      <w:proofErr w:type="spellStart"/>
      <w:r>
        <w:rPr>
          <w:b/>
          <w:color w:val="000000"/>
        </w:rPr>
        <w:t>Results</w:t>
      </w:r>
      <w:proofErr w:type="spellEnd"/>
    </w:p>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Características descriptivas de la muestra</w:t>
      </w:r>
    </w:p>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Las participantes mostraron niveles de autoestima predominantemente medios (M = 28.39; DT = 4.85) y actitudes mayoritarias de rechazo hacia la violencia de género (M = 75.38; DT = 19.92), según las escalas aplicadas. Esta distribución equilibrada entre niveles de autoestima permite examinar su relación con el rechazo a la violencia desde un enfoque empírico no reduccionista.</w:t>
      </w:r>
    </w:p>
    <w:p w:rsidR="00256670" w:rsidRPr="00256670" w:rsidRDefault="00256670" w:rsidP="004810E3">
      <w:pPr>
        <w:pBdr>
          <w:top w:val="nil"/>
          <w:left w:val="nil"/>
          <w:bottom w:val="nil"/>
          <w:right w:val="nil"/>
          <w:between w:val="nil"/>
        </w:pBdr>
        <w:spacing w:line="360" w:lineRule="auto"/>
        <w:ind w:firstLine="708"/>
        <w:rPr>
          <w:b/>
          <w:color w:val="000000"/>
        </w:rPr>
      </w:pPr>
      <w:r w:rsidRPr="00256670">
        <w:rPr>
          <w:b/>
          <w:color w:val="000000"/>
        </w:rPr>
        <w:t xml:space="preserve">Tabla 2. </w:t>
      </w:r>
    </w:p>
    <w:p w:rsidR="00256670" w:rsidRDefault="00256670" w:rsidP="004810E3">
      <w:pPr>
        <w:pBdr>
          <w:top w:val="nil"/>
          <w:left w:val="nil"/>
          <w:bottom w:val="nil"/>
          <w:right w:val="nil"/>
          <w:between w:val="nil"/>
        </w:pBdr>
        <w:spacing w:line="360" w:lineRule="auto"/>
        <w:ind w:firstLine="708"/>
        <w:rPr>
          <w:color w:val="000000"/>
        </w:rPr>
      </w:pPr>
      <w:r w:rsidRPr="00256670">
        <w:rPr>
          <w:color w:val="000000"/>
        </w:rPr>
        <w:t>Estadísticos descriptivos de las variables principales (N = 655)</w:t>
      </w:r>
    </w:p>
    <w:tbl>
      <w:tblPr>
        <w:tblW w:w="0" w:type="auto"/>
        <w:tblCellSpacing w:w="15" w:type="dxa"/>
        <w:tblInd w:w="95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88"/>
        <w:gridCol w:w="600"/>
        <w:gridCol w:w="600"/>
        <w:gridCol w:w="1420"/>
        <w:gridCol w:w="461"/>
        <w:gridCol w:w="500"/>
        <w:gridCol w:w="495"/>
      </w:tblGrid>
      <w:tr w:rsidR="00256670" w:rsidRPr="00905EF9" w:rsidTr="00256670">
        <w:trPr>
          <w:tblHeader/>
          <w:tblCellSpacing w:w="15" w:type="dxa"/>
        </w:trPr>
        <w:tc>
          <w:tcPr>
            <w:tcW w:w="0" w:type="auto"/>
            <w:vAlign w:val="center"/>
            <w:hideMark/>
          </w:tcPr>
          <w:p w:rsidR="00256670" w:rsidRPr="00905EF9" w:rsidRDefault="00256670" w:rsidP="00B27734">
            <w:pPr>
              <w:spacing w:line="360" w:lineRule="auto"/>
              <w:jc w:val="center"/>
              <w:rPr>
                <w:lang w:eastAsia="es-EC"/>
              </w:rPr>
            </w:pPr>
            <w:r w:rsidRPr="00905EF9">
              <w:rPr>
                <w:lang w:eastAsia="es-EC"/>
              </w:rPr>
              <w:lastRenderedPageBreak/>
              <w:t>Variable</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M</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DT</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IC 95%</w:t>
            </w:r>
          </w:p>
        </w:tc>
        <w:tc>
          <w:tcPr>
            <w:tcW w:w="0" w:type="auto"/>
            <w:vAlign w:val="center"/>
            <w:hideMark/>
          </w:tcPr>
          <w:p w:rsidR="00256670" w:rsidRPr="00905EF9" w:rsidRDefault="00256670" w:rsidP="00B27734">
            <w:pPr>
              <w:spacing w:line="360" w:lineRule="auto"/>
              <w:jc w:val="center"/>
              <w:rPr>
                <w:lang w:eastAsia="es-EC"/>
              </w:rPr>
            </w:pPr>
            <w:proofErr w:type="spellStart"/>
            <w:r w:rsidRPr="00905EF9">
              <w:rPr>
                <w:lang w:eastAsia="es-EC"/>
              </w:rPr>
              <w:t>Mín</w:t>
            </w:r>
            <w:proofErr w:type="spellEnd"/>
          </w:p>
        </w:tc>
        <w:tc>
          <w:tcPr>
            <w:tcW w:w="0" w:type="auto"/>
            <w:vAlign w:val="center"/>
            <w:hideMark/>
          </w:tcPr>
          <w:p w:rsidR="00256670" w:rsidRPr="00905EF9" w:rsidRDefault="00256670" w:rsidP="00B27734">
            <w:pPr>
              <w:spacing w:line="360" w:lineRule="auto"/>
              <w:jc w:val="center"/>
              <w:rPr>
                <w:lang w:eastAsia="es-EC"/>
              </w:rPr>
            </w:pPr>
            <w:proofErr w:type="spellStart"/>
            <w:r w:rsidRPr="00905EF9">
              <w:rPr>
                <w:lang w:eastAsia="es-EC"/>
              </w:rPr>
              <w:t>Máx</w:t>
            </w:r>
            <w:proofErr w:type="spellEnd"/>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α</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Autoestima (EAR)</w:t>
            </w:r>
          </w:p>
        </w:tc>
        <w:tc>
          <w:tcPr>
            <w:tcW w:w="0" w:type="auto"/>
            <w:vAlign w:val="center"/>
            <w:hideMark/>
          </w:tcPr>
          <w:p w:rsidR="00256670" w:rsidRPr="00905EF9" w:rsidRDefault="00256670" w:rsidP="00B27734">
            <w:pPr>
              <w:spacing w:line="360" w:lineRule="auto"/>
              <w:rPr>
                <w:lang w:eastAsia="es-EC"/>
              </w:rPr>
            </w:pPr>
            <w:r w:rsidRPr="00905EF9">
              <w:rPr>
                <w:lang w:eastAsia="es-EC"/>
              </w:rPr>
              <w:t>28.39</w:t>
            </w:r>
          </w:p>
        </w:tc>
        <w:tc>
          <w:tcPr>
            <w:tcW w:w="0" w:type="auto"/>
            <w:vAlign w:val="center"/>
            <w:hideMark/>
          </w:tcPr>
          <w:p w:rsidR="00256670" w:rsidRPr="00905EF9" w:rsidRDefault="00256670" w:rsidP="00B27734">
            <w:pPr>
              <w:spacing w:line="360" w:lineRule="auto"/>
              <w:rPr>
                <w:lang w:eastAsia="es-EC"/>
              </w:rPr>
            </w:pPr>
            <w:r w:rsidRPr="00905EF9">
              <w:rPr>
                <w:lang w:eastAsia="es-EC"/>
              </w:rPr>
              <w:t>4.85</w:t>
            </w:r>
          </w:p>
        </w:tc>
        <w:tc>
          <w:tcPr>
            <w:tcW w:w="0" w:type="auto"/>
            <w:vAlign w:val="center"/>
            <w:hideMark/>
          </w:tcPr>
          <w:p w:rsidR="00256670" w:rsidRPr="00905EF9" w:rsidRDefault="00256670" w:rsidP="00B27734">
            <w:pPr>
              <w:spacing w:line="360" w:lineRule="auto"/>
              <w:rPr>
                <w:lang w:eastAsia="es-EC"/>
              </w:rPr>
            </w:pPr>
            <w:r w:rsidRPr="00905EF9">
              <w:rPr>
                <w:lang w:eastAsia="es-EC"/>
              </w:rPr>
              <w:t>[27.98, 28.80]</w:t>
            </w:r>
          </w:p>
        </w:tc>
        <w:tc>
          <w:tcPr>
            <w:tcW w:w="0" w:type="auto"/>
            <w:vAlign w:val="center"/>
            <w:hideMark/>
          </w:tcPr>
          <w:p w:rsidR="00256670" w:rsidRPr="00905EF9" w:rsidRDefault="00256670" w:rsidP="00B27734">
            <w:pPr>
              <w:spacing w:line="360" w:lineRule="auto"/>
              <w:rPr>
                <w:lang w:eastAsia="es-EC"/>
              </w:rPr>
            </w:pPr>
            <w:r w:rsidRPr="00905EF9">
              <w:rPr>
                <w:lang w:eastAsia="es-EC"/>
              </w:rPr>
              <w:t>12</w:t>
            </w:r>
          </w:p>
        </w:tc>
        <w:tc>
          <w:tcPr>
            <w:tcW w:w="0" w:type="auto"/>
            <w:vAlign w:val="center"/>
            <w:hideMark/>
          </w:tcPr>
          <w:p w:rsidR="00256670" w:rsidRPr="00905EF9" w:rsidRDefault="00256670" w:rsidP="00B27734">
            <w:pPr>
              <w:spacing w:line="360" w:lineRule="auto"/>
              <w:rPr>
                <w:lang w:eastAsia="es-EC"/>
              </w:rPr>
            </w:pPr>
            <w:r w:rsidRPr="00905EF9">
              <w:rPr>
                <w:lang w:eastAsia="es-EC"/>
              </w:rPr>
              <w:t>40</w:t>
            </w:r>
          </w:p>
        </w:tc>
        <w:tc>
          <w:tcPr>
            <w:tcW w:w="0" w:type="auto"/>
            <w:vAlign w:val="center"/>
            <w:hideMark/>
          </w:tcPr>
          <w:p w:rsidR="00256670" w:rsidRPr="00905EF9" w:rsidRDefault="00256670" w:rsidP="00B27734">
            <w:pPr>
              <w:spacing w:line="360" w:lineRule="auto"/>
              <w:rPr>
                <w:lang w:eastAsia="es-EC"/>
              </w:rPr>
            </w:pPr>
            <w:r w:rsidRPr="00905EF9">
              <w:rPr>
                <w:lang w:eastAsia="es-EC"/>
              </w:rPr>
              <w:t>.802</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Actitudes hacia violencia (EAVG)</w:t>
            </w:r>
          </w:p>
        </w:tc>
        <w:tc>
          <w:tcPr>
            <w:tcW w:w="0" w:type="auto"/>
            <w:vAlign w:val="center"/>
            <w:hideMark/>
          </w:tcPr>
          <w:p w:rsidR="00256670" w:rsidRPr="00905EF9" w:rsidRDefault="00256670" w:rsidP="00B27734">
            <w:pPr>
              <w:spacing w:line="360" w:lineRule="auto"/>
              <w:rPr>
                <w:lang w:eastAsia="es-EC"/>
              </w:rPr>
            </w:pPr>
            <w:r w:rsidRPr="00905EF9">
              <w:rPr>
                <w:lang w:eastAsia="es-EC"/>
              </w:rPr>
              <w:t>75.38</w:t>
            </w:r>
          </w:p>
        </w:tc>
        <w:tc>
          <w:tcPr>
            <w:tcW w:w="0" w:type="auto"/>
            <w:vAlign w:val="center"/>
            <w:hideMark/>
          </w:tcPr>
          <w:p w:rsidR="00256670" w:rsidRPr="00905EF9" w:rsidRDefault="00256670" w:rsidP="00B27734">
            <w:pPr>
              <w:spacing w:line="360" w:lineRule="auto"/>
              <w:rPr>
                <w:lang w:eastAsia="es-EC"/>
              </w:rPr>
            </w:pPr>
            <w:r w:rsidRPr="00905EF9">
              <w:rPr>
                <w:lang w:eastAsia="es-EC"/>
              </w:rPr>
              <w:t>19.92</w:t>
            </w:r>
          </w:p>
        </w:tc>
        <w:tc>
          <w:tcPr>
            <w:tcW w:w="0" w:type="auto"/>
            <w:vAlign w:val="center"/>
            <w:hideMark/>
          </w:tcPr>
          <w:p w:rsidR="00256670" w:rsidRPr="00905EF9" w:rsidRDefault="00256670" w:rsidP="00B27734">
            <w:pPr>
              <w:spacing w:line="360" w:lineRule="auto"/>
              <w:rPr>
                <w:lang w:eastAsia="es-EC"/>
              </w:rPr>
            </w:pPr>
            <w:r w:rsidRPr="00905EF9">
              <w:rPr>
                <w:lang w:eastAsia="es-EC"/>
              </w:rPr>
              <w:t>[73.85, 76.91]</w:t>
            </w:r>
          </w:p>
        </w:tc>
        <w:tc>
          <w:tcPr>
            <w:tcW w:w="0" w:type="auto"/>
            <w:vAlign w:val="center"/>
            <w:hideMark/>
          </w:tcPr>
          <w:p w:rsidR="00256670" w:rsidRPr="00905EF9" w:rsidRDefault="00256670" w:rsidP="00B27734">
            <w:pPr>
              <w:spacing w:line="360" w:lineRule="auto"/>
              <w:rPr>
                <w:lang w:eastAsia="es-EC"/>
              </w:rPr>
            </w:pPr>
            <w:r w:rsidRPr="00905EF9">
              <w:rPr>
                <w:lang w:eastAsia="es-EC"/>
              </w:rPr>
              <w:t>10</w:t>
            </w:r>
          </w:p>
        </w:tc>
        <w:tc>
          <w:tcPr>
            <w:tcW w:w="0" w:type="auto"/>
            <w:vAlign w:val="center"/>
            <w:hideMark/>
          </w:tcPr>
          <w:p w:rsidR="00256670" w:rsidRPr="00905EF9" w:rsidRDefault="00256670" w:rsidP="00B27734">
            <w:pPr>
              <w:spacing w:line="360" w:lineRule="auto"/>
              <w:rPr>
                <w:lang w:eastAsia="es-EC"/>
              </w:rPr>
            </w:pPr>
            <w:r w:rsidRPr="00905EF9">
              <w:rPr>
                <w:lang w:eastAsia="es-EC"/>
              </w:rPr>
              <w:t>100</w:t>
            </w:r>
          </w:p>
        </w:tc>
        <w:tc>
          <w:tcPr>
            <w:tcW w:w="0" w:type="auto"/>
            <w:vAlign w:val="center"/>
            <w:hideMark/>
          </w:tcPr>
          <w:p w:rsidR="00256670" w:rsidRPr="00905EF9" w:rsidRDefault="00256670" w:rsidP="00B27734">
            <w:pPr>
              <w:spacing w:line="360" w:lineRule="auto"/>
              <w:rPr>
                <w:lang w:eastAsia="es-EC"/>
              </w:rPr>
            </w:pPr>
            <w:r w:rsidRPr="00905EF9">
              <w:rPr>
                <w:lang w:eastAsia="es-EC"/>
              </w:rPr>
              <w:t>.873</w:t>
            </w:r>
          </w:p>
        </w:tc>
      </w:tr>
    </w:tbl>
    <w:p w:rsidR="00256670" w:rsidRPr="00905EF9" w:rsidRDefault="00256670" w:rsidP="004810E3">
      <w:pPr>
        <w:spacing w:after="100" w:afterAutospacing="1" w:line="360" w:lineRule="auto"/>
        <w:rPr>
          <w:lang w:eastAsia="es-EC"/>
        </w:rPr>
      </w:pPr>
      <w:r w:rsidRPr="00905EF9">
        <w:rPr>
          <w:lang w:eastAsia="es-EC"/>
        </w:rPr>
        <w:t xml:space="preserve">Nota. EAR = Escala de Autoestima de </w:t>
      </w:r>
      <w:proofErr w:type="spellStart"/>
      <w:r w:rsidRPr="00905EF9">
        <w:rPr>
          <w:lang w:eastAsia="es-EC"/>
        </w:rPr>
        <w:t>Rosenberg</w:t>
      </w:r>
      <w:proofErr w:type="spellEnd"/>
      <w:r w:rsidRPr="00905EF9">
        <w:rPr>
          <w:lang w:eastAsia="es-EC"/>
        </w:rPr>
        <w:t>; EAVG = Escala de Actitudes hacia la Violencia de Género (puntuaciones transformadas a escala 0-100).</w:t>
      </w:r>
    </w:p>
    <w:p w:rsidR="00256670" w:rsidRPr="00256670" w:rsidRDefault="00256670" w:rsidP="00256670">
      <w:pPr>
        <w:pBdr>
          <w:top w:val="nil"/>
          <w:left w:val="nil"/>
          <w:bottom w:val="nil"/>
          <w:right w:val="nil"/>
          <w:between w:val="nil"/>
        </w:pBdr>
        <w:spacing w:line="360" w:lineRule="auto"/>
        <w:ind w:firstLine="708"/>
        <w:jc w:val="both"/>
        <w:rPr>
          <w:b/>
          <w:color w:val="000000"/>
        </w:rPr>
      </w:pPr>
      <w:r w:rsidRPr="00256670">
        <w:rPr>
          <w:b/>
          <w:color w:val="000000"/>
        </w:rPr>
        <w:t xml:space="preserve">Tabla 3. </w:t>
      </w:r>
    </w:p>
    <w:p w:rsidR="00256670" w:rsidRDefault="00256670" w:rsidP="00256670">
      <w:pPr>
        <w:pBdr>
          <w:top w:val="nil"/>
          <w:left w:val="nil"/>
          <w:bottom w:val="nil"/>
          <w:right w:val="nil"/>
          <w:between w:val="nil"/>
        </w:pBdr>
        <w:spacing w:line="360" w:lineRule="auto"/>
        <w:ind w:firstLine="708"/>
        <w:jc w:val="both"/>
        <w:rPr>
          <w:color w:val="000000"/>
        </w:rPr>
      </w:pPr>
      <w:r w:rsidRPr="00256670">
        <w:rPr>
          <w:color w:val="000000"/>
        </w:rPr>
        <w:t>Actitudes hacia la violencia según nivel de autoestima</w:t>
      </w:r>
    </w:p>
    <w:tbl>
      <w:tblPr>
        <w:tblW w:w="0" w:type="auto"/>
        <w:tblCellSpacing w:w="15" w:type="dxa"/>
        <w:tblInd w:w="75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420"/>
        <w:gridCol w:w="480"/>
        <w:gridCol w:w="600"/>
        <w:gridCol w:w="600"/>
        <w:gridCol w:w="1435"/>
      </w:tblGrid>
      <w:tr w:rsidR="00256670" w:rsidRPr="00905EF9" w:rsidTr="00256670">
        <w:trPr>
          <w:tblHeader/>
          <w:tblCellSpacing w:w="15" w:type="dxa"/>
        </w:trPr>
        <w:tc>
          <w:tcPr>
            <w:tcW w:w="0" w:type="auto"/>
            <w:vAlign w:val="center"/>
            <w:hideMark/>
          </w:tcPr>
          <w:p w:rsidR="00256670" w:rsidRPr="00905EF9" w:rsidRDefault="00256670" w:rsidP="00B27734">
            <w:pPr>
              <w:spacing w:line="360" w:lineRule="auto"/>
              <w:jc w:val="center"/>
              <w:rPr>
                <w:lang w:eastAsia="es-EC"/>
              </w:rPr>
            </w:pPr>
            <w:r w:rsidRPr="00905EF9">
              <w:rPr>
                <w:lang w:eastAsia="es-EC"/>
              </w:rPr>
              <w:t>Nivel de autoestima</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n</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M</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DT</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IC 95%</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Baja (&lt; 25)</w:t>
            </w:r>
          </w:p>
        </w:tc>
        <w:tc>
          <w:tcPr>
            <w:tcW w:w="0" w:type="auto"/>
            <w:vAlign w:val="center"/>
            <w:hideMark/>
          </w:tcPr>
          <w:p w:rsidR="00256670" w:rsidRPr="00905EF9" w:rsidRDefault="00256670" w:rsidP="00B27734">
            <w:pPr>
              <w:spacing w:line="360" w:lineRule="auto"/>
              <w:rPr>
                <w:lang w:eastAsia="es-EC"/>
              </w:rPr>
            </w:pPr>
            <w:r w:rsidRPr="00905EF9">
              <w:rPr>
                <w:lang w:eastAsia="es-EC"/>
              </w:rPr>
              <w:t>182</w:t>
            </w:r>
          </w:p>
        </w:tc>
        <w:tc>
          <w:tcPr>
            <w:tcW w:w="0" w:type="auto"/>
            <w:vAlign w:val="center"/>
            <w:hideMark/>
          </w:tcPr>
          <w:p w:rsidR="00256670" w:rsidRPr="00905EF9" w:rsidRDefault="00256670" w:rsidP="00B27734">
            <w:pPr>
              <w:spacing w:line="360" w:lineRule="auto"/>
              <w:rPr>
                <w:lang w:eastAsia="es-EC"/>
              </w:rPr>
            </w:pPr>
            <w:r w:rsidRPr="00905EF9">
              <w:rPr>
                <w:lang w:eastAsia="es-EC"/>
              </w:rPr>
              <w:t>27.8</w:t>
            </w:r>
          </w:p>
        </w:tc>
        <w:tc>
          <w:tcPr>
            <w:tcW w:w="0" w:type="auto"/>
            <w:vAlign w:val="center"/>
            <w:hideMark/>
          </w:tcPr>
          <w:p w:rsidR="00256670" w:rsidRPr="00905EF9" w:rsidRDefault="00256670" w:rsidP="00B27734">
            <w:pPr>
              <w:spacing w:line="360" w:lineRule="auto"/>
              <w:rPr>
                <w:lang w:eastAsia="es-EC"/>
              </w:rPr>
            </w:pPr>
            <w:r w:rsidRPr="00905EF9">
              <w:rPr>
                <w:lang w:eastAsia="es-EC"/>
              </w:rPr>
              <w:t>76.65</w:t>
            </w:r>
          </w:p>
        </w:tc>
        <w:tc>
          <w:tcPr>
            <w:tcW w:w="0" w:type="auto"/>
            <w:vAlign w:val="center"/>
            <w:hideMark/>
          </w:tcPr>
          <w:p w:rsidR="00256670" w:rsidRPr="00905EF9" w:rsidRDefault="00256670" w:rsidP="00B27734">
            <w:pPr>
              <w:spacing w:line="360" w:lineRule="auto"/>
              <w:rPr>
                <w:lang w:eastAsia="es-EC"/>
              </w:rPr>
            </w:pPr>
            <w:r w:rsidRPr="00905EF9">
              <w:rPr>
                <w:lang w:eastAsia="es-EC"/>
              </w:rPr>
              <w:t>19.17</w:t>
            </w:r>
          </w:p>
        </w:tc>
        <w:tc>
          <w:tcPr>
            <w:tcW w:w="0" w:type="auto"/>
            <w:vAlign w:val="center"/>
            <w:hideMark/>
          </w:tcPr>
          <w:p w:rsidR="00256670" w:rsidRPr="00905EF9" w:rsidRDefault="00256670" w:rsidP="00B27734">
            <w:pPr>
              <w:spacing w:line="360" w:lineRule="auto"/>
              <w:rPr>
                <w:lang w:eastAsia="es-EC"/>
              </w:rPr>
            </w:pPr>
            <w:r w:rsidRPr="00905EF9">
              <w:rPr>
                <w:lang w:eastAsia="es-EC"/>
              </w:rPr>
              <w:t>[73.85, 79.46]</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Media (26-29)</w:t>
            </w:r>
          </w:p>
        </w:tc>
        <w:tc>
          <w:tcPr>
            <w:tcW w:w="0" w:type="auto"/>
            <w:vAlign w:val="center"/>
            <w:hideMark/>
          </w:tcPr>
          <w:p w:rsidR="00256670" w:rsidRPr="00905EF9" w:rsidRDefault="00256670" w:rsidP="00B27734">
            <w:pPr>
              <w:spacing w:line="360" w:lineRule="auto"/>
              <w:rPr>
                <w:lang w:eastAsia="es-EC"/>
              </w:rPr>
            </w:pPr>
            <w:r w:rsidRPr="00905EF9">
              <w:rPr>
                <w:lang w:eastAsia="es-EC"/>
              </w:rPr>
              <w:t>228</w:t>
            </w:r>
          </w:p>
        </w:tc>
        <w:tc>
          <w:tcPr>
            <w:tcW w:w="0" w:type="auto"/>
            <w:vAlign w:val="center"/>
            <w:hideMark/>
          </w:tcPr>
          <w:p w:rsidR="00256670" w:rsidRPr="00905EF9" w:rsidRDefault="00256670" w:rsidP="00B27734">
            <w:pPr>
              <w:spacing w:line="360" w:lineRule="auto"/>
              <w:rPr>
                <w:lang w:eastAsia="es-EC"/>
              </w:rPr>
            </w:pPr>
            <w:r w:rsidRPr="00905EF9">
              <w:rPr>
                <w:lang w:eastAsia="es-EC"/>
              </w:rPr>
              <w:t>34.8</w:t>
            </w:r>
          </w:p>
        </w:tc>
        <w:tc>
          <w:tcPr>
            <w:tcW w:w="0" w:type="auto"/>
            <w:vAlign w:val="center"/>
            <w:hideMark/>
          </w:tcPr>
          <w:p w:rsidR="00256670" w:rsidRPr="00905EF9" w:rsidRDefault="00256670" w:rsidP="00B27734">
            <w:pPr>
              <w:spacing w:line="360" w:lineRule="auto"/>
              <w:rPr>
                <w:lang w:eastAsia="es-EC"/>
              </w:rPr>
            </w:pPr>
            <w:r w:rsidRPr="00905EF9">
              <w:rPr>
                <w:lang w:eastAsia="es-EC"/>
              </w:rPr>
              <w:t>74.14</w:t>
            </w:r>
          </w:p>
        </w:tc>
        <w:tc>
          <w:tcPr>
            <w:tcW w:w="0" w:type="auto"/>
            <w:vAlign w:val="center"/>
            <w:hideMark/>
          </w:tcPr>
          <w:p w:rsidR="00256670" w:rsidRPr="00905EF9" w:rsidRDefault="00256670" w:rsidP="00B27734">
            <w:pPr>
              <w:spacing w:line="360" w:lineRule="auto"/>
              <w:rPr>
                <w:lang w:eastAsia="es-EC"/>
              </w:rPr>
            </w:pPr>
            <w:r w:rsidRPr="00905EF9">
              <w:rPr>
                <w:lang w:eastAsia="es-EC"/>
              </w:rPr>
              <w:t>18.67</w:t>
            </w:r>
          </w:p>
        </w:tc>
        <w:tc>
          <w:tcPr>
            <w:tcW w:w="0" w:type="auto"/>
            <w:vAlign w:val="center"/>
            <w:hideMark/>
          </w:tcPr>
          <w:p w:rsidR="00256670" w:rsidRPr="00905EF9" w:rsidRDefault="00256670" w:rsidP="00B27734">
            <w:pPr>
              <w:spacing w:line="360" w:lineRule="auto"/>
              <w:rPr>
                <w:lang w:eastAsia="es-EC"/>
              </w:rPr>
            </w:pPr>
            <w:r w:rsidRPr="00905EF9">
              <w:rPr>
                <w:lang w:eastAsia="es-EC"/>
              </w:rPr>
              <w:t>[71.70, 76.58]</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Alta (≥ 30)</w:t>
            </w:r>
          </w:p>
        </w:tc>
        <w:tc>
          <w:tcPr>
            <w:tcW w:w="0" w:type="auto"/>
            <w:vAlign w:val="center"/>
            <w:hideMark/>
          </w:tcPr>
          <w:p w:rsidR="00256670" w:rsidRPr="00905EF9" w:rsidRDefault="00256670" w:rsidP="00B27734">
            <w:pPr>
              <w:spacing w:line="360" w:lineRule="auto"/>
              <w:rPr>
                <w:lang w:eastAsia="es-EC"/>
              </w:rPr>
            </w:pPr>
            <w:r w:rsidRPr="00905EF9">
              <w:rPr>
                <w:lang w:eastAsia="es-EC"/>
              </w:rPr>
              <w:t>245</w:t>
            </w:r>
          </w:p>
        </w:tc>
        <w:tc>
          <w:tcPr>
            <w:tcW w:w="0" w:type="auto"/>
            <w:vAlign w:val="center"/>
            <w:hideMark/>
          </w:tcPr>
          <w:p w:rsidR="00256670" w:rsidRPr="00905EF9" w:rsidRDefault="00256670" w:rsidP="00B27734">
            <w:pPr>
              <w:spacing w:line="360" w:lineRule="auto"/>
              <w:rPr>
                <w:lang w:eastAsia="es-EC"/>
              </w:rPr>
            </w:pPr>
            <w:r w:rsidRPr="00905EF9">
              <w:rPr>
                <w:lang w:eastAsia="es-EC"/>
              </w:rPr>
              <w:t>37.4</w:t>
            </w:r>
          </w:p>
        </w:tc>
        <w:tc>
          <w:tcPr>
            <w:tcW w:w="0" w:type="auto"/>
            <w:vAlign w:val="center"/>
            <w:hideMark/>
          </w:tcPr>
          <w:p w:rsidR="00256670" w:rsidRPr="00905EF9" w:rsidRDefault="00256670" w:rsidP="00B27734">
            <w:pPr>
              <w:spacing w:line="360" w:lineRule="auto"/>
              <w:rPr>
                <w:lang w:eastAsia="es-EC"/>
              </w:rPr>
            </w:pPr>
            <w:r w:rsidRPr="00905EF9">
              <w:rPr>
                <w:lang w:eastAsia="es-EC"/>
              </w:rPr>
              <w:t>75.59</w:t>
            </w:r>
          </w:p>
        </w:tc>
        <w:tc>
          <w:tcPr>
            <w:tcW w:w="0" w:type="auto"/>
            <w:vAlign w:val="center"/>
            <w:hideMark/>
          </w:tcPr>
          <w:p w:rsidR="00256670" w:rsidRPr="00905EF9" w:rsidRDefault="00256670" w:rsidP="00B27734">
            <w:pPr>
              <w:spacing w:line="360" w:lineRule="auto"/>
              <w:rPr>
                <w:lang w:eastAsia="es-EC"/>
              </w:rPr>
            </w:pPr>
            <w:r w:rsidRPr="00905EF9">
              <w:rPr>
                <w:lang w:eastAsia="es-EC"/>
              </w:rPr>
              <w:t>21.53</w:t>
            </w:r>
          </w:p>
        </w:tc>
        <w:tc>
          <w:tcPr>
            <w:tcW w:w="0" w:type="auto"/>
            <w:vAlign w:val="center"/>
            <w:hideMark/>
          </w:tcPr>
          <w:p w:rsidR="00256670" w:rsidRPr="00905EF9" w:rsidRDefault="00256670" w:rsidP="00B27734">
            <w:pPr>
              <w:spacing w:line="360" w:lineRule="auto"/>
              <w:rPr>
                <w:lang w:eastAsia="es-EC"/>
              </w:rPr>
            </w:pPr>
            <w:r w:rsidRPr="00905EF9">
              <w:rPr>
                <w:lang w:eastAsia="es-EC"/>
              </w:rPr>
              <w:t>[72.88, 78.30]</w:t>
            </w:r>
          </w:p>
        </w:tc>
      </w:tr>
    </w:tbl>
    <w:p w:rsidR="00256670" w:rsidRDefault="00256670" w:rsidP="00256670">
      <w:pPr>
        <w:pBdr>
          <w:top w:val="nil"/>
          <w:left w:val="nil"/>
          <w:bottom w:val="nil"/>
          <w:right w:val="nil"/>
          <w:between w:val="nil"/>
        </w:pBdr>
        <w:spacing w:line="360" w:lineRule="auto"/>
        <w:ind w:firstLine="708"/>
        <w:jc w:val="both"/>
        <w:rPr>
          <w:color w:val="000000"/>
        </w:rPr>
      </w:pPr>
    </w:p>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 xml:space="preserve">Al categorizar los puntajes de autoestima según los puntos de corte establecidos para población latinoamericana, observamos que 182 participantes (27.8%) se ubicaron en el nivel bajo de autoestima, 228 (34.8%) en el nivel medio, y 245 (37.4%) en el nivel alto. Esta distribución relativamente equilibrada entre categorías sugiere una heterogeneidad adecuada en la variable </w:t>
      </w:r>
      <w:proofErr w:type="spellStart"/>
      <w:r w:rsidRPr="00256670">
        <w:rPr>
          <w:color w:val="000000"/>
        </w:rPr>
        <w:t>predictora</w:t>
      </w:r>
      <w:proofErr w:type="spellEnd"/>
      <w:r w:rsidRPr="00256670">
        <w:rPr>
          <w:color w:val="000000"/>
        </w:rPr>
        <w:t>, condición favorable para detectar posibles asociaciones. Como se observa en la Tabla 3, las medias de actitudes hacia la violencia fueron notablemente similares entre los tres grupos de autoestima.</w:t>
      </w:r>
    </w:p>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Análisis de la relación entre autoestima y actitudes hacia la violencia</w:t>
      </w:r>
    </w:p>
    <w:p w:rsidR="00256670" w:rsidRDefault="00256670" w:rsidP="004810E3">
      <w:pPr>
        <w:pBdr>
          <w:top w:val="nil"/>
          <w:left w:val="nil"/>
          <w:bottom w:val="nil"/>
          <w:right w:val="nil"/>
          <w:between w:val="nil"/>
        </w:pBdr>
        <w:spacing w:line="360" w:lineRule="auto"/>
        <w:ind w:firstLine="708"/>
        <w:rPr>
          <w:color w:val="000000"/>
        </w:rPr>
      </w:pPr>
      <w:r w:rsidRPr="00256670">
        <w:rPr>
          <w:color w:val="000000"/>
        </w:rPr>
        <w:t xml:space="preserve">El análisis correlacional reveló hallazgos que discuten las expectativas teóricas. El coeficiente de correlación de Pearson entre autoestima global y rechazo hacia la violencia de género fue de r = -.017 (p = .666), indicando una ausencia total de asociación lineal entre ambas variables. Este resultado se mantuvo consistente al emplear el coeficiente de </w:t>
      </w:r>
      <w:proofErr w:type="spellStart"/>
      <w:r w:rsidRPr="00256670">
        <w:rPr>
          <w:color w:val="000000"/>
        </w:rPr>
        <w:t>Spearman</w:t>
      </w:r>
      <w:proofErr w:type="spellEnd"/>
      <w:r w:rsidRPr="00256670">
        <w:rPr>
          <w:color w:val="000000"/>
        </w:rPr>
        <w:t xml:space="preserve"> (ρ = -.002, p = .954), descartando la posibilidad de que relaciones no lineales o efectos de valores extremos pudieran estar enmascarando una asociación subyacente. La Tabla 4 presenta la matriz de correlaciones entre las variables principales del estudio.</w:t>
      </w:r>
    </w:p>
    <w:p w:rsidR="00256670" w:rsidRPr="00256670" w:rsidRDefault="00256670" w:rsidP="004810E3">
      <w:pPr>
        <w:pBdr>
          <w:top w:val="nil"/>
          <w:left w:val="nil"/>
          <w:bottom w:val="nil"/>
          <w:right w:val="nil"/>
          <w:between w:val="nil"/>
        </w:pBdr>
        <w:spacing w:line="360" w:lineRule="auto"/>
        <w:ind w:firstLine="708"/>
        <w:rPr>
          <w:b/>
          <w:color w:val="000000"/>
        </w:rPr>
      </w:pPr>
      <w:r w:rsidRPr="00256670">
        <w:rPr>
          <w:b/>
          <w:color w:val="000000"/>
        </w:rPr>
        <w:t xml:space="preserve">Tabla 4. </w:t>
      </w:r>
    </w:p>
    <w:p w:rsidR="00256670" w:rsidRDefault="00256670" w:rsidP="004810E3">
      <w:pPr>
        <w:pBdr>
          <w:top w:val="nil"/>
          <w:left w:val="nil"/>
          <w:bottom w:val="nil"/>
          <w:right w:val="nil"/>
          <w:between w:val="nil"/>
        </w:pBdr>
        <w:spacing w:line="360" w:lineRule="auto"/>
        <w:ind w:firstLine="708"/>
        <w:rPr>
          <w:color w:val="000000"/>
        </w:rPr>
      </w:pPr>
      <w:r w:rsidRPr="00256670">
        <w:rPr>
          <w:color w:val="000000"/>
        </w:rPr>
        <w:t>Análisis de correlación entre autoestima y actitudes hacia la violencia</w:t>
      </w:r>
    </w:p>
    <w:tbl>
      <w:tblPr>
        <w:tblW w:w="0" w:type="auto"/>
        <w:tblCellSpacing w:w="15" w:type="dxa"/>
        <w:tblInd w:w="80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41"/>
        <w:gridCol w:w="560"/>
        <w:gridCol w:w="315"/>
      </w:tblGrid>
      <w:tr w:rsidR="00256670" w:rsidRPr="00905EF9" w:rsidTr="00256670">
        <w:trPr>
          <w:tblHeader/>
          <w:tblCellSpacing w:w="15" w:type="dxa"/>
        </w:trPr>
        <w:tc>
          <w:tcPr>
            <w:tcW w:w="0" w:type="auto"/>
            <w:vAlign w:val="center"/>
            <w:hideMark/>
          </w:tcPr>
          <w:p w:rsidR="00256670" w:rsidRPr="00905EF9" w:rsidRDefault="00256670" w:rsidP="00B27734">
            <w:pPr>
              <w:spacing w:line="360" w:lineRule="auto"/>
              <w:jc w:val="center"/>
              <w:rPr>
                <w:lang w:eastAsia="es-EC"/>
              </w:rPr>
            </w:pPr>
            <w:r w:rsidRPr="00905EF9">
              <w:rPr>
                <w:lang w:eastAsia="es-EC"/>
              </w:rPr>
              <w:lastRenderedPageBreak/>
              <w:t>Variables</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1</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2</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1. Autoestima</w:t>
            </w:r>
          </w:p>
        </w:tc>
        <w:tc>
          <w:tcPr>
            <w:tcW w:w="0" w:type="auto"/>
            <w:vAlign w:val="center"/>
            <w:hideMark/>
          </w:tcPr>
          <w:p w:rsidR="00256670" w:rsidRPr="00905EF9" w:rsidRDefault="00256670" w:rsidP="00B27734">
            <w:pPr>
              <w:spacing w:line="360" w:lineRule="auto"/>
              <w:rPr>
                <w:lang w:eastAsia="es-EC"/>
              </w:rPr>
            </w:pPr>
            <w:r w:rsidRPr="00905EF9">
              <w:rPr>
                <w:lang w:eastAsia="es-EC"/>
              </w:rPr>
              <w:t>—</w:t>
            </w:r>
          </w:p>
        </w:tc>
        <w:tc>
          <w:tcPr>
            <w:tcW w:w="0" w:type="auto"/>
            <w:vAlign w:val="center"/>
            <w:hideMark/>
          </w:tcPr>
          <w:p w:rsidR="00256670" w:rsidRPr="00905EF9" w:rsidRDefault="00256670" w:rsidP="00B27734">
            <w:pPr>
              <w:spacing w:line="360" w:lineRule="auto"/>
              <w:rPr>
                <w:lang w:eastAsia="es-EC"/>
              </w:rPr>
            </w:pP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2. Actitudes hacia violencia</w:t>
            </w:r>
          </w:p>
        </w:tc>
        <w:tc>
          <w:tcPr>
            <w:tcW w:w="0" w:type="auto"/>
            <w:vAlign w:val="center"/>
            <w:hideMark/>
          </w:tcPr>
          <w:p w:rsidR="00256670" w:rsidRPr="00905EF9" w:rsidRDefault="00256670" w:rsidP="00B27734">
            <w:pPr>
              <w:spacing w:line="360" w:lineRule="auto"/>
              <w:rPr>
                <w:lang w:eastAsia="es-EC"/>
              </w:rPr>
            </w:pPr>
            <w:r w:rsidRPr="00905EF9">
              <w:rPr>
                <w:lang w:eastAsia="es-EC"/>
              </w:rPr>
              <w:t>-.017</w:t>
            </w:r>
          </w:p>
        </w:tc>
        <w:tc>
          <w:tcPr>
            <w:tcW w:w="0" w:type="auto"/>
            <w:vAlign w:val="center"/>
            <w:hideMark/>
          </w:tcPr>
          <w:p w:rsidR="00256670" w:rsidRPr="00905EF9" w:rsidRDefault="00256670" w:rsidP="00B27734">
            <w:pPr>
              <w:spacing w:line="360" w:lineRule="auto"/>
              <w:rPr>
                <w:lang w:eastAsia="es-EC"/>
              </w:rPr>
            </w:pPr>
            <w:r w:rsidRPr="00905EF9">
              <w:rPr>
                <w:lang w:eastAsia="es-EC"/>
              </w:rPr>
              <w:t>—</w:t>
            </w:r>
          </w:p>
        </w:tc>
      </w:tr>
    </w:tbl>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Nota. Ninguna correlación fue estadísticamente significativa (p &gt; .05).</w:t>
      </w:r>
    </w:p>
    <w:p w:rsidR="00256670" w:rsidRPr="00256670" w:rsidRDefault="00256670" w:rsidP="004810E3">
      <w:pPr>
        <w:pBdr>
          <w:top w:val="nil"/>
          <w:left w:val="nil"/>
          <w:bottom w:val="nil"/>
          <w:right w:val="nil"/>
          <w:between w:val="nil"/>
        </w:pBdr>
        <w:spacing w:before="240" w:line="360" w:lineRule="auto"/>
        <w:ind w:firstLine="708"/>
        <w:rPr>
          <w:color w:val="000000"/>
        </w:rPr>
      </w:pPr>
      <w:r w:rsidRPr="00256670">
        <w:rPr>
          <w:color w:val="000000"/>
        </w:rPr>
        <w:t xml:space="preserve">El tamaño del efecto observado fue prácticamente nulo (r² = .0003), lo que implica que el 0.03% de la variabilidad en las actitudes hacia la violencia podría atribuirse a diferencias en los niveles de autoestima. </w:t>
      </w:r>
    </w:p>
    <w:p w:rsidR="00256670" w:rsidRPr="00256670" w:rsidRDefault="00256670" w:rsidP="00256670">
      <w:pPr>
        <w:pBdr>
          <w:top w:val="nil"/>
          <w:left w:val="nil"/>
          <w:bottom w:val="nil"/>
          <w:right w:val="nil"/>
          <w:between w:val="nil"/>
        </w:pBdr>
        <w:spacing w:line="360" w:lineRule="auto"/>
        <w:ind w:firstLine="708"/>
        <w:jc w:val="both"/>
        <w:rPr>
          <w:b/>
          <w:color w:val="000000"/>
        </w:rPr>
      </w:pPr>
      <w:r w:rsidRPr="00256670">
        <w:rPr>
          <w:b/>
          <w:color w:val="000000"/>
        </w:rPr>
        <w:t>Comparación entre grupos según nivel de autoestima</w:t>
      </w:r>
    </w:p>
    <w:p w:rsidR="00256670" w:rsidRDefault="00256670" w:rsidP="004810E3">
      <w:pPr>
        <w:pBdr>
          <w:top w:val="nil"/>
          <w:left w:val="nil"/>
          <w:bottom w:val="nil"/>
          <w:right w:val="nil"/>
          <w:between w:val="nil"/>
        </w:pBdr>
        <w:spacing w:line="360" w:lineRule="auto"/>
        <w:ind w:firstLine="708"/>
        <w:rPr>
          <w:color w:val="000000"/>
        </w:rPr>
      </w:pPr>
      <w:r w:rsidRPr="00256670">
        <w:rPr>
          <w:color w:val="000000"/>
        </w:rPr>
        <w:t xml:space="preserve">Para examinar la posibilidad de que la relación entre autoestima y actitudes hacia la violencia no fuera lineal sino categórica, realizamos un análisis de varianza comparando los tres grupos de autoestima. Los resultados, presentados en la Tabla 5, confirmaron la ausencia de diferencias significativas en las actitudes hacia la violencia entre mujeres con autoestima baja, media y alta, </w:t>
      </w:r>
      <w:proofErr w:type="gramStart"/>
      <w:r w:rsidRPr="00256670">
        <w:rPr>
          <w:color w:val="000000"/>
        </w:rPr>
        <w:t>F(</w:t>
      </w:r>
      <w:proofErr w:type="gramEnd"/>
      <w:r w:rsidRPr="00256670">
        <w:rPr>
          <w:color w:val="000000"/>
        </w:rPr>
        <w:t>2, 652) = 0.83, p = .438, η² = .003.</w:t>
      </w:r>
    </w:p>
    <w:p w:rsidR="00256670" w:rsidRPr="00256670" w:rsidRDefault="00256670" w:rsidP="004810E3">
      <w:pPr>
        <w:pBdr>
          <w:top w:val="nil"/>
          <w:left w:val="nil"/>
          <w:bottom w:val="nil"/>
          <w:right w:val="nil"/>
          <w:between w:val="nil"/>
        </w:pBdr>
        <w:spacing w:line="360" w:lineRule="auto"/>
        <w:ind w:firstLine="708"/>
        <w:rPr>
          <w:b/>
          <w:color w:val="000000"/>
        </w:rPr>
      </w:pPr>
      <w:r w:rsidRPr="00256670">
        <w:rPr>
          <w:b/>
          <w:color w:val="000000"/>
        </w:rPr>
        <w:t xml:space="preserve">Tabla 5. </w:t>
      </w:r>
    </w:p>
    <w:p w:rsidR="00256670" w:rsidRDefault="00256670" w:rsidP="004810E3">
      <w:pPr>
        <w:pBdr>
          <w:top w:val="nil"/>
          <w:left w:val="nil"/>
          <w:bottom w:val="nil"/>
          <w:right w:val="nil"/>
          <w:between w:val="nil"/>
        </w:pBdr>
        <w:spacing w:line="360" w:lineRule="auto"/>
        <w:ind w:firstLine="708"/>
        <w:rPr>
          <w:color w:val="000000"/>
        </w:rPr>
      </w:pPr>
      <w:r w:rsidRPr="00256670">
        <w:rPr>
          <w:color w:val="000000"/>
        </w:rPr>
        <w:t>Resultados del ANOVA: Actitudes hacia la violencia según nivel de autoestima</w:t>
      </w:r>
    </w:p>
    <w:tbl>
      <w:tblPr>
        <w:tblW w:w="0" w:type="auto"/>
        <w:tblCellSpacing w:w="15" w:type="dxa"/>
        <w:tblInd w:w="7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1140"/>
        <w:gridCol w:w="420"/>
        <w:gridCol w:w="720"/>
        <w:gridCol w:w="480"/>
        <w:gridCol w:w="480"/>
        <w:gridCol w:w="495"/>
      </w:tblGrid>
      <w:tr w:rsidR="00256670" w:rsidRPr="00905EF9" w:rsidTr="00256670">
        <w:trPr>
          <w:tblHeader/>
          <w:tblCellSpacing w:w="15" w:type="dxa"/>
        </w:trPr>
        <w:tc>
          <w:tcPr>
            <w:tcW w:w="0" w:type="auto"/>
            <w:vAlign w:val="center"/>
            <w:hideMark/>
          </w:tcPr>
          <w:p w:rsidR="00256670" w:rsidRPr="00905EF9" w:rsidRDefault="00256670" w:rsidP="00B27734">
            <w:pPr>
              <w:spacing w:line="360" w:lineRule="auto"/>
              <w:jc w:val="center"/>
              <w:rPr>
                <w:lang w:eastAsia="es-EC"/>
              </w:rPr>
            </w:pPr>
            <w:r w:rsidRPr="00905EF9">
              <w:rPr>
                <w:lang w:eastAsia="es-EC"/>
              </w:rPr>
              <w:t>Fuente</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SC</w:t>
            </w:r>
          </w:p>
        </w:tc>
        <w:tc>
          <w:tcPr>
            <w:tcW w:w="0" w:type="auto"/>
            <w:vAlign w:val="center"/>
            <w:hideMark/>
          </w:tcPr>
          <w:p w:rsidR="00256670" w:rsidRPr="00905EF9" w:rsidRDefault="00256670" w:rsidP="00B27734">
            <w:pPr>
              <w:spacing w:line="360" w:lineRule="auto"/>
              <w:jc w:val="center"/>
              <w:rPr>
                <w:lang w:eastAsia="es-EC"/>
              </w:rPr>
            </w:pPr>
            <w:proofErr w:type="spellStart"/>
            <w:r w:rsidRPr="00905EF9">
              <w:rPr>
                <w:lang w:eastAsia="es-EC"/>
              </w:rPr>
              <w:t>gl</w:t>
            </w:r>
            <w:proofErr w:type="spellEnd"/>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MC</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F</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p</w:t>
            </w:r>
          </w:p>
        </w:tc>
        <w:tc>
          <w:tcPr>
            <w:tcW w:w="0" w:type="auto"/>
            <w:vAlign w:val="center"/>
            <w:hideMark/>
          </w:tcPr>
          <w:p w:rsidR="00256670" w:rsidRPr="00905EF9" w:rsidRDefault="00256670" w:rsidP="00B27734">
            <w:pPr>
              <w:spacing w:line="360" w:lineRule="auto"/>
              <w:jc w:val="center"/>
              <w:rPr>
                <w:lang w:eastAsia="es-EC"/>
              </w:rPr>
            </w:pPr>
            <w:r w:rsidRPr="00905EF9">
              <w:rPr>
                <w:lang w:eastAsia="es-EC"/>
              </w:rPr>
              <w:t>η²</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Entre grupos</w:t>
            </w:r>
          </w:p>
        </w:tc>
        <w:tc>
          <w:tcPr>
            <w:tcW w:w="0" w:type="auto"/>
            <w:vAlign w:val="center"/>
            <w:hideMark/>
          </w:tcPr>
          <w:p w:rsidR="00256670" w:rsidRPr="00905EF9" w:rsidRDefault="00256670" w:rsidP="00B27734">
            <w:pPr>
              <w:spacing w:line="360" w:lineRule="auto"/>
              <w:rPr>
                <w:lang w:eastAsia="es-EC"/>
              </w:rPr>
            </w:pPr>
            <w:r w:rsidRPr="00905EF9">
              <w:rPr>
                <w:lang w:eastAsia="es-EC"/>
              </w:rPr>
              <w:t>656.28</w:t>
            </w:r>
          </w:p>
        </w:tc>
        <w:tc>
          <w:tcPr>
            <w:tcW w:w="0" w:type="auto"/>
            <w:vAlign w:val="center"/>
            <w:hideMark/>
          </w:tcPr>
          <w:p w:rsidR="00256670" w:rsidRPr="00905EF9" w:rsidRDefault="00256670" w:rsidP="00B27734">
            <w:pPr>
              <w:spacing w:line="360" w:lineRule="auto"/>
              <w:rPr>
                <w:lang w:eastAsia="es-EC"/>
              </w:rPr>
            </w:pPr>
            <w:r w:rsidRPr="00905EF9">
              <w:rPr>
                <w:lang w:eastAsia="es-EC"/>
              </w:rPr>
              <w:t>2</w:t>
            </w:r>
          </w:p>
        </w:tc>
        <w:tc>
          <w:tcPr>
            <w:tcW w:w="0" w:type="auto"/>
            <w:vAlign w:val="center"/>
            <w:hideMark/>
          </w:tcPr>
          <w:p w:rsidR="00256670" w:rsidRPr="00905EF9" w:rsidRDefault="00256670" w:rsidP="00B27734">
            <w:pPr>
              <w:spacing w:line="360" w:lineRule="auto"/>
              <w:rPr>
                <w:lang w:eastAsia="es-EC"/>
              </w:rPr>
            </w:pPr>
            <w:r w:rsidRPr="00905EF9">
              <w:rPr>
                <w:lang w:eastAsia="es-EC"/>
              </w:rPr>
              <w:t>328.14</w:t>
            </w:r>
          </w:p>
        </w:tc>
        <w:tc>
          <w:tcPr>
            <w:tcW w:w="0" w:type="auto"/>
            <w:vAlign w:val="center"/>
            <w:hideMark/>
          </w:tcPr>
          <w:p w:rsidR="00256670" w:rsidRPr="00905EF9" w:rsidRDefault="00256670" w:rsidP="00B27734">
            <w:pPr>
              <w:spacing w:line="360" w:lineRule="auto"/>
              <w:rPr>
                <w:lang w:eastAsia="es-EC"/>
              </w:rPr>
            </w:pPr>
            <w:r w:rsidRPr="00905EF9">
              <w:rPr>
                <w:lang w:eastAsia="es-EC"/>
              </w:rPr>
              <w:t>0.83</w:t>
            </w:r>
          </w:p>
        </w:tc>
        <w:tc>
          <w:tcPr>
            <w:tcW w:w="0" w:type="auto"/>
            <w:vAlign w:val="center"/>
            <w:hideMark/>
          </w:tcPr>
          <w:p w:rsidR="00256670" w:rsidRPr="00905EF9" w:rsidRDefault="00256670" w:rsidP="00B27734">
            <w:pPr>
              <w:spacing w:line="360" w:lineRule="auto"/>
              <w:rPr>
                <w:lang w:eastAsia="es-EC"/>
              </w:rPr>
            </w:pPr>
            <w:r w:rsidRPr="00905EF9">
              <w:rPr>
                <w:lang w:eastAsia="es-EC"/>
              </w:rPr>
              <w:t>.438</w:t>
            </w:r>
          </w:p>
        </w:tc>
        <w:tc>
          <w:tcPr>
            <w:tcW w:w="0" w:type="auto"/>
            <w:vAlign w:val="center"/>
            <w:hideMark/>
          </w:tcPr>
          <w:p w:rsidR="00256670" w:rsidRPr="00905EF9" w:rsidRDefault="00256670" w:rsidP="00B27734">
            <w:pPr>
              <w:spacing w:line="360" w:lineRule="auto"/>
              <w:rPr>
                <w:lang w:eastAsia="es-EC"/>
              </w:rPr>
            </w:pPr>
            <w:r w:rsidRPr="00905EF9">
              <w:rPr>
                <w:lang w:eastAsia="es-EC"/>
              </w:rPr>
              <w:t>.003</w:t>
            </w: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proofErr w:type="spellStart"/>
            <w:r w:rsidRPr="00905EF9">
              <w:rPr>
                <w:lang w:eastAsia="es-EC"/>
              </w:rPr>
              <w:t>Intra</w:t>
            </w:r>
            <w:proofErr w:type="spellEnd"/>
            <w:r w:rsidRPr="00905EF9">
              <w:rPr>
                <w:lang w:eastAsia="es-EC"/>
              </w:rPr>
              <w:t xml:space="preserve"> grupos</w:t>
            </w:r>
          </w:p>
        </w:tc>
        <w:tc>
          <w:tcPr>
            <w:tcW w:w="0" w:type="auto"/>
            <w:vAlign w:val="center"/>
            <w:hideMark/>
          </w:tcPr>
          <w:p w:rsidR="00256670" w:rsidRPr="00905EF9" w:rsidRDefault="00256670" w:rsidP="00B27734">
            <w:pPr>
              <w:spacing w:line="360" w:lineRule="auto"/>
              <w:rPr>
                <w:lang w:eastAsia="es-EC"/>
              </w:rPr>
            </w:pPr>
            <w:r w:rsidRPr="00905EF9">
              <w:rPr>
                <w:lang w:eastAsia="es-EC"/>
              </w:rPr>
              <w:t>258,752.06</w:t>
            </w:r>
          </w:p>
        </w:tc>
        <w:tc>
          <w:tcPr>
            <w:tcW w:w="0" w:type="auto"/>
            <w:vAlign w:val="center"/>
            <w:hideMark/>
          </w:tcPr>
          <w:p w:rsidR="00256670" w:rsidRPr="00905EF9" w:rsidRDefault="00256670" w:rsidP="00B27734">
            <w:pPr>
              <w:spacing w:line="360" w:lineRule="auto"/>
              <w:rPr>
                <w:lang w:eastAsia="es-EC"/>
              </w:rPr>
            </w:pPr>
            <w:r w:rsidRPr="00905EF9">
              <w:rPr>
                <w:lang w:eastAsia="es-EC"/>
              </w:rPr>
              <w:t>652</w:t>
            </w:r>
          </w:p>
        </w:tc>
        <w:tc>
          <w:tcPr>
            <w:tcW w:w="0" w:type="auto"/>
            <w:vAlign w:val="center"/>
            <w:hideMark/>
          </w:tcPr>
          <w:p w:rsidR="00256670" w:rsidRPr="00905EF9" w:rsidRDefault="00256670" w:rsidP="00B27734">
            <w:pPr>
              <w:spacing w:line="360" w:lineRule="auto"/>
              <w:rPr>
                <w:lang w:eastAsia="es-EC"/>
              </w:rPr>
            </w:pPr>
            <w:r w:rsidRPr="00905EF9">
              <w:rPr>
                <w:lang w:eastAsia="es-EC"/>
              </w:rPr>
              <w:t>396.86</w:t>
            </w:r>
          </w:p>
        </w:tc>
        <w:tc>
          <w:tcPr>
            <w:tcW w:w="0" w:type="auto"/>
            <w:vAlign w:val="center"/>
            <w:hideMark/>
          </w:tcPr>
          <w:p w:rsidR="00256670" w:rsidRPr="00905EF9" w:rsidRDefault="00256670" w:rsidP="00B27734">
            <w:pPr>
              <w:spacing w:line="360" w:lineRule="auto"/>
              <w:rPr>
                <w:lang w:eastAsia="es-EC"/>
              </w:rPr>
            </w:pPr>
          </w:p>
        </w:tc>
        <w:tc>
          <w:tcPr>
            <w:tcW w:w="0" w:type="auto"/>
            <w:vAlign w:val="center"/>
            <w:hideMark/>
          </w:tcPr>
          <w:p w:rsidR="00256670" w:rsidRPr="00905EF9" w:rsidRDefault="00256670" w:rsidP="00B27734">
            <w:pPr>
              <w:spacing w:line="360" w:lineRule="auto"/>
              <w:rPr>
                <w:lang w:eastAsia="es-EC"/>
              </w:rPr>
            </w:pPr>
          </w:p>
        </w:tc>
        <w:tc>
          <w:tcPr>
            <w:tcW w:w="0" w:type="auto"/>
            <w:vAlign w:val="center"/>
            <w:hideMark/>
          </w:tcPr>
          <w:p w:rsidR="00256670" w:rsidRPr="00905EF9" w:rsidRDefault="00256670" w:rsidP="00B27734">
            <w:pPr>
              <w:spacing w:line="360" w:lineRule="auto"/>
              <w:rPr>
                <w:lang w:eastAsia="es-EC"/>
              </w:rPr>
            </w:pPr>
          </w:p>
        </w:tc>
      </w:tr>
      <w:tr w:rsidR="00256670" w:rsidRPr="00905EF9" w:rsidTr="00256670">
        <w:trPr>
          <w:tblCellSpacing w:w="15" w:type="dxa"/>
        </w:trPr>
        <w:tc>
          <w:tcPr>
            <w:tcW w:w="0" w:type="auto"/>
            <w:vAlign w:val="center"/>
            <w:hideMark/>
          </w:tcPr>
          <w:p w:rsidR="00256670" w:rsidRPr="00905EF9" w:rsidRDefault="00256670" w:rsidP="00B27734">
            <w:pPr>
              <w:spacing w:line="360" w:lineRule="auto"/>
              <w:rPr>
                <w:lang w:eastAsia="es-EC"/>
              </w:rPr>
            </w:pPr>
            <w:r w:rsidRPr="00905EF9">
              <w:rPr>
                <w:lang w:eastAsia="es-EC"/>
              </w:rPr>
              <w:t>Total</w:t>
            </w:r>
          </w:p>
        </w:tc>
        <w:tc>
          <w:tcPr>
            <w:tcW w:w="0" w:type="auto"/>
            <w:vAlign w:val="center"/>
            <w:hideMark/>
          </w:tcPr>
          <w:p w:rsidR="00256670" w:rsidRPr="00905EF9" w:rsidRDefault="00256670" w:rsidP="00B27734">
            <w:pPr>
              <w:spacing w:line="360" w:lineRule="auto"/>
              <w:rPr>
                <w:lang w:eastAsia="es-EC"/>
              </w:rPr>
            </w:pPr>
            <w:r w:rsidRPr="00905EF9">
              <w:rPr>
                <w:lang w:eastAsia="es-EC"/>
              </w:rPr>
              <w:t>259,408.34</w:t>
            </w:r>
          </w:p>
        </w:tc>
        <w:tc>
          <w:tcPr>
            <w:tcW w:w="0" w:type="auto"/>
            <w:vAlign w:val="center"/>
            <w:hideMark/>
          </w:tcPr>
          <w:p w:rsidR="00256670" w:rsidRPr="00905EF9" w:rsidRDefault="00256670" w:rsidP="00B27734">
            <w:pPr>
              <w:spacing w:line="360" w:lineRule="auto"/>
              <w:rPr>
                <w:lang w:eastAsia="es-EC"/>
              </w:rPr>
            </w:pPr>
            <w:r w:rsidRPr="00905EF9">
              <w:rPr>
                <w:lang w:eastAsia="es-EC"/>
              </w:rPr>
              <w:t>654</w:t>
            </w:r>
          </w:p>
        </w:tc>
        <w:tc>
          <w:tcPr>
            <w:tcW w:w="0" w:type="auto"/>
            <w:vAlign w:val="center"/>
            <w:hideMark/>
          </w:tcPr>
          <w:p w:rsidR="00256670" w:rsidRPr="00905EF9" w:rsidRDefault="00256670" w:rsidP="00B27734">
            <w:pPr>
              <w:spacing w:line="360" w:lineRule="auto"/>
              <w:rPr>
                <w:lang w:eastAsia="es-EC"/>
              </w:rPr>
            </w:pPr>
          </w:p>
        </w:tc>
        <w:tc>
          <w:tcPr>
            <w:tcW w:w="0" w:type="auto"/>
            <w:vAlign w:val="center"/>
            <w:hideMark/>
          </w:tcPr>
          <w:p w:rsidR="00256670" w:rsidRPr="00905EF9" w:rsidRDefault="00256670" w:rsidP="00B27734">
            <w:pPr>
              <w:spacing w:line="360" w:lineRule="auto"/>
              <w:rPr>
                <w:lang w:eastAsia="es-EC"/>
              </w:rPr>
            </w:pPr>
          </w:p>
        </w:tc>
        <w:tc>
          <w:tcPr>
            <w:tcW w:w="0" w:type="auto"/>
            <w:vAlign w:val="center"/>
            <w:hideMark/>
          </w:tcPr>
          <w:p w:rsidR="00256670" w:rsidRPr="00905EF9" w:rsidRDefault="00256670" w:rsidP="00B27734">
            <w:pPr>
              <w:spacing w:line="360" w:lineRule="auto"/>
              <w:rPr>
                <w:lang w:eastAsia="es-EC"/>
              </w:rPr>
            </w:pPr>
          </w:p>
        </w:tc>
        <w:tc>
          <w:tcPr>
            <w:tcW w:w="0" w:type="auto"/>
            <w:vAlign w:val="center"/>
            <w:hideMark/>
          </w:tcPr>
          <w:p w:rsidR="00256670" w:rsidRPr="00905EF9" w:rsidRDefault="00256670" w:rsidP="00B27734">
            <w:pPr>
              <w:spacing w:line="360" w:lineRule="auto"/>
              <w:rPr>
                <w:lang w:eastAsia="es-EC"/>
              </w:rPr>
            </w:pPr>
          </w:p>
        </w:tc>
      </w:tr>
    </w:tbl>
    <w:p w:rsidR="00256670" w:rsidRPr="00256670" w:rsidRDefault="00256670" w:rsidP="004810E3">
      <w:pPr>
        <w:pBdr>
          <w:top w:val="nil"/>
          <w:left w:val="nil"/>
          <w:bottom w:val="nil"/>
          <w:right w:val="nil"/>
          <w:between w:val="nil"/>
        </w:pBdr>
        <w:spacing w:after="240" w:line="360" w:lineRule="auto"/>
        <w:ind w:firstLine="708"/>
        <w:rPr>
          <w:color w:val="000000"/>
        </w:rPr>
      </w:pPr>
      <w:r w:rsidRPr="00256670">
        <w:rPr>
          <w:color w:val="000000"/>
        </w:rPr>
        <w:t xml:space="preserve">Nota. La prueba de </w:t>
      </w:r>
      <w:proofErr w:type="spellStart"/>
      <w:r w:rsidRPr="00256670">
        <w:rPr>
          <w:color w:val="000000"/>
        </w:rPr>
        <w:t>Levene</w:t>
      </w:r>
      <w:proofErr w:type="spellEnd"/>
      <w:r w:rsidRPr="00256670">
        <w:rPr>
          <w:color w:val="000000"/>
        </w:rPr>
        <w:t xml:space="preserve"> indicó homogeneidad de varianzas, </w:t>
      </w:r>
      <w:proofErr w:type="gramStart"/>
      <w:r w:rsidRPr="00256670">
        <w:rPr>
          <w:color w:val="000000"/>
        </w:rPr>
        <w:t>F(</w:t>
      </w:r>
      <w:proofErr w:type="gramEnd"/>
      <w:r w:rsidRPr="00256670">
        <w:rPr>
          <w:color w:val="000000"/>
        </w:rPr>
        <w:t>2, 652) = 2.50, p = .083.</w:t>
      </w:r>
    </w:p>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Es particularmente revelador que las mujeres con baja autoestima no mostraron mayor tolerancia hacia la violencia en comparación con sus pares con autoestima media o alta. De hecho, numéricamente presentaron el promedio más alto de rechazo hacia la violencia (véase Tabla 3), aunque esta diferencia no alcanzó significancia estadística. Los intervalos de confianza al 95% para los tres grupos mostraron un considerable solapamiento, confirmando la homogeneidad en las actitudes independientemente del nivel de autoestima.</w:t>
      </w:r>
    </w:p>
    <w:p w:rsidR="00256670" w:rsidRPr="00256670" w:rsidRDefault="00256670" w:rsidP="004810E3">
      <w:pPr>
        <w:pBdr>
          <w:top w:val="nil"/>
          <w:left w:val="nil"/>
          <w:bottom w:val="nil"/>
          <w:right w:val="nil"/>
          <w:between w:val="nil"/>
        </w:pBdr>
        <w:spacing w:line="360" w:lineRule="auto"/>
        <w:ind w:firstLine="708"/>
        <w:rPr>
          <w:color w:val="000000"/>
        </w:rPr>
      </w:pPr>
      <w:r w:rsidRPr="00256670">
        <w:rPr>
          <w:color w:val="000000"/>
        </w:rPr>
        <w:t xml:space="preserve">Las comparaciones post hoc mediante las pruebas de </w:t>
      </w:r>
      <w:proofErr w:type="spellStart"/>
      <w:r w:rsidRPr="00256670">
        <w:rPr>
          <w:color w:val="000000"/>
        </w:rPr>
        <w:t>Tukey</w:t>
      </w:r>
      <w:proofErr w:type="spellEnd"/>
      <w:r w:rsidRPr="00256670">
        <w:rPr>
          <w:color w:val="000000"/>
        </w:rPr>
        <w:t xml:space="preserve"> y </w:t>
      </w:r>
      <w:proofErr w:type="spellStart"/>
      <w:r w:rsidRPr="00256670">
        <w:rPr>
          <w:color w:val="000000"/>
        </w:rPr>
        <w:t>Games-Howell</w:t>
      </w:r>
      <w:proofErr w:type="spellEnd"/>
      <w:r w:rsidRPr="00256670">
        <w:rPr>
          <w:color w:val="000000"/>
        </w:rPr>
        <w:t xml:space="preserve"> corroboraron estos hallazgos, sin detectar diferencias significativas en ninguna de las comparaciones pareadas. La prueba de homogeneidad de varianzas de </w:t>
      </w:r>
      <w:proofErr w:type="spellStart"/>
      <w:r w:rsidRPr="00256670">
        <w:rPr>
          <w:color w:val="000000"/>
        </w:rPr>
        <w:t>Levene</w:t>
      </w:r>
      <w:proofErr w:type="spellEnd"/>
      <w:r w:rsidRPr="00256670">
        <w:rPr>
          <w:color w:val="000000"/>
        </w:rPr>
        <w:t xml:space="preserve"> confirmó </w:t>
      </w:r>
      <w:r w:rsidRPr="00256670">
        <w:rPr>
          <w:color w:val="000000"/>
        </w:rPr>
        <w:lastRenderedPageBreak/>
        <w:t>el cumplimiento de los supuestos para el ANOVA, fortaleciendo la validez de estas conclusiones.</w:t>
      </w:r>
    </w:p>
    <w:p w:rsidR="00256670" w:rsidRDefault="00256670" w:rsidP="004810E3">
      <w:pPr>
        <w:pBdr>
          <w:top w:val="nil"/>
          <w:left w:val="nil"/>
          <w:bottom w:val="nil"/>
          <w:right w:val="nil"/>
          <w:between w:val="nil"/>
        </w:pBdr>
        <w:spacing w:line="360" w:lineRule="auto"/>
        <w:ind w:firstLine="708"/>
        <w:rPr>
          <w:color w:val="000000"/>
        </w:rPr>
      </w:pPr>
      <w:r w:rsidRPr="00256670">
        <w:rPr>
          <w:color w:val="000000"/>
        </w:rPr>
        <w:t>En síntesis, los análisis realizados no evidenciaron asociación estadística ni práctica entre la autoestima y el rechazo hacia la violencia de género, lo que refuerza la hipótesis de ausencia de relación lineal o categórica entre ambas variables en este contexto</w:t>
      </w:r>
      <w:r w:rsidR="002B6146">
        <w:rPr>
          <w:color w:val="000000"/>
        </w:rPr>
        <w:t>.</w:t>
      </w:r>
    </w:p>
    <w:p w:rsidR="00DB7FAA" w:rsidRDefault="000D0988">
      <w:pPr>
        <w:pBdr>
          <w:top w:val="nil"/>
          <w:left w:val="nil"/>
          <w:bottom w:val="nil"/>
          <w:right w:val="nil"/>
          <w:between w:val="nil"/>
        </w:pBdr>
        <w:jc w:val="center"/>
        <w:rPr>
          <w:b/>
          <w:color w:val="000000"/>
        </w:rPr>
      </w:pPr>
      <w:r>
        <w:rPr>
          <w:b/>
          <w:color w:val="000000"/>
        </w:rPr>
        <w:t>Discusión</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Los resultados obtenidos en esta investigación desafían las concepciones tradicionales sobre la relación entre niveles de autoestima y actitud hacia la violencia de género. La ausencia de correlación entre estas variables se presenta como evidencia empírica de la inadecuación de los modelos lineales para comprender fenómenos psicosociales multicausales. Este hallazgo se alinea con las críticas emergentes hacia los paradigmas reduccionistas que dominaron el campo durante décadas (</w:t>
      </w:r>
      <w:proofErr w:type="spellStart"/>
      <w:r w:rsidRPr="000D0988">
        <w:rPr>
          <w:color w:val="000000"/>
        </w:rPr>
        <w:t>Nowak</w:t>
      </w:r>
      <w:proofErr w:type="spellEnd"/>
      <w:r w:rsidRPr="000D0988">
        <w:rPr>
          <w:color w:val="000000"/>
        </w:rPr>
        <w:t xml:space="preserve"> &amp; </w:t>
      </w:r>
      <w:proofErr w:type="spellStart"/>
      <w:r w:rsidRPr="000D0988">
        <w:rPr>
          <w:color w:val="000000"/>
        </w:rPr>
        <w:t>Vallacher</w:t>
      </w:r>
      <w:proofErr w:type="spellEnd"/>
      <w:r w:rsidRPr="000D0988">
        <w:rPr>
          <w:color w:val="000000"/>
        </w:rPr>
        <w:t xml:space="preserve">, 2019; </w:t>
      </w:r>
      <w:proofErr w:type="spellStart"/>
      <w:r w:rsidRPr="000D0988">
        <w:rPr>
          <w:color w:val="000000"/>
        </w:rPr>
        <w:t>Walby</w:t>
      </w:r>
      <w:proofErr w:type="spellEnd"/>
      <w:r w:rsidRPr="000D0988">
        <w:rPr>
          <w:color w:val="000000"/>
        </w:rPr>
        <w:t>, 2020).</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 xml:space="preserve">La </w:t>
      </w:r>
      <w:proofErr w:type="spellStart"/>
      <w:r w:rsidRPr="000D0988">
        <w:rPr>
          <w:color w:val="000000"/>
        </w:rPr>
        <w:t>invarianza</w:t>
      </w:r>
      <w:proofErr w:type="spellEnd"/>
      <w:r w:rsidRPr="000D0988">
        <w:rPr>
          <w:color w:val="000000"/>
        </w:rPr>
        <w:t xml:space="preserve"> observada en las actitudes de rechazo a la violencia entre mujeres con diferentes niveles de autoestima revela una paradoja fundamental en nuestra comprensión del fenómeno. Mientras que la literatura clásica, representada por Walker (1979) sostuvo que la baja autoestima facilita la permanencia en contextos de violencia de pareja, los datos presentados en la actualidad indican que esta relación no se sostiene más. Esta discrepancia no invalida necesariamente los hallazgos previos, pues responden a otros tiempos contextuales, pero sí exige una </w:t>
      </w:r>
      <w:proofErr w:type="spellStart"/>
      <w:r w:rsidRPr="000D0988">
        <w:rPr>
          <w:color w:val="000000"/>
        </w:rPr>
        <w:t>reconceptualización</w:t>
      </w:r>
      <w:proofErr w:type="spellEnd"/>
      <w:r w:rsidRPr="000D0988">
        <w:rPr>
          <w:color w:val="000000"/>
        </w:rPr>
        <w:t xml:space="preserve"> radical de cómo entendemos hoy la interacción entre la valoración personal y la tolerancia a la violencia (</w:t>
      </w:r>
      <w:proofErr w:type="spellStart"/>
      <w:r w:rsidRPr="000D0988">
        <w:rPr>
          <w:color w:val="000000"/>
        </w:rPr>
        <w:t>Stark</w:t>
      </w:r>
      <w:proofErr w:type="spellEnd"/>
      <w:r w:rsidRPr="000D0988">
        <w:rPr>
          <w:color w:val="000000"/>
        </w:rPr>
        <w:t>, 2007; Johnson, 2008, Fernández, 2021).</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La homogeneidad en los niveles de rechazo a la violencia (aproximadamente 75% en todos los grupos) sugiere la operación de factores psicosociales estructurales y no las diferencias particulares en relación a la autoestima. Bourdieu (1998) postula que las estructuras de dominación se reproducen independientemente de las características psicológicas individuales. Las participantes de este estudio, todas universitarias del área de salud, comparten un contexto educativo que podría estar moldeando sus actitudes de manera más determinante que sus niveles de autoestima personal (</w:t>
      </w:r>
      <w:proofErr w:type="spellStart"/>
      <w:r w:rsidRPr="000D0988">
        <w:rPr>
          <w:color w:val="000000"/>
        </w:rPr>
        <w:t>Connell</w:t>
      </w:r>
      <w:proofErr w:type="spellEnd"/>
      <w:r w:rsidRPr="000D0988">
        <w:rPr>
          <w:color w:val="000000"/>
        </w:rPr>
        <w:t xml:space="preserve">, 2013; </w:t>
      </w:r>
      <w:proofErr w:type="spellStart"/>
      <w:r w:rsidRPr="000D0988">
        <w:rPr>
          <w:color w:val="000000"/>
        </w:rPr>
        <w:t>hooks</w:t>
      </w:r>
      <w:proofErr w:type="spellEnd"/>
      <w:r w:rsidRPr="000D0988">
        <w:rPr>
          <w:color w:val="000000"/>
        </w:rPr>
        <w:t>, 2020).</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 xml:space="preserve">La teoría de la autoestima contingente de </w:t>
      </w:r>
      <w:proofErr w:type="spellStart"/>
      <w:r w:rsidRPr="000D0988">
        <w:rPr>
          <w:color w:val="000000"/>
        </w:rPr>
        <w:t>Crocker</w:t>
      </w:r>
      <w:proofErr w:type="spellEnd"/>
      <w:r w:rsidRPr="000D0988">
        <w:rPr>
          <w:color w:val="000000"/>
        </w:rPr>
        <w:t xml:space="preserve"> y Wolfe (2001) ofrece una explicación particularmente iluminadora para los hallazgos de esta investigación. Según esta perspectiva, no es el nivel global de autoestima lo que importa, sino las áreas </w:t>
      </w:r>
      <w:r w:rsidRPr="000D0988">
        <w:rPr>
          <w:color w:val="000000"/>
        </w:rPr>
        <w:lastRenderedPageBreak/>
        <w:t xml:space="preserve">específicas en las que las personas basan su </w:t>
      </w:r>
      <w:proofErr w:type="spellStart"/>
      <w:r w:rsidRPr="000D0988">
        <w:rPr>
          <w:color w:val="000000"/>
        </w:rPr>
        <w:t>autovalía</w:t>
      </w:r>
      <w:proofErr w:type="spellEnd"/>
      <w:r w:rsidRPr="000D0988">
        <w:rPr>
          <w:color w:val="000000"/>
        </w:rPr>
        <w:t>. Una mujer puede mantener alta autoestima en ciertos dominios mientras experimenta vulnerabilidad en el contexto de las relaciones íntimas (</w:t>
      </w:r>
      <w:proofErr w:type="spellStart"/>
      <w:r w:rsidRPr="000D0988">
        <w:rPr>
          <w:color w:val="000000"/>
        </w:rPr>
        <w:t>Zeigler</w:t>
      </w:r>
      <w:proofErr w:type="spellEnd"/>
      <w:r w:rsidRPr="000D0988">
        <w:rPr>
          <w:color w:val="000000"/>
        </w:rPr>
        <w:t xml:space="preserve">-Hill, 2013). </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 xml:space="preserve">Los resultados también resuenan con los estudios de género </w:t>
      </w:r>
      <w:proofErr w:type="spellStart"/>
      <w:r w:rsidRPr="000D0988">
        <w:rPr>
          <w:color w:val="000000"/>
        </w:rPr>
        <w:t>decoloniales</w:t>
      </w:r>
      <w:proofErr w:type="spellEnd"/>
      <w:r w:rsidRPr="000D0988">
        <w:rPr>
          <w:color w:val="000000"/>
        </w:rPr>
        <w:t xml:space="preserve"> que cuestionan la universalidad de los constructos psicológicos occidentales. Lugones (2008) argumenta que las categorías de género y sus dinámicas asociadas están profundamente atravesadas por matrices coloniales de poder.</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La ausencia de diferencias significativas entre grupos (</w:t>
      </w:r>
      <w:proofErr w:type="gramStart"/>
      <w:r w:rsidRPr="000D0988">
        <w:rPr>
          <w:color w:val="000000"/>
        </w:rPr>
        <w:t>F(</w:t>
      </w:r>
      <w:proofErr w:type="gramEnd"/>
      <w:r w:rsidRPr="000D0988">
        <w:rPr>
          <w:color w:val="000000"/>
        </w:rPr>
        <w:t xml:space="preserve">2, 652) = 0.83, p = 0.438) también puede interpretarse a la luz de la teoría de la disonancia cognitiva de </w:t>
      </w:r>
      <w:proofErr w:type="spellStart"/>
      <w:r w:rsidRPr="000D0988">
        <w:rPr>
          <w:color w:val="000000"/>
        </w:rPr>
        <w:t>Festinger</w:t>
      </w:r>
      <w:proofErr w:type="spellEnd"/>
      <w:r w:rsidRPr="000D0988">
        <w:rPr>
          <w:color w:val="000000"/>
        </w:rPr>
        <w:t xml:space="preserve"> (1957). Las mujeres universitarias, independientemente de su autoestima, podrían estar expresando actitudes de rechazo a la violencia que reflejan más el discurso socialmente esperado en su contexto educativo que sus verdaderas disposiciones conductuales (</w:t>
      </w:r>
      <w:proofErr w:type="spellStart"/>
      <w:r w:rsidRPr="000D0988">
        <w:rPr>
          <w:color w:val="000000"/>
        </w:rPr>
        <w:t>Flood</w:t>
      </w:r>
      <w:proofErr w:type="spellEnd"/>
      <w:r w:rsidRPr="000D0988">
        <w:rPr>
          <w:color w:val="000000"/>
        </w:rPr>
        <w:t xml:space="preserve"> &amp; </w:t>
      </w:r>
      <w:proofErr w:type="spellStart"/>
      <w:r w:rsidRPr="000D0988">
        <w:rPr>
          <w:color w:val="000000"/>
        </w:rPr>
        <w:t>Pease</w:t>
      </w:r>
      <w:proofErr w:type="spellEnd"/>
      <w:r w:rsidRPr="000D0988">
        <w:rPr>
          <w:color w:val="000000"/>
        </w:rPr>
        <w:t>, 2009). Esta interpretación no minimiza la importancia del rechazo expresado, pero sí sugiere la necesidad de metodologías mixtas que capturen la complejidad de las actitudes hacia la violencia (Gracia, 2014).</w:t>
      </w:r>
    </w:p>
    <w:p w:rsidR="000D0988" w:rsidRDefault="000D0988" w:rsidP="004810E3">
      <w:pPr>
        <w:pBdr>
          <w:top w:val="nil"/>
          <w:left w:val="nil"/>
          <w:bottom w:val="nil"/>
          <w:right w:val="nil"/>
          <w:between w:val="nil"/>
        </w:pBdr>
        <w:spacing w:line="360" w:lineRule="auto"/>
        <w:ind w:firstLine="708"/>
        <w:rPr>
          <w:color w:val="000000"/>
        </w:rPr>
      </w:pPr>
      <w:r w:rsidRPr="000D0988">
        <w:rPr>
          <w:color w:val="000000"/>
        </w:rPr>
        <w:t xml:space="preserve">La literatura sobre trauma complejo y apego desorganizado ofrece otra lente interpretativa valiosa. Van der </w:t>
      </w:r>
      <w:proofErr w:type="spellStart"/>
      <w:r w:rsidRPr="000D0988">
        <w:rPr>
          <w:color w:val="000000"/>
        </w:rPr>
        <w:t>Kolk</w:t>
      </w:r>
      <w:proofErr w:type="spellEnd"/>
      <w:r w:rsidRPr="000D0988">
        <w:rPr>
          <w:color w:val="000000"/>
        </w:rPr>
        <w:t xml:space="preserve"> (2014) ha documentado cómo las experiencias tempranas de violencia pueden crear patrones de regulación emocional que operan independientemente de la autoestima consciente. Desde esta perspectiva, las actitudes hacia la violencia estarían más relacionadas con esquemas implícitos de relación que con la autovaloración explícita medida por instrumentos tradicionales (Herman, 2015; Fisher, 2017).</w:t>
      </w:r>
    </w:p>
    <w:p w:rsidR="000D0988" w:rsidRPr="000D0988" w:rsidRDefault="000D0988" w:rsidP="000D0988">
      <w:pPr>
        <w:pBdr>
          <w:top w:val="nil"/>
          <w:left w:val="nil"/>
          <w:bottom w:val="nil"/>
          <w:right w:val="nil"/>
          <w:between w:val="nil"/>
        </w:pBdr>
        <w:spacing w:line="360" w:lineRule="auto"/>
        <w:ind w:firstLine="708"/>
        <w:jc w:val="center"/>
        <w:rPr>
          <w:b/>
          <w:color w:val="000000"/>
        </w:rPr>
      </w:pPr>
      <w:r w:rsidRPr="000D0988">
        <w:rPr>
          <w:b/>
          <w:color w:val="000000"/>
        </w:rPr>
        <w:t>Conclusión</w:t>
      </w:r>
    </w:p>
    <w:p w:rsidR="000D0988" w:rsidRPr="000D0988" w:rsidRDefault="000D0988" w:rsidP="004810E3">
      <w:pPr>
        <w:pBdr>
          <w:top w:val="nil"/>
          <w:left w:val="nil"/>
          <w:bottom w:val="nil"/>
          <w:right w:val="nil"/>
          <w:between w:val="nil"/>
        </w:pBdr>
        <w:spacing w:line="360" w:lineRule="auto"/>
        <w:ind w:firstLine="708"/>
        <w:rPr>
          <w:color w:val="000000"/>
        </w:rPr>
      </w:pPr>
      <w:r>
        <w:rPr>
          <w:color w:val="000000"/>
        </w:rPr>
        <w:tab/>
      </w:r>
      <w:r w:rsidRPr="000D0988">
        <w:rPr>
          <w:color w:val="000000"/>
        </w:rPr>
        <w:t>Esta investigación aporta evidencia empírica que cuestiona uno de los supuestos de los estudios de la violencia de género: la relación directa entre autoestima y vulnerabilidad. Los resultados obtenidos abren nuevas vías para interpelar la complejidad del fenómeno desde perspectivas más integrales y contextualizadas (</w:t>
      </w:r>
      <w:proofErr w:type="spellStart"/>
      <w:r w:rsidRPr="000D0988">
        <w:rPr>
          <w:color w:val="000000"/>
        </w:rPr>
        <w:t>Heise</w:t>
      </w:r>
      <w:proofErr w:type="spellEnd"/>
      <w:r w:rsidRPr="000D0988">
        <w:rPr>
          <w:color w:val="000000"/>
        </w:rPr>
        <w:t xml:space="preserve">, 2011; </w:t>
      </w:r>
      <w:proofErr w:type="spellStart"/>
      <w:r w:rsidRPr="000D0988">
        <w:rPr>
          <w:color w:val="000000"/>
        </w:rPr>
        <w:t>Jewkes</w:t>
      </w:r>
      <w:proofErr w:type="spellEnd"/>
      <w:r w:rsidRPr="000D0988">
        <w:rPr>
          <w:color w:val="000000"/>
        </w:rPr>
        <w:t xml:space="preserve"> et al., 2015).</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La principal contribución teórica de este estudio radica en demostrar empíricamente la inadecuación de los modelos reduccionistas para explicar las actitudes hacia la violencia de género. La ausencia de correlación entre autoestima y rechazo a la violencia sugiere abandonar las conceptualizaciones simplistas que reducen fenómenos multifactoriales a relaciones causa-efecto directas (</w:t>
      </w:r>
      <w:proofErr w:type="spellStart"/>
      <w:r w:rsidRPr="000D0988">
        <w:rPr>
          <w:color w:val="000000"/>
        </w:rPr>
        <w:t>Pence</w:t>
      </w:r>
      <w:proofErr w:type="spellEnd"/>
      <w:r w:rsidRPr="000D0988">
        <w:rPr>
          <w:color w:val="000000"/>
        </w:rPr>
        <w:t xml:space="preserve"> &amp; </w:t>
      </w:r>
      <w:proofErr w:type="spellStart"/>
      <w:r w:rsidRPr="000D0988">
        <w:rPr>
          <w:color w:val="000000"/>
        </w:rPr>
        <w:t>Paymar</w:t>
      </w:r>
      <w:proofErr w:type="spellEnd"/>
      <w:r w:rsidRPr="000D0988">
        <w:rPr>
          <w:color w:val="000000"/>
        </w:rPr>
        <w:t xml:space="preserve">, 1993). En su lugar, se requieren marcos teóricos que reconozcan la naturaleza sistémica, contextual y </w:t>
      </w:r>
      <w:r w:rsidRPr="000D0988">
        <w:rPr>
          <w:color w:val="000000"/>
        </w:rPr>
        <w:lastRenderedPageBreak/>
        <w:t xml:space="preserve">culturalmente situada de la violencia de género (Kelly, 1988; </w:t>
      </w:r>
      <w:proofErr w:type="spellStart"/>
      <w:r w:rsidRPr="000D0988">
        <w:rPr>
          <w:color w:val="000000"/>
        </w:rPr>
        <w:t>Dobash</w:t>
      </w:r>
      <w:proofErr w:type="spellEnd"/>
      <w:r w:rsidRPr="000D0988">
        <w:rPr>
          <w:color w:val="000000"/>
        </w:rPr>
        <w:t xml:space="preserve"> &amp; </w:t>
      </w:r>
      <w:proofErr w:type="spellStart"/>
      <w:r w:rsidRPr="000D0988">
        <w:rPr>
          <w:color w:val="000000"/>
        </w:rPr>
        <w:t>Dobash</w:t>
      </w:r>
      <w:proofErr w:type="spellEnd"/>
      <w:r w:rsidRPr="000D0988">
        <w:rPr>
          <w:color w:val="000000"/>
        </w:rPr>
        <w:t>, 2015; Fernández, 2021).</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 xml:space="preserve">Desde una perspectiva metodológica, nuestros hallazgos cuestionan la validez de constructo de los instrumentos tradicionales de autoestima cuando se aplican al estudio de la violencia de género. La Escala de </w:t>
      </w:r>
      <w:proofErr w:type="spellStart"/>
      <w:r w:rsidRPr="000D0988">
        <w:rPr>
          <w:color w:val="000000"/>
        </w:rPr>
        <w:t>Rosenberg</w:t>
      </w:r>
      <w:proofErr w:type="spellEnd"/>
      <w:r w:rsidRPr="000D0988">
        <w:rPr>
          <w:color w:val="000000"/>
        </w:rPr>
        <w:t xml:space="preserve">, si bien es psicométricamente confiable en términos generales (Schmitt &amp; </w:t>
      </w:r>
      <w:proofErr w:type="spellStart"/>
      <w:r w:rsidRPr="000D0988">
        <w:rPr>
          <w:color w:val="000000"/>
        </w:rPr>
        <w:t>Allik</w:t>
      </w:r>
      <w:proofErr w:type="spellEnd"/>
      <w:r w:rsidRPr="000D0988">
        <w:rPr>
          <w:color w:val="000000"/>
        </w:rPr>
        <w:t>, 2005), mide dimensiones globales de autovaloración que pueden no captar las dinámicas específicas de subordinación emocional o dependencia afectiva en relaciones violentas. Futuros estudios deberían desarrollar herramientas que aborden dimensiones más situadas y relacionales de la autoestima, directamente vinculadas a la tolerancia o justificación de la violencia (</w:t>
      </w:r>
      <w:proofErr w:type="spellStart"/>
      <w:r w:rsidRPr="000D0988">
        <w:rPr>
          <w:color w:val="000000"/>
        </w:rPr>
        <w:t>Kirkwood</w:t>
      </w:r>
      <w:proofErr w:type="spellEnd"/>
      <w:r w:rsidRPr="000D0988">
        <w:rPr>
          <w:color w:val="000000"/>
        </w:rPr>
        <w:t xml:space="preserve">, 1993; </w:t>
      </w:r>
      <w:proofErr w:type="spellStart"/>
      <w:r w:rsidRPr="000D0988">
        <w:rPr>
          <w:color w:val="000000"/>
        </w:rPr>
        <w:t>Towns</w:t>
      </w:r>
      <w:proofErr w:type="spellEnd"/>
      <w:r w:rsidRPr="000D0988">
        <w:rPr>
          <w:color w:val="000000"/>
        </w:rPr>
        <w:t xml:space="preserve"> &amp; Adams, 2016)</w:t>
      </w:r>
      <w:r w:rsidR="00F142D1">
        <w:rPr>
          <w:color w:val="000000"/>
        </w:rPr>
        <w:t>.</w:t>
      </w:r>
    </w:p>
    <w:p w:rsidR="000D0988" w:rsidRPr="000D0988" w:rsidRDefault="000D0988" w:rsidP="004810E3">
      <w:pPr>
        <w:pBdr>
          <w:top w:val="nil"/>
          <w:left w:val="nil"/>
          <w:bottom w:val="nil"/>
          <w:right w:val="nil"/>
          <w:between w:val="nil"/>
        </w:pBdr>
        <w:spacing w:line="360" w:lineRule="auto"/>
        <w:ind w:firstLine="708"/>
        <w:rPr>
          <w:color w:val="000000"/>
        </w:rPr>
      </w:pPr>
      <w:r w:rsidRPr="000D0988">
        <w:rPr>
          <w:color w:val="000000"/>
        </w:rPr>
        <w:t>Las implicaciones prácticas de estos hallazgos son fundamentales. Los programas de intervención que se centran en "elevar la autoestima" de las mujeres como estrategia preventiva o psicoterapéutica pueden estar estructuralmente mal orientados (</w:t>
      </w:r>
      <w:proofErr w:type="spellStart"/>
      <w:r w:rsidRPr="000D0988">
        <w:rPr>
          <w:color w:val="000000"/>
        </w:rPr>
        <w:t>Gondolf</w:t>
      </w:r>
      <w:proofErr w:type="spellEnd"/>
      <w:r w:rsidRPr="000D0988">
        <w:rPr>
          <w:color w:val="000000"/>
        </w:rPr>
        <w:t>, 2012; Day et al., 2010). Las intervenciones deberían abordar las estructuras sociales, culturales y económicas que perpetúan la violencia de género en los victimarios, independientemente de las características psicológicas individuales de las víctimas (</w:t>
      </w:r>
      <w:proofErr w:type="spellStart"/>
      <w:r w:rsidRPr="000D0988">
        <w:rPr>
          <w:color w:val="000000"/>
        </w:rPr>
        <w:t>Michau</w:t>
      </w:r>
      <w:proofErr w:type="spellEnd"/>
      <w:r w:rsidRPr="000D0988">
        <w:rPr>
          <w:color w:val="000000"/>
        </w:rPr>
        <w:t xml:space="preserve"> et al., 2015; </w:t>
      </w:r>
      <w:proofErr w:type="spellStart"/>
      <w:r w:rsidRPr="000D0988">
        <w:rPr>
          <w:color w:val="000000"/>
        </w:rPr>
        <w:t>Ellsberg</w:t>
      </w:r>
      <w:proofErr w:type="spellEnd"/>
      <w:r w:rsidRPr="000D0988">
        <w:rPr>
          <w:color w:val="000000"/>
        </w:rPr>
        <w:t xml:space="preserve"> et al., 2015).</w:t>
      </w:r>
    </w:p>
    <w:p w:rsidR="00DB7FAA" w:rsidRDefault="000D0988" w:rsidP="004810E3">
      <w:pPr>
        <w:pBdr>
          <w:top w:val="nil"/>
          <w:left w:val="nil"/>
          <w:bottom w:val="nil"/>
          <w:right w:val="nil"/>
          <w:between w:val="nil"/>
        </w:pBdr>
        <w:spacing w:line="360" w:lineRule="auto"/>
        <w:ind w:firstLine="708"/>
        <w:rPr>
          <w:color w:val="000000"/>
        </w:rPr>
      </w:pPr>
      <w:r w:rsidRPr="000D0988">
        <w:rPr>
          <w:color w:val="000000"/>
        </w:rPr>
        <w:t>Este estudio evidencia la necesidad de superar las intervenciones centradas en el plano psicológico individual, abogando por enfoques que transformen las normas culturales y estructuras de poder que sustentan la violencia de género (</w:t>
      </w:r>
      <w:proofErr w:type="spellStart"/>
      <w:r w:rsidRPr="000D0988">
        <w:rPr>
          <w:color w:val="000000"/>
        </w:rPr>
        <w:t>Jewkes</w:t>
      </w:r>
      <w:proofErr w:type="spellEnd"/>
      <w:r w:rsidRPr="000D0988">
        <w:rPr>
          <w:color w:val="000000"/>
        </w:rPr>
        <w:t xml:space="preserve"> et al., 2015; García Moreno et al., 2015). La psicología, al priorizar durante décadas una lectura </w:t>
      </w:r>
      <w:proofErr w:type="spellStart"/>
      <w:r w:rsidRPr="000D0988">
        <w:rPr>
          <w:color w:val="000000"/>
        </w:rPr>
        <w:t>individualizante</w:t>
      </w:r>
      <w:proofErr w:type="spellEnd"/>
      <w:r w:rsidRPr="000D0988">
        <w:rPr>
          <w:color w:val="000000"/>
        </w:rPr>
        <w:t xml:space="preserve"> de la violencia de género, ha contribuido a responsabilizar subjetivamente a las víctimas por su permanencia en relaciones violentas (</w:t>
      </w:r>
      <w:proofErr w:type="spellStart"/>
      <w:r w:rsidRPr="000D0988">
        <w:rPr>
          <w:color w:val="000000"/>
        </w:rPr>
        <w:t>Hunnicutt</w:t>
      </w:r>
      <w:proofErr w:type="spellEnd"/>
      <w:r w:rsidRPr="000D0988">
        <w:rPr>
          <w:color w:val="000000"/>
        </w:rPr>
        <w:t xml:space="preserve">, 2009; Ali &amp; </w:t>
      </w:r>
      <w:proofErr w:type="spellStart"/>
      <w:r w:rsidRPr="000D0988">
        <w:rPr>
          <w:color w:val="000000"/>
        </w:rPr>
        <w:t>Naylor</w:t>
      </w:r>
      <w:proofErr w:type="spellEnd"/>
      <w:r w:rsidRPr="000D0988">
        <w:rPr>
          <w:color w:val="000000"/>
        </w:rPr>
        <w:t xml:space="preserve">, 2013). Al demostrar que la autoestima no predice actitudes de tolerancia a la violencia, se problematizan supuestos arraigados que abren paso a marcos más integrales y situados. De esta manera, los dispositivos </w:t>
      </w:r>
      <w:proofErr w:type="spellStart"/>
      <w:r w:rsidRPr="000D0988">
        <w:rPr>
          <w:color w:val="000000"/>
        </w:rPr>
        <w:t>psicologizantes</w:t>
      </w:r>
      <w:proofErr w:type="spellEnd"/>
      <w:r w:rsidRPr="000D0988">
        <w:rPr>
          <w:color w:val="000000"/>
        </w:rPr>
        <w:t xml:space="preserve"> (Fernández, 2009) no deben transformar la opresión en síntoma individual, camuflando sus raíces sociales, lo que exige repensar desde la psicología las mediaciones entre subjetividad y control psicosocial.</w:t>
      </w:r>
      <w:r w:rsidR="00E3249E">
        <w:br w:type="page"/>
      </w:r>
    </w:p>
    <w:p w:rsidR="00DB7FAA" w:rsidRDefault="00986165">
      <w:pPr>
        <w:pBdr>
          <w:top w:val="nil"/>
          <w:left w:val="nil"/>
          <w:bottom w:val="nil"/>
          <w:right w:val="nil"/>
          <w:between w:val="nil"/>
        </w:pBdr>
        <w:jc w:val="center"/>
        <w:rPr>
          <w:b/>
          <w:color w:val="000000"/>
        </w:rPr>
      </w:pPr>
      <w:r>
        <w:rPr>
          <w:b/>
          <w:color w:val="000000"/>
        </w:rPr>
        <w:lastRenderedPageBreak/>
        <w:t>Referencias</w:t>
      </w:r>
      <w:bookmarkStart w:id="0" w:name="_GoBack"/>
      <w:bookmarkEnd w:id="0"/>
    </w:p>
    <w:p w:rsidR="00DB7FAA" w:rsidRDefault="00DB7FAA">
      <w:pPr>
        <w:ind w:left="720" w:hanging="720"/>
        <w:jc w:val="both"/>
      </w:pPr>
    </w:p>
    <w:p w:rsidR="000D0988" w:rsidRDefault="000D0988" w:rsidP="000D0988">
      <w:pPr>
        <w:spacing w:line="360" w:lineRule="auto"/>
        <w:ind w:left="720" w:hanging="720"/>
        <w:jc w:val="both"/>
      </w:pPr>
      <w:proofErr w:type="spellStart"/>
      <w:r>
        <w:t>Aguinis</w:t>
      </w:r>
      <w:proofErr w:type="spellEnd"/>
      <w:r>
        <w:t xml:space="preserve">, H., </w:t>
      </w:r>
      <w:proofErr w:type="spellStart"/>
      <w:r>
        <w:t>Gottfredson</w:t>
      </w:r>
      <w:proofErr w:type="spellEnd"/>
      <w:r>
        <w:t xml:space="preserve">, R. K., &amp; </w:t>
      </w:r>
      <w:proofErr w:type="spellStart"/>
      <w:r>
        <w:t>Joo</w:t>
      </w:r>
      <w:proofErr w:type="spellEnd"/>
      <w:r>
        <w:t xml:space="preserve">, H. (2013). </w:t>
      </w:r>
      <w:proofErr w:type="spellStart"/>
      <w:r>
        <w:t>Best-practice</w:t>
      </w:r>
      <w:proofErr w:type="spellEnd"/>
      <w:r>
        <w:t xml:space="preserve"> </w:t>
      </w:r>
      <w:proofErr w:type="spellStart"/>
      <w:r>
        <w:t>recommendations</w:t>
      </w:r>
      <w:proofErr w:type="spellEnd"/>
      <w:r>
        <w:t xml:space="preserve"> </w:t>
      </w:r>
      <w:proofErr w:type="spellStart"/>
      <w:r>
        <w:t>for</w:t>
      </w:r>
      <w:proofErr w:type="spellEnd"/>
      <w:r>
        <w:t xml:space="preserve"> </w:t>
      </w:r>
      <w:proofErr w:type="spellStart"/>
      <w:r>
        <w:t>defining</w:t>
      </w:r>
      <w:proofErr w:type="spellEnd"/>
      <w:r>
        <w:t xml:space="preserve">, </w:t>
      </w:r>
      <w:proofErr w:type="spellStart"/>
      <w:r>
        <w:t>identifying</w:t>
      </w:r>
      <w:proofErr w:type="spellEnd"/>
      <w:r>
        <w:t xml:space="preserve">, and </w:t>
      </w:r>
      <w:proofErr w:type="spellStart"/>
      <w:r>
        <w:t>handling</w:t>
      </w:r>
      <w:proofErr w:type="spellEnd"/>
      <w:r>
        <w:t xml:space="preserve"> </w:t>
      </w:r>
      <w:proofErr w:type="spellStart"/>
      <w:r>
        <w:t>outliers</w:t>
      </w:r>
      <w:proofErr w:type="spellEnd"/>
      <w:r>
        <w:t xml:space="preserve">. </w:t>
      </w:r>
      <w:proofErr w:type="spellStart"/>
      <w:r>
        <w:t>Organizational</w:t>
      </w:r>
      <w:proofErr w:type="spellEnd"/>
      <w:r>
        <w:t xml:space="preserve"> </w:t>
      </w:r>
      <w:proofErr w:type="spellStart"/>
      <w:r>
        <w:t>Research</w:t>
      </w:r>
      <w:proofErr w:type="spellEnd"/>
      <w:r>
        <w:t xml:space="preserve"> </w:t>
      </w:r>
      <w:proofErr w:type="spellStart"/>
      <w:r>
        <w:t>Methods</w:t>
      </w:r>
      <w:proofErr w:type="spellEnd"/>
      <w:r>
        <w:t xml:space="preserve">, 16(2), 270-301. </w:t>
      </w:r>
      <w:hyperlink r:id="rId11" w:history="1">
        <w:r w:rsidRPr="009B4FE5">
          <w:rPr>
            <w:rStyle w:val="Hipervnculo"/>
          </w:rPr>
          <w:t>https://doi.org/10.1177/1094428112470848</w:t>
        </w:r>
      </w:hyperlink>
      <w:r>
        <w:t xml:space="preserve">  </w:t>
      </w:r>
    </w:p>
    <w:p w:rsidR="000D0988" w:rsidRDefault="000D0988" w:rsidP="000D0988">
      <w:pPr>
        <w:spacing w:line="360" w:lineRule="auto"/>
        <w:ind w:left="720" w:hanging="720"/>
        <w:jc w:val="both"/>
      </w:pPr>
      <w:r>
        <w:t xml:space="preserve">Ali, P. A., &amp; </w:t>
      </w:r>
      <w:proofErr w:type="spellStart"/>
      <w:r>
        <w:t>Naylor</w:t>
      </w:r>
      <w:proofErr w:type="spellEnd"/>
      <w:r>
        <w:t xml:space="preserve">, P. B. (2013). </w:t>
      </w:r>
      <w:proofErr w:type="spellStart"/>
      <w:r>
        <w:t>Intimate</w:t>
      </w:r>
      <w:proofErr w:type="spellEnd"/>
      <w:r>
        <w:t xml:space="preserve"> </w:t>
      </w:r>
      <w:proofErr w:type="spellStart"/>
      <w:r>
        <w:t>partner</w:t>
      </w:r>
      <w:proofErr w:type="spellEnd"/>
      <w:r>
        <w:t xml:space="preserve"> </w:t>
      </w:r>
      <w:proofErr w:type="spellStart"/>
      <w:r>
        <w:t>violence</w:t>
      </w:r>
      <w:proofErr w:type="spellEnd"/>
      <w:r>
        <w:t xml:space="preserve">: A </w:t>
      </w:r>
      <w:proofErr w:type="spellStart"/>
      <w:r>
        <w:t>narrative</w:t>
      </w:r>
      <w:proofErr w:type="spellEnd"/>
      <w:r>
        <w:t xml:space="preserve"> </w:t>
      </w:r>
      <w:proofErr w:type="spellStart"/>
      <w:r>
        <w:t>review</w:t>
      </w:r>
      <w:proofErr w:type="spellEnd"/>
      <w:r>
        <w:t xml:space="preserve"> of </w:t>
      </w:r>
      <w:proofErr w:type="spellStart"/>
      <w:r>
        <w:t>the</w:t>
      </w:r>
      <w:proofErr w:type="spellEnd"/>
      <w:r>
        <w:t xml:space="preserve"> </w:t>
      </w:r>
      <w:proofErr w:type="spellStart"/>
      <w:r>
        <w:t>biological</w:t>
      </w:r>
      <w:proofErr w:type="spellEnd"/>
      <w:r>
        <w:t xml:space="preserve"> and </w:t>
      </w:r>
      <w:proofErr w:type="spellStart"/>
      <w:r>
        <w:t>psychological</w:t>
      </w:r>
      <w:proofErr w:type="spellEnd"/>
      <w:r>
        <w:t xml:space="preserve"> </w:t>
      </w:r>
      <w:proofErr w:type="spellStart"/>
      <w:r>
        <w:t>explanations</w:t>
      </w:r>
      <w:proofErr w:type="spellEnd"/>
      <w:r>
        <w:t xml:space="preserve"> </w:t>
      </w:r>
      <w:proofErr w:type="spellStart"/>
      <w:r>
        <w:t>for</w:t>
      </w:r>
      <w:proofErr w:type="spellEnd"/>
      <w:r>
        <w:t xml:space="preserve"> </w:t>
      </w:r>
      <w:proofErr w:type="spellStart"/>
      <w:r>
        <w:t>its</w:t>
      </w:r>
      <w:proofErr w:type="spellEnd"/>
      <w:r>
        <w:t xml:space="preserve"> </w:t>
      </w:r>
      <w:proofErr w:type="spellStart"/>
      <w:r>
        <w:t>causation</w:t>
      </w:r>
      <w:proofErr w:type="spellEnd"/>
      <w:r>
        <w:t xml:space="preserve">. </w:t>
      </w:r>
      <w:proofErr w:type="spellStart"/>
      <w:r>
        <w:t>Aggression</w:t>
      </w:r>
      <w:proofErr w:type="spellEnd"/>
      <w:r>
        <w:t xml:space="preserve"> and </w:t>
      </w:r>
      <w:proofErr w:type="spellStart"/>
      <w:r>
        <w:t>Violent</w:t>
      </w:r>
      <w:proofErr w:type="spellEnd"/>
      <w:r>
        <w:t xml:space="preserve"> </w:t>
      </w:r>
      <w:proofErr w:type="spellStart"/>
      <w:r>
        <w:t>Behavior</w:t>
      </w:r>
      <w:proofErr w:type="spellEnd"/>
      <w:r>
        <w:t xml:space="preserve">, 18(3), 373–382. </w:t>
      </w:r>
      <w:hyperlink r:id="rId12" w:history="1">
        <w:r w:rsidRPr="009B4FE5">
          <w:rPr>
            <w:rStyle w:val="Hipervnculo"/>
          </w:rPr>
          <w:t>https://doi.org/10.1016/j.avb.2013.07.009</w:t>
        </w:r>
      </w:hyperlink>
      <w:r>
        <w:t xml:space="preserve">  </w:t>
      </w:r>
    </w:p>
    <w:p w:rsidR="000D0988" w:rsidRDefault="000D0988" w:rsidP="000D0988">
      <w:pPr>
        <w:spacing w:line="360" w:lineRule="auto"/>
        <w:ind w:left="720" w:hanging="720"/>
        <w:jc w:val="both"/>
      </w:pPr>
      <w:r>
        <w:t xml:space="preserve">American </w:t>
      </w:r>
      <w:proofErr w:type="spellStart"/>
      <w:r>
        <w:t>Psychological</w:t>
      </w:r>
      <w:proofErr w:type="spellEnd"/>
      <w:r>
        <w:t xml:space="preserve"> </w:t>
      </w:r>
      <w:proofErr w:type="spellStart"/>
      <w:r>
        <w:t>Association</w:t>
      </w:r>
      <w:proofErr w:type="spellEnd"/>
      <w:r>
        <w:t xml:space="preserve">. (2017). </w:t>
      </w:r>
      <w:proofErr w:type="spellStart"/>
      <w:r>
        <w:t>Ethical</w:t>
      </w:r>
      <w:proofErr w:type="spellEnd"/>
      <w:r>
        <w:t xml:space="preserve"> </w:t>
      </w:r>
      <w:proofErr w:type="spellStart"/>
      <w:r>
        <w:t>principles</w:t>
      </w:r>
      <w:proofErr w:type="spellEnd"/>
      <w:r>
        <w:t xml:space="preserve"> of </w:t>
      </w:r>
      <w:proofErr w:type="spellStart"/>
      <w:r>
        <w:t>psychologists</w:t>
      </w:r>
      <w:proofErr w:type="spellEnd"/>
      <w:r>
        <w:t xml:space="preserve"> and </w:t>
      </w:r>
      <w:proofErr w:type="spellStart"/>
      <w:r>
        <w:t>code</w:t>
      </w:r>
      <w:proofErr w:type="spellEnd"/>
      <w:r>
        <w:t xml:space="preserve"> of </w:t>
      </w:r>
      <w:proofErr w:type="spellStart"/>
      <w:r>
        <w:t>conduct</w:t>
      </w:r>
      <w:proofErr w:type="spellEnd"/>
      <w:r>
        <w:t xml:space="preserve">. </w:t>
      </w:r>
      <w:hyperlink r:id="rId13" w:history="1">
        <w:r w:rsidRPr="009B4FE5">
          <w:rPr>
            <w:rStyle w:val="Hipervnculo"/>
          </w:rPr>
          <w:t>https://www.apa.org/ethics/code</w:t>
        </w:r>
      </w:hyperlink>
      <w:r>
        <w:t xml:space="preserve">  </w:t>
      </w:r>
    </w:p>
    <w:p w:rsidR="000D0988" w:rsidRDefault="000D0988" w:rsidP="000D0988">
      <w:pPr>
        <w:spacing w:line="360" w:lineRule="auto"/>
        <w:ind w:left="720" w:hanging="720"/>
        <w:jc w:val="both"/>
      </w:pPr>
      <w:r>
        <w:t xml:space="preserve">Anderson, K. L. (2023). </w:t>
      </w:r>
      <w:proofErr w:type="spellStart"/>
      <w:r>
        <w:t>Revisiting</w:t>
      </w:r>
      <w:proofErr w:type="spellEnd"/>
      <w:r>
        <w:t xml:space="preserve"> </w:t>
      </w:r>
      <w:proofErr w:type="spellStart"/>
      <w:r>
        <w:t>gendered</w:t>
      </w:r>
      <w:proofErr w:type="spellEnd"/>
      <w:r>
        <w:t xml:space="preserve"> </w:t>
      </w:r>
      <w:proofErr w:type="spellStart"/>
      <w:r>
        <w:t>explanations</w:t>
      </w:r>
      <w:proofErr w:type="spellEnd"/>
      <w:r>
        <w:t xml:space="preserve"> of </w:t>
      </w:r>
      <w:proofErr w:type="spellStart"/>
      <w:r>
        <w:t>intimate</w:t>
      </w:r>
      <w:proofErr w:type="spellEnd"/>
      <w:r>
        <w:t xml:space="preserve"> </w:t>
      </w:r>
      <w:proofErr w:type="spellStart"/>
      <w:r>
        <w:t>partner</w:t>
      </w:r>
      <w:proofErr w:type="spellEnd"/>
      <w:r>
        <w:t xml:space="preserve"> </w:t>
      </w:r>
      <w:proofErr w:type="spellStart"/>
      <w:r>
        <w:t>violence</w:t>
      </w:r>
      <w:proofErr w:type="spellEnd"/>
      <w:r>
        <w:t xml:space="preserve">: </w:t>
      </w:r>
      <w:proofErr w:type="spellStart"/>
      <w:r>
        <w:t>Complexity</w:t>
      </w:r>
      <w:proofErr w:type="spellEnd"/>
      <w:r>
        <w:t xml:space="preserve">, </w:t>
      </w:r>
      <w:proofErr w:type="spellStart"/>
      <w:r>
        <w:t>context</w:t>
      </w:r>
      <w:proofErr w:type="spellEnd"/>
      <w:r>
        <w:t xml:space="preserve">, and critique. </w:t>
      </w:r>
      <w:proofErr w:type="spellStart"/>
      <w:r>
        <w:t>Journal</w:t>
      </w:r>
      <w:proofErr w:type="spellEnd"/>
      <w:r>
        <w:t xml:space="preserve"> of Interpersonal </w:t>
      </w:r>
      <w:proofErr w:type="spellStart"/>
      <w:r>
        <w:t>Violence</w:t>
      </w:r>
      <w:proofErr w:type="spellEnd"/>
      <w:r>
        <w:t xml:space="preserve">, 38(5-6), NP2710–NP2735. </w:t>
      </w:r>
      <w:hyperlink r:id="rId14" w:history="1">
        <w:r w:rsidRPr="009B4FE5">
          <w:rPr>
            <w:rStyle w:val="Hipervnculo"/>
          </w:rPr>
          <w:t>https://doi.org/10.1177/08862605221116175</w:t>
        </w:r>
      </w:hyperlink>
      <w:r>
        <w:t xml:space="preserve">  </w:t>
      </w:r>
    </w:p>
    <w:p w:rsidR="000D0988" w:rsidRDefault="000D0988" w:rsidP="000D0988">
      <w:pPr>
        <w:spacing w:line="360" w:lineRule="auto"/>
        <w:ind w:left="720" w:hanging="720"/>
        <w:jc w:val="both"/>
      </w:pPr>
      <w:r>
        <w:t xml:space="preserve">Ato, M., López-García, J. J., &amp; Benavente, A. (2013). Un sistema de clasificación de los diseños de investigación en psicología. Anales de Psicología, 29(3), 1038-1059. </w:t>
      </w:r>
      <w:hyperlink r:id="rId15" w:history="1">
        <w:r w:rsidRPr="009B4FE5">
          <w:rPr>
            <w:rStyle w:val="Hipervnculo"/>
          </w:rPr>
          <w:t>https://doi.org/10.6018/analesps.29.3.178511</w:t>
        </w:r>
      </w:hyperlink>
      <w:r>
        <w:t xml:space="preserve">  </w:t>
      </w:r>
    </w:p>
    <w:p w:rsidR="000D0988" w:rsidRDefault="000D0988" w:rsidP="000D0988">
      <w:pPr>
        <w:spacing w:line="360" w:lineRule="auto"/>
        <w:ind w:left="720" w:hanging="720"/>
        <w:jc w:val="both"/>
      </w:pPr>
      <w:proofErr w:type="spellStart"/>
      <w:r>
        <w:t>Benjamin</w:t>
      </w:r>
      <w:proofErr w:type="spellEnd"/>
      <w:r>
        <w:t xml:space="preserve">, D. J., Berger, J. O., </w:t>
      </w:r>
      <w:proofErr w:type="spellStart"/>
      <w:r>
        <w:t>Johannesson</w:t>
      </w:r>
      <w:proofErr w:type="spellEnd"/>
      <w:r>
        <w:t xml:space="preserve">, M., </w:t>
      </w:r>
      <w:proofErr w:type="spellStart"/>
      <w:r>
        <w:t>Nosek</w:t>
      </w:r>
      <w:proofErr w:type="spellEnd"/>
      <w:r>
        <w:t xml:space="preserve">, B. A., </w:t>
      </w:r>
      <w:proofErr w:type="spellStart"/>
      <w:r>
        <w:t>Wagenmakers</w:t>
      </w:r>
      <w:proofErr w:type="spellEnd"/>
      <w:r>
        <w:t xml:space="preserve">, E. J., </w:t>
      </w:r>
      <w:proofErr w:type="spellStart"/>
      <w:r>
        <w:t>Berk</w:t>
      </w:r>
      <w:proofErr w:type="spellEnd"/>
      <w:r>
        <w:t xml:space="preserve">, R., ... &amp; Johnson, V. E. (2018). Redefine </w:t>
      </w:r>
      <w:proofErr w:type="spellStart"/>
      <w:r>
        <w:t>statistical</w:t>
      </w:r>
      <w:proofErr w:type="spellEnd"/>
      <w:r>
        <w:t xml:space="preserve"> </w:t>
      </w:r>
      <w:proofErr w:type="spellStart"/>
      <w:r>
        <w:t>significance</w:t>
      </w:r>
      <w:proofErr w:type="spellEnd"/>
      <w:r>
        <w:t xml:space="preserve">. </w:t>
      </w:r>
      <w:proofErr w:type="spellStart"/>
      <w:r>
        <w:t>Nature</w:t>
      </w:r>
      <w:proofErr w:type="spellEnd"/>
      <w:r>
        <w:t xml:space="preserve"> Human </w:t>
      </w:r>
      <w:proofErr w:type="spellStart"/>
      <w:r>
        <w:t>Behaviour</w:t>
      </w:r>
      <w:proofErr w:type="spellEnd"/>
      <w:r>
        <w:t xml:space="preserve">, 2(1), 6-10. </w:t>
      </w:r>
      <w:hyperlink r:id="rId16" w:history="1">
        <w:r w:rsidRPr="009B4FE5">
          <w:rPr>
            <w:rStyle w:val="Hipervnculo"/>
          </w:rPr>
          <w:t>https://doi.org/10.1038/s41562-017-0189-z</w:t>
        </w:r>
      </w:hyperlink>
      <w:r>
        <w:t xml:space="preserve">   </w:t>
      </w:r>
    </w:p>
    <w:p w:rsidR="000D0988" w:rsidRDefault="000D0988" w:rsidP="000D0988">
      <w:pPr>
        <w:spacing w:line="360" w:lineRule="auto"/>
        <w:ind w:left="720" w:hanging="720"/>
        <w:jc w:val="both"/>
      </w:pPr>
      <w:r>
        <w:t>Bourdieu, P. (1998). La dominación masculina. Anagrama.</w:t>
      </w:r>
    </w:p>
    <w:p w:rsidR="000D0988" w:rsidRDefault="000D0988" w:rsidP="000D0988">
      <w:pPr>
        <w:spacing w:line="360" w:lineRule="auto"/>
        <w:ind w:left="720" w:hanging="720"/>
        <w:jc w:val="both"/>
      </w:pPr>
      <w:r>
        <w:t xml:space="preserve">Braun, V., Clarke, V., </w:t>
      </w:r>
      <w:proofErr w:type="spellStart"/>
      <w:r>
        <w:t>Boulton</w:t>
      </w:r>
      <w:proofErr w:type="spellEnd"/>
      <w:r>
        <w:t xml:space="preserve">, E., </w:t>
      </w:r>
      <w:proofErr w:type="spellStart"/>
      <w:r>
        <w:t>Davey</w:t>
      </w:r>
      <w:proofErr w:type="spellEnd"/>
      <w:r>
        <w:t xml:space="preserve">, L., &amp; </w:t>
      </w:r>
      <w:proofErr w:type="spellStart"/>
      <w:r>
        <w:t>McEvoy</w:t>
      </w:r>
      <w:proofErr w:type="spellEnd"/>
      <w:r>
        <w:t xml:space="preserve">, C. (2021). </w:t>
      </w:r>
      <w:proofErr w:type="spellStart"/>
      <w:r>
        <w:t>The</w:t>
      </w:r>
      <w:proofErr w:type="spellEnd"/>
      <w:r>
        <w:t xml:space="preserve"> online </w:t>
      </w:r>
      <w:proofErr w:type="spellStart"/>
      <w:r>
        <w:t>survey</w:t>
      </w:r>
      <w:proofErr w:type="spellEnd"/>
      <w:r>
        <w:t xml:space="preserve"> as a </w:t>
      </w:r>
      <w:proofErr w:type="spellStart"/>
      <w:r>
        <w:t>qualitative</w:t>
      </w:r>
      <w:proofErr w:type="spellEnd"/>
      <w:r>
        <w:t xml:space="preserve"> </w:t>
      </w:r>
      <w:proofErr w:type="spellStart"/>
      <w:r>
        <w:t>research</w:t>
      </w:r>
      <w:proofErr w:type="spellEnd"/>
      <w:r>
        <w:t xml:space="preserve"> </w:t>
      </w:r>
      <w:proofErr w:type="spellStart"/>
      <w:r>
        <w:t>tool</w:t>
      </w:r>
      <w:proofErr w:type="spellEnd"/>
      <w:r>
        <w:t xml:space="preserve">. International </w:t>
      </w:r>
      <w:proofErr w:type="spellStart"/>
      <w:r>
        <w:t>Journal</w:t>
      </w:r>
      <w:proofErr w:type="spellEnd"/>
      <w:r>
        <w:t xml:space="preserve"> of Social </w:t>
      </w:r>
      <w:proofErr w:type="spellStart"/>
      <w:r>
        <w:t>Research</w:t>
      </w:r>
      <w:proofErr w:type="spellEnd"/>
      <w:r>
        <w:t xml:space="preserve"> </w:t>
      </w:r>
      <w:proofErr w:type="spellStart"/>
      <w:r>
        <w:t>Methodology</w:t>
      </w:r>
      <w:proofErr w:type="spellEnd"/>
      <w:r>
        <w:t xml:space="preserve">, 24(6), 641-654. </w:t>
      </w:r>
      <w:hyperlink r:id="rId17" w:history="1">
        <w:r w:rsidRPr="009B4FE5">
          <w:rPr>
            <w:rStyle w:val="Hipervnculo"/>
          </w:rPr>
          <w:t>https://doi.org/10.1080/13645579.2020.1805550</w:t>
        </w:r>
      </w:hyperlink>
      <w:r>
        <w:t xml:space="preserve">  </w:t>
      </w:r>
    </w:p>
    <w:p w:rsidR="000D0988" w:rsidRDefault="000D0988" w:rsidP="000D0988">
      <w:pPr>
        <w:spacing w:line="360" w:lineRule="auto"/>
        <w:ind w:left="720" w:hanging="720"/>
        <w:jc w:val="both"/>
      </w:pPr>
      <w:r>
        <w:t xml:space="preserve">Cohen, J. (1988). </w:t>
      </w:r>
      <w:proofErr w:type="spellStart"/>
      <w:r>
        <w:t>Statistical</w:t>
      </w:r>
      <w:proofErr w:type="spellEnd"/>
      <w:r>
        <w:t xml:space="preserve"> </w:t>
      </w:r>
      <w:proofErr w:type="spellStart"/>
      <w:r>
        <w:t>power</w:t>
      </w:r>
      <w:proofErr w:type="spellEnd"/>
      <w:r>
        <w:t xml:space="preserve"> </w:t>
      </w:r>
      <w:proofErr w:type="spellStart"/>
      <w:r>
        <w:t>analysis</w:t>
      </w:r>
      <w:proofErr w:type="spellEnd"/>
      <w:r>
        <w:t xml:space="preserve"> </w:t>
      </w:r>
      <w:proofErr w:type="spellStart"/>
      <w:r>
        <w:t>for</w:t>
      </w:r>
      <w:proofErr w:type="spellEnd"/>
      <w:r>
        <w:t xml:space="preserve"> </w:t>
      </w:r>
      <w:proofErr w:type="spellStart"/>
      <w:r>
        <w:t>the</w:t>
      </w:r>
      <w:proofErr w:type="spellEnd"/>
      <w:r>
        <w:t xml:space="preserve"> </w:t>
      </w:r>
      <w:proofErr w:type="spellStart"/>
      <w:r>
        <w:t>behavioral</w:t>
      </w:r>
      <w:proofErr w:type="spellEnd"/>
      <w:r>
        <w:t xml:space="preserve"> </w:t>
      </w:r>
      <w:proofErr w:type="spellStart"/>
      <w:r>
        <w:t>sciences</w:t>
      </w:r>
      <w:proofErr w:type="spellEnd"/>
      <w:r>
        <w:t xml:space="preserve"> (2nd ed.). Lawrence </w:t>
      </w:r>
      <w:proofErr w:type="spellStart"/>
      <w:r>
        <w:t>Erlbaum</w:t>
      </w:r>
      <w:proofErr w:type="spellEnd"/>
      <w:r>
        <w:t xml:space="preserve"> </w:t>
      </w:r>
      <w:proofErr w:type="spellStart"/>
      <w:r>
        <w:t>Associates</w:t>
      </w:r>
      <w:proofErr w:type="spellEnd"/>
      <w:r>
        <w:t>.</w:t>
      </w:r>
    </w:p>
    <w:p w:rsidR="000D0988" w:rsidRDefault="000D0988" w:rsidP="000D0988">
      <w:pPr>
        <w:spacing w:line="360" w:lineRule="auto"/>
        <w:ind w:left="720" w:hanging="720"/>
        <w:jc w:val="both"/>
      </w:pPr>
      <w:proofErr w:type="spellStart"/>
      <w:r>
        <w:t>Connell</w:t>
      </w:r>
      <w:proofErr w:type="spellEnd"/>
      <w:r>
        <w:t xml:space="preserve">, R. (2013). </w:t>
      </w:r>
      <w:proofErr w:type="spellStart"/>
      <w:r>
        <w:t>Gender</w:t>
      </w:r>
      <w:proofErr w:type="spellEnd"/>
      <w:r>
        <w:t xml:space="preserve"> and </w:t>
      </w:r>
      <w:proofErr w:type="spellStart"/>
      <w:r>
        <w:t>power</w:t>
      </w:r>
      <w:proofErr w:type="spellEnd"/>
      <w:r>
        <w:t xml:space="preserve">: </w:t>
      </w:r>
      <w:proofErr w:type="spellStart"/>
      <w:r>
        <w:t>Society</w:t>
      </w:r>
      <w:proofErr w:type="spellEnd"/>
      <w:r>
        <w:t xml:space="preserve">, </w:t>
      </w:r>
      <w:proofErr w:type="spellStart"/>
      <w:r>
        <w:t>the</w:t>
      </w:r>
      <w:proofErr w:type="spellEnd"/>
      <w:r>
        <w:t xml:space="preserve"> </w:t>
      </w:r>
      <w:proofErr w:type="spellStart"/>
      <w:r>
        <w:t>person</w:t>
      </w:r>
      <w:proofErr w:type="spellEnd"/>
      <w:r>
        <w:t xml:space="preserve"> and sexual </w:t>
      </w:r>
      <w:proofErr w:type="spellStart"/>
      <w:r>
        <w:t>politics</w:t>
      </w:r>
      <w:proofErr w:type="spellEnd"/>
      <w:r>
        <w:t xml:space="preserve">. </w:t>
      </w:r>
      <w:proofErr w:type="spellStart"/>
      <w:r>
        <w:t>Polity</w:t>
      </w:r>
      <w:proofErr w:type="spellEnd"/>
      <w:r>
        <w:t xml:space="preserve"> </w:t>
      </w:r>
      <w:proofErr w:type="spellStart"/>
      <w:r>
        <w:t>Press</w:t>
      </w:r>
      <w:proofErr w:type="spellEnd"/>
      <w:r>
        <w:t xml:space="preserve">. (Original publicado en 1987). </w:t>
      </w:r>
    </w:p>
    <w:p w:rsidR="000D0988" w:rsidRDefault="000D0988" w:rsidP="000D0988">
      <w:pPr>
        <w:spacing w:line="360" w:lineRule="auto"/>
        <w:ind w:left="720" w:hanging="720"/>
        <w:jc w:val="both"/>
      </w:pPr>
      <w:proofErr w:type="spellStart"/>
      <w:r>
        <w:t>Creswell</w:t>
      </w:r>
      <w:proofErr w:type="spellEnd"/>
      <w:r>
        <w:t xml:space="preserve">, J. W., &amp; </w:t>
      </w:r>
      <w:proofErr w:type="spellStart"/>
      <w:r>
        <w:t>Creswell</w:t>
      </w:r>
      <w:proofErr w:type="spellEnd"/>
      <w:r>
        <w:t xml:space="preserve">, J. D. (2018). </w:t>
      </w:r>
      <w:proofErr w:type="spellStart"/>
      <w:r>
        <w:t>Research</w:t>
      </w:r>
      <w:proofErr w:type="spellEnd"/>
      <w:r>
        <w:t xml:space="preserve"> </w:t>
      </w:r>
      <w:proofErr w:type="spellStart"/>
      <w:r>
        <w:t>design</w:t>
      </w:r>
      <w:proofErr w:type="spellEnd"/>
      <w:r>
        <w:t xml:space="preserve">: </w:t>
      </w:r>
      <w:proofErr w:type="spellStart"/>
      <w:r>
        <w:t>Qualitative</w:t>
      </w:r>
      <w:proofErr w:type="spellEnd"/>
      <w:r>
        <w:t xml:space="preserve">, </w:t>
      </w:r>
      <w:proofErr w:type="spellStart"/>
      <w:r>
        <w:t>quantitative</w:t>
      </w:r>
      <w:proofErr w:type="spellEnd"/>
      <w:r>
        <w:t xml:space="preserve">, and </w:t>
      </w:r>
      <w:proofErr w:type="spellStart"/>
      <w:r>
        <w:t>mixed</w:t>
      </w:r>
      <w:proofErr w:type="spellEnd"/>
      <w:r>
        <w:t xml:space="preserve"> </w:t>
      </w:r>
      <w:proofErr w:type="spellStart"/>
      <w:r>
        <w:t>methods</w:t>
      </w:r>
      <w:proofErr w:type="spellEnd"/>
      <w:r>
        <w:t xml:space="preserve"> </w:t>
      </w:r>
      <w:proofErr w:type="spellStart"/>
      <w:r>
        <w:t>approaches</w:t>
      </w:r>
      <w:proofErr w:type="spellEnd"/>
      <w:r>
        <w:t xml:space="preserve"> (5th ed.). SAGE </w:t>
      </w:r>
      <w:proofErr w:type="spellStart"/>
      <w:r>
        <w:t>Publications</w:t>
      </w:r>
      <w:proofErr w:type="spellEnd"/>
      <w:r>
        <w:t xml:space="preserve">. </w:t>
      </w:r>
    </w:p>
    <w:p w:rsidR="000D0988" w:rsidRDefault="000D0988" w:rsidP="000D0988">
      <w:pPr>
        <w:spacing w:line="360" w:lineRule="auto"/>
        <w:ind w:left="720" w:hanging="720"/>
        <w:jc w:val="both"/>
      </w:pPr>
      <w:proofErr w:type="spellStart"/>
      <w:r>
        <w:t>Crocker</w:t>
      </w:r>
      <w:proofErr w:type="spellEnd"/>
      <w:r>
        <w:t xml:space="preserve">, J., &amp; Wolfe, C. T. (2001). </w:t>
      </w:r>
      <w:proofErr w:type="spellStart"/>
      <w:r>
        <w:t>Contingencies</w:t>
      </w:r>
      <w:proofErr w:type="spellEnd"/>
      <w:r>
        <w:t xml:space="preserve"> of </w:t>
      </w:r>
      <w:proofErr w:type="spellStart"/>
      <w:r>
        <w:t>self-worth</w:t>
      </w:r>
      <w:proofErr w:type="spellEnd"/>
      <w:r>
        <w:t xml:space="preserve">. </w:t>
      </w:r>
      <w:proofErr w:type="spellStart"/>
      <w:r>
        <w:t>Psychological</w:t>
      </w:r>
      <w:proofErr w:type="spellEnd"/>
      <w:r>
        <w:t xml:space="preserve"> </w:t>
      </w:r>
      <w:proofErr w:type="spellStart"/>
      <w:r>
        <w:t>Review</w:t>
      </w:r>
      <w:proofErr w:type="spellEnd"/>
      <w:r>
        <w:t xml:space="preserve">, 108(3), 593–623. </w:t>
      </w:r>
      <w:hyperlink r:id="rId18" w:history="1">
        <w:r w:rsidRPr="009B4FE5">
          <w:rPr>
            <w:rStyle w:val="Hipervnculo"/>
          </w:rPr>
          <w:t>https://doi.org/10.1037/0033-295X.108.3.593</w:t>
        </w:r>
      </w:hyperlink>
      <w:r>
        <w:t xml:space="preserve">  </w:t>
      </w:r>
    </w:p>
    <w:p w:rsidR="000D0988" w:rsidRDefault="000D0988" w:rsidP="000D0988">
      <w:pPr>
        <w:spacing w:line="360" w:lineRule="auto"/>
        <w:ind w:left="720" w:hanging="720"/>
        <w:jc w:val="both"/>
      </w:pPr>
      <w:proofErr w:type="spellStart"/>
      <w:r>
        <w:t>Cumming</w:t>
      </w:r>
      <w:proofErr w:type="spellEnd"/>
      <w:r>
        <w:t xml:space="preserve">, G. (2012). </w:t>
      </w:r>
      <w:proofErr w:type="spellStart"/>
      <w:r>
        <w:t>Understanding</w:t>
      </w:r>
      <w:proofErr w:type="spellEnd"/>
      <w:r>
        <w:t xml:space="preserve"> </w:t>
      </w:r>
      <w:proofErr w:type="spellStart"/>
      <w:r>
        <w:t>the</w:t>
      </w:r>
      <w:proofErr w:type="spellEnd"/>
      <w:r>
        <w:t xml:space="preserve"> new </w:t>
      </w:r>
      <w:proofErr w:type="spellStart"/>
      <w:r>
        <w:t>statistics</w:t>
      </w:r>
      <w:proofErr w:type="spellEnd"/>
      <w:r>
        <w:t xml:space="preserve">: </w:t>
      </w:r>
      <w:proofErr w:type="spellStart"/>
      <w:r>
        <w:t>Effect</w:t>
      </w:r>
      <w:proofErr w:type="spellEnd"/>
      <w:r>
        <w:t xml:space="preserve"> </w:t>
      </w:r>
      <w:proofErr w:type="spellStart"/>
      <w:r>
        <w:t>sizes</w:t>
      </w:r>
      <w:proofErr w:type="spellEnd"/>
      <w:r>
        <w:t xml:space="preserve">, </w:t>
      </w:r>
      <w:proofErr w:type="spellStart"/>
      <w:r>
        <w:t>confidence</w:t>
      </w:r>
      <w:proofErr w:type="spellEnd"/>
      <w:r>
        <w:t xml:space="preserve"> </w:t>
      </w:r>
      <w:proofErr w:type="spellStart"/>
      <w:r>
        <w:t>intervals</w:t>
      </w:r>
      <w:proofErr w:type="spellEnd"/>
      <w:r>
        <w:t>, and meta-</w:t>
      </w:r>
      <w:proofErr w:type="spellStart"/>
      <w:r>
        <w:t>analysis</w:t>
      </w:r>
      <w:proofErr w:type="spellEnd"/>
      <w:r>
        <w:t xml:space="preserve">. </w:t>
      </w:r>
      <w:proofErr w:type="spellStart"/>
      <w:r>
        <w:t>Routledge</w:t>
      </w:r>
      <w:proofErr w:type="spellEnd"/>
      <w:r>
        <w:t>.</w:t>
      </w:r>
    </w:p>
    <w:p w:rsidR="000D0988" w:rsidRDefault="000D0988" w:rsidP="000D0988">
      <w:pPr>
        <w:spacing w:line="360" w:lineRule="auto"/>
        <w:ind w:left="720" w:hanging="720"/>
        <w:jc w:val="both"/>
      </w:pPr>
      <w:r>
        <w:lastRenderedPageBreak/>
        <w:t xml:space="preserve">Day, A., </w:t>
      </w:r>
      <w:proofErr w:type="spellStart"/>
      <w:r>
        <w:t>Chung</w:t>
      </w:r>
      <w:proofErr w:type="spellEnd"/>
      <w:r>
        <w:t xml:space="preserve">, D., O'Leary, P., &amp; Carson, E. (2010). </w:t>
      </w:r>
      <w:proofErr w:type="spellStart"/>
      <w:r>
        <w:t>Programs</w:t>
      </w:r>
      <w:proofErr w:type="spellEnd"/>
      <w:r>
        <w:t xml:space="preserve"> </w:t>
      </w:r>
      <w:proofErr w:type="spellStart"/>
      <w:r>
        <w:t>for</w:t>
      </w:r>
      <w:proofErr w:type="spellEnd"/>
      <w:r>
        <w:t xml:space="preserve"> </w:t>
      </w:r>
      <w:proofErr w:type="spellStart"/>
      <w:r>
        <w:t>men</w:t>
      </w:r>
      <w:proofErr w:type="spellEnd"/>
      <w:r>
        <w:t xml:space="preserve"> </w:t>
      </w:r>
      <w:proofErr w:type="spellStart"/>
      <w:r>
        <w:t>who</w:t>
      </w:r>
      <w:proofErr w:type="spellEnd"/>
      <w:r>
        <w:t xml:space="preserve"> </w:t>
      </w:r>
      <w:proofErr w:type="spellStart"/>
      <w:r>
        <w:t>perpetrate</w:t>
      </w:r>
      <w:proofErr w:type="spellEnd"/>
      <w:r>
        <w:t xml:space="preserve"> </w:t>
      </w:r>
      <w:proofErr w:type="spellStart"/>
      <w:r>
        <w:t>domestic</w:t>
      </w:r>
      <w:proofErr w:type="spellEnd"/>
      <w:r>
        <w:t xml:space="preserve"> </w:t>
      </w:r>
      <w:proofErr w:type="spellStart"/>
      <w:r>
        <w:t>violence</w:t>
      </w:r>
      <w:proofErr w:type="spellEnd"/>
      <w:r>
        <w:t xml:space="preserve">: </w:t>
      </w:r>
      <w:proofErr w:type="spellStart"/>
      <w:r>
        <w:t>An</w:t>
      </w:r>
      <w:proofErr w:type="spellEnd"/>
      <w:r>
        <w:t xml:space="preserve"> </w:t>
      </w:r>
      <w:proofErr w:type="spellStart"/>
      <w:r>
        <w:t>examination</w:t>
      </w:r>
      <w:proofErr w:type="spellEnd"/>
      <w:r>
        <w:t xml:space="preserve"> of </w:t>
      </w:r>
      <w:proofErr w:type="spellStart"/>
      <w:r>
        <w:t>the</w:t>
      </w:r>
      <w:proofErr w:type="spellEnd"/>
      <w:r>
        <w:t xml:space="preserve"> </w:t>
      </w:r>
      <w:proofErr w:type="spellStart"/>
      <w:r>
        <w:t>issues</w:t>
      </w:r>
      <w:proofErr w:type="spellEnd"/>
      <w:r>
        <w:t xml:space="preserve"> </w:t>
      </w:r>
      <w:proofErr w:type="spellStart"/>
      <w:r>
        <w:t>underlying</w:t>
      </w:r>
      <w:proofErr w:type="spellEnd"/>
      <w:r>
        <w:t xml:space="preserve"> </w:t>
      </w:r>
      <w:proofErr w:type="spellStart"/>
      <w:r>
        <w:t>the</w:t>
      </w:r>
      <w:proofErr w:type="spellEnd"/>
      <w:r>
        <w:t xml:space="preserve"> </w:t>
      </w:r>
      <w:proofErr w:type="spellStart"/>
      <w:r>
        <w:t>effectiveness</w:t>
      </w:r>
      <w:proofErr w:type="spellEnd"/>
      <w:r>
        <w:t xml:space="preserve"> of </w:t>
      </w:r>
      <w:proofErr w:type="spellStart"/>
      <w:r>
        <w:t>intervention</w:t>
      </w:r>
      <w:proofErr w:type="spellEnd"/>
      <w:r>
        <w:t xml:space="preserve"> </w:t>
      </w:r>
      <w:proofErr w:type="spellStart"/>
      <w:r>
        <w:t>programs</w:t>
      </w:r>
      <w:proofErr w:type="spellEnd"/>
      <w:r>
        <w:t xml:space="preserve">. </w:t>
      </w:r>
      <w:proofErr w:type="spellStart"/>
      <w:r>
        <w:t>Journal</w:t>
      </w:r>
      <w:proofErr w:type="spellEnd"/>
      <w:r>
        <w:t xml:space="preserve"> of </w:t>
      </w:r>
      <w:proofErr w:type="spellStart"/>
      <w:r>
        <w:t>Family</w:t>
      </w:r>
      <w:proofErr w:type="spellEnd"/>
      <w:r>
        <w:t xml:space="preserve"> </w:t>
      </w:r>
      <w:proofErr w:type="spellStart"/>
      <w:r>
        <w:t>Violence</w:t>
      </w:r>
      <w:proofErr w:type="spellEnd"/>
      <w:r>
        <w:t xml:space="preserve">, 25(2), 203–212. </w:t>
      </w:r>
      <w:hyperlink r:id="rId19" w:history="1">
        <w:r w:rsidRPr="009B4FE5">
          <w:rPr>
            <w:rStyle w:val="Hipervnculo"/>
          </w:rPr>
          <w:t>https://doi.org/10.1007/s10896-009-9272-3</w:t>
        </w:r>
      </w:hyperlink>
      <w:r>
        <w:t xml:space="preserve">  </w:t>
      </w:r>
    </w:p>
    <w:p w:rsidR="000D0988" w:rsidRDefault="000D0988" w:rsidP="000D0988">
      <w:pPr>
        <w:spacing w:line="360" w:lineRule="auto"/>
        <w:ind w:left="720" w:hanging="720"/>
        <w:jc w:val="both"/>
      </w:pPr>
      <w:proofErr w:type="spellStart"/>
      <w:r>
        <w:t>Dobash</w:t>
      </w:r>
      <w:proofErr w:type="spellEnd"/>
      <w:r>
        <w:t xml:space="preserve">, R. E., &amp; </w:t>
      </w:r>
      <w:proofErr w:type="spellStart"/>
      <w:r>
        <w:t>Dobash</w:t>
      </w:r>
      <w:proofErr w:type="spellEnd"/>
      <w:r>
        <w:t xml:space="preserve">, R. (2015). </w:t>
      </w:r>
      <w:proofErr w:type="spellStart"/>
      <w:r>
        <w:t>Rethinking</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Routledge</w:t>
      </w:r>
      <w:proofErr w:type="spellEnd"/>
      <w:r>
        <w:t>.</w:t>
      </w:r>
    </w:p>
    <w:p w:rsidR="000D0988" w:rsidRDefault="000D0988" w:rsidP="000D0988">
      <w:pPr>
        <w:spacing w:line="360" w:lineRule="auto"/>
        <w:ind w:left="720" w:hanging="720"/>
        <w:jc w:val="both"/>
      </w:pPr>
      <w:proofErr w:type="spellStart"/>
      <w:r>
        <w:t>Draucker</w:t>
      </w:r>
      <w:proofErr w:type="spellEnd"/>
      <w:r>
        <w:t xml:space="preserve">, C. B., </w:t>
      </w:r>
      <w:proofErr w:type="spellStart"/>
      <w:r>
        <w:t>Martsolf</w:t>
      </w:r>
      <w:proofErr w:type="spellEnd"/>
      <w:r>
        <w:t xml:space="preserve">, D. S., &amp; </w:t>
      </w:r>
      <w:proofErr w:type="spellStart"/>
      <w:r>
        <w:t>Poole</w:t>
      </w:r>
      <w:proofErr w:type="spellEnd"/>
      <w:r>
        <w:t xml:space="preserve">, C. (2009). </w:t>
      </w:r>
      <w:proofErr w:type="spellStart"/>
      <w:r>
        <w:t>Developing</w:t>
      </w:r>
      <w:proofErr w:type="spellEnd"/>
      <w:r>
        <w:t xml:space="preserve"> </w:t>
      </w:r>
      <w:proofErr w:type="spellStart"/>
      <w:r>
        <w:t>distress</w:t>
      </w:r>
      <w:proofErr w:type="spellEnd"/>
      <w:r>
        <w:t xml:space="preserve"> </w:t>
      </w:r>
      <w:proofErr w:type="spellStart"/>
      <w:r>
        <w:t>protocols</w:t>
      </w:r>
      <w:proofErr w:type="spellEnd"/>
      <w:r>
        <w:t xml:space="preserve"> </w:t>
      </w:r>
      <w:proofErr w:type="spellStart"/>
      <w:r>
        <w:t>for</w:t>
      </w:r>
      <w:proofErr w:type="spellEnd"/>
      <w:r>
        <w:t xml:space="preserve"> </w:t>
      </w:r>
      <w:proofErr w:type="spellStart"/>
      <w:r>
        <w:t>research</w:t>
      </w:r>
      <w:proofErr w:type="spellEnd"/>
      <w:r>
        <w:t xml:space="preserve"> </w:t>
      </w:r>
      <w:proofErr w:type="spellStart"/>
      <w:r>
        <w:t>on</w:t>
      </w:r>
      <w:proofErr w:type="spellEnd"/>
      <w:r>
        <w:t xml:space="preserve"> </w:t>
      </w:r>
      <w:proofErr w:type="spellStart"/>
      <w:r>
        <w:t>sensitive</w:t>
      </w:r>
      <w:proofErr w:type="spellEnd"/>
      <w:r>
        <w:t xml:space="preserve"> </w:t>
      </w:r>
      <w:proofErr w:type="spellStart"/>
      <w:r>
        <w:t>topics</w:t>
      </w:r>
      <w:proofErr w:type="spellEnd"/>
      <w:r>
        <w:t xml:space="preserve">. Archives of </w:t>
      </w:r>
      <w:proofErr w:type="spellStart"/>
      <w:r>
        <w:t>Psychiatric</w:t>
      </w:r>
      <w:proofErr w:type="spellEnd"/>
      <w:r>
        <w:t xml:space="preserve"> </w:t>
      </w:r>
      <w:proofErr w:type="spellStart"/>
      <w:r>
        <w:t>Nursing</w:t>
      </w:r>
      <w:proofErr w:type="spellEnd"/>
      <w:r>
        <w:t xml:space="preserve">, 23(5), 343-350. </w:t>
      </w:r>
      <w:hyperlink r:id="rId20" w:history="1">
        <w:r w:rsidRPr="009B4FE5">
          <w:rPr>
            <w:rStyle w:val="Hipervnculo"/>
          </w:rPr>
          <w:t>https://doi.org/10.1016/j.apnu.2008.10.008</w:t>
        </w:r>
      </w:hyperlink>
      <w:r>
        <w:t xml:space="preserve">  </w:t>
      </w:r>
    </w:p>
    <w:p w:rsidR="000D0988" w:rsidRDefault="000D0988" w:rsidP="000D0988">
      <w:pPr>
        <w:spacing w:line="360" w:lineRule="auto"/>
        <w:ind w:left="720" w:hanging="720"/>
        <w:jc w:val="both"/>
      </w:pPr>
      <w:proofErr w:type="spellStart"/>
      <w:r>
        <w:t>Dutton</w:t>
      </w:r>
      <w:proofErr w:type="spellEnd"/>
      <w:r>
        <w:t xml:space="preserve">, D. G. (1995). </w:t>
      </w:r>
      <w:proofErr w:type="spellStart"/>
      <w:r>
        <w:t>The</w:t>
      </w:r>
      <w:proofErr w:type="spellEnd"/>
      <w:r>
        <w:t xml:space="preserve"> </w:t>
      </w:r>
      <w:proofErr w:type="spellStart"/>
      <w:r>
        <w:t>Domestic</w:t>
      </w:r>
      <w:proofErr w:type="spellEnd"/>
      <w:r>
        <w:t xml:space="preserve"> </w:t>
      </w:r>
      <w:proofErr w:type="spellStart"/>
      <w:r>
        <w:t>Assault</w:t>
      </w:r>
      <w:proofErr w:type="spellEnd"/>
      <w:r>
        <w:t xml:space="preserve"> of </w:t>
      </w:r>
      <w:proofErr w:type="spellStart"/>
      <w:r>
        <w:t>Women</w:t>
      </w:r>
      <w:proofErr w:type="spellEnd"/>
      <w:r>
        <w:t xml:space="preserve">: </w:t>
      </w:r>
      <w:proofErr w:type="spellStart"/>
      <w:r>
        <w:t>Psychological</w:t>
      </w:r>
      <w:proofErr w:type="spellEnd"/>
      <w:r>
        <w:t xml:space="preserve"> and Criminal </w:t>
      </w:r>
      <w:proofErr w:type="spellStart"/>
      <w:r>
        <w:t>Justice</w:t>
      </w:r>
      <w:proofErr w:type="spellEnd"/>
      <w:r>
        <w:t xml:space="preserve"> </w:t>
      </w:r>
      <w:proofErr w:type="spellStart"/>
      <w:r>
        <w:t>Perspectives</w:t>
      </w:r>
      <w:proofErr w:type="spellEnd"/>
      <w:r>
        <w:t xml:space="preserve">. UBC </w:t>
      </w:r>
      <w:proofErr w:type="spellStart"/>
      <w:r>
        <w:t>Press</w:t>
      </w:r>
      <w:proofErr w:type="spellEnd"/>
      <w:r>
        <w:t>.</w:t>
      </w:r>
    </w:p>
    <w:p w:rsidR="000D0988" w:rsidRDefault="000D0988" w:rsidP="000D0988">
      <w:pPr>
        <w:spacing w:line="360" w:lineRule="auto"/>
        <w:ind w:left="720" w:hanging="720"/>
        <w:jc w:val="both"/>
      </w:pPr>
      <w:proofErr w:type="spellStart"/>
      <w:r>
        <w:t>Ellsberg</w:t>
      </w:r>
      <w:proofErr w:type="spellEnd"/>
      <w:r>
        <w:t xml:space="preserve">, M., Arango, D. J., </w:t>
      </w:r>
      <w:proofErr w:type="spellStart"/>
      <w:r>
        <w:t>Morton</w:t>
      </w:r>
      <w:proofErr w:type="spellEnd"/>
      <w:r>
        <w:t xml:space="preserve">, M., </w:t>
      </w:r>
      <w:proofErr w:type="spellStart"/>
      <w:r>
        <w:t>Gennari</w:t>
      </w:r>
      <w:proofErr w:type="spellEnd"/>
      <w:r>
        <w:t xml:space="preserve">, F., </w:t>
      </w:r>
      <w:proofErr w:type="spellStart"/>
      <w:r>
        <w:t>Kiplesund</w:t>
      </w:r>
      <w:proofErr w:type="spellEnd"/>
      <w:r>
        <w:t xml:space="preserve">, S., Contreras, M., &amp; Watts, C. (2015). </w:t>
      </w:r>
      <w:proofErr w:type="spellStart"/>
      <w:r>
        <w:t>Prevention</w:t>
      </w:r>
      <w:proofErr w:type="spellEnd"/>
      <w:r>
        <w:t xml:space="preserve"> of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and </w:t>
      </w:r>
      <w:proofErr w:type="spellStart"/>
      <w:r>
        <w:t>girls</w:t>
      </w:r>
      <w:proofErr w:type="spellEnd"/>
      <w:r>
        <w:t xml:space="preserve">: </w:t>
      </w:r>
      <w:proofErr w:type="spellStart"/>
      <w:proofErr w:type="gramStart"/>
      <w:r>
        <w:t>What</w:t>
      </w:r>
      <w:proofErr w:type="spellEnd"/>
      <w:r>
        <w:t xml:space="preserve"> </w:t>
      </w:r>
      <w:proofErr w:type="spellStart"/>
      <w:r>
        <w:t>does</w:t>
      </w:r>
      <w:proofErr w:type="spellEnd"/>
      <w:r>
        <w:t xml:space="preserve"> </w:t>
      </w:r>
      <w:proofErr w:type="spellStart"/>
      <w:r>
        <w:t>the</w:t>
      </w:r>
      <w:proofErr w:type="spellEnd"/>
      <w:r>
        <w:t xml:space="preserve"> </w:t>
      </w:r>
      <w:proofErr w:type="spellStart"/>
      <w:r>
        <w:t>evidence</w:t>
      </w:r>
      <w:proofErr w:type="spellEnd"/>
      <w:r>
        <w:t xml:space="preserve"> </w:t>
      </w:r>
      <w:proofErr w:type="spellStart"/>
      <w:r>
        <w:t>say</w:t>
      </w:r>
      <w:proofErr w:type="spellEnd"/>
      <w:r>
        <w:t>?</w:t>
      </w:r>
      <w:proofErr w:type="gramEnd"/>
      <w:r>
        <w:t xml:space="preserve"> </w:t>
      </w:r>
      <w:proofErr w:type="spellStart"/>
      <w:r>
        <w:t>The</w:t>
      </w:r>
      <w:proofErr w:type="spellEnd"/>
      <w:r>
        <w:t xml:space="preserve"> </w:t>
      </w:r>
      <w:proofErr w:type="spellStart"/>
      <w:r>
        <w:t>Lancet</w:t>
      </w:r>
      <w:proofErr w:type="spellEnd"/>
      <w:r>
        <w:t xml:space="preserve">, 385(9977), 1555–1566. </w:t>
      </w:r>
      <w:hyperlink r:id="rId21" w:history="1">
        <w:r w:rsidRPr="009B4FE5">
          <w:rPr>
            <w:rStyle w:val="Hipervnculo"/>
          </w:rPr>
          <w:t>https://doi.org/10.1016/S0140-6736(14)61703-7</w:t>
        </w:r>
      </w:hyperlink>
      <w:r>
        <w:t xml:space="preserve">  </w:t>
      </w:r>
    </w:p>
    <w:p w:rsidR="000D0988" w:rsidRDefault="000D0988" w:rsidP="000D0988">
      <w:pPr>
        <w:spacing w:line="360" w:lineRule="auto"/>
        <w:ind w:left="720" w:hanging="720"/>
        <w:jc w:val="both"/>
      </w:pPr>
      <w:proofErr w:type="spellStart"/>
      <w:r>
        <w:t>Etikan</w:t>
      </w:r>
      <w:proofErr w:type="spellEnd"/>
      <w:r>
        <w:t xml:space="preserve">, I., Musa, S. A., &amp; </w:t>
      </w:r>
      <w:proofErr w:type="spellStart"/>
      <w:r>
        <w:t>Alkassim</w:t>
      </w:r>
      <w:proofErr w:type="spellEnd"/>
      <w:r>
        <w:t xml:space="preserve">, R. S. (2016). </w:t>
      </w:r>
      <w:proofErr w:type="spellStart"/>
      <w:r>
        <w:t>Comparison</w:t>
      </w:r>
      <w:proofErr w:type="spellEnd"/>
      <w:r>
        <w:t xml:space="preserve"> of </w:t>
      </w:r>
      <w:proofErr w:type="spellStart"/>
      <w:r>
        <w:t>convenience</w:t>
      </w:r>
      <w:proofErr w:type="spellEnd"/>
      <w:r>
        <w:t xml:space="preserve"> </w:t>
      </w:r>
      <w:proofErr w:type="spellStart"/>
      <w:r>
        <w:t>sampling</w:t>
      </w:r>
      <w:proofErr w:type="spellEnd"/>
      <w:r>
        <w:t xml:space="preserve"> and </w:t>
      </w:r>
      <w:proofErr w:type="spellStart"/>
      <w:r>
        <w:t>purposive</w:t>
      </w:r>
      <w:proofErr w:type="spellEnd"/>
      <w:r>
        <w:t xml:space="preserve"> </w:t>
      </w:r>
      <w:proofErr w:type="spellStart"/>
      <w:r>
        <w:t>sampling</w:t>
      </w:r>
      <w:proofErr w:type="spellEnd"/>
      <w:r>
        <w:t xml:space="preserve">. American </w:t>
      </w:r>
      <w:proofErr w:type="spellStart"/>
      <w:r>
        <w:t>Journal</w:t>
      </w:r>
      <w:proofErr w:type="spellEnd"/>
      <w:r>
        <w:t xml:space="preserve"> of </w:t>
      </w:r>
      <w:proofErr w:type="spellStart"/>
      <w:r>
        <w:t>Theoretical</w:t>
      </w:r>
      <w:proofErr w:type="spellEnd"/>
      <w:r>
        <w:t xml:space="preserve"> and </w:t>
      </w:r>
      <w:proofErr w:type="spellStart"/>
      <w:r>
        <w:t>Applied</w:t>
      </w:r>
      <w:proofErr w:type="spellEnd"/>
      <w:r>
        <w:t xml:space="preserve"> </w:t>
      </w:r>
      <w:proofErr w:type="spellStart"/>
      <w:r>
        <w:t>Statistics</w:t>
      </w:r>
      <w:proofErr w:type="spellEnd"/>
      <w:r>
        <w:t xml:space="preserve">, 5(1), 1-4. </w:t>
      </w:r>
      <w:hyperlink r:id="rId22" w:history="1">
        <w:r w:rsidRPr="009B4FE5">
          <w:rPr>
            <w:rStyle w:val="Hipervnculo"/>
          </w:rPr>
          <w:t>https://doi.org/10.11648/j.ajtas.20160501.11</w:t>
        </w:r>
      </w:hyperlink>
      <w:r>
        <w:t xml:space="preserve">  </w:t>
      </w:r>
    </w:p>
    <w:p w:rsidR="000D0988" w:rsidRDefault="000D0988" w:rsidP="000D0988">
      <w:pPr>
        <w:spacing w:line="360" w:lineRule="auto"/>
        <w:ind w:left="720" w:hanging="720"/>
        <w:jc w:val="both"/>
      </w:pPr>
      <w:r>
        <w:t xml:space="preserve">Faul, F., </w:t>
      </w:r>
      <w:proofErr w:type="spellStart"/>
      <w:r>
        <w:t>Erdfelder</w:t>
      </w:r>
      <w:proofErr w:type="spellEnd"/>
      <w:r>
        <w:t xml:space="preserve">, E., </w:t>
      </w:r>
      <w:proofErr w:type="spellStart"/>
      <w:r>
        <w:t>Buchner</w:t>
      </w:r>
      <w:proofErr w:type="spellEnd"/>
      <w:r>
        <w:t xml:space="preserve">, A., &amp; </w:t>
      </w:r>
      <w:proofErr w:type="spellStart"/>
      <w:r>
        <w:t>Lang</w:t>
      </w:r>
      <w:proofErr w:type="spellEnd"/>
      <w:r>
        <w:t xml:space="preserve">, A. G. (2009). </w:t>
      </w:r>
      <w:proofErr w:type="spellStart"/>
      <w:r>
        <w:t>Statistical</w:t>
      </w:r>
      <w:proofErr w:type="spellEnd"/>
      <w:r>
        <w:t xml:space="preserve"> </w:t>
      </w:r>
      <w:proofErr w:type="spellStart"/>
      <w:r>
        <w:t>power</w:t>
      </w:r>
      <w:proofErr w:type="spellEnd"/>
      <w:r>
        <w:t xml:space="preserve"> </w:t>
      </w:r>
      <w:proofErr w:type="spellStart"/>
      <w:r>
        <w:t>analyses</w:t>
      </w:r>
      <w:proofErr w:type="spellEnd"/>
      <w:r>
        <w:t xml:space="preserve"> </w:t>
      </w:r>
      <w:proofErr w:type="spellStart"/>
      <w:r>
        <w:t>using</w:t>
      </w:r>
      <w:proofErr w:type="spellEnd"/>
      <w:r>
        <w:t xml:space="preserve"> G*</w:t>
      </w:r>
      <w:proofErr w:type="spellStart"/>
      <w:r>
        <w:t>Power</w:t>
      </w:r>
      <w:proofErr w:type="spellEnd"/>
      <w:r>
        <w:t xml:space="preserve"> 3.1: </w:t>
      </w:r>
      <w:proofErr w:type="spellStart"/>
      <w:r>
        <w:t>Tests</w:t>
      </w:r>
      <w:proofErr w:type="spellEnd"/>
      <w:r>
        <w:t xml:space="preserve"> </w:t>
      </w:r>
      <w:proofErr w:type="spellStart"/>
      <w:r>
        <w:t>for</w:t>
      </w:r>
      <w:proofErr w:type="spellEnd"/>
      <w:r>
        <w:t xml:space="preserve"> </w:t>
      </w:r>
      <w:proofErr w:type="spellStart"/>
      <w:r>
        <w:t>correlation</w:t>
      </w:r>
      <w:proofErr w:type="spellEnd"/>
      <w:r>
        <w:t xml:space="preserve"> and </w:t>
      </w:r>
      <w:proofErr w:type="spellStart"/>
      <w:r>
        <w:t>regression</w:t>
      </w:r>
      <w:proofErr w:type="spellEnd"/>
      <w:r>
        <w:t xml:space="preserve"> </w:t>
      </w:r>
      <w:proofErr w:type="spellStart"/>
      <w:r>
        <w:t>analyses</w:t>
      </w:r>
      <w:proofErr w:type="spellEnd"/>
      <w:r>
        <w:t xml:space="preserve">. </w:t>
      </w:r>
      <w:proofErr w:type="spellStart"/>
      <w:r>
        <w:t>Behavior</w:t>
      </w:r>
      <w:proofErr w:type="spellEnd"/>
      <w:r>
        <w:t xml:space="preserve"> </w:t>
      </w:r>
      <w:proofErr w:type="spellStart"/>
      <w:r>
        <w:t>Research</w:t>
      </w:r>
      <w:proofErr w:type="spellEnd"/>
      <w:r>
        <w:t xml:space="preserve"> </w:t>
      </w:r>
      <w:proofErr w:type="spellStart"/>
      <w:r>
        <w:t>Methods</w:t>
      </w:r>
      <w:proofErr w:type="spellEnd"/>
      <w:r>
        <w:t xml:space="preserve">, 41(4), 1149-1160. </w:t>
      </w:r>
      <w:hyperlink r:id="rId23" w:history="1">
        <w:r w:rsidRPr="009B4FE5">
          <w:rPr>
            <w:rStyle w:val="Hipervnculo"/>
          </w:rPr>
          <w:t>https://doi.org/10.3758/BRM.41.4.1149</w:t>
        </w:r>
      </w:hyperlink>
      <w:r>
        <w:t xml:space="preserve">  </w:t>
      </w:r>
    </w:p>
    <w:p w:rsidR="000D0988" w:rsidRDefault="000D0988" w:rsidP="000D0988">
      <w:pPr>
        <w:spacing w:line="360" w:lineRule="auto"/>
        <w:ind w:left="720" w:hanging="720"/>
        <w:jc w:val="both"/>
      </w:pPr>
      <w:r>
        <w:t>Fernández, A. M. (2009). La mujer de la ilusión: Pactos y contratos entre hombres y mujeres. Paidós.</w:t>
      </w:r>
    </w:p>
    <w:p w:rsidR="000D0988" w:rsidRDefault="000D0988" w:rsidP="000D0988">
      <w:pPr>
        <w:spacing w:line="360" w:lineRule="auto"/>
        <w:ind w:left="720" w:hanging="720"/>
        <w:jc w:val="both"/>
      </w:pPr>
      <w:r>
        <w:t>Fernández, A. M. (2021). Psicoanálisis. De los lapsus fundacionales a los feminismos del siglo XXI. Paidós.</w:t>
      </w:r>
    </w:p>
    <w:p w:rsidR="000D0988" w:rsidRDefault="000D0988" w:rsidP="000D0988">
      <w:pPr>
        <w:spacing w:line="360" w:lineRule="auto"/>
        <w:ind w:left="720" w:hanging="720"/>
        <w:jc w:val="both"/>
      </w:pPr>
      <w:proofErr w:type="spellStart"/>
      <w:r>
        <w:t>Festinger</w:t>
      </w:r>
      <w:proofErr w:type="spellEnd"/>
      <w:r>
        <w:t xml:space="preserve">, L. (1957). A </w:t>
      </w:r>
      <w:proofErr w:type="spellStart"/>
      <w:r>
        <w:t>theory</w:t>
      </w:r>
      <w:proofErr w:type="spellEnd"/>
      <w:r>
        <w:t xml:space="preserve"> of </w:t>
      </w:r>
      <w:proofErr w:type="spellStart"/>
      <w:r>
        <w:t>cognitive</w:t>
      </w:r>
      <w:proofErr w:type="spellEnd"/>
      <w:r>
        <w:t xml:space="preserve"> </w:t>
      </w:r>
      <w:proofErr w:type="spellStart"/>
      <w:r>
        <w:t>dissonance</w:t>
      </w:r>
      <w:proofErr w:type="spellEnd"/>
      <w:r>
        <w:t xml:space="preserve">. Stanford </w:t>
      </w:r>
      <w:proofErr w:type="spellStart"/>
      <w:r>
        <w:t>University</w:t>
      </w:r>
      <w:proofErr w:type="spellEnd"/>
      <w:r>
        <w:t xml:space="preserve"> </w:t>
      </w:r>
      <w:proofErr w:type="spellStart"/>
      <w:r>
        <w:t>Press</w:t>
      </w:r>
      <w:proofErr w:type="spellEnd"/>
      <w:r>
        <w:t>.</w:t>
      </w:r>
    </w:p>
    <w:p w:rsidR="000D0988" w:rsidRDefault="000D0988" w:rsidP="000D0988">
      <w:pPr>
        <w:spacing w:line="360" w:lineRule="auto"/>
        <w:ind w:left="720" w:hanging="720"/>
        <w:jc w:val="both"/>
      </w:pPr>
      <w:r>
        <w:t xml:space="preserve">Field, A. (2018). </w:t>
      </w:r>
      <w:proofErr w:type="spellStart"/>
      <w:r>
        <w:t>Discovering</w:t>
      </w:r>
      <w:proofErr w:type="spellEnd"/>
      <w:r>
        <w:t xml:space="preserve"> </w:t>
      </w:r>
      <w:proofErr w:type="spellStart"/>
      <w:r>
        <w:t>statistics</w:t>
      </w:r>
      <w:proofErr w:type="spellEnd"/>
      <w:r>
        <w:t xml:space="preserve"> </w:t>
      </w:r>
      <w:proofErr w:type="spellStart"/>
      <w:r>
        <w:t>using</w:t>
      </w:r>
      <w:proofErr w:type="spellEnd"/>
      <w:r>
        <w:t xml:space="preserve"> IBM SPSS </w:t>
      </w:r>
      <w:proofErr w:type="spellStart"/>
      <w:r>
        <w:t>statistics</w:t>
      </w:r>
      <w:proofErr w:type="spellEnd"/>
      <w:r>
        <w:t xml:space="preserve"> (5th ed.). SAGE </w:t>
      </w:r>
      <w:proofErr w:type="spellStart"/>
      <w:r>
        <w:t>Publications</w:t>
      </w:r>
      <w:proofErr w:type="spellEnd"/>
      <w:r>
        <w:t>.</w:t>
      </w:r>
    </w:p>
    <w:p w:rsidR="000D0988" w:rsidRDefault="000D0988" w:rsidP="000D0988">
      <w:pPr>
        <w:spacing w:line="360" w:lineRule="auto"/>
        <w:ind w:left="720" w:hanging="720"/>
        <w:jc w:val="both"/>
      </w:pPr>
      <w:r>
        <w:t xml:space="preserve">Fisher, S. (2017). </w:t>
      </w:r>
      <w:proofErr w:type="spellStart"/>
      <w:r>
        <w:t>Healing</w:t>
      </w:r>
      <w:proofErr w:type="spellEnd"/>
      <w:r>
        <w:t xml:space="preserve"> </w:t>
      </w:r>
      <w:proofErr w:type="spellStart"/>
      <w:r>
        <w:t>the</w:t>
      </w:r>
      <w:proofErr w:type="spellEnd"/>
      <w:r>
        <w:t xml:space="preserve"> </w:t>
      </w:r>
      <w:proofErr w:type="spellStart"/>
      <w:r>
        <w:t>fragmented</w:t>
      </w:r>
      <w:proofErr w:type="spellEnd"/>
      <w:r>
        <w:t xml:space="preserve"> </w:t>
      </w:r>
      <w:proofErr w:type="spellStart"/>
      <w:r>
        <w:t>selves</w:t>
      </w:r>
      <w:proofErr w:type="spellEnd"/>
      <w:r>
        <w:t xml:space="preserve"> of trauma </w:t>
      </w:r>
      <w:proofErr w:type="spellStart"/>
      <w:r>
        <w:t>survivors</w:t>
      </w:r>
      <w:proofErr w:type="spellEnd"/>
      <w:r>
        <w:t xml:space="preserve">: </w:t>
      </w:r>
      <w:proofErr w:type="spellStart"/>
      <w:r>
        <w:t>Overcoming</w:t>
      </w:r>
      <w:proofErr w:type="spellEnd"/>
      <w:r>
        <w:t xml:space="preserve"> </w:t>
      </w:r>
      <w:proofErr w:type="spellStart"/>
      <w:r>
        <w:t>internal</w:t>
      </w:r>
      <w:proofErr w:type="spellEnd"/>
      <w:r>
        <w:t xml:space="preserve"> </w:t>
      </w:r>
      <w:proofErr w:type="spellStart"/>
      <w:r>
        <w:t>self-alienation</w:t>
      </w:r>
      <w:proofErr w:type="spellEnd"/>
      <w:r>
        <w:t xml:space="preserve">. </w:t>
      </w:r>
      <w:proofErr w:type="spellStart"/>
      <w:r>
        <w:t>Routledge</w:t>
      </w:r>
      <w:proofErr w:type="spellEnd"/>
      <w:r>
        <w:t xml:space="preserve">. </w:t>
      </w:r>
      <w:hyperlink r:id="rId24" w:history="1">
        <w:r w:rsidRPr="009B4FE5">
          <w:rPr>
            <w:rStyle w:val="Hipervnculo"/>
          </w:rPr>
          <w:t>https://doi.org/10.4324/9781315725461</w:t>
        </w:r>
      </w:hyperlink>
      <w:r>
        <w:t xml:space="preserve">  </w:t>
      </w:r>
    </w:p>
    <w:p w:rsidR="000D0988" w:rsidRDefault="000D0988" w:rsidP="000D0988">
      <w:pPr>
        <w:spacing w:line="360" w:lineRule="auto"/>
        <w:ind w:left="720" w:hanging="720"/>
        <w:jc w:val="both"/>
      </w:pPr>
      <w:proofErr w:type="spellStart"/>
      <w:r>
        <w:t>Flood</w:t>
      </w:r>
      <w:proofErr w:type="spellEnd"/>
      <w:r>
        <w:t xml:space="preserve">, M., &amp; </w:t>
      </w:r>
      <w:proofErr w:type="spellStart"/>
      <w:r>
        <w:t>Pease</w:t>
      </w:r>
      <w:proofErr w:type="spellEnd"/>
      <w:r>
        <w:t xml:space="preserve">, B. (2009). </w:t>
      </w:r>
      <w:proofErr w:type="spellStart"/>
      <w:r>
        <w:t>Factors</w:t>
      </w:r>
      <w:proofErr w:type="spellEnd"/>
      <w:r>
        <w:t xml:space="preserve"> </w:t>
      </w:r>
      <w:proofErr w:type="spellStart"/>
      <w:r>
        <w:t>influencing</w:t>
      </w:r>
      <w:proofErr w:type="spellEnd"/>
      <w:r>
        <w:t xml:space="preserve"> </w:t>
      </w:r>
      <w:proofErr w:type="spellStart"/>
      <w:r>
        <w:t>attitudes</w:t>
      </w:r>
      <w:proofErr w:type="spellEnd"/>
      <w:r>
        <w:t xml:space="preserve"> to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Trauma, </w:t>
      </w:r>
      <w:proofErr w:type="spellStart"/>
      <w:r>
        <w:t>Violence</w:t>
      </w:r>
      <w:proofErr w:type="spellEnd"/>
      <w:r>
        <w:t xml:space="preserve">, &amp; Abuse, 10(2), 125–142. </w:t>
      </w:r>
      <w:hyperlink r:id="rId25" w:history="1">
        <w:r w:rsidRPr="009B4FE5">
          <w:rPr>
            <w:rStyle w:val="Hipervnculo"/>
          </w:rPr>
          <w:t>https://doi.org/10.1177/1524838009334131</w:t>
        </w:r>
      </w:hyperlink>
      <w:r>
        <w:t xml:space="preserve">  </w:t>
      </w:r>
    </w:p>
    <w:p w:rsidR="000D0988" w:rsidRDefault="000D0988" w:rsidP="000D0988">
      <w:pPr>
        <w:spacing w:line="360" w:lineRule="auto"/>
        <w:ind w:left="720" w:hanging="720"/>
        <w:jc w:val="both"/>
      </w:pPr>
      <w:r>
        <w:lastRenderedPageBreak/>
        <w:t xml:space="preserve">García-Moreno, C., </w:t>
      </w:r>
      <w:proofErr w:type="spellStart"/>
      <w:r>
        <w:t>Hegarty</w:t>
      </w:r>
      <w:proofErr w:type="spellEnd"/>
      <w:r>
        <w:t xml:space="preserve">, K., </w:t>
      </w:r>
      <w:proofErr w:type="spellStart"/>
      <w:r>
        <w:t>d'Oliveira</w:t>
      </w:r>
      <w:proofErr w:type="spellEnd"/>
      <w:r>
        <w:t xml:space="preserve">, A. F. L., </w:t>
      </w:r>
      <w:proofErr w:type="spellStart"/>
      <w:r>
        <w:t>Koziol-McLain</w:t>
      </w:r>
      <w:proofErr w:type="spellEnd"/>
      <w:r>
        <w:t xml:space="preserve">, J., </w:t>
      </w:r>
      <w:proofErr w:type="spellStart"/>
      <w:r>
        <w:t>Colombini</w:t>
      </w:r>
      <w:proofErr w:type="spellEnd"/>
      <w:r>
        <w:t xml:space="preserve">, M., &amp; </w:t>
      </w:r>
      <w:proofErr w:type="spellStart"/>
      <w:r>
        <w:t>Feder</w:t>
      </w:r>
      <w:proofErr w:type="spellEnd"/>
      <w:r>
        <w:t xml:space="preserve">, G. (2015). </w:t>
      </w:r>
      <w:proofErr w:type="spellStart"/>
      <w:r>
        <w:t>The</w:t>
      </w:r>
      <w:proofErr w:type="spellEnd"/>
      <w:r>
        <w:t xml:space="preserve"> </w:t>
      </w:r>
      <w:proofErr w:type="spellStart"/>
      <w:r>
        <w:t>health-systems</w:t>
      </w:r>
      <w:proofErr w:type="spellEnd"/>
      <w:r>
        <w:t xml:space="preserve"> response to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The</w:t>
      </w:r>
      <w:proofErr w:type="spellEnd"/>
      <w:r>
        <w:t xml:space="preserve"> </w:t>
      </w:r>
      <w:proofErr w:type="spellStart"/>
      <w:r>
        <w:t>Lancet</w:t>
      </w:r>
      <w:proofErr w:type="spellEnd"/>
      <w:r>
        <w:t xml:space="preserve">, 385(9977), 1567–1579. </w:t>
      </w:r>
      <w:hyperlink r:id="rId26" w:history="1">
        <w:r w:rsidRPr="009B4FE5">
          <w:rPr>
            <w:rStyle w:val="Hipervnculo"/>
          </w:rPr>
          <w:t>https://doi.org/10.1016/S0140-6736(14)61837-7</w:t>
        </w:r>
      </w:hyperlink>
      <w:r>
        <w:t xml:space="preserve">  </w:t>
      </w:r>
    </w:p>
    <w:p w:rsidR="000D0988" w:rsidRDefault="000D0988" w:rsidP="000D0988">
      <w:pPr>
        <w:spacing w:line="360" w:lineRule="auto"/>
        <w:ind w:left="720" w:hanging="720"/>
        <w:jc w:val="both"/>
      </w:pPr>
      <w:r>
        <w:t xml:space="preserve">García-Moreno, C., </w:t>
      </w:r>
      <w:proofErr w:type="spellStart"/>
      <w:r>
        <w:t>Zimmerman</w:t>
      </w:r>
      <w:proofErr w:type="spellEnd"/>
      <w:r>
        <w:t>, C., Morris-</w:t>
      </w:r>
      <w:proofErr w:type="spellStart"/>
      <w:r>
        <w:t>Gehring</w:t>
      </w:r>
      <w:proofErr w:type="spellEnd"/>
      <w:r>
        <w:t xml:space="preserve">, A., </w:t>
      </w:r>
      <w:proofErr w:type="spellStart"/>
      <w:r>
        <w:t>Heise</w:t>
      </w:r>
      <w:proofErr w:type="spellEnd"/>
      <w:r>
        <w:t xml:space="preserve">, L., </w:t>
      </w:r>
      <w:proofErr w:type="spellStart"/>
      <w:r>
        <w:t>Amin</w:t>
      </w:r>
      <w:proofErr w:type="spellEnd"/>
      <w:r>
        <w:t xml:space="preserve">, A., </w:t>
      </w:r>
      <w:proofErr w:type="spellStart"/>
      <w:r>
        <w:t>Abrahams</w:t>
      </w:r>
      <w:proofErr w:type="spellEnd"/>
      <w:r>
        <w:t xml:space="preserve">, N., ... &amp; Watts, C. (2015). </w:t>
      </w:r>
      <w:proofErr w:type="spellStart"/>
      <w:r>
        <w:t>Addressing</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 </w:t>
      </w:r>
      <w:proofErr w:type="spellStart"/>
      <w:r>
        <w:t>call</w:t>
      </w:r>
      <w:proofErr w:type="spellEnd"/>
      <w:r>
        <w:t xml:space="preserve"> to </w:t>
      </w:r>
      <w:proofErr w:type="spellStart"/>
      <w:r>
        <w:t>action</w:t>
      </w:r>
      <w:proofErr w:type="spellEnd"/>
      <w:r>
        <w:t xml:space="preserve">. </w:t>
      </w:r>
      <w:proofErr w:type="spellStart"/>
      <w:r>
        <w:t>The</w:t>
      </w:r>
      <w:proofErr w:type="spellEnd"/>
      <w:r>
        <w:t xml:space="preserve"> </w:t>
      </w:r>
      <w:proofErr w:type="spellStart"/>
      <w:r>
        <w:t>Lancet</w:t>
      </w:r>
      <w:proofErr w:type="spellEnd"/>
      <w:r>
        <w:t xml:space="preserve">, 385(9978), 1685–1695. </w:t>
      </w:r>
      <w:hyperlink r:id="rId27" w:history="1">
        <w:r w:rsidRPr="009B4FE5">
          <w:rPr>
            <w:rStyle w:val="Hipervnculo"/>
          </w:rPr>
          <w:t>https://doi.org/10.1016/S0140-6736(14)61830-4</w:t>
        </w:r>
      </w:hyperlink>
      <w:r>
        <w:t xml:space="preserve">  </w:t>
      </w:r>
    </w:p>
    <w:p w:rsidR="000D0988" w:rsidRDefault="000D0988" w:rsidP="000D0988">
      <w:pPr>
        <w:spacing w:line="360" w:lineRule="auto"/>
        <w:ind w:left="720" w:hanging="720"/>
        <w:jc w:val="both"/>
      </w:pPr>
      <w:r>
        <w:t xml:space="preserve">George, D., &amp; </w:t>
      </w:r>
      <w:proofErr w:type="spellStart"/>
      <w:r>
        <w:t>Mallery</w:t>
      </w:r>
      <w:proofErr w:type="spellEnd"/>
      <w:r>
        <w:t xml:space="preserve">, P. (2019). IBM SPSS </w:t>
      </w:r>
      <w:proofErr w:type="spellStart"/>
      <w:r>
        <w:t>statistics</w:t>
      </w:r>
      <w:proofErr w:type="spellEnd"/>
      <w:r>
        <w:t xml:space="preserve"> 26 </w:t>
      </w:r>
      <w:proofErr w:type="spellStart"/>
      <w:r>
        <w:t>step</w:t>
      </w:r>
      <w:proofErr w:type="spellEnd"/>
      <w:r>
        <w:t xml:space="preserve"> </w:t>
      </w:r>
      <w:proofErr w:type="spellStart"/>
      <w:r>
        <w:t>by</w:t>
      </w:r>
      <w:proofErr w:type="spellEnd"/>
      <w:r>
        <w:t xml:space="preserve"> </w:t>
      </w:r>
      <w:proofErr w:type="spellStart"/>
      <w:r>
        <w:t>step</w:t>
      </w:r>
      <w:proofErr w:type="spellEnd"/>
      <w:r>
        <w:t xml:space="preserve">: A simple </w:t>
      </w:r>
      <w:proofErr w:type="spellStart"/>
      <w:r>
        <w:t>guide</w:t>
      </w:r>
      <w:proofErr w:type="spellEnd"/>
      <w:r>
        <w:t xml:space="preserve"> and </w:t>
      </w:r>
      <w:proofErr w:type="spellStart"/>
      <w:r>
        <w:t>reference</w:t>
      </w:r>
      <w:proofErr w:type="spellEnd"/>
      <w:r>
        <w:t xml:space="preserve"> (16th ed.). </w:t>
      </w:r>
      <w:proofErr w:type="spellStart"/>
      <w:r>
        <w:t>Routledge</w:t>
      </w:r>
      <w:proofErr w:type="spellEnd"/>
      <w:r>
        <w:t>.</w:t>
      </w:r>
    </w:p>
    <w:p w:rsidR="000D0988" w:rsidRDefault="000D0988" w:rsidP="000D0988">
      <w:pPr>
        <w:spacing w:line="360" w:lineRule="auto"/>
        <w:ind w:left="720" w:hanging="720"/>
        <w:jc w:val="both"/>
      </w:pPr>
      <w:proofErr w:type="spellStart"/>
      <w:r>
        <w:t>Gondolf</w:t>
      </w:r>
      <w:proofErr w:type="spellEnd"/>
      <w:r>
        <w:t xml:space="preserve">, E. W. (2012). </w:t>
      </w:r>
      <w:proofErr w:type="spellStart"/>
      <w:r>
        <w:t>The</w:t>
      </w:r>
      <w:proofErr w:type="spellEnd"/>
      <w:r>
        <w:t xml:space="preserve"> </w:t>
      </w:r>
      <w:proofErr w:type="spellStart"/>
      <w:r>
        <w:t>future</w:t>
      </w:r>
      <w:proofErr w:type="spellEnd"/>
      <w:r>
        <w:t xml:space="preserve"> of </w:t>
      </w:r>
      <w:proofErr w:type="spellStart"/>
      <w:r>
        <w:t>batterer</w:t>
      </w:r>
      <w:proofErr w:type="spellEnd"/>
      <w:r>
        <w:t xml:space="preserve"> </w:t>
      </w:r>
      <w:proofErr w:type="spellStart"/>
      <w:r>
        <w:t>programs</w:t>
      </w:r>
      <w:proofErr w:type="spellEnd"/>
      <w:r>
        <w:t xml:space="preserve">: </w:t>
      </w:r>
      <w:proofErr w:type="spellStart"/>
      <w:r>
        <w:t>Reassessing</w:t>
      </w:r>
      <w:proofErr w:type="spellEnd"/>
      <w:r>
        <w:t xml:space="preserve"> </w:t>
      </w:r>
      <w:proofErr w:type="spellStart"/>
      <w:r>
        <w:t>evidence-based</w:t>
      </w:r>
      <w:proofErr w:type="spellEnd"/>
      <w:r>
        <w:t xml:space="preserve"> </w:t>
      </w:r>
      <w:proofErr w:type="spellStart"/>
      <w:r>
        <w:t>practice</w:t>
      </w:r>
      <w:proofErr w:type="spellEnd"/>
      <w:r>
        <w:t xml:space="preserve">. </w:t>
      </w:r>
      <w:proofErr w:type="spellStart"/>
      <w:r>
        <w:t>Northeastern</w:t>
      </w:r>
      <w:proofErr w:type="spellEnd"/>
      <w:r>
        <w:t xml:space="preserve"> </w:t>
      </w:r>
      <w:proofErr w:type="spellStart"/>
      <w:r>
        <w:t>University</w:t>
      </w:r>
      <w:proofErr w:type="spellEnd"/>
      <w:r>
        <w:t xml:space="preserve"> </w:t>
      </w:r>
      <w:proofErr w:type="spellStart"/>
      <w:r>
        <w:t>Press</w:t>
      </w:r>
      <w:proofErr w:type="spellEnd"/>
      <w:r>
        <w:t xml:space="preserve">. </w:t>
      </w:r>
    </w:p>
    <w:p w:rsidR="000D0988" w:rsidRDefault="000D0988" w:rsidP="000D0988">
      <w:pPr>
        <w:spacing w:line="360" w:lineRule="auto"/>
        <w:ind w:left="720" w:hanging="720"/>
        <w:jc w:val="both"/>
      </w:pPr>
      <w:r>
        <w:t xml:space="preserve">Góngora, V. C., &amp; Casullo, M. M. (2009). Validación de la escala de autoestima de </w:t>
      </w:r>
      <w:proofErr w:type="spellStart"/>
      <w:r>
        <w:t>Rosenberg</w:t>
      </w:r>
      <w:proofErr w:type="spellEnd"/>
      <w:r>
        <w:t xml:space="preserve"> en población general y en población clínica de la Ciudad de Buenos Aires. Revista Iberoamericana de Diagnóstico y Evaluación Psicológica, 27(1), 179-194. </w:t>
      </w:r>
    </w:p>
    <w:p w:rsidR="000D0988" w:rsidRDefault="000D0988" w:rsidP="000D0988">
      <w:pPr>
        <w:spacing w:line="360" w:lineRule="auto"/>
        <w:ind w:left="720" w:hanging="720"/>
        <w:jc w:val="both"/>
      </w:pPr>
      <w:r>
        <w:t xml:space="preserve">González, M., &amp; Ramírez, A. (2019). Actitudes hacia la violencia de género en jóvenes universitarios: Influencia del contexto educativo y social. Revista Colombiana de Psicología, 28(1), 15–28. </w:t>
      </w:r>
      <w:hyperlink r:id="rId28" w:history="1">
        <w:r w:rsidRPr="009B4FE5">
          <w:rPr>
            <w:rStyle w:val="Hipervnculo"/>
          </w:rPr>
          <w:t>https://doi.org/10.15446/rcp.v28n1.75720</w:t>
        </w:r>
      </w:hyperlink>
      <w:r>
        <w:t xml:space="preserve">  </w:t>
      </w:r>
    </w:p>
    <w:p w:rsidR="000D0988" w:rsidRDefault="000D0988" w:rsidP="000D0988">
      <w:pPr>
        <w:spacing w:line="360" w:lineRule="auto"/>
        <w:ind w:left="720" w:hanging="720"/>
        <w:jc w:val="both"/>
      </w:pPr>
      <w:r>
        <w:t xml:space="preserve">Gracia, E. (2014). </w:t>
      </w:r>
      <w:proofErr w:type="spellStart"/>
      <w:r>
        <w:t>Attitudes</w:t>
      </w:r>
      <w:proofErr w:type="spellEnd"/>
      <w:r>
        <w:t xml:space="preserve"> </w:t>
      </w:r>
      <w:proofErr w:type="spellStart"/>
      <w:r>
        <w:t>toward</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in </w:t>
      </w:r>
      <w:proofErr w:type="spellStart"/>
      <w:r>
        <w:t>the</w:t>
      </w:r>
      <w:proofErr w:type="spellEnd"/>
      <w:r>
        <w:t xml:space="preserve"> EU. </w:t>
      </w:r>
      <w:proofErr w:type="spellStart"/>
      <w:r>
        <w:t>European</w:t>
      </w:r>
      <w:proofErr w:type="spellEnd"/>
      <w:r>
        <w:t xml:space="preserve"> </w:t>
      </w:r>
      <w:proofErr w:type="spellStart"/>
      <w:r>
        <w:t>Psychologist</w:t>
      </w:r>
      <w:proofErr w:type="spellEnd"/>
      <w:r>
        <w:t xml:space="preserve">, 19(2), 93–102. </w:t>
      </w:r>
      <w:hyperlink r:id="rId29" w:history="1">
        <w:r w:rsidRPr="009B4FE5">
          <w:rPr>
            <w:rStyle w:val="Hipervnculo"/>
          </w:rPr>
          <w:t>https://doi.org/10.1027/1016-9040/a000183</w:t>
        </w:r>
      </w:hyperlink>
      <w:r>
        <w:t xml:space="preserve">  </w:t>
      </w:r>
    </w:p>
    <w:p w:rsidR="000D0988" w:rsidRDefault="000D0988" w:rsidP="000D0988">
      <w:pPr>
        <w:spacing w:line="360" w:lineRule="auto"/>
        <w:ind w:left="720" w:hanging="720"/>
        <w:jc w:val="both"/>
      </w:pPr>
      <w:proofErr w:type="spellStart"/>
      <w:r>
        <w:t>Heise</w:t>
      </w:r>
      <w:proofErr w:type="spellEnd"/>
      <w:r>
        <w:t xml:space="preserve">, L. (2011). </w:t>
      </w:r>
      <w:proofErr w:type="spellStart"/>
      <w:r>
        <w:t>What</w:t>
      </w:r>
      <w:proofErr w:type="spellEnd"/>
      <w:r>
        <w:t xml:space="preserve"> </w:t>
      </w:r>
      <w:proofErr w:type="spellStart"/>
      <w:r>
        <w:t>works</w:t>
      </w:r>
      <w:proofErr w:type="spellEnd"/>
      <w:r>
        <w:t xml:space="preserve"> to </w:t>
      </w:r>
      <w:proofErr w:type="spellStart"/>
      <w:r>
        <w:t>prevent</w:t>
      </w:r>
      <w:proofErr w:type="spellEnd"/>
      <w:r>
        <w:t xml:space="preserve"> </w:t>
      </w:r>
      <w:proofErr w:type="spellStart"/>
      <w:r>
        <w:t>partner</w:t>
      </w:r>
      <w:proofErr w:type="spellEnd"/>
      <w:r>
        <w:t xml:space="preserve"> </w:t>
      </w:r>
      <w:proofErr w:type="spellStart"/>
      <w:r>
        <w:t>violence</w:t>
      </w:r>
      <w:proofErr w:type="spellEnd"/>
      <w:r>
        <w:t xml:space="preserve">? </w:t>
      </w:r>
      <w:proofErr w:type="spellStart"/>
      <w:r>
        <w:t>An</w:t>
      </w:r>
      <w:proofErr w:type="spellEnd"/>
      <w:r>
        <w:t xml:space="preserve"> </w:t>
      </w:r>
      <w:proofErr w:type="spellStart"/>
      <w:r>
        <w:t>evidence</w:t>
      </w:r>
      <w:proofErr w:type="spellEnd"/>
      <w:r>
        <w:t xml:space="preserve"> </w:t>
      </w:r>
      <w:proofErr w:type="spellStart"/>
      <w:r>
        <w:t>overview</w:t>
      </w:r>
      <w:proofErr w:type="spellEnd"/>
      <w:r>
        <w:t xml:space="preserve">. </w:t>
      </w:r>
      <w:proofErr w:type="spellStart"/>
      <w:r>
        <w:t>Strive</w:t>
      </w:r>
      <w:proofErr w:type="spellEnd"/>
      <w:r>
        <w:t xml:space="preserve"> </w:t>
      </w:r>
      <w:proofErr w:type="spellStart"/>
      <w:r>
        <w:t>Research</w:t>
      </w:r>
      <w:proofErr w:type="spellEnd"/>
      <w:r>
        <w:t xml:space="preserve"> </w:t>
      </w:r>
      <w:proofErr w:type="spellStart"/>
      <w:r>
        <w:t>Consortium</w:t>
      </w:r>
      <w:proofErr w:type="spellEnd"/>
      <w:r>
        <w:t>.</w:t>
      </w:r>
    </w:p>
    <w:p w:rsidR="000D0988" w:rsidRDefault="000D0988" w:rsidP="000D0988">
      <w:pPr>
        <w:spacing w:line="360" w:lineRule="auto"/>
        <w:ind w:left="720" w:hanging="720"/>
        <w:jc w:val="both"/>
      </w:pPr>
      <w:r>
        <w:t xml:space="preserve">Herman, J. L. (2015). Trauma and </w:t>
      </w:r>
      <w:proofErr w:type="spellStart"/>
      <w:r>
        <w:t>recovery</w:t>
      </w:r>
      <w:proofErr w:type="spellEnd"/>
      <w:r>
        <w:t xml:space="preserve">: </w:t>
      </w:r>
      <w:proofErr w:type="spellStart"/>
      <w:r>
        <w:t>The</w:t>
      </w:r>
      <w:proofErr w:type="spellEnd"/>
      <w:r>
        <w:t xml:space="preserve"> </w:t>
      </w:r>
      <w:proofErr w:type="spellStart"/>
      <w:r>
        <w:t>aftermath</w:t>
      </w:r>
      <w:proofErr w:type="spellEnd"/>
      <w:r>
        <w:t xml:space="preserve"> of </w:t>
      </w:r>
      <w:proofErr w:type="spellStart"/>
      <w:r>
        <w:t>violence</w:t>
      </w:r>
      <w:proofErr w:type="spellEnd"/>
      <w:r>
        <w:t>—</w:t>
      </w:r>
      <w:proofErr w:type="spellStart"/>
      <w:r>
        <w:t>from</w:t>
      </w:r>
      <w:proofErr w:type="spellEnd"/>
      <w:r>
        <w:t xml:space="preserve"> </w:t>
      </w:r>
      <w:proofErr w:type="spellStart"/>
      <w:r>
        <w:t>domestic</w:t>
      </w:r>
      <w:proofErr w:type="spellEnd"/>
      <w:r>
        <w:t xml:space="preserve"> abuse to </w:t>
      </w:r>
      <w:proofErr w:type="spellStart"/>
      <w:r>
        <w:t>political</w:t>
      </w:r>
      <w:proofErr w:type="spellEnd"/>
      <w:r>
        <w:t xml:space="preserve"> terror (2nd ed.). Basic </w:t>
      </w:r>
      <w:proofErr w:type="spellStart"/>
      <w:r>
        <w:t>Books</w:t>
      </w:r>
      <w:proofErr w:type="spellEnd"/>
      <w:r>
        <w:t>.</w:t>
      </w:r>
    </w:p>
    <w:p w:rsidR="000D0988" w:rsidRDefault="000D0988" w:rsidP="000D0988">
      <w:pPr>
        <w:spacing w:line="360" w:lineRule="auto"/>
        <w:ind w:left="720" w:hanging="720"/>
        <w:jc w:val="both"/>
      </w:pPr>
      <w:r>
        <w:t>Hernández-</w:t>
      </w:r>
      <w:proofErr w:type="spellStart"/>
      <w:r>
        <w:t>Sampieri</w:t>
      </w:r>
      <w:proofErr w:type="spellEnd"/>
      <w:r>
        <w:t>, R., &amp; Mendoza, C. P. (2018). Metodología de la investigación: Las rutas cuantitativa, cualitativa y mixta. McGraw-Hill.</w:t>
      </w:r>
    </w:p>
    <w:p w:rsidR="000D0988" w:rsidRDefault="000D0988" w:rsidP="000D0988">
      <w:pPr>
        <w:spacing w:line="360" w:lineRule="auto"/>
        <w:ind w:left="720" w:hanging="720"/>
        <w:jc w:val="both"/>
      </w:pPr>
      <w:proofErr w:type="spellStart"/>
      <w:r>
        <w:t>hooks</w:t>
      </w:r>
      <w:proofErr w:type="spellEnd"/>
      <w:r>
        <w:t>, b. (2020). El feminismo es para todo el mundo: Una política apasionada. Traficantes de Sueños.</w:t>
      </w:r>
    </w:p>
    <w:p w:rsidR="000D0988" w:rsidRDefault="000D0988" w:rsidP="000D0988">
      <w:pPr>
        <w:spacing w:line="360" w:lineRule="auto"/>
        <w:ind w:left="720" w:hanging="720"/>
        <w:jc w:val="both"/>
      </w:pPr>
      <w:proofErr w:type="spellStart"/>
      <w:r>
        <w:t>Hunnicutt</w:t>
      </w:r>
      <w:proofErr w:type="spellEnd"/>
      <w:r>
        <w:t xml:space="preserve">, G. (2009). </w:t>
      </w:r>
      <w:proofErr w:type="spellStart"/>
      <w:r>
        <w:t>Varieties</w:t>
      </w:r>
      <w:proofErr w:type="spellEnd"/>
      <w:r>
        <w:t xml:space="preserve"> of </w:t>
      </w:r>
      <w:proofErr w:type="spellStart"/>
      <w:r>
        <w:t>patriarchy</w:t>
      </w:r>
      <w:proofErr w:type="spellEnd"/>
      <w:r>
        <w:t xml:space="preserve"> and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Resurrecting</w:t>
      </w:r>
      <w:proofErr w:type="spellEnd"/>
      <w:r>
        <w:t xml:space="preserve"> "</w:t>
      </w:r>
      <w:proofErr w:type="spellStart"/>
      <w:r>
        <w:t>patriarchy</w:t>
      </w:r>
      <w:proofErr w:type="spellEnd"/>
      <w:r>
        <w:t xml:space="preserve">" as a </w:t>
      </w:r>
      <w:proofErr w:type="spellStart"/>
      <w:r>
        <w:t>theoretical</w:t>
      </w:r>
      <w:proofErr w:type="spellEnd"/>
      <w:r>
        <w:t xml:space="preserve"> </w:t>
      </w:r>
      <w:proofErr w:type="spellStart"/>
      <w:r>
        <w:t>tool</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15(5), 553–573. </w:t>
      </w:r>
      <w:hyperlink r:id="rId30" w:history="1">
        <w:r w:rsidRPr="009B4FE5">
          <w:rPr>
            <w:rStyle w:val="Hipervnculo"/>
          </w:rPr>
          <w:t>https://doi.org/10.1177/1077801208331246</w:t>
        </w:r>
      </w:hyperlink>
      <w:r>
        <w:t xml:space="preserve">  </w:t>
      </w:r>
    </w:p>
    <w:p w:rsidR="000D0988" w:rsidRDefault="000D0988" w:rsidP="000D0988">
      <w:pPr>
        <w:spacing w:line="360" w:lineRule="auto"/>
        <w:ind w:left="720" w:hanging="720"/>
        <w:jc w:val="both"/>
      </w:pPr>
      <w:r>
        <w:t xml:space="preserve">IBM Corp. (2023). IBM SPSS </w:t>
      </w:r>
      <w:proofErr w:type="spellStart"/>
      <w:r>
        <w:t>Statistics</w:t>
      </w:r>
      <w:proofErr w:type="spellEnd"/>
      <w:r>
        <w:t xml:space="preserve"> </w:t>
      </w:r>
      <w:proofErr w:type="spellStart"/>
      <w:r>
        <w:t>for</w:t>
      </w:r>
      <w:proofErr w:type="spellEnd"/>
      <w:r>
        <w:t xml:space="preserve"> Windows (</w:t>
      </w:r>
      <w:proofErr w:type="spellStart"/>
      <w:r>
        <w:t>Version</w:t>
      </w:r>
      <w:proofErr w:type="spellEnd"/>
      <w:r>
        <w:t xml:space="preserve"> 29.0) [</w:t>
      </w:r>
      <w:proofErr w:type="spellStart"/>
      <w:r>
        <w:t>Computer</w:t>
      </w:r>
      <w:proofErr w:type="spellEnd"/>
      <w:r>
        <w:t xml:space="preserve"> software]. IBM Corp.</w:t>
      </w:r>
    </w:p>
    <w:p w:rsidR="000D0988" w:rsidRDefault="000D0988" w:rsidP="000D0988">
      <w:pPr>
        <w:spacing w:line="360" w:lineRule="auto"/>
        <w:ind w:left="720" w:hanging="720"/>
        <w:jc w:val="both"/>
      </w:pPr>
      <w:proofErr w:type="spellStart"/>
      <w:r>
        <w:lastRenderedPageBreak/>
        <w:t>Jewkes</w:t>
      </w:r>
      <w:proofErr w:type="spellEnd"/>
      <w:r>
        <w:t xml:space="preserve">, R., </w:t>
      </w:r>
      <w:proofErr w:type="spellStart"/>
      <w:r>
        <w:t>Flood</w:t>
      </w:r>
      <w:proofErr w:type="spellEnd"/>
      <w:r>
        <w:t xml:space="preserve">, M., &amp; </w:t>
      </w:r>
      <w:proofErr w:type="spellStart"/>
      <w:r>
        <w:t>Lang</w:t>
      </w:r>
      <w:proofErr w:type="spellEnd"/>
      <w:r>
        <w:t xml:space="preserve">, J. (2015). </w:t>
      </w:r>
      <w:proofErr w:type="spellStart"/>
      <w:r>
        <w:t>From</w:t>
      </w:r>
      <w:proofErr w:type="spellEnd"/>
      <w:r>
        <w:t xml:space="preserve"> </w:t>
      </w:r>
      <w:proofErr w:type="spellStart"/>
      <w:r>
        <w:t>work</w:t>
      </w:r>
      <w:proofErr w:type="spellEnd"/>
      <w:r>
        <w:t xml:space="preserve"> </w:t>
      </w:r>
      <w:proofErr w:type="spellStart"/>
      <w:r>
        <w:t>with</w:t>
      </w:r>
      <w:proofErr w:type="spellEnd"/>
      <w:r>
        <w:t xml:space="preserve"> </w:t>
      </w:r>
      <w:proofErr w:type="spellStart"/>
      <w:r>
        <w:t>men</w:t>
      </w:r>
      <w:proofErr w:type="spellEnd"/>
      <w:r>
        <w:t xml:space="preserve"> and </w:t>
      </w:r>
      <w:proofErr w:type="spellStart"/>
      <w:r>
        <w:t>boys</w:t>
      </w:r>
      <w:proofErr w:type="spellEnd"/>
      <w:r>
        <w:t xml:space="preserve"> to </w:t>
      </w:r>
      <w:proofErr w:type="spellStart"/>
      <w:r>
        <w:t>changes</w:t>
      </w:r>
      <w:proofErr w:type="spellEnd"/>
      <w:r>
        <w:t xml:space="preserve"> in social </w:t>
      </w:r>
      <w:proofErr w:type="spellStart"/>
      <w:r>
        <w:t>norms</w:t>
      </w:r>
      <w:proofErr w:type="spellEnd"/>
      <w:r>
        <w:t xml:space="preserve"> and </w:t>
      </w:r>
      <w:proofErr w:type="spellStart"/>
      <w:r>
        <w:t>reduction</w:t>
      </w:r>
      <w:proofErr w:type="spellEnd"/>
      <w:r>
        <w:t xml:space="preserve"> of </w:t>
      </w:r>
      <w:proofErr w:type="spellStart"/>
      <w:r>
        <w:t>inequities</w:t>
      </w:r>
      <w:proofErr w:type="spellEnd"/>
      <w:r>
        <w:t xml:space="preserve"> in </w:t>
      </w:r>
      <w:proofErr w:type="spellStart"/>
      <w:r>
        <w:t>gender</w:t>
      </w:r>
      <w:proofErr w:type="spellEnd"/>
      <w:r>
        <w:t xml:space="preserve"> </w:t>
      </w:r>
      <w:proofErr w:type="spellStart"/>
      <w:r>
        <w:t>relations</w:t>
      </w:r>
      <w:proofErr w:type="spellEnd"/>
      <w:r>
        <w:t xml:space="preserve">: A conceptual </w:t>
      </w:r>
      <w:proofErr w:type="spellStart"/>
      <w:r>
        <w:t>shift</w:t>
      </w:r>
      <w:proofErr w:type="spellEnd"/>
      <w:r>
        <w:t xml:space="preserve"> in </w:t>
      </w:r>
      <w:proofErr w:type="spellStart"/>
      <w:r>
        <w:t>prevention</w:t>
      </w:r>
      <w:proofErr w:type="spellEnd"/>
      <w:r>
        <w:t xml:space="preserve"> of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and </w:t>
      </w:r>
      <w:proofErr w:type="spellStart"/>
      <w:r>
        <w:t>girls</w:t>
      </w:r>
      <w:proofErr w:type="spellEnd"/>
      <w:r>
        <w:t xml:space="preserve">. </w:t>
      </w:r>
      <w:proofErr w:type="spellStart"/>
      <w:r>
        <w:t>The</w:t>
      </w:r>
      <w:proofErr w:type="spellEnd"/>
      <w:r>
        <w:t xml:space="preserve"> </w:t>
      </w:r>
      <w:proofErr w:type="spellStart"/>
      <w:r>
        <w:t>Lancet</w:t>
      </w:r>
      <w:proofErr w:type="spellEnd"/>
      <w:r>
        <w:t xml:space="preserve">, 385(9977), 1580–1589. </w:t>
      </w:r>
      <w:hyperlink r:id="rId31" w:history="1">
        <w:r w:rsidRPr="009B4FE5">
          <w:rPr>
            <w:rStyle w:val="Hipervnculo"/>
          </w:rPr>
          <w:t>https://doi.org/10.1016/S0140-6736(14)61683-4</w:t>
        </w:r>
      </w:hyperlink>
      <w:r>
        <w:t xml:space="preserve">  </w:t>
      </w:r>
    </w:p>
    <w:p w:rsidR="000D0988" w:rsidRDefault="000D0988" w:rsidP="000D0988">
      <w:pPr>
        <w:spacing w:line="360" w:lineRule="auto"/>
        <w:ind w:left="720" w:hanging="720"/>
        <w:jc w:val="both"/>
      </w:pPr>
      <w:proofErr w:type="spellStart"/>
      <w:r>
        <w:t>Jewkes</w:t>
      </w:r>
      <w:proofErr w:type="spellEnd"/>
      <w:r>
        <w:t xml:space="preserve">, R., </w:t>
      </w:r>
      <w:proofErr w:type="spellStart"/>
      <w:r>
        <w:t>Stern</w:t>
      </w:r>
      <w:proofErr w:type="spellEnd"/>
      <w:r>
        <w:t xml:space="preserve">, E., </w:t>
      </w:r>
      <w:proofErr w:type="spellStart"/>
      <w:r>
        <w:t>Ramsoomar</w:t>
      </w:r>
      <w:proofErr w:type="spellEnd"/>
      <w:r>
        <w:t xml:space="preserve">, L., et al. (2020). </w:t>
      </w:r>
      <w:proofErr w:type="spellStart"/>
      <w:r>
        <w:t>Interventions</w:t>
      </w:r>
      <w:proofErr w:type="spellEnd"/>
      <w:r>
        <w:t xml:space="preserve"> to </w:t>
      </w:r>
      <w:proofErr w:type="spellStart"/>
      <w:r>
        <w:t>change</w:t>
      </w:r>
      <w:proofErr w:type="spellEnd"/>
      <w:r>
        <w:t xml:space="preserve"> social </w:t>
      </w:r>
      <w:proofErr w:type="spellStart"/>
      <w:r>
        <w:t>norms</w:t>
      </w:r>
      <w:proofErr w:type="spellEnd"/>
      <w:r>
        <w:t xml:space="preserve"> and reduce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and </w:t>
      </w:r>
      <w:proofErr w:type="spellStart"/>
      <w:r>
        <w:t>girls</w:t>
      </w:r>
      <w:proofErr w:type="spellEnd"/>
      <w:r>
        <w:t xml:space="preserve"> (VAWG). </w:t>
      </w:r>
      <w:proofErr w:type="spellStart"/>
      <w:r>
        <w:t>What</w:t>
      </w:r>
      <w:proofErr w:type="spellEnd"/>
      <w:r>
        <w:t xml:space="preserve"> Works to </w:t>
      </w:r>
      <w:proofErr w:type="spellStart"/>
      <w:r>
        <w:t>Prevent</w:t>
      </w:r>
      <w:proofErr w:type="spellEnd"/>
      <w:r>
        <w:t xml:space="preserve"> VAWG Global </w:t>
      </w:r>
      <w:proofErr w:type="spellStart"/>
      <w:r>
        <w:t>Programme</w:t>
      </w:r>
      <w:proofErr w:type="spellEnd"/>
      <w:r>
        <w:t xml:space="preserve">. </w:t>
      </w:r>
      <w:hyperlink r:id="rId32" w:history="1">
        <w:r w:rsidRPr="009B4FE5">
          <w:rPr>
            <w:rStyle w:val="Hipervnculo"/>
          </w:rPr>
          <w:t>https://www.whatworks.co.za</w:t>
        </w:r>
      </w:hyperlink>
      <w:r>
        <w:t xml:space="preserve">  </w:t>
      </w:r>
    </w:p>
    <w:p w:rsidR="000D0988" w:rsidRDefault="000D0988" w:rsidP="000D0988">
      <w:pPr>
        <w:spacing w:line="360" w:lineRule="auto"/>
        <w:ind w:left="720" w:hanging="720"/>
        <w:jc w:val="both"/>
      </w:pPr>
      <w:proofErr w:type="spellStart"/>
      <w:r>
        <w:t>Jordan</w:t>
      </w:r>
      <w:proofErr w:type="spellEnd"/>
      <w:r>
        <w:t xml:space="preserve">, C. E., Campbell, R., &amp; </w:t>
      </w:r>
      <w:proofErr w:type="spellStart"/>
      <w:r>
        <w:t>Follingstad</w:t>
      </w:r>
      <w:proofErr w:type="spellEnd"/>
      <w:r>
        <w:t xml:space="preserve">, D. R. (2010). </w:t>
      </w:r>
      <w:proofErr w:type="spellStart"/>
      <w:r>
        <w:t>Violence</w:t>
      </w:r>
      <w:proofErr w:type="spellEnd"/>
      <w:r>
        <w:t xml:space="preserve"> and </w:t>
      </w:r>
      <w:proofErr w:type="spellStart"/>
      <w:r>
        <w:t>women's</w:t>
      </w:r>
      <w:proofErr w:type="spellEnd"/>
      <w:r>
        <w:t xml:space="preserve"> mental </w:t>
      </w:r>
      <w:proofErr w:type="spellStart"/>
      <w:r>
        <w:t>health</w:t>
      </w:r>
      <w:proofErr w:type="spellEnd"/>
      <w:r>
        <w:t xml:space="preserve">: </w:t>
      </w:r>
      <w:proofErr w:type="spellStart"/>
      <w:r>
        <w:t>The</w:t>
      </w:r>
      <w:proofErr w:type="spellEnd"/>
      <w:r>
        <w:t xml:space="preserve"> </w:t>
      </w:r>
      <w:proofErr w:type="spellStart"/>
      <w:r>
        <w:t>impact</w:t>
      </w:r>
      <w:proofErr w:type="spellEnd"/>
      <w:r>
        <w:t xml:space="preserve"> of </w:t>
      </w:r>
      <w:proofErr w:type="spellStart"/>
      <w:r>
        <w:t>physical</w:t>
      </w:r>
      <w:proofErr w:type="spellEnd"/>
      <w:r>
        <w:t xml:space="preserve">, sexual, and </w:t>
      </w:r>
      <w:proofErr w:type="spellStart"/>
      <w:r>
        <w:t>psychological</w:t>
      </w:r>
      <w:proofErr w:type="spellEnd"/>
      <w:r>
        <w:t xml:space="preserve"> </w:t>
      </w:r>
      <w:proofErr w:type="spellStart"/>
      <w:r>
        <w:t>aggression</w:t>
      </w:r>
      <w:proofErr w:type="spellEnd"/>
      <w:r>
        <w:t xml:space="preserve">. </w:t>
      </w:r>
      <w:proofErr w:type="spellStart"/>
      <w:r>
        <w:t>Annual</w:t>
      </w:r>
      <w:proofErr w:type="spellEnd"/>
      <w:r>
        <w:t xml:space="preserve"> </w:t>
      </w:r>
      <w:proofErr w:type="spellStart"/>
      <w:r>
        <w:t>Review</w:t>
      </w:r>
      <w:proofErr w:type="spellEnd"/>
      <w:r>
        <w:t xml:space="preserve"> of </w:t>
      </w:r>
      <w:proofErr w:type="spellStart"/>
      <w:r>
        <w:t>Clinical</w:t>
      </w:r>
      <w:proofErr w:type="spellEnd"/>
      <w:r>
        <w:t xml:space="preserve"> </w:t>
      </w:r>
      <w:proofErr w:type="spellStart"/>
      <w:r>
        <w:t>Psychology</w:t>
      </w:r>
      <w:proofErr w:type="spellEnd"/>
      <w:r>
        <w:t xml:space="preserve">, 6, 607–628. </w:t>
      </w:r>
      <w:hyperlink r:id="rId33" w:history="1">
        <w:r w:rsidRPr="009B4FE5">
          <w:rPr>
            <w:rStyle w:val="Hipervnculo"/>
          </w:rPr>
          <w:t>https://doi.org/10.1146/annurev-clinpsy-090209-151437</w:t>
        </w:r>
      </w:hyperlink>
      <w:r>
        <w:t xml:space="preserve">   </w:t>
      </w:r>
    </w:p>
    <w:p w:rsidR="000D0988" w:rsidRDefault="000D0988" w:rsidP="000D0988">
      <w:pPr>
        <w:spacing w:line="360" w:lineRule="auto"/>
        <w:ind w:left="720" w:hanging="720"/>
        <w:jc w:val="both"/>
      </w:pPr>
      <w:r>
        <w:t xml:space="preserve">Kelly, L. (1988). </w:t>
      </w:r>
      <w:proofErr w:type="spellStart"/>
      <w:r>
        <w:t>Surviving</w:t>
      </w:r>
      <w:proofErr w:type="spellEnd"/>
      <w:r>
        <w:t xml:space="preserve"> sexual </w:t>
      </w:r>
      <w:proofErr w:type="spellStart"/>
      <w:r>
        <w:t>violence</w:t>
      </w:r>
      <w:proofErr w:type="spellEnd"/>
      <w:r>
        <w:t xml:space="preserve">. </w:t>
      </w:r>
      <w:proofErr w:type="spellStart"/>
      <w:r>
        <w:t>Polity</w:t>
      </w:r>
      <w:proofErr w:type="spellEnd"/>
      <w:r>
        <w:t xml:space="preserve"> </w:t>
      </w:r>
      <w:proofErr w:type="spellStart"/>
      <w:r>
        <w:t>Press</w:t>
      </w:r>
      <w:proofErr w:type="spellEnd"/>
      <w:r>
        <w:t>.</w:t>
      </w:r>
    </w:p>
    <w:p w:rsidR="000D0988" w:rsidRDefault="000D0988" w:rsidP="000D0988">
      <w:pPr>
        <w:spacing w:line="360" w:lineRule="auto"/>
        <w:ind w:left="720" w:hanging="720"/>
        <w:jc w:val="both"/>
      </w:pPr>
      <w:r>
        <w:t xml:space="preserve">Kelly, L. (2023). </w:t>
      </w:r>
      <w:proofErr w:type="spellStart"/>
      <w:r>
        <w:t>Challenging</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International </w:t>
      </w:r>
      <w:proofErr w:type="spellStart"/>
      <w:r>
        <w:t>perspectives</w:t>
      </w:r>
      <w:proofErr w:type="spellEnd"/>
      <w:r>
        <w:t xml:space="preserve"> and </w:t>
      </w:r>
      <w:proofErr w:type="spellStart"/>
      <w:r>
        <w:t>promising</w:t>
      </w:r>
      <w:proofErr w:type="spellEnd"/>
      <w:r>
        <w:t xml:space="preserve"> </w:t>
      </w:r>
      <w:proofErr w:type="spellStart"/>
      <w:r>
        <w:t>strategies</w:t>
      </w:r>
      <w:proofErr w:type="spellEnd"/>
      <w:r>
        <w:t xml:space="preserve"> (</w:t>
      </w:r>
      <w:proofErr w:type="spellStart"/>
      <w:r>
        <w:t>Reissue</w:t>
      </w:r>
      <w:proofErr w:type="spellEnd"/>
      <w:r>
        <w:t xml:space="preserve"> ed.). </w:t>
      </w:r>
      <w:proofErr w:type="spellStart"/>
      <w:r>
        <w:t>Routledge</w:t>
      </w:r>
      <w:proofErr w:type="spellEnd"/>
      <w:r>
        <w:t>.</w:t>
      </w:r>
    </w:p>
    <w:p w:rsidR="000D0988" w:rsidRDefault="000D0988" w:rsidP="000D0988">
      <w:pPr>
        <w:spacing w:line="360" w:lineRule="auto"/>
        <w:ind w:left="720" w:hanging="720"/>
        <w:jc w:val="both"/>
      </w:pPr>
      <w:proofErr w:type="spellStart"/>
      <w:r>
        <w:t>Kirkwood</w:t>
      </w:r>
      <w:proofErr w:type="spellEnd"/>
      <w:r>
        <w:t xml:space="preserve">, C. (1993). </w:t>
      </w:r>
      <w:proofErr w:type="spellStart"/>
      <w:r>
        <w:t>Leaving</w:t>
      </w:r>
      <w:proofErr w:type="spellEnd"/>
      <w:r>
        <w:t xml:space="preserve"> </w:t>
      </w:r>
      <w:proofErr w:type="spellStart"/>
      <w:r>
        <w:t>abusive</w:t>
      </w:r>
      <w:proofErr w:type="spellEnd"/>
      <w:r>
        <w:t xml:space="preserve"> </w:t>
      </w:r>
      <w:proofErr w:type="spellStart"/>
      <w:r>
        <w:t>partners</w:t>
      </w:r>
      <w:proofErr w:type="spellEnd"/>
      <w:r>
        <w:t xml:space="preserve">: </w:t>
      </w:r>
      <w:proofErr w:type="spellStart"/>
      <w:r>
        <w:t>From</w:t>
      </w:r>
      <w:proofErr w:type="spellEnd"/>
      <w:r>
        <w:t xml:space="preserve"> </w:t>
      </w:r>
      <w:proofErr w:type="spellStart"/>
      <w:r>
        <w:t>the</w:t>
      </w:r>
      <w:proofErr w:type="spellEnd"/>
      <w:r>
        <w:t xml:space="preserve"> </w:t>
      </w:r>
      <w:proofErr w:type="spellStart"/>
      <w:r>
        <w:t>scars</w:t>
      </w:r>
      <w:proofErr w:type="spellEnd"/>
      <w:r>
        <w:t xml:space="preserve"> of </w:t>
      </w:r>
      <w:proofErr w:type="spellStart"/>
      <w:r>
        <w:t>survival</w:t>
      </w:r>
      <w:proofErr w:type="spellEnd"/>
      <w:r>
        <w:t xml:space="preserve"> to </w:t>
      </w:r>
      <w:proofErr w:type="spellStart"/>
      <w:r>
        <w:t>the</w:t>
      </w:r>
      <w:proofErr w:type="spellEnd"/>
      <w:r>
        <w:t xml:space="preserve"> </w:t>
      </w:r>
      <w:proofErr w:type="spellStart"/>
      <w:r>
        <w:t>wisdom</w:t>
      </w:r>
      <w:proofErr w:type="spellEnd"/>
      <w:r>
        <w:t xml:space="preserve"> </w:t>
      </w:r>
      <w:proofErr w:type="spellStart"/>
      <w:r>
        <w:t>for</w:t>
      </w:r>
      <w:proofErr w:type="spellEnd"/>
      <w:r>
        <w:t xml:space="preserve"> </w:t>
      </w:r>
      <w:proofErr w:type="spellStart"/>
      <w:r>
        <w:t>change</w:t>
      </w:r>
      <w:proofErr w:type="spellEnd"/>
      <w:r>
        <w:t>. Pandora.</w:t>
      </w:r>
    </w:p>
    <w:p w:rsidR="000D0988" w:rsidRDefault="000D0988" w:rsidP="000D0988">
      <w:pPr>
        <w:spacing w:line="360" w:lineRule="auto"/>
        <w:ind w:left="720" w:hanging="720"/>
        <w:jc w:val="both"/>
      </w:pPr>
      <w:r>
        <w:t xml:space="preserve">Little, T. D. (2013). Longitudinal </w:t>
      </w:r>
      <w:proofErr w:type="spellStart"/>
      <w:r>
        <w:t>structural</w:t>
      </w:r>
      <w:proofErr w:type="spellEnd"/>
      <w:r>
        <w:t xml:space="preserve"> </w:t>
      </w:r>
      <w:proofErr w:type="spellStart"/>
      <w:r>
        <w:t>equation</w:t>
      </w:r>
      <w:proofErr w:type="spellEnd"/>
      <w:r>
        <w:t xml:space="preserve"> </w:t>
      </w:r>
      <w:proofErr w:type="spellStart"/>
      <w:r>
        <w:t>modeling</w:t>
      </w:r>
      <w:proofErr w:type="spellEnd"/>
      <w:r>
        <w:t xml:space="preserve">. </w:t>
      </w:r>
      <w:proofErr w:type="spellStart"/>
      <w:r>
        <w:t>Guilford</w:t>
      </w:r>
      <w:proofErr w:type="spellEnd"/>
      <w:r>
        <w:t xml:space="preserve"> </w:t>
      </w:r>
      <w:proofErr w:type="spellStart"/>
      <w:r>
        <w:t>Press</w:t>
      </w:r>
      <w:proofErr w:type="spellEnd"/>
      <w:r>
        <w:t>.</w:t>
      </w:r>
    </w:p>
    <w:p w:rsidR="000D0988" w:rsidRDefault="000D0988" w:rsidP="000D0988">
      <w:pPr>
        <w:spacing w:line="360" w:lineRule="auto"/>
        <w:ind w:left="720" w:hanging="720"/>
        <w:jc w:val="both"/>
      </w:pPr>
      <w:proofErr w:type="spellStart"/>
      <w:r>
        <w:t>Macmillan</w:t>
      </w:r>
      <w:proofErr w:type="spellEnd"/>
      <w:r>
        <w:t xml:space="preserve">, R., </w:t>
      </w:r>
      <w:proofErr w:type="spellStart"/>
      <w:r>
        <w:t>Nierobisz</w:t>
      </w:r>
      <w:proofErr w:type="spellEnd"/>
      <w:r>
        <w:t xml:space="preserve">, A., &amp; </w:t>
      </w:r>
      <w:proofErr w:type="spellStart"/>
      <w:r>
        <w:t>Welsh</w:t>
      </w:r>
      <w:proofErr w:type="spellEnd"/>
      <w:r>
        <w:t xml:space="preserve">, S. (2021). </w:t>
      </w:r>
      <w:proofErr w:type="spellStart"/>
      <w:r>
        <w:t>Experiencing</w:t>
      </w:r>
      <w:proofErr w:type="spellEnd"/>
      <w:r>
        <w:t xml:space="preserve"> </w:t>
      </w:r>
      <w:proofErr w:type="spellStart"/>
      <w:r>
        <w:t>the</w:t>
      </w:r>
      <w:proofErr w:type="spellEnd"/>
      <w:r>
        <w:t xml:space="preserve"> </w:t>
      </w:r>
      <w:proofErr w:type="spellStart"/>
      <w:r>
        <w:t>streets</w:t>
      </w:r>
      <w:proofErr w:type="spellEnd"/>
      <w:r>
        <w:t xml:space="preserve">: </w:t>
      </w:r>
      <w:proofErr w:type="spellStart"/>
      <w:r>
        <w:t>Harassment</w:t>
      </w:r>
      <w:proofErr w:type="spellEnd"/>
      <w:r>
        <w:t xml:space="preserve"> and </w:t>
      </w:r>
      <w:proofErr w:type="spellStart"/>
      <w:r>
        <w:t>perceptions</w:t>
      </w:r>
      <w:proofErr w:type="spellEnd"/>
      <w:r>
        <w:t xml:space="preserve"> of safety </w:t>
      </w:r>
      <w:proofErr w:type="spellStart"/>
      <w:r>
        <w:t>among</w:t>
      </w:r>
      <w:proofErr w:type="spellEnd"/>
      <w:r>
        <w:t xml:space="preserve"> </w:t>
      </w:r>
      <w:proofErr w:type="spellStart"/>
      <w:r>
        <w:t>women</w:t>
      </w:r>
      <w:proofErr w:type="spellEnd"/>
      <w:r>
        <w:t xml:space="preserve">. </w:t>
      </w:r>
      <w:proofErr w:type="spellStart"/>
      <w:r>
        <w:t>Journal</w:t>
      </w:r>
      <w:proofErr w:type="spellEnd"/>
      <w:r>
        <w:t xml:space="preserve"> of </w:t>
      </w:r>
      <w:proofErr w:type="spellStart"/>
      <w:r>
        <w:t>Research</w:t>
      </w:r>
      <w:proofErr w:type="spellEnd"/>
      <w:r>
        <w:t xml:space="preserve"> in </w:t>
      </w:r>
      <w:proofErr w:type="spellStart"/>
      <w:r>
        <w:t>Crime</w:t>
      </w:r>
      <w:proofErr w:type="spellEnd"/>
      <w:r>
        <w:t xml:space="preserve"> and </w:t>
      </w:r>
      <w:proofErr w:type="spellStart"/>
      <w:r>
        <w:t>Delinquency</w:t>
      </w:r>
      <w:proofErr w:type="spellEnd"/>
      <w:r>
        <w:t xml:space="preserve">, 37(3), 306-322. </w:t>
      </w:r>
      <w:hyperlink r:id="rId34" w:history="1">
        <w:r w:rsidRPr="009B4FE5">
          <w:rPr>
            <w:rStyle w:val="Hipervnculo"/>
          </w:rPr>
          <w:t>https://doi.org/10.1177/0022427800037003003</w:t>
        </w:r>
      </w:hyperlink>
      <w:r>
        <w:t xml:space="preserve">  </w:t>
      </w:r>
    </w:p>
    <w:p w:rsidR="000D0988" w:rsidRDefault="000D0988" w:rsidP="000D0988">
      <w:pPr>
        <w:spacing w:line="360" w:lineRule="auto"/>
        <w:ind w:left="720" w:hanging="720"/>
        <w:jc w:val="both"/>
      </w:pPr>
      <w:r>
        <w:t xml:space="preserve">Mateos, A. (2011). Necesidades socioeducativas en la adolescencia sobre la violencia de género: Propuesta educativa [Tesis doctoral, Universidad de Barcelona]. </w:t>
      </w:r>
      <w:hyperlink r:id="rId35" w:history="1">
        <w:r w:rsidRPr="009B4FE5">
          <w:rPr>
            <w:rStyle w:val="Hipervnculo"/>
          </w:rPr>
          <w:t>http://diposit.ub.edu/dspace/handle/2445/18922</w:t>
        </w:r>
      </w:hyperlink>
      <w:r>
        <w:t xml:space="preserve">  </w:t>
      </w:r>
    </w:p>
    <w:p w:rsidR="000D0988" w:rsidRDefault="000D0988" w:rsidP="000D0988">
      <w:pPr>
        <w:spacing w:line="360" w:lineRule="auto"/>
        <w:ind w:left="720" w:hanging="720"/>
        <w:jc w:val="both"/>
      </w:pPr>
      <w:r>
        <w:t xml:space="preserve">Maxwell, S. E., </w:t>
      </w:r>
      <w:proofErr w:type="spellStart"/>
      <w:r>
        <w:t>Delaney</w:t>
      </w:r>
      <w:proofErr w:type="spellEnd"/>
      <w:r>
        <w:t xml:space="preserve">, H. D., &amp; </w:t>
      </w:r>
      <w:proofErr w:type="spellStart"/>
      <w:r>
        <w:t>Kelley</w:t>
      </w:r>
      <w:proofErr w:type="spellEnd"/>
      <w:r>
        <w:t xml:space="preserve">, K. (2017). </w:t>
      </w:r>
      <w:proofErr w:type="spellStart"/>
      <w:r>
        <w:t>Designing</w:t>
      </w:r>
      <w:proofErr w:type="spellEnd"/>
      <w:r>
        <w:t xml:space="preserve"> </w:t>
      </w:r>
      <w:proofErr w:type="spellStart"/>
      <w:r>
        <w:t>experiments</w:t>
      </w:r>
      <w:proofErr w:type="spellEnd"/>
      <w:r>
        <w:t xml:space="preserve"> and </w:t>
      </w:r>
      <w:proofErr w:type="spellStart"/>
      <w:r>
        <w:t>analyzing</w:t>
      </w:r>
      <w:proofErr w:type="spellEnd"/>
      <w:r>
        <w:t xml:space="preserve"> data: A </w:t>
      </w:r>
      <w:proofErr w:type="spellStart"/>
      <w:r>
        <w:t>model</w:t>
      </w:r>
      <w:proofErr w:type="spellEnd"/>
      <w:r>
        <w:t xml:space="preserve"> </w:t>
      </w:r>
      <w:proofErr w:type="spellStart"/>
      <w:r>
        <w:t>comparison</w:t>
      </w:r>
      <w:proofErr w:type="spellEnd"/>
      <w:r>
        <w:t xml:space="preserve"> </w:t>
      </w:r>
      <w:proofErr w:type="spellStart"/>
      <w:r>
        <w:t>perspective</w:t>
      </w:r>
      <w:proofErr w:type="spellEnd"/>
      <w:r>
        <w:t xml:space="preserve"> (3rd ed.). </w:t>
      </w:r>
      <w:proofErr w:type="spellStart"/>
      <w:r>
        <w:t>Routledge</w:t>
      </w:r>
      <w:proofErr w:type="spellEnd"/>
      <w:r>
        <w:t>.</w:t>
      </w:r>
    </w:p>
    <w:p w:rsidR="000D0988" w:rsidRDefault="000D0988" w:rsidP="000D0988">
      <w:pPr>
        <w:spacing w:line="360" w:lineRule="auto"/>
        <w:ind w:left="720" w:hanging="720"/>
        <w:jc w:val="both"/>
      </w:pPr>
      <w:proofErr w:type="spellStart"/>
      <w:r>
        <w:t>Michau</w:t>
      </w:r>
      <w:proofErr w:type="spellEnd"/>
      <w:r>
        <w:t xml:space="preserve">, L., </w:t>
      </w:r>
      <w:proofErr w:type="spellStart"/>
      <w:r>
        <w:t>Horn</w:t>
      </w:r>
      <w:proofErr w:type="spellEnd"/>
      <w:r>
        <w:t xml:space="preserve">, J., Bank, A., </w:t>
      </w:r>
      <w:proofErr w:type="spellStart"/>
      <w:r>
        <w:t>Dutt</w:t>
      </w:r>
      <w:proofErr w:type="spellEnd"/>
      <w:r>
        <w:t xml:space="preserve">, M., &amp; </w:t>
      </w:r>
      <w:proofErr w:type="spellStart"/>
      <w:r>
        <w:t>Zimmerman</w:t>
      </w:r>
      <w:proofErr w:type="spellEnd"/>
      <w:r>
        <w:t xml:space="preserve">, C. (2015). </w:t>
      </w:r>
      <w:proofErr w:type="spellStart"/>
      <w:r>
        <w:t>Prevention</w:t>
      </w:r>
      <w:proofErr w:type="spellEnd"/>
      <w:r>
        <w:t xml:space="preserve"> of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and </w:t>
      </w:r>
      <w:proofErr w:type="spellStart"/>
      <w:r>
        <w:t>girls</w:t>
      </w:r>
      <w:proofErr w:type="spellEnd"/>
      <w:r>
        <w:t xml:space="preserve">: </w:t>
      </w:r>
      <w:proofErr w:type="spellStart"/>
      <w:r>
        <w:t>Lessons</w:t>
      </w:r>
      <w:proofErr w:type="spellEnd"/>
      <w:r>
        <w:t xml:space="preserve"> </w:t>
      </w:r>
      <w:proofErr w:type="spellStart"/>
      <w:r>
        <w:t>from</w:t>
      </w:r>
      <w:proofErr w:type="spellEnd"/>
      <w:r>
        <w:t xml:space="preserve"> </w:t>
      </w:r>
      <w:proofErr w:type="spellStart"/>
      <w:r>
        <w:t>practice</w:t>
      </w:r>
      <w:proofErr w:type="spellEnd"/>
      <w:r>
        <w:t xml:space="preserve">. </w:t>
      </w:r>
      <w:proofErr w:type="spellStart"/>
      <w:r>
        <w:t>The</w:t>
      </w:r>
      <w:proofErr w:type="spellEnd"/>
      <w:r>
        <w:t xml:space="preserve"> </w:t>
      </w:r>
      <w:proofErr w:type="spellStart"/>
      <w:r>
        <w:t>Lancet</w:t>
      </w:r>
      <w:proofErr w:type="spellEnd"/>
      <w:r>
        <w:t xml:space="preserve">, 385(9978), 1672–1684. </w:t>
      </w:r>
      <w:hyperlink r:id="rId36" w:history="1">
        <w:r w:rsidR="004810E3" w:rsidRPr="009B4FE5">
          <w:rPr>
            <w:rStyle w:val="Hipervnculo"/>
          </w:rPr>
          <w:t>https://doi.org/10.1016/S0140-6736(14)61797-9</w:t>
        </w:r>
      </w:hyperlink>
      <w:r w:rsidR="004810E3">
        <w:t xml:space="preserve"> </w:t>
      </w:r>
      <w:r>
        <w:t xml:space="preserve"> </w:t>
      </w:r>
    </w:p>
    <w:p w:rsidR="000D0988" w:rsidRDefault="000D0988" w:rsidP="000D0988">
      <w:pPr>
        <w:spacing w:line="360" w:lineRule="auto"/>
        <w:ind w:left="720" w:hanging="720"/>
        <w:jc w:val="both"/>
      </w:pPr>
      <w:proofErr w:type="spellStart"/>
      <w:r>
        <w:t>National</w:t>
      </w:r>
      <w:proofErr w:type="spellEnd"/>
      <w:r>
        <w:t xml:space="preserve"> </w:t>
      </w:r>
      <w:proofErr w:type="spellStart"/>
      <w:r>
        <w:t>Commission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Protection</w:t>
      </w:r>
      <w:proofErr w:type="spellEnd"/>
      <w:r>
        <w:t xml:space="preserve"> of Human </w:t>
      </w:r>
      <w:proofErr w:type="spellStart"/>
      <w:r>
        <w:t>Subjects</w:t>
      </w:r>
      <w:proofErr w:type="spellEnd"/>
      <w:r>
        <w:t xml:space="preserve">. (1979). </w:t>
      </w:r>
      <w:proofErr w:type="spellStart"/>
      <w:r>
        <w:t>The</w:t>
      </w:r>
      <w:proofErr w:type="spellEnd"/>
      <w:r>
        <w:t xml:space="preserve"> Belmont </w:t>
      </w:r>
      <w:proofErr w:type="spellStart"/>
      <w:r>
        <w:t>Report</w:t>
      </w:r>
      <w:proofErr w:type="spellEnd"/>
      <w:r>
        <w:t xml:space="preserve">: </w:t>
      </w:r>
      <w:proofErr w:type="spellStart"/>
      <w:r>
        <w:t>Ethical</w:t>
      </w:r>
      <w:proofErr w:type="spellEnd"/>
      <w:r>
        <w:t xml:space="preserve"> </w:t>
      </w:r>
      <w:proofErr w:type="spellStart"/>
      <w:r>
        <w:t>principles</w:t>
      </w:r>
      <w:proofErr w:type="spellEnd"/>
      <w:r>
        <w:t xml:space="preserve"> and </w:t>
      </w:r>
      <w:proofErr w:type="spellStart"/>
      <w:r>
        <w:t>guidelines</w:t>
      </w:r>
      <w:proofErr w:type="spellEnd"/>
      <w:r>
        <w:t xml:space="preserve"> </w:t>
      </w:r>
      <w:proofErr w:type="spellStart"/>
      <w:r>
        <w:t>for</w:t>
      </w:r>
      <w:proofErr w:type="spellEnd"/>
      <w:r>
        <w:t xml:space="preserve"> </w:t>
      </w:r>
      <w:proofErr w:type="spellStart"/>
      <w:r>
        <w:t>the</w:t>
      </w:r>
      <w:proofErr w:type="spellEnd"/>
      <w:r>
        <w:t xml:space="preserve"> </w:t>
      </w:r>
      <w:proofErr w:type="spellStart"/>
      <w:r>
        <w:t>protection</w:t>
      </w:r>
      <w:proofErr w:type="spellEnd"/>
      <w:r>
        <w:t xml:space="preserve"> of human </w:t>
      </w:r>
      <w:proofErr w:type="spellStart"/>
      <w:r>
        <w:t>subjects</w:t>
      </w:r>
      <w:proofErr w:type="spellEnd"/>
      <w:r>
        <w:t xml:space="preserve"> of </w:t>
      </w:r>
      <w:proofErr w:type="spellStart"/>
      <w:r>
        <w:t>research</w:t>
      </w:r>
      <w:proofErr w:type="spellEnd"/>
      <w:r>
        <w:t xml:space="preserve">. U.S. </w:t>
      </w:r>
      <w:proofErr w:type="spellStart"/>
      <w:r>
        <w:t>Department</w:t>
      </w:r>
      <w:proofErr w:type="spellEnd"/>
      <w:r>
        <w:t xml:space="preserve"> of </w:t>
      </w:r>
      <w:proofErr w:type="spellStart"/>
      <w:r>
        <w:t>Health</w:t>
      </w:r>
      <w:proofErr w:type="spellEnd"/>
      <w:r>
        <w:t xml:space="preserve"> and Human </w:t>
      </w:r>
      <w:proofErr w:type="spellStart"/>
      <w:r>
        <w:t>Services</w:t>
      </w:r>
      <w:proofErr w:type="spellEnd"/>
      <w:r>
        <w:t>.</w:t>
      </w:r>
    </w:p>
    <w:p w:rsidR="000D0988" w:rsidRDefault="000D0988" w:rsidP="000D0988">
      <w:pPr>
        <w:spacing w:line="360" w:lineRule="auto"/>
        <w:ind w:left="720" w:hanging="720"/>
        <w:jc w:val="both"/>
      </w:pPr>
      <w:proofErr w:type="spellStart"/>
      <w:r>
        <w:t>Nunnally</w:t>
      </w:r>
      <w:proofErr w:type="spellEnd"/>
      <w:r>
        <w:t xml:space="preserve">, J. C., &amp; </w:t>
      </w:r>
      <w:proofErr w:type="spellStart"/>
      <w:r>
        <w:t>Bernstein</w:t>
      </w:r>
      <w:proofErr w:type="spellEnd"/>
      <w:r>
        <w:t xml:space="preserve">, I. H. (1994). </w:t>
      </w:r>
      <w:proofErr w:type="spellStart"/>
      <w:r>
        <w:t>Psychometric</w:t>
      </w:r>
      <w:proofErr w:type="spellEnd"/>
      <w:r>
        <w:t xml:space="preserve"> </w:t>
      </w:r>
      <w:proofErr w:type="spellStart"/>
      <w:r>
        <w:t>theory</w:t>
      </w:r>
      <w:proofErr w:type="spellEnd"/>
      <w:r>
        <w:t xml:space="preserve"> (3rd ed.). McGraw-Hill.</w:t>
      </w:r>
    </w:p>
    <w:p w:rsidR="000D0988" w:rsidRDefault="000D0988" w:rsidP="000D0988">
      <w:pPr>
        <w:spacing w:line="360" w:lineRule="auto"/>
        <w:ind w:left="720" w:hanging="720"/>
        <w:jc w:val="both"/>
      </w:pPr>
      <w:proofErr w:type="spellStart"/>
      <w:r>
        <w:t>Pence</w:t>
      </w:r>
      <w:proofErr w:type="spellEnd"/>
      <w:r>
        <w:t xml:space="preserve">, E., &amp; </w:t>
      </w:r>
      <w:proofErr w:type="spellStart"/>
      <w:r>
        <w:t>Paymar</w:t>
      </w:r>
      <w:proofErr w:type="spellEnd"/>
      <w:r>
        <w:t xml:space="preserve">, M. (1993). </w:t>
      </w:r>
      <w:proofErr w:type="spellStart"/>
      <w:r>
        <w:t>Education</w:t>
      </w:r>
      <w:proofErr w:type="spellEnd"/>
      <w:r>
        <w:t xml:space="preserve"> </w:t>
      </w:r>
      <w:proofErr w:type="spellStart"/>
      <w:r>
        <w:t>groups</w:t>
      </w:r>
      <w:proofErr w:type="spellEnd"/>
      <w:r>
        <w:t xml:space="preserve"> </w:t>
      </w:r>
      <w:proofErr w:type="spellStart"/>
      <w:r>
        <w:t>for</w:t>
      </w:r>
      <w:proofErr w:type="spellEnd"/>
      <w:r>
        <w:t xml:space="preserve"> </w:t>
      </w:r>
      <w:proofErr w:type="spellStart"/>
      <w:r>
        <w:t>men</w:t>
      </w:r>
      <w:proofErr w:type="spellEnd"/>
      <w:r>
        <w:t xml:space="preserve"> </w:t>
      </w:r>
      <w:proofErr w:type="spellStart"/>
      <w:r>
        <w:t>who</w:t>
      </w:r>
      <w:proofErr w:type="spellEnd"/>
      <w:r>
        <w:t xml:space="preserve"> </w:t>
      </w:r>
      <w:proofErr w:type="spellStart"/>
      <w:r>
        <w:t>batter</w:t>
      </w:r>
      <w:proofErr w:type="spellEnd"/>
      <w:r>
        <w:t xml:space="preserve">: </w:t>
      </w:r>
      <w:proofErr w:type="spellStart"/>
      <w:r>
        <w:t>The</w:t>
      </w:r>
      <w:proofErr w:type="spellEnd"/>
      <w:r>
        <w:t xml:space="preserve"> Duluth </w:t>
      </w:r>
      <w:proofErr w:type="spellStart"/>
      <w:r>
        <w:t>Model</w:t>
      </w:r>
      <w:proofErr w:type="spellEnd"/>
      <w:r>
        <w:t xml:space="preserve">. </w:t>
      </w:r>
      <w:proofErr w:type="spellStart"/>
      <w:r>
        <w:t>Springer</w:t>
      </w:r>
      <w:proofErr w:type="spellEnd"/>
      <w:r>
        <w:t xml:space="preserve"> Publishing Company.</w:t>
      </w:r>
    </w:p>
    <w:p w:rsidR="000D0988" w:rsidRDefault="000D0988" w:rsidP="000D0988">
      <w:pPr>
        <w:spacing w:line="360" w:lineRule="auto"/>
        <w:ind w:left="720" w:hanging="720"/>
        <w:jc w:val="both"/>
      </w:pPr>
      <w:r>
        <w:lastRenderedPageBreak/>
        <w:t xml:space="preserve">Rodríguez-Domínguez, C., &amp; Durán, M. (2019). Escala de Actitudes hacia la Violencia de Género: Desarrollo y validación preliminar. Revista de Psicología Social, 34(2), 345-372. </w:t>
      </w:r>
      <w:hyperlink r:id="rId37" w:history="1">
        <w:r w:rsidR="004810E3" w:rsidRPr="009B4FE5">
          <w:rPr>
            <w:rStyle w:val="Hipervnculo"/>
          </w:rPr>
          <w:t>https://doi.org/10.1080/02134748.2019.1576324</w:t>
        </w:r>
      </w:hyperlink>
      <w:r w:rsidR="004810E3">
        <w:t xml:space="preserve"> </w:t>
      </w:r>
      <w:r>
        <w:t xml:space="preserve"> </w:t>
      </w:r>
    </w:p>
    <w:p w:rsidR="000D0988" w:rsidRDefault="000D0988" w:rsidP="000D0988">
      <w:pPr>
        <w:spacing w:line="360" w:lineRule="auto"/>
        <w:ind w:left="720" w:hanging="720"/>
        <w:jc w:val="both"/>
      </w:pPr>
      <w:proofErr w:type="spellStart"/>
      <w:r>
        <w:t>Rosenberg</w:t>
      </w:r>
      <w:proofErr w:type="spellEnd"/>
      <w:r>
        <w:t xml:space="preserve">, M. (1989). </w:t>
      </w:r>
      <w:proofErr w:type="spellStart"/>
      <w:r>
        <w:t>Society</w:t>
      </w:r>
      <w:proofErr w:type="spellEnd"/>
      <w:r>
        <w:t xml:space="preserve"> and </w:t>
      </w:r>
      <w:proofErr w:type="spellStart"/>
      <w:r>
        <w:t>the</w:t>
      </w:r>
      <w:proofErr w:type="spellEnd"/>
      <w:r>
        <w:t xml:space="preserve"> </w:t>
      </w:r>
      <w:proofErr w:type="spellStart"/>
      <w:r>
        <w:t>adolescent</w:t>
      </w:r>
      <w:proofErr w:type="spellEnd"/>
      <w:r>
        <w:t xml:space="preserve"> </w:t>
      </w:r>
      <w:proofErr w:type="spellStart"/>
      <w:r>
        <w:t>self-image</w:t>
      </w:r>
      <w:proofErr w:type="spellEnd"/>
      <w:r>
        <w:t xml:space="preserve"> (Rev. ed.). </w:t>
      </w:r>
      <w:proofErr w:type="spellStart"/>
      <w:r>
        <w:t>Wesleyan</w:t>
      </w:r>
      <w:proofErr w:type="spellEnd"/>
      <w:r>
        <w:t xml:space="preserve"> </w:t>
      </w:r>
      <w:proofErr w:type="spellStart"/>
      <w:r>
        <w:t>University</w:t>
      </w:r>
      <w:proofErr w:type="spellEnd"/>
      <w:r>
        <w:t xml:space="preserve"> </w:t>
      </w:r>
      <w:proofErr w:type="spellStart"/>
      <w:r>
        <w:t>Press</w:t>
      </w:r>
      <w:proofErr w:type="spellEnd"/>
      <w:r>
        <w:t>. (Trabajo original publicado en 1965)</w:t>
      </w:r>
    </w:p>
    <w:p w:rsidR="000D0988" w:rsidRDefault="000D0988" w:rsidP="000D0988">
      <w:pPr>
        <w:spacing w:line="360" w:lineRule="auto"/>
        <w:ind w:left="720" w:hanging="720"/>
        <w:jc w:val="both"/>
      </w:pPr>
      <w:proofErr w:type="spellStart"/>
      <w:r>
        <w:t>Rubin</w:t>
      </w:r>
      <w:proofErr w:type="spellEnd"/>
      <w:r>
        <w:t xml:space="preserve">, D. B. (1976). </w:t>
      </w:r>
      <w:proofErr w:type="spellStart"/>
      <w:r>
        <w:t>Inference</w:t>
      </w:r>
      <w:proofErr w:type="spellEnd"/>
      <w:r>
        <w:t xml:space="preserve"> and </w:t>
      </w:r>
      <w:proofErr w:type="spellStart"/>
      <w:r>
        <w:t>missing</w:t>
      </w:r>
      <w:proofErr w:type="spellEnd"/>
      <w:r>
        <w:t xml:space="preserve"> data. </w:t>
      </w:r>
      <w:proofErr w:type="spellStart"/>
      <w:r>
        <w:t>Biometrika</w:t>
      </w:r>
      <w:proofErr w:type="spellEnd"/>
      <w:r>
        <w:t xml:space="preserve">, 63(3), 581-592. </w:t>
      </w:r>
      <w:hyperlink r:id="rId38" w:history="1">
        <w:r w:rsidR="004810E3" w:rsidRPr="009B4FE5">
          <w:rPr>
            <w:rStyle w:val="Hipervnculo"/>
          </w:rPr>
          <w:t>https://doi.org/10.1093/biomet/63.3.581</w:t>
        </w:r>
      </w:hyperlink>
      <w:r w:rsidR="004810E3">
        <w:t xml:space="preserve"> </w:t>
      </w:r>
      <w:r>
        <w:t xml:space="preserve"> </w:t>
      </w:r>
    </w:p>
    <w:p w:rsidR="000D0988" w:rsidRDefault="000D0988" w:rsidP="000D0988">
      <w:pPr>
        <w:spacing w:line="360" w:lineRule="auto"/>
        <w:ind w:left="720" w:hanging="720"/>
        <w:jc w:val="both"/>
      </w:pPr>
      <w:proofErr w:type="spellStart"/>
      <w:r>
        <w:t>Salkind</w:t>
      </w:r>
      <w:proofErr w:type="spellEnd"/>
      <w:r>
        <w:t xml:space="preserve">, N. J. (2017). </w:t>
      </w:r>
      <w:proofErr w:type="spellStart"/>
      <w:r>
        <w:t>Exploring</w:t>
      </w:r>
      <w:proofErr w:type="spellEnd"/>
      <w:r>
        <w:t xml:space="preserve"> </w:t>
      </w:r>
      <w:proofErr w:type="spellStart"/>
      <w:r>
        <w:t>research</w:t>
      </w:r>
      <w:proofErr w:type="spellEnd"/>
      <w:r>
        <w:t xml:space="preserve"> (9th ed.). Pearson.</w:t>
      </w:r>
    </w:p>
    <w:p w:rsidR="000D0988" w:rsidRDefault="000D0988" w:rsidP="000D0988">
      <w:pPr>
        <w:spacing w:line="360" w:lineRule="auto"/>
        <w:ind w:left="720" w:hanging="720"/>
        <w:jc w:val="both"/>
      </w:pPr>
      <w:r>
        <w:t xml:space="preserve">Schmitt, D. P., &amp; </w:t>
      </w:r>
      <w:proofErr w:type="spellStart"/>
      <w:r>
        <w:t>Allik</w:t>
      </w:r>
      <w:proofErr w:type="spellEnd"/>
      <w:r>
        <w:t xml:space="preserve">, J. (2005). </w:t>
      </w:r>
      <w:proofErr w:type="spellStart"/>
      <w:r>
        <w:t>Simultaneous</w:t>
      </w:r>
      <w:proofErr w:type="spellEnd"/>
      <w:r>
        <w:t xml:space="preserve"> </w:t>
      </w:r>
      <w:proofErr w:type="spellStart"/>
      <w:r>
        <w:t>administration</w:t>
      </w:r>
      <w:proofErr w:type="spellEnd"/>
      <w:r>
        <w:t xml:space="preserve"> of </w:t>
      </w:r>
      <w:proofErr w:type="spellStart"/>
      <w:r>
        <w:t>the</w:t>
      </w:r>
      <w:proofErr w:type="spellEnd"/>
      <w:r>
        <w:t xml:space="preserve"> </w:t>
      </w:r>
      <w:proofErr w:type="spellStart"/>
      <w:r>
        <w:t>Rosenberg</w:t>
      </w:r>
      <w:proofErr w:type="spellEnd"/>
      <w:r>
        <w:t xml:space="preserve"> </w:t>
      </w:r>
      <w:proofErr w:type="spellStart"/>
      <w:r>
        <w:t>Self-Esteem</w:t>
      </w:r>
      <w:proofErr w:type="spellEnd"/>
      <w:r>
        <w:t xml:space="preserve"> </w:t>
      </w:r>
      <w:proofErr w:type="spellStart"/>
      <w:r>
        <w:t>Scale</w:t>
      </w:r>
      <w:proofErr w:type="spellEnd"/>
      <w:r>
        <w:t xml:space="preserve"> in 53 </w:t>
      </w:r>
      <w:proofErr w:type="spellStart"/>
      <w:r>
        <w:t>nations</w:t>
      </w:r>
      <w:proofErr w:type="spellEnd"/>
      <w:r>
        <w:t xml:space="preserve">: </w:t>
      </w:r>
      <w:proofErr w:type="spellStart"/>
      <w:r>
        <w:t>Exploring</w:t>
      </w:r>
      <w:proofErr w:type="spellEnd"/>
      <w:r>
        <w:t xml:space="preserve"> </w:t>
      </w:r>
      <w:proofErr w:type="spellStart"/>
      <w:r>
        <w:t>the</w:t>
      </w:r>
      <w:proofErr w:type="spellEnd"/>
      <w:r>
        <w:t xml:space="preserve"> universal and culture-</w:t>
      </w:r>
      <w:proofErr w:type="spellStart"/>
      <w:r>
        <w:t>specific</w:t>
      </w:r>
      <w:proofErr w:type="spellEnd"/>
      <w:r>
        <w:t xml:space="preserve"> </w:t>
      </w:r>
      <w:proofErr w:type="spellStart"/>
      <w:r>
        <w:t>features</w:t>
      </w:r>
      <w:proofErr w:type="spellEnd"/>
      <w:r>
        <w:t xml:space="preserve"> of global </w:t>
      </w:r>
      <w:proofErr w:type="spellStart"/>
      <w:r>
        <w:t>self-esteem</w:t>
      </w:r>
      <w:proofErr w:type="spellEnd"/>
      <w:r>
        <w:t xml:space="preserve">. </w:t>
      </w:r>
      <w:proofErr w:type="spellStart"/>
      <w:r>
        <w:t>Journal</w:t>
      </w:r>
      <w:proofErr w:type="spellEnd"/>
      <w:r>
        <w:t xml:space="preserve"> of </w:t>
      </w:r>
      <w:proofErr w:type="spellStart"/>
      <w:r>
        <w:t>Personality</w:t>
      </w:r>
      <w:proofErr w:type="spellEnd"/>
      <w:r>
        <w:t xml:space="preserve"> and Social </w:t>
      </w:r>
      <w:proofErr w:type="spellStart"/>
      <w:r>
        <w:t>Psychology</w:t>
      </w:r>
      <w:proofErr w:type="spellEnd"/>
      <w:r>
        <w:t xml:space="preserve">, 89(4), 623–642. </w:t>
      </w:r>
      <w:hyperlink r:id="rId39" w:history="1">
        <w:r w:rsidR="004810E3" w:rsidRPr="009B4FE5">
          <w:rPr>
            <w:rStyle w:val="Hipervnculo"/>
          </w:rPr>
          <w:t>https://doi.org/10.1037/0022-3514.89.4.623</w:t>
        </w:r>
      </w:hyperlink>
      <w:r w:rsidR="004810E3">
        <w:t xml:space="preserve"> </w:t>
      </w:r>
      <w:r>
        <w:t xml:space="preserve"> </w:t>
      </w:r>
    </w:p>
    <w:p w:rsidR="000D0988" w:rsidRDefault="000D0988" w:rsidP="000D0988">
      <w:pPr>
        <w:spacing w:line="360" w:lineRule="auto"/>
        <w:ind w:left="720" w:hanging="720"/>
        <w:jc w:val="both"/>
      </w:pPr>
      <w:proofErr w:type="spellStart"/>
      <w:r>
        <w:t>Schober</w:t>
      </w:r>
      <w:proofErr w:type="spellEnd"/>
      <w:r>
        <w:t xml:space="preserve">, P., </w:t>
      </w:r>
      <w:proofErr w:type="spellStart"/>
      <w:r>
        <w:t>Boer</w:t>
      </w:r>
      <w:proofErr w:type="spellEnd"/>
      <w:r>
        <w:t xml:space="preserve">, C., &amp; </w:t>
      </w:r>
      <w:proofErr w:type="spellStart"/>
      <w:r>
        <w:t>Schwarte</w:t>
      </w:r>
      <w:proofErr w:type="spellEnd"/>
      <w:r>
        <w:t xml:space="preserve">, L. A. (2018). </w:t>
      </w:r>
      <w:proofErr w:type="spellStart"/>
      <w:r>
        <w:t>Correlation</w:t>
      </w:r>
      <w:proofErr w:type="spellEnd"/>
      <w:r>
        <w:t xml:space="preserve"> </w:t>
      </w:r>
      <w:proofErr w:type="spellStart"/>
      <w:r>
        <w:t>coefficients</w:t>
      </w:r>
      <w:proofErr w:type="spellEnd"/>
      <w:r>
        <w:t xml:space="preserve">: </w:t>
      </w:r>
      <w:proofErr w:type="spellStart"/>
      <w:r>
        <w:t>Appropriate</w:t>
      </w:r>
      <w:proofErr w:type="spellEnd"/>
      <w:r>
        <w:t xml:space="preserve"> use and </w:t>
      </w:r>
      <w:proofErr w:type="spellStart"/>
      <w:r>
        <w:t>interpretation</w:t>
      </w:r>
      <w:proofErr w:type="spellEnd"/>
      <w:r>
        <w:t xml:space="preserve">. </w:t>
      </w:r>
      <w:proofErr w:type="spellStart"/>
      <w:r>
        <w:t>Anesthesia</w:t>
      </w:r>
      <w:proofErr w:type="spellEnd"/>
      <w:r>
        <w:t xml:space="preserve"> &amp; Analgesia, 126(5), 1763-1768. </w:t>
      </w:r>
      <w:hyperlink r:id="rId40" w:history="1">
        <w:r w:rsidR="004810E3" w:rsidRPr="009B4FE5">
          <w:rPr>
            <w:rStyle w:val="Hipervnculo"/>
          </w:rPr>
          <w:t>https://doi.org/10.1213/ANE.0000000000002864</w:t>
        </w:r>
      </w:hyperlink>
      <w:r w:rsidR="004810E3">
        <w:t xml:space="preserve"> </w:t>
      </w:r>
      <w:r>
        <w:t xml:space="preserve"> </w:t>
      </w:r>
    </w:p>
    <w:p w:rsidR="000D0988" w:rsidRDefault="000D0988" w:rsidP="000D0988">
      <w:pPr>
        <w:spacing w:line="360" w:lineRule="auto"/>
        <w:ind w:left="720" w:hanging="720"/>
        <w:jc w:val="both"/>
      </w:pPr>
      <w:proofErr w:type="spellStart"/>
      <w:r>
        <w:t>Tabachnick</w:t>
      </w:r>
      <w:proofErr w:type="spellEnd"/>
      <w:r>
        <w:t xml:space="preserve">, B. G., &amp; </w:t>
      </w:r>
      <w:proofErr w:type="spellStart"/>
      <w:r>
        <w:t>Fidell</w:t>
      </w:r>
      <w:proofErr w:type="spellEnd"/>
      <w:r>
        <w:t xml:space="preserve">, L. S. (2019). </w:t>
      </w:r>
      <w:proofErr w:type="spellStart"/>
      <w:r>
        <w:t>Using</w:t>
      </w:r>
      <w:proofErr w:type="spellEnd"/>
      <w:r>
        <w:t xml:space="preserve"> </w:t>
      </w:r>
      <w:proofErr w:type="spellStart"/>
      <w:r>
        <w:t>multivariate</w:t>
      </w:r>
      <w:proofErr w:type="spellEnd"/>
      <w:r>
        <w:t xml:space="preserve"> </w:t>
      </w:r>
      <w:proofErr w:type="spellStart"/>
      <w:r>
        <w:t>statistics</w:t>
      </w:r>
      <w:proofErr w:type="spellEnd"/>
      <w:r>
        <w:t xml:space="preserve"> (7th ed.). Pearson.</w:t>
      </w:r>
    </w:p>
    <w:p w:rsidR="000D0988" w:rsidRDefault="000D0988" w:rsidP="000D0988">
      <w:pPr>
        <w:spacing w:line="360" w:lineRule="auto"/>
        <w:ind w:left="720" w:hanging="720"/>
        <w:jc w:val="both"/>
      </w:pPr>
      <w:proofErr w:type="spellStart"/>
      <w:r>
        <w:t>Tajer</w:t>
      </w:r>
      <w:proofErr w:type="spellEnd"/>
      <w:r>
        <w:t>, D. (2012). Género y salud: Una lectura desde el sur. Lugar Editorial.</w:t>
      </w:r>
    </w:p>
    <w:p w:rsidR="000D0988" w:rsidRDefault="000D0988" w:rsidP="000D0988">
      <w:pPr>
        <w:spacing w:line="360" w:lineRule="auto"/>
        <w:ind w:left="720" w:hanging="720"/>
        <w:jc w:val="both"/>
      </w:pPr>
      <w:proofErr w:type="spellStart"/>
      <w:r>
        <w:t>Towns</w:t>
      </w:r>
      <w:proofErr w:type="spellEnd"/>
      <w:r>
        <w:t xml:space="preserve">, A., &amp; Adams, P. (2016). "I </w:t>
      </w:r>
      <w:proofErr w:type="spellStart"/>
      <w:r>
        <w:t>didn't</w:t>
      </w:r>
      <w:proofErr w:type="spellEnd"/>
      <w:r>
        <w:t xml:space="preserve"> </w:t>
      </w:r>
      <w:proofErr w:type="spellStart"/>
      <w:r>
        <w:t>know</w:t>
      </w:r>
      <w:proofErr w:type="spellEnd"/>
      <w:r>
        <w:t xml:space="preserve"> </w:t>
      </w:r>
      <w:proofErr w:type="spellStart"/>
      <w:r>
        <w:t>whether</w:t>
      </w:r>
      <w:proofErr w:type="spellEnd"/>
      <w:r>
        <w:t xml:space="preserve"> I </w:t>
      </w:r>
      <w:proofErr w:type="spellStart"/>
      <w:r>
        <w:t>was</w:t>
      </w:r>
      <w:proofErr w:type="spellEnd"/>
      <w:r>
        <w:t xml:space="preserve"> </w:t>
      </w:r>
      <w:proofErr w:type="spellStart"/>
      <w:r>
        <w:t>right</w:t>
      </w:r>
      <w:proofErr w:type="spellEnd"/>
      <w:r>
        <w:t xml:space="preserve"> </w:t>
      </w:r>
      <w:proofErr w:type="spellStart"/>
      <w:r>
        <w:t>or</w:t>
      </w:r>
      <w:proofErr w:type="spellEnd"/>
      <w:r>
        <w:t xml:space="preserve"> </w:t>
      </w:r>
      <w:proofErr w:type="spellStart"/>
      <w:r>
        <w:t>wrong</w:t>
      </w:r>
      <w:proofErr w:type="spellEnd"/>
      <w:r>
        <w:t xml:space="preserve"> </w:t>
      </w:r>
      <w:proofErr w:type="spellStart"/>
      <w:r>
        <w:t>or</w:t>
      </w:r>
      <w:proofErr w:type="spellEnd"/>
      <w:r>
        <w:t xml:space="preserve"> </w:t>
      </w:r>
      <w:proofErr w:type="spellStart"/>
      <w:r>
        <w:t>just</w:t>
      </w:r>
      <w:proofErr w:type="spellEnd"/>
      <w:r>
        <w:t xml:space="preserve"> </w:t>
      </w:r>
      <w:proofErr w:type="spellStart"/>
      <w:r>
        <w:t>bewildered</w:t>
      </w:r>
      <w:proofErr w:type="spellEnd"/>
      <w:r>
        <w:t xml:space="preserve">": </w:t>
      </w:r>
      <w:proofErr w:type="spellStart"/>
      <w:r>
        <w:t>Ambiguity</w:t>
      </w:r>
      <w:proofErr w:type="spellEnd"/>
      <w:r>
        <w:t xml:space="preserve">, </w:t>
      </w:r>
      <w:proofErr w:type="spellStart"/>
      <w:r>
        <w:t>responsibility</w:t>
      </w:r>
      <w:proofErr w:type="spellEnd"/>
      <w:r>
        <w:t xml:space="preserve">, and </w:t>
      </w:r>
      <w:proofErr w:type="spellStart"/>
      <w:r>
        <w:t>silencing</w:t>
      </w:r>
      <w:proofErr w:type="spellEnd"/>
      <w:r>
        <w:t xml:space="preserve"> </w:t>
      </w:r>
      <w:proofErr w:type="spellStart"/>
      <w:r>
        <w:t>women's</w:t>
      </w:r>
      <w:proofErr w:type="spellEnd"/>
      <w:r>
        <w:t xml:space="preserve"> </w:t>
      </w:r>
      <w:proofErr w:type="spellStart"/>
      <w:r>
        <w:t>talk</w:t>
      </w:r>
      <w:proofErr w:type="spellEnd"/>
      <w:r>
        <w:t xml:space="preserve"> of </w:t>
      </w:r>
      <w:proofErr w:type="spellStart"/>
      <w:r>
        <w:t>men's</w:t>
      </w:r>
      <w:proofErr w:type="spellEnd"/>
      <w:r>
        <w:t xml:space="preserve"> </w:t>
      </w:r>
      <w:proofErr w:type="spellStart"/>
      <w:r>
        <w:t>domestic</w:t>
      </w:r>
      <w:proofErr w:type="spellEnd"/>
      <w:r>
        <w:t xml:space="preserve"> </w:t>
      </w:r>
      <w:proofErr w:type="spellStart"/>
      <w:r>
        <w:t>violence</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22(4), 496–516. </w:t>
      </w:r>
      <w:hyperlink r:id="rId41" w:history="1">
        <w:r w:rsidR="004810E3" w:rsidRPr="009B4FE5">
          <w:rPr>
            <w:rStyle w:val="Hipervnculo"/>
          </w:rPr>
          <w:t>https://doi.org/10.1177/1077801215601244</w:t>
        </w:r>
      </w:hyperlink>
      <w:r w:rsidR="004810E3">
        <w:t xml:space="preserve"> </w:t>
      </w:r>
      <w:r>
        <w:t xml:space="preserve"> </w:t>
      </w:r>
      <w:r w:rsidR="004810E3">
        <w:t xml:space="preserve"> </w:t>
      </w:r>
    </w:p>
    <w:p w:rsidR="000D0988" w:rsidRDefault="000D0988" w:rsidP="000D0988">
      <w:pPr>
        <w:spacing w:line="360" w:lineRule="auto"/>
        <w:ind w:left="720" w:hanging="720"/>
        <w:jc w:val="both"/>
      </w:pPr>
      <w:r>
        <w:t xml:space="preserve">Trujillo </w:t>
      </w:r>
      <w:proofErr w:type="spellStart"/>
      <w:r>
        <w:t>Cristoffanini</w:t>
      </w:r>
      <w:proofErr w:type="spellEnd"/>
      <w:r>
        <w:t xml:space="preserve">, M., &amp; Pastor </w:t>
      </w:r>
      <w:proofErr w:type="spellStart"/>
      <w:r>
        <w:t>Gosálbez</w:t>
      </w:r>
      <w:proofErr w:type="spellEnd"/>
      <w:r>
        <w:t xml:space="preserve">, I. (2021). Violencia de género en estudiantes universitarias: Un reto para la educación superior. </w:t>
      </w:r>
      <w:proofErr w:type="spellStart"/>
      <w:r>
        <w:t>Psicoperspectivas</w:t>
      </w:r>
      <w:proofErr w:type="spellEnd"/>
      <w:r>
        <w:t xml:space="preserve">, 20(1), e2080.  </w:t>
      </w:r>
      <w:hyperlink r:id="rId42" w:history="1">
        <w:r w:rsidR="004810E3" w:rsidRPr="009B4FE5">
          <w:rPr>
            <w:rStyle w:val="Hipervnculo"/>
          </w:rPr>
          <w:t>https://doi.org/10.5027/psicoperspectivas-vol20-issue1-fulltext-2080</w:t>
        </w:r>
      </w:hyperlink>
      <w:r w:rsidR="004810E3">
        <w:t xml:space="preserve"> </w:t>
      </w:r>
      <w:r>
        <w:t xml:space="preserve"> </w:t>
      </w:r>
    </w:p>
    <w:p w:rsidR="000D0988" w:rsidRDefault="000D0988" w:rsidP="000D0988">
      <w:pPr>
        <w:spacing w:line="360" w:lineRule="auto"/>
        <w:ind w:left="720" w:hanging="720"/>
        <w:jc w:val="both"/>
      </w:pPr>
      <w:proofErr w:type="spellStart"/>
      <w:r>
        <w:t>Nowak</w:t>
      </w:r>
      <w:proofErr w:type="spellEnd"/>
      <w:r>
        <w:t xml:space="preserve">, A., &amp; </w:t>
      </w:r>
      <w:proofErr w:type="spellStart"/>
      <w:r>
        <w:t>Vallacher</w:t>
      </w:r>
      <w:proofErr w:type="spellEnd"/>
      <w:r>
        <w:t xml:space="preserve">, R. R. (2019). </w:t>
      </w:r>
      <w:proofErr w:type="spellStart"/>
      <w:r>
        <w:t>Nonlinear</w:t>
      </w:r>
      <w:proofErr w:type="spellEnd"/>
      <w:r>
        <w:t xml:space="preserve"> </w:t>
      </w:r>
      <w:proofErr w:type="spellStart"/>
      <w:r>
        <w:t>societal</w:t>
      </w:r>
      <w:proofErr w:type="spellEnd"/>
      <w:r>
        <w:t xml:space="preserve"> </w:t>
      </w:r>
      <w:proofErr w:type="spellStart"/>
      <w:r>
        <w:t>change</w:t>
      </w:r>
      <w:proofErr w:type="spellEnd"/>
      <w:r>
        <w:t xml:space="preserve">: </w:t>
      </w:r>
      <w:proofErr w:type="spellStart"/>
      <w:r>
        <w:t>The</w:t>
      </w:r>
      <w:proofErr w:type="spellEnd"/>
      <w:r>
        <w:t xml:space="preserve"> </w:t>
      </w:r>
      <w:proofErr w:type="spellStart"/>
      <w:r>
        <w:t>perspective</w:t>
      </w:r>
      <w:proofErr w:type="spellEnd"/>
      <w:r>
        <w:t xml:space="preserve"> of </w:t>
      </w:r>
      <w:proofErr w:type="spellStart"/>
      <w:r>
        <w:t>dynamical</w:t>
      </w:r>
      <w:proofErr w:type="spellEnd"/>
      <w:r>
        <w:t xml:space="preserve"> </w:t>
      </w:r>
      <w:proofErr w:type="spellStart"/>
      <w:r>
        <w:t>systems</w:t>
      </w:r>
      <w:proofErr w:type="spellEnd"/>
      <w:r>
        <w:t xml:space="preserve">. British </w:t>
      </w:r>
      <w:proofErr w:type="spellStart"/>
      <w:r>
        <w:t>Journal</w:t>
      </w:r>
      <w:proofErr w:type="spellEnd"/>
      <w:r>
        <w:t xml:space="preserve"> of Social </w:t>
      </w:r>
      <w:proofErr w:type="spellStart"/>
      <w:r>
        <w:t>Psychology</w:t>
      </w:r>
      <w:proofErr w:type="spellEnd"/>
      <w:r>
        <w:t xml:space="preserve">, 58(1), 105–128. </w:t>
      </w:r>
      <w:hyperlink r:id="rId43" w:history="1">
        <w:r w:rsidR="004810E3" w:rsidRPr="009B4FE5">
          <w:rPr>
            <w:rStyle w:val="Hipervnculo"/>
          </w:rPr>
          <w:t>https://doi.org/10.1111/bjso.12271</w:t>
        </w:r>
      </w:hyperlink>
      <w:r w:rsidR="004810E3">
        <w:t xml:space="preserve"> </w:t>
      </w:r>
    </w:p>
    <w:p w:rsidR="000D0988" w:rsidRDefault="000D0988" w:rsidP="000D0988">
      <w:pPr>
        <w:spacing w:line="360" w:lineRule="auto"/>
        <w:ind w:left="720" w:hanging="720"/>
        <w:jc w:val="both"/>
      </w:pPr>
      <w:r>
        <w:t xml:space="preserve">Valls, R., </w:t>
      </w:r>
      <w:proofErr w:type="spellStart"/>
      <w:r>
        <w:t>Puigvert</w:t>
      </w:r>
      <w:proofErr w:type="spellEnd"/>
      <w:r>
        <w:t xml:space="preserve">, L., Melgar, P., &amp; </w:t>
      </w:r>
      <w:proofErr w:type="spellStart"/>
      <w:r>
        <w:t>Garcia-Yeste</w:t>
      </w:r>
      <w:proofErr w:type="spellEnd"/>
      <w:r>
        <w:t xml:space="preserve">, C. (2016). </w:t>
      </w:r>
      <w:proofErr w:type="spellStart"/>
      <w:r>
        <w:t>Breaking</w:t>
      </w:r>
      <w:proofErr w:type="spellEnd"/>
      <w:r>
        <w:t xml:space="preserve"> </w:t>
      </w:r>
      <w:proofErr w:type="spellStart"/>
      <w:r>
        <w:t>the</w:t>
      </w:r>
      <w:proofErr w:type="spellEnd"/>
      <w:r>
        <w:t xml:space="preserve"> </w:t>
      </w:r>
      <w:proofErr w:type="spellStart"/>
      <w:r>
        <w:t>silence</w:t>
      </w:r>
      <w:proofErr w:type="spellEnd"/>
      <w:r>
        <w:t xml:space="preserve"> at </w:t>
      </w:r>
      <w:proofErr w:type="spellStart"/>
      <w:r>
        <w:t>Spanish</w:t>
      </w:r>
      <w:proofErr w:type="spellEnd"/>
      <w:r>
        <w:t xml:space="preserve"> </w:t>
      </w:r>
      <w:proofErr w:type="spellStart"/>
      <w:r>
        <w:t>universities</w:t>
      </w:r>
      <w:proofErr w:type="spellEnd"/>
      <w:r>
        <w:t xml:space="preserve">: </w:t>
      </w:r>
      <w:proofErr w:type="spellStart"/>
      <w:r>
        <w:t>Findings</w:t>
      </w:r>
      <w:proofErr w:type="spellEnd"/>
      <w:r>
        <w:t xml:space="preserve"> </w:t>
      </w:r>
      <w:proofErr w:type="spellStart"/>
      <w:r>
        <w:t>from</w:t>
      </w:r>
      <w:proofErr w:type="spellEnd"/>
      <w:r>
        <w:t xml:space="preserve"> </w:t>
      </w:r>
      <w:proofErr w:type="spellStart"/>
      <w:r>
        <w:t>the</w:t>
      </w:r>
      <w:proofErr w:type="spellEnd"/>
      <w:r>
        <w:t xml:space="preserve"> </w:t>
      </w:r>
      <w:proofErr w:type="spellStart"/>
      <w:r>
        <w:t>first</w:t>
      </w:r>
      <w:proofErr w:type="spellEnd"/>
      <w:r>
        <w:t xml:space="preserve"> </w:t>
      </w:r>
      <w:proofErr w:type="spellStart"/>
      <w:r>
        <w:t>study</w:t>
      </w:r>
      <w:proofErr w:type="spellEnd"/>
      <w:r>
        <w:t xml:space="preserve"> of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on</w:t>
      </w:r>
      <w:proofErr w:type="spellEnd"/>
      <w:r>
        <w:t xml:space="preserve"> </w:t>
      </w:r>
      <w:proofErr w:type="spellStart"/>
      <w:r>
        <w:t>campuses</w:t>
      </w:r>
      <w:proofErr w:type="spellEnd"/>
      <w:r>
        <w:t xml:space="preserve"> in </w:t>
      </w:r>
      <w:proofErr w:type="spellStart"/>
      <w:r>
        <w:t>Spain</w:t>
      </w:r>
      <w:proofErr w:type="spellEnd"/>
      <w:r>
        <w:t xml:space="preserve">.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22(13), 1519-1539. </w:t>
      </w:r>
      <w:hyperlink r:id="rId44" w:history="1">
        <w:r w:rsidR="004810E3" w:rsidRPr="009B4FE5">
          <w:rPr>
            <w:rStyle w:val="Hipervnculo"/>
          </w:rPr>
          <w:t>https://doi.org/10.1177/1077801215627511</w:t>
        </w:r>
      </w:hyperlink>
      <w:r w:rsidR="004810E3">
        <w:t xml:space="preserve"> </w:t>
      </w:r>
      <w:r>
        <w:t xml:space="preserve"> </w:t>
      </w:r>
    </w:p>
    <w:p w:rsidR="000D0988" w:rsidRDefault="000D0988" w:rsidP="000D0988">
      <w:pPr>
        <w:spacing w:line="360" w:lineRule="auto"/>
        <w:ind w:left="720" w:hanging="720"/>
        <w:jc w:val="both"/>
      </w:pPr>
      <w:r>
        <w:t xml:space="preserve">Van der </w:t>
      </w:r>
      <w:proofErr w:type="spellStart"/>
      <w:r>
        <w:t>Kolk</w:t>
      </w:r>
      <w:proofErr w:type="spellEnd"/>
      <w:r>
        <w:t xml:space="preserve">, B. A. (2014). </w:t>
      </w:r>
      <w:proofErr w:type="spellStart"/>
      <w:r>
        <w:t>The</w:t>
      </w:r>
      <w:proofErr w:type="spellEnd"/>
      <w:r>
        <w:t xml:space="preserve"> </w:t>
      </w:r>
      <w:proofErr w:type="spellStart"/>
      <w:r>
        <w:t>body</w:t>
      </w:r>
      <w:proofErr w:type="spellEnd"/>
      <w:r>
        <w:t xml:space="preserve"> </w:t>
      </w:r>
      <w:proofErr w:type="spellStart"/>
      <w:r>
        <w:t>keeps</w:t>
      </w:r>
      <w:proofErr w:type="spellEnd"/>
      <w:r>
        <w:t xml:space="preserve"> </w:t>
      </w:r>
      <w:proofErr w:type="spellStart"/>
      <w:r>
        <w:t>the</w:t>
      </w:r>
      <w:proofErr w:type="spellEnd"/>
      <w:r>
        <w:t xml:space="preserve"> score: </w:t>
      </w:r>
      <w:proofErr w:type="spellStart"/>
      <w:r>
        <w:t>Brain</w:t>
      </w:r>
      <w:proofErr w:type="spellEnd"/>
      <w:r>
        <w:t xml:space="preserve">, </w:t>
      </w:r>
      <w:proofErr w:type="spellStart"/>
      <w:r>
        <w:t>mind</w:t>
      </w:r>
      <w:proofErr w:type="spellEnd"/>
      <w:r>
        <w:t xml:space="preserve">, and </w:t>
      </w:r>
      <w:proofErr w:type="spellStart"/>
      <w:r>
        <w:t>body</w:t>
      </w:r>
      <w:proofErr w:type="spellEnd"/>
      <w:r>
        <w:t xml:space="preserve"> in </w:t>
      </w:r>
      <w:proofErr w:type="spellStart"/>
      <w:r>
        <w:t>the</w:t>
      </w:r>
      <w:proofErr w:type="spellEnd"/>
      <w:r>
        <w:t xml:space="preserve"> </w:t>
      </w:r>
      <w:proofErr w:type="spellStart"/>
      <w:r>
        <w:t>healing</w:t>
      </w:r>
      <w:proofErr w:type="spellEnd"/>
      <w:r>
        <w:t xml:space="preserve"> of trauma. </w:t>
      </w:r>
      <w:proofErr w:type="spellStart"/>
      <w:r>
        <w:t>Viking</w:t>
      </w:r>
      <w:proofErr w:type="spellEnd"/>
      <w:r>
        <w:t>.</w:t>
      </w:r>
    </w:p>
    <w:p w:rsidR="000D0988" w:rsidRDefault="000D0988" w:rsidP="000D0988">
      <w:pPr>
        <w:spacing w:line="360" w:lineRule="auto"/>
        <w:ind w:left="720" w:hanging="720"/>
        <w:jc w:val="both"/>
      </w:pPr>
      <w:r>
        <w:lastRenderedPageBreak/>
        <w:t xml:space="preserve">Vázquez, A. J., Jiménez, R., &amp; Vázquez-Morejón, R. (2004). Escala de autoestima de </w:t>
      </w:r>
      <w:proofErr w:type="spellStart"/>
      <w:r>
        <w:t>Rosenberg</w:t>
      </w:r>
      <w:proofErr w:type="spellEnd"/>
      <w:r>
        <w:t>: Fiabilidad y validez en población clínica española. Apuntes de Psicología, 22(2), 247-255.</w:t>
      </w:r>
    </w:p>
    <w:p w:rsidR="000D0988" w:rsidRDefault="000D0988" w:rsidP="000D0988">
      <w:pPr>
        <w:spacing w:line="360" w:lineRule="auto"/>
        <w:ind w:left="720" w:hanging="720"/>
        <w:jc w:val="both"/>
      </w:pPr>
      <w:proofErr w:type="spellStart"/>
      <w:r>
        <w:t>Walby</w:t>
      </w:r>
      <w:proofErr w:type="spellEnd"/>
      <w:r>
        <w:t xml:space="preserve">, S. (2020). </w:t>
      </w:r>
      <w:proofErr w:type="spellStart"/>
      <w:r>
        <w:t>Gender</w:t>
      </w:r>
      <w:proofErr w:type="spellEnd"/>
      <w:r>
        <w:t xml:space="preserve"> </w:t>
      </w:r>
      <w:proofErr w:type="spellStart"/>
      <w:r>
        <w:t>regimes</w:t>
      </w:r>
      <w:proofErr w:type="spellEnd"/>
      <w:r>
        <w:t xml:space="preserve"> and </w:t>
      </w:r>
      <w:proofErr w:type="spellStart"/>
      <w:r>
        <w:t>violence</w:t>
      </w:r>
      <w:proofErr w:type="spellEnd"/>
      <w:r>
        <w:t xml:space="preserve">: </w:t>
      </w:r>
      <w:proofErr w:type="spellStart"/>
      <w:r>
        <w:t>integrating</w:t>
      </w:r>
      <w:proofErr w:type="spellEnd"/>
      <w:r>
        <w:t xml:space="preserve"> </w:t>
      </w:r>
      <w:proofErr w:type="spellStart"/>
      <w:r>
        <w:t>complexity</w:t>
      </w:r>
      <w:proofErr w:type="spellEnd"/>
      <w:r>
        <w:t xml:space="preserve"> </w:t>
      </w:r>
      <w:proofErr w:type="spellStart"/>
      <w:r>
        <w:t>theory</w:t>
      </w:r>
      <w:proofErr w:type="spellEnd"/>
      <w:r>
        <w:t xml:space="preserve"> in </w:t>
      </w:r>
      <w:proofErr w:type="spellStart"/>
      <w:r>
        <w:t>the</w:t>
      </w:r>
      <w:proofErr w:type="spellEnd"/>
      <w:r>
        <w:t xml:space="preserve"> </w:t>
      </w:r>
      <w:proofErr w:type="spellStart"/>
      <w:r>
        <w:t>study</w:t>
      </w:r>
      <w:proofErr w:type="spellEnd"/>
      <w:r>
        <w:t xml:space="preserve"> of </w:t>
      </w:r>
      <w:proofErr w:type="spellStart"/>
      <w:r>
        <w:t>gender-based</w:t>
      </w:r>
      <w:proofErr w:type="spellEnd"/>
      <w:r>
        <w:t xml:space="preserve"> </w:t>
      </w:r>
      <w:proofErr w:type="spellStart"/>
      <w:r>
        <w:t>violence</w:t>
      </w:r>
      <w:proofErr w:type="spellEnd"/>
      <w:r>
        <w:t xml:space="preserve">. </w:t>
      </w:r>
      <w:proofErr w:type="spellStart"/>
      <w:r>
        <w:t>Women's</w:t>
      </w:r>
      <w:proofErr w:type="spellEnd"/>
      <w:r>
        <w:t xml:space="preserve"> </w:t>
      </w:r>
      <w:proofErr w:type="spellStart"/>
      <w:r>
        <w:t>Studies</w:t>
      </w:r>
      <w:proofErr w:type="spellEnd"/>
      <w:r>
        <w:t xml:space="preserve"> International </w:t>
      </w:r>
      <w:proofErr w:type="spellStart"/>
      <w:r>
        <w:t>Forum</w:t>
      </w:r>
      <w:proofErr w:type="spellEnd"/>
      <w:r>
        <w:t xml:space="preserve">, 82, 102324. </w:t>
      </w:r>
      <w:hyperlink r:id="rId45" w:history="1">
        <w:r w:rsidR="004810E3" w:rsidRPr="009B4FE5">
          <w:rPr>
            <w:rStyle w:val="Hipervnculo"/>
          </w:rPr>
          <w:t>https://doi.org/10.1016/j.wsif.2020.102324</w:t>
        </w:r>
      </w:hyperlink>
      <w:r w:rsidR="004810E3">
        <w:t xml:space="preserve"> </w:t>
      </w:r>
      <w:r>
        <w:t xml:space="preserve"> </w:t>
      </w:r>
    </w:p>
    <w:p w:rsidR="000D0988" w:rsidRDefault="000D0988" w:rsidP="000D0988">
      <w:pPr>
        <w:spacing w:line="360" w:lineRule="auto"/>
        <w:ind w:left="720" w:hanging="720"/>
        <w:jc w:val="both"/>
      </w:pPr>
      <w:r>
        <w:t xml:space="preserve">Walker, L. E. A. (1979). </w:t>
      </w:r>
      <w:proofErr w:type="spellStart"/>
      <w:r>
        <w:t>The</w:t>
      </w:r>
      <w:proofErr w:type="spellEnd"/>
      <w:r>
        <w:t xml:space="preserve"> </w:t>
      </w:r>
      <w:proofErr w:type="spellStart"/>
      <w:r>
        <w:t>battered</w:t>
      </w:r>
      <w:proofErr w:type="spellEnd"/>
      <w:r>
        <w:t xml:space="preserve"> </w:t>
      </w:r>
      <w:proofErr w:type="spellStart"/>
      <w:r>
        <w:t>woman</w:t>
      </w:r>
      <w:proofErr w:type="spellEnd"/>
      <w:r>
        <w:t xml:space="preserve">. </w:t>
      </w:r>
      <w:proofErr w:type="spellStart"/>
      <w:r>
        <w:t>Harper</w:t>
      </w:r>
      <w:proofErr w:type="spellEnd"/>
      <w:r>
        <w:t xml:space="preserve"> and </w:t>
      </w:r>
      <w:proofErr w:type="spellStart"/>
      <w:r>
        <w:t>Row</w:t>
      </w:r>
      <w:proofErr w:type="spellEnd"/>
      <w:r>
        <w:t>.</w:t>
      </w:r>
    </w:p>
    <w:p w:rsidR="000D0988" w:rsidRDefault="000D0988" w:rsidP="000D0988">
      <w:pPr>
        <w:spacing w:line="360" w:lineRule="auto"/>
        <w:ind w:left="720" w:hanging="720"/>
        <w:jc w:val="both"/>
      </w:pPr>
      <w:proofErr w:type="spellStart"/>
      <w:r>
        <w:t>Welch</w:t>
      </w:r>
      <w:proofErr w:type="spellEnd"/>
      <w:r>
        <w:t xml:space="preserve">, B. L. (1951). </w:t>
      </w:r>
      <w:proofErr w:type="spellStart"/>
      <w:r>
        <w:t>On</w:t>
      </w:r>
      <w:proofErr w:type="spellEnd"/>
      <w:r>
        <w:t xml:space="preserve"> </w:t>
      </w:r>
      <w:proofErr w:type="spellStart"/>
      <w:r>
        <w:t>the</w:t>
      </w:r>
      <w:proofErr w:type="spellEnd"/>
      <w:r>
        <w:t xml:space="preserve"> </w:t>
      </w:r>
      <w:proofErr w:type="spellStart"/>
      <w:r>
        <w:t>comparison</w:t>
      </w:r>
      <w:proofErr w:type="spellEnd"/>
      <w:r>
        <w:t xml:space="preserve"> of </w:t>
      </w:r>
      <w:proofErr w:type="spellStart"/>
      <w:r>
        <w:t>several</w:t>
      </w:r>
      <w:proofErr w:type="spellEnd"/>
      <w:r>
        <w:t xml:space="preserve"> mean </w:t>
      </w:r>
      <w:proofErr w:type="spellStart"/>
      <w:r>
        <w:t>values</w:t>
      </w:r>
      <w:proofErr w:type="spellEnd"/>
      <w:r>
        <w:t xml:space="preserve">: </w:t>
      </w:r>
      <w:proofErr w:type="spellStart"/>
      <w:r>
        <w:t>An</w:t>
      </w:r>
      <w:proofErr w:type="spellEnd"/>
      <w:r>
        <w:t xml:space="preserve"> </w:t>
      </w:r>
      <w:proofErr w:type="spellStart"/>
      <w:r>
        <w:t>alternative</w:t>
      </w:r>
      <w:proofErr w:type="spellEnd"/>
      <w:r>
        <w:t xml:space="preserve"> </w:t>
      </w:r>
      <w:proofErr w:type="spellStart"/>
      <w:r>
        <w:t>approach</w:t>
      </w:r>
      <w:proofErr w:type="spellEnd"/>
      <w:r>
        <w:t xml:space="preserve">. </w:t>
      </w:r>
      <w:proofErr w:type="spellStart"/>
      <w:r>
        <w:t>Biometrika</w:t>
      </w:r>
      <w:proofErr w:type="spellEnd"/>
      <w:r>
        <w:t xml:space="preserve">, 38(3-4), 330-336. </w:t>
      </w:r>
      <w:hyperlink r:id="rId46" w:history="1">
        <w:r w:rsidR="004810E3" w:rsidRPr="009B4FE5">
          <w:rPr>
            <w:rStyle w:val="Hipervnculo"/>
          </w:rPr>
          <w:t>https://doi.org/10.1093/biomet/38.3-4.330</w:t>
        </w:r>
      </w:hyperlink>
      <w:r w:rsidR="004810E3">
        <w:t xml:space="preserve"> </w:t>
      </w:r>
      <w:r>
        <w:t xml:space="preserve"> </w:t>
      </w:r>
    </w:p>
    <w:p w:rsidR="000D0988" w:rsidRDefault="000D0988" w:rsidP="000D0988">
      <w:pPr>
        <w:spacing w:line="360" w:lineRule="auto"/>
        <w:ind w:left="720" w:hanging="720"/>
        <w:jc w:val="both"/>
      </w:pPr>
      <w:r>
        <w:t xml:space="preserve">Yánez, S., Urrego, Z., </w:t>
      </w:r>
      <w:proofErr w:type="spellStart"/>
      <w:r>
        <w:t>Moreano</w:t>
      </w:r>
      <w:proofErr w:type="spellEnd"/>
      <w:r>
        <w:t xml:space="preserve">, L., &amp; Delgado, J. (2020). Propiedades psicométricas de la Escala de Autoestima de </w:t>
      </w:r>
      <w:proofErr w:type="spellStart"/>
      <w:r>
        <w:t>Rosenberg</w:t>
      </w:r>
      <w:proofErr w:type="spellEnd"/>
      <w:r>
        <w:t xml:space="preserve"> en estudiantes universitarios ecuatorianos. Revista Ecuatoriana de Psicología, 3(5), 123-135. </w:t>
      </w:r>
      <w:hyperlink r:id="rId47" w:history="1">
        <w:r w:rsidR="004810E3" w:rsidRPr="009B4FE5">
          <w:rPr>
            <w:rStyle w:val="Hipervnculo"/>
          </w:rPr>
          <w:t>https://doi.org/10.33898/rep.v3i5.234</w:t>
        </w:r>
      </w:hyperlink>
      <w:r w:rsidR="004810E3">
        <w:t xml:space="preserve"> </w:t>
      </w:r>
    </w:p>
    <w:p w:rsidR="00DB7FAA" w:rsidRDefault="000D0988" w:rsidP="000D0988">
      <w:pPr>
        <w:spacing w:line="360" w:lineRule="auto"/>
        <w:ind w:left="720" w:hanging="720"/>
        <w:jc w:val="both"/>
      </w:pPr>
      <w:proofErr w:type="spellStart"/>
      <w:r>
        <w:t>Zeigler</w:t>
      </w:r>
      <w:proofErr w:type="spellEnd"/>
      <w:r>
        <w:t xml:space="preserve">-Hill, V. (2013). </w:t>
      </w:r>
      <w:proofErr w:type="spellStart"/>
      <w:r>
        <w:t>Self-esteem</w:t>
      </w:r>
      <w:proofErr w:type="spellEnd"/>
      <w:r>
        <w:t xml:space="preserve">. </w:t>
      </w:r>
      <w:proofErr w:type="spellStart"/>
      <w:r>
        <w:t>Psychology</w:t>
      </w:r>
      <w:proofErr w:type="spellEnd"/>
      <w:r>
        <w:t xml:space="preserve"> </w:t>
      </w:r>
      <w:proofErr w:type="spellStart"/>
      <w:r>
        <w:t>Press</w:t>
      </w:r>
      <w:proofErr w:type="spellEnd"/>
      <w:r>
        <w:t>.</w:t>
      </w:r>
    </w:p>
    <w:p w:rsidR="00DB7FAA" w:rsidRDefault="00DB7FAA">
      <w:pPr>
        <w:ind w:left="720" w:hanging="720"/>
        <w:jc w:val="both"/>
      </w:pPr>
    </w:p>
    <w:p w:rsidR="00DB7FAA" w:rsidRPr="004810E3" w:rsidRDefault="00E3249E">
      <w:pPr>
        <w:shd w:val="clear" w:color="auto" w:fill="FFFFFF"/>
        <w:jc w:val="right"/>
        <w:rPr>
          <w:i/>
          <w:sz w:val="20"/>
          <w:szCs w:val="20"/>
          <w:highlight w:val="yellow"/>
        </w:rPr>
      </w:pPr>
      <w:proofErr w:type="spellStart"/>
      <w:r w:rsidRPr="004810E3">
        <w:rPr>
          <w:i/>
          <w:sz w:val="20"/>
          <w:szCs w:val="20"/>
          <w:highlight w:val="yellow"/>
        </w:rPr>
        <w:t>Received</w:t>
      </w:r>
      <w:proofErr w:type="spellEnd"/>
      <w:r w:rsidRPr="004810E3">
        <w:rPr>
          <w:i/>
          <w:sz w:val="20"/>
          <w:szCs w:val="20"/>
          <w:highlight w:val="yellow"/>
        </w:rPr>
        <w:t xml:space="preserve">: </w:t>
      </w:r>
    </w:p>
    <w:p w:rsidR="00DB7FAA" w:rsidRDefault="00E3249E">
      <w:pPr>
        <w:shd w:val="clear" w:color="auto" w:fill="FFFFFF"/>
        <w:jc w:val="right"/>
        <w:rPr>
          <w:i/>
          <w:sz w:val="20"/>
          <w:szCs w:val="20"/>
        </w:rPr>
      </w:pPr>
      <w:proofErr w:type="spellStart"/>
      <w:r w:rsidRPr="004810E3">
        <w:rPr>
          <w:i/>
          <w:sz w:val="20"/>
          <w:szCs w:val="20"/>
          <w:highlight w:val="yellow"/>
        </w:rPr>
        <w:t>Accepted</w:t>
      </w:r>
      <w:proofErr w:type="spellEnd"/>
      <w:r w:rsidRPr="004810E3">
        <w:rPr>
          <w:i/>
          <w:sz w:val="20"/>
          <w:szCs w:val="20"/>
          <w:highlight w:val="yellow"/>
        </w:rPr>
        <w:t>:</w:t>
      </w:r>
      <w:r w:rsidRPr="004810E3">
        <w:rPr>
          <w:rFonts w:ascii="Quattrocento Sans" w:eastAsia="Quattrocento Sans" w:hAnsi="Quattrocento Sans" w:cs="Quattrocento Sans"/>
          <w:sz w:val="21"/>
          <w:szCs w:val="21"/>
          <w:highlight w:val="yellow"/>
        </w:rPr>
        <w:t xml:space="preserve"> </w:t>
      </w:r>
    </w:p>
    <w:p w:rsidR="00DB7FAA" w:rsidRPr="004810E3" w:rsidRDefault="00DB7FAA" w:rsidP="004810E3">
      <w:pPr>
        <w:rPr>
          <w:i/>
          <w:sz w:val="28"/>
          <w:szCs w:val="28"/>
        </w:rPr>
      </w:pPr>
    </w:p>
    <w:sectPr w:rsidR="00DB7FAA" w:rsidRPr="004810E3" w:rsidSect="004810E3">
      <w:headerReference w:type="even" r:id="rId48"/>
      <w:headerReference w:type="default" r:id="rId49"/>
      <w:footerReference w:type="even" r:id="rId50"/>
      <w:footerReference w:type="default" r:id="rId51"/>
      <w:pgSz w:w="11906" w:h="16838" w:code="9"/>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DAC" w:rsidRDefault="00A12DAC">
      <w:r>
        <w:separator/>
      </w:r>
    </w:p>
  </w:endnote>
  <w:endnote w:type="continuationSeparator" w:id="0">
    <w:p w:rsidR="00A12DAC" w:rsidRDefault="00A1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masis MT Pro Light">
    <w:altName w:val="Times New Roman"/>
    <w:charset w:val="00"/>
    <w:family w:val="roman"/>
    <w:pitch w:val="variable"/>
    <w:sig w:usb0="A00000AF" w:usb1="4000205B" w:usb2="00000000" w:usb3="00000000" w:csb0="00000093"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FAA" w:rsidRDefault="00E3249E">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86165">
      <w:rPr>
        <w:rFonts w:ascii="Times" w:eastAsia="Times" w:hAnsi="Times" w:cs="Times"/>
        <w:noProof/>
        <w:color w:val="000000"/>
        <w:sz w:val="16"/>
        <w:szCs w:val="16"/>
      </w:rPr>
      <w:t>18</w:t>
    </w:r>
    <w:r>
      <w:rPr>
        <w:rFonts w:ascii="Times" w:eastAsia="Times" w:hAnsi="Times" w:cs="Times"/>
        <w:color w:val="000000"/>
        <w:sz w:val="16"/>
        <w:szCs w:val="16"/>
      </w:rPr>
      <w:fldChar w:fldCharType="end"/>
    </w:r>
  </w:p>
  <w:p w:rsidR="00DB7FAA" w:rsidRDefault="00DB7FA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FAA" w:rsidRDefault="00E3249E">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86165">
      <w:rPr>
        <w:rFonts w:ascii="Times" w:eastAsia="Times" w:hAnsi="Times" w:cs="Times"/>
        <w:noProof/>
        <w:color w:val="000000"/>
        <w:sz w:val="16"/>
        <w:szCs w:val="16"/>
      </w:rPr>
      <w:t>19</w:t>
    </w:r>
    <w:r>
      <w:rPr>
        <w:rFonts w:ascii="Times" w:eastAsia="Times" w:hAnsi="Times" w:cs="Times"/>
        <w:color w:val="000000"/>
        <w:sz w:val="16"/>
        <w:szCs w:val="16"/>
      </w:rPr>
      <w:fldChar w:fldCharType="end"/>
    </w:r>
  </w:p>
  <w:p w:rsidR="00DB7FAA" w:rsidRDefault="00DB7FAA">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DAC" w:rsidRDefault="00A12DAC">
      <w:r>
        <w:separator/>
      </w:r>
    </w:p>
  </w:footnote>
  <w:footnote w:type="continuationSeparator" w:id="0">
    <w:p w:rsidR="00A12DAC" w:rsidRDefault="00A12D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FAA" w:rsidRDefault="00E3249E">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FAA" w:rsidRDefault="00E3249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lang w:val="es-419" w:eastAsia="es-419"/>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DB7FAA" w:rsidRDefault="00E3249E">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63C1"/>
    <w:multiLevelType w:val="hybridMultilevel"/>
    <w:tmpl w:val="47887CCA"/>
    <w:lvl w:ilvl="0" w:tplc="580A0001">
      <w:start w:val="1"/>
      <w:numFmt w:val="bullet"/>
      <w:lvlText w:val=""/>
      <w:lvlJc w:val="left"/>
      <w:pPr>
        <w:ind w:left="2148" w:hanging="360"/>
      </w:pPr>
      <w:rPr>
        <w:rFonts w:ascii="Symbol" w:hAnsi="Symbol" w:hint="default"/>
      </w:rPr>
    </w:lvl>
    <w:lvl w:ilvl="1" w:tplc="580A0003" w:tentative="1">
      <w:start w:val="1"/>
      <w:numFmt w:val="bullet"/>
      <w:lvlText w:val="o"/>
      <w:lvlJc w:val="left"/>
      <w:pPr>
        <w:ind w:left="2868" w:hanging="360"/>
      </w:pPr>
      <w:rPr>
        <w:rFonts w:ascii="Courier New" w:hAnsi="Courier New" w:cs="Courier New" w:hint="default"/>
      </w:rPr>
    </w:lvl>
    <w:lvl w:ilvl="2" w:tplc="580A0005" w:tentative="1">
      <w:start w:val="1"/>
      <w:numFmt w:val="bullet"/>
      <w:lvlText w:val=""/>
      <w:lvlJc w:val="left"/>
      <w:pPr>
        <w:ind w:left="3588" w:hanging="360"/>
      </w:pPr>
      <w:rPr>
        <w:rFonts w:ascii="Wingdings" w:hAnsi="Wingdings" w:hint="default"/>
      </w:rPr>
    </w:lvl>
    <w:lvl w:ilvl="3" w:tplc="580A0001" w:tentative="1">
      <w:start w:val="1"/>
      <w:numFmt w:val="bullet"/>
      <w:lvlText w:val=""/>
      <w:lvlJc w:val="left"/>
      <w:pPr>
        <w:ind w:left="4308" w:hanging="360"/>
      </w:pPr>
      <w:rPr>
        <w:rFonts w:ascii="Symbol" w:hAnsi="Symbol" w:hint="default"/>
      </w:rPr>
    </w:lvl>
    <w:lvl w:ilvl="4" w:tplc="580A0003" w:tentative="1">
      <w:start w:val="1"/>
      <w:numFmt w:val="bullet"/>
      <w:lvlText w:val="o"/>
      <w:lvlJc w:val="left"/>
      <w:pPr>
        <w:ind w:left="5028" w:hanging="360"/>
      </w:pPr>
      <w:rPr>
        <w:rFonts w:ascii="Courier New" w:hAnsi="Courier New" w:cs="Courier New" w:hint="default"/>
      </w:rPr>
    </w:lvl>
    <w:lvl w:ilvl="5" w:tplc="580A0005" w:tentative="1">
      <w:start w:val="1"/>
      <w:numFmt w:val="bullet"/>
      <w:lvlText w:val=""/>
      <w:lvlJc w:val="left"/>
      <w:pPr>
        <w:ind w:left="5748" w:hanging="360"/>
      </w:pPr>
      <w:rPr>
        <w:rFonts w:ascii="Wingdings" w:hAnsi="Wingdings" w:hint="default"/>
      </w:rPr>
    </w:lvl>
    <w:lvl w:ilvl="6" w:tplc="580A0001" w:tentative="1">
      <w:start w:val="1"/>
      <w:numFmt w:val="bullet"/>
      <w:lvlText w:val=""/>
      <w:lvlJc w:val="left"/>
      <w:pPr>
        <w:ind w:left="6468" w:hanging="360"/>
      </w:pPr>
      <w:rPr>
        <w:rFonts w:ascii="Symbol" w:hAnsi="Symbol" w:hint="default"/>
      </w:rPr>
    </w:lvl>
    <w:lvl w:ilvl="7" w:tplc="580A0003" w:tentative="1">
      <w:start w:val="1"/>
      <w:numFmt w:val="bullet"/>
      <w:lvlText w:val="o"/>
      <w:lvlJc w:val="left"/>
      <w:pPr>
        <w:ind w:left="7188" w:hanging="360"/>
      </w:pPr>
      <w:rPr>
        <w:rFonts w:ascii="Courier New" w:hAnsi="Courier New" w:cs="Courier New" w:hint="default"/>
      </w:rPr>
    </w:lvl>
    <w:lvl w:ilvl="8" w:tplc="580A0005" w:tentative="1">
      <w:start w:val="1"/>
      <w:numFmt w:val="bullet"/>
      <w:lvlText w:val=""/>
      <w:lvlJc w:val="left"/>
      <w:pPr>
        <w:ind w:left="7908" w:hanging="360"/>
      </w:pPr>
      <w:rPr>
        <w:rFonts w:ascii="Wingdings" w:hAnsi="Wingdings" w:hint="default"/>
      </w:rPr>
    </w:lvl>
  </w:abstractNum>
  <w:abstractNum w:abstractNumId="1" w15:restartNumberingAfterBreak="0">
    <w:nsid w:val="1EAB36C5"/>
    <w:multiLevelType w:val="multilevel"/>
    <w:tmpl w:val="DFD6DA0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301B30FF"/>
    <w:multiLevelType w:val="hybridMultilevel"/>
    <w:tmpl w:val="DBAE5456"/>
    <w:lvl w:ilvl="0" w:tplc="580A0001">
      <w:start w:val="1"/>
      <w:numFmt w:val="bullet"/>
      <w:lvlText w:val=""/>
      <w:lvlJc w:val="left"/>
      <w:pPr>
        <w:ind w:left="2148" w:hanging="360"/>
      </w:pPr>
      <w:rPr>
        <w:rFonts w:ascii="Symbol" w:hAnsi="Symbol" w:hint="default"/>
      </w:rPr>
    </w:lvl>
    <w:lvl w:ilvl="1" w:tplc="580A0003" w:tentative="1">
      <w:start w:val="1"/>
      <w:numFmt w:val="bullet"/>
      <w:lvlText w:val="o"/>
      <w:lvlJc w:val="left"/>
      <w:pPr>
        <w:ind w:left="2868" w:hanging="360"/>
      </w:pPr>
      <w:rPr>
        <w:rFonts w:ascii="Courier New" w:hAnsi="Courier New" w:cs="Courier New" w:hint="default"/>
      </w:rPr>
    </w:lvl>
    <w:lvl w:ilvl="2" w:tplc="580A0005" w:tentative="1">
      <w:start w:val="1"/>
      <w:numFmt w:val="bullet"/>
      <w:lvlText w:val=""/>
      <w:lvlJc w:val="left"/>
      <w:pPr>
        <w:ind w:left="3588" w:hanging="360"/>
      </w:pPr>
      <w:rPr>
        <w:rFonts w:ascii="Wingdings" w:hAnsi="Wingdings" w:hint="default"/>
      </w:rPr>
    </w:lvl>
    <w:lvl w:ilvl="3" w:tplc="580A0001" w:tentative="1">
      <w:start w:val="1"/>
      <w:numFmt w:val="bullet"/>
      <w:lvlText w:val=""/>
      <w:lvlJc w:val="left"/>
      <w:pPr>
        <w:ind w:left="4308" w:hanging="360"/>
      </w:pPr>
      <w:rPr>
        <w:rFonts w:ascii="Symbol" w:hAnsi="Symbol" w:hint="default"/>
      </w:rPr>
    </w:lvl>
    <w:lvl w:ilvl="4" w:tplc="580A0003" w:tentative="1">
      <w:start w:val="1"/>
      <w:numFmt w:val="bullet"/>
      <w:lvlText w:val="o"/>
      <w:lvlJc w:val="left"/>
      <w:pPr>
        <w:ind w:left="5028" w:hanging="360"/>
      </w:pPr>
      <w:rPr>
        <w:rFonts w:ascii="Courier New" w:hAnsi="Courier New" w:cs="Courier New" w:hint="default"/>
      </w:rPr>
    </w:lvl>
    <w:lvl w:ilvl="5" w:tplc="580A0005" w:tentative="1">
      <w:start w:val="1"/>
      <w:numFmt w:val="bullet"/>
      <w:lvlText w:val=""/>
      <w:lvlJc w:val="left"/>
      <w:pPr>
        <w:ind w:left="5748" w:hanging="360"/>
      </w:pPr>
      <w:rPr>
        <w:rFonts w:ascii="Wingdings" w:hAnsi="Wingdings" w:hint="default"/>
      </w:rPr>
    </w:lvl>
    <w:lvl w:ilvl="6" w:tplc="580A0001" w:tentative="1">
      <w:start w:val="1"/>
      <w:numFmt w:val="bullet"/>
      <w:lvlText w:val=""/>
      <w:lvlJc w:val="left"/>
      <w:pPr>
        <w:ind w:left="6468" w:hanging="360"/>
      </w:pPr>
      <w:rPr>
        <w:rFonts w:ascii="Symbol" w:hAnsi="Symbol" w:hint="default"/>
      </w:rPr>
    </w:lvl>
    <w:lvl w:ilvl="7" w:tplc="580A0003" w:tentative="1">
      <w:start w:val="1"/>
      <w:numFmt w:val="bullet"/>
      <w:lvlText w:val="o"/>
      <w:lvlJc w:val="left"/>
      <w:pPr>
        <w:ind w:left="7188" w:hanging="360"/>
      </w:pPr>
      <w:rPr>
        <w:rFonts w:ascii="Courier New" w:hAnsi="Courier New" w:cs="Courier New" w:hint="default"/>
      </w:rPr>
    </w:lvl>
    <w:lvl w:ilvl="8" w:tplc="580A0005" w:tentative="1">
      <w:start w:val="1"/>
      <w:numFmt w:val="bullet"/>
      <w:lvlText w:val=""/>
      <w:lvlJc w:val="left"/>
      <w:pPr>
        <w:ind w:left="7908" w:hanging="360"/>
      </w:pPr>
      <w:rPr>
        <w:rFonts w:ascii="Wingdings" w:hAnsi="Wingdings" w:hint="default"/>
      </w:rPr>
    </w:lvl>
  </w:abstractNum>
  <w:abstractNum w:abstractNumId="3" w15:restartNumberingAfterBreak="0">
    <w:nsid w:val="3127736B"/>
    <w:multiLevelType w:val="hybridMultilevel"/>
    <w:tmpl w:val="59EE5D86"/>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4" w15:restartNumberingAfterBreak="0">
    <w:nsid w:val="351D53CA"/>
    <w:multiLevelType w:val="hybridMultilevel"/>
    <w:tmpl w:val="5948BA0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 w15:restartNumberingAfterBreak="0">
    <w:nsid w:val="37823A64"/>
    <w:multiLevelType w:val="multilevel"/>
    <w:tmpl w:val="7F94AD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3D44DD1"/>
    <w:multiLevelType w:val="hybridMultilevel"/>
    <w:tmpl w:val="3C887CB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4A560FD1"/>
    <w:multiLevelType w:val="hybridMultilevel"/>
    <w:tmpl w:val="DD442C08"/>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8" w15:restartNumberingAfterBreak="0">
    <w:nsid w:val="502979EB"/>
    <w:multiLevelType w:val="hybridMultilevel"/>
    <w:tmpl w:val="E038444A"/>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9" w15:restartNumberingAfterBreak="0">
    <w:nsid w:val="61F95995"/>
    <w:multiLevelType w:val="hybridMultilevel"/>
    <w:tmpl w:val="008EB5AC"/>
    <w:lvl w:ilvl="0" w:tplc="580A0001">
      <w:start w:val="1"/>
      <w:numFmt w:val="bullet"/>
      <w:lvlText w:val=""/>
      <w:lvlJc w:val="left"/>
      <w:pPr>
        <w:ind w:left="2148" w:hanging="360"/>
      </w:pPr>
      <w:rPr>
        <w:rFonts w:ascii="Symbol" w:hAnsi="Symbol" w:hint="default"/>
      </w:rPr>
    </w:lvl>
    <w:lvl w:ilvl="1" w:tplc="580A0003" w:tentative="1">
      <w:start w:val="1"/>
      <w:numFmt w:val="bullet"/>
      <w:lvlText w:val="o"/>
      <w:lvlJc w:val="left"/>
      <w:pPr>
        <w:ind w:left="2868" w:hanging="360"/>
      </w:pPr>
      <w:rPr>
        <w:rFonts w:ascii="Courier New" w:hAnsi="Courier New" w:cs="Courier New" w:hint="default"/>
      </w:rPr>
    </w:lvl>
    <w:lvl w:ilvl="2" w:tplc="580A0005" w:tentative="1">
      <w:start w:val="1"/>
      <w:numFmt w:val="bullet"/>
      <w:lvlText w:val=""/>
      <w:lvlJc w:val="left"/>
      <w:pPr>
        <w:ind w:left="3588" w:hanging="360"/>
      </w:pPr>
      <w:rPr>
        <w:rFonts w:ascii="Wingdings" w:hAnsi="Wingdings" w:hint="default"/>
      </w:rPr>
    </w:lvl>
    <w:lvl w:ilvl="3" w:tplc="580A0001" w:tentative="1">
      <w:start w:val="1"/>
      <w:numFmt w:val="bullet"/>
      <w:lvlText w:val=""/>
      <w:lvlJc w:val="left"/>
      <w:pPr>
        <w:ind w:left="4308" w:hanging="360"/>
      </w:pPr>
      <w:rPr>
        <w:rFonts w:ascii="Symbol" w:hAnsi="Symbol" w:hint="default"/>
      </w:rPr>
    </w:lvl>
    <w:lvl w:ilvl="4" w:tplc="580A0003" w:tentative="1">
      <w:start w:val="1"/>
      <w:numFmt w:val="bullet"/>
      <w:lvlText w:val="o"/>
      <w:lvlJc w:val="left"/>
      <w:pPr>
        <w:ind w:left="5028" w:hanging="360"/>
      </w:pPr>
      <w:rPr>
        <w:rFonts w:ascii="Courier New" w:hAnsi="Courier New" w:cs="Courier New" w:hint="default"/>
      </w:rPr>
    </w:lvl>
    <w:lvl w:ilvl="5" w:tplc="580A0005" w:tentative="1">
      <w:start w:val="1"/>
      <w:numFmt w:val="bullet"/>
      <w:lvlText w:val=""/>
      <w:lvlJc w:val="left"/>
      <w:pPr>
        <w:ind w:left="5748" w:hanging="360"/>
      </w:pPr>
      <w:rPr>
        <w:rFonts w:ascii="Wingdings" w:hAnsi="Wingdings" w:hint="default"/>
      </w:rPr>
    </w:lvl>
    <w:lvl w:ilvl="6" w:tplc="580A0001" w:tentative="1">
      <w:start w:val="1"/>
      <w:numFmt w:val="bullet"/>
      <w:lvlText w:val=""/>
      <w:lvlJc w:val="left"/>
      <w:pPr>
        <w:ind w:left="6468" w:hanging="360"/>
      </w:pPr>
      <w:rPr>
        <w:rFonts w:ascii="Symbol" w:hAnsi="Symbol" w:hint="default"/>
      </w:rPr>
    </w:lvl>
    <w:lvl w:ilvl="7" w:tplc="580A0003" w:tentative="1">
      <w:start w:val="1"/>
      <w:numFmt w:val="bullet"/>
      <w:lvlText w:val="o"/>
      <w:lvlJc w:val="left"/>
      <w:pPr>
        <w:ind w:left="7188" w:hanging="360"/>
      </w:pPr>
      <w:rPr>
        <w:rFonts w:ascii="Courier New" w:hAnsi="Courier New" w:cs="Courier New" w:hint="default"/>
      </w:rPr>
    </w:lvl>
    <w:lvl w:ilvl="8" w:tplc="580A0005" w:tentative="1">
      <w:start w:val="1"/>
      <w:numFmt w:val="bullet"/>
      <w:lvlText w:val=""/>
      <w:lvlJc w:val="left"/>
      <w:pPr>
        <w:ind w:left="7908" w:hanging="360"/>
      </w:pPr>
      <w:rPr>
        <w:rFonts w:ascii="Wingdings" w:hAnsi="Wingdings" w:hint="default"/>
      </w:rPr>
    </w:lvl>
  </w:abstractNum>
  <w:abstractNum w:abstractNumId="10" w15:restartNumberingAfterBreak="0">
    <w:nsid w:val="64B41B43"/>
    <w:multiLevelType w:val="hybridMultilevel"/>
    <w:tmpl w:val="95DC843C"/>
    <w:lvl w:ilvl="0" w:tplc="580A0001">
      <w:start w:val="1"/>
      <w:numFmt w:val="bullet"/>
      <w:lvlText w:val=""/>
      <w:lvlJc w:val="left"/>
      <w:pPr>
        <w:ind w:left="2160" w:hanging="360"/>
      </w:pPr>
      <w:rPr>
        <w:rFonts w:ascii="Symbol" w:hAnsi="Symbol"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1" w15:restartNumberingAfterBreak="0">
    <w:nsid w:val="70B81EDE"/>
    <w:multiLevelType w:val="hybridMultilevel"/>
    <w:tmpl w:val="A20C28F2"/>
    <w:lvl w:ilvl="0" w:tplc="580A000F">
      <w:start w:val="1"/>
      <w:numFmt w:val="decimal"/>
      <w:lvlText w:val="%1."/>
      <w:lvlJc w:val="left"/>
      <w:pPr>
        <w:ind w:left="1428" w:hanging="360"/>
      </w:p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num w:numId="1">
    <w:abstractNumId w:val="5"/>
  </w:num>
  <w:num w:numId="2">
    <w:abstractNumId w:val="1"/>
  </w:num>
  <w:num w:numId="3">
    <w:abstractNumId w:val="7"/>
  </w:num>
  <w:num w:numId="4">
    <w:abstractNumId w:val="11"/>
  </w:num>
  <w:num w:numId="5">
    <w:abstractNumId w:val="10"/>
  </w:num>
  <w:num w:numId="6">
    <w:abstractNumId w:val="6"/>
  </w:num>
  <w:num w:numId="7">
    <w:abstractNumId w:val="2"/>
  </w:num>
  <w:num w:numId="8">
    <w:abstractNumId w:val="4"/>
  </w:num>
  <w:num w:numId="9">
    <w:abstractNumId w:val="8"/>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AA"/>
    <w:rsid w:val="0000573B"/>
    <w:rsid w:val="000D0988"/>
    <w:rsid w:val="00144938"/>
    <w:rsid w:val="00256670"/>
    <w:rsid w:val="002B6146"/>
    <w:rsid w:val="004810E3"/>
    <w:rsid w:val="00514EF8"/>
    <w:rsid w:val="00925245"/>
    <w:rsid w:val="00986165"/>
    <w:rsid w:val="00A12DAC"/>
    <w:rsid w:val="00DB7FAA"/>
    <w:rsid w:val="00E3249E"/>
    <w:rsid w:val="00F142D1"/>
    <w:rsid w:val="00F4110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EE03"/>
  <w15:docId w15:val="{A7D8D260-A387-49F7-B55C-550B20A4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lang w:val="es-AR"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paragraph" w:styleId="Prrafodelista">
    <w:name w:val="List Paragraph"/>
    <w:basedOn w:val="Normal"/>
    <w:uiPriority w:val="34"/>
    <w:qFormat/>
    <w:rsid w:val="00925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apa.org/ethics/code" TargetMode="External"/><Relationship Id="rId18" Type="http://schemas.openxmlformats.org/officeDocument/2006/relationships/hyperlink" Target="https://doi.org/10.1037/0033-295X.108.3.593" TargetMode="External"/><Relationship Id="rId26" Type="http://schemas.openxmlformats.org/officeDocument/2006/relationships/hyperlink" Target="https://doi.org/10.1016/S0140-6736(14)61837-7" TargetMode="External"/><Relationship Id="rId39" Type="http://schemas.openxmlformats.org/officeDocument/2006/relationships/hyperlink" Target="https://doi.org/10.1037/0022-3514.89.4.623" TargetMode="External"/><Relationship Id="rId21" Type="http://schemas.openxmlformats.org/officeDocument/2006/relationships/hyperlink" Target="https://doi.org/10.1016/S0140-6736(14)61703-7" TargetMode="External"/><Relationship Id="rId34" Type="http://schemas.openxmlformats.org/officeDocument/2006/relationships/hyperlink" Target="https://doi.org/10.1177/0022427800037003003" TargetMode="External"/><Relationship Id="rId42" Type="http://schemas.openxmlformats.org/officeDocument/2006/relationships/hyperlink" Target="https://doi.org/10.5027/psicoperspectivas-vol20-issue1-fulltext-2080" TargetMode="External"/><Relationship Id="rId47" Type="http://schemas.openxmlformats.org/officeDocument/2006/relationships/hyperlink" Target="https://doi.org/10.33898/rep.v3i5.234"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38/s41562-017-0189-z" TargetMode="External"/><Relationship Id="rId29" Type="http://schemas.openxmlformats.org/officeDocument/2006/relationships/hyperlink" Target="https://doi.org/10.1027/1016-9040/a000183" TargetMode="External"/><Relationship Id="rId11" Type="http://schemas.openxmlformats.org/officeDocument/2006/relationships/hyperlink" Target="https://doi.org/10.1177/1094428112470848" TargetMode="External"/><Relationship Id="rId24" Type="http://schemas.openxmlformats.org/officeDocument/2006/relationships/hyperlink" Target="https://doi.org/10.4324/9781315725461" TargetMode="External"/><Relationship Id="rId32" Type="http://schemas.openxmlformats.org/officeDocument/2006/relationships/hyperlink" Target="https://www.whatworks.co.za" TargetMode="External"/><Relationship Id="rId37" Type="http://schemas.openxmlformats.org/officeDocument/2006/relationships/hyperlink" Target="https://doi.org/10.1080/02134748.2019.1576324" TargetMode="External"/><Relationship Id="rId40" Type="http://schemas.openxmlformats.org/officeDocument/2006/relationships/hyperlink" Target="https://doi.org/10.1213/ANE.0000000000002864" TargetMode="External"/><Relationship Id="rId45" Type="http://schemas.openxmlformats.org/officeDocument/2006/relationships/hyperlink" Target="https://doi.org/10.1016/j.wsif.2020.102324"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1.png"/><Relationship Id="rId19" Type="http://schemas.openxmlformats.org/officeDocument/2006/relationships/hyperlink" Target="https://doi.org/10.1007/s10896-009-9272-3" TargetMode="External"/><Relationship Id="rId31" Type="http://schemas.openxmlformats.org/officeDocument/2006/relationships/hyperlink" Target="https://doi.org/10.1016/S0140-6736(14)61683-4" TargetMode="External"/><Relationship Id="rId44" Type="http://schemas.openxmlformats.org/officeDocument/2006/relationships/hyperlink" Target="https://doi.org/10.1177/1077801215627511"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doi.org/10.1177/08862605221116175" TargetMode="External"/><Relationship Id="rId22" Type="http://schemas.openxmlformats.org/officeDocument/2006/relationships/hyperlink" Target="https://doi.org/10.11648/j.ajtas.20160501.11" TargetMode="External"/><Relationship Id="rId27" Type="http://schemas.openxmlformats.org/officeDocument/2006/relationships/hyperlink" Target="https://doi.org/10.1016/S0140-6736(14)61830-4" TargetMode="External"/><Relationship Id="rId30" Type="http://schemas.openxmlformats.org/officeDocument/2006/relationships/hyperlink" Target="https://doi.org/10.1177/1077801208331246" TargetMode="External"/><Relationship Id="rId35" Type="http://schemas.openxmlformats.org/officeDocument/2006/relationships/hyperlink" Target="http://diposit.ub.edu/dspace/handle/2445/18922" TargetMode="External"/><Relationship Id="rId43" Type="http://schemas.openxmlformats.org/officeDocument/2006/relationships/hyperlink" Target="https://doi.org/10.1111/bjso.12271"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doi.org/10.1016/j.avb.2013.07.009" TargetMode="External"/><Relationship Id="rId17" Type="http://schemas.openxmlformats.org/officeDocument/2006/relationships/hyperlink" Target="https://doi.org/10.1080/13645579.2020.1805550" TargetMode="External"/><Relationship Id="rId25" Type="http://schemas.openxmlformats.org/officeDocument/2006/relationships/hyperlink" Target="https://doi.org/10.1177/1524838009334131" TargetMode="External"/><Relationship Id="rId33" Type="http://schemas.openxmlformats.org/officeDocument/2006/relationships/hyperlink" Target="https://doi.org/10.1146/annurev-clinpsy-090209-151437" TargetMode="External"/><Relationship Id="rId38" Type="http://schemas.openxmlformats.org/officeDocument/2006/relationships/hyperlink" Target="https://doi.org/10.1093/biomet/63.3.581" TargetMode="External"/><Relationship Id="rId46" Type="http://schemas.openxmlformats.org/officeDocument/2006/relationships/hyperlink" Target="https://doi.org/10.1093/biomet/38.3-4.330" TargetMode="External"/><Relationship Id="rId20" Type="http://schemas.openxmlformats.org/officeDocument/2006/relationships/hyperlink" Target="https://doi.org/10.1016/j.apnu.2008.10.008" TargetMode="External"/><Relationship Id="rId41" Type="http://schemas.openxmlformats.org/officeDocument/2006/relationships/hyperlink" Target="https://doi.org/10.1177/107780121560124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6018/analesps.29.3.178511" TargetMode="External"/><Relationship Id="rId23" Type="http://schemas.openxmlformats.org/officeDocument/2006/relationships/hyperlink" Target="https://doi.org/10.3758/BRM.41.4.1149" TargetMode="External"/><Relationship Id="rId28" Type="http://schemas.openxmlformats.org/officeDocument/2006/relationships/hyperlink" Target="https://doi.org/10.15446/rcp.v28n1.75720" TargetMode="External"/><Relationship Id="rId36" Type="http://schemas.openxmlformats.org/officeDocument/2006/relationships/hyperlink" Target="https://doi.org/10.1016/S0140-6736(14)61797-9"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080F8-FF70-4B09-8A15-D0B1B76B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6702</Words>
  <Characters>36867</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PERSONAL</cp:lastModifiedBy>
  <cp:revision>4</cp:revision>
  <dcterms:created xsi:type="dcterms:W3CDTF">2025-06-21T02:07:00Z</dcterms:created>
  <dcterms:modified xsi:type="dcterms:W3CDTF">2025-06-21T02:14:00Z</dcterms:modified>
</cp:coreProperties>
</file>