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Mental Health and Human Rights: Decolonial Perspectives for the Care of Victims of Human Rights Violations</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words: mental health, human rights, decoloniality, Latin America.</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paper employs a decolonial and critical reading of mental health and human rights. The text underscores the significance of comprehending the political and community dimensions of mental health, emphasizing the necessity of culturally and socially relevant services for individuals and communities adversely impacted by human rights violations. The text also presents certain challenges for a situated definition of mental health and an intersectional and culturally relevant approach to mental health in the Latin American region. Adopting an ethical and political stance of resistance to coloniality of power and knowledge entails acknowledging the worldview of affected communities, particularly indigenous peoples, and comprehending the historical contexts that give rise to abuses. This contribution puts forth a three-pronged approach to address the mental health of individuals and communities adversely affected by human rights violations from a decolonial perspective. The approach entails the following three elements: (a) the acknowledgement of the multifaceted impacts on mental health; (b) the insistence on culturally specific services; and (c) the promotion of dignified and respectful treatment that fosters social justice.</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