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71D33D" w14:textId="77777777" w:rsidR="001F2A67" w:rsidRDefault="00000000">
      <w:pPr>
        <w:spacing w:line="362" w:lineRule="auto"/>
        <w:jc w:val="center"/>
        <w:rPr>
          <w:sz w:val="36"/>
          <w:szCs w:val="36"/>
        </w:rPr>
      </w:pPr>
      <w:r>
        <w:rPr>
          <w:noProof/>
        </w:rPr>
        <w:drawing>
          <wp:inline distT="0" distB="0" distL="0" distR="0" wp14:anchorId="1D76F27A" wp14:editId="774104F7">
            <wp:extent cx="4213903" cy="698844"/>
            <wp:effectExtent l="0" t="0" r="0" b="0"/>
            <wp:docPr id="14" name="image1.png" descr="C:\Users\Marilin\AppData\Local\Microsoft\Windows\INetCache\Content.MSO\8234E78A.tmp"/>
            <wp:cNvGraphicFramePr/>
            <a:graphic xmlns:a="http://schemas.openxmlformats.org/drawingml/2006/main">
              <a:graphicData uri="http://schemas.openxmlformats.org/drawingml/2006/picture">
                <pic:pic xmlns:pic="http://schemas.openxmlformats.org/drawingml/2006/picture">
                  <pic:nvPicPr>
                    <pic:cNvPr id="0" name="image1.png" descr="C:\Users\Marilin\AppData\Local\Microsoft\Windows\INetCache\Content.MSO\8234E78A.tmp"/>
                    <pic:cNvPicPr preferRelativeResize="0"/>
                  </pic:nvPicPr>
                  <pic:blipFill>
                    <a:blip r:embed="rId8"/>
                    <a:srcRect/>
                    <a:stretch>
                      <a:fillRect/>
                    </a:stretch>
                  </pic:blipFill>
                  <pic:spPr>
                    <a:xfrm>
                      <a:off x="0" y="0"/>
                      <a:ext cx="4213903" cy="698844"/>
                    </a:xfrm>
                    <a:prstGeom prst="rect">
                      <a:avLst/>
                    </a:prstGeom>
                    <a:ln/>
                  </pic:spPr>
                </pic:pic>
              </a:graphicData>
            </a:graphic>
          </wp:inline>
        </w:drawing>
      </w:r>
    </w:p>
    <w:p w14:paraId="2EC19710" w14:textId="77777777" w:rsidR="001F2A67" w:rsidRDefault="001F2A67">
      <w:pPr>
        <w:spacing w:line="362" w:lineRule="auto"/>
        <w:jc w:val="center"/>
        <w:rPr>
          <w:sz w:val="36"/>
          <w:szCs w:val="36"/>
        </w:rPr>
      </w:pPr>
    </w:p>
    <w:p w14:paraId="53CD1ABA" w14:textId="77777777" w:rsidR="001F2A67" w:rsidRDefault="00000000">
      <w:pPr>
        <w:jc w:val="center"/>
        <w:rPr>
          <w:sz w:val="32"/>
          <w:szCs w:val="32"/>
        </w:rPr>
      </w:pPr>
      <w:r>
        <w:rPr>
          <w:sz w:val="36"/>
          <w:szCs w:val="36"/>
        </w:rPr>
        <w:t xml:space="preserve">PROGRAMA DE INVESTIGACIÓN FORMATIVA </w:t>
      </w:r>
    </w:p>
    <w:p w14:paraId="7E872A35" w14:textId="77777777" w:rsidR="001F2A67" w:rsidRDefault="00000000">
      <w:pPr>
        <w:spacing w:before="360"/>
        <w:jc w:val="center"/>
        <w:rPr>
          <w:b/>
          <w:sz w:val="28"/>
          <w:szCs w:val="28"/>
        </w:rPr>
      </w:pPr>
      <w:r>
        <w:rPr>
          <w:b/>
          <w:sz w:val="28"/>
          <w:szCs w:val="28"/>
        </w:rPr>
        <w:t>Estrés y su Influencia en el Rendimiento Académico de Estudiantes Universitarios de Trujillo</w:t>
      </w:r>
    </w:p>
    <w:p w14:paraId="226B2EE3" w14:textId="77777777" w:rsidR="001F2A67" w:rsidRDefault="00000000">
      <w:pPr>
        <w:spacing w:before="360"/>
        <w:jc w:val="center"/>
        <w:rPr>
          <w:b/>
          <w:sz w:val="24"/>
          <w:szCs w:val="24"/>
        </w:rPr>
      </w:pPr>
      <w:r>
        <w:rPr>
          <w:b/>
          <w:sz w:val="24"/>
          <w:szCs w:val="24"/>
        </w:rPr>
        <w:t>Autor(es):</w:t>
      </w:r>
    </w:p>
    <w:p w14:paraId="04F28938" w14:textId="77777777" w:rsidR="001F2A67" w:rsidRDefault="00000000">
      <w:pPr>
        <w:spacing w:line="360" w:lineRule="auto"/>
        <w:jc w:val="center"/>
        <w:rPr>
          <w:sz w:val="24"/>
          <w:szCs w:val="24"/>
        </w:rPr>
      </w:pPr>
      <w:r>
        <w:rPr>
          <w:sz w:val="24"/>
          <w:szCs w:val="24"/>
        </w:rPr>
        <w:t>Cruzado Valderrama, Emely Lizbeth (</w:t>
      </w:r>
      <w:hyperlink r:id="rId9">
        <w:r>
          <w:rPr>
            <w:color w:val="1155CC"/>
            <w:sz w:val="24"/>
            <w:szCs w:val="24"/>
            <w:u w:val="single"/>
          </w:rPr>
          <w:t>orcid.org/0009-0009-9126-1954</w:t>
        </w:r>
      </w:hyperlink>
      <w:r>
        <w:rPr>
          <w:sz w:val="24"/>
          <w:szCs w:val="24"/>
        </w:rPr>
        <w:t xml:space="preserve">) </w:t>
      </w:r>
      <w:hyperlink r:id="rId10">
        <w:r>
          <w:rPr>
            <w:color w:val="1155CC"/>
            <w:sz w:val="24"/>
            <w:szCs w:val="24"/>
            <w:u w:val="single"/>
          </w:rPr>
          <w:t>ecruzadova@ucvvirtual.edu.pe</w:t>
        </w:r>
      </w:hyperlink>
      <w:r>
        <w:rPr>
          <w:sz w:val="24"/>
          <w:szCs w:val="24"/>
        </w:rPr>
        <w:t>. Psicología, V Ciclo.</w:t>
      </w:r>
    </w:p>
    <w:p w14:paraId="6786D925" w14:textId="77777777" w:rsidR="001F2A67" w:rsidRDefault="00000000">
      <w:pPr>
        <w:spacing w:line="360" w:lineRule="auto"/>
        <w:jc w:val="center"/>
        <w:rPr>
          <w:sz w:val="24"/>
          <w:szCs w:val="24"/>
        </w:rPr>
      </w:pPr>
      <w:r>
        <w:rPr>
          <w:sz w:val="24"/>
          <w:szCs w:val="24"/>
        </w:rPr>
        <w:t>Delgado Atahopilco, Ariana Yamile (</w:t>
      </w:r>
      <w:hyperlink r:id="rId11">
        <w:r>
          <w:rPr>
            <w:rFonts w:ascii="Arial MT" w:eastAsia="Arial MT" w:hAnsi="Arial MT" w:cs="Arial MT"/>
            <w:color w:val="1155CC"/>
            <w:sz w:val="24"/>
            <w:szCs w:val="24"/>
            <w:u w:val="single"/>
          </w:rPr>
          <w:t>orcid.org/0009-0007-9157-0648</w:t>
        </w:r>
      </w:hyperlink>
      <w:r>
        <w:rPr>
          <w:rFonts w:ascii="Arial MT" w:eastAsia="Arial MT" w:hAnsi="Arial MT" w:cs="Arial MT"/>
          <w:sz w:val="24"/>
          <w:szCs w:val="24"/>
        </w:rPr>
        <w:t xml:space="preserve">), </w:t>
      </w:r>
      <w:hyperlink r:id="rId12">
        <w:r>
          <w:rPr>
            <w:rFonts w:ascii="Arial MT" w:eastAsia="Arial MT" w:hAnsi="Arial MT" w:cs="Arial MT"/>
            <w:color w:val="1155CC"/>
            <w:sz w:val="24"/>
            <w:szCs w:val="24"/>
            <w:u w:val="single"/>
          </w:rPr>
          <w:t>adelgadoat@ucvvirtual.edu.pe</w:t>
        </w:r>
      </w:hyperlink>
      <w:r>
        <w:rPr>
          <w:rFonts w:ascii="Arial MT" w:eastAsia="Arial MT" w:hAnsi="Arial MT" w:cs="Arial MT"/>
          <w:sz w:val="24"/>
          <w:szCs w:val="24"/>
        </w:rPr>
        <w:t>, Escuela Profesional de Psicología, V Ciclo</w:t>
      </w:r>
    </w:p>
    <w:p w14:paraId="3B455C4C" w14:textId="77777777" w:rsidR="001F2A67" w:rsidRDefault="00000000">
      <w:pPr>
        <w:spacing w:line="276" w:lineRule="auto"/>
        <w:jc w:val="center"/>
        <w:rPr>
          <w:sz w:val="24"/>
          <w:szCs w:val="24"/>
        </w:rPr>
      </w:pPr>
      <w:r>
        <w:rPr>
          <w:sz w:val="24"/>
          <w:szCs w:val="24"/>
        </w:rPr>
        <w:t xml:space="preserve">Latoche Ipanaqué, Erick Joseph Junior (orcid.org/0009-0005-0800-2099), </w:t>
      </w:r>
      <w:hyperlink r:id="rId13">
        <w:r>
          <w:rPr>
            <w:color w:val="1155CC"/>
            <w:sz w:val="24"/>
            <w:szCs w:val="24"/>
            <w:u w:val="single"/>
          </w:rPr>
          <w:t>ccastillopra@ucvvirtual.edu.pe</w:t>
        </w:r>
      </w:hyperlink>
      <w:r>
        <w:rPr>
          <w:sz w:val="24"/>
          <w:szCs w:val="24"/>
        </w:rPr>
        <w:t>,Escuela profesional de Psicología, V Ciclo</w:t>
      </w:r>
    </w:p>
    <w:p w14:paraId="6EF2B31D" w14:textId="77777777" w:rsidR="001F2A67" w:rsidRDefault="00000000">
      <w:pPr>
        <w:widowControl/>
        <w:spacing w:line="276" w:lineRule="auto"/>
        <w:ind w:left="-425" w:hanging="141"/>
        <w:jc w:val="center"/>
        <w:rPr>
          <w:sz w:val="24"/>
          <w:szCs w:val="24"/>
        </w:rPr>
      </w:pPr>
      <w:r>
        <w:rPr>
          <w:sz w:val="24"/>
          <w:szCs w:val="24"/>
        </w:rPr>
        <w:t>Ramirez Rojas, Hillary Marileidy (</w:t>
      </w:r>
      <w:hyperlink r:id="rId14">
        <w:r>
          <w:rPr>
            <w:color w:val="1155CC"/>
            <w:sz w:val="24"/>
            <w:szCs w:val="24"/>
            <w:u w:val="single"/>
          </w:rPr>
          <w:t>orcid.org/0009-0007-5326-3233</w:t>
        </w:r>
      </w:hyperlink>
      <w:r>
        <w:rPr>
          <w:sz w:val="24"/>
          <w:szCs w:val="24"/>
        </w:rPr>
        <w:t xml:space="preserve">), </w:t>
      </w:r>
      <w:hyperlink r:id="rId15">
        <w:r>
          <w:rPr>
            <w:color w:val="1155CC"/>
            <w:sz w:val="24"/>
            <w:szCs w:val="24"/>
            <w:u w:val="single"/>
          </w:rPr>
          <w:t>hramirezro5@ucvvirtual.edu.pe</w:t>
        </w:r>
      </w:hyperlink>
      <w:r>
        <w:rPr>
          <w:sz w:val="24"/>
          <w:szCs w:val="24"/>
        </w:rPr>
        <w:t xml:space="preserve">, Escuela profesional de Psicología, V Ciclo </w:t>
      </w:r>
    </w:p>
    <w:p w14:paraId="6FCE41C3" w14:textId="77777777" w:rsidR="001F2A67" w:rsidRDefault="00000000">
      <w:pPr>
        <w:widowControl/>
        <w:spacing w:line="276" w:lineRule="auto"/>
        <w:ind w:left="-425" w:hanging="141"/>
        <w:jc w:val="center"/>
        <w:rPr>
          <w:sz w:val="24"/>
          <w:szCs w:val="24"/>
        </w:rPr>
      </w:pPr>
      <w:r>
        <w:rPr>
          <w:sz w:val="24"/>
          <w:szCs w:val="24"/>
        </w:rPr>
        <w:t>Sevilla Rios, Flor Palmira (</w:t>
      </w:r>
      <w:hyperlink r:id="rId16">
        <w:r>
          <w:rPr>
            <w:color w:val="1155CC"/>
            <w:sz w:val="24"/>
            <w:szCs w:val="24"/>
            <w:u w:val="single"/>
          </w:rPr>
          <w:t>orcid.org</w:t>
        </w:r>
      </w:hyperlink>
      <w:hyperlink r:id="rId17">
        <w:r>
          <w:rPr>
            <w:color w:val="1155CC"/>
            <w:sz w:val="24"/>
            <w:szCs w:val="24"/>
            <w:highlight w:val="white"/>
            <w:u w:val="single"/>
          </w:rPr>
          <w:t>/0009-0007-9862-0468)</w:t>
        </w:r>
      </w:hyperlink>
      <w:r>
        <w:rPr>
          <w:sz w:val="24"/>
          <w:szCs w:val="24"/>
        </w:rPr>
        <w:t>Escuela profesional de Psicología, V Ciclo</w:t>
      </w:r>
    </w:p>
    <w:p w14:paraId="56BDDB23" w14:textId="77777777" w:rsidR="001F2A67" w:rsidRDefault="00000000">
      <w:pPr>
        <w:spacing w:line="276" w:lineRule="auto"/>
        <w:jc w:val="center"/>
        <w:rPr>
          <w:sz w:val="24"/>
          <w:szCs w:val="24"/>
        </w:rPr>
      </w:pPr>
      <w:r>
        <w:rPr>
          <w:sz w:val="24"/>
          <w:szCs w:val="24"/>
        </w:rPr>
        <w:t>Vigo Correa, Luana Salome (</w:t>
      </w:r>
      <w:hyperlink r:id="rId18">
        <w:r>
          <w:rPr>
            <w:color w:val="1155CC"/>
            <w:sz w:val="24"/>
            <w:szCs w:val="24"/>
            <w:highlight w:val="white"/>
            <w:u w:val="single"/>
          </w:rPr>
          <w:t>orcid.org/0000-0002-0565-3647</w:t>
        </w:r>
      </w:hyperlink>
      <w:r>
        <w:rPr>
          <w:sz w:val="24"/>
          <w:szCs w:val="24"/>
        </w:rPr>
        <w:t xml:space="preserve">) </w:t>
      </w:r>
      <w:hyperlink r:id="rId19">
        <w:r>
          <w:rPr>
            <w:color w:val="1155CC"/>
            <w:sz w:val="24"/>
            <w:szCs w:val="24"/>
            <w:u w:val="single"/>
          </w:rPr>
          <w:t>lvigoc@ucvvirtual.edu.pe</w:t>
        </w:r>
      </w:hyperlink>
      <w:r>
        <w:rPr>
          <w:sz w:val="24"/>
          <w:szCs w:val="24"/>
        </w:rPr>
        <w:t>, Psicología, IV ciclo.</w:t>
      </w:r>
    </w:p>
    <w:p w14:paraId="4C8CACF3" w14:textId="77777777" w:rsidR="001F2A67" w:rsidRDefault="001F2A67"/>
    <w:p w14:paraId="4BD3BAF2" w14:textId="77777777" w:rsidR="001F2A67" w:rsidRDefault="00000000">
      <w:pPr>
        <w:spacing w:before="360"/>
        <w:jc w:val="center"/>
        <w:rPr>
          <w:b/>
          <w:sz w:val="24"/>
          <w:szCs w:val="24"/>
        </w:rPr>
      </w:pPr>
      <w:r>
        <w:rPr>
          <w:b/>
          <w:sz w:val="24"/>
          <w:szCs w:val="24"/>
        </w:rPr>
        <w:t>Asesor(a):</w:t>
      </w:r>
    </w:p>
    <w:p w14:paraId="14B7B97F" w14:textId="77777777" w:rsidR="001F2A67" w:rsidRDefault="00000000">
      <w:pPr>
        <w:spacing w:line="276" w:lineRule="auto"/>
        <w:jc w:val="center"/>
        <w:rPr>
          <w:sz w:val="24"/>
          <w:szCs w:val="24"/>
        </w:rPr>
      </w:pPr>
      <w:r>
        <w:rPr>
          <w:sz w:val="24"/>
          <w:szCs w:val="24"/>
        </w:rPr>
        <w:t>Mgtr. Tantaleán Pérez, Magali Roxana (</w:t>
      </w:r>
      <w:hyperlink r:id="rId20">
        <w:r>
          <w:rPr>
            <w:color w:val="1155CC"/>
            <w:sz w:val="24"/>
            <w:szCs w:val="24"/>
            <w:highlight w:val="white"/>
            <w:u w:val="single"/>
          </w:rPr>
          <w:t>orcid.org/0009-0009-2577-6052</w:t>
        </w:r>
      </w:hyperlink>
      <w:r>
        <w:rPr>
          <w:sz w:val="24"/>
          <w:szCs w:val="24"/>
        </w:rPr>
        <w:t>)</w:t>
      </w:r>
    </w:p>
    <w:p w14:paraId="6753FFF8" w14:textId="77777777" w:rsidR="001F2A67" w:rsidRDefault="001F2A67">
      <w:pPr>
        <w:spacing w:line="276" w:lineRule="auto"/>
        <w:jc w:val="center"/>
        <w:rPr>
          <w:sz w:val="24"/>
          <w:szCs w:val="24"/>
        </w:rPr>
      </w:pPr>
    </w:p>
    <w:p w14:paraId="1C8FCE33" w14:textId="77777777" w:rsidR="001F2A67" w:rsidRDefault="001F2A67"/>
    <w:p w14:paraId="53E62CBA" w14:textId="77777777" w:rsidR="001F2A67" w:rsidRDefault="001F2A67"/>
    <w:p w14:paraId="404ED03C" w14:textId="77777777" w:rsidR="001F2A67" w:rsidRDefault="00000000">
      <w:pPr>
        <w:jc w:val="center"/>
        <w:rPr>
          <w:rFonts w:ascii="Roboto Condensed Light" w:eastAsia="Roboto Condensed Light" w:hAnsi="Roboto Condensed Light" w:cs="Roboto Condensed Light"/>
        </w:rPr>
      </w:pPr>
      <w:r>
        <w:t>Trujillo - 2025</w:t>
      </w:r>
    </w:p>
    <w:p w14:paraId="2A976085" w14:textId="77777777" w:rsidR="001F2A67" w:rsidRDefault="00000000">
      <w:pPr>
        <w:spacing w:before="200" w:line="276" w:lineRule="auto"/>
        <w:ind w:left="-141" w:right="144"/>
        <w:jc w:val="both"/>
        <w:rPr>
          <w:b/>
          <w:sz w:val="24"/>
          <w:szCs w:val="24"/>
        </w:rPr>
      </w:pPr>
      <w:r>
        <w:rPr>
          <w:b/>
          <w:sz w:val="24"/>
          <w:szCs w:val="24"/>
        </w:rPr>
        <w:t>Generalidades</w:t>
      </w:r>
    </w:p>
    <w:tbl>
      <w:tblPr>
        <w:tblStyle w:val="a3"/>
        <w:tblW w:w="928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0"/>
        <w:gridCol w:w="4755"/>
      </w:tblGrid>
      <w:tr w:rsidR="001F2A67" w14:paraId="4A20D685" w14:textId="77777777">
        <w:trPr>
          <w:trHeight w:val="32"/>
          <w:jc w:val="center"/>
        </w:trPr>
        <w:tc>
          <w:tcPr>
            <w:tcW w:w="4530" w:type="dxa"/>
            <w:tcBorders>
              <w:top w:val="single" w:sz="12" w:space="0" w:color="000000"/>
              <w:left w:val="nil"/>
              <w:bottom w:val="single" w:sz="4" w:space="0" w:color="000000"/>
              <w:right w:val="nil"/>
            </w:tcBorders>
            <w:shd w:val="clear" w:color="auto" w:fill="auto"/>
            <w:tcMar>
              <w:top w:w="100" w:type="dxa"/>
              <w:left w:w="100" w:type="dxa"/>
              <w:bottom w:w="100" w:type="dxa"/>
              <w:right w:w="100" w:type="dxa"/>
            </w:tcMar>
            <w:vAlign w:val="center"/>
          </w:tcPr>
          <w:p w14:paraId="0C5E962D" w14:textId="77777777" w:rsidR="001F2A67" w:rsidRDefault="00000000">
            <w:pPr>
              <w:spacing w:line="276" w:lineRule="auto"/>
              <w:rPr>
                <w:b/>
                <w:sz w:val="24"/>
                <w:szCs w:val="24"/>
              </w:rPr>
            </w:pPr>
            <w:r>
              <w:rPr>
                <w:sz w:val="24"/>
                <w:szCs w:val="24"/>
              </w:rPr>
              <w:t>Nivel del trabajo de investigación formativa:</w:t>
            </w:r>
          </w:p>
        </w:tc>
        <w:tc>
          <w:tcPr>
            <w:tcW w:w="4755" w:type="dxa"/>
            <w:tcBorders>
              <w:top w:val="single" w:sz="12" w:space="0" w:color="000000"/>
              <w:left w:val="nil"/>
              <w:bottom w:val="single" w:sz="4" w:space="0" w:color="000000"/>
              <w:right w:val="nil"/>
            </w:tcBorders>
            <w:shd w:val="clear" w:color="auto" w:fill="auto"/>
            <w:tcMar>
              <w:top w:w="100" w:type="dxa"/>
              <w:left w:w="100" w:type="dxa"/>
              <w:bottom w:w="100" w:type="dxa"/>
              <w:right w:w="100" w:type="dxa"/>
            </w:tcMar>
            <w:vAlign w:val="center"/>
          </w:tcPr>
          <w:p w14:paraId="23B3F73E" w14:textId="77777777" w:rsidR="001F2A67" w:rsidRDefault="00000000">
            <w:pPr>
              <w:spacing w:line="276" w:lineRule="auto"/>
              <w:rPr>
                <w:sz w:val="24"/>
                <w:szCs w:val="24"/>
              </w:rPr>
            </w:pPr>
            <w:r>
              <w:rPr>
                <w:sz w:val="24"/>
                <w:szCs w:val="24"/>
              </w:rPr>
              <w:t>II</w:t>
            </w:r>
          </w:p>
        </w:tc>
      </w:tr>
      <w:tr w:rsidR="001F2A67" w14:paraId="2305CF3C" w14:textId="77777777">
        <w:trPr>
          <w:trHeight w:val="32"/>
          <w:jc w:val="center"/>
        </w:trPr>
        <w:tc>
          <w:tcPr>
            <w:tcW w:w="4530" w:type="dxa"/>
            <w:tcBorders>
              <w:top w:val="single" w:sz="4" w:space="0" w:color="000000"/>
              <w:left w:val="nil"/>
              <w:bottom w:val="single" w:sz="4" w:space="0" w:color="000000"/>
              <w:right w:val="nil"/>
            </w:tcBorders>
            <w:shd w:val="clear" w:color="auto" w:fill="auto"/>
            <w:tcMar>
              <w:top w:w="100" w:type="dxa"/>
              <w:left w:w="100" w:type="dxa"/>
              <w:bottom w:w="100" w:type="dxa"/>
              <w:right w:w="100" w:type="dxa"/>
            </w:tcMar>
            <w:vAlign w:val="center"/>
          </w:tcPr>
          <w:p w14:paraId="68D293B7" w14:textId="77777777" w:rsidR="001F2A67" w:rsidRDefault="00000000">
            <w:pPr>
              <w:spacing w:line="276" w:lineRule="auto"/>
              <w:rPr>
                <w:b/>
                <w:sz w:val="24"/>
                <w:szCs w:val="24"/>
              </w:rPr>
            </w:pPr>
            <w:r>
              <w:rPr>
                <w:sz w:val="24"/>
                <w:szCs w:val="24"/>
              </w:rPr>
              <w:t>Línea de investigación general Objetivo de Desarrollo Sostenible y Meta:</w:t>
            </w:r>
          </w:p>
        </w:tc>
        <w:tc>
          <w:tcPr>
            <w:tcW w:w="4755" w:type="dxa"/>
            <w:tcBorders>
              <w:top w:val="single" w:sz="4" w:space="0" w:color="000000"/>
              <w:left w:val="nil"/>
              <w:bottom w:val="single" w:sz="4" w:space="0" w:color="000000"/>
              <w:right w:val="nil"/>
            </w:tcBorders>
            <w:shd w:val="clear" w:color="auto" w:fill="auto"/>
            <w:tcMar>
              <w:top w:w="100" w:type="dxa"/>
              <w:left w:w="100" w:type="dxa"/>
              <w:bottom w:w="100" w:type="dxa"/>
              <w:right w:w="100" w:type="dxa"/>
            </w:tcMar>
            <w:vAlign w:val="center"/>
          </w:tcPr>
          <w:p w14:paraId="7179C6CB" w14:textId="77777777" w:rsidR="001F2A67" w:rsidRDefault="00000000">
            <w:pPr>
              <w:spacing w:line="276" w:lineRule="auto"/>
              <w:rPr>
                <w:sz w:val="24"/>
                <w:szCs w:val="24"/>
              </w:rPr>
            </w:pPr>
            <w:r>
              <w:rPr>
                <w:sz w:val="24"/>
                <w:szCs w:val="24"/>
              </w:rPr>
              <w:t>Salud Integral Humana</w:t>
            </w:r>
          </w:p>
          <w:p w14:paraId="67CC487D" w14:textId="77777777" w:rsidR="001F2A67" w:rsidRDefault="00000000">
            <w:pPr>
              <w:spacing w:line="276" w:lineRule="auto"/>
              <w:rPr>
                <w:sz w:val="24"/>
                <w:szCs w:val="24"/>
              </w:rPr>
            </w:pPr>
            <w:r>
              <w:rPr>
                <w:sz w:val="24"/>
                <w:szCs w:val="24"/>
              </w:rPr>
              <w:t>ODS.4 Educación de Calidad - meta 4.3</w:t>
            </w:r>
          </w:p>
        </w:tc>
      </w:tr>
      <w:tr w:rsidR="001F2A67" w14:paraId="146F1E84" w14:textId="77777777">
        <w:trPr>
          <w:trHeight w:val="32"/>
          <w:jc w:val="center"/>
        </w:trPr>
        <w:tc>
          <w:tcPr>
            <w:tcW w:w="4530" w:type="dxa"/>
            <w:tcBorders>
              <w:top w:val="single" w:sz="4" w:space="0" w:color="000000"/>
              <w:left w:val="nil"/>
              <w:bottom w:val="single" w:sz="12" w:space="0" w:color="000000"/>
              <w:right w:val="nil"/>
            </w:tcBorders>
            <w:shd w:val="clear" w:color="auto" w:fill="auto"/>
            <w:tcMar>
              <w:top w:w="100" w:type="dxa"/>
              <w:left w:w="100" w:type="dxa"/>
              <w:bottom w:w="100" w:type="dxa"/>
              <w:right w:w="100" w:type="dxa"/>
            </w:tcMar>
            <w:vAlign w:val="center"/>
          </w:tcPr>
          <w:p w14:paraId="30EBF2E3" w14:textId="77777777" w:rsidR="001F2A67" w:rsidRDefault="00000000">
            <w:pPr>
              <w:spacing w:line="276" w:lineRule="auto"/>
              <w:rPr>
                <w:b/>
                <w:sz w:val="24"/>
                <w:szCs w:val="24"/>
              </w:rPr>
            </w:pPr>
            <w:r>
              <w:rPr>
                <w:sz w:val="24"/>
                <w:szCs w:val="24"/>
              </w:rPr>
              <w:t>Línea de responsabilidad social universitaria:</w:t>
            </w:r>
          </w:p>
        </w:tc>
        <w:tc>
          <w:tcPr>
            <w:tcW w:w="4755" w:type="dxa"/>
            <w:tcBorders>
              <w:top w:val="single" w:sz="4" w:space="0" w:color="000000"/>
              <w:left w:val="nil"/>
              <w:bottom w:val="single" w:sz="12" w:space="0" w:color="000000"/>
              <w:right w:val="nil"/>
            </w:tcBorders>
            <w:shd w:val="clear" w:color="auto" w:fill="auto"/>
            <w:tcMar>
              <w:top w:w="100" w:type="dxa"/>
              <w:left w:w="100" w:type="dxa"/>
              <w:bottom w:w="100" w:type="dxa"/>
              <w:right w:w="100" w:type="dxa"/>
            </w:tcMar>
            <w:vAlign w:val="center"/>
          </w:tcPr>
          <w:p w14:paraId="66D1A9E2" w14:textId="77777777" w:rsidR="001F2A67" w:rsidRDefault="00000000">
            <w:pPr>
              <w:spacing w:line="276" w:lineRule="auto"/>
              <w:rPr>
                <w:sz w:val="24"/>
                <w:szCs w:val="24"/>
              </w:rPr>
            </w:pPr>
            <w:r>
              <w:rPr>
                <w:sz w:val="24"/>
                <w:szCs w:val="24"/>
              </w:rPr>
              <w:t>Apoyo a la reducción de brechas y carencias en la educación en todos sus niveles</w:t>
            </w:r>
          </w:p>
        </w:tc>
      </w:tr>
    </w:tbl>
    <w:p w14:paraId="05F27883" w14:textId="77777777" w:rsidR="001F2A67" w:rsidRDefault="001F2A67">
      <w:pPr>
        <w:pBdr>
          <w:top w:val="nil"/>
          <w:left w:val="nil"/>
          <w:bottom w:val="nil"/>
          <w:right w:val="nil"/>
          <w:between w:val="nil"/>
        </w:pBdr>
        <w:spacing w:line="360" w:lineRule="auto"/>
        <w:rPr>
          <w:b/>
          <w:sz w:val="24"/>
          <w:szCs w:val="24"/>
        </w:rPr>
      </w:pPr>
      <w:bookmarkStart w:id="0" w:name="_heading=h.hv6efo7zbo0i" w:colFirst="0" w:colLast="0"/>
      <w:bookmarkEnd w:id="0"/>
    </w:p>
    <w:p w14:paraId="4205E2CD" w14:textId="77777777" w:rsidR="001F2A67" w:rsidRDefault="00000000">
      <w:pPr>
        <w:pBdr>
          <w:top w:val="nil"/>
          <w:left w:val="nil"/>
          <w:bottom w:val="nil"/>
          <w:right w:val="nil"/>
          <w:between w:val="nil"/>
        </w:pBdr>
        <w:spacing w:line="360" w:lineRule="auto"/>
        <w:jc w:val="center"/>
        <w:rPr>
          <w:b/>
          <w:color w:val="000000"/>
          <w:sz w:val="24"/>
          <w:szCs w:val="24"/>
        </w:rPr>
      </w:pPr>
      <w:bookmarkStart w:id="1" w:name="_heading=h.1fob9te" w:colFirst="0" w:colLast="0"/>
      <w:bookmarkEnd w:id="1"/>
      <w:r>
        <w:rPr>
          <w:b/>
          <w:color w:val="000000"/>
          <w:sz w:val="24"/>
          <w:szCs w:val="24"/>
        </w:rPr>
        <w:t>Resumen</w:t>
      </w:r>
    </w:p>
    <w:p w14:paraId="76DAA890" w14:textId="77777777" w:rsidR="001F2A67" w:rsidRDefault="001F2A67">
      <w:pPr>
        <w:tabs>
          <w:tab w:val="left" w:pos="1119"/>
        </w:tabs>
        <w:spacing w:after="120" w:line="276" w:lineRule="auto"/>
        <w:ind w:right="144"/>
        <w:jc w:val="both"/>
        <w:rPr>
          <w:color w:val="0000FF"/>
          <w:sz w:val="24"/>
          <w:szCs w:val="24"/>
          <w:highlight w:val="white"/>
        </w:rPr>
      </w:pPr>
    </w:p>
    <w:p w14:paraId="3D819133" w14:textId="77777777" w:rsidR="001F2A67" w:rsidRDefault="00000000">
      <w:pPr>
        <w:spacing w:before="240" w:after="240" w:line="360" w:lineRule="auto"/>
        <w:jc w:val="both"/>
        <w:rPr>
          <w:sz w:val="24"/>
          <w:szCs w:val="24"/>
        </w:rPr>
      </w:pPr>
      <w:r>
        <w:rPr>
          <w:sz w:val="24"/>
          <w:szCs w:val="24"/>
        </w:rPr>
        <w:t>El estrés genera un impacto significativo dentro del rendimiento de los universitarios, por esta razón el objetivo principal de esta investigación es analizar la influencia del estrés en el desempeño académico de los estudiantes dentro de una universidad privada y de esta forma, se brinde soluciones que contribuyan al proceso estudiantil y garantizar la educación de calidad. Se empleó un enfoque cuantitativo, no experimental de corte transversal. La muestra del estudio es intencional, con 60 participantes, entre el 2° y 8° ciclo de distintas carreras quienes respondieron a los instrumentos escala de estrés percibido (PSS) y la escala de rendimiento académico universitario (RAU), además para los datos se realizó un análisis inferencial paramétrico de tipo correlacional y como resultado se observa que existe una relación estadísticamente significativa entre las variables porque el P-valor es menor a 0.05. Según el coeficiente de correlación de Pearson que fue -0.27, indicó que existe una correlación negativa débil; debido a que, si el estrés es mayor, el rendimiento académico es menor. Entonces se concluye que, a mayor percepción de estrés, menor es el nivel de rendimiento académico reportado por los estudiantes, revelando una tendencia preocupante en el contexto educativo exigente donde se desarrollan los estudiantes.</w:t>
      </w:r>
    </w:p>
    <w:p w14:paraId="2EAC3928" w14:textId="77777777" w:rsidR="001F2A67" w:rsidRDefault="00000000">
      <w:pPr>
        <w:spacing w:before="240" w:after="240" w:line="360" w:lineRule="auto"/>
        <w:jc w:val="both"/>
        <w:rPr>
          <w:sz w:val="24"/>
          <w:szCs w:val="24"/>
        </w:rPr>
      </w:pPr>
      <w:bookmarkStart w:id="2" w:name="_heading=h.p4jf2qjgqoia" w:colFirst="0" w:colLast="0"/>
      <w:bookmarkEnd w:id="2"/>
      <w:r>
        <w:rPr>
          <w:b/>
          <w:sz w:val="24"/>
          <w:szCs w:val="24"/>
        </w:rPr>
        <w:t>Palabras Clave:</w:t>
      </w:r>
      <w:r>
        <w:rPr>
          <w:sz w:val="24"/>
          <w:szCs w:val="24"/>
        </w:rPr>
        <w:t xml:space="preserve"> Rendimiento, Estrés, Estudiantes, Universidad.</w:t>
      </w:r>
    </w:p>
    <w:p w14:paraId="20196F07" w14:textId="77777777" w:rsidR="001F2A67" w:rsidRDefault="001F2A67">
      <w:pPr>
        <w:pBdr>
          <w:top w:val="nil"/>
          <w:left w:val="nil"/>
          <w:bottom w:val="nil"/>
          <w:right w:val="nil"/>
          <w:between w:val="nil"/>
        </w:pBdr>
        <w:spacing w:line="360" w:lineRule="auto"/>
        <w:jc w:val="both"/>
        <w:rPr>
          <w:sz w:val="24"/>
          <w:szCs w:val="24"/>
        </w:rPr>
      </w:pPr>
      <w:bookmarkStart w:id="3" w:name="_heading=h.miglanl7dx36" w:colFirst="0" w:colLast="0"/>
      <w:bookmarkEnd w:id="3"/>
    </w:p>
    <w:p w14:paraId="0AC51B90" w14:textId="77777777" w:rsidR="001F2A67" w:rsidRDefault="001F2A67">
      <w:pPr>
        <w:pBdr>
          <w:top w:val="nil"/>
          <w:left w:val="nil"/>
          <w:bottom w:val="nil"/>
          <w:right w:val="nil"/>
          <w:between w:val="nil"/>
        </w:pBdr>
        <w:spacing w:line="360" w:lineRule="auto"/>
        <w:jc w:val="both"/>
        <w:rPr>
          <w:sz w:val="24"/>
          <w:szCs w:val="24"/>
        </w:rPr>
      </w:pPr>
      <w:bookmarkStart w:id="4" w:name="_heading=h.wh7zhwp0g09b" w:colFirst="0" w:colLast="0"/>
      <w:bookmarkEnd w:id="4"/>
    </w:p>
    <w:p w14:paraId="46BF29BF" w14:textId="77777777" w:rsidR="001F2A67" w:rsidRDefault="001F2A67">
      <w:pPr>
        <w:pBdr>
          <w:top w:val="nil"/>
          <w:left w:val="nil"/>
          <w:bottom w:val="nil"/>
          <w:right w:val="nil"/>
          <w:between w:val="nil"/>
        </w:pBdr>
        <w:spacing w:line="360" w:lineRule="auto"/>
        <w:jc w:val="both"/>
        <w:rPr>
          <w:sz w:val="24"/>
          <w:szCs w:val="24"/>
        </w:rPr>
      </w:pPr>
      <w:bookmarkStart w:id="5" w:name="_heading=h.gm9yx1iezl0" w:colFirst="0" w:colLast="0"/>
      <w:bookmarkEnd w:id="5"/>
    </w:p>
    <w:p w14:paraId="2EB15456" w14:textId="77777777" w:rsidR="001F2A67" w:rsidRDefault="001F2A67">
      <w:pPr>
        <w:pBdr>
          <w:top w:val="nil"/>
          <w:left w:val="nil"/>
          <w:bottom w:val="nil"/>
          <w:right w:val="nil"/>
          <w:between w:val="nil"/>
        </w:pBdr>
        <w:spacing w:line="360" w:lineRule="auto"/>
        <w:jc w:val="both"/>
        <w:rPr>
          <w:sz w:val="24"/>
          <w:szCs w:val="24"/>
        </w:rPr>
      </w:pPr>
      <w:bookmarkStart w:id="6" w:name="_heading=h.6ea3yb7fvxgb" w:colFirst="0" w:colLast="0"/>
      <w:bookmarkEnd w:id="6"/>
    </w:p>
    <w:p w14:paraId="63FD39D0" w14:textId="77777777" w:rsidR="001F2A67" w:rsidRDefault="001F2A67">
      <w:pPr>
        <w:pBdr>
          <w:top w:val="nil"/>
          <w:left w:val="nil"/>
          <w:bottom w:val="nil"/>
          <w:right w:val="nil"/>
          <w:between w:val="nil"/>
        </w:pBdr>
        <w:spacing w:line="360" w:lineRule="auto"/>
        <w:jc w:val="both"/>
        <w:rPr>
          <w:sz w:val="24"/>
          <w:szCs w:val="24"/>
        </w:rPr>
      </w:pPr>
      <w:bookmarkStart w:id="7" w:name="_heading=h.h0xqykmqpt3w" w:colFirst="0" w:colLast="0"/>
      <w:bookmarkEnd w:id="7"/>
    </w:p>
    <w:p w14:paraId="049FC0D9" w14:textId="77777777" w:rsidR="001F2A67" w:rsidRDefault="001F2A67">
      <w:pPr>
        <w:pBdr>
          <w:top w:val="nil"/>
          <w:left w:val="nil"/>
          <w:bottom w:val="nil"/>
          <w:right w:val="nil"/>
          <w:between w:val="nil"/>
        </w:pBdr>
        <w:spacing w:line="360" w:lineRule="auto"/>
        <w:jc w:val="both"/>
        <w:rPr>
          <w:sz w:val="24"/>
          <w:szCs w:val="24"/>
        </w:rPr>
      </w:pPr>
      <w:bookmarkStart w:id="8" w:name="_heading=h.48oehvd3uot0" w:colFirst="0" w:colLast="0"/>
      <w:bookmarkEnd w:id="8"/>
    </w:p>
    <w:p w14:paraId="7FB607F7" w14:textId="77777777" w:rsidR="001F2A67" w:rsidRDefault="001F2A67">
      <w:pPr>
        <w:pBdr>
          <w:top w:val="nil"/>
          <w:left w:val="nil"/>
          <w:bottom w:val="nil"/>
          <w:right w:val="nil"/>
          <w:between w:val="nil"/>
        </w:pBdr>
        <w:spacing w:line="360" w:lineRule="auto"/>
        <w:jc w:val="both"/>
        <w:rPr>
          <w:sz w:val="24"/>
          <w:szCs w:val="24"/>
        </w:rPr>
      </w:pPr>
      <w:bookmarkStart w:id="9" w:name="_heading=h.w1lblucuy0dq" w:colFirst="0" w:colLast="0"/>
      <w:bookmarkEnd w:id="9"/>
    </w:p>
    <w:p w14:paraId="055C8559" w14:textId="77777777" w:rsidR="001F2A67" w:rsidRDefault="001F2A67">
      <w:pPr>
        <w:pBdr>
          <w:top w:val="nil"/>
          <w:left w:val="nil"/>
          <w:bottom w:val="nil"/>
          <w:right w:val="nil"/>
          <w:between w:val="nil"/>
        </w:pBdr>
        <w:spacing w:line="360" w:lineRule="auto"/>
        <w:jc w:val="both"/>
        <w:rPr>
          <w:sz w:val="24"/>
          <w:szCs w:val="24"/>
        </w:rPr>
      </w:pPr>
      <w:bookmarkStart w:id="10" w:name="_heading=h.8mk7q8swysqt" w:colFirst="0" w:colLast="0"/>
      <w:bookmarkEnd w:id="10"/>
    </w:p>
    <w:p w14:paraId="49744920" w14:textId="77777777" w:rsidR="001F2A67" w:rsidRDefault="001F2A67">
      <w:pPr>
        <w:pBdr>
          <w:top w:val="nil"/>
          <w:left w:val="nil"/>
          <w:bottom w:val="nil"/>
          <w:right w:val="nil"/>
          <w:between w:val="nil"/>
        </w:pBdr>
        <w:spacing w:line="360" w:lineRule="auto"/>
        <w:jc w:val="both"/>
        <w:rPr>
          <w:sz w:val="24"/>
          <w:szCs w:val="24"/>
        </w:rPr>
      </w:pPr>
      <w:bookmarkStart w:id="11" w:name="_heading=h.wwy5rb2cwhet" w:colFirst="0" w:colLast="0"/>
      <w:bookmarkEnd w:id="11"/>
    </w:p>
    <w:p w14:paraId="0D262765" w14:textId="77777777" w:rsidR="001F2A67" w:rsidRDefault="001F2A67">
      <w:pPr>
        <w:pBdr>
          <w:top w:val="nil"/>
          <w:left w:val="nil"/>
          <w:bottom w:val="nil"/>
          <w:right w:val="nil"/>
          <w:between w:val="nil"/>
        </w:pBdr>
        <w:spacing w:line="360" w:lineRule="auto"/>
        <w:jc w:val="both"/>
        <w:rPr>
          <w:sz w:val="24"/>
          <w:szCs w:val="24"/>
        </w:rPr>
      </w:pPr>
      <w:bookmarkStart w:id="12" w:name="_heading=h.mv9guwnrcsss" w:colFirst="0" w:colLast="0"/>
      <w:bookmarkEnd w:id="12"/>
    </w:p>
    <w:p w14:paraId="0BC20E35" w14:textId="77777777" w:rsidR="001F2A67" w:rsidRDefault="001F2A67">
      <w:pPr>
        <w:pBdr>
          <w:top w:val="nil"/>
          <w:left w:val="nil"/>
          <w:bottom w:val="nil"/>
          <w:right w:val="nil"/>
          <w:between w:val="nil"/>
        </w:pBdr>
        <w:spacing w:line="360" w:lineRule="auto"/>
        <w:jc w:val="both"/>
        <w:rPr>
          <w:sz w:val="24"/>
          <w:szCs w:val="24"/>
        </w:rPr>
      </w:pPr>
      <w:bookmarkStart w:id="13" w:name="_heading=h.4dxxn3asn39" w:colFirst="0" w:colLast="0"/>
      <w:bookmarkEnd w:id="13"/>
    </w:p>
    <w:p w14:paraId="2EA7C9CB" w14:textId="77777777" w:rsidR="001F2A67" w:rsidRPr="00812EE8" w:rsidRDefault="00000000">
      <w:pPr>
        <w:pBdr>
          <w:top w:val="nil"/>
          <w:left w:val="nil"/>
          <w:bottom w:val="nil"/>
          <w:right w:val="nil"/>
          <w:between w:val="nil"/>
        </w:pBdr>
        <w:spacing w:line="360" w:lineRule="auto"/>
        <w:jc w:val="center"/>
        <w:rPr>
          <w:b/>
          <w:sz w:val="24"/>
          <w:szCs w:val="24"/>
          <w:lang w:val="en-US"/>
        </w:rPr>
      </w:pPr>
      <w:bookmarkStart w:id="14" w:name="_heading=h.71xj6wjae0q" w:colFirst="0" w:colLast="0"/>
      <w:bookmarkEnd w:id="14"/>
      <w:r w:rsidRPr="00812EE8">
        <w:rPr>
          <w:b/>
          <w:sz w:val="24"/>
          <w:szCs w:val="24"/>
          <w:lang w:val="en-US"/>
        </w:rPr>
        <w:lastRenderedPageBreak/>
        <w:t>Abstract</w:t>
      </w:r>
    </w:p>
    <w:p w14:paraId="75F52F9C" w14:textId="77777777" w:rsidR="001F2A67" w:rsidRPr="00812EE8" w:rsidRDefault="00000000">
      <w:pPr>
        <w:spacing w:line="360" w:lineRule="auto"/>
        <w:jc w:val="both"/>
        <w:rPr>
          <w:sz w:val="24"/>
          <w:szCs w:val="24"/>
          <w:lang w:val="en-US"/>
        </w:rPr>
      </w:pPr>
      <w:r w:rsidRPr="00812EE8">
        <w:rPr>
          <w:sz w:val="24"/>
          <w:szCs w:val="24"/>
          <w:lang w:val="en-US"/>
        </w:rPr>
        <w:t>Stress has a significant impact on the performance of university students. Therefore, the main objective of this research is to analyze the influence of stress on the academic performance of students at a private university and thus provide solutions that contribute to the student process and guarantee quality education. A quantitative, non-experimental, cross-sectional approach was used. The study sample is intentional, with 60 participants, between the 2nd and 8th cycle of different careers who responded to the Perceived Stress Scale (PSS) and the University Academic Performance Scale (RAU). In addition, a parametric inferential correlational analysis was performed on the data. As a result, it is observed that there is a statistically significant relationship between the variables because the P-value is less than 0.05. According to the Pearson correlation coefficient, which was -0.27, it indicated that there is a weak negative correlation; because, if stress is greater, academic performance is lower. It is therefore concluded that the greater the perception of stress, the lower the level of academic performance reported by students, revealing a worrying trend in the demanding educational context in which students develop.</w:t>
      </w:r>
    </w:p>
    <w:p w14:paraId="5A305CB8" w14:textId="77777777" w:rsidR="001F2A67" w:rsidRPr="00812EE8" w:rsidRDefault="001F2A67">
      <w:pPr>
        <w:spacing w:line="360" w:lineRule="auto"/>
        <w:jc w:val="both"/>
        <w:rPr>
          <w:sz w:val="24"/>
          <w:szCs w:val="24"/>
          <w:lang w:val="en-US"/>
        </w:rPr>
      </w:pPr>
      <w:bookmarkStart w:id="15" w:name="_heading=h.7xzrocvdo9h5" w:colFirst="0" w:colLast="0"/>
      <w:bookmarkEnd w:id="15"/>
    </w:p>
    <w:p w14:paraId="0C61F229" w14:textId="77777777" w:rsidR="001F2A67" w:rsidRPr="00812EE8" w:rsidRDefault="00000000">
      <w:pPr>
        <w:spacing w:line="360" w:lineRule="auto"/>
        <w:jc w:val="both"/>
        <w:rPr>
          <w:sz w:val="24"/>
          <w:szCs w:val="24"/>
          <w:lang w:val="en-US"/>
        </w:rPr>
      </w:pPr>
      <w:r w:rsidRPr="00812EE8">
        <w:rPr>
          <w:b/>
          <w:sz w:val="24"/>
          <w:szCs w:val="24"/>
          <w:lang w:val="en-US"/>
        </w:rPr>
        <w:t>Keywords</w:t>
      </w:r>
      <w:r w:rsidRPr="00812EE8">
        <w:rPr>
          <w:sz w:val="24"/>
          <w:szCs w:val="24"/>
          <w:lang w:val="en-US"/>
        </w:rPr>
        <w:t>: Performance, Stress, Students, University.</w:t>
      </w:r>
    </w:p>
    <w:p w14:paraId="2493D747" w14:textId="77777777" w:rsidR="001F2A67" w:rsidRPr="00812EE8" w:rsidRDefault="001F2A67">
      <w:pPr>
        <w:pBdr>
          <w:top w:val="nil"/>
          <w:left w:val="nil"/>
          <w:bottom w:val="nil"/>
          <w:right w:val="nil"/>
          <w:between w:val="nil"/>
        </w:pBdr>
        <w:spacing w:line="360" w:lineRule="auto"/>
        <w:rPr>
          <w:b/>
          <w:sz w:val="24"/>
          <w:szCs w:val="24"/>
          <w:lang w:val="en-US"/>
        </w:rPr>
      </w:pPr>
      <w:bookmarkStart w:id="16" w:name="_heading=h.7t0d5fl355bt" w:colFirst="0" w:colLast="0"/>
      <w:bookmarkEnd w:id="16"/>
    </w:p>
    <w:p w14:paraId="56B6841A" w14:textId="77777777" w:rsidR="001F2A67" w:rsidRPr="00812EE8" w:rsidRDefault="001F2A67">
      <w:pPr>
        <w:spacing w:line="360" w:lineRule="auto"/>
        <w:ind w:firstLine="709"/>
        <w:jc w:val="both"/>
        <w:rPr>
          <w:sz w:val="24"/>
          <w:szCs w:val="24"/>
          <w:lang w:val="en-US"/>
        </w:rPr>
      </w:pPr>
    </w:p>
    <w:p w14:paraId="32F6B3F6" w14:textId="77777777" w:rsidR="001F2A67" w:rsidRPr="00812EE8" w:rsidRDefault="001F2A67">
      <w:pPr>
        <w:spacing w:line="360" w:lineRule="auto"/>
        <w:ind w:firstLine="709"/>
        <w:jc w:val="both"/>
        <w:rPr>
          <w:sz w:val="24"/>
          <w:szCs w:val="24"/>
          <w:lang w:val="en-US"/>
        </w:rPr>
      </w:pPr>
    </w:p>
    <w:p w14:paraId="3D62A807" w14:textId="77777777" w:rsidR="001F2A67" w:rsidRPr="00812EE8" w:rsidRDefault="001F2A67">
      <w:pPr>
        <w:spacing w:line="360" w:lineRule="auto"/>
        <w:ind w:firstLine="709"/>
        <w:jc w:val="both"/>
        <w:rPr>
          <w:sz w:val="24"/>
          <w:szCs w:val="24"/>
          <w:lang w:val="en-US"/>
        </w:rPr>
      </w:pPr>
    </w:p>
    <w:p w14:paraId="0CD4EF36" w14:textId="77777777" w:rsidR="001F2A67" w:rsidRPr="00812EE8" w:rsidRDefault="001F2A67">
      <w:pPr>
        <w:spacing w:line="360" w:lineRule="auto"/>
        <w:ind w:firstLine="709"/>
        <w:jc w:val="both"/>
        <w:rPr>
          <w:sz w:val="24"/>
          <w:szCs w:val="24"/>
          <w:lang w:val="en-US"/>
        </w:rPr>
      </w:pPr>
    </w:p>
    <w:p w14:paraId="5FE995D9" w14:textId="77777777" w:rsidR="001F2A67" w:rsidRPr="00812EE8" w:rsidRDefault="001F2A67">
      <w:pPr>
        <w:spacing w:line="360" w:lineRule="auto"/>
        <w:ind w:firstLine="709"/>
        <w:jc w:val="both"/>
        <w:rPr>
          <w:sz w:val="24"/>
          <w:szCs w:val="24"/>
          <w:lang w:val="en-US"/>
        </w:rPr>
      </w:pPr>
    </w:p>
    <w:p w14:paraId="1F269E9E" w14:textId="77777777" w:rsidR="001F2A67" w:rsidRPr="00812EE8" w:rsidRDefault="001F2A67">
      <w:pPr>
        <w:spacing w:line="360" w:lineRule="auto"/>
        <w:ind w:firstLine="709"/>
        <w:jc w:val="both"/>
        <w:rPr>
          <w:sz w:val="24"/>
          <w:szCs w:val="24"/>
          <w:lang w:val="en-US"/>
        </w:rPr>
      </w:pPr>
    </w:p>
    <w:p w14:paraId="279FE5BF" w14:textId="77777777" w:rsidR="001F2A67" w:rsidRPr="00812EE8" w:rsidRDefault="001F2A67">
      <w:pPr>
        <w:spacing w:line="360" w:lineRule="auto"/>
        <w:ind w:firstLine="709"/>
        <w:jc w:val="both"/>
        <w:rPr>
          <w:sz w:val="24"/>
          <w:szCs w:val="24"/>
          <w:lang w:val="en-US"/>
        </w:rPr>
      </w:pPr>
    </w:p>
    <w:p w14:paraId="3C3D9BC4" w14:textId="77777777" w:rsidR="001F2A67" w:rsidRPr="00812EE8" w:rsidRDefault="001F2A67">
      <w:pPr>
        <w:spacing w:line="360" w:lineRule="auto"/>
        <w:ind w:firstLine="709"/>
        <w:jc w:val="both"/>
        <w:rPr>
          <w:sz w:val="24"/>
          <w:szCs w:val="24"/>
          <w:lang w:val="en-US"/>
        </w:rPr>
      </w:pPr>
    </w:p>
    <w:p w14:paraId="228D7DB4" w14:textId="77777777" w:rsidR="001F2A67" w:rsidRPr="00812EE8" w:rsidRDefault="001F2A67">
      <w:pPr>
        <w:spacing w:line="360" w:lineRule="auto"/>
        <w:ind w:firstLine="709"/>
        <w:jc w:val="both"/>
        <w:rPr>
          <w:sz w:val="24"/>
          <w:szCs w:val="24"/>
          <w:lang w:val="en-US"/>
        </w:rPr>
      </w:pPr>
    </w:p>
    <w:p w14:paraId="291C3184" w14:textId="77777777" w:rsidR="001F2A67" w:rsidRPr="00812EE8" w:rsidRDefault="001F2A67">
      <w:pPr>
        <w:spacing w:line="360" w:lineRule="auto"/>
        <w:ind w:firstLine="709"/>
        <w:jc w:val="both"/>
        <w:rPr>
          <w:sz w:val="24"/>
          <w:szCs w:val="24"/>
          <w:lang w:val="en-US"/>
        </w:rPr>
      </w:pPr>
    </w:p>
    <w:p w14:paraId="39A4679A" w14:textId="77777777" w:rsidR="001F2A67" w:rsidRPr="00812EE8" w:rsidRDefault="001F2A67">
      <w:pPr>
        <w:spacing w:line="360" w:lineRule="auto"/>
        <w:jc w:val="both"/>
        <w:rPr>
          <w:sz w:val="24"/>
          <w:szCs w:val="24"/>
          <w:lang w:val="en-US"/>
        </w:rPr>
      </w:pPr>
    </w:p>
    <w:p w14:paraId="73273FD5" w14:textId="77777777" w:rsidR="001F2A67" w:rsidRPr="00812EE8" w:rsidRDefault="001F2A67">
      <w:pPr>
        <w:spacing w:line="360" w:lineRule="auto"/>
        <w:jc w:val="both"/>
        <w:rPr>
          <w:sz w:val="24"/>
          <w:szCs w:val="24"/>
          <w:lang w:val="en-US"/>
        </w:rPr>
      </w:pPr>
    </w:p>
    <w:p w14:paraId="43C8B3C2" w14:textId="77777777" w:rsidR="001F2A67" w:rsidRPr="00812EE8" w:rsidRDefault="001F2A67">
      <w:pPr>
        <w:spacing w:line="360" w:lineRule="auto"/>
        <w:jc w:val="both"/>
        <w:rPr>
          <w:sz w:val="24"/>
          <w:szCs w:val="24"/>
          <w:lang w:val="en-US"/>
        </w:rPr>
      </w:pPr>
    </w:p>
    <w:p w14:paraId="05A4EA2E" w14:textId="77777777" w:rsidR="001F2A67" w:rsidRDefault="001F2A67">
      <w:pPr>
        <w:spacing w:line="360" w:lineRule="auto"/>
        <w:jc w:val="both"/>
        <w:rPr>
          <w:sz w:val="24"/>
          <w:szCs w:val="24"/>
          <w:lang w:val="en-US"/>
        </w:rPr>
      </w:pPr>
    </w:p>
    <w:p w14:paraId="17ED12D5" w14:textId="77777777" w:rsidR="00812EE8" w:rsidRPr="00812EE8" w:rsidRDefault="00812EE8">
      <w:pPr>
        <w:spacing w:line="360" w:lineRule="auto"/>
        <w:jc w:val="both"/>
        <w:rPr>
          <w:sz w:val="24"/>
          <w:szCs w:val="24"/>
          <w:lang w:val="en-US"/>
        </w:rPr>
      </w:pPr>
    </w:p>
    <w:p w14:paraId="22B88BE1" w14:textId="77777777" w:rsidR="001F2A67" w:rsidRDefault="00000000">
      <w:pPr>
        <w:spacing w:line="360" w:lineRule="auto"/>
        <w:jc w:val="center"/>
        <w:rPr>
          <w:b/>
          <w:sz w:val="24"/>
          <w:szCs w:val="24"/>
        </w:rPr>
      </w:pPr>
      <w:r>
        <w:rPr>
          <w:b/>
          <w:sz w:val="24"/>
          <w:szCs w:val="24"/>
        </w:rPr>
        <w:lastRenderedPageBreak/>
        <w:t>Índice</w:t>
      </w:r>
    </w:p>
    <w:p w14:paraId="1CDAEDD0" w14:textId="77777777" w:rsidR="001F2A67" w:rsidRDefault="001F2A67">
      <w:pPr>
        <w:tabs>
          <w:tab w:val="left" w:pos="1119"/>
        </w:tabs>
        <w:spacing w:after="120" w:line="276" w:lineRule="auto"/>
        <w:ind w:right="144"/>
        <w:jc w:val="both"/>
        <w:rPr>
          <w:color w:val="0000FF"/>
          <w:sz w:val="24"/>
          <w:szCs w:val="24"/>
          <w:highlight w:val="white"/>
        </w:rPr>
      </w:pPr>
    </w:p>
    <w:p w14:paraId="15E20B73" w14:textId="77777777" w:rsidR="001F2A67" w:rsidRDefault="001F2A67">
      <w:pPr>
        <w:spacing w:line="360" w:lineRule="auto"/>
        <w:ind w:firstLine="709"/>
        <w:jc w:val="both"/>
        <w:rPr>
          <w:sz w:val="24"/>
          <w:szCs w:val="24"/>
        </w:rPr>
      </w:pPr>
    </w:p>
    <w:sdt>
      <w:sdtPr>
        <w:tag w:val="goog_rdk_0"/>
        <w:id w:val="-2073790991"/>
        <w:lock w:val="contentLocked"/>
      </w:sdtPr>
      <w:sdtContent>
        <w:tbl>
          <w:tblPr>
            <w:tblStyle w:val="a4"/>
            <w:tblW w:w="90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35"/>
            <w:gridCol w:w="495"/>
          </w:tblGrid>
          <w:tr w:rsidR="001F2A67" w14:paraId="0BD20851" w14:textId="77777777">
            <w:tc>
              <w:tcPr>
                <w:tcW w:w="85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BDDE7D0" w14:textId="77777777" w:rsidR="001F2A67" w:rsidRDefault="00000000">
                <w:pPr>
                  <w:numPr>
                    <w:ilvl w:val="0"/>
                    <w:numId w:val="2"/>
                  </w:numPr>
                  <w:pBdr>
                    <w:top w:val="nil"/>
                    <w:left w:val="nil"/>
                    <w:bottom w:val="nil"/>
                    <w:right w:val="nil"/>
                    <w:between w:val="nil"/>
                  </w:pBdr>
                  <w:rPr>
                    <w:sz w:val="24"/>
                    <w:szCs w:val="24"/>
                  </w:rPr>
                </w:pPr>
                <w:r>
                  <w:rPr>
                    <w:sz w:val="24"/>
                    <w:szCs w:val="24"/>
                  </w:rPr>
                  <w:t>Introducción</w:t>
                </w:r>
              </w:p>
            </w:tc>
            <w:tc>
              <w:tcPr>
                <w:tcW w:w="4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B12D069" w14:textId="77777777" w:rsidR="001F2A67" w:rsidRDefault="00000000">
                <w:pPr>
                  <w:pBdr>
                    <w:top w:val="nil"/>
                    <w:left w:val="nil"/>
                    <w:bottom w:val="nil"/>
                    <w:right w:val="nil"/>
                    <w:between w:val="nil"/>
                  </w:pBdr>
                  <w:rPr>
                    <w:sz w:val="24"/>
                    <w:szCs w:val="24"/>
                  </w:rPr>
                </w:pPr>
                <w:r>
                  <w:rPr>
                    <w:sz w:val="24"/>
                    <w:szCs w:val="24"/>
                  </w:rPr>
                  <w:t>1</w:t>
                </w:r>
              </w:p>
            </w:tc>
          </w:tr>
          <w:tr w:rsidR="001F2A67" w14:paraId="439CC93A" w14:textId="77777777">
            <w:tc>
              <w:tcPr>
                <w:tcW w:w="85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395B96F" w14:textId="77777777" w:rsidR="001F2A67" w:rsidRDefault="00000000">
                <w:pPr>
                  <w:numPr>
                    <w:ilvl w:val="0"/>
                    <w:numId w:val="2"/>
                  </w:numPr>
                  <w:pBdr>
                    <w:top w:val="nil"/>
                    <w:left w:val="nil"/>
                    <w:bottom w:val="nil"/>
                    <w:right w:val="nil"/>
                    <w:between w:val="nil"/>
                  </w:pBdr>
                  <w:rPr>
                    <w:sz w:val="24"/>
                    <w:szCs w:val="24"/>
                  </w:rPr>
                </w:pPr>
                <w:r>
                  <w:rPr>
                    <w:sz w:val="24"/>
                    <w:szCs w:val="24"/>
                  </w:rPr>
                  <w:t>Metodología</w:t>
                </w:r>
              </w:p>
            </w:tc>
            <w:tc>
              <w:tcPr>
                <w:tcW w:w="4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1F79F07" w14:textId="77777777" w:rsidR="001F2A67" w:rsidRDefault="00000000">
                <w:pPr>
                  <w:pBdr>
                    <w:top w:val="nil"/>
                    <w:left w:val="nil"/>
                    <w:bottom w:val="nil"/>
                    <w:right w:val="nil"/>
                    <w:between w:val="nil"/>
                  </w:pBdr>
                  <w:rPr>
                    <w:sz w:val="24"/>
                    <w:szCs w:val="24"/>
                  </w:rPr>
                </w:pPr>
                <w:r>
                  <w:rPr>
                    <w:sz w:val="24"/>
                    <w:szCs w:val="24"/>
                  </w:rPr>
                  <w:t>4</w:t>
                </w:r>
              </w:p>
            </w:tc>
          </w:tr>
          <w:tr w:rsidR="001F2A67" w14:paraId="3A0840D7" w14:textId="77777777">
            <w:tc>
              <w:tcPr>
                <w:tcW w:w="85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0E08F4F" w14:textId="77777777" w:rsidR="001F2A67" w:rsidRDefault="00000000">
                <w:pPr>
                  <w:numPr>
                    <w:ilvl w:val="0"/>
                    <w:numId w:val="2"/>
                  </w:numPr>
                  <w:pBdr>
                    <w:top w:val="nil"/>
                    <w:left w:val="nil"/>
                    <w:bottom w:val="nil"/>
                    <w:right w:val="nil"/>
                    <w:between w:val="nil"/>
                  </w:pBdr>
                  <w:rPr>
                    <w:sz w:val="24"/>
                    <w:szCs w:val="24"/>
                  </w:rPr>
                </w:pPr>
                <w:r>
                  <w:rPr>
                    <w:sz w:val="24"/>
                    <w:szCs w:val="24"/>
                  </w:rPr>
                  <w:t>Resultados</w:t>
                </w:r>
              </w:p>
            </w:tc>
            <w:tc>
              <w:tcPr>
                <w:tcW w:w="4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1E6B059" w14:textId="77777777" w:rsidR="001F2A67" w:rsidRDefault="00000000">
                <w:pPr>
                  <w:pBdr>
                    <w:top w:val="nil"/>
                    <w:left w:val="nil"/>
                    <w:bottom w:val="nil"/>
                    <w:right w:val="nil"/>
                    <w:between w:val="nil"/>
                  </w:pBdr>
                  <w:rPr>
                    <w:sz w:val="24"/>
                    <w:szCs w:val="24"/>
                  </w:rPr>
                </w:pPr>
                <w:r>
                  <w:rPr>
                    <w:sz w:val="24"/>
                    <w:szCs w:val="24"/>
                  </w:rPr>
                  <w:t>7</w:t>
                </w:r>
              </w:p>
            </w:tc>
          </w:tr>
          <w:tr w:rsidR="001F2A67" w14:paraId="71FB3EC1" w14:textId="77777777">
            <w:tc>
              <w:tcPr>
                <w:tcW w:w="85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9AC5158" w14:textId="77777777" w:rsidR="001F2A67" w:rsidRDefault="00000000">
                <w:pPr>
                  <w:numPr>
                    <w:ilvl w:val="0"/>
                    <w:numId w:val="2"/>
                  </w:numPr>
                  <w:pBdr>
                    <w:top w:val="nil"/>
                    <w:left w:val="nil"/>
                    <w:bottom w:val="nil"/>
                    <w:right w:val="nil"/>
                    <w:between w:val="nil"/>
                  </w:pBdr>
                  <w:rPr>
                    <w:sz w:val="24"/>
                    <w:szCs w:val="24"/>
                  </w:rPr>
                </w:pPr>
                <w:r>
                  <w:rPr>
                    <w:sz w:val="24"/>
                    <w:szCs w:val="24"/>
                  </w:rPr>
                  <w:t>Discusión</w:t>
                </w:r>
              </w:p>
            </w:tc>
            <w:tc>
              <w:tcPr>
                <w:tcW w:w="4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2B983A0" w14:textId="77777777" w:rsidR="001F2A67" w:rsidRDefault="00000000">
                <w:pPr>
                  <w:pBdr>
                    <w:top w:val="nil"/>
                    <w:left w:val="nil"/>
                    <w:bottom w:val="nil"/>
                    <w:right w:val="nil"/>
                    <w:between w:val="nil"/>
                  </w:pBdr>
                  <w:rPr>
                    <w:sz w:val="24"/>
                    <w:szCs w:val="24"/>
                  </w:rPr>
                </w:pPr>
                <w:r>
                  <w:rPr>
                    <w:sz w:val="24"/>
                    <w:szCs w:val="24"/>
                  </w:rPr>
                  <w:t>9</w:t>
                </w:r>
              </w:p>
            </w:tc>
          </w:tr>
          <w:tr w:rsidR="001F2A67" w14:paraId="1F5B72CB" w14:textId="77777777">
            <w:tc>
              <w:tcPr>
                <w:tcW w:w="85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EA363B4" w14:textId="77777777" w:rsidR="001F2A67" w:rsidRDefault="00000000">
                <w:pPr>
                  <w:numPr>
                    <w:ilvl w:val="0"/>
                    <w:numId w:val="2"/>
                  </w:numPr>
                  <w:pBdr>
                    <w:top w:val="nil"/>
                    <w:left w:val="nil"/>
                    <w:bottom w:val="nil"/>
                    <w:right w:val="nil"/>
                    <w:between w:val="nil"/>
                  </w:pBdr>
                  <w:rPr>
                    <w:sz w:val="24"/>
                    <w:szCs w:val="24"/>
                  </w:rPr>
                </w:pPr>
                <w:r>
                  <w:rPr>
                    <w:sz w:val="24"/>
                    <w:szCs w:val="24"/>
                  </w:rPr>
                  <w:t>Conclusiones</w:t>
                </w:r>
              </w:p>
            </w:tc>
            <w:tc>
              <w:tcPr>
                <w:tcW w:w="4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D34D850" w14:textId="77777777" w:rsidR="001F2A67" w:rsidRDefault="00000000">
                <w:pPr>
                  <w:pBdr>
                    <w:top w:val="nil"/>
                    <w:left w:val="nil"/>
                    <w:bottom w:val="nil"/>
                    <w:right w:val="nil"/>
                    <w:between w:val="nil"/>
                  </w:pBdr>
                  <w:rPr>
                    <w:sz w:val="24"/>
                    <w:szCs w:val="24"/>
                  </w:rPr>
                </w:pPr>
                <w:r>
                  <w:rPr>
                    <w:sz w:val="24"/>
                    <w:szCs w:val="24"/>
                  </w:rPr>
                  <w:t>14</w:t>
                </w:r>
              </w:p>
            </w:tc>
          </w:tr>
          <w:tr w:rsidR="001F2A67" w14:paraId="2D562305" w14:textId="77777777">
            <w:tc>
              <w:tcPr>
                <w:tcW w:w="85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24FA7CC" w14:textId="77777777" w:rsidR="001F2A67" w:rsidRDefault="00000000">
                <w:pPr>
                  <w:numPr>
                    <w:ilvl w:val="0"/>
                    <w:numId w:val="2"/>
                  </w:numPr>
                  <w:pBdr>
                    <w:top w:val="nil"/>
                    <w:left w:val="nil"/>
                    <w:bottom w:val="nil"/>
                    <w:right w:val="nil"/>
                    <w:between w:val="nil"/>
                  </w:pBdr>
                  <w:rPr>
                    <w:sz w:val="24"/>
                    <w:szCs w:val="24"/>
                  </w:rPr>
                </w:pPr>
                <w:r>
                  <w:rPr>
                    <w:sz w:val="24"/>
                    <w:szCs w:val="24"/>
                  </w:rPr>
                  <w:t>Recomendaciones</w:t>
                </w:r>
              </w:p>
            </w:tc>
            <w:tc>
              <w:tcPr>
                <w:tcW w:w="4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4E4EC9E" w14:textId="77777777" w:rsidR="001F2A67" w:rsidRDefault="00000000">
                <w:pPr>
                  <w:pBdr>
                    <w:top w:val="nil"/>
                    <w:left w:val="nil"/>
                    <w:bottom w:val="nil"/>
                    <w:right w:val="nil"/>
                    <w:between w:val="nil"/>
                  </w:pBdr>
                  <w:rPr>
                    <w:sz w:val="24"/>
                    <w:szCs w:val="24"/>
                  </w:rPr>
                </w:pPr>
                <w:r>
                  <w:rPr>
                    <w:sz w:val="24"/>
                    <w:szCs w:val="24"/>
                  </w:rPr>
                  <w:t>15</w:t>
                </w:r>
              </w:p>
            </w:tc>
          </w:tr>
          <w:tr w:rsidR="001F2A67" w14:paraId="5A7C7C9A" w14:textId="77777777">
            <w:tc>
              <w:tcPr>
                <w:tcW w:w="85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C8A4471" w14:textId="77777777" w:rsidR="001F2A67" w:rsidRDefault="00000000">
                <w:pPr>
                  <w:pBdr>
                    <w:top w:val="nil"/>
                    <w:left w:val="nil"/>
                    <w:bottom w:val="nil"/>
                    <w:right w:val="nil"/>
                    <w:between w:val="nil"/>
                  </w:pBdr>
                  <w:ind w:left="720" w:hanging="360"/>
                  <w:rPr>
                    <w:sz w:val="24"/>
                    <w:szCs w:val="24"/>
                  </w:rPr>
                </w:pPr>
                <w:r>
                  <w:rPr>
                    <w:sz w:val="24"/>
                    <w:szCs w:val="24"/>
                  </w:rPr>
                  <w:t>Referencias</w:t>
                </w:r>
              </w:p>
            </w:tc>
            <w:tc>
              <w:tcPr>
                <w:tcW w:w="4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F7083C9" w14:textId="77777777" w:rsidR="001F2A67" w:rsidRDefault="00000000">
                <w:pPr>
                  <w:pBdr>
                    <w:top w:val="nil"/>
                    <w:left w:val="nil"/>
                    <w:bottom w:val="nil"/>
                    <w:right w:val="nil"/>
                    <w:between w:val="nil"/>
                  </w:pBdr>
                  <w:rPr>
                    <w:sz w:val="24"/>
                    <w:szCs w:val="24"/>
                  </w:rPr>
                </w:pPr>
                <w:r>
                  <w:rPr>
                    <w:sz w:val="24"/>
                    <w:szCs w:val="24"/>
                  </w:rPr>
                  <w:t>16</w:t>
                </w:r>
              </w:p>
            </w:tc>
          </w:tr>
          <w:tr w:rsidR="001F2A67" w14:paraId="7DB766C8" w14:textId="77777777">
            <w:tc>
              <w:tcPr>
                <w:tcW w:w="85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4C4FDD4" w14:textId="77777777" w:rsidR="001F2A67" w:rsidRDefault="00000000">
                <w:pPr>
                  <w:pBdr>
                    <w:top w:val="nil"/>
                    <w:left w:val="nil"/>
                    <w:bottom w:val="nil"/>
                    <w:right w:val="nil"/>
                    <w:between w:val="nil"/>
                  </w:pBdr>
                  <w:ind w:left="720" w:hanging="360"/>
                  <w:rPr>
                    <w:sz w:val="24"/>
                    <w:szCs w:val="24"/>
                  </w:rPr>
                </w:pPr>
                <w:r>
                  <w:rPr>
                    <w:sz w:val="24"/>
                    <w:szCs w:val="24"/>
                  </w:rPr>
                  <w:t>Anexos</w:t>
                </w:r>
              </w:p>
            </w:tc>
            <w:tc>
              <w:tcPr>
                <w:tcW w:w="4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44A9EB5" w14:textId="77777777" w:rsidR="001F2A67" w:rsidRDefault="00000000">
                <w:pPr>
                  <w:pBdr>
                    <w:top w:val="nil"/>
                    <w:left w:val="nil"/>
                    <w:bottom w:val="nil"/>
                    <w:right w:val="nil"/>
                    <w:between w:val="nil"/>
                  </w:pBdr>
                  <w:rPr>
                    <w:sz w:val="24"/>
                    <w:szCs w:val="24"/>
                  </w:rPr>
                </w:pPr>
                <w:r>
                  <w:rPr>
                    <w:sz w:val="24"/>
                    <w:szCs w:val="24"/>
                  </w:rPr>
                  <w:t>20</w:t>
                </w:r>
              </w:p>
            </w:tc>
          </w:tr>
        </w:tbl>
      </w:sdtContent>
    </w:sdt>
    <w:p w14:paraId="7FEF0F79" w14:textId="77777777" w:rsidR="001F2A67" w:rsidRDefault="001F2A67">
      <w:pPr>
        <w:spacing w:line="360" w:lineRule="auto"/>
        <w:ind w:firstLine="709"/>
        <w:jc w:val="both"/>
        <w:rPr>
          <w:sz w:val="24"/>
          <w:szCs w:val="24"/>
        </w:rPr>
      </w:pPr>
    </w:p>
    <w:p w14:paraId="113188E0" w14:textId="77777777" w:rsidR="001F2A67" w:rsidRDefault="001F2A67">
      <w:pPr>
        <w:spacing w:line="360" w:lineRule="auto"/>
        <w:ind w:firstLine="709"/>
        <w:jc w:val="both"/>
        <w:rPr>
          <w:sz w:val="24"/>
          <w:szCs w:val="24"/>
        </w:rPr>
      </w:pPr>
    </w:p>
    <w:p w14:paraId="345CACDA" w14:textId="77777777" w:rsidR="001F2A67" w:rsidRDefault="001F2A67">
      <w:pPr>
        <w:spacing w:line="360" w:lineRule="auto"/>
        <w:ind w:firstLine="709"/>
        <w:jc w:val="both"/>
        <w:rPr>
          <w:sz w:val="24"/>
          <w:szCs w:val="24"/>
        </w:rPr>
        <w:sectPr w:rsidR="001F2A67">
          <w:footerReference w:type="default" r:id="rId21"/>
          <w:pgSz w:w="11906" w:h="16838"/>
          <w:pgMar w:top="1418" w:right="1418" w:bottom="1418" w:left="1418" w:header="709" w:footer="709" w:gutter="0"/>
          <w:pgNumType w:start="1"/>
          <w:cols w:space="720"/>
          <w:titlePg/>
        </w:sectPr>
      </w:pPr>
    </w:p>
    <w:p w14:paraId="625FF8DE" w14:textId="77777777" w:rsidR="001F2A67" w:rsidRDefault="00000000">
      <w:pPr>
        <w:spacing w:before="240"/>
        <w:jc w:val="center"/>
        <w:rPr>
          <w:b/>
          <w:sz w:val="24"/>
          <w:szCs w:val="24"/>
        </w:rPr>
      </w:pPr>
      <w:r>
        <w:rPr>
          <w:b/>
          <w:sz w:val="24"/>
          <w:szCs w:val="24"/>
        </w:rPr>
        <w:lastRenderedPageBreak/>
        <w:t>I. Introducción</w:t>
      </w:r>
    </w:p>
    <w:p w14:paraId="16DB360A" w14:textId="77777777" w:rsidR="001F2A67" w:rsidRDefault="001F2A67">
      <w:pPr>
        <w:spacing w:after="120" w:line="276" w:lineRule="auto"/>
        <w:ind w:left="-141" w:right="144" w:firstLine="1275"/>
        <w:jc w:val="both"/>
        <w:rPr>
          <w:color w:val="0000FF"/>
          <w:sz w:val="24"/>
          <w:szCs w:val="24"/>
        </w:rPr>
      </w:pPr>
    </w:p>
    <w:p w14:paraId="72B4EBDB" w14:textId="77777777" w:rsidR="001F2A67" w:rsidRDefault="00000000">
      <w:pPr>
        <w:spacing w:line="360" w:lineRule="auto"/>
        <w:ind w:firstLine="709"/>
        <w:jc w:val="both"/>
        <w:rPr>
          <w:sz w:val="24"/>
          <w:szCs w:val="24"/>
        </w:rPr>
      </w:pPr>
      <w:r>
        <w:rPr>
          <w:sz w:val="24"/>
          <w:szCs w:val="24"/>
        </w:rPr>
        <w:t xml:space="preserve">El término rendimiento académico se puede definir como un valor atribuido al resultado del aprendizaje obtenido por los alumnos; puede ser un predictor de la calidad de enseñanza o denotar los logros alcanzados según un programa educativo previamente realizado (Gutiérrez et al., 2021). </w:t>
      </w:r>
    </w:p>
    <w:p w14:paraId="21C922AD" w14:textId="77777777" w:rsidR="001F2A67" w:rsidRDefault="00000000">
      <w:pPr>
        <w:spacing w:line="360" w:lineRule="auto"/>
        <w:ind w:firstLine="709"/>
        <w:jc w:val="both"/>
        <w:rPr>
          <w:sz w:val="24"/>
          <w:szCs w:val="24"/>
        </w:rPr>
      </w:pPr>
      <w:r>
        <w:rPr>
          <w:sz w:val="24"/>
          <w:szCs w:val="24"/>
        </w:rPr>
        <w:t>Existen factores que afectan al rendimiento académico, y uno de esos factores es el estrés; este es percibido como una perturbación en el equilibrio emocional del individuo. En un nivel de educación superior universitaria, se puede dar por las exigencias a las que el estudiante se expone, generando en ellos un sobreesfuerzo que pone en peligro su bienestar personal (Espinosa et al., 2020).</w:t>
      </w:r>
    </w:p>
    <w:p w14:paraId="3C4412E7" w14:textId="77777777" w:rsidR="001F2A67" w:rsidRDefault="00000000">
      <w:pPr>
        <w:spacing w:line="360" w:lineRule="auto"/>
        <w:ind w:firstLine="709"/>
        <w:jc w:val="both"/>
        <w:rPr>
          <w:sz w:val="24"/>
          <w:szCs w:val="24"/>
        </w:rPr>
      </w:pPr>
      <w:r>
        <w:rPr>
          <w:sz w:val="24"/>
          <w:szCs w:val="24"/>
        </w:rPr>
        <w:t>Teniendo en cuenta lo expuesto, el presente problema se vinculó al ODS 4 y aportó a la meta 4.3, que busca asegurar el acceso igualitario a una formación técnica, profesional y superior de calidad, incluida a la enseñanza universitaria.</w:t>
      </w:r>
    </w:p>
    <w:p w14:paraId="1A95E968" w14:textId="77777777" w:rsidR="001F2A67" w:rsidRDefault="00000000">
      <w:pPr>
        <w:spacing w:line="360" w:lineRule="auto"/>
        <w:ind w:firstLine="709"/>
        <w:jc w:val="both"/>
        <w:rPr>
          <w:sz w:val="24"/>
          <w:szCs w:val="24"/>
        </w:rPr>
      </w:pPr>
      <w:r>
        <w:rPr>
          <w:sz w:val="24"/>
          <w:szCs w:val="24"/>
        </w:rPr>
        <w:t>Espinoza et al. (2020), en su estudio realizado en Colombia, concluyó que el estrés aumenta la aparición de ciertas enfermedades; además, es una causa principal que afecta al rendimiento académico de los universitarios. Asimismo, Solano et al. (2022) evidenció un vínculo entre el estrés y el desempeño académico; su estudio fue realizado en Perú, concluyó que favorece a la deserción estudiantil y el bienestar emocional del estudiante.</w:t>
      </w:r>
    </w:p>
    <w:p w14:paraId="04280B2F" w14:textId="07538264" w:rsidR="001F2A67" w:rsidRDefault="00000000">
      <w:pPr>
        <w:spacing w:line="360" w:lineRule="auto"/>
        <w:ind w:firstLine="709"/>
        <w:jc w:val="both"/>
        <w:rPr>
          <w:sz w:val="24"/>
          <w:szCs w:val="24"/>
        </w:rPr>
      </w:pPr>
      <w:r>
        <w:rPr>
          <w:sz w:val="24"/>
          <w:szCs w:val="24"/>
        </w:rPr>
        <w:t xml:space="preserve">El presente estudio fue ejecutado en el departamento de La Libertad, distrito de Trujillo, obteniendo como muestra a los estudiantes de la Universidad Privada; analizando sus niveles de estrés. Además, se midió el rendimiento académico </w:t>
      </w:r>
      <w:r w:rsidR="00812EE8">
        <w:rPr>
          <w:sz w:val="24"/>
          <w:szCs w:val="24"/>
        </w:rPr>
        <w:t>universitario con</w:t>
      </w:r>
      <w:r>
        <w:rPr>
          <w:sz w:val="24"/>
          <w:szCs w:val="24"/>
        </w:rPr>
        <w:t xml:space="preserve"> los siguientes indicadores: contribución en los trabajos universitarios, entrega total al estudio y falta de </w:t>
      </w:r>
      <w:r w:rsidR="00812EE8">
        <w:rPr>
          <w:sz w:val="24"/>
          <w:szCs w:val="24"/>
        </w:rPr>
        <w:t>una estructura</w:t>
      </w:r>
      <w:r>
        <w:rPr>
          <w:sz w:val="24"/>
          <w:szCs w:val="24"/>
        </w:rPr>
        <w:t xml:space="preserve"> en los recursos didácticos (De Lourdes et al., 2021).</w:t>
      </w:r>
    </w:p>
    <w:p w14:paraId="0F41B9BB" w14:textId="1EF3D02B" w:rsidR="001F2A67" w:rsidRDefault="00000000">
      <w:pPr>
        <w:spacing w:line="360" w:lineRule="auto"/>
        <w:ind w:firstLine="709"/>
        <w:jc w:val="both"/>
        <w:rPr>
          <w:sz w:val="24"/>
          <w:szCs w:val="24"/>
          <w:highlight w:val="white"/>
        </w:rPr>
      </w:pPr>
      <w:r>
        <w:rPr>
          <w:sz w:val="24"/>
          <w:szCs w:val="24"/>
          <w:highlight w:val="white"/>
        </w:rPr>
        <w:t xml:space="preserve">La presente investigación tiene una justificación basada en los criterios que propusieron Hernández y Mendoza (2018). En cuanto a su valor teórico, se aportó información relacionada con la influencia del alto grado de estrés en los estudiantes universitarios. Por su conveniencia, contribuye al análisis de un componente que afecta directamente al rendimiento académico, componente que es el estrés. Asimismo, responde al criterio de relevancia social, porque </w:t>
      </w:r>
      <w:r w:rsidR="00812EE8">
        <w:rPr>
          <w:sz w:val="24"/>
          <w:szCs w:val="24"/>
          <w:highlight w:val="white"/>
        </w:rPr>
        <w:t>permitió</w:t>
      </w:r>
      <w:r>
        <w:rPr>
          <w:sz w:val="24"/>
          <w:szCs w:val="24"/>
          <w:highlight w:val="white"/>
        </w:rPr>
        <w:t xml:space="preserve"> identificar el </w:t>
      </w:r>
      <w:r w:rsidR="00812EE8">
        <w:rPr>
          <w:sz w:val="24"/>
          <w:szCs w:val="24"/>
          <w:highlight w:val="white"/>
        </w:rPr>
        <w:t>desempeño académico</w:t>
      </w:r>
      <w:r>
        <w:rPr>
          <w:sz w:val="24"/>
          <w:szCs w:val="24"/>
          <w:highlight w:val="white"/>
        </w:rPr>
        <w:t xml:space="preserve"> en la comunidad universitaria y de esta manera analizar los </w:t>
      </w:r>
      <w:r>
        <w:rPr>
          <w:sz w:val="24"/>
          <w:szCs w:val="24"/>
          <w:highlight w:val="white"/>
        </w:rPr>
        <w:lastRenderedPageBreak/>
        <w:t>factores que deben mejorar y la reducción del estrés. Por otro lado, se cumple el criterio de implicaciones prácticas y de desarrollo, promoviendo la mejora en el rendimiento académico mediante la reducción del estrés. Finalmente, se justifica mediante su utilidad metodológica, pues este se diseñó con instrumentos de recolección de información y aplicando procesos metodológicos.</w:t>
      </w:r>
    </w:p>
    <w:p w14:paraId="677F027D" w14:textId="77777777" w:rsidR="001F2A67" w:rsidRDefault="00000000">
      <w:pPr>
        <w:spacing w:line="360" w:lineRule="auto"/>
        <w:ind w:firstLine="709"/>
        <w:jc w:val="both"/>
        <w:rPr>
          <w:sz w:val="24"/>
          <w:szCs w:val="24"/>
          <w:highlight w:val="white"/>
        </w:rPr>
      </w:pPr>
      <w:r>
        <w:rPr>
          <w:sz w:val="24"/>
          <w:szCs w:val="24"/>
          <w:highlight w:val="white"/>
        </w:rPr>
        <w:t>De acuerdo al estudio, se planteó como objetivo general analizar la influencia del estrés en el desempeño académico universitario. Los objetivos específicos son: Identificar los niveles de estrés en los estudiantes universitarios; identificar el rendimiento académico de los estudiantes universitarios; y categorizar las dimensiones del estrés y el rendimiento académico según los resultados obtenidos.</w:t>
      </w:r>
    </w:p>
    <w:p w14:paraId="0E8F6129" w14:textId="5721ACC8" w:rsidR="001F2A67" w:rsidRDefault="00000000">
      <w:pPr>
        <w:spacing w:line="360" w:lineRule="auto"/>
        <w:ind w:firstLine="709"/>
        <w:jc w:val="both"/>
        <w:rPr>
          <w:sz w:val="24"/>
          <w:szCs w:val="24"/>
        </w:rPr>
      </w:pPr>
      <w:r>
        <w:rPr>
          <w:sz w:val="24"/>
          <w:szCs w:val="24"/>
        </w:rPr>
        <w:t xml:space="preserve">A nivel internacional, en el estudio de Espinoza et al. (2020), de </w:t>
      </w:r>
      <w:r w:rsidR="00812EE8">
        <w:rPr>
          <w:sz w:val="24"/>
          <w:szCs w:val="24"/>
        </w:rPr>
        <w:t>Colombia, propone</w:t>
      </w:r>
      <w:r>
        <w:rPr>
          <w:sz w:val="24"/>
          <w:szCs w:val="24"/>
        </w:rPr>
        <w:t xml:space="preserve"> que el estrés influye en la aparición de diferentes enfermedades, además de ser un agente perjudicial en el ámbito personal y familiar. Uno de los factores que el estrés afecta es el rendimiento académico. Se midió la relación entre el rendimiento académico y el estrés de 115 universitarios, donde se obtuvo que los a mayor grado de estrés menor desempeño académico; además que los estudiantes que solo se dedicaban a la universidad y tenían otras responsabilidades presentaban niveles de estrés moderados.</w:t>
      </w:r>
    </w:p>
    <w:p w14:paraId="2D8F1D04" w14:textId="77777777" w:rsidR="001F2A67" w:rsidRDefault="00000000">
      <w:pPr>
        <w:spacing w:line="360" w:lineRule="auto"/>
        <w:ind w:firstLine="709"/>
        <w:jc w:val="both"/>
        <w:rPr>
          <w:sz w:val="24"/>
          <w:szCs w:val="24"/>
        </w:rPr>
      </w:pPr>
      <w:r>
        <w:rPr>
          <w:sz w:val="24"/>
          <w:szCs w:val="24"/>
        </w:rPr>
        <w:t>Según Licht, Soto y Ángulo (2021), proponen que los estudiantes universitarios que trabajan con el fin de tener una buena calidad de vida, presentan un incremento en su grado reacción, en cuanto al estrés que afectan el desempeño académico. En esta investigación, de tipo correlacional, se comparan dos grupos de estudiantes universitarios de diferentes universidades, donde 164 estudiantes participaron. Los datos adquiridos demostraron la inexistencia de una diferencia estadísticamente importante entre el rendimiento académico de los universitarios que estudian y de los que no lo hacen frente a la influencia del estrés, debido a la flexibilidad de horarios y otros beneficios que brinda la universidad a sus estudiantes, favoreciendo a los estudiantes que trabajan.</w:t>
      </w:r>
    </w:p>
    <w:p w14:paraId="6658E1FE" w14:textId="119B0E7B" w:rsidR="001F2A67" w:rsidRDefault="00000000">
      <w:pPr>
        <w:spacing w:line="360" w:lineRule="auto"/>
        <w:ind w:firstLine="709"/>
        <w:jc w:val="both"/>
        <w:rPr>
          <w:sz w:val="24"/>
          <w:szCs w:val="24"/>
        </w:rPr>
      </w:pPr>
      <w:r>
        <w:rPr>
          <w:sz w:val="24"/>
          <w:szCs w:val="24"/>
        </w:rPr>
        <w:t xml:space="preserve">Según Armenta et al. (2020), en su investigación realizada en una universidad de México; se obtuvo un porcentaje de un 73% de los participantes tiene </w:t>
      </w:r>
      <w:r w:rsidR="00812EE8">
        <w:rPr>
          <w:sz w:val="24"/>
          <w:szCs w:val="24"/>
        </w:rPr>
        <w:t>una categoría media</w:t>
      </w:r>
      <w:r>
        <w:rPr>
          <w:sz w:val="24"/>
          <w:szCs w:val="24"/>
        </w:rPr>
        <w:t xml:space="preserve"> de estrés y presentan la posibilidad de llegar a un nivel alto; propone como posibles estresores a la incapacidad para relajarse, la falta de sueño, sentimientos de tristeza o angustia, problemas en mantener la atención y poca motivación. Además, Cuenca et al. (2020) propone que el contexto universitario se caracteriza por un </w:t>
      </w:r>
      <w:r>
        <w:rPr>
          <w:sz w:val="24"/>
          <w:szCs w:val="24"/>
        </w:rPr>
        <w:lastRenderedPageBreak/>
        <w:t xml:space="preserve">acceso desigual a recursos educativos. Esto conlleva al incremento de la vulnerabilidad de los estudiantes hacia el estrés, especialmente en los lugares que cuentan con una baja producción e inversión en los centros que brindan salud mental </w:t>
      </w:r>
      <w:r w:rsidR="00812EE8">
        <w:rPr>
          <w:sz w:val="24"/>
          <w:szCs w:val="24"/>
        </w:rPr>
        <w:t>y bienestar</w:t>
      </w:r>
      <w:r>
        <w:rPr>
          <w:sz w:val="24"/>
          <w:szCs w:val="24"/>
        </w:rPr>
        <w:t xml:space="preserve"> a los estudiantes.</w:t>
      </w:r>
    </w:p>
    <w:p w14:paraId="7AE2A84F" w14:textId="71FCA6F1" w:rsidR="001F2A67" w:rsidRDefault="00000000">
      <w:pPr>
        <w:spacing w:line="360" w:lineRule="auto"/>
        <w:ind w:firstLine="709"/>
        <w:jc w:val="both"/>
        <w:rPr>
          <w:sz w:val="24"/>
          <w:szCs w:val="24"/>
        </w:rPr>
      </w:pPr>
      <w:r>
        <w:rPr>
          <w:sz w:val="24"/>
          <w:szCs w:val="24"/>
        </w:rPr>
        <w:t xml:space="preserve">A nivel nacional, según Solano et al. (2022), demostró en su investigación realizada a 316 participantes de Ciencias Básicas que </w:t>
      </w:r>
      <w:r w:rsidR="00812EE8">
        <w:rPr>
          <w:sz w:val="24"/>
          <w:szCs w:val="24"/>
        </w:rPr>
        <w:t>el</w:t>
      </w:r>
      <w:r>
        <w:rPr>
          <w:sz w:val="24"/>
          <w:szCs w:val="24"/>
        </w:rPr>
        <w:t xml:space="preserve"> estrés afecta no solo a la concentración y la motivación académica, sino también al bienestar emocional, lo cual puede conllevar al abandono, aplazamiento o postergación de los estudios. En una investigación realizada en la ciudad de Lima, por </w:t>
      </w:r>
      <w:r w:rsidR="00812EE8">
        <w:rPr>
          <w:sz w:val="24"/>
          <w:szCs w:val="24"/>
        </w:rPr>
        <w:t>Ramírez</w:t>
      </w:r>
      <w:r>
        <w:rPr>
          <w:sz w:val="24"/>
          <w:szCs w:val="24"/>
        </w:rPr>
        <w:t xml:space="preserve"> y Trujillo, (2025), se logró analizar la correlación de las variables tomando en cuenta a 130 participantes universitarios, evidenciándose que el 43.3% de los universitarios con alto estrés tienen bajos niveles de rendimiento, concluyendo que el estrés tiene una influencia significativa en el coeficiente intelectual de los estudiantes frente a su aprendizaje.</w:t>
      </w:r>
    </w:p>
    <w:p w14:paraId="645FD323" w14:textId="77777777" w:rsidR="001F2A67" w:rsidRDefault="00000000">
      <w:pPr>
        <w:spacing w:line="360" w:lineRule="auto"/>
        <w:ind w:firstLine="709"/>
        <w:jc w:val="both"/>
        <w:rPr>
          <w:sz w:val="24"/>
          <w:szCs w:val="24"/>
        </w:rPr>
      </w:pPr>
      <w:r>
        <w:rPr>
          <w:sz w:val="24"/>
          <w:szCs w:val="24"/>
        </w:rPr>
        <w:t xml:space="preserve">Zapo et al. (2023), en su investigación realizada a 210 universitarios de Perú, concluyó que existe un mayor estrés académico en los cursos relacionados a la salud, dando a entender que el estrés académico varía entre la complejidad de asignaturas o carreras. En cuanto al nivel local, se realizó una investigación en los estudiantes de una universidad privada de Trujillo, el cual está conformada por 95 participantes. Se tuvo como resultado que el 63.2% cuenta con un estrés moderado y este influye en un 56.8%. Además, se encontró que presentan un rendimiento académico moderado, el cual se concluye que el estrés tiene una gran influencia en el desempeño estudiantil (Florián y Miranda, 2024). </w:t>
      </w:r>
    </w:p>
    <w:p w14:paraId="4B33CA0B" w14:textId="77777777" w:rsidR="001F2A67" w:rsidRDefault="00000000">
      <w:pPr>
        <w:spacing w:line="360" w:lineRule="auto"/>
        <w:ind w:firstLine="709"/>
        <w:jc w:val="both"/>
        <w:rPr>
          <w:sz w:val="24"/>
          <w:szCs w:val="24"/>
          <w:highlight w:val="white"/>
        </w:rPr>
      </w:pPr>
      <w:r>
        <w:rPr>
          <w:sz w:val="24"/>
          <w:szCs w:val="24"/>
          <w:highlight w:val="white"/>
        </w:rPr>
        <w:t>Con respecto a la hipótesis general: Se desea evaluar si existe una relación altamente significativa entre el estrés y rendimiento académico de los estudiantes universitarios de una Universidad Privada.</w:t>
      </w:r>
    </w:p>
    <w:p w14:paraId="1CDAEA28" w14:textId="77777777" w:rsidR="001F2A67" w:rsidRDefault="001F2A67">
      <w:pPr>
        <w:spacing w:line="360" w:lineRule="auto"/>
        <w:ind w:firstLine="709"/>
        <w:jc w:val="both"/>
        <w:rPr>
          <w:sz w:val="24"/>
          <w:szCs w:val="24"/>
          <w:highlight w:val="white"/>
        </w:rPr>
      </w:pPr>
    </w:p>
    <w:p w14:paraId="1555B210" w14:textId="77777777" w:rsidR="001F2A67" w:rsidRDefault="001F2A67">
      <w:pPr>
        <w:spacing w:line="360" w:lineRule="auto"/>
        <w:ind w:firstLine="709"/>
        <w:jc w:val="both"/>
        <w:rPr>
          <w:sz w:val="24"/>
          <w:szCs w:val="24"/>
          <w:highlight w:val="white"/>
        </w:rPr>
      </w:pPr>
    </w:p>
    <w:p w14:paraId="139CC5C4" w14:textId="77777777" w:rsidR="001F2A67" w:rsidRDefault="001F2A67">
      <w:pPr>
        <w:spacing w:line="360" w:lineRule="auto"/>
        <w:ind w:firstLine="709"/>
        <w:jc w:val="both"/>
        <w:rPr>
          <w:sz w:val="24"/>
          <w:szCs w:val="24"/>
          <w:highlight w:val="white"/>
        </w:rPr>
      </w:pPr>
    </w:p>
    <w:p w14:paraId="005B9B4B" w14:textId="77777777" w:rsidR="001F2A67" w:rsidRDefault="001F2A67">
      <w:pPr>
        <w:spacing w:line="360" w:lineRule="auto"/>
        <w:ind w:firstLine="709"/>
        <w:jc w:val="both"/>
        <w:rPr>
          <w:sz w:val="24"/>
          <w:szCs w:val="24"/>
          <w:highlight w:val="white"/>
        </w:rPr>
      </w:pPr>
    </w:p>
    <w:p w14:paraId="55612A5E" w14:textId="77777777" w:rsidR="001F2A67" w:rsidRDefault="001F2A67">
      <w:pPr>
        <w:spacing w:line="360" w:lineRule="auto"/>
        <w:ind w:firstLine="709"/>
        <w:jc w:val="both"/>
        <w:rPr>
          <w:sz w:val="24"/>
          <w:szCs w:val="24"/>
          <w:highlight w:val="white"/>
        </w:rPr>
      </w:pPr>
    </w:p>
    <w:p w14:paraId="0BA332BE" w14:textId="77777777" w:rsidR="001F2A67" w:rsidRDefault="001F2A67">
      <w:pPr>
        <w:spacing w:line="360" w:lineRule="auto"/>
        <w:ind w:firstLine="709"/>
        <w:jc w:val="both"/>
        <w:rPr>
          <w:sz w:val="24"/>
          <w:szCs w:val="24"/>
          <w:highlight w:val="white"/>
        </w:rPr>
      </w:pPr>
    </w:p>
    <w:p w14:paraId="0EDE55AE" w14:textId="77777777" w:rsidR="001F2A67" w:rsidRDefault="001F2A67">
      <w:pPr>
        <w:spacing w:line="360" w:lineRule="auto"/>
        <w:ind w:firstLine="709"/>
        <w:jc w:val="both"/>
        <w:rPr>
          <w:sz w:val="24"/>
          <w:szCs w:val="24"/>
          <w:highlight w:val="white"/>
        </w:rPr>
      </w:pPr>
    </w:p>
    <w:p w14:paraId="02899F99" w14:textId="77777777" w:rsidR="001F2A67" w:rsidRDefault="00000000">
      <w:pPr>
        <w:keepNext/>
        <w:keepLines/>
        <w:spacing w:before="240"/>
        <w:jc w:val="center"/>
        <w:rPr>
          <w:b/>
          <w:sz w:val="24"/>
          <w:szCs w:val="24"/>
        </w:rPr>
      </w:pPr>
      <w:r>
        <w:rPr>
          <w:b/>
          <w:sz w:val="24"/>
          <w:szCs w:val="24"/>
        </w:rPr>
        <w:lastRenderedPageBreak/>
        <w:t>II. M​etodología</w:t>
      </w:r>
    </w:p>
    <w:p w14:paraId="74BC6A93" w14:textId="77777777" w:rsidR="001F2A67" w:rsidRDefault="001F2A67">
      <w:pPr>
        <w:spacing w:line="360" w:lineRule="auto"/>
        <w:jc w:val="both"/>
        <w:rPr>
          <w:sz w:val="24"/>
          <w:szCs w:val="24"/>
          <w:highlight w:val="white"/>
        </w:rPr>
      </w:pPr>
    </w:p>
    <w:p w14:paraId="7B5179DE" w14:textId="77777777" w:rsidR="001F2A67" w:rsidRDefault="00000000">
      <w:pPr>
        <w:spacing w:line="360" w:lineRule="auto"/>
        <w:ind w:firstLine="709"/>
        <w:jc w:val="both"/>
        <w:rPr>
          <w:sz w:val="24"/>
          <w:szCs w:val="24"/>
        </w:rPr>
      </w:pPr>
      <w:r>
        <w:rPr>
          <w:sz w:val="24"/>
          <w:szCs w:val="24"/>
        </w:rPr>
        <w:t>La conceptualización referente a la variable del estrés es la reacción completamente natural que todos experimentamos en distintos momentos de la vida. Surge cuando nuestro cuerpo y mente perciben una situación como desafiante, amenazante o simplemente demasiado demandante (Angulo, 2020). La operacionalización de la variable del estrés fue medida a través de la Escala de Estrés Percibido (PSS), propuesta por Cohen et al. (1983, citado en Lee E., 2012), escala conformada por 14 ítems de tipo Likert, donde se considera la dimensión de desesperanza y autoeficacia. Los resultados obtenidos se clasificaron en los niveles de alto, medio y bajo. Se consideraron dos dimensiones; una de ellas es la desesperanza, que se centra en la incapacidad del individuo para controlar su nivel de estrés, y la segunda es la autoeficiencia, que es la capacidad que tiene una persona al momento de afrontar situaciones estresantes (Reyna et al, 2019).</w:t>
      </w:r>
    </w:p>
    <w:p w14:paraId="7FBD4323" w14:textId="4651F9A9" w:rsidR="001F2A67" w:rsidRDefault="00000000">
      <w:pPr>
        <w:spacing w:line="360" w:lineRule="auto"/>
        <w:ind w:firstLine="709"/>
        <w:jc w:val="both"/>
        <w:rPr>
          <w:sz w:val="24"/>
          <w:szCs w:val="24"/>
        </w:rPr>
      </w:pPr>
      <w:r>
        <w:rPr>
          <w:sz w:val="24"/>
          <w:szCs w:val="24"/>
        </w:rPr>
        <w:t xml:space="preserve">La conceptualización de la segunda variable, el rendimiento académico, está definida </w:t>
      </w:r>
      <w:r w:rsidR="00812EE8">
        <w:rPr>
          <w:sz w:val="24"/>
          <w:szCs w:val="24"/>
        </w:rPr>
        <w:t>como el</w:t>
      </w:r>
      <w:r>
        <w:rPr>
          <w:sz w:val="24"/>
          <w:szCs w:val="24"/>
        </w:rPr>
        <w:t xml:space="preserve"> proceso de evaluación que involucra el crecimiento de conocimientos de los estudiantes, los cuales están reflejados en una libreta de calificaciones, que describe el logro de las competencias alcanzadas por el educando. A su vez, es un indicador del itinerario profesional y de </w:t>
      </w:r>
      <w:r w:rsidR="00812EE8">
        <w:rPr>
          <w:sz w:val="24"/>
          <w:szCs w:val="24"/>
        </w:rPr>
        <w:t>la calidad</w:t>
      </w:r>
      <w:r>
        <w:rPr>
          <w:sz w:val="24"/>
          <w:szCs w:val="24"/>
        </w:rPr>
        <w:t xml:space="preserve"> de vida (González, 2022).</w:t>
      </w:r>
    </w:p>
    <w:p w14:paraId="1AC5A1E9" w14:textId="77777777" w:rsidR="001F2A67" w:rsidRDefault="00000000">
      <w:pPr>
        <w:spacing w:line="360" w:lineRule="auto"/>
        <w:ind w:firstLine="709"/>
        <w:jc w:val="both"/>
        <w:rPr>
          <w:sz w:val="24"/>
          <w:szCs w:val="24"/>
        </w:rPr>
      </w:pPr>
      <w:r>
        <w:rPr>
          <w:sz w:val="24"/>
          <w:szCs w:val="24"/>
        </w:rPr>
        <w:t>La operacionalización de la variable fue medida a través de la Escala de Rendimiento Académico Universitario (RAU), propuesta por De Lourdes et al (2021); es una escala de tipo Likert que tiene 20 ítems y los resultados obtenidos se clasificaron entre las categorías: bajo, promedio y alto. Para esta variable, se han considerado tres dimensiones. La primera sería la aportación a las actividades académicas, como es concentración en clases, exposición de temas tratados, habilidades de redacción, la participación en cursos extracurriculares, participación en un equipo de trabajo escolar. La segunda es la dedicación al estudio que analiza el involucramiento del estudiante en sus actividades educativas. La tercera es la falta de organización de recursos didácticos que considera a las horas de sueño, carencias de recursos, olvido de contenido y las faltas injustificadas.</w:t>
      </w:r>
    </w:p>
    <w:p w14:paraId="2AE1156D" w14:textId="77777777" w:rsidR="001F2A67" w:rsidRDefault="00000000">
      <w:pPr>
        <w:spacing w:line="360" w:lineRule="auto"/>
        <w:ind w:firstLine="709"/>
        <w:jc w:val="both"/>
        <w:rPr>
          <w:sz w:val="24"/>
          <w:szCs w:val="24"/>
        </w:rPr>
      </w:pPr>
      <w:r>
        <w:rPr>
          <w:sz w:val="24"/>
          <w:szCs w:val="24"/>
        </w:rPr>
        <w:t xml:space="preserve">La investigación consideró como población al número total de 7,428 estudiantes pertenecientes a una Universidad Privada. Como criterios de inclusión, se consideró a todos los alumnos matriculados en una universidad privada de La Libertad, desde el 2° ciclo hasta el 8°ciclo. Por otro lado, con respecto a los criterios de exclusión se </w:t>
      </w:r>
      <w:r>
        <w:rPr>
          <w:sz w:val="24"/>
          <w:szCs w:val="24"/>
        </w:rPr>
        <w:lastRenderedPageBreak/>
        <w:t>consideran las condiciones médicas del estudiante que dificultan la comprensión, discapacidad cognitiva que no es compatible con la prueba, alteración en su estado físico y emocional, estudiantes que no acepten de manera voluntaria participar en el estudio; no estar registrado en el ciclo académico vigente.</w:t>
      </w:r>
    </w:p>
    <w:p w14:paraId="17FFCFC4" w14:textId="77777777" w:rsidR="001F2A67" w:rsidRDefault="00000000">
      <w:pPr>
        <w:spacing w:line="360" w:lineRule="auto"/>
        <w:ind w:firstLine="709"/>
        <w:jc w:val="both"/>
        <w:rPr>
          <w:sz w:val="24"/>
          <w:szCs w:val="24"/>
        </w:rPr>
      </w:pPr>
      <w:r>
        <w:rPr>
          <w:sz w:val="24"/>
          <w:szCs w:val="24"/>
        </w:rPr>
        <w:t xml:space="preserve"> La muestra estuvo constituida por 60 estudiantes de una universidad privada. Para la elección de esta, se utilizó el muestreo no probabilístico de tipo por conveniencia, debido a la facilidad de acceso al momento de elegir a los participantes (Trochim, 2020).</w:t>
      </w:r>
    </w:p>
    <w:p w14:paraId="4BD24B86" w14:textId="2BC8BDDE" w:rsidR="001F2A67" w:rsidRDefault="00000000">
      <w:pPr>
        <w:spacing w:line="360" w:lineRule="auto"/>
        <w:ind w:firstLine="709"/>
        <w:jc w:val="both"/>
        <w:rPr>
          <w:sz w:val="24"/>
          <w:szCs w:val="24"/>
        </w:rPr>
      </w:pPr>
      <w:r>
        <w:rPr>
          <w:sz w:val="24"/>
          <w:szCs w:val="24"/>
        </w:rPr>
        <w:t xml:space="preserve">La técnica empleada para la recolección de datos frente a la investigación fue la encuesta, el cual es un método de investigación que está conformada por un conjunto de preguntas guiadas hacia una población, para obtener información de un tema en concreto (Quiñonez et al., 2022). El instrumento utilizado para la obtención de la información necesaria de la primera variable que es el </w:t>
      </w:r>
      <w:r w:rsidR="00812EE8">
        <w:rPr>
          <w:sz w:val="24"/>
          <w:szCs w:val="24"/>
        </w:rPr>
        <w:t>estrés, fue la</w:t>
      </w:r>
      <w:r>
        <w:rPr>
          <w:sz w:val="24"/>
          <w:szCs w:val="24"/>
        </w:rPr>
        <w:t xml:space="preserve"> Escala de Estrés Percibido (PSS), validada y adaptada por Remor. E (2006, citado en Lee.E, 2012). Se realizó la confiabilidad de este instrumento, utilizando una muestra piloto de 20 sujetos, el cual se obtuvo como resultado alfa de </w:t>
      </w:r>
      <w:r w:rsidR="00812EE8">
        <w:rPr>
          <w:sz w:val="24"/>
          <w:szCs w:val="24"/>
        </w:rPr>
        <w:t>Cronbach</w:t>
      </w:r>
      <w:r>
        <w:rPr>
          <w:sz w:val="24"/>
          <w:szCs w:val="24"/>
        </w:rPr>
        <w:t xml:space="preserve"> con un 0.85, que significa que el instrumento tiene una confiabilidad adecuada.</w:t>
      </w:r>
    </w:p>
    <w:p w14:paraId="5DA82BCB" w14:textId="77777777" w:rsidR="001F2A67" w:rsidRDefault="001F2A67">
      <w:pPr>
        <w:spacing w:line="360" w:lineRule="auto"/>
        <w:ind w:firstLine="709"/>
        <w:jc w:val="both"/>
        <w:rPr>
          <w:sz w:val="24"/>
          <w:szCs w:val="24"/>
        </w:rPr>
      </w:pPr>
    </w:p>
    <w:p w14:paraId="17A4FBF7" w14:textId="489B7DAB" w:rsidR="001F2A67" w:rsidRDefault="00000000">
      <w:pPr>
        <w:spacing w:line="360" w:lineRule="auto"/>
        <w:ind w:firstLine="709"/>
        <w:jc w:val="both"/>
        <w:rPr>
          <w:sz w:val="24"/>
          <w:szCs w:val="24"/>
        </w:rPr>
      </w:pPr>
      <w:r>
        <w:rPr>
          <w:sz w:val="24"/>
          <w:szCs w:val="24"/>
        </w:rPr>
        <w:t xml:space="preserve">Como último instrumento de recopilación de datos tenemos a la escala de RAU, cuya construcción y validación fue realizada por De </w:t>
      </w:r>
      <w:r w:rsidR="00812EE8">
        <w:rPr>
          <w:sz w:val="24"/>
          <w:szCs w:val="24"/>
        </w:rPr>
        <w:t>Lourdes</w:t>
      </w:r>
      <w:r>
        <w:rPr>
          <w:sz w:val="24"/>
          <w:szCs w:val="24"/>
        </w:rPr>
        <w:t xml:space="preserve"> et al. (2021). Según los datos obtenidos, de acuerdo a los parámetros de fiabilidad realizada por el </w:t>
      </w:r>
      <w:r w:rsidR="00812EE8">
        <w:rPr>
          <w:sz w:val="24"/>
          <w:szCs w:val="24"/>
        </w:rPr>
        <w:t>Alpha</w:t>
      </w:r>
      <w:r>
        <w:rPr>
          <w:sz w:val="24"/>
          <w:szCs w:val="24"/>
        </w:rPr>
        <w:t xml:space="preserve"> de Cronbach, se obtuvo 0.75.</w:t>
      </w:r>
    </w:p>
    <w:p w14:paraId="2F62F7D1" w14:textId="27B02088" w:rsidR="001F2A67" w:rsidRDefault="00812EE8">
      <w:pPr>
        <w:spacing w:line="360" w:lineRule="auto"/>
        <w:ind w:firstLine="709"/>
        <w:jc w:val="both"/>
        <w:rPr>
          <w:sz w:val="24"/>
          <w:szCs w:val="24"/>
        </w:rPr>
      </w:pPr>
      <w:r>
        <w:rPr>
          <w:sz w:val="24"/>
          <w:szCs w:val="24"/>
        </w:rPr>
        <w:t>El análisis de los datos obtenidos a través de las encuestas fue</w:t>
      </w:r>
      <w:r w:rsidR="00000000">
        <w:rPr>
          <w:sz w:val="24"/>
          <w:szCs w:val="24"/>
        </w:rPr>
        <w:t xml:space="preserve"> </w:t>
      </w:r>
      <w:r>
        <w:rPr>
          <w:sz w:val="24"/>
          <w:szCs w:val="24"/>
        </w:rPr>
        <w:t>procesado</w:t>
      </w:r>
      <w:r w:rsidR="00000000">
        <w:rPr>
          <w:sz w:val="24"/>
          <w:szCs w:val="24"/>
        </w:rPr>
        <w:t xml:space="preserve"> mediante el programa Excel y, posteriormente traspasados a la aplicación IBM SPSS Statistics. Primero, se utilizó la prueba de normalidad de </w:t>
      </w:r>
      <w:r>
        <w:rPr>
          <w:sz w:val="24"/>
          <w:szCs w:val="24"/>
        </w:rPr>
        <w:t>Kolmogórov-Smirnov</w:t>
      </w:r>
      <w:r w:rsidR="00000000">
        <w:rPr>
          <w:sz w:val="24"/>
          <w:szCs w:val="24"/>
        </w:rPr>
        <w:t xml:space="preserve">, debido a la muestra fue de 60 participantes, obteniendo como resultado que ambas variables presentan una distribución normal (Rendimiento académico con 0.06 y Estrés con 0.09); por lo tanto, se trabajó con las pruebas inferenciales paramétricas. Posteriormente, se realizó un análisis descriptivo, donde se estructuró los niveles, frecuencias y porcentajes de los resultados de cada variable y sus dimensiones. Finalmente, se realizó un análisis inferencial paramétrico de tipo correlacional a través de la prueba de Pearson, con la finalidad de identificar cómo es que influye el estrés en el rendimiento académico en los universitarios. Las técnicas estadísticas empleadas en la obtención de resultados son de tipo descriptivo e inferencial. Según </w:t>
      </w:r>
      <w:r w:rsidR="00000000">
        <w:rPr>
          <w:sz w:val="24"/>
          <w:szCs w:val="24"/>
        </w:rPr>
        <w:lastRenderedPageBreak/>
        <w:t>Aroca et al. (2019), el método descriptivo es característico por la utilización de variables para definir una muestra con la finalidad de realizar un análisis; en cambio el método inferencial, busca deducir ciertas propiedades de la población a partir de una muestra.</w:t>
      </w:r>
    </w:p>
    <w:p w14:paraId="02C9D28A" w14:textId="4A86BC82" w:rsidR="001F2A67" w:rsidRDefault="00000000">
      <w:pPr>
        <w:spacing w:line="360" w:lineRule="auto"/>
        <w:ind w:firstLine="709"/>
        <w:jc w:val="both"/>
        <w:rPr>
          <w:sz w:val="24"/>
          <w:szCs w:val="24"/>
        </w:rPr>
      </w:pPr>
      <w:r>
        <w:rPr>
          <w:sz w:val="24"/>
          <w:szCs w:val="24"/>
        </w:rPr>
        <w:t xml:space="preserve">En esta investigación también se tomaron en cuenta principios fundamentales establecidos en el Código de Ética de la Universidad César Vallejo, promoviendo la integridad académica y científica. Lo primero que se utilizó fue la honestidad intelectual, el cual se reflejó en el uso adecuado de las fuentes bibliográficas, evitando el plagio o la manipulación de datos. Por otro </w:t>
      </w:r>
      <w:r w:rsidR="00812EE8">
        <w:rPr>
          <w:sz w:val="24"/>
          <w:szCs w:val="24"/>
        </w:rPr>
        <w:t>lado,</w:t>
      </w:r>
      <w:r>
        <w:rPr>
          <w:sz w:val="24"/>
          <w:szCs w:val="24"/>
        </w:rPr>
        <w:t xml:space="preserve"> se mantuvo el respeto hacia los participantes, asegurando su consentimiento informado y el anonimato en la recopilación de información. También se tomó en cuenta la responsabilidad, que se evidenció en el manejo riguroso de los datos obtenidos, utilizando las técnicas estadísticas apropiadas para garantizar la validez y confiabilidad de los resultados. Para finalizar, se usó la transparencia estuvo presente en la exposición clara y objetiva de la información obtenida, permitiendo su verificación.</w:t>
      </w:r>
    </w:p>
    <w:p w14:paraId="139EA1CC" w14:textId="77777777" w:rsidR="001F2A67" w:rsidRDefault="001F2A67">
      <w:pPr>
        <w:spacing w:line="360" w:lineRule="auto"/>
        <w:ind w:firstLine="709"/>
        <w:jc w:val="both"/>
        <w:rPr>
          <w:sz w:val="24"/>
          <w:szCs w:val="24"/>
        </w:rPr>
      </w:pPr>
    </w:p>
    <w:p w14:paraId="47B1C24A" w14:textId="77777777" w:rsidR="001F2A67" w:rsidRDefault="00000000">
      <w:pPr>
        <w:keepNext/>
        <w:keepLines/>
        <w:spacing w:before="240"/>
        <w:ind w:firstLine="1133"/>
        <w:jc w:val="center"/>
        <w:rPr>
          <w:b/>
          <w:sz w:val="24"/>
          <w:szCs w:val="24"/>
        </w:rPr>
      </w:pPr>
      <w:r>
        <w:rPr>
          <w:b/>
          <w:sz w:val="24"/>
          <w:szCs w:val="24"/>
        </w:rPr>
        <w:t>III. Resultados</w:t>
      </w:r>
    </w:p>
    <w:p w14:paraId="09775DB0" w14:textId="77777777" w:rsidR="001F2A67" w:rsidRDefault="001F2A67"/>
    <w:p w14:paraId="4351E362" w14:textId="77777777" w:rsidR="001F2A67" w:rsidRDefault="00000000">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Tabla 01</w:t>
      </w:r>
    </w:p>
    <w:p w14:paraId="378CF427" w14:textId="77777777" w:rsidR="001F2A67"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Relación entre el estrés y el rendimiento académico</w:t>
      </w:r>
      <w:r>
        <w:rPr>
          <w:rFonts w:ascii="Times New Roman" w:eastAsia="Times New Roman" w:hAnsi="Times New Roman" w:cs="Times New Roman"/>
          <w:sz w:val="24"/>
          <w:szCs w:val="24"/>
        </w:rPr>
        <w:t xml:space="preserve"> </w:t>
      </w:r>
    </w:p>
    <w:p w14:paraId="357F55EF" w14:textId="77777777" w:rsidR="001F2A67" w:rsidRDefault="001F2A67">
      <w:pPr>
        <w:spacing w:line="360" w:lineRule="auto"/>
        <w:jc w:val="both"/>
        <w:rPr>
          <w:rFonts w:ascii="Times New Roman" w:eastAsia="Times New Roman" w:hAnsi="Times New Roman" w:cs="Times New Roman"/>
          <w:sz w:val="24"/>
          <w:szCs w:val="24"/>
        </w:rPr>
      </w:pPr>
    </w:p>
    <w:sdt>
      <w:sdtPr>
        <w:tag w:val="goog_rdk_1"/>
        <w:id w:val="1172764145"/>
        <w:lock w:val="contentLocked"/>
      </w:sdtPr>
      <w:sdtContent>
        <w:tbl>
          <w:tblPr>
            <w:tblStyle w:val="a5"/>
            <w:tblW w:w="90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7"/>
            <w:gridCol w:w="2268"/>
            <w:gridCol w:w="2268"/>
            <w:gridCol w:w="2268"/>
          </w:tblGrid>
          <w:tr w:rsidR="001F2A67" w14:paraId="73837CF5" w14:textId="77777777">
            <w:trPr>
              <w:trHeight w:val="440"/>
            </w:trPr>
            <w:tc>
              <w:tcPr>
                <w:tcW w:w="2267" w:type="dxa"/>
                <w:tcBorders>
                  <w:left w:val="single" w:sz="8" w:space="0" w:color="FFFFFF"/>
                  <w:right w:val="single" w:sz="8" w:space="0" w:color="FFFFFF"/>
                </w:tcBorders>
                <w:shd w:val="clear" w:color="auto" w:fill="auto"/>
                <w:tcMar>
                  <w:top w:w="100" w:type="dxa"/>
                  <w:left w:w="100" w:type="dxa"/>
                  <w:bottom w:w="100" w:type="dxa"/>
                  <w:right w:w="100" w:type="dxa"/>
                </w:tcMar>
              </w:tcPr>
              <w:p w14:paraId="71107C86" w14:textId="77777777" w:rsidR="001F2A67" w:rsidRDefault="001F2A67">
                <w:pPr>
                  <w:pBdr>
                    <w:top w:val="nil"/>
                    <w:left w:val="nil"/>
                    <w:bottom w:val="nil"/>
                    <w:right w:val="nil"/>
                    <w:between w:val="nil"/>
                  </w:pBdr>
                  <w:jc w:val="center"/>
                  <w:rPr>
                    <w:rFonts w:ascii="Times New Roman" w:eastAsia="Times New Roman" w:hAnsi="Times New Roman" w:cs="Times New Roman"/>
                    <w:sz w:val="24"/>
                    <w:szCs w:val="24"/>
                  </w:rPr>
                </w:pPr>
              </w:p>
            </w:tc>
            <w:tc>
              <w:tcPr>
                <w:tcW w:w="2267" w:type="dxa"/>
                <w:tcBorders>
                  <w:left w:val="single" w:sz="8" w:space="0" w:color="FFFFFF"/>
                  <w:right w:val="single" w:sz="8" w:space="0" w:color="FFFFFF"/>
                </w:tcBorders>
                <w:shd w:val="clear" w:color="auto" w:fill="auto"/>
                <w:tcMar>
                  <w:top w:w="100" w:type="dxa"/>
                  <w:left w:w="100" w:type="dxa"/>
                  <w:bottom w:w="100" w:type="dxa"/>
                  <w:right w:w="100" w:type="dxa"/>
                </w:tcMar>
              </w:tcPr>
              <w:p w14:paraId="2086248E" w14:textId="77777777" w:rsidR="001F2A67" w:rsidRDefault="001F2A67">
                <w:pPr>
                  <w:pBdr>
                    <w:top w:val="nil"/>
                    <w:left w:val="nil"/>
                    <w:bottom w:val="nil"/>
                    <w:right w:val="nil"/>
                    <w:between w:val="nil"/>
                  </w:pBdr>
                  <w:jc w:val="center"/>
                  <w:rPr>
                    <w:rFonts w:ascii="Times New Roman" w:eastAsia="Times New Roman" w:hAnsi="Times New Roman" w:cs="Times New Roman"/>
                    <w:sz w:val="24"/>
                    <w:szCs w:val="24"/>
                  </w:rPr>
                </w:pPr>
              </w:p>
            </w:tc>
            <w:tc>
              <w:tcPr>
                <w:tcW w:w="4534" w:type="dxa"/>
                <w:gridSpan w:val="2"/>
                <w:tcBorders>
                  <w:left w:val="single" w:sz="8" w:space="0" w:color="FFFFFF"/>
                </w:tcBorders>
                <w:shd w:val="clear" w:color="auto" w:fill="auto"/>
                <w:tcMar>
                  <w:top w:w="100" w:type="dxa"/>
                  <w:left w:w="100" w:type="dxa"/>
                  <w:bottom w:w="100" w:type="dxa"/>
                  <w:right w:w="100" w:type="dxa"/>
                </w:tcMar>
              </w:tcPr>
              <w:p w14:paraId="5535296F" w14:textId="77777777" w:rsidR="001F2A67" w:rsidRDefault="00000000">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Rendimiento Académico </w:t>
                </w:r>
              </w:p>
            </w:tc>
          </w:tr>
          <w:tr w:rsidR="001F2A67" w14:paraId="3DD6B90C" w14:textId="77777777">
            <w:trPr>
              <w:trHeight w:val="776"/>
            </w:trPr>
            <w:tc>
              <w:tcPr>
                <w:tcW w:w="2267" w:type="dxa"/>
                <w:vMerge w:val="restart"/>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65DC9F4" w14:textId="77777777" w:rsidR="001F2A67" w:rsidRDefault="001F2A67">
                <w:pPr>
                  <w:pBdr>
                    <w:top w:val="nil"/>
                    <w:left w:val="nil"/>
                    <w:bottom w:val="nil"/>
                    <w:right w:val="nil"/>
                    <w:between w:val="nil"/>
                  </w:pBdr>
                  <w:jc w:val="center"/>
                  <w:rPr>
                    <w:rFonts w:ascii="Times New Roman" w:eastAsia="Times New Roman" w:hAnsi="Times New Roman" w:cs="Times New Roman"/>
                    <w:sz w:val="24"/>
                    <w:szCs w:val="24"/>
                  </w:rPr>
                </w:pPr>
              </w:p>
              <w:p w14:paraId="27194E5D" w14:textId="77777777" w:rsidR="001F2A67" w:rsidRDefault="00000000">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Correlación de Pearson</w:t>
                </w:r>
              </w:p>
            </w:tc>
            <w:tc>
              <w:tcPr>
                <w:tcW w:w="2267"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0E00C85" w14:textId="77777777" w:rsidR="001F2A67" w:rsidRDefault="001F2A67">
                <w:pPr>
                  <w:pBdr>
                    <w:top w:val="nil"/>
                    <w:left w:val="nil"/>
                    <w:bottom w:val="nil"/>
                    <w:right w:val="nil"/>
                    <w:between w:val="nil"/>
                  </w:pBdr>
                  <w:jc w:val="center"/>
                  <w:rPr>
                    <w:rFonts w:ascii="Times New Roman" w:eastAsia="Times New Roman" w:hAnsi="Times New Roman" w:cs="Times New Roman"/>
                    <w:sz w:val="24"/>
                    <w:szCs w:val="24"/>
                  </w:rPr>
                </w:pPr>
              </w:p>
              <w:p w14:paraId="7E4D0FC5" w14:textId="77777777" w:rsidR="001F2A67" w:rsidRDefault="00000000">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Estrés Percibido</w:t>
                </w:r>
              </w:p>
            </w:tc>
            <w:tc>
              <w:tcPr>
                <w:tcW w:w="2267"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D630761" w14:textId="77777777" w:rsidR="001F2A67" w:rsidRDefault="00000000">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Coeficiente de correlación</w:t>
                </w:r>
              </w:p>
            </w:tc>
            <w:tc>
              <w:tcPr>
                <w:tcW w:w="2267"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B1EF62C" w14:textId="77777777" w:rsidR="001F2A67" w:rsidRDefault="00000000">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-0.275</w:t>
                </w:r>
              </w:p>
            </w:tc>
          </w:tr>
          <w:tr w:rsidR="001F2A67" w14:paraId="271A45AE" w14:textId="77777777">
            <w:trPr>
              <w:trHeight w:val="440"/>
            </w:trPr>
            <w:tc>
              <w:tcPr>
                <w:tcW w:w="2267" w:type="dxa"/>
                <w:vMerge/>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7185CAA3" w14:textId="77777777" w:rsidR="001F2A67" w:rsidRDefault="001F2A67">
                <w:pPr>
                  <w:pBdr>
                    <w:top w:val="nil"/>
                    <w:left w:val="nil"/>
                    <w:bottom w:val="nil"/>
                    <w:right w:val="nil"/>
                    <w:between w:val="nil"/>
                  </w:pBdr>
                  <w:jc w:val="center"/>
                  <w:rPr>
                    <w:rFonts w:ascii="Times New Roman" w:eastAsia="Times New Roman" w:hAnsi="Times New Roman" w:cs="Times New Roman"/>
                    <w:sz w:val="24"/>
                    <w:szCs w:val="24"/>
                  </w:rPr>
                </w:pPr>
              </w:p>
            </w:tc>
            <w:tc>
              <w:tcPr>
                <w:tcW w:w="2267"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34BBC1C8" w14:textId="77777777" w:rsidR="001F2A67" w:rsidRDefault="001F2A67">
                <w:pPr>
                  <w:pBdr>
                    <w:top w:val="nil"/>
                    <w:left w:val="nil"/>
                    <w:bottom w:val="nil"/>
                    <w:right w:val="nil"/>
                    <w:between w:val="nil"/>
                  </w:pBdr>
                  <w:jc w:val="center"/>
                  <w:rPr>
                    <w:rFonts w:ascii="Times New Roman" w:eastAsia="Times New Roman" w:hAnsi="Times New Roman" w:cs="Times New Roman"/>
                    <w:sz w:val="24"/>
                    <w:szCs w:val="24"/>
                  </w:rPr>
                </w:pPr>
              </w:p>
            </w:tc>
            <w:tc>
              <w:tcPr>
                <w:tcW w:w="2267"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2205E528" w14:textId="77777777" w:rsidR="001F2A67" w:rsidRDefault="00000000">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Sig.  (bilateral)</w:t>
                </w:r>
              </w:p>
            </w:tc>
            <w:tc>
              <w:tcPr>
                <w:tcW w:w="2267"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5734FEA8" w14:textId="77777777" w:rsidR="001F2A67" w:rsidRDefault="00000000">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0.034</w:t>
                </w:r>
              </w:p>
            </w:tc>
          </w:tr>
          <w:tr w:rsidR="001F2A67" w14:paraId="1961CC70" w14:textId="77777777">
            <w:trPr>
              <w:trHeight w:val="440"/>
            </w:trPr>
            <w:tc>
              <w:tcPr>
                <w:tcW w:w="2267" w:type="dxa"/>
                <w:tcBorders>
                  <w:left w:val="single" w:sz="8" w:space="0" w:color="FFFFFF"/>
                  <w:right w:val="single" w:sz="8" w:space="0" w:color="FFFFFF"/>
                </w:tcBorders>
                <w:shd w:val="clear" w:color="auto" w:fill="auto"/>
                <w:tcMar>
                  <w:top w:w="100" w:type="dxa"/>
                  <w:left w:w="100" w:type="dxa"/>
                  <w:bottom w:w="100" w:type="dxa"/>
                  <w:right w:w="100" w:type="dxa"/>
                </w:tcMar>
              </w:tcPr>
              <w:p w14:paraId="35EFE51A" w14:textId="77777777" w:rsidR="001F2A67" w:rsidRDefault="001F2A67">
                <w:pPr>
                  <w:pBdr>
                    <w:top w:val="nil"/>
                    <w:left w:val="nil"/>
                    <w:bottom w:val="nil"/>
                    <w:right w:val="nil"/>
                    <w:between w:val="nil"/>
                  </w:pBdr>
                  <w:jc w:val="center"/>
                  <w:rPr>
                    <w:rFonts w:ascii="Times New Roman" w:eastAsia="Times New Roman" w:hAnsi="Times New Roman" w:cs="Times New Roman"/>
                    <w:sz w:val="24"/>
                    <w:szCs w:val="24"/>
                  </w:rPr>
                </w:pPr>
              </w:p>
            </w:tc>
            <w:tc>
              <w:tcPr>
                <w:tcW w:w="2267" w:type="dxa"/>
                <w:tcBorders>
                  <w:left w:val="single" w:sz="8" w:space="0" w:color="FFFFFF"/>
                  <w:right w:val="single" w:sz="8" w:space="0" w:color="FFFFFF"/>
                </w:tcBorders>
                <w:shd w:val="clear" w:color="auto" w:fill="auto"/>
                <w:tcMar>
                  <w:top w:w="100" w:type="dxa"/>
                  <w:left w:w="100" w:type="dxa"/>
                  <w:bottom w:w="100" w:type="dxa"/>
                  <w:right w:w="100" w:type="dxa"/>
                </w:tcMar>
              </w:tcPr>
              <w:p w14:paraId="4F34D576" w14:textId="77777777" w:rsidR="001F2A67" w:rsidRDefault="00000000">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2267" w:type="dxa"/>
                <w:tcBorders>
                  <w:left w:val="single" w:sz="8" w:space="0" w:color="FFFFFF"/>
                  <w:right w:val="single" w:sz="8" w:space="0" w:color="FFFFFF"/>
                </w:tcBorders>
                <w:shd w:val="clear" w:color="auto" w:fill="auto"/>
                <w:tcMar>
                  <w:top w:w="100" w:type="dxa"/>
                  <w:left w:w="100" w:type="dxa"/>
                  <w:bottom w:w="100" w:type="dxa"/>
                  <w:right w:w="100" w:type="dxa"/>
                </w:tcMar>
              </w:tcPr>
              <w:p w14:paraId="38EDE07E" w14:textId="77777777" w:rsidR="001F2A67" w:rsidRDefault="00000000">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2267" w:type="dxa"/>
                <w:tcBorders>
                  <w:left w:val="single" w:sz="8" w:space="0" w:color="FFFFFF"/>
                  <w:right w:val="single" w:sz="8" w:space="0" w:color="FFFFFF"/>
                </w:tcBorders>
                <w:shd w:val="clear" w:color="auto" w:fill="auto"/>
                <w:tcMar>
                  <w:top w:w="100" w:type="dxa"/>
                  <w:left w:w="100" w:type="dxa"/>
                  <w:bottom w:w="100" w:type="dxa"/>
                  <w:right w:w="100" w:type="dxa"/>
                </w:tcMar>
              </w:tcPr>
              <w:p w14:paraId="18CA0656" w14:textId="77777777" w:rsidR="001F2A67" w:rsidRDefault="00000000">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bl>
      </w:sdtContent>
    </w:sdt>
    <w:p w14:paraId="57ECAB32" w14:textId="77777777" w:rsidR="001F2A67" w:rsidRDefault="00000000">
      <w:pPr>
        <w:spacing w:line="480" w:lineRule="auto"/>
        <w:jc w:val="both"/>
        <w:rPr>
          <w:sz w:val="18"/>
          <w:szCs w:val="18"/>
        </w:rPr>
      </w:pPr>
      <w:r>
        <w:rPr>
          <w:i/>
          <w:sz w:val="18"/>
          <w:szCs w:val="18"/>
        </w:rPr>
        <w:t xml:space="preserve">Nota: </w:t>
      </w:r>
      <w:r>
        <w:rPr>
          <w:sz w:val="18"/>
          <w:szCs w:val="18"/>
        </w:rPr>
        <w:t>Sig = significancia bilateral, cuyo valor normal es menor a 0.05. N= número total de muestra</w:t>
      </w:r>
    </w:p>
    <w:p w14:paraId="2D707415" w14:textId="77777777" w:rsidR="001F2A67" w:rsidRDefault="00000000">
      <w:pPr>
        <w:spacing w:line="360" w:lineRule="auto"/>
        <w:ind w:firstLine="720"/>
        <w:jc w:val="both"/>
        <w:rPr>
          <w:rFonts w:ascii="Times New Roman" w:eastAsia="Times New Roman" w:hAnsi="Times New Roman" w:cs="Times New Roman"/>
          <w:b/>
          <w:sz w:val="24"/>
          <w:szCs w:val="24"/>
        </w:rPr>
      </w:pPr>
      <w:r>
        <w:rPr>
          <w:sz w:val="24"/>
          <w:szCs w:val="24"/>
        </w:rPr>
        <w:t>Existió una relación estadísticamente significativa entre las variables porque la significancia es menor a 0.05. Según el coeficiente de correlación de Pearson que fue -0.27, indicó que existe una correlación negativa débil; debido a que, si el estrés es mayor, el rendimiento académico es menor.</w:t>
      </w:r>
    </w:p>
    <w:p w14:paraId="4E221814" w14:textId="77777777" w:rsidR="001F2A67" w:rsidRDefault="00000000">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Tabla 02</w:t>
      </w:r>
    </w:p>
    <w:p w14:paraId="0D0297ED" w14:textId="77777777" w:rsidR="001F2A67" w:rsidRDefault="00000000">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Niveles de estrés en los estudiantes universitarios</w:t>
      </w:r>
    </w:p>
    <w:sdt>
      <w:sdtPr>
        <w:tag w:val="goog_rdk_2"/>
        <w:id w:val="-1759441745"/>
        <w:lock w:val="contentLocked"/>
      </w:sdtPr>
      <w:sdtContent>
        <w:tbl>
          <w:tblPr>
            <w:tblStyle w:val="a6"/>
            <w:tblW w:w="90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36"/>
            <w:gridCol w:w="3017"/>
            <w:gridCol w:w="3017"/>
          </w:tblGrid>
          <w:tr w:rsidR="001F2A67" w14:paraId="21F8AB95" w14:textId="77777777">
            <w:trPr>
              <w:trHeight w:val="440"/>
            </w:trPr>
            <w:tc>
              <w:tcPr>
                <w:tcW w:w="3036" w:type="dxa"/>
                <w:vMerge w:val="restart"/>
                <w:tcBorders>
                  <w:left w:val="single" w:sz="8" w:space="0" w:color="FFFFFF"/>
                  <w:right w:val="single" w:sz="8" w:space="0" w:color="FFFFFF"/>
                </w:tcBorders>
                <w:shd w:val="clear" w:color="auto" w:fill="auto"/>
                <w:tcMar>
                  <w:top w:w="100" w:type="dxa"/>
                  <w:left w:w="100" w:type="dxa"/>
                  <w:bottom w:w="100" w:type="dxa"/>
                  <w:right w:w="100" w:type="dxa"/>
                </w:tcMar>
              </w:tcPr>
              <w:p w14:paraId="378B1EB6" w14:textId="77777777" w:rsidR="001F2A67" w:rsidRDefault="00000000">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Categorías</w:t>
                </w:r>
              </w:p>
            </w:tc>
            <w:tc>
              <w:tcPr>
                <w:tcW w:w="6032" w:type="dxa"/>
                <w:gridSpan w:val="2"/>
                <w:tcBorders>
                  <w:left w:val="single" w:sz="8" w:space="0" w:color="FFFFFF"/>
                  <w:right w:val="single" w:sz="8" w:space="0" w:color="FFFFFF"/>
                </w:tcBorders>
                <w:shd w:val="clear" w:color="auto" w:fill="auto"/>
                <w:tcMar>
                  <w:top w:w="100" w:type="dxa"/>
                  <w:left w:w="100" w:type="dxa"/>
                  <w:bottom w:w="100" w:type="dxa"/>
                  <w:right w:w="100" w:type="dxa"/>
                </w:tcMar>
              </w:tcPr>
              <w:p w14:paraId="6F260E1F" w14:textId="77777777" w:rsidR="001F2A67" w:rsidRDefault="00000000">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Estrés</w:t>
                </w:r>
              </w:p>
            </w:tc>
          </w:tr>
          <w:tr w:rsidR="001F2A67" w14:paraId="484C31D4" w14:textId="77777777">
            <w:trPr>
              <w:trHeight w:val="440"/>
            </w:trPr>
            <w:tc>
              <w:tcPr>
                <w:tcW w:w="3036" w:type="dxa"/>
                <w:vMerge/>
                <w:tcBorders>
                  <w:left w:val="single" w:sz="8" w:space="0" w:color="FFFFFF"/>
                  <w:right w:val="single" w:sz="8" w:space="0" w:color="FFFFFF"/>
                </w:tcBorders>
                <w:shd w:val="clear" w:color="auto" w:fill="auto"/>
                <w:tcMar>
                  <w:top w:w="100" w:type="dxa"/>
                  <w:left w:w="100" w:type="dxa"/>
                  <w:bottom w:w="100" w:type="dxa"/>
                  <w:right w:w="100" w:type="dxa"/>
                </w:tcMar>
              </w:tcPr>
              <w:p w14:paraId="5BDB3165" w14:textId="77777777" w:rsidR="001F2A67" w:rsidRDefault="001F2A67">
                <w:pPr>
                  <w:pBdr>
                    <w:top w:val="nil"/>
                    <w:left w:val="nil"/>
                    <w:bottom w:val="nil"/>
                    <w:right w:val="nil"/>
                    <w:between w:val="nil"/>
                  </w:pBdr>
                  <w:rPr>
                    <w:rFonts w:ascii="Times New Roman" w:eastAsia="Times New Roman" w:hAnsi="Times New Roman" w:cs="Times New Roman"/>
                    <w:sz w:val="24"/>
                    <w:szCs w:val="24"/>
                  </w:rPr>
                </w:pPr>
              </w:p>
            </w:tc>
            <w:tc>
              <w:tcPr>
                <w:tcW w:w="3016" w:type="dxa"/>
                <w:tcBorders>
                  <w:left w:val="single" w:sz="8" w:space="0" w:color="FFFFFF"/>
                  <w:right w:val="single" w:sz="8" w:space="0" w:color="FFFFFF"/>
                </w:tcBorders>
                <w:shd w:val="clear" w:color="auto" w:fill="auto"/>
                <w:tcMar>
                  <w:top w:w="100" w:type="dxa"/>
                  <w:left w:w="100" w:type="dxa"/>
                  <w:bottom w:w="100" w:type="dxa"/>
                  <w:right w:w="100" w:type="dxa"/>
                </w:tcMar>
              </w:tcPr>
              <w:p w14:paraId="0302C75D" w14:textId="77777777" w:rsidR="001F2A67" w:rsidRDefault="00000000">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Frecuencia</w:t>
                </w:r>
              </w:p>
            </w:tc>
            <w:tc>
              <w:tcPr>
                <w:tcW w:w="3016" w:type="dxa"/>
                <w:tcBorders>
                  <w:left w:val="single" w:sz="8" w:space="0" w:color="FFFFFF"/>
                  <w:right w:val="single" w:sz="8" w:space="0" w:color="FFFFFF"/>
                </w:tcBorders>
                <w:shd w:val="clear" w:color="auto" w:fill="auto"/>
                <w:tcMar>
                  <w:top w:w="100" w:type="dxa"/>
                  <w:left w:w="100" w:type="dxa"/>
                  <w:bottom w:w="100" w:type="dxa"/>
                  <w:right w:w="100" w:type="dxa"/>
                </w:tcMar>
              </w:tcPr>
              <w:p w14:paraId="1CA6DBD5" w14:textId="77777777" w:rsidR="001F2A67" w:rsidRDefault="00000000">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1F2A67" w14:paraId="51A9A04C" w14:textId="77777777">
            <w:tc>
              <w:tcPr>
                <w:tcW w:w="3036"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E206C61" w14:textId="77777777" w:rsidR="001F2A67" w:rsidRDefault="00000000">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Bajo (%)</w:t>
                </w:r>
              </w:p>
            </w:tc>
            <w:tc>
              <w:tcPr>
                <w:tcW w:w="3016"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CEAA154" w14:textId="77777777" w:rsidR="001F2A67" w:rsidRDefault="00000000">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p>
            </w:tc>
            <w:tc>
              <w:tcPr>
                <w:tcW w:w="3016"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03BD00F"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r>
          <w:tr w:rsidR="001F2A67" w14:paraId="31D235B4" w14:textId="77777777">
            <w:tc>
              <w:tcPr>
                <w:tcW w:w="303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3775D12" w14:textId="77777777" w:rsidR="001F2A67" w:rsidRDefault="00000000">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Promedio (%)</w:t>
                </w:r>
              </w:p>
            </w:tc>
            <w:tc>
              <w:tcPr>
                <w:tcW w:w="301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53A7719" w14:textId="77777777" w:rsidR="001F2A67" w:rsidRDefault="00000000">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49 </w:t>
                </w:r>
              </w:p>
            </w:tc>
            <w:tc>
              <w:tcPr>
                <w:tcW w:w="301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EF7C1C9"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81.7</w:t>
                </w:r>
              </w:p>
            </w:tc>
          </w:tr>
          <w:tr w:rsidR="001F2A67" w14:paraId="1E293722" w14:textId="77777777">
            <w:tc>
              <w:tcPr>
                <w:tcW w:w="3036"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686313A1" w14:textId="77777777" w:rsidR="001F2A67" w:rsidRDefault="00000000">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Alto (%)</w:t>
                </w:r>
              </w:p>
            </w:tc>
            <w:tc>
              <w:tcPr>
                <w:tcW w:w="3016"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3BF4EE24" w14:textId="77777777" w:rsidR="001F2A67" w:rsidRDefault="00000000">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p>
            </w:tc>
            <w:tc>
              <w:tcPr>
                <w:tcW w:w="3016"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3E60AF13"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1F2A67" w14:paraId="3551A3DD" w14:textId="77777777">
            <w:tc>
              <w:tcPr>
                <w:tcW w:w="3036" w:type="dxa"/>
                <w:tcBorders>
                  <w:left w:val="single" w:sz="8" w:space="0" w:color="FFFFFF"/>
                  <w:right w:val="single" w:sz="8" w:space="0" w:color="FFFFFF"/>
                </w:tcBorders>
                <w:shd w:val="clear" w:color="auto" w:fill="auto"/>
                <w:tcMar>
                  <w:top w:w="100" w:type="dxa"/>
                  <w:left w:w="100" w:type="dxa"/>
                  <w:bottom w:w="100" w:type="dxa"/>
                  <w:right w:w="100" w:type="dxa"/>
                </w:tcMar>
              </w:tcPr>
              <w:p w14:paraId="2E34D4EA" w14:textId="77777777" w:rsidR="001F2A67" w:rsidRDefault="00000000">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 (%)</w:t>
                </w:r>
              </w:p>
            </w:tc>
            <w:tc>
              <w:tcPr>
                <w:tcW w:w="3016" w:type="dxa"/>
                <w:tcBorders>
                  <w:left w:val="single" w:sz="8" w:space="0" w:color="FFFFFF"/>
                  <w:right w:val="single" w:sz="8" w:space="0" w:color="FFFFFF"/>
                </w:tcBorders>
                <w:shd w:val="clear" w:color="auto" w:fill="auto"/>
                <w:tcMar>
                  <w:top w:w="100" w:type="dxa"/>
                  <w:left w:w="100" w:type="dxa"/>
                  <w:bottom w:w="100" w:type="dxa"/>
                  <w:right w:w="100" w:type="dxa"/>
                </w:tcMar>
              </w:tcPr>
              <w:p w14:paraId="3BD8EC60" w14:textId="77777777" w:rsidR="001F2A67" w:rsidRDefault="00000000">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60 </w:t>
                </w:r>
              </w:p>
            </w:tc>
            <w:tc>
              <w:tcPr>
                <w:tcW w:w="3016" w:type="dxa"/>
                <w:tcBorders>
                  <w:left w:val="single" w:sz="8" w:space="0" w:color="FFFFFF"/>
                  <w:right w:val="single" w:sz="8" w:space="0" w:color="FFFFFF"/>
                </w:tcBorders>
                <w:shd w:val="clear" w:color="auto" w:fill="auto"/>
                <w:tcMar>
                  <w:top w:w="100" w:type="dxa"/>
                  <w:left w:w="100" w:type="dxa"/>
                  <w:bottom w:w="100" w:type="dxa"/>
                  <w:right w:w="100" w:type="dxa"/>
                </w:tcMar>
              </w:tcPr>
              <w:p w14:paraId="0BF0F0C6" w14:textId="77777777" w:rsidR="001F2A67" w:rsidRDefault="00000000">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sdtContent>
    </w:sdt>
    <w:p w14:paraId="18081726" w14:textId="77777777" w:rsidR="001F2A67" w:rsidRDefault="001F2A67">
      <w:pPr>
        <w:spacing w:line="360" w:lineRule="auto"/>
        <w:jc w:val="both"/>
        <w:rPr>
          <w:sz w:val="24"/>
          <w:szCs w:val="24"/>
        </w:rPr>
      </w:pPr>
    </w:p>
    <w:p w14:paraId="096CD9AF" w14:textId="77777777" w:rsidR="001F2A67" w:rsidRDefault="00000000">
      <w:pPr>
        <w:spacing w:line="360" w:lineRule="auto"/>
        <w:ind w:firstLine="720"/>
        <w:jc w:val="both"/>
        <w:rPr>
          <w:sz w:val="24"/>
          <w:szCs w:val="24"/>
        </w:rPr>
      </w:pPr>
      <w:r>
        <w:rPr>
          <w:sz w:val="24"/>
          <w:szCs w:val="24"/>
        </w:rPr>
        <w:t>En cuanto a la variable estrés, la mayoría de los estudiantes universitarios percibieron niveles moderados de estrés (81.7%); situación que es alarmante debido a que podrían llegar a un nivel alto de estrés si no reciben la atención médica requerida. Por otro lado, tenemos a la categoría baja con 8.3% y la categoría alta con 10%.</w:t>
      </w:r>
    </w:p>
    <w:p w14:paraId="2FE7CFFD" w14:textId="77777777" w:rsidR="001F2A67" w:rsidRDefault="00000000">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Tabla 03</w:t>
      </w:r>
    </w:p>
    <w:p w14:paraId="6B22E656" w14:textId="77777777" w:rsidR="001F2A67" w:rsidRDefault="00000000">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Rendimiento académico de los estudiantes universitarios</w:t>
      </w:r>
    </w:p>
    <w:sdt>
      <w:sdtPr>
        <w:tag w:val="goog_rdk_3"/>
        <w:id w:val="-1477995578"/>
        <w:lock w:val="contentLocked"/>
      </w:sdtPr>
      <w:sdtContent>
        <w:tbl>
          <w:tblPr>
            <w:tblStyle w:val="a7"/>
            <w:tblW w:w="90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36"/>
            <w:gridCol w:w="3017"/>
            <w:gridCol w:w="3017"/>
          </w:tblGrid>
          <w:tr w:rsidR="001F2A67" w14:paraId="4C9C50D1" w14:textId="77777777">
            <w:trPr>
              <w:trHeight w:val="440"/>
            </w:trPr>
            <w:tc>
              <w:tcPr>
                <w:tcW w:w="3036" w:type="dxa"/>
                <w:vMerge w:val="restart"/>
                <w:tcBorders>
                  <w:left w:val="single" w:sz="8" w:space="0" w:color="FFFFFF"/>
                  <w:right w:val="single" w:sz="8" w:space="0" w:color="FFFFFF"/>
                </w:tcBorders>
                <w:shd w:val="clear" w:color="auto" w:fill="auto"/>
                <w:tcMar>
                  <w:top w:w="100" w:type="dxa"/>
                  <w:left w:w="100" w:type="dxa"/>
                  <w:bottom w:w="100" w:type="dxa"/>
                  <w:right w:w="100" w:type="dxa"/>
                </w:tcMar>
              </w:tcPr>
              <w:p w14:paraId="34EB71BF"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Categorías</w:t>
                </w:r>
              </w:p>
            </w:tc>
            <w:tc>
              <w:tcPr>
                <w:tcW w:w="6032" w:type="dxa"/>
                <w:gridSpan w:val="2"/>
                <w:tcBorders>
                  <w:left w:val="single" w:sz="8" w:space="0" w:color="FFFFFF"/>
                  <w:right w:val="single" w:sz="8" w:space="0" w:color="FFFFFF"/>
                </w:tcBorders>
                <w:shd w:val="clear" w:color="auto" w:fill="auto"/>
                <w:tcMar>
                  <w:top w:w="100" w:type="dxa"/>
                  <w:left w:w="100" w:type="dxa"/>
                  <w:bottom w:w="100" w:type="dxa"/>
                  <w:right w:w="100" w:type="dxa"/>
                </w:tcMar>
              </w:tcPr>
              <w:p w14:paraId="477773A5"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Rendimiento Académico</w:t>
                </w:r>
              </w:p>
            </w:tc>
          </w:tr>
          <w:tr w:rsidR="001F2A67" w14:paraId="1FF0FFE8" w14:textId="77777777">
            <w:trPr>
              <w:trHeight w:val="440"/>
            </w:trPr>
            <w:tc>
              <w:tcPr>
                <w:tcW w:w="3036" w:type="dxa"/>
                <w:vMerge/>
                <w:tcBorders>
                  <w:left w:val="single" w:sz="8" w:space="0" w:color="FFFFFF"/>
                  <w:right w:val="single" w:sz="8" w:space="0" w:color="FFFFFF"/>
                </w:tcBorders>
                <w:shd w:val="clear" w:color="auto" w:fill="auto"/>
                <w:tcMar>
                  <w:top w:w="100" w:type="dxa"/>
                  <w:left w:w="100" w:type="dxa"/>
                  <w:bottom w:w="100" w:type="dxa"/>
                  <w:right w:w="100" w:type="dxa"/>
                </w:tcMar>
              </w:tcPr>
              <w:p w14:paraId="23D52D88" w14:textId="77777777" w:rsidR="001F2A67" w:rsidRDefault="001F2A67">
                <w:pPr>
                  <w:rPr>
                    <w:rFonts w:ascii="Times New Roman" w:eastAsia="Times New Roman" w:hAnsi="Times New Roman" w:cs="Times New Roman"/>
                    <w:sz w:val="24"/>
                    <w:szCs w:val="24"/>
                  </w:rPr>
                </w:pPr>
              </w:p>
            </w:tc>
            <w:tc>
              <w:tcPr>
                <w:tcW w:w="3016" w:type="dxa"/>
                <w:tcBorders>
                  <w:left w:val="single" w:sz="8" w:space="0" w:color="FFFFFF"/>
                  <w:right w:val="single" w:sz="8" w:space="0" w:color="FFFFFF"/>
                </w:tcBorders>
                <w:shd w:val="clear" w:color="auto" w:fill="auto"/>
                <w:tcMar>
                  <w:top w:w="100" w:type="dxa"/>
                  <w:left w:w="100" w:type="dxa"/>
                  <w:bottom w:w="100" w:type="dxa"/>
                  <w:right w:w="100" w:type="dxa"/>
                </w:tcMar>
              </w:tcPr>
              <w:p w14:paraId="44407872"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Frecuencia</w:t>
                </w:r>
              </w:p>
            </w:tc>
            <w:tc>
              <w:tcPr>
                <w:tcW w:w="3016" w:type="dxa"/>
                <w:tcBorders>
                  <w:left w:val="single" w:sz="8" w:space="0" w:color="FFFFFF"/>
                  <w:right w:val="single" w:sz="8" w:space="0" w:color="FFFFFF"/>
                </w:tcBorders>
                <w:shd w:val="clear" w:color="auto" w:fill="auto"/>
                <w:tcMar>
                  <w:top w:w="100" w:type="dxa"/>
                  <w:left w:w="100" w:type="dxa"/>
                  <w:bottom w:w="100" w:type="dxa"/>
                  <w:right w:w="100" w:type="dxa"/>
                </w:tcMar>
              </w:tcPr>
              <w:p w14:paraId="78599689"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1F2A67" w14:paraId="2EDB993E" w14:textId="77777777">
            <w:tc>
              <w:tcPr>
                <w:tcW w:w="3036"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B961DC0"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Bajo (%)</w:t>
                </w:r>
              </w:p>
            </w:tc>
            <w:tc>
              <w:tcPr>
                <w:tcW w:w="3016"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90050FA"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016"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C2F54F9"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r>
          <w:tr w:rsidR="001F2A67" w14:paraId="0DC1C80F" w14:textId="77777777">
            <w:tc>
              <w:tcPr>
                <w:tcW w:w="303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992AF9F"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Promedio (%)</w:t>
                </w:r>
              </w:p>
            </w:tc>
            <w:tc>
              <w:tcPr>
                <w:tcW w:w="301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B684745"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301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A82FA1B"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81.7</w:t>
                </w:r>
              </w:p>
            </w:tc>
          </w:tr>
          <w:tr w:rsidR="001F2A67" w14:paraId="564FE570" w14:textId="77777777">
            <w:tc>
              <w:tcPr>
                <w:tcW w:w="3036"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5E24B0CD"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Alto (%)</w:t>
                </w:r>
              </w:p>
            </w:tc>
            <w:tc>
              <w:tcPr>
                <w:tcW w:w="3016"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409FA202"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016"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4716F208"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1F2A67" w14:paraId="68214377" w14:textId="77777777">
            <w:tc>
              <w:tcPr>
                <w:tcW w:w="3036" w:type="dxa"/>
                <w:tcBorders>
                  <w:left w:val="single" w:sz="8" w:space="0" w:color="FFFFFF"/>
                  <w:right w:val="single" w:sz="8" w:space="0" w:color="FFFFFF"/>
                </w:tcBorders>
                <w:shd w:val="clear" w:color="auto" w:fill="auto"/>
                <w:tcMar>
                  <w:top w:w="100" w:type="dxa"/>
                  <w:left w:w="100" w:type="dxa"/>
                  <w:bottom w:w="100" w:type="dxa"/>
                  <w:right w:w="100" w:type="dxa"/>
                </w:tcMar>
              </w:tcPr>
              <w:p w14:paraId="5221CCEF"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3016" w:type="dxa"/>
                <w:tcBorders>
                  <w:left w:val="single" w:sz="8" w:space="0" w:color="FFFFFF"/>
                  <w:right w:val="single" w:sz="8" w:space="0" w:color="FFFFFF"/>
                </w:tcBorders>
                <w:shd w:val="clear" w:color="auto" w:fill="auto"/>
                <w:tcMar>
                  <w:top w:w="100" w:type="dxa"/>
                  <w:left w:w="100" w:type="dxa"/>
                  <w:bottom w:w="100" w:type="dxa"/>
                  <w:right w:w="100" w:type="dxa"/>
                </w:tcMar>
              </w:tcPr>
              <w:p w14:paraId="75BFBF18"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60 </w:t>
                </w:r>
              </w:p>
            </w:tc>
            <w:tc>
              <w:tcPr>
                <w:tcW w:w="3016" w:type="dxa"/>
                <w:tcBorders>
                  <w:left w:val="single" w:sz="8" w:space="0" w:color="FFFFFF"/>
                  <w:right w:val="single" w:sz="8" w:space="0" w:color="FFFFFF"/>
                </w:tcBorders>
                <w:shd w:val="clear" w:color="auto" w:fill="auto"/>
                <w:tcMar>
                  <w:top w:w="100" w:type="dxa"/>
                  <w:left w:w="100" w:type="dxa"/>
                  <w:bottom w:w="100" w:type="dxa"/>
                  <w:right w:w="100" w:type="dxa"/>
                </w:tcMar>
              </w:tcPr>
              <w:p w14:paraId="5812E67E"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sdtContent>
    </w:sdt>
    <w:p w14:paraId="5F26284F" w14:textId="77777777" w:rsidR="001F2A67" w:rsidRDefault="00000000">
      <w:pPr>
        <w:spacing w:line="360" w:lineRule="auto"/>
        <w:jc w:val="both"/>
        <w:rPr>
          <w:sz w:val="24"/>
          <w:szCs w:val="24"/>
        </w:rPr>
      </w:pPr>
      <w:r>
        <w:rPr>
          <w:sz w:val="24"/>
          <w:szCs w:val="24"/>
        </w:rPr>
        <w:tab/>
        <w:t>En cuanto a la variable de rendimiento académico, la mayoría de encuestados (81.7%) tuvieron un rendimiento en un nivel promedio; en un nivel bajo solo está el 8.3% y en alto el 10%; existe un 91.7% de estudiantes con un nivel rendimiento académico necesario para aprobar sus cursos.</w:t>
      </w:r>
    </w:p>
    <w:p w14:paraId="32B8D309" w14:textId="77777777" w:rsidR="00812EE8" w:rsidRDefault="00812EE8">
      <w:pPr>
        <w:spacing w:line="360" w:lineRule="auto"/>
        <w:jc w:val="both"/>
        <w:rPr>
          <w:sz w:val="24"/>
          <w:szCs w:val="24"/>
        </w:rPr>
      </w:pPr>
    </w:p>
    <w:p w14:paraId="3F8AAC04" w14:textId="77777777" w:rsidR="00812EE8" w:rsidRDefault="00812EE8">
      <w:pPr>
        <w:spacing w:line="360" w:lineRule="auto"/>
        <w:jc w:val="both"/>
        <w:rPr>
          <w:sz w:val="24"/>
          <w:szCs w:val="24"/>
        </w:rPr>
      </w:pPr>
    </w:p>
    <w:p w14:paraId="05ECED4D" w14:textId="77777777" w:rsidR="00812EE8" w:rsidRDefault="00812EE8">
      <w:pPr>
        <w:spacing w:line="360" w:lineRule="auto"/>
        <w:jc w:val="both"/>
        <w:rPr>
          <w:sz w:val="24"/>
          <w:szCs w:val="24"/>
        </w:rPr>
      </w:pPr>
    </w:p>
    <w:p w14:paraId="55E5571C" w14:textId="77777777" w:rsidR="001F2A67" w:rsidRDefault="00000000">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Tabla 04</w:t>
      </w:r>
    </w:p>
    <w:p w14:paraId="5A4BA30A" w14:textId="77777777" w:rsidR="001F2A67" w:rsidRDefault="00000000">
      <w:pPr>
        <w:spacing w:line="360" w:lineRule="auto"/>
        <w:jc w:val="both"/>
        <w:rPr>
          <w:i/>
          <w:sz w:val="24"/>
          <w:szCs w:val="24"/>
        </w:rPr>
      </w:pPr>
      <w:r>
        <w:rPr>
          <w:rFonts w:ascii="Times New Roman" w:eastAsia="Times New Roman" w:hAnsi="Times New Roman" w:cs="Times New Roman"/>
          <w:i/>
          <w:sz w:val="24"/>
          <w:szCs w:val="24"/>
        </w:rPr>
        <w:t>Categorías de las dimensiones de cada variable</w:t>
      </w:r>
    </w:p>
    <w:sdt>
      <w:sdtPr>
        <w:tag w:val="goog_rdk_4"/>
        <w:id w:val="422240503"/>
        <w:lock w:val="contentLocked"/>
      </w:sdtPr>
      <w:sdtContent>
        <w:tbl>
          <w:tblPr>
            <w:tblStyle w:val="a8"/>
            <w:tblW w:w="90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29"/>
            <w:gridCol w:w="1828"/>
            <w:gridCol w:w="900"/>
            <w:gridCol w:w="900"/>
            <w:gridCol w:w="900"/>
            <w:gridCol w:w="900"/>
            <w:gridCol w:w="907"/>
            <w:gridCol w:w="907"/>
          </w:tblGrid>
          <w:tr w:rsidR="001F2A67" w14:paraId="12DD46AB" w14:textId="77777777">
            <w:trPr>
              <w:trHeight w:val="440"/>
            </w:trPr>
            <w:tc>
              <w:tcPr>
                <w:tcW w:w="1828" w:type="dxa"/>
                <w:vMerge w:val="restart"/>
                <w:tcBorders>
                  <w:left w:val="single" w:sz="8" w:space="0" w:color="FFFFFF"/>
                  <w:right w:val="single" w:sz="8" w:space="0" w:color="FFFFFF"/>
                </w:tcBorders>
                <w:shd w:val="clear" w:color="auto" w:fill="auto"/>
                <w:tcMar>
                  <w:top w:w="100" w:type="dxa"/>
                  <w:left w:w="100" w:type="dxa"/>
                  <w:bottom w:w="100" w:type="dxa"/>
                  <w:right w:w="100" w:type="dxa"/>
                </w:tcMar>
              </w:tcPr>
              <w:p w14:paraId="22BA969E"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1828" w:type="dxa"/>
                <w:vMerge w:val="restart"/>
                <w:tcBorders>
                  <w:left w:val="single" w:sz="8" w:space="0" w:color="FFFFFF"/>
                  <w:right w:val="single" w:sz="8" w:space="0" w:color="FFFFFF"/>
                </w:tcBorders>
                <w:shd w:val="clear" w:color="auto" w:fill="auto"/>
                <w:tcMar>
                  <w:top w:w="100" w:type="dxa"/>
                  <w:left w:w="100" w:type="dxa"/>
                  <w:bottom w:w="100" w:type="dxa"/>
                  <w:right w:w="100" w:type="dxa"/>
                </w:tcMar>
              </w:tcPr>
              <w:p w14:paraId="6B30F906"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Dimensiones</w:t>
                </w:r>
              </w:p>
            </w:tc>
            <w:tc>
              <w:tcPr>
                <w:tcW w:w="5414" w:type="dxa"/>
                <w:gridSpan w:val="6"/>
                <w:tcBorders>
                  <w:left w:val="single" w:sz="8" w:space="0" w:color="FFFFFF"/>
                  <w:right w:val="single" w:sz="8" w:space="0" w:color="FFFFFF"/>
                </w:tcBorders>
                <w:shd w:val="clear" w:color="auto" w:fill="auto"/>
                <w:tcMar>
                  <w:top w:w="100" w:type="dxa"/>
                  <w:left w:w="100" w:type="dxa"/>
                  <w:bottom w:w="100" w:type="dxa"/>
                  <w:right w:w="100" w:type="dxa"/>
                </w:tcMar>
              </w:tcPr>
              <w:p w14:paraId="50CE3BE9"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Categorías</w:t>
                </w:r>
              </w:p>
            </w:tc>
          </w:tr>
          <w:tr w:rsidR="001F2A67" w14:paraId="616DF70B" w14:textId="77777777">
            <w:trPr>
              <w:trHeight w:val="440"/>
            </w:trPr>
            <w:tc>
              <w:tcPr>
                <w:tcW w:w="1828" w:type="dxa"/>
                <w:vMerge/>
                <w:tcBorders>
                  <w:left w:val="single" w:sz="8" w:space="0" w:color="FFFFFF"/>
                  <w:right w:val="single" w:sz="8" w:space="0" w:color="FFFFFF"/>
                </w:tcBorders>
                <w:shd w:val="clear" w:color="auto" w:fill="auto"/>
                <w:tcMar>
                  <w:top w:w="100" w:type="dxa"/>
                  <w:left w:w="100" w:type="dxa"/>
                  <w:bottom w:w="100" w:type="dxa"/>
                  <w:right w:w="100" w:type="dxa"/>
                </w:tcMar>
              </w:tcPr>
              <w:p w14:paraId="4DECCC9C" w14:textId="77777777" w:rsidR="001F2A67" w:rsidRDefault="001F2A67">
                <w:pPr>
                  <w:jc w:val="center"/>
                  <w:rPr>
                    <w:sz w:val="24"/>
                    <w:szCs w:val="24"/>
                  </w:rPr>
                </w:pPr>
              </w:p>
            </w:tc>
            <w:tc>
              <w:tcPr>
                <w:tcW w:w="1828" w:type="dxa"/>
                <w:vMerge/>
                <w:tcBorders>
                  <w:left w:val="single" w:sz="8" w:space="0" w:color="FFFFFF"/>
                  <w:right w:val="single" w:sz="8" w:space="0" w:color="FFFFFF"/>
                </w:tcBorders>
                <w:shd w:val="clear" w:color="auto" w:fill="auto"/>
                <w:tcMar>
                  <w:top w:w="100" w:type="dxa"/>
                  <w:left w:w="100" w:type="dxa"/>
                  <w:bottom w:w="100" w:type="dxa"/>
                  <w:right w:w="100" w:type="dxa"/>
                </w:tcMar>
              </w:tcPr>
              <w:p w14:paraId="1072693F" w14:textId="77777777" w:rsidR="001F2A67" w:rsidRDefault="001F2A67">
                <w:pPr>
                  <w:jc w:val="center"/>
                  <w:rPr>
                    <w:sz w:val="24"/>
                    <w:szCs w:val="24"/>
                  </w:rPr>
                </w:pPr>
              </w:p>
            </w:tc>
            <w:tc>
              <w:tcPr>
                <w:tcW w:w="1800" w:type="dxa"/>
                <w:gridSpan w:val="2"/>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03C50EF"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Bajo </w:t>
                </w:r>
              </w:p>
            </w:tc>
            <w:tc>
              <w:tcPr>
                <w:tcW w:w="1800" w:type="dxa"/>
                <w:gridSpan w:val="2"/>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4F99964"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Promedio (%)</w:t>
                </w:r>
              </w:p>
            </w:tc>
            <w:tc>
              <w:tcPr>
                <w:tcW w:w="1814" w:type="dxa"/>
                <w:gridSpan w:val="2"/>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67E96DA"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Alto (%)</w:t>
                </w:r>
              </w:p>
            </w:tc>
          </w:tr>
          <w:tr w:rsidR="001F2A67" w14:paraId="00ACC5E6" w14:textId="77777777">
            <w:trPr>
              <w:trHeight w:val="440"/>
            </w:trPr>
            <w:tc>
              <w:tcPr>
                <w:tcW w:w="1828" w:type="dxa"/>
                <w:vMerge/>
                <w:tcBorders>
                  <w:left w:val="single" w:sz="8" w:space="0" w:color="FFFFFF"/>
                  <w:right w:val="single" w:sz="8" w:space="0" w:color="FFFFFF"/>
                </w:tcBorders>
                <w:shd w:val="clear" w:color="auto" w:fill="auto"/>
                <w:tcMar>
                  <w:top w:w="100" w:type="dxa"/>
                  <w:left w:w="100" w:type="dxa"/>
                  <w:bottom w:w="100" w:type="dxa"/>
                  <w:right w:w="100" w:type="dxa"/>
                </w:tcMar>
              </w:tcPr>
              <w:p w14:paraId="52AB56A2" w14:textId="77777777" w:rsidR="001F2A67" w:rsidRDefault="001F2A67">
                <w:pPr>
                  <w:jc w:val="center"/>
                  <w:rPr>
                    <w:sz w:val="24"/>
                    <w:szCs w:val="24"/>
                  </w:rPr>
                </w:pPr>
              </w:p>
            </w:tc>
            <w:tc>
              <w:tcPr>
                <w:tcW w:w="1828" w:type="dxa"/>
                <w:vMerge/>
                <w:tcBorders>
                  <w:left w:val="single" w:sz="8" w:space="0" w:color="FFFFFF"/>
                  <w:right w:val="single" w:sz="8" w:space="0" w:color="FFFFFF"/>
                </w:tcBorders>
                <w:shd w:val="clear" w:color="auto" w:fill="auto"/>
                <w:tcMar>
                  <w:top w:w="100" w:type="dxa"/>
                  <w:left w:w="100" w:type="dxa"/>
                  <w:bottom w:w="100" w:type="dxa"/>
                  <w:right w:w="100" w:type="dxa"/>
                </w:tcMar>
              </w:tcPr>
              <w:p w14:paraId="12276570" w14:textId="77777777" w:rsidR="001F2A67" w:rsidRDefault="001F2A67">
                <w:pPr>
                  <w:jc w:val="center"/>
                  <w:rPr>
                    <w:sz w:val="24"/>
                    <w:szCs w:val="24"/>
                  </w:rPr>
                </w:pPr>
              </w:p>
            </w:tc>
            <w:tc>
              <w:tcPr>
                <w:tcW w:w="90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0C6B3256"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90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0776CD03"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0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73A38F4E"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90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64BD8B69"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07"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569A2085"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907"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71DE854D"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1F2A67" w14:paraId="646C81FE" w14:textId="77777777">
            <w:trPr>
              <w:trHeight w:val="440"/>
            </w:trPr>
            <w:tc>
              <w:tcPr>
                <w:tcW w:w="1828" w:type="dxa"/>
                <w:vMerge w:val="restart"/>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F30C3D2" w14:textId="77777777" w:rsidR="001F2A67" w:rsidRDefault="001F2A67">
                <w:pPr>
                  <w:jc w:val="center"/>
                  <w:rPr>
                    <w:rFonts w:ascii="Times New Roman" w:eastAsia="Times New Roman" w:hAnsi="Times New Roman" w:cs="Times New Roman"/>
                    <w:sz w:val="24"/>
                    <w:szCs w:val="24"/>
                  </w:rPr>
                </w:pPr>
              </w:p>
              <w:p w14:paraId="0CD54322"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Estrés</w:t>
                </w:r>
              </w:p>
            </w:tc>
            <w:tc>
              <w:tcPr>
                <w:tcW w:w="1828"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C7D2752"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Desesperanza</w:t>
                </w:r>
              </w:p>
            </w:tc>
            <w:tc>
              <w:tcPr>
                <w:tcW w:w="90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85A68EE"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90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F783AEA"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90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27915A6"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90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A4057B3"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66.7</w:t>
                </w:r>
              </w:p>
            </w:tc>
            <w:tc>
              <w:tcPr>
                <w:tcW w:w="907"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1713210"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07"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E9A66F4"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1F2A67" w14:paraId="5531A11C" w14:textId="77777777">
            <w:trPr>
              <w:trHeight w:val="440"/>
            </w:trPr>
            <w:tc>
              <w:tcPr>
                <w:tcW w:w="1828" w:type="dxa"/>
                <w:vMerge/>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1C3E7EF" w14:textId="77777777" w:rsidR="001F2A67" w:rsidRDefault="001F2A67">
                <w:pPr>
                  <w:jc w:val="center"/>
                  <w:rPr>
                    <w:sz w:val="24"/>
                    <w:szCs w:val="24"/>
                  </w:rPr>
                </w:pPr>
              </w:p>
            </w:tc>
            <w:tc>
              <w:tcPr>
                <w:tcW w:w="1828"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3A57C90"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Autoeficiencia</w:t>
                </w:r>
              </w:p>
            </w:tc>
            <w:tc>
              <w:tcPr>
                <w:tcW w:w="9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EA877C1"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006FFFA"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9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79703FF"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9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7810FE0"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71.7</w:t>
                </w:r>
              </w:p>
            </w:tc>
            <w:tc>
              <w:tcPr>
                <w:tcW w:w="90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D4ACDBB"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90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9C3521A"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21.7</w:t>
                </w:r>
              </w:p>
            </w:tc>
          </w:tr>
          <w:tr w:rsidR="001F2A67" w14:paraId="0A1AF567" w14:textId="77777777">
            <w:trPr>
              <w:trHeight w:val="440"/>
            </w:trPr>
            <w:tc>
              <w:tcPr>
                <w:tcW w:w="1828" w:type="dxa"/>
                <w:vMerge w:val="restart"/>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BFE9E23" w14:textId="77777777" w:rsidR="001F2A67" w:rsidRDefault="001F2A67">
                <w:pPr>
                  <w:jc w:val="center"/>
                  <w:rPr>
                    <w:rFonts w:ascii="Times New Roman" w:eastAsia="Times New Roman" w:hAnsi="Times New Roman" w:cs="Times New Roman"/>
                    <w:sz w:val="24"/>
                    <w:szCs w:val="24"/>
                  </w:rPr>
                </w:pPr>
              </w:p>
              <w:p w14:paraId="2205A54B" w14:textId="77777777" w:rsidR="001F2A67" w:rsidRDefault="001F2A67">
                <w:pPr>
                  <w:jc w:val="center"/>
                  <w:rPr>
                    <w:rFonts w:ascii="Times New Roman" w:eastAsia="Times New Roman" w:hAnsi="Times New Roman" w:cs="Times New Roman"/>
                    <w:sz w:val="24"/>
                    <w:szCs w:val="24"/>
                  </w:rPr>
                </w:pPr>
              </w:p>
              <w:p w14:paraId="4DA2FC65" w14:textId="77777777" w:rsidR="001F2A67" w:rsidRDefault="001F2A67">
                <w:pPr>
                  <w:jc w:val="center"/>
                  <w:rPr>
                    <w:rFonts w:ascii="Times New Roman" w:eastAsia="Times New Roman" w:hAnsi="Times New Roman" w:cs="Times New Roman"/>
                    <w:sz w:val="24"/>
                    <w:szCs w:val="24"/>
                  </w:rPr>
                </w:pPr>
              </w:p>
              <w:p w14:paraId="00B999D8"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Rendimiento académico</w:t>
                </w:r>
              </w:p>
            </w:tc>
            <w:tc>
              <w:tcPr>
                <w:tcW w:w="1828"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B4F9D34"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Organización de los recursos</w:t>
                </w:r>
              </w:p>
            </w:tc>
            <w:tc>
              <w:tcPr>
                <w:tcW w:w="9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84EB466" w14:textId="77777777" w:rsidR="001F2A67" w:rsidRDefault="001F2A67">
                <w:pPr>
                  <w:jc w:val="center"/>
                  <w:rPr>
                    <w:rFonts w:ascii="Times New Roman" w:eastAsia="Times New Roman" w:hAnsi="Times New Roman" w:cs="Times New Roman"/>
                    <w:sz w:val="24"/>
                    <w:szCs w:val="24"/>
                  </w:rPr>
                </w:pPr>
              </w:p>
              <w:p w14:paraId="2E6B90A3"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F98800C" w14:textId="77777777" w:rsidR="001F2A67" w:rsidRDefault="001F2A67">
                <w:pPr>
                  <w:jc w:val="center"/>
                  <w:rPr>
                    <w:rFonts w:ascii="Times New Roman" w:eastAsia="Times New Roman" w:hAnsi="Times New Roman" w:cs="Times New Roman"/>
                    <w:sz w:val="24"/>
                    <w:szCs w:val="24"/>
                  </w:rPr>
                </w:pPr>
              </w:p>
              <w:p w14:paraId="48754D76"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9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7298082" w14:textId="77777777" w:rsidR="001F2A67" w:rsidRDefault="001F2A67">
                <w:pPr>
                  <w:jc w:val="center"/>
                  <w:rPr>
                    <w:rFonts w:ascii="Times New Roman" w:eastAsia="Times New Roman" w:hAnsi="Times New Roman" w:cs="Times New Roman"/>
                    <w:sz w:val="24"/>
                    <w:szCs w:val="24"/>
                  </w:rPr>
                </w:pPr>
              </w:p>
              <w:p w14:paraId="6E33D07E"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9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4D266BC" w14:textId="77777777" w:rsidR="001F2A67" w:rsidRDefault="001F2A67">
                <w:pPr>
                  <w:jc w:val="center"/>
                  <w:rPr>
                    <w:rFonts w:ascii="Times New Roman" w:eastAsia="Times New Roman" w:hAnsi="Times New Roman" w:cs="Times New Roman"/>
                    <w:sz w:val="24"/>
                    <w:szCs w:val="24"/>
                  </w:rPr>
                </w:pPr>
              </w:p>
              <w:p w14:paraId="26BC28F8"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41.7</w:t>
                </w:r>
              </w:p>
            </w:tc>
            <w:tc>
              <w:tcPr>
                <w:tcW w:w="90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B7C7070" w14:textId="77777777" w:rsidR="001F2A67" w:rsidRDefault="001F2A67">
                <w:pPr>
                  <w:jc w:val="center"/>
                  <w:rPr>
                    <w:rFonts w:ascii="Times New Roman" w:eastAsia="Times New Roman" w:hAnsi="Times New Roman" w:cs="Times New Roman"/>
                    <w:sz w:val="24"/>
                    <w:szCs w:val="24"/>
                  </w:rPr>
                </w:pPr>
              </w:p>
              <w:p w14:paraId="0FF230F6"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90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94D10A7" w14:textId="77777777" w:rsidR="001F2A67" w:rsidRDefault="001F2A67">
                <w:pPr>
                  <w:jc w:val="center"/>
                  <w:rPr>
                    <w:rFonts w:ascii="Times New Roman" w:eastAsia="Times New Roman" w:hAnsi="Times New Roman" w:cs="Times New Roman"/>
                    <w:sz w:val="24"/>
                    <w:szCs w:val="24"/>
                  </w:rPr>
                </w:pPr>
              </w:p>
              <w:p w14:paraId="7C84B4D9"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55.0</w:t>
                </w:r>
              </w:p>
            </w:tc>
          </w:tr>
          <w:tr w:rsidR="001F2A67" w14:paraId="02B990B8" w14:textId="77777777">
            <w:trPr>
              <w:trHeight w:val="440"/>
            </w:trPr>
            <w:tc>
              <w:tcPr>
                <w:tcW w:w="1828"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7451A9A" w14:textId="77777777" w:rsidR="001F2A67" w:rsidRDefault="001F2A67">
                <w:pPr>
                  <w:jc w:val="center"/>
                  <w:rPr>
                    <w:sz w:val="24"/>
                    <w:szCs w:val="24"/>
                  </w:rPr>
                </w:pPr>
              </w:p>
            </w:tc>
            <w:tc>
              <w:tcPr>
                <w:tcW w:w="182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11A69E6"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Dedicación al estudio</w:t>
                </w:r>
              </w:p>
            </w:tc>
            <w:tc>
              <w:tcPr>
                <w:tcW w:w="9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D5D823C"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9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759FDED"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95.0</w:t>
                </w:r>
              </w:p>
            </w:tc>
            <w:tc>
              <w:tcPr>
                <w:tcW w:w="9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26F6DE6"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7D7F3B0"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90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2AC6653"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0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ADE719E"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r>
          <w:tr w:rsidR="001F2A67" w14:paraId="58A6D389" w14:textId="77777777">
            <w:trPr>
              <w:trHeight w:val="440"/>
            </w:trPr>
            <w:tc>
              <w:tcPr>
                <w:tcW w:w="1828" w:type="dxa"/>
                <w:vMerge/>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23F19FEA" w14:textId="77777777" w:rsidR="001F2A67" w:rsidRDefault="001F2A67">
                <w:pPr>
                  <w:jc w:val="center"/>
                  <w:rPr>
                    <w:sz w:val="24"/>
                    <w:szCs w:val="24"/>
                  </w:rPr>
                </w:pPr>
              </w:p>
            </w:tc>
            <w:tc>
              <w:tcPr>
                <w:tcW w:w="1828"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079088EA"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Actividades académicas</w:t>
                </w:r>
              </w:p>
            </w:tc>
            <w:tc>
              <w:tcPr>
                <w:tcW w:w="90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4EE12644"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0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2E85CD74"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90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5E27B14F"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90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33C9F932"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51.7</w:t>
                </w:r>
              </w:p>
            </w:tc>
            <w:tc>
              <w:tcPr>
                <w:tcW w:w="907"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6669B04E"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907"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7F9D8290" w14:textId="77777777" w:rsidR="001F2A6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bl>
      </w:sdtContent>
    </w:sdt>
    <w:p w14:paraId="7382EE38" w14:textId="29B0765B" w:rsidR="00812EE8" w:rsidRDefault="00000000" w:rsidP="00812EE8">
      <w:pPr>
        <w:spacing w:line="360" w:lineRule="auto"/>
        <w:ind w:firstLine="720"/>
        <w:jc w:val="both"/>
        <w:rPr>
          <w:sz w:val="24"/>
          <w:szCs w:val="24"/>
        </w:rPr>
      </w:pPr>
      <w:r>
        <w:rPr>
          <w:sz w:val="24"/>
          <w:szCs w:val="24"/>
        </w:rPr>
        <w:t>En cuanto a las dimensiones de la variable estrés; en desesperanza se presentó en un nivel promedio en 66.7% de las personas encuestadas, en la categoría bajo un 30% y un 2% en la categoría alto; sin embargo, se observó que existe que en la gran mayoría de las personas la dimensión de autoeficiencia sobresale con un 71.7% en un nivel promedio y un 21.7% en un nivel alto. Teniendo en cuenta las dimensiones de la variable rendimiento académico, se observó que en organización de los recursos y actividades académicas existe un gran porcentaje entre las categorías promedio y alto; a diferencia de la dimensión dedicación al estudio, donde el 95% de los universitarios encuestados obtuvieron un nivel bajo y solo el 5% se encuentran en un nivel promedio</w:t>
      </w:r>
      <w:r w:rsidR="00812EE8">
        <w:rPr>
          <w:sz w:val="24"/>
          <w:szCs w:val="24"/>
        </w:rPr>
        <w:t>.</w:t>
      </w:r>
    </w:p>
    <w:p w14:paraId="230CC003" w14:textId="77777777" w:rsidR="00812EE8" w:rsidRDefault="00812EE8" w:rsidP="00812EE8">
      <w:pPr>
        <w:keepNext/>
        <w:keepLines/>
        <w:spacing w:before="240"/>
        <w:rPr>
          <w:b/>
          <w:sz w:val="24"/>
          <w:szCs w:val="24"/>
        </w:rPr>
      </w:pPr>
    </w:p>
    <w:p w14:paraId="20FA8102" w14:textId="4533F34E" w:rsidR="00812EE8" w:rsidRDefault="00812EE8">
      <w:pPr>
        <w:rPr>
          <w:b/>
          <w:sz w:val="24"/>
          <w:szCs w:val="24"/>
        </w:rPr>
      </w:pPr>
      <w:r>
        <w:rPr>
          <w:b/>
          <w:sz w:val="24"/>
          <w:szCs w:val="24"/>
        </w:rPr>
        <w:br w:type="page"/>
      </w:r>
    </w:p>
    <w:p w14:paraId="1C339CEF" w14:textId="27451F5B" w:rsidR="001F2A67" w:rsidRDefault="00000000">
      <w:pPr>
        <w:keepNext/>
        <w:keepLines/>
        <w:spacing w:before="240"/>
        <w:ind w:firstLine="1133"/>
        <w:jc w:val="center"/>
        <w:rPr>
          <w:b/>
          <w:sz w:val="24"/>
          <w:szCs w:val="24"/>
        </w:rPr>
      </w:pPr>
      <w:r>
        <w:rPr>
          <w:b/>
          <w:sz w:val="24"/>
          <w:szCs w:val="24"/>
        </w:rPr>
        <w:lastRenderedPageBreak/>
        <w:t>IV. Discusión</w:t>
      </w:r>
    </w:p>
    <w:p w14:paraId="0318358D" w14:textId="77777777" w:rsidR="001F2A67" w:rsidRDefault="001F2A67">
      <w:pPr>
        <w:spacing w:after="120" w:line="276" w:lineRule="auto"/>
        <w:ind w:left="-141" w:right="144" w:firstLine="1275"/>
        <w:jc w:val="both"/>
        <w:rPr>
          <w:color w:val="0000FF"/>
          <w:sz w:val="24"/>
          <w:szCs w:val="24"/>
        </w:rPr>
      </w:pPr>
    </w:p>
    <w:p w14:paraId="52CB0297" w14:textId="14609F77" w:rsidR="001F2A67" w:rsidRDefault="00000000">
      <w:pPr>
        <w:spacing w:after="120" w:line="360" w:lineRule="auto"/>
        <w:ind w:left="-141" w:right="144" w:firstLine="1275"/>
        <w:jc w:val="both"/>
        <w:rPr>
          <w:sz w:val="24"/>
          <w:szCs w:val="24"/>
        </w:rPr>
      </w:pPr>
      <w:r>
        <w:rPr>
          <w:sz w:val="24"/>
          <w:szCs w:val="24"/>
        </w:rPr>
        <w:t xml:space="preserve">El primer objetivo específico de la investigación </w:t>
      </w:r>
      <w:r w:rsidR="00812EE8">
        <w:rPr>
          <w:sz w:val="24"/>
          <w:szCs w:val="24"/>
        </w:rPr>
        <w:t>es identificar</w:t>
      </w:r>
      <w:r>
        <w:rPr>
          <w:sz w:val="24"/>
          <w:szCs w:val="24"/>
        </w:rPr>
        <w:t xml:space="preserve"> los niveles de estrés en los estudiantes universitarios. Según Escobar et al. (2018), indica que existe el estrés positivo, el cual es un nerviosismo pequeño que nos empuja a realizar actividades y superar nuestras limitaciones; y el estrés negativo, que causa malestares profundos, ya sean físicos o psicológicos que nos dificulta desenvolvernos en nuestro día a día. Teniendo en cuenta los resultados obtenidos en la investigación, se encuentra que el 81.7% de los estudiantes tienen un nivel promedio de estrés y solo el 10% tienen un nivel alto; situación que demuestra niveles alarmantes con respecto al estrés que perciben los estudiantes universitarios de una institución superior privada; esto se encuentra relacionado a las capacidades que tienen en cuanto al afrontamiento del estrés, donde muchos de ellos pueden no haber encontrado las herramientas suficientes para controlar esas tensiones o que este mismo no los sobrepase. En el estudio realizado por </w:t>
      </w:r>
      <w:r w:rsidR="00812EE8">
        <w:rPr>
          <w:sz w:val="24"/>
          <w:szCs w:val="24"/>
        </w:rPr>
        <w:t>Florián</w:t>
      </w:r>
      <w:r>
        <w:rPr>
          <w:sz w:val="24"/>
          <w:szCs w:val="24"/>
        </w:rPr>
        <w:t xml:space="preserve"> y Miranda (2024), se encontró que el 63.2% de los estudiantes universitarios encuestados, cuentan con un estrés moderado y se debe a que deben responder a las nuevas exigencias que se presentan en la educación universitaria. Según la investigación de Miranda y Zazueta (2021), indica que los estresores de los estudiantes universitarios de </w:t>
      </w:r>
      <w:r w:rsidR="00812EE8">
        <w:rPr>
          <w:sz w:val="24"/>
          <w:szCs w:val="24"/>
        </w:rPr>
        <w:t>Trujillo</w:t>
      </w:r>
      <w:r>
        <w:rPr>
          <w:sz w:val="24"/>
          <w:szCs w:val="24"/>
        </w:rPr>
        <w:t xml:space="preserve"> se relacionan no solo con la cantidad de trabajos o exámenes recibidos; sino también se relaciona con la motivación que tienen los estudiantes y docentes, la existencia de trastornos de sueño, cansancio excesivo, dolores de cabeza o dificultades en </w:t>
      </w:r>
      <w:r w:rsidR="00812EE8">
        <w:rPr>
          <w:sz w:val="24"/>
          <w:szCs w:val="24"/>
        </w:rPr>
        <w:t>las relaciones sociales</w:t>
      </w:r>
      <w:r>
        <w:rPr>
          <w:sz w:val="24"/>
          <w:szCs w:val="24"/>
        </w:rPr>
        <w:t xml:space="preserve"> entre los universitarios y fuera del ámbito académico. De forma similar, en el presente estudio se identificaron niveles de estrés moderado predominantes, lo que coincide con los hallazgos de Florián y Miranda (2024), tanto por la magnitud de la categoría moderada como por el contexto local de Trujillo; asimismo, se comparten los factores estresores vinculados a exigencias académicas, relaciones interpersonales y síntomas físicos - emocionales descritos por Miranda y Zazueta (2021). Con esto se evidencia, que el estrés tiene un factor positivo y negativo en los estudiantes universitarios; donde los estresores juegan un papel en el nivel de estrés que perciben los estudiantes. Cuando este nivel de estrés llega a causar complicaciones físicas o psicológicas, es porque el estudiante no puede manejar toda esa carga tensional; no solo se habla de las exigencias académicas, sino que también existen exigencias externas como las relaciones interpersonales u otras </w:t>
      </w:r>
      <w:r>
        <w:rPr>
          <w:sz w:val="24"/>
          <w:szCs w:val="24"/>
        </w:rPr>
        <w:lastRenderedPageBreak/>
        <w:t>preocupaciones fuera del ámbito académico.</w:t>
      </w:r>
    </w:p>
    <w:p w14:paraId="512F46AE" w14:textId="2408A07B" w:rsidR="001F2A67" w:rsidRDefault="00000000">
      <w:pPr>
        <w:spacing w:after="120" w:line="360" w:lineRule="auto"/>
        <w:ind w:left="-141" w:right="144" w:firstLine="1275"/>
        <w:jc w:val="both"/>
        <w:rPr>
          <w:sz w:val="24"/>
          <w:szCs w:val="24"/>
        </w:rPr>
      </w:pPr>
      <w:r>
        <w:rPr>
          <w:sz w:val="24"/>
          <w:szCs w:val="24"/>
        </w:rPr>
        <w:t xml:space="preserve">En cuanto al segundo objetivo específico, se propone identificar el rendimiento académico de los estudiantes universitarios. Según Gutiérrez, et al., (2021), define el rendimiento académico como el logro alcanzado por el estudiante en su proceso formativo, el cual se refleja en las calificaciones, competencias y habilidades desarrolladas. Este desempeño puede verse afectado </w:t>
      </w:r>
      <w:r w:rsidR="00812EE8">
        <w:rPr>
          <w:sz w:val="24"/>
          <w:szCs w:val="24"/>
        </w:rPr>
        <w:t>por diversos</w:t>
      </w:r>
      <w:r>
        <w:rPr>
          <w:sz w:val="24"/>
          <w:szCs w:val="24"/>
        </w:rPr>
        <w:t xml:space="preserve"> factores como el estrés, el contexto familiar, el apoyo institucional y las habilidades de autorregulación del </w:t>
      </w:r>
      <w:r w:rsidR="00812EE8">
        <w:rPr>
          <w:sz w:val="24"/>
          <w:szCs w:val="24"/>
        </w:rPr>
        <w:t>propio estudiante</w:t>
      </w:r>
      <w:r>
        <w:rPr>
          <w:sz w:val="24"/>
          <w:szCs w:val="24"/>
        </w:rPr>
        <w:t xml:space="preserve">. Teniendo en cuenta los resultados obtenidos, se muestra que el 81.7% de los estudiantes mostró un rendimiento académico en el nivel promedio, un 10% en un nivel alto y el 8.3%en bajo. Reflejando que la mayoría logra mantener un rendimiento </w:t>
      </w:r>
      <w:r w:rsidR="00812EE8">
        <w:rPr>
          <w:sz w:val="24"/>
          <w:szCs w:val="24"/>
        </w:rPr>
        <w:t>aceptable,</w:t>
      </w:r>
      <w:r>
        <w:rPr>
          <w:sz w:val="24"/>
          <w:szCs w:val="24"/>
        </w:rPr>
        <w:t xml:space="preserve"> aunque con márgenes de mejora, demostrando que los resultados coinciden con los hallazgos de Licht, Soto y Ángulo (2021), quienes encontraron que, a pesar de las exigencias académicas y laborales, muchos estudiantes logran mantener un rendimiento académico promedio gracias a factores que dicha universidad privada les brinda, como flexibilidad de horarios y programas de apoyo. Sin embargo, difiere parcialmente del estudio de Solano et al. (2022) en Lima, que evidenció una correlación más directa entre altos niveles de estrés y bajo rendimiento académico, llevando incluso a la deserción académica. Sin embargo, tanto la presente investigación, como la de Solano et al. (2022) concuerdan en señalar que el estrés constituye un factor determinante que puede comprometer la calidad del rendimiento académico cuando se intensifica, demostrando así que la muestra estudiada en Trujillo, cuenta posiblemente con ciertos apoyos institucionales que amortiguan el impacto del estrés en el rendimiento académico y esto se debe a que pertenecen a una universidad privada, cuya institución brinda estas facilidades, como lo mencionó en su estudio Licht, Soto y Ángulo (2021). Sin embargo, las diferencias frente a lo hallado por Solano et al. (2022) podrían explicarse por el hecho de </w:t>
      </w:r>
      <w:r w:rsidR="00812EE8">
        <w:rPr>
          <w:sz w:val="24"/>
          <w:szCs w:val="24"/>
        </w:rPr>
        <w:t>que,</w:t>
      </w:r>
      <w:r>
        <w:rPr>
          <w:sz w:val="24"/>
          <w:szCs w:val="24"/>
        </w:rPr>
        <w:t xml:space="preserve"> en Trujillo, los estudiantes todavía no alcanzan niveles de estrés generalizados; ya que, un predominio de estrés promedio puede no afectar de manera drástica el rendimiento, como sucede en escenarios con mayor estrés crónico.</w:t>
      </w:r>
    </w:p>
    <w:p w14:paraId="1DB75A4E" w14:textId="4DA90558" w:rsidR="001F2A67" w:rsidRDefault="00000000">
      <w:pPr>
        <w:spacing w:after="120" w:line="360" w:lineRule="auto"/>
        <w:ind w:left="-141" w:right="144" w:firstLine="1275"/>
        <w:jc w:val="both"/>
        <w:rPr>
          <w:sz w:val="24"/>
          <w:szCs w:val="24"/>
        </w:rPr>
      </w:pPr>
      <w:r>
        <w:rPr>
          <w:sz w:val="24"/>
          <w:szCs w:val="24"/>
        </w:rPr>
        <w:t xml:space="preserve">Con respecto al tercer objetivo específico, se busca categorizar las dimensiones del estrés y el rendimiento académico según los resultados obtenidos. Según Silva et al. (2020), el estrés afecta diferentes dimensiones cognitivas, emocionales y conductuales, manifestándose en aspectos como desesperanza, </w:t>
      </w:r>
      <w:r>
        <w:rPr>
          <w:sz w:val="24"/>
          <w:szCs w:val="24"/>
        </w:rPr>
        <w:lastRenderedPageBreak/>
        <w:t xml:space="preserve">autoeficacia percibida. En paralelo, el rendimiento académico se organiza en dimensiones como la dedicación al estudio, la falta de organización de los recursos y actividades académicas. En la presente investigación, se encontró que la dimensión desesperanza obtuvo un 66,7% en el nivel promedio; en cuanto a la dimensión de autoeficiencia se obtuvo un 71.7% en un nivel promedio y un 21,7% en un nivel alto. En cuanto a las dimensiones de la variable rendimiento académico, se identificó un 96.7% entre el nivel promedio y alto de la dimensión organización de los recursos; además un 95% en un nivel bajo de la dimensión dedicación al estudio y un 91.7% entre el nivel promedio y alto de la dimensión actividades académicas. En cuanto a la investigación de Reyna et al. (2019), se considera a la desesperanza como la incapacidad del individuo para controlar su nivel de estrés y que este mismo afecte en sus actividades diarias; en cuanto a la dimensión de autoeficiencia, se definió como la capacidad de una persona para afrontar las situaciones estresantes que se le presenten, sin dejar que se vean afectadas su desenvolvimiento en las actividades de su día a día. Según la investigación de De Lourdes et al. (2021); las actividades académicas, responden a la concentración en clases, la exposición de temas tratados, las habilidades de reacción y la participación en cursos extracurriculares; la dedicación al estudio es el análisis del involucramiento del estudiante en sus responsabilidades educativas y finalmente tenemos a la falta de organización de recursos didácticos, donde se consideró las pocas o muchas horas de sueño, carencia de los recursos necesarios para el estudio, olvidar los contenidos ya repasados y las faltas injustificadas por parte de los estudiantes. Estos hallazgos presentan similitudes con la investigación de Reyna et al. (2019), al emplear conceptos y mediciones de desesperanza y autoeficacia; y también con la de De Lourdes et al. (2021), dado que ambos estudios utilizaron categorías semejantes en la descripción de </w:t>
      </w:r>
      <w:r w:rsidR="00812EE8">
        <w:rPr>
          <w:sz w:val="24"/>
          <w:szCs w:val="24"/>
        </w:rPr>
        <w:t>las dimensiones</w:t>
      </w:r>
      <w:r>
        <w:rPr>
          <w:sz w:val="24"/>
          <w:szCs w:val="24"/>
        </w:rPr>
        <w:t xml:space="preserve"> del rendimiento académico, coincidiendo en que la organización de recursos y la dedicación al estudio son áreas clave que se ven afectadas por el estrés. Teniendo en cuenta lo mencionado, se observó que los estudiantes universitarios hasta el momento han podido sobrellevar las situaciones estresantes que se les presentan; es decir que sus capacidades de autoeficiencia son mayores a comparación de la desesperanza que podrían enfrentar. En cuanto a los resultados de las dimensiones de rendimiento académico, se observó que los estudiantes universitarios no priorizan sus actividades académicas, su dedicación al estudio es baja, indicando que cuentan con el potencial para un mayor rendimiento académico si solo se dedicaran y </w:t>
      </w:r>
      <w:r>
        <w:rPr>
          <w:sz w:val="24"/>
          <w:szCs w:val="24"/>
        </w:rPr>
        <w:lastRenderedPageBreak/>
        <w:t>enfocarán en sus actividades académicas.</w:t>
      </w:r>
    </w:p>
    <w:p w14:paraId="1E1014B1" w14:textId="195EAA61" w:rsidR="001F2A67" w:rsidRDefault="00000000">
      <w:pPr>
        <w:spacing w:after="120" w:line="360" w:lineRule="auto"/>
        <w:ind w:left="-141" w:right="144" w:firstLine="1275"/>
        <w:jc w:val="both"/>
        <w:rPr>
          <w:color w:val="0000FF"/>
          <w:sz w:val="24"/>
          <w:szCs w:val="24"/>
        </w:rPr>
      </w:pPr>
      <w:r>
        <w:rPr>
          <w:sz w:val="24"/>
          <w:szCs w:val="24"/>
        </w:rPr>
        <w:t xml:space="preserve">Por último, se plantea como objetivo general el </w:t>
      </w:r>
      <w:r>
        <w:rPr>
          <w:sz w:val="24"/>
          <w:szCs w:val="24"/>
          <w:highlight w:val="white"/>
        </w:rPr>
        <w:t xml:space="preserve">analizar la influencia del estrés en el desempeño académico universitario. Según Ore y </w:t>
      </w:r>
      <w:r w:rsidR="00812EE8">
        <w:rPr>
          <w:sz w:val="24"/>
          <w:szCs w:val="24"/>
          <w:highlight w:val="white"/>
        </w:rPr>
        <w:t>Vílchez</w:t>
      </w:r>
      <w:r>
        <w:rPr>
          <w:sz w:val="24"/>
          <w:szCs w:val="24"/>
          <w:highlight w:val="white"/>
        </w:rPr>
        <w:t xml:space="preserve">, (2024) mencionan que la alta tasa de estrés en los estudiantes genera un declive significativo en el rendimiento académico, debido a las exigencias, </w:t>
      </w:r>
      <w:r>
        <w:rPr>
          <w:sz w:val="24"/>
          <w:szCs w:val="24"/>
        </w:rPr>
        <w:t xml:space="preserve">exámenes, entre otras responsabilidades que sobrepasan las habilidades, capacidades y tiempo del estudiante, además este desequilibrio se presenta de diversas formas. Teniendo en cuenta los resultados obtenidos se evidencia que existe una relación significativa entre el estrés y el rendimiento académico, debido a la evidencia frente a los estudiantes que presentan un alto nivel de estrés, reflejan dificultades dentro del desempeño académico, correspondiente a las dificultades de concentración y el rendimiento adecuado dentro de las clases, proyectos o exámenes, esto en comparación con los estudiantes que muestran niveles bajos de estrés, se observa un desempeño mejor; es decir, se evidencia una relación inversa entre las variables. Estos hallazgos son condescendientes con la investigación de </w:t>
      </w:r>
      <w:r w:rsidR="00812EE8">
        <w:rPr>
          <w:sz w:val="24"/>
          <w:szCs w:val="24"/>
        </w:rPr>
        <w:t>Ramírez</w:t>
      </w:r>
      <w:r>
        <w:rPr>
          <w:sz w:val="24"/>
          <w:szCs w:val="24"/>
        </w:rPr>
        <w:t xml:space="preserve"> y Trujillo, (2025) quienes lograron analizar el impacto significativo del estrés dentro del desempeño de los universitarios y afirman que este factor tiene una alta influencia de manera directa con el desempeño de los mismos, debido a </w:t>
      </w:r>
      <w:r w:rsidR="00812EE8">
        <w:rPr>
          <w:sz w:val="24"/>
          <w:szCs w:val="24"/>
        </w:rPr>
        <w:t>la interferencia</w:t>
      </w:r>
      <w:r>
        <w:rPr>
          <w:sz w:val="24"/>
          <w:szCs w:val="24"/>
        </w:rPr>
        <w:t xml:space="preserve"> negativa que se genera dentro de las funciones cognitivas, reduciendo la eficacia e influyendo de forma negativa en </w:t>
      </w:r>
      <w:r w:rsidR="00812EE8">
        <w:rPr>
          <w:sz w:val="24"/>
          <w:szCs w:val="24"/>
        </w:rPr>
        <w:t>los procesos</w:t>
      </w:r>
      <w:r>
        <w:rPr>
          <w:sz w:val="24"/>
          <w:szCs w:val="24"/>
        </w:rPr>
        <w:t xml:space="preserve"> de aprendizaje. De igual forma estos resultados se relacionan con el estudio de Espinosa et al. (2020) los cuales, afirman una relación congruente, con respecto al estrés frente al rendimiento académico, es decir que entre mayor sea la puntuación del estrés, menor será el nivel de rendimiento dentro del contexto académico, esto como resultado de la falta de un manejo adecuado de herramientas o estrategias que inhiben o complican obtener mejor aprendizaje. En esta presente investigación se comparten similitudes con la de Ramírez y Trujillo (2025), pues ambas coinciden en demostrar estadísticamente que el estrés ejerce una influencia significativa y negativa sobre el rendimiento académico; además, los resultados son congruentes con lo hallado por Espinosa et al. (2020), que también identificaron esta relación inversa entre el nivel de estrés y el logro académico. Con base a lo observado en los resultados, se obtuvieron una relación significativa en cuanto a las investigaciones, además resaltan que el estrés es uno de los factores principales que afectan directamente al éxito académico en especial en ámbitos de alta presión o exigencia </w:t>
      </w:r>
      <w:r>
        <w:rPr>
          <w:sz w:val="24"/>
          <w:szCs w:val="24"/>
        </w:rPr>
        <w:lastRenderedPageBreak/>
        <w:t xml:space="preserve">por el desempeño, además interfieren con los procesos cognitivos que se necesita para un adecuado funcionamiento en la vida cotidiana de los estudiantes universitarios, esencialmente dentro de los contextos académicos que también interfiere con el rendimiento en las clases, proyectos y tareas previas que se necesita para el cumplimiento de metas trazadas. </w:t>
      </w:r>
    </w:p>
    <w:p w14:paraId="69F6802C" w14:textId="77777777" w:rsidR="001F2A67" w:rsidRDefault="00000000">
      <w:pPr>
        <w:keepNext/>
        <w:keepLines/>
        <w:spacing w:before="240"/>
        <w:ind w:firstLine="1133"/>
        <w:jc w:val="center"/>
        <w:rPr>
          <w:b/>
          <w:sz w:val="24"/>
          <w:szCs w:val="24"/>
        </w:rPr>
      </w:pPr>
      <w:r>
        <w:rPr>
          <w:b/>
          <w:sz w:val="24"/>
          <w:szCs w:val="24"/>
        </w:rPr>
        <w:lastRenderedPageBreak/>
        <w:t>V. Conclusiones</w:t>
      </w:r>
    </w:p>
    <w:p w14:paraId="30A008D4" w14:textId="77777777" w:rsidR="001F2A67" w:rsidRDefault="00000000">
      <w:pPr>
        <w:keepNext/>
        <w:keepLines/>
        <w:spacing w:before="240" w:line="360" w:lineRule="auto"/>
        <w:ind w:firstLine="1133"/>
        <w:jc w:val="both"/>
        <w:rPr>
          <w:sz w:val="24"/>
          <w:szCs w:val="24"/>
        </w:rPr>
      </w:pPr>
      <w:r>
        <w:rPr>
          <w:sz w:val="24"/>
          <w:szCs w:val="24"/>
        </w:rPr>
        <w:t>En relación con el objetivo general de analizar la influencia del estrés en el rendimiento académico de los estudiantes universitarios, se puede afirmar que los hallazgos sugieren la existencia de una correlación negativa débil, pero estadísticamente significativa entre varias variables. Es decir, a mayor percepción de estrés, menor es el nivel de rendimiento académico reportado por los estudiantes. Esta relación, aunque no fuerte, revela una tendencia preocupante si se considera el contexto educativo exigente en el que se desarrollan los estudiantes.</w:t>
      </w:r>
    </w:p>
    <w:p w14:paraId="067F75A0" w14:textId="1B4AD668" w:rsidR="001F2A67" w:rsidRDefault="00000000">
      <w:pPr>
        <w:keepNext/>
        <w:keepLines/>
        <w:spacing w:before="240" w:line="360" w:lineRule="auto"/>
        <w:ind w:firstLine="1133"/>
        <w:jc w:val="both"/>
        <w:rPr>
          <w:sz w:val="24"/>
          <w:szCs w:val="24"/>
        </w:rPr>
      </w:pPr>
      <w:r>
        <w:rPr>
          <w:sz w:val="24"/>
          <w:szCs w:val="24"/>
        </w:rPr>
        <w:t xml:space="preserve">Con respecto al nivel de estrés se observó que la mayoría de los estudiantes (81.7%) presenta un nivel moderado de estrés, este resultado implicaría </w:t>
      </w:r>
      <w:r w:rsidR="00812EE8">
        <w:rPr>
          <w:sz w:val="24"/>
          <w:szCs w:val="24"/>
        </w:rPr>
        <w:t>que,</w:t>
      </w:r>
      <w:r>
        <w:rPr>
          <w:sz w:val="24"/>
          <w:szCs w:val="24"/>
        </w:rPr>
        <w:t xml:space="preserve"> si este nivel de estrés no es manejado adecuadamente en la población estudiantil, conlleva a tener ansiedad o depresión, lo cual es significativo; ya que los niveles moderados pueden fácilmente escalar a niveles altos en ausencia de estrategias adecuadas de afrontamiento o apoyo emocional.</w:t>
      </w:r>
    </w:p>
    <w:p w14:paraId="62D02EF9" w14:textId="77777777" w:rsidR="001F2A67" w:rsidRDefault="00000000">
      <w:pPr>
        <w:keepNext/>
        <w:keepLines/>
        <w:spacing w:before="240" w:line="360" w:lineRule="auto"/>
        <w:ind w:firstLine="1133"/>
        <w:jc w:val="both"/>
        <w:rPr>
          <w:sz w:val="24"/>
          <w:szCs w:val="24"/>
        </w:rPr>
      </w:pPr>
      <w:r>
        <w:rPr>
          <w:sz w:val="24"/>
          <w:szCs w:val="24"/>
        </w:rPr>
        <w:t>Se identificó que el nivel de rendimiento académico de los universitarios, es de nivel promedio en un 81.7% de los encuestados, sin que se registren niveles altos significativos. Sin embargo, es preocupante que una gran proporción de estudiantes (95%) evidencie baja dedicación al estudio, lo que puede explicar la dificultad para alcanzar un rendimiento académico óptimo.</w:t>
      </w:r>
    </w:p>
    <w:p w14:paraId="67A6FAF8" w14:textId="77777777" w:rsidR="001F2A67" w:rsidRDefault="00000000">
      <w:pPr>
        <w:keepNext/>
        <w:keepLines/>
        <w:spacing w:before="240" w:line="360" w:lineRule="auto"/>
        <w:ind w:firstLine="1133"/>
        <w:jc w:val="both"/>
        <w:rPr>
          <w:sz w:val="24"/>
          <w:szCs w:val="24"/>
        </w:rPr>
      </w:pPr>
      <w:r>
        <w:rPr>
          <w:sz w:val="24"/>
          <w:szCs w:val="24"/>
        </w:rPr>
        <w:t>Se categorizaron las dimensiones de las variables, se identificó que los estudiantes tienen la capacidad de autoeficiencia, enfrentar situaciones estresantes, en un nivel promedio con un 71.7%. Además, identificó que el 95% de los estudiantes tienen un nivel bajo en la dimensión dedicación al estudio, esto quiere decir que la gran mayoría de ellos, tienen otras actividades a las que dedican su tiempo y se pueden obtener un mejor rendimiento académico y pudieran organizar mejor su tiempo para responder óptimamente en tanto lo académico como en sus otras responsabilidades.</w:t>
      </w:r>
    </w:p>
    <w:p w14:paraId="0BF6E73F" w14:textId="77777777" w:rsidR="001F2A67" w:rsidRDefault="001F2A67">
      <w:pPr>
        <w:keepNext/>
        <w:keepLines/>
        <w:spacing w:before="240"/>
        <w:ind w:firstLine="1133"/>
        <w:jc w:val="center"/>
        <w:rPr>
          <w:b/>
          <w:sz w:val="24"/>
          <w:szCs w:val="24"/>
        </w:rPr>
      </w:pPr>
    </w:p>
    <w:p w14:paraId="1A1205A0" w14:textId="77777777" w:rsidR="001F2A67" w:rsidRDefault="001F2A67">
      <w:pPr>
        <w:keepNext/>
        <w:keepLines/>
        <w:spacing w:before="240"/>
        <w:ind w:firstLine="1133"/>
        <w:jc w:val="center"/>
        <w:rPr>
          <w:b/>
          <w:sz w:val="24"/>
          <w:szCs w:val="24"/>
        </w:rPr>
      </w:pPr>
    </w:p>
    <w:p w14:paraId="406E8545" w14:textId="77777777" w:rsidR="001F2A67" w:rsidRDefault="001F2A67">
      <w:pPr>
        <w:keepNext/>
        <w:keepLines/>
        <w:spacing w:before="240"/>
        <w:ind w:firstLine="1133"/>
        <w:jc w:val="center"/>
        <w:rPr>
          <w:b/>
          <w:sz w:val="24"/>
          <w:szCs w:val="24"/>
        </w:rPr>
      </w:pPr>
    </w:p>
    <w:p w14:paraId="6AFB801B" w14:textId="77777777" w:rsidR="001F2A67" w:rsidRDefault="00000000">
      <w:pPr>
        <w:keepNext/>
        <w:keepLines/>
        <w:spacing w:before="240"/>
        <w:ind w:firstLine="1133"/>
        <w:jc w:val="center"/>
        <w:rPr>
          <w:b/>
          <w:sz w:val="24"/>
          <w:szCs w:val="24"/>
        </w:rPr>
      </w:pPr>
      <w:r>
        <w:rPr>
          <w:b/>
          <w:sz w:val="24"/>
          <w:szCs w:val="24"/>
        </w:rPr>
        <w:lastRenderedPageBreak/>
        <w:t>VI. Recomendaciones</w:t>
      </w:r>
    </w:p>
    <w:p w14:paraId="4D6E760E" w14:textId="77777777" w:rsidR="001F2A67" w:rsidRDefault="00000000">
      <w:pPr>
        <w:keepNext/>
        <w:keepLines/>
        <w:spacing w:before="240" w:line="360" w:lineRule="auto"/>
        <w:ind w:firstLine="1133"/>
        <w:jc w:val="both"/>
        <w:rPr>
          <w:sz w:val="24"/>
          <w:szCs w:val="24"/>
        </w:rPr>
      </w:pPr>
      <w:r>
        <w:rPr>
          <w:sz w:val="24"/>
          <w:szCs w:val="24"/>
        </w:rPr>
        <w:t>En cuanto a los resultados obtenidos se recomienda que la universidad implemente un equipo de programa de apoyo emocional y psicológico, los cuales estén orientados a la prevención y manejo del estrés en los universitarios, además de tener espacios seguros, los cuales permitan una adecuada expresión emocional esto incorporado con talleres de habilidades frente al manejo, organización y gestión emocional con herramientas de afrontamiento que puedan fortalecer el bienestar emocional.</w:t>
      </w:r>
    </w:p>
    <w:p w14:paraId="21B3E6CE" w14:textId="77777777" w:rsidR="001F2A67" w:rsidRDefault="00000000">
      <w:pPr>
        <w:keepNext/>
        <w:keepLines/>
        <w:spacing w:before="240" w:line="360" w:lineRule="auto"/>
        <w:ind w:firstLine="1133"/>
        <w:jc w:val="both"/>
        <w:rPr>
          <w:sz w:val="24"/>
          <w:szCs w:val="24"/>
        </w:rPr>
      </w:pPr>
      <w:r>
        <w:rPr>
          <w:sz w:val="24"/>
          <w:szCs w:val="24"/>
        </w:rPr>
        <w:t>Por otro lado es importante la capacitación al personal docente, para la obtención de información sobre los signos de estrés correspondientes a los estudiantes y de esta manera actuar de forma factible frente un ambiente universitario empático, consciente de las cargas académicas y mejor adaptación dentro de los métodos de evaluación, todo esto bajo la política institucional que logre priorizar el desarrollo integral del estudiante universitario, generando a un equilibrio adecuado frente a las exigencias académicas y de esta manera tomar como primordial el bienestar emocional.</w:t>
      </w:r>
    </w:p>
    <w:p w14:paraId="0DAA4002" w14:textId="77777777" w:rsidR="001F2A67" w:rsidRDefault="00000000">
      <w:pPr>
        <w:keepNext/>
        <w:keepLines/>
        <w:spacing w:before="240" w:line="360" w:lineRule="auto"/>
        <w:ind w:firstLine="1133"/>
        <w:jc w:val="both"/>
        <w:rPr>
          <w:sz w:val="24"/>
          <w:szCs w:val="24"/>
        </w:rPr>
      </w:pPr>
      <w:r>
        <w:rPr>
          <w:sz w:val="24"/>
          <w:szCs w:val="24"/>
        </w:rPr>
        <w:t>Se recomienda un mayor monitoreo  correspondientes a los directivos de las distintas áreas y comités para detectar a tiempo el estrés en los estudiantes y de esta manera puedan promocionar asesorías individuales o grupales, además de llevar prácticas de conductas positivas por medio de capacitaciones y talleres, esto en cuanto a detección del cuadro de estrés dentro de los estudiantes y de esta forma se pueda llevar un mejor seguimiento.</w:t>
      </w:r>
    </w:p>
    <w:p w14:paraId="57665807" w14:textId="77777777" w:rsidR="001F2A67" w:rsidRDefault="00000000">
      <w:pPr>
        <w:keepNext/>
        <w:keepLines/>
        <w:spacing w:before="240" w:line="360" w:lineRule="auto"/>
        <w:ind w:firstLine="1133"/>
        <w:jc w:val="both"/>
        <w:rPr>
          <w:sz w:val="24"/>
          <w:szCs w:val="24"/>
        </w:rPr>
      </w:pPr>
      <w:r>
        <w:rPr>
          <w:sz w:val="24"/>
          <w:szCs w:val="24"/>
        </w:rPr>
        <w:t>Es imperativo realizar investigaciones para identificar  qué factores influyen en la dedicación al estudio de los universitarios peruanos, debido a que se obtuvo un 95% en una nivel bajo; será causante de factores distractores o factores relacionados netamente con el estudiante y su motivación.</w:t>
      </w:r>
    </w:p>
    <w:p w14:paraId="0C4BF371" w14:textId="77777777" w:rsidR="001F2A67" w:rsidRDefault="001F2A67">
      <w:pPr>
        <w:keepNext/>
        <w:keepLines/>
        <w:spacing w:before="240" w:line="360" w:lineRule="auto"/>
        <w:jc w:val="both"/>
        <w:rPr>
          <w:sz w:val="24"/>
          <w:szCs w:val="24"/>
        </w:rPr>
      </w:pPr>
    </w:p>
    <w:p w14:paraId="58C6E2EF" w14:textId="77777777" w:rsidR="001F2A67" w:rsidRDefault="001F2A67">
      <w:pPr>
        <w:keepNext/>
        <w:keepLines/>
        <w:spacing w:before="240" w:line="360" w:lineRule="auto"/>
        <w:jc w:val="both"/>
        <w:rPr>
          <w:sz w:val="24"/>
          <w:szCs w:val="24"/>
        </w:rPr>
      </w:pPr>
    </w:p>
    <w:p w14:paraId="60FCBD18" w14:textId="77777777" w:rsidR="001F2A67" w:rsidRDefault="001F2A67">
      <w:pPr>
        <w:keepNext/>
        <w:keepLines/>
        <w:spacing w:before="240" w:line="360" w:lineRule="auto"/>
        <w:jc w:val="both"/>
        <w:rPr>
          <w:sz w:val="24"/>
          <w:szCs w:val="24"/>
        </w:rPr>
      </w:pPr>
    </w:p>
    <w:p w14:paraId="5AEF2C7E" w14:textId="77777777" w:rsidR="001F2A67" w:rsidRDefault="00000000">
      <w:pPr>
        <w:spacing w:before="240"/>
        <w:ind w:firstLine="1133"/>
        <w:jc w:val="center"/>
        <w:rPr>
          <w:b/>
          <w:sz w:val="24"/>
          <w:szCs w:val="24"/>
        </w:rPr>
      </w:pPr>
      <w:r>
        <w:rPr>
          <w:b/>
          <w:sz w:val="24"/>
          <w:szCs w:val="24"/>
        </w:rPr>
        <w:lastRenderedPageBreak/>
        <w:t>Referencias</w:t>
      </w:r>
    </w:p>
    <w:p w14:paraId="248AB165" w14:textId="77777777" w:rsidR="001F2A67" w:rsidRDefault="001F2A67">
      <w:pPr>
        <w:spacing w:before="240"/>
        <w:ind w:firstLine="1133"/>
        <w:rPr>
          <w:b/>
          <w:sz w:val="24"/>
          <w:szCs w:val="24"/>
        </w:rPr>
      </w:pPr>
    </w:p>
    <w:p w14:paraId="77C43E70" w14:textId="77777777" w:rsidR="001F2A67" w:rsidRDefault="00000000">
      <w:pPr>
        <w:spacing w:before="240" w:line="360" w:lineRule="auto"/>
        <w:ind w:left="1003" w:hanging="720"/>
        <w:jc w:val="both"/>
        <w:rPr>
          <w:sz w:val="24"/>
          <w:szCs w:val="24"/>
        </w:rPr>
      </w:pPr>
      <w:r>
        <w:rPr>
          <w:sz w:val="24"/>
          <w:szCs w:val="24"/>
        </w:rPr>
        <w:t xml:space="preserve">Aroca, P., García, C., y López, J. (2009). Estadística descriptiva e inferencial. Revista el auge de la estadística en el siglo XX, 22, 165-176. </w:t>
      </w:r>
      <w:hyperlink r:id="rId22">
        <w:r>
          <w:rPr>
            <w:color w:val="1155CC"/>
            <w:sz w:val="24"/>
            <w:szCs w:val="24"/>
            <w:u w:val="single"/>
          </w:rPr>
          <w:t>https://acortar.link/eKfkiM</w:t>
        </w:r>
      </w:hyperlink>
      <w:r>
        <w:rPr>
          <w:sz w:val="24"/>
          <w:szCs w:val="24"/>
        </w:rPr>
        <w:t xml:space="preserve"> </w:t>
      </w:r>
    </w:p>
    <w:p w14:paraId="3E9C4B38" w14:textId="77777777" w:rsidR="001F2A67" w:rsidRDefault="00000000">
      <w:pPr>
        <w:spacing w:before="240" w:line="360" w:lineRule="auto"/>
        <w:ind w:left="1003" w:hanging="720"/>
        <w:jc w:val="both"/>
        <w:rPr>
          <w:sz w:val="24"/>
          <w:szCs w:val="24"/>
        </w:rPr>
      </w:pPr>
      <w:r>
        <w:rPr>
          <w:sz w:val="24"/>
          <w:szCs w:val="24"/>
        </w:rPr>
        <w:t xml:space="preserve">Angulo, D., Nivela, C, Chiriguayo, J., Zuñiga, G., y De León, T. (2020). La relajación y estrés laboral en el personal docente: una revisión sistemática. </w:t>
      </w:r>
      <w:r>
        <w:rPr>
          <w:i/>
          <w:sz w:val="24"/>
          <w:szCs w:val="24"/>
        </w:rPr>
        <w:t>Lecturas: Educación Física y Deportes</w:t>
      </w:r>
      <w:r>
        <w:rPr>
          <w:sz w:val="24"/>
          <w:szCs w:val="24"/>
        </w:rPr>
        <w:t xml:space="preserve">, 25(266). </w:t>
      </w:r>
      <w:hyperlink r:id="rId23">
        <w:r>
          <w:rPr>
            <w:color w:val="1155CC"/>
            <w:sz w:val="24"/>
            <w:szCs w:val="24"/>
            <w:u w:val="single"/>
          </w:rPr>
          <w:t>https://www.efdeportes.com/efdeportes/index.php/EFDeportes/article/download/1617/1250?inline=1</w:t>
        </w:r>
      </w:hyperlink>
      <w:r>
        <w:rPr>
          <w:sz w:val="24"/>
          <w:szCs w:val="24"/>
        </w:rPr>
        <w:t xml:space="preserve"> </w:t>
      </w:r>
    </w:p>
    <w:p w14:paraId="0CFE78FD" w14:textId="77777777" w:rsidR="001F2A67" w:rsidRDefault="00000000">
      <w:pPr>
        <w:spacing w:before="240" w:line="360" w:lineRule="auto"/>
        <w:ind w:left="1003" w:hanging="720"/>
        <w:jc w:val="both"/>
        <w:rPr>
          <w:sz w:val="24"/>
          <w:szCs w:val="24"/>
        </w:rPr>
      </w:pPr>
      <w:r>
        <w:rPr>
          <w:sz w:val="24"/>
          <w:szCs w:val="24"/>
        </w:rPr>
        <w:t xml:space="preserve">Armenta, L., Quiroz, C., Abundis, F., y Zea, A. (2020). Influencia del estrés en el rendimiento académico de estudiantes universitarios. </w:t>
      </w:r>
      <w:r>
        <w:rPr>
          <w:i/>
          <w:sz w:val="24"/>
          <w:szCs w:val="24"/>
        </w:rPr>
        <w:t>Revista espacios</w:t>
      </w:r>
      <w:r>
        <w:rPr>
          <w:sz w:val="24"/>
          <w:szCs w:val="24"/>
        </w:rPr>
        <w:t xml:space="preserve">, 41(48), 4-10. </w:t>
      </w:r>
      <w:hyperlink r:id="rId24">
        <w:r>
          <w:rPr>
            <w:color w:val="1155CC"/>
            <w:sz w:val="24"/>
            <w:szCs w:val="24"/>
            <w:u w:val="single"/>
          </w:rPr>
          <w:t>https://revistaespacios.com/a20v41n48/a20v41n48p30.pdf</w:t>
        </w:r>
      </w:hyperlink>
      <w:r>
        <w:rPr>
          <w:sz w:val="24"/>
          <w:szCs w:val="24"/>
        </w:rPr>
        <w:t xml:space="preserve"> </w:t>
      </w:r>
    </w:p>
    <w:p w14:paraId="19744CFE" w14:textId="77777777" w:rsidR="001F2A67" w:rsidRDefault="00000000">
      <w:pPr>
        <w:spacing w:before="240" w:line="360" w:lineRule="auto"/>
        <w:ind w:left="1003" w:hanging="720"/>
        <w:jc w:val="both"/>
        <w:rPr>
          <w:sz w:val="24"/>
          <w:szCs w:val="24"/>
        </w:rPr>
      </w:pPr>
      <w:r>
        <w:rPr>
          <w:sz w:val="24"/>
          <w:szCs w:val="24"/>
        </w:rPr>
        <w:t xml:space="preserve">Cuenca, N., Robladillo, L., Meneses, M. , y Suyo Vega, J. (2020). Salud mental en adolescentes universitarios Latinoamericanos: Revisión sistemática. Archivos venezolanos de farmacología y terapéutica, 39(6), 689-705. </w:t>
      </w:r>
      <w:hyperlink r:id="rId25">
        <w:r>
          <w:rPr>
            <w:color w:val="1155CC"/>
            <w:sz w:val="24"/>
            <w:szCs w:val="24"/>
            <w:u w:val="single"/>
          </w:rPr>
          <w:t>https://biblat.unam.mx/es/revista/archivos-venezolanos-de-farmacologia-y-terapeutica/articulo/salud-mental-en-adolescentes-universitarios-latinoamericanos-revision-sistematica</w:t>
        </w:r>
      </w:hyperlink>
      <w:r>
        <w:rPr>
          <w:sz w:val="24"/>
          <w:szCs w:val="24"/>
        </w:rPr>
        <w:t xml:space="preserve"> </w:t>
      </w:r>
    </w:p>
    <w:p w14:paraId="1DBA5FE7" w14:textId="77777777" w:rsidR="001F2A67" w:rsidRDefault="00000000">
      <w:pPr>
        <w:spacing w:before="240" w:line="360" w:lineRule="auto"/>
        <w:ind w:left="1003" w:hanging="720"/>
        <w:jc w:val="both"/>
        <w:rPr>
          <w:sz w:val="24"/>
          <w:szCs w:val="24"/>
        </w:rPr>
      </w:pPr>
      <w:r>
        <w:rPr>
          <w:sz w:val="24"/>
          <w:szCs w:val="24"/>
        </w:rPr>
        <w:t xml:space="preserve">De Lourdes, M., Ángel, M., Colunga, C., Vázquez, J., Esparza, M., Vázquez, C., y Obando, M. (2021). Construcción y validación de la Escala RAU de rendimiento académico universitario. </w:t>
      </w:r>
      <w:r>
        <w:rPr>
          <w:i/>
          <w:sz w:val="24"/>
          <w:szCs w:val="24"/>
        </w:rPr>
        <w:t>Revista Iberoamericana de Diagnóstico y Evaluación Psicológica</w:t>
      </w:r>
      <w:r>
        <w:rPr>
          <w:sz w:val="24"/>
          <w:szCs w:val="24"/>
        </w:rPr>
        <w:t xml:space="preserve">, 3(60), 5-14. </w:t>
      </w:r>
      <w:hyperlink r:id="rId26">
        <w:r>
          <w:rPr>
            <w:color w:val="1155CC"/>
            <w:sz w:val="24"/>
            <w:szCs w:val="24"/>
            <w:u w:val="single"/>
          </w:rPr>
          <w:t>https://dialnet.unirioja.es/servlet/articulo?codigo=8416180</w:t>
        </w:r>
      </w:hyperlink>
      <w:r>
        <w:rPr>
          <w:sz w:val="24"/>
          <w:szCs w:val="24"/>
        </w:rPr>
        <w:t xml:space="preserve">   </w:t>
      </w:r>
    </w:p>
    <w:p w14:paraId="11FDDA2B" w14:textId="77777777" w:rsidR="001F2A67" w:rsidRDefault="00000000">
      <w:pPr>
        <w:spacing w:before="240" w:line="360" w:lineRule="auto"/>
        <w:ind w:left="1003" w:hanging="720"/>
        <w:jc w:val="both"/>
        <w:rPr>
          <w:sz w:val="24"/>
          <w:szCs w:val="24"/>
        </w:rPr>
      </w:pPr>
      <w:r>
        <w:rPr>
          <w:sz w:val="24"/>
          <w:szCs w:val="24"/>
        </w:rPr>
        <w:t xml:space="preserve">Escobar, E., Soria, B., López, G., y Peñafiel ,D. (2018). Manejo del estrés académico; revisión crítica. Atlante Cuadernos de Educación y Desarrollo. </w:t>
      </w:r>
      <w:hyperlink r:id="rId27">
        <w:r>
          <w:rPr>
            <w:color w:val="1155CC"/>
            <w:sz w:val="24"/>
            <w:szCs w:val="24"/>
            <w:u w:val="single"/>
          </w:rPr>
          <w:t>https://www.eumed.net/rev/atlante/2018/08/estres-academico.html?fb</w:t>
        </w:r>
      </w:hyperlink>
      <w:r>
        <w:rPr>
          <w:sz w:val="24"/>
          <w:szCs w:val="24"/>
        </w:rPr>
        <w:t xml:space="preserve">  </w:t>
      </w:r>
    </w:p>
    <w:p w14:paraId="52A74E68" w14:textId="77777777" w:rsidR="001F2A67" w:rsidRDefault="00000000">
      <w:pPr>
        <w:spacing w:before="240" w:line="360" w:lineRule="auto"/>
        <w:ind w:left="1003" w:hanging="720"/>
        <w:jc w:val="both"/>
        <w:rPr>
          <w:sz w:val="24"/>
          <w:szCs w:val="24"/>
        </w:rPr>
      </w:pPr>
      <w:r>
        <w:rPr>
          <w:sz w:val="24"/>
          <w:szCs w:val="24"/>
        </w:rPr>
        <w:t xml:space="preserve">Espinosa, J., Hernández, J., Rodríguez, J., Rodrígue, J., Chacín, M., y Bermúdez, V. (2020). Influencia del estrés sobre el rendimiento académico. </w:t>
      </w:r>
      <w:r>
        <w:rPr>
          <w:i/>
          <w:sz w:val="24"/>
          <w:szCs w:val="24"/>
        </w:rPr>
        <w:t>Archivos Venezolanos De Farmacología Y Terapéutica</w:t>
      </w:r>
      <w:r>
        <w:rPr>
          <w:sz w:val="24"/>
          <w:szCs w:val="24"/>
        </w:rPr>
        <w:t xml:space="preserve">, 39(1), 63-69.  </w:t>
      </w:r>
      <w:hyperlink r:id="rId28">
        <w:r>
          <w:rPr>
            <w:color w:val="1155CC"/>
            <w:sz w:val="24"/>
            <w:szCs w:val="24"/>
            <w:u w:val="single"/>
          </w:rPr>
          <w:t>https://doi.org/10.5281/zenodo.4065032</w:t>
        </w:r>
      </w:hyperlink>
      <w:r>
        <w:rPr>
          <w:sz w:val="24"/>
          <w:szCs w:val="24"/>
        </w:rPr>
        <w:t xml:space="preserve"> </w:t>
      </w:r>
    </w:p>
    <w:p w14:paraId="7777BAC1" w14:textId="77777777" w:rsidR="001F2A67" w:rsidRDefault="00000000">
      <w:pPr>
        <w:spacing w:before="240" w:line="360" w:lineRule="auto"/>
        <w:ind w:left="1003" w:hanging="720"/>
        <w:jc w:val="both"/>
        <w:rPr>
          <w:sz w:val="24"/>
          <w:szCs w:val="24"/>
        </w:rPr>
      </w:pPr>
      <w:r>
        <w:rPr>
          <w:sz w:val="24"/>
          <w:szCs w:val="24"/>
        </w:rPr>
        <w:t>Florián Díaz, Z., &amp; Miranda Vergara, A. (2024). Nivel de estrés y rendimiento académico en estudiantes de enfermería del primer ciclo de una universidad privada, Trujillo-2023.</w:t>
      </w:r>
      <w:hyperlink r:id="rId29">
        <w:r>
          <w:rPr>
            <w:color w:val="1155CC"/>
            <w:sz w:val="24"/>
            <w:szCs w:val="24"/>
            <w:u w:val="single"/>
          </w:rPr>
          <w:t>https://repositorio.upao.edu.pe/handle/20.500.12759/20191</w:t>
        </w:r>
      </w:hyperlink>
      <w:r>
        <w:rPr>
          <w:sz w:val="24"/>
          <w:szCs w:val="24"/>
        </w:rPr>
        <w:t xml:space="preserve"> </w:t>
      </w:r>
    </w:p>
    <w:p w14:paraId="47446930" w14:textId="77777777" w:rsidR="001F2A67" w:rsidRDefault="00000000">
      <w:pPr>
        <w:spacing w:before="240" w:line="360" w:lineRule="auto"/>
        <w:ind w:left="1003" w:hanging="720"/>
        <w:jc w:val="both"/>
        <w:rPr>
          <w:sz w:val="24"/>
          <w:szCs w:val="24"/>
        </w:rPr>
      </w:pPr>
      <w:r>
        <w:rPr>
          <w:sz w:val="24"/>
          <w:szCs w:val="24"/>
        </w:rPr>
        <w:t>Gonzales Lippe, J. (2022). Factores asociados y rendimiento académico en estudiantes universitarios de medicina humana, Piura-2022 [Tesis de maestría, Universidad Cesar Vallejo].</w:t>
      </w:r>
      <w:hyperlink r:id="rId30">
        <w:r>
          <w:rPr>
            <w:color w:val="1155CC"/>
            <w:sz w:val="24"/>
            <w:szCs w:val="24"/>
            <w:u w:val="single"/>
          </w:rPr>
          <w:t>https://repositorio.ucv.edu.pe/handle/20.500.12692/96734</w:t>
        </w:r>
      </w:hyperlink>
      <w:r>
        <w:rPr>
          <w:sz w:val="24"/>
          <w:szCs w:val="24"/>
        </w:rPr>
        <w:t xml:space="preserve"> </w:t>
      </w:r>
    </w:p>
    <w:p w14:paraId="26841FA5" w14:textId="77777777" w:rsidR="001F2A67" w:rsidRDefault="00000000">
      <w:pPr>
        <w:spacing w:before="240" w:line="360" w:lineRule="auto"/>
        <w:ind w:left="1003" w:hanging="720"/>
        <w:jc w:val="both"/>
        <w:rPr>
          <w:sz w:val="24"/>
          <w:szCs w:val="24"/>
        </w:rPr>
      </w:pPr>
      <w:r>
        <w:rPr>
          <w:sz w:val="24"/>
          <w:szCs w:val="24"/>
        </w:rPr>
        <w:t xml:space="preserve">Gutiérrez, J., Garzón, J., y Segura, A. (2021). Factores asociados al rendimiento académico en estudiantes universitarios. </w:t>
      </w:r>
      <w:r>
        <w:rPr>
          <w:i/>
          <w:sz w:val="24"/>
          <w:szCs w:val="24"/>
        </w:rPr>
        <w:t>Formación Universitaria</w:t>
      </w:r>
      <w:r>
        <w:rPr>
          <w:sz w:val="24"/>
          <w:szCs w:val="24"/>
        </w:rPr>
        <w:t>, 14 (1), 13-24.</w:t>
      </w:r>
      <w:hyperlink r:id="rId31">
        <w:r>
          <w:rPr>
            <w:color w:val="1155CC"/>
            <w:sz w:val="24"/>
            <w:szCs w:val="24"/>
            <w:u w:val="single"/>
          </w:rPr>
          <w:t>https://dx.doi.org/10.4067/S0718-50062021000100013</w:t>
        </w:r>
      </w:hyperlink>
      <w:r>
        <w:rPr>
          <w:sz w:val="24"/>
          <w:szCs w:val="24"/>
        </w:rPr>
        <w:t xml:space="preserve"> </w:t>
      </w:r>
    </w:p>
    <w:p w14:paraId="35BEC22D" w14:textId="77777777" w:rsidR="001F2A67" w:rsidRDefault="00000000">
      <w:pPr>
        <w:spacing w:before="240" w:line="360" w:lineRule="auto"/>
        <w:ind w:left="1003" w:hanging="720"/>
        <w:jc w:val="both"/>
        <w:rPr>
          <w:sz w:val="24"/>
          <w:szCs w:val="24"/>
        </w:rPr>
      </w:pPr>
      <w:r>
        <w:rPr>
          <w:sz w:val="24"/>
          <w:szCs w:val="24"/>
        </w:rPr>
        <w:t xml:space="preserve">Hernández, R. y Mendoza. (2018). Metodología de la Investigación. Las rutas cuantitativas,cualitativas y mixtas. McGraw-Hill Education. </w:t>
      </w:r>
      <w:hyperlink r:id="rId32" w:anchor="?c=&amp;m=&amp;s=&amp;cv=">
        <w:r>
          <w:rPr>
            <w:color w:val="1155CC"/>
            <w:sz w:val="24"/>
            <w:szCs w:val="24"/>
            <w:u w:val="single"/>
          </w:rPr>
          <w:t xml:space="preserve">https://bibliotecadigital.uce.edu.ec/s/L-D/item/793#?c=&amp;m=&amp;s=&amp;cv=f </w:t>
        </w:r>
      </w:hyperlink>
      <w:r>
        <w:rPr>
          <w:sz w:val="24"/>
          <w:szCs w:val="24"/>
        </w:rPr>
        <w:t xml:space="preserve"> </w:t>
      </w:r>
    </w:p>
    <w:p w14:paraId="722C0BE4" w14:textId="77777777" w:rsidR="001F2A67" w:rsidRDefault="00000000">
      <w:pPr>
        <w:spacing w:before="240" w:line="360" w:lineRule="auto"/>
        <w:ind w:left="1003" w:hanging="720"/>
        <w:jc w:val="both"/>
        <w:rPr>
          <w:sz w:val="24"/>
          <w:szCs w:val="24"/>
        </w:rPr>
      </w:pPr>
      <w:r>
        <w:rPr>
          <w:sz w:val="24"/>
          <w:szCs w:val="24"/>
        </w:rPr>
        <w:t xml:space="preserve">Hernández Sampieri, Roberto, Fernández Collado, Carlos, Baptista Lucio, María del Pilar (2014). Metodología de la investigación (6° ed.). México: McGraw Hill Interamericana Editores S.A. de C.V. </w:t>
      </w:r>
      <w:hyperlink r:id="rId33">
        <w:r>
          <w:rPr>
            <w:color w:val="1155CC"/>
            <w:sz w:val="24"/>
            <w:szCs w:val="24"/>
            <w:u w:val="single"/>
          </w:rPr>
          <w:t>https://acortar.link/rWf7Dl</w:t>
        </w:r>
      </w:hyperlink>
      <w:r>
        <w:rPr>
          <w:sz w:val="24"/>
          <w:szCs w:val="24"/>
        </w:rPr>
        <w:t xml:space="preserve"> </w:t>
      </w:r>
    </w:p>
    <w:p w14:paraId="1ED117FA" w14:textId="77777777" w:rsidR="001F2A67" w:rsidRDefault="00000000">
      <w:pPr>
        <w:spacing w:before="240" w:line="360" w:lineRule="auto"/>
        <w:ind w:left="1003" w:hanging="720"/>
        <w:jc w:val="both"/>
        <w:rPr>
          <w:sz w:val="24"/>
          <w:szCs w:val="24"/>
        </w:rPr>
      </w:pPr>
      <w:r w:rsidRPr="00812EE8">
        <w:rPr>
          <w:sz w:val="24"/>
          <w:szCs w:val="24"/>
          <w:lang w:val="en-US"/>
        </w:rPr>
        <w:t xml:space="preserve">Lee, E. (2012). Review of the psychometric evidence of the Perceived Stress Scale. </w:t>
      </w:r>
      <w:r>
        <w:rPr>
          <w:sz w:val="24"/>
          <w:szCs w:val="24"/>
        </w:rPr>
        <w:t xml:space="preserve">Asian Nursing Research, 6(4), 121–127. </w:t>
      </w:r>
      <w:hyperlink r:id="rId34">
        <w:r>
          <w:rPr>
            <w:color w:val="1155CC"/>
            <w:sz w:val="24"/>
            <w:szCs w:val="24"/>
            <w:u w:val="single"/>
          </w:rPr>
          <w:t>https://doi.org/10.1016/j.anr.2012.08.004</w:t>
        </w:r>
      </w:hyperlink>
      <w:r>
        <w:rPr>
          <w:sz w:val="24"/>
          <w:szCs w:val="24"/>
        </w:rPr>
        <w:t xml:space="preserve"> </w:t>
      </w:r>
    </w:p>
    <w:p w14:paraId="569185E5" w14:textId="77777777" w:rsidR="001F2A67" w:rsidRDefault="00000000">
      <w:pPr>
        <w:spacing w:before="240" w:line="360" w:lineRule="auto"/>
        <w:ind w:left="1003" w:hanging="720"/>
        <w:jc w:val="both"/>
        <w:rPr>
          <w:sz w:val="24"/>
          <w:szCs w:val="24"/>
        </w:rPr>
      </w:pPr>
      <w:r>
        <w:rPr>
          <w:sz w:val="24"/>
          <w:szCs w:val="24"/>
        </w:rPr>
        <w:t xml:space="preserve">Licht Ardila, V., Soto Gualdrón, S., y Ángulo, R. (2021). Nivel de estrés y rendimiento académico en estudiantes universitarios que trabajan y los que no. Espacios, 42(7), 82-90. </w:t>
      </w:r>
      <w:hyperlink r:id="rId35">
        <w:r>
          <w:rPr>
            <w:color w:val="1155CC"/>
            <w:sz w:val="24"/>
            <w:szCs w:val="24"/>
            <w:u w:val="single"/>
          </w:rPr>
          <w:t>https://www.revistaespacios.com/a21v42n07/a21v42n07p06.pdf</w:t>
        </w:r>
      </w:hyperlink>
      <w:r>
        <w:rPr>
          <w:sz w:val="24"/>
          <w:szCs w:val="24"/>
        </w:rPr>
        <w:t xml:space="preserve"> </w:t>
      </w:r>
    </w:p>
    <w:p w14:paraId="27CA8540" w14:textId="77777777" w:rsidR="001F2A67" w:rsidRDefault="00000000">
      <w:pPr>
        <w:spacing w:before="240" w:line="360" w:lineRule="auto"/>
        <w:ind w:left="1003" w:hanging="720"/>
        <w:jc w:val="both"/>
        <w:rPr>
          <w:sz w:val="24"/>
          <w:szCs w:val="24"/>
        </w:rPr>
      </w:pPr>
      <w:r>
        <w:rPr>
          <w:sz w:val="24"/>
          <w:szCs w:val="24"/>
        </w:rPr>
        <w:t>Miranda, M. y Zazueta, L. (2021). Efectos del Estrés en el Rendimiento Académico de los Estudiantes de la Licenciatura de Psicología. Revista de Investigación Académica Sin Frontera: Facultad Interdisciplinaria de Ciencias Económicas Administrativas-Departamento de Ciencias Económico Administrativas-</w:t>
      </w:r>
      <w:r>
        <w:rPr>
          <w:sz w:val="24"/>
          <w:szCs w:val="24"/>
        </w:rPr>
        <w:lastRenderedPageBreak/>
        <w:t xml:space="preserve">Campus Navojoa, (36). </w:t>
      </w:r>
      <w:hyperlink r:id="rId36">
        <w:r>
          <w:rPr>
            <w:color w:val="1155CC"/>
            <w:sz w:val="24"/>
            <w:szCs w:val="24"/>
            <w:u w:val="single"/>
          </w:rPr>
          <w:t>https://revistainvestigacionacademicasinfrontera.unison.mx/index.php/RDIASF/article/view/388/404</w:t>
        </w:r>
      </w:hyperlink>
      <w:r>
        <w:rPr>
          <w:sz w:val="24"/>
          <w:szCs w:val="24"/>
        </w:rPr>
        <w:t xml:space="preserve"> </w:t>
      </w:r>
    </w:p>
    <w:p w14:paraId="1F66A0AC" w14:textId="77777777" w:rsidR="001F2A67" w:rsidRDefault="00000000">
      <w:pPr>
        <w:spacing w:before="240" w:line="360" w:lineRule="auto"/>
        <w:ind w:left="1003" w:hanging="720"/>
        <w:jc w:val="both"/>
        <w:rPr>
          <w:sz w:val="24"/>
          <w:szCs w:val="24"/>
        </w:rPr>
      </w:pPr>
      <w:r>
        <w:rPr>
          <w:sz w:val="24"/>
          <w:szCs w:val="24"/>
        </w:rPr>
        <w:t xml:space="preserve">OCDE. (2015). Manual de Frascati. </w:t>
      </w:r>
      <w:hyperlink r:id="rId37">
        <w:r>
          <w:rPr>
            <w:color w:val="1155CC"/>
            <w:sz w:val="24"/>
            <w:szCs w:val="24"/>
            <w:u w:val="single"/>
          </w:rPr>
          <w:t>https://www.oecd.org/es/publications/2015/10/frascati-manual-2015_g1g57dcb.html</w:t>
        </w:r>
      </w:hyperlink>
      <w:r>
        <w:rPr>
          <w:sz w:val="24"/>
          <w:szCs w:val="24"/>
        </w:rPr>
        <w:t xml:space="preserve"> </w:t>
      </w:r>
    </w:p>
    <w:p w14:paraId="3F2EB7B5" w14:textId="77777777" w:rsidR="001F2A67" w:rsidRDefault="00000000">
      <w:pPr>
        <w:spacing w:before="240" w:line="360" w:lineRule="auto"/>
        <w:ind w:left="1003" w:hanging="720"/>
        <w:jc w:val="both"/>
        <w:rPr>
          <w:sz w:val="24"/>
          <w:szCs w:val="24"/>
        </w:rPr>
      </w:pPr>
      <w:r>
        <w:rPr>
          <w:sz w:val="24"/>
          <w:szCs w:val="24"/>
        </w:rPr>
        <w:t>Ore, A., y Vilchez De la Cruz, E. (2024). Niveles de estrés y rendimiento académico en estudiantes de Enfermería de la Universidad Continental, Huancayo, 2023.</w:t>
      </w:r>
      <w:hyperlink r:id="rId38">
        <w:r>
          <w:rPr>
            <w:color w:val="1155CC"/>
            <w:sz w:val="24"/>
            <w:szCs w:val="24"/>
            <w:u w:val="single"/>
          </w:rPr>
          <w:t>https://repositorio.continental.edu.pe/handle/20.500.12394/16002</w:t>
        </w:r>
      </w:hyperlink>
    </w:p>
    <w:p w14:paraId="7E4A70B1" w14:textId="77777777" w:rsidR="001F2A67" w:rsidRDefault="00000000">
      <w:pPr>
        <w:spacing w:before="240" w:line="360" w:lineRule="auto"/>
        <w:ind w:left="1003" w:hanging="720"/>
        <w:jc w:val="both"/>
        <w:rPr>
          <w:sz w:val="24"/>
          <w:szCs w:val="24"/>
        </w:rPr>
      </w:pPr>
      <w:r>
        <w:rPr>
          <w:sz w:val="24"/>
          <w:szCs w:val="24"/>
        </w:rPr>
        <w:t>Quiñones, J. L. P., Montalvo, A. T. G., Chamilco, P. V. C., y Alomía, E. R. E. (2022). Glosario de instrumentos psicológicos: definición de 14 instrumentos más utilizados en psicología. PsiqueMag, 11(1), 28-41.</w:t>
      </w:r>
      <w:hyperlink r:id="rId39">
        <w:r>
          <w:rPr>
            <w:color w:val="1155CC"/>
            <w:sz w:val="24"/>
            <w:szCs w:val="24"/>
            <w:u w:val="single"/>
          </w:rPr>
          <w:t>https://revistas.ucv.edu.pe/index.php/psiquemag/article/view/278/264</w:t>
        </w:r>
      </w:hyperlink>
      <w:r>
        <w:rPr>
          <w:sz w:val="24"/>
          <w:szCs w:val="24"/>
        </w:rPr>
        <w:t xml:space="preserve"> </w:t>
      </w:r>
    </w:p>
    <w:p w14:paraId="08D2439F" w14:textId="77777777" w:rsidR="001F2A67" w:rsidRDefault="00000000">
      <w:pPr>
        <w:spacing w:before="240" w:line="360" w:lineRule="auto"/>
        <w:ind w:left="1003" w:hanging="720"/>
        <w:jc w:val="both"/>
        <w:rPr>
          <w:sz w:val="24"/>
          <w:szCs w:val="24"/>
        </w:rPr>
      </w:pPr>
      <w:r>
        <w:rPr>
          <w:sz w:val="24"/>
          <w:szCs w:val="24"/>
        </w:rPr>
        <w:t>Ramirez, A. y Trujillo B. (2025).El estrés y la metacognición en el área de biología de los estudiantes de una universidad pública de Lima, 2024 [Tesis de Maestría, Universidad Cesar Vallejo].</w:t>
      </w:r>
      <w:hyperlink r:id="rId40">
        <w:r>
          <w:rPr>
            <w:color w:val="1155CC"/>
            <w:sz w:val="24"/>
            <w:szCs w:val="24"/>
            <w:u w:val="single"/>
          </w:rPr>
          <w:t>https://repositorio.ucv.edu.pe/handle/20.500.12692/16331</w:t>
        </w:r>
      </w:hyperlink>
      <w:r>
        <w:rPr>
          <w:sz w:val="24"/>
          <w:szCs w:val="24"/>
        </w:rPr>
        <w:t xml:space="preserve"> </w:t>
      </w:r>
    </w:p>
    <w:p w14:paraId="0578CE0F" w14:textId="77777777" w:rsidR="001F2A67" w:rsidRDefault="00000000">
      <w:pPr>
        <w:spacing w:before="240" w:line="360" w:lineRule="auto"/>
        <w:ind w:left="1003" w:hanging="720"/>
        <w:jc w:val="both"/>
        <w:rPr>
          <w:sz w:val="24"/>
          <w:szCs w:val="24"/>
        </w:rPr>
      </w:pPr>
      <w:r>
        <w:rPr>
          <w:sz w:val="24"/>
          <w:szCs w:val="24"/>
        </w:rPr>
        <w:t xml:space="preserve">Reyna, C., Mola, D., y Correa, P. (2019). Escala de Estrés Percibido: análisis psicométrico desde la TCT y la TRI. Ansiedad y Estrés, 25(2), 138-147. </w:t>
      </w:r>
      <w:hyperlink r:id="rId41">
        <w:r>
          <w:rPr>
            <w:color w:val="1155CC"/>
            <w:sz w:val="24"/>
            <w:szCs w:val="24"/>
            <w:u w:val="single"/>
          </w:rPr>
          <w:t>https://dialnet.unirioja.es/servlet/articulo?codigo=7287712</w:t>
        </w:r>
      </w:hyperlink>
      <w:r>
        <w:rPr>
          <w:sz w:val="24"/>
          <w:szCs w:val="24"/>
        </w:rPr>
        <w:t xml:space="preserve"> </w:t>
      </w:r>
    </w:p>
    <w:p w14:paraId="0685B7C5" w14:textId="77777777" w:rsidR="001F2A67" w:rsidRDefault="00000000">
      <w:pPr>
        <w:spacing w:before="240" w:line="360" w:lineRule="auto"/>
        <w:ind w:left="1003" w:hanging="720"/>
        <w:jc w:val="both"/>
        <w:rPr>
          <w:sz w:val="24"/>
          <w:szCs w:val="24"/>
        </w:rPr>
      </w:pPr>
      <w:r>
        <w:rPr>
          <w:sz w:val="24"/>
          <w:szCs w:val="24"/>
        </w:rPr>
        <w:t xml:space="preserve">Silva, M., López, J., y Meza, M. (2020). Estrés académico en estudiantes universitarios. </w:t>
      </w:r>
      <w:r>
        <w:rPr>
          <w:i/>
          <w:sz w:val="24"/>
          <w:szCs w:val="24"/>
        </w:rPr>
        <w:t>Investigación y ciencia</w:t>
      </w:r>
      <w:r>
        <w:rPr>
          <w:sz w:val="24"/>
          <w:szCs w:val="24"/>
        </w:rPr>
        <w:t>, 28(79), 75-83.</w:t>
      </w:r>
      <w:hyperlink r:id="rId42">
        <w:r>
          <w:rPr>
            <w:color w:val="1155CC"/>
            <w:sz w:val="24"/>
            <w:szCs w:val="24"/>
            <w:u w:val="single"/>
          </w:rPr>
          <w:t>https://www.redalyc.org/journal/674/67462875008/67462875008.pdf</w:t>
        </w:r>
      </w:hyperlink>
    </w:p>
    <w:p w14:paraId="52E7BB62" w14:textId="77777777" w:rsidR="001F2A67" w:rsidRDefault="00000000">
      <w:pPr>
        <w:spacing w:before="240" w:line="360" w:lineRule="auto"/>
        <w:ind w:left="1003" w:hanging="720"/>
        <w:jc w:val="both"/>
        <w:rPr>
          <w:sz w:val="24"/>
          <w:szCs w:val="24"/>
        </w:rPr>
      </w:pPr>
      <w:r>
        <w:rPr>
          <w:sz w:val="24"/>
          <w:szCs w:val="24"/>
        </w:rPr>
        <w:t xml:space="preserve"> Solano, O., Salas, B., Manrique, S., y Núñez, L. (2022). Relación entre hábitos de estudio y estrés académico en los estudiantes universitarios del área de Ciencias Básicas de Lima (Perú). </w:t>
      </w:r>
      <w:r>
        <w:rPr>
          <w:i/>
          <w:sz w:val="24"/>
          <w:szCs w:val="24"/>
        </w:rPr>
        <w:t>Revista ciencias de la salud</w:t>
      </w:r>
      <w:r>
        <w:rPr>
          <w:sz w:val="24"/>
          <w:szCs w:val="24"/>
        </w:rPr>
        <w:t xml:space="preserve">, 20(1), 3. </w:t>
      </w:r>
      <w:hyperlink r:id="rId43">
        <w:r>
          <w:rPr>
            <w:color w:val="1155CC"/>
            <w:sz w:val="24"/>
            <w:szCs w:val="24"/>
            <w:u w:val="single"/>
          </w:rPr>
          <w:t>http://www.scielo.org.co/scielo.php?pid=S1692-72732022000100003&amp;script=sci_arttext</w:t>
        </w:r>
      </w:hyperlink>
      <w:r>
        <w:rPr>
          <w:sz w:val="24"/>
          <w:szCs w:val="24"/>
        </w:rPr>
        <w:t xml:space="preserve"> </w:t>
      </w:r>
    </w:p>
    <w:p w14:paraId="1F0C8EFF" w14:textId="77777777" w:rsidR="001F2A67" w:rsidRDefault="00000000">
      <w:pPr>
        <w:spacing w:before="240" w:line="360" w:lineRule="auto"/>
        <w:ind w:left="1003" w:hanging="720"/>
        <w:jc w:val="both"/>
        <w:rPr>
          <w:sz w:val="24"/>
          <w:szCs w:val="24"/>
        </w:rPr>
      </w:pPr>
      <w:r w:rsidRPr="00812EE8">
        <w:rPr>
          <w:sz w:val="24"/>
          <w:szCs w:val="24"/>
          <w:lang w:val="en-US"/>
        </w:rPr>
        <w:t xml:space="preserve">Trochim, W. M. (2020). Probability sampling methods. En P. Smith &amp; A. Jones </w:t>
      </w:r>
      <w:r w:rsidRPr="00812EE8">
        <w:rPr>
          <w:sz w:val="24"/>
          <w:szCs w:val="24"/>
          <w:lang w:val="en-US"/>
        </w:rPr>
        <w:lastRenderedPageBreak/>
        <w:t xml:space="preserve">(Eds.), Introduction to sampling techniques (pp. 45-67). </w:t>
      </w:r>
      <w:r>
        <w:rPr>
          <w:sz w:val="24"/>
          <w:szCs w:val="24"/>
        </w:rPr>
        <w:t>Pearson Education</w:t>
      </w:r>
    </w:p>
    <w:p w14:paraId="3FD691CC" w14:textId="77777777" w:rsidR="001F2A67" w:rsidRDefault="00000000">
      <w:pPr>
        <w:spacing w:before="240" w:line="360" w:lineRule="auto"/>
        <w:ind w:left="1003" w:hanging="720"/>
        <w:jc w:val="both"/>
        <w:rPr>
          <w:sz w:val="24"/>
          <w:szCs w:val="24"/>
        </w:rPr>
      </w:pPr>
      <w:r>
        <w:rPr>
          <w:sz w:val="24"/>
          <w:szCs w:val="24"/>
        </w:rPr>
        <w:t xml:space="preserve">Zapo, T., Huamán, I., &amp; Valderrama, C. (2023). Impacto del estrés en el rendimiento académico de los estudiantes universitarios. Hacedor-AIAPÆC, 7(2), 120-132. </w:t>
      </w:r>
      <w:hyperlink r:id="rId44">
        <w:r>
          <w:rPr>
            <w:color w:val="1155CC"/>
            <w:sz w:val="24"/>
            <w:szCs w:val="24"/>
            <w:u w:val="single"/>
          </w:rPr>
          <w:t>https://revistas.uss.edu.pe/index.php/HACEDOR/article/view/2525/3038</w:t>
        </w:r>
      </w:hyperlink>
      <w:r>
        <w:rPr>
          <w:sz w:val="24"/>
          <w:szCs w:val="24"/>
        </w:rPr>
        <w:t xml:space="preserve"> </w:t>
      </w:r>
    </w:p>
    <w:p w14:paraId="25A40BB0" w14:textId="77777777" w:rsidR="001F2A67" w:rsidRDefault="001F2A67">
      <w:pPr>
        <w:widowControl/>
        <w:spacing w:line="360" w:lineRule="auto"/>
        <w:ind w:left="1003" w:hanging="720"/>
        <w:jc w:val="both"/>
        <w:rPr>
          <w:sz w:val="24"/>
          <w:szCs w:val="24"/>
        </w:rPr>
      </w:pPr>
    </w:p>
    <w:p w14:paraId="21612AD8" w14:textId="77777777" w:rsidR="001F2A67" w:rsidRDefault="001F2A67">
      <w:pPr>
        <w:widowControl/>
        <w:spacing w:line="360" w:lineRule="auto"/>
        <w:ind w:left="1003" w:hanging="720"/>
        <w:jc w:val="both"/>
        <w:rPr>
          <w:sz w:val="24"/>
          <w:szCs w:val="24"/>
        </w:rPr>
      </w:pPr>
    </w:p>
    <w:p w14:paraId="27B55405" w14:textId="77777777" w:rsidR="001F2A67" w:rsidRDefault="001F2A67">
      <w:pPr>
        <w:widowControl/>
        <w:spacing w:line="360" w:lineRule="auto"/>
        <w:ind w:left="1003" w:hanging="720"/>
        <w:jc w:val="both"/>
        <w:rPr>
          <w:sz w:val="24"/>
          <w:szCs w:val="24"/>
        </w:rPr>
      </w:pPr>
    </w:p>
    <w:p w14:paraId="72651C74" w14:textId="77777777" w:rsidR="001F2A67" w:rsidRDefault="001F2A67">
      <w:pPr>
        <w:widowControl/>
        <w:spacing w:line="360" w:lineRule="auto"/>
        <w:ind w:left="1003" w:hanging="720"/>
        <w:jc w:val="both"/>
        <w:rPr>
          <w:sz w:val="24"/>
          <w:szCs w:val="24"/>
        </w:rPr>
      </w:pPr>
    </w:p>
    <w:p w14:paraId="2C0189C6" w14:textId="77777777" w:rsidR="001F2A67" w:rsidRDefault="001F2A67">
      <w:pPr>
        <w:widowControl/>
        <w:spacing w:line="360" w:lineRule="auto"/>
        <w:ind w:left="1003" w:hanging="720"/>
        <w:jc w:val="both"/>
        <w:rPr>
          <w:sz w:val="24"/>
          <w:szCs w:val="24"/>
        </w:rPr>
      </w:pPr>
    </w:p>
    <w:p w14:paraId="520F3FAE" w14:textId="77777777" w:rsidR="001F2A67" w:rsidRDefault="001F2A67">
      <w:pPr>
        <w:widowControl/>
        <w:spacing w:line="360" w:lineRule="auto"/>
        <w:ind w:left="1003" w:hanging="720"/>
        <w:jc w:val="both"/>
        <w:rPr>
          <w:sz w:val="24"/>
          <w:szCs w:val="24"/>
        </w:rPr>
      </w:pPr>
    </w:p>
    <w:p w14:paraId="2E0ACC61" w14:textId="77777777" w:rsidR="001F2A67" w:rsidRDefault="001F2A67">
      <w:pPr>
        <w:widowControl/>
        <w:spacing w:line="360" w:lineRule="auto"/>
        <w:ind w:left="1003" w:hanging="720"/>
        <w:jc w:val="both"/>
        <w:rPr>
          <w:sz w:val="24"/>
          <w:szCs w:val="24"/>
        </w:rPr>
      </w:pPr>
    </w:p>
    <w:p w14:paraId="6F4F7ABB" w14:textId="77777777" w:rsidR="001F2A67" w:rsidRDefault="001F2A67">
      <w:pPr>
        <w:widowControl/>
        <w:spacing w:line="360" w:lineRule="auto"/>
        <w:ind w:left="1003" w:hanging="720"/>
        <w:jc w:val="both"/>
        <w:rPr>
          <w:sz w:val="24"/>
          <w:szCs w:val="24"/>
        </w:rPr>
      </w:pPr>
    </w:p>
    <w:p w14:paraId="57243B70" w14:textId="77777777" w:rsidR="001F2A67" w:rsidRDefault="001F2A67">
      <w:pPr>
        <w:widowControl/>
        <w:spacing w:line="360" w:lineRule="auto"/>
        <w:ind w:left="1003" w:hanging="720"/>
        <w:jc w:val="both"/>
        <w:rPr>
          <w:sz w:val="24"/>
          <w:szCs w:val="24"/>
        </w:rPr>
      </w:pPr>
    </w:p>
    <w:p w14:paraId="240919EC" w14:textId="77777777" w:rsidR="001F2A67" w:rsidRDefault="001F2A67">
      <w:pPr>
        <w:widowControl/>
        <w:spacing w:line="360" w:lineRule="auto"/>
        <w:ind w:left="1003" w:hanging="720"/>
        <w:jc w:val="both"/>
        <w:rPr>
          <w:sz w:val="24"/>
          <w:szCs w:val="24"/>
        </w:rPr>
      </w:pPr>
    </w:p>
    <w:p w14:paraId="0C342B3C" w14:textId="77777777" w:rsidR="001F2A67" w:rsidRDefault="001F2A67">
      <w:pPr>
        <w:widowControl/>
        <w:spacing w:line="360" w:lineRule="auto"/>
        <w:ind w:left="1003" w:hanging="720"/>
        <w:jc w:val="both"/>
        <w:rPr>
          <w:sz w:val="24"/>
          <w:szCs w:val="24"/>
        </w:rPr>
      </w:pPr>
    </w:p>
    <w:p w14:paraId="486B4EA0" w14:textId="77777777" w:rsidR="001F2A67" w:rsidRDefault="001F2A67">
      <w:pPr>
        <w:widowControl/>
        <w:spacing w:line="360" w:lineRule="auto"/>
        <w:ind w:left="1003" w:hanging="720"/>
        <w:jc w:val="both"/>
        <w:rPr>
          <w:sz w:val="24"/>
          <w:szCs w:val="24"/>
        </w:rPr>
      </w:pPr>
    </w:p>
    <w:p w14:paraId="57B421F2" w14:textId="77777777" w:rsidR="001F2A67" w:rsidRDefault="001F2A67">
      <w:pPr>
        <w:widowControl/>
        <w:spacing w:line="360" w:lineRule="auto"/>
        <w:ind w:left="1003" w:hanging="720"/>
        <w:jc w:val="both"/>
        <w:rPr>
          <w:sz w:val="24"/>
          <w:szCs w:val="24"/>
        </w:rPr>
      </w:pPr>
    </w:p>
    <w:p w14:paraId="3487283E" w14:textId="77777777" w:rsidR="001F2A67" w:rsidRDefault="001F2A67">
      <w:pPr>
        <w:widowControl/>
        <w:spacing w:line="360" w:lineRule="auto"/>
        <w:ind w:left="1003" w:hanging="720"/>
        <w:jc w:val="both"/>
        <w:rPr>
          <w:sz w:val="24"/>
          <w:szCs w:val="24"/>
        </w:rPr>
      </w:pPr>
    </w:p>
    <w:p w14:paraId="401F9882" w14:textId="77777777" w:rsidR="001F2A67" w:rsidRDefault="001F2A67">
      <w:pPr>
        <w:widowControl/>
        <w:spacing w:line="360" w:lineRule="auto"/>
        <w:ind w:left="1003" w:hanging="720"/>
        <w:jc w:val="both"/>
        <w:rPr>
          <w:sz w:val="24"/>
          <w:szCs w:val="24"/>
        </w:rPr>
      </w:pPr>
    </w:p>
    <w:p w14:paraId="172A7FBB" w14:textId="77777777" w:rsidR="001F2A67" w:rsidRDefault="001F2A67">
      <w:pPr>
        <w:widowControl/>
        <w:spacing w:line="360" w:lineRule="auto"/>
        <w:ind w:left="1003" w:hanging="720"/>
        <w:jc w:val="both"/>
        <w:rPr>
          <w:sz w:val="24"/>
          <w:szCs w:val="24"/>
        </w:rPr>
      </w:pPr>
    </w:p>
    <w:p w14:paraId="5472EDDE" w14:textId="77777777" w:rsidR="001F2A67" w:rsidRDefault="001F2A67">
      <w:pPr>
        <w:widowControl/>
        <w:spacing w:line="360" w:lineRule="auto"/>
        <w:ind w:left="1003" w:hanging="720"/>
        <w:jc w:val="both"/>
        <w:rPr>
          <w:sz w:val="24"/>
          <w:szCs w:val="24"/>
        </w:rPr>
      </w:pPr>
    </w:p>
    <w:p w14:paraId="581C3BAF" w14:textId="77777777" w:rsidR="001F2A67" w:rsidRDefault="001F2A67">
      <w:pPr>
        <w:widowControl/>
        <w:spacing w:line="360" w:lineRule="auto"/>
        <w:ind w:left="1003" w:hanging="720"/>
        <w:jc w:val="both"/>
        <w:rPr>
          <w:sz w:val="24"/>
          <w:szCs w:val="24"/>
        </w:rPr>
      </w:pPr>
    </w:p>
    <w:p w14:paraId="4E2A80D7" w14:textId="77777777" w:rsidR="001F2A67" w:rsidRDefault="001F2A67">
      <w:pPr>
        <w:widowControl/>
        <w:spacing w:line="360" w:lineRule="auto"/>
        <w:ind w:left="1003" w:hanging="720"/>
        <w:jc w:val="both"/>
        <w:rPr>
          <w:sz w:val="24"/>
          <w:szCs w:val="24"/>
        </w:rPr>
      </w:pPr>
    </w:p>
    <w:p w14:paraId="4F9D90E5" w14:textId="77777777" w:rsidR="001F2A67" w:rsidRDefault="001F2A67">
      <w:pPr>
        <w:widowControl/>
        <w:spacing w:line="360" w:lineRule="auto"/>
        <w:ind w:left="1003" w:hanging="720"/>
        <w:jc w:val="both"/>
        <w:rPr>
          <w:sz w:val="24"/>
          <w:szCs w:val="24"/>
        </w:rPr>
      </w:pPr>
    </w:p>
    <w:p w14:paraId="7BA08893" w14:textId="77777777" w:rsidR="00812EE8" w:rsidRDefault="00812EE8">
      <w:pPr>
        <w:widowControl/>
        <w:spacing w:line="360" w:lineRule="auto"/>
        <w:ind w:left="1003" w:hanging="720"/>
        <w:jc w:val="both"/>
        <w:rPr>
          <w:sz w:val="24"/>
          <w:szCs w:val="24"/>
        </w:rPr>
      </w:pPr>
    </w:p>
    <w:p w14:paraId="35CAD0F5" w14:textId="77777777" w:rsidR="00812EE8" w:rsidRDefault="00812EE8">
      <w:pPr>
        <w:widowControl/>
        <w:spacing w:line="360" w:lineRule="auto"/>
        <w:ind w:left="1003" w:hanging="720"/>
        <w:jc w:val="both"/>
        <w:rPr>
          <w:sz w:val="24"/>
          <w:szCs w:val="24"/>
        </w:rPr>
      </w:pPr>
    </w:p>
    <w:p w14:paraId="7EE5F570" w14:textId="77777777" w:rsidR="00812EE8" w:rsidRDefault="00812EE8">
      <w:pPr>
        <w:widowControl/>
        <w:spacing w:line="360" w:lineRule="auto"/>
        <w:ind w:left="1003" w:hanging="720"/>
        <w:jc w:val="both"/>
        <w:rPr>
          <w:sz w:val="24"/>
          <w:szCs w:val="24"/>
        </w:rPr>
      </w:pPr>
    </w:p>
    <w:p w14:paraId="1660C782" w14:textId="77777777" w:rsidR="00812EE8" w:rsidRDefault="00812EE8">
      <w:pPr>
        <w:widowControl/>
        <w:spacing w:line="360" w:lineRule="auto"/>
        <w:ind w:left="1003" w:hanging="720"/>
        <w:jc w:val="both"/>
        <w:rPr>
          <w:sz w:val="24"/>
          <w:szCs w:val="24"/>
        </w:rPr>
      </w:pPr>
    </w:p>
    <w:p w14:paraId="3CDB45CF" w14:textId="77777777" w:rsidR="00812EE8" w:rsidRDefault="00812EE8">
      <w:pPr>
        <w:widowControl/>
        <w:spacing w:line="360" w:lineRule="auto"/>
        <w:ind w:left="1003" w:hanging="720"/>
        <w:jc w:val="both"/>
        <w:rPr>
          <w:sz w:val="24"/>
          <w:szCs w:val="24"/>
        </w:rPr>
      </w:pPr>
    </w:p>
    <w:p w14:paraId="233DD548" w14:textId="77777777" w:rsidR="00812EE8" w:rsidRDefault="00812EE8">
      <w:pPr>
        <w:widowControl/>
        <w:spacing w:line="360" w:lineRule="auto"/>
        <w:ind w:left="1003" w:hanging="720"/>
        <w:jc w:val="both"/>
        <w:rPr>
          <w:sz w:val="24"/>
          <w:szCs w:val="24"/>
        </w:rPr>
      </w:pPr>
    </w:p>
    <w:p w14:paraId="615AF6EB" w14:textId="77777777" w:rsidR="00812EE8" w:rsidRDefault="00812EE8" w:rsidP="00812EE8">
      <w:pPr>
        <w:spacing w:before="240"/>
        <w:jc w:val="center"/>
        <w:rPr>
          <w:b/>
          <w:sz w:val="24"/>
          <w:szCs w:val="24"/>
        </w:rPr>
      </w:pPr>
    </w:p>
    <w:p w14:paraId="573E39E2" w14:textId="77777777" w:rsidR="008E3AF6" w:rsidRDefault="008E3AF6" w:rsidP="00812EE8">
      <w:pPr>
        <w:spacing w:before="240"/>
        <w:jc w:val="center"/>
        <w:rPr>
          <w:b/>
          <w:sz w:val="24"/>
          <w:szCs w:val="24"/>
        </w:rPr>
      </w:pPr>
    </w:p>
    <w:tbl>
      <w:tblPr>
        <w:tblStyle w:val="a9"/>
        <w:tblpPr w:leftFromText="180" w:rightFromText="180" w:topFromText="180" w:bottomFromText="180" w:vertAnchor="text" w:horzAnchor="margin" w:tblpXSpec="center" w:tblpY="1153"/>
        <w:tblW w:w="1076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6"/>
        <w:gridCol w:w="2268"/>
        <w:gridCol w:w="2126"/>
        <w:gridCol w:w="1134"/>
        <w:gridCol w:w="2552"/>
        <w:gridCol w:w="1417"/>
      </w:tblGrid>
      <w:tr w:rsidR="00812EE8" w14:paraId="58128FBA" w14:textId="77777777" w:rsidTr="008E3AF6">
        <w:tc>
          <w:tcPr>
            <w:tcW w:w="1266" w:type="dxa"/>
            <w:tcBorders>
              <w:left w:val="single" w:sz="8" w:space="0" w:color="FFFFFF"/>
              <w:right w:val="single" w:sz="8" w:space="0" w:color="FFFFFF"/>
            </w:tcBorders>
          </w:tcPr>
          <w:p w14:paraId="06BD3B2A" w14:textId="77777777" w:rsidR="00812EE8" w:rsidRDefault="00812EE8" w:rsidP="008E3AF6">
            <w:pPr>
              <w:spacing w:line="360" w:lineRule="auto"/>
              <w:jc w:val="center"/>
              <w:rPr>
                <w:b/>
                <w:sz w:val="18"/>
                <w:szCs w:val="18"/>
              </w:rPr>
            </w:pPr>
            <w:r>
              <w:rPr>
                <w:rFonts w:ascii="Times New Roman" w:eastAsia="Times New Roman" w:hAnsi="Times New Roman" w:cs="Times New Roman"/>
                <w:sz w:val="18"/>
                <w:szCs w:val="18"/>
              </w:rPr>
              <w:t>Definición de variables</w:t>
            </w:r>
          </w:p>
        </w:tc>
        <w:tc>
          <w:tcPr>
            <w:tcW w:w="2268" w:type="dxa"/>
            <w:tcBorders>
              <w:left w:val="single" w:sz="8" w:space="0" w:color="FFFFFF"/>
              <w:right w:val="single" w:sz="8" w:space="0" w:color="FFFFFF"/>
            </w:tcBorders>
          </w:tcPr>
          <w:p w14:paraId="24938138" w14:textId="77777777" w:rsidR="00812EE8" w:rsidRDefault="00812EE8" w:rsidP="008E3AF6">
            <w:pPr>
              <w:spacing w:line="360" w:lineRule="auto"/>
              <w:jc w:val="center"/>
              <w:rPr>
                <w:b/>
                <w:sz w:val="18"/>
                <w:szCs w:val="18"/>
              </w:rPr>
            </w:pPr>
            <w:r>
              <w:rPr>
                <w:rFonts w:ascii="Times New Roman" w:eastAsia="Times New Roman" w:hAnsi="Times New Roman" w:cs="Times New Roman"/>
                <w:sz w:val="18"/>
                <w:szCs w:val="18"/>
              </w:rPr>
              <w:t>Conceptual</w:t>
            </w:r>
          </w:p>
        </w:tc>
        <w:tc>
          <w:tcPr>
            <w:tcW w:w="2126" w:type="dxa"/>
            <w:tcBorders>
              <w:left w:val="single" w:sz="8" w:space="0" w:color="FFFFFF"/>
              <w:right w:val="single" w:sz="8" w:space="0" w:color="FFFFFF"/>
            </w:tcBorders>
          </w:tcPr>
          <w:p w14:paraId="49D0F558" w14:textId="77777777" w:rsidR="00812EE8" w:rsidRDefault="00812EE8" w:rsidP="008E3AF6">
            <w:pPr>
              <w:spacing w:line="360" w:lineRule="auto"/>
              <w:jc w:val="center"/>
              <w:rPr>
                <w:b/>
                <w:sz w:val="18"/>
                <w:szCs w:val="18"/>
              </w:rPr>
            </w:pPr>
            <w:r>
              <w:rPr>
                <w:rFonts w:ascii="Times New Roman" w:eastAsia="Times New Roman" w:hAnsi="Times New Roman" w:cs="Times New Roman"/>
                <w:sz w:val="18"/>
                <w:szCs w:val="18"/>
              </w:rPr>
              <w:t>Operacional</w:t>
            </w:r>
          </w:p>
        </w:tc>
        <w:tc>
          <w:tcPr>
            <w:tcW w:w="1134" w:type="dxa"/>
            <w:tcBorders>
              <w:left w:val="single" w:sz="8" w:space="0" w:color="FFFFFF"/>
              <w:right w:val="single" w:sz="8" w:space="0" w:color="FFFFFF"/>
            </w:tcBorders>
          </w:tcPr>
          <w:p w14:paraId="70610D0E" w14:textId="77777777" w:rsidR="00812EE8" w:rsidRDefault="00812EE8" w:rsidP="008E3AF6">
            <w:pPr>
              <w:spacing w:line="360" w:lineRule="auto"/>
              <w:jc w:val="center"/>
              <w:rPr>
                <w:b/>
                <w:sz w:val="18"/>
                <w:szCs w:val="18"/>
              </w:rPr>
            </w:pPr>
            <w:r>
              <w:rPr>
                <w:rFonts w:ascii="Times New Roman" w:eastAsia="Times New Roman" w:hAnsi="Times New Roman" w:cs="Times New Roman"/>
                <w:sz w:val="18"/>
                <w:szCs w:val="18"/>
              </w:rPr>
              <w:t>Dimensiones</w:t>
            </w:r>
          </w:p>
        </w:tc>
        <w:tc>
          <w:tcPr>
            <w:tcW w:w="2552" w:type="dxa"/>
            <w:tcBorders>
              <w:left w:val="single" w:sz="8" w:space="0" w:color="FFFFFF"/>
              <w:right w:val="single" w:sz="8" w:space="0" w:color="FFFFFF"/>
            </w:tcBorders>
          </w:tcPr>
          <w:p w14:paraId="563EB4FE" w14:textId="77777777" w:rsidR="00812EE8" w:rsidRDefault="00812EE8" w:rsidP="008E3AF6">
            <w:pPr>
              <w:spacing w:line="360" w:lineRule="auto"/>
              <w:jc w:val="center"/>
              <w:rPr>
                <w:b/>
                <w:sz w:val="18"/>
                <w:szCs w:val="18"/>
              </w:rPr>
            </w:pPr>
            <w:r>
              <w:rPr>
                <w:rFonts w:ascii="Times New Roman" w:eastAsia="Times New Roman" w:hAnsi="Times New Roman" w:cs="Times New Roman"/>
                <w:sz w:val="18"/>
                <w:szCs w:val="18"/>
              </w:rPr>
              <w:t>Indicadores</w:t>
            </w:r>
          </w:p>
        </w:tc>
        <w:tc>
          <w:tcPr>
            <w:tcW w:w="1417" w:type="dxa"/>
            <w:tcBorders>
              <w:left w:val="single" w:sz="8" w:space="0" w:color="FFFFFF"/>
              <w:right w:val="single" w:sz="8" w:space="0" w:color="FFFFFF"/>
            </w:tcBorders>
          </w:tcPr>
          <w:p w14:paraId="3EB2451F" w14:textId="77777777" w:rsidR="00812EE8" w:rsidRDefault="00812EE8" w:rsidP="008E3AF6">
            <w:pPr>
              <w:spacing w:line="360" w:lineRule="auto"/>
              <w:jc w:val="center"/>
              <w:rPr>
                <w:b/>
                <w:sz w:val="18"/>
                <w:szCs w:val="18"/>
              </w:rPr>
            </w:pPr>
            <w:r>
              <w:rPr>
                <w:rFonts w:ascii="Times New Roman" w:eastAsia="Times New Roman" w:hAnsi="Times New Roman" w:cs="Times New Roman"/>
                <w:sz w:val="18"/>
                <w:szCs w:val="18"/>
              </w:rPr>
              <w:t>Niveles y rango</w:t>
            </w:r>
          </w:p>
        </w:tc>
      </w:tr>
      <w:tr w:rsidR="00812EE8" w14:paraId="0E91478F" w14:textId="77777777" w:rsidTr="008E3AF6">
        <w:trPr>
          <w:trHeight w:val="2194"/>
        </w:trPr>
        <w:tc>
          <w:tcPr>
            <w:tcW w:w="1266" w:type="dxa"/>
            <w:vMerge w:val="restart"/>
            <w:tcBorders>
              <w:left w:val="single" w:sz="8" w:space="0" w:color="FFFFFF"/>
              <w:right w:val="single" w:sz="8" w:space="0" w:color="FFFFFF"/>
            </w:tcBorders>
          </w:tcPr>
          <w:p w14:paraId="5B20A7C3" w14:textId="77777777" w:rsidR="00812EE8" w:rsidRDefault="00812EE8" w:rsidP="008E3AF6">
            <w:pPr>
              <w:jc w:val="center"/>
              <w:rPr>
                <w:b/>
                <w:sz w:val="24"/>
                <w:szCs w:val="24"/>
              </w:rPr>
            </w:pPr>
          </w:p>
          <w:p w14:paraId="0ED0D1D7" w14:textId="77777777" w:rsidR="00812EE8" w:rsidRDefault="00812EE8" w:rsidP="008E3AF6">
            <w:pPr>
              <w:spacing w:line="360" w:lineRule="auto"/>
              <w:jc w:val="center"/>
              <w:rPr>
                <w:b/>
                <w:sz w:val="18"/>
                <w:szCs w:val="18"/>
              </w:rPr>
            </w:pPr>
            <w:r>
              <w:rPr>
                <w:rFonts w:ascii="Times New Roman" w:eastAsia="Times New Roman" w:hAnsi="Times New Roman" w:cs="Times New Roman"/>
                <w:sz w:val="18"/>
                <w:szCs w:val="18"/>
              </w:rPr>
              <w:t>Estrés</w:t>
            </w:r>
          </w:p>
        </w:tc>
        <w:tc>
          <w:tcPr>
            <w:tcW w:w="2268" w:type="dxa"/>
            <w:vMerge w:val="restart"/>
            <w:tcBorders>
              <w:left w:val="single" w:sz="8" w:space="0" w:color="FFFFFF"/>
              <w:right w:val="single" w:sz="8" w:space="0" w:color="FFFFFF"/>
            </w:tcBorders>
          </w:tcPr>
          <w:p w14:paraId="7C0ECB17" w14:textId="77777777" w:rsidR="00812EE8" w:rsidRDefault="00812EE8" w:rsidP="008E3AF6">
            <w:pPr>
              <w:spacing w:line="360" w:lineRule="auto"/>
              <w:jc w:val="center"/>
              <w:rPr>
                <w:b/>
                <w:sz w:val="18"/>
                <w:szCs w:val="18"/>
              </w:rPr>
            </w:pPr>
            <w:r>
              <w:rPr>
                <w:rFonts w:ascii="Times New Roman" w:eastAsia="Times New Roman" w:hAnsi="Times New Roman" w:cs="Times New Roman"/>
                <w:sz w:val="18"/>
                <w:szCs w:val="18"/>
              </w:rPr>
              <w:t>El estrés es una reacción completamente natural que todos experimentamos en distintos momentos de la vida. Surge cuando nuestro cuerpo y mente perciben una situación como desafiante, amenazante o simplemente demasiado demandante (Angulo, 2020).</w:t>
            </w:r>
          </w:p>
        </w:tc>
        <w:tc>
          <w:tcPr>
            <w:tcW w:w="2126" w:type="dxa"/>
            <w:vMerge w:val="restart"/>
            <w:tcBorders>
              <w:left w:val="single" w:sz="8" w:space="0" w:color="FFFFFF"/>
              <w:right w:val="single" w:sz="8" w:space="0" w:color="FFFFFF"/>
            </w:tcBorders>
          </w:tcPr>
          <w:p w14:paraId="5E923514" w14:textId="77777777" w:rsidR="00812EE8" w:rsidRDefault="00812EE8" w:rsidP="008E3AF6">
            <w:pPr>
              <w:spacing w:line="360" w:lineRule="auto"/>
              <w:jc w:val="center"/>
              <w:rPr>
                <w:b/>
                <w:sz w:val="18"/>
                <w:szCs w:val="18"/>
              </w:rPr>
            </w:pPr>
            <w:r>
              <w:rPr>
                <w:rFonts w:ascii="Times New Roman" w:eastAsia="Times New Roman" w:hAnsi="Times New Roman" w:cs="Times New Roman"/>
                <w:sz w:val="18"/>
                <w:szCs w:val="18"/>
              </w:rPr>
              <w:t>Fue medido a través de la escala de estrés percibido (PSS), propuesto por Cohen et al. (1983), escala conformada por 14 ítems de tipo Likert; donde se considera la dimensión de desesperanza y autoeficacia. Los resultados obtenidos se clasificaron en los niveles de alto, medio y bajo.</w:t>
            </w:r>
          </w:p>
        </w:tc>
        <w:tc>
          <w:tcPr>
            <w:tcW w:w="1134" w:type="dxa"/>
            <w:tcBorders>
              <w:left w:val="single" w:sz="8" w:space="0" w:color="FFFFFF"/>
              <w:bottom w:val="single" w:sz="8" w:space="0" w:color="FFFFFF"/>
              <w:right w:val="single" w:sz="8" w:space="0" w:color="FFFFFF"/>
            </w:tcBorders>
          </w:tcPr>
          <w:p w14:paraId="2A0B26B2" w14:textId="77777777" w:rsidR="00812EE8" w:rsidRDefault="00812EE8" w:rsidP="008E3AF6">
            <w:pPr>
              <w:spacing w:line="360" w:lineRule="auto"/>
              <w:jc w:val="center"/>
              <w:rPr>
                <w:b/>
                <w:sz w:val="18"/>
                <w:szCs w:val="18"/>
              </w:rPr>
            </w:pPr>
            <w:r>
              <w:rPr>
                <w:rFonts w:ascii="Times New Roman" w:eastAsia="Times New Roman" w:hAnsi="Times New Roman" w:cs="Times New Roman"/>
                <w:sz w:val="18"/>
                <w:szCs w:val="18"/>
              </w:rPr>
              <w:t>Desesperanza</w:t>
            </w:r>
          </w:p>
        </w:tc>
        <w:tc>
          <w:tcPr>
            <w:tcW w:w="2552" w:type="dxa"/>
            <w:tcBorders>
              <w:left w:val="single" w:sz="8" w:space="0" w:color="FFFFFF"/>
              <w:bottom w:val="single" w:sz="8" w:space="0" w:color="FFFFFF"/>
              <w:right w:val="single" w:sz="8" w:space="0" w:color="FFFFFF"/>
            </w:tcBorders>
          </w:tcPr>
          <w:p w14:paraId="08D839C2" w14:textId="77777777" w:rsidR="00812EE8" w:rsidRDefault="00812EE8" w:rsidP="008E3AF6">
            <w:pPr>
              <w:numPr>
                <w:ilvl w:val="0"/>
                <w:numId w:val="5"/>
              </w:numPr>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Incapacidad para manejar el estrés</w:t>
            </w:r>
          </w:p>
        </w:tc>
        <w:tc>
          <w:tcPr>
            <w:tcW w:w="1417" w:type="dxa"/>
            <w:vMerge w:val="restart"/>
            <w:tcBorders>
              <w:left w:val="single" w:sz="8" w:space="0" w:color="FFFFFF"/>
              <w:right w:val="single" w:sz="8" w:space="0" w:color="FFFFFF"/>
            </w:tcBorders>
          </w:tcPr>
          <w:p w14:paraId="6A2C78B4" w14:textId="77777777" w:rsidR="00812EE8" w:rsidRDefault="00812EE8" w:rsidP="008E3AF6">
            <w:pPr>
              <w:spacing w:line="360" w:lineRule="auto"/>
              <w:jc w:val="center"/>
              <w:rPr>
                <w:rFonts w:ascii="Times New Roman" w:eastAsia="Times New Roman" w:hAnsi="Times New Roman" w:cs="Times New Roman"/>
                <w:sz w:val="18"/>
                <w:szCs w:val="18"/>
              </w:rPr>
            </w:pPr>
          </w:p>
          <w:p w14:paraId="471F7831" w14:textId="77777777" w:rsidR="00812EE8" w:rsidRDefault="00812EE8" w:rsidP="008E3AF6">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Nivel bajo: 0 a 18.</w:t>
            </w:r>
          </w:p>
          <w:p w14:paraId="1D52D1BC" w14:textId="77777777" w:rsidR="00812EE8" w:rsidRDefault="00812EE8" w:rsidP="008E3AF6">
            <w:pPr>
              <w:spacing w:line="360" w:lineRule="auto"/>
              <w:jc w:val="center"/>
              <w:rPr>
                <w:rFonts w:ascii="Times New Roman" w:eastAsia="Times New Roman" w:hAnsi="Times New Roman" w:cs="Times New Roman"/>
                <w:sz w:val="18"/>
                <w:szCs w:val="18"/>
              </w:rPr>
            </w:pPr>
          </w:p>
          <w:p w14:paraId="0D44DC49" w14:textId="77777777" w:rsidR="00812EE8" w:rsidRDefault="00812EE8" w:rsidP="008E3AF6">
            <w:pPr>
              <w:spacing w:line="360" w:lineRule="auto"/>
              <w:jc w:val="center"/>
              <w:rPr>
                <w:rFonts w:ascii="Times New Roman" w:eastAsia="Times New Roman" w:hAnsi="Times New Roman" w:cs="Times New Roman"/>
                <w:sz w:val="18"/>
                <w:szCs w:val="18"/>
              </w:rPr>
            </w:pPr>
          </w:p>
          <w:p w14:paraId="25C39ED5" w14:textId="77777777" w:rsidR="00812EE8" w:rsidRDefault="00812EE8" w:rsidP="008E3AF6">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Nivel promedio: 19 a 37.</w:t>
            </w:r>
          </w:p>
          <w:p w14:paraId="5CB121B3" w14:textId="77777777" w:rsidR="00812EE8" w:rsidRDefault="00812EE8" w:rsidP="008E3AF6">
            <w:pPr>
              <w:spacing w:line="360" w:lineRule="auto"/>
              <w:jc w:val="center"/>
              <w:rPr>
                <w:rFonts w:ascii="Times New Roman" w:eastAsia="Times New Roman" w:hAnsi="Times New Roman" w:cs="Times New Roman"/>
                <w:sz w:val="18"/>
                <w:szCs w:val="18"/>
              </w:rPr>
            </w:pPr>
          </w:p>
          <w:p w14:paraId="1266C571" w14:textId="77777777" w:rsidR="00812EE8" w:rsidRDefault="00812EE8" w:rsidP="008E3AF6">
            <w:pPr>
              <w:spacing w:line="360" w:lineRule="auto"/>
              <w:jc w:val="center"/>
              <w:rPr>
                <w:rFonts w:ascii="Times New Roman" w:eastAsia="Times New Roman" w:hAnsi="Times New Roman" w:cs="Times New Roman"/>
                <w:sz w:val="18"/>
                <w:szCs w:val="18"/>
              </w:rPr>
            </w:pPr>
          </w:p>
          <w:p w14:paraId="0BB14BBB" w14:textId="77777777" w:rsidR="00812EE8" w:rsidRDefault="00812EE8" w:rsidP="008E3AF6">
            <w:pPr>
              <w:spacing w:line="360" w:lineRule="auto"/>
              <w:jc w:val="center"/>
              <w:rPr>
                <w:rFonts w:ascii="Times New Roman" w:eastAsia="Times New Roman" w:hAnsi="Times New Roman" w:cs="Times New Roman"/>
                <w:sz w:val="18"/>
                <w:szCs w:val="18"/>
              </w:rPr>
            </w:pPr>
          </w:p>
          <w:p w14:paraId="2BB309F2" w14:textId="77777777" w:rsidR="00812EE8" w:rsidRDefault="00812EE8" w:rsidP="008E3AF6">
            <w:pPr>
              <w:spacing w:line="360" w:lineRule="auto"/>
              <w:jc w:val="center"/>
              <w:rPr>
                <w:b/>
                <w:sz w:val="18"/>
                <w:szCs w:val="18"/>
              </w:rPr>
            </w:pPr>
            <w:r>
              <w:rPr>
                <w:rFonts w:ascii="Times New Roman" w:eastAsia="Times New Roman" w:hAnsi="Times New Roman" w:cs="Times New Roman"/>
                <w:sz w:val="18"/>
                <w:szCs w:val="18"/>
              </w:rPr>
              <w:t>Nivel alto: 38 a 56.</w:t>
            </w:r>
          </w:p>
        </w:tc>
      </w:tr>
      <w:tr w:rsidR="00812EE8" w14:paraId="2D6E059E" w14:textId="77777777" w:rsidTr="008E3AF6">
        <w:trPr>
          <w:trHeight w:val="2105"/>
        </w:trPr>
        <w:tc>
          <w:tcPr>
            <w:tcW w:w="1266" w:type="dxa"/>
            <w:vMerge/>
            <w:tcBorders>
              <w:left w:val="single" w:sz="8" w:space="0" w:color="FFFFFF"/>
              <w:bottom w:val="single" w:sz="8" w:space="0" w:color="FFFFFF"/>
              <w:right w:val="single" w:sz="8" w:space="0" w:color="FFFFFF"/>
            </w:tcBorders>
          </w:tcPr>
          <w:p w14:paraId="7672E6BA" w14:textId="77777777" w:rsidR="00812EE8" w:rsidRDefault="00812EE8" w:rsidP="008E3AF6">
            <w:pPr>
              <w:rPr>
                <w:b/>
                <w:sz w:val="24"/>
                <w:szCs w:val="24"/>
              </w:rPr>
            </w:pPr>
          </w:p>
        </w:tc>
        <w:tc>
          <w:tcPr>
            <w:tcW w:w="2268" w:type="dxa"/>
            <w:vMerge/>
            <w:tcBorders>
              <w:left w:val="single" w:sz="8" w:space="0" w:color="FFFFFF"/>
              <w:bottom w:val="single" w:sz="8" w:space="0" w:color="FFFFFF"/>
              <w:right w:val="single" w:sz="8" w:space="0" w:color="FFFFFF"/>
            </w:tcBorders>
          </w:tcPr>
          <w:p w14:paraId="310A6D19" w14:textId="77777777" w:rsidR="00812EE8" w:rsidRDefault="00812EE8" w:rsidP="008E3AF6">
            <w:pPr>
              <w:jc w:val="center"/>
              <w:rPr>
                <w:b/>
                <w:sz w:val="24"/>
                <w:szCs w:val="24"/>
              </w:rPr>
            </w:pPr>
          </w:p>
        </w:tc>
        <w:tc>
          <w:tcPr>
            <w:tcW w:w="2126" w:type="dxa"/>
            <w:vMerge/>
            <w:tcBorders>
              <w:left w:val="single" w:sz="8" w:space="0" w:color="FFFFFF"/>
              <w:bottom w:val="single" w:sz="8" w:space="0" w:color="FFFFFF"/>
              <w:right w:val="single" w:sz="8" w:space="0" w:color="FFFFFF"/>
            </w:tcBorders>
          </w:tcPr>
          <w:p w14:paraId="780837EA" w14:textId="77777777" w:rsidR="00812EE8" w:rsidRDefault="00812EE8" w:rsidP="008E3AF6">
            <w:pPr>
              <w:jc w:val="center"/>
              <w:rPr>
                <w:b/>
                <w:sz w:val="24"/>
                <w:szCs w:val="24"/>
              </w:rPr>
            </w:pPr>
          </w:p>
        </w:tc>
        <w:tc>
          <w:tcPr>
            <w:tcW w:w="1134" w:type="dxa"/>
            <w:tcBorders>
              <w:top w:val="single" w:sz="8" w:space="0" w:color="FFFFFF"/>
              <w:left w:val="single" w:sz="8" w:space="0" w:color="FFFFFF"/>
              <w:bottom w:val="single" w:sz="8" w:space="0" w:color="FFFFFF"/>
              <w:right w:val="single" w:sz="8" w:space="0" w:color="FFFFFF"/>
            </w:tcBorders>
          </w:tcPr>
          <w:p w14:paraId="6E55F20F" w14:textId="77777777" w:rsidR="00812EE8" w:rsidRDefault="00812EE8" w:rsidP="008E3AF6">
            <w:pPr>
              <w:spacing w:line="360" w:lineRule="auto"/>
              <w:jc w:val="center"/>
              <w:rPr>
                <w:b/>
                <w:sz w:val="18"/>
                <w:szCs w:val="18"/>
              </w:rPr>
            </w:pPr>
            <w:r>
              <w:rPr>
                <w:rFonts w:ascii="Times New Roman" w:eastAsia="Times New Roman" w:hAnsi="Times New Roman" w:cs="Times New Roman"/>
                <w:sz w:val="18"/>
                <w:szCs w:val="18"/>
              </w:rPr>
              <w:t>Autoeficacia</w:t>
            </w:r>
          </w:p>
        </w:tc>
        <w:tc>
          <w:tcPr>
            <w:tcW w:w="2552" w:type="dxa"/>
            <w:tcBorders>
              <w:top w:val="single" w:sz="8" w:space="0" w:color="FFFFFF"/>
              <w:left w:val="single" w:sz="8" w:space="0" w:color="FFFFFF"/>
              <w:bottom w:val="single" w:sz="8" w:space="0" w:color="FFFFFF"/>
              <w:right w:val="single" w:sz="8" w:space="0" w:color="FFFFFF"/>
            </w:tcBorders>
          </w:tcPr>
          <w:p w14:paraId="72341292" w14:textId="77777777" w:rsidR="00812EE8" w:rsidRDefault="00812EE8" w:rsidP="008E3AF6">
            <w:pPr>
              <w:numPr>
                <w:ilvl w:val="0"/>
                <w:numId w:val="1"/>
              </w:numPr>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Capacidad de afrontamiento ante el estrés</w:t>
            </w:r>
          </w:p>
        </w:tc>
        <w:tc>
          <w:tcPr>
            <w:tcW w:w="1417" w:type="dxa"/>
            <w:vMerge/>
            <w:tcBorders>
              <w:left w:val="single" w:sz="8" w:space="0" w:color="FFFFFF"/>
              <w:bottom w:val="single" w:sz="8" w:space="0" w:color="FFFFFF"/>
              <w:right w:val="single" w:sz="8" w:space="0" w:color="FFFFFF"/>
            </w:tcBorders>
          </w:tcPr>
          <w:p w14:paraId="52B9653F" w14:textId="77777777" w:rsidR="00812EE8" w:rsidRDefault="00812EE8" w:rsidP="008E3AF6">
            <w:pPr>
              <w:jc w:val="center"/>
              <w:rPr>
                <w:b/>
                <w:sz w:val="24"/>
                <w:szCs w:val="24"/>
              </w:rPr>
            </w:pPr>
          </w:p>
        </w:tc>
      </w:tr>
      <w:tr w:rsidR="00812EE8" w14:paraId="3F51B104" w14:textId="77777777" w:rsidTr="008E3AF6">
        <w:trPr>
          <w:trHeight w:val="440"/>
        </w:trPr>
        <w:tc>
          <w:tcPr>
            <w:tcW w:w="1266" w:type="dxa"/>
            <w:vMerge w:val="restart"/>
            <w:tcBorders>
              <w:top w:val="single" w:sz="8" w:space="0" w:color="FFFFFF"/>
              <w:left w:val="single" w:sz="8" w:space="0" w:color="FFFFFF"/>
              <w:right w:val="single" w:sz="8" w:space="0" w:color="FFFFFF"/>
            </w:tcBorders>
          </w:tcPr>
          <w:p w14:paraId="70DA4F2B" w14:textId="77777777" w:rsidR="00812EE8" w:rsidRDefault="00812EE8" w:rsidP="008E3AF6">
            <w:pPr>
              <w:spacing w:line="360" w:lineRule="auto"/>
              <w:jc w:val="center"/>
              <w:rPr>
                <w:rFonts w:ascii="Times New Roman" w:eastAsia="Times New Roman" w:hAnsi="Times New Roman" w:cs="Times New Roman"/>
                <w:sz w:val="20"/>
                <w:szCs w:val="20"/>
              </w:rPr>
            </w:pPr>
          </w:p>
          <w:p w14:paraId="021C1D7C" w14:textId="77777777" w:rsidR="00812EE8" w:rsidRDefault="00812EE8" w:rsidP="008E3AF6">
            <w:pPr>
              <w:spacing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Rendimiento Académico</w:t>
            </w:r>
          </w:p>
          <w:p w14:paraId="0BA3D114" w14:textId="77777777" w:rsidR="00812EE8" w:rsidRDefault="00812EE8" w:rsidP="008E3AF6">
            <w:pPr>
              <w:rPr>
                <w:b/>
                <w:sz w:val="24"/>
                <w:szCs w:val="24"/>
              </w:rPr>
            </w:pPr>
          </w:p>
        </w:tc>
        <w:tc>
          <w:tcPr>
            <w:tcW w:w="2268" w:type="dxa"/>
            <w:vMerge w:val="restart"/>
            <w:tcBorders>
              <w:top w:val="single" w:sz="8" w:space="0" w:color="FFFFFF"/>
              <w:left w:val="single" w:sz="8" w:space="0" w:color="FFFFFF"/>
              <w:right w:val="single" w:sz="8" w:space="0" w:color="FFFFFF"/>
            </w:tcBorders>
          </w:tcPr>
          <w:p w14:paraId="26989422" w14:textId="77777777" w:rsidR="00812EE8" w:rsidRDefault="00812EE8" w:rsidP="008E3AF6">
            <w:pPr>
              <w:spacing w:line="360" w:lineRule="auto"/>
              <w:ind w:left="-7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Es el proceso de evaluación, donde involucra el crecimiento de conocimientos de los estudiantes, los cuales están reflejados en una libreta de calificaciones, que describe el logro de las competencias alcanzadas por el educando, a su vez, es un indicador del itinerario profesional, calidad de vida (González, 2022).</w:t>
            </w:r>
          </w:p>
          <w:p w14:paraId="467798BC" w14:textId="77777777" w:rsidR="00812EE8" w:rsidRDefault="00812EE8" w:rsidP="008E3AF6">
            <w:pPr>
              <w:jc w:val="center"/>
              <w:rPr>
                <w:b/>
                <w:sz w:val="24"/>
                <w:szCs w:val="24"/>
              </w:rPr>
            </w:pPr>
          </w:p>
        </w:tc>
        <w:tc>
          <w:tcPr>
            <w:tcW w:w="2126" w:type="dxa"/>
            <w:vMerge w:val="restart"/>
            <w:tcBorders>
              <w:top w:val="single" w:sz="8" w:space="0" w:color="FFFFFF"/>
              <w:left w:val="single" w:sz="8" w:space="0" w:color="FFFFFF"/>
              <w:right w:val="single" w:sz="8" w:space="0" w:color="FFFFFF"/>
            </w:tcBorders>
          </w:tcPr>
          <w:p w14:paraId="752B3E52" w14:textId="77777777" w:rsidR="00812EE8" w:rsidRDefault="00812EE8" w:rsidP="008E3AF6">
            <w:pPr>
              <w:spacing w:line="360" w:lineRule="auto"/>
              <w:jc w:val="center"/>
              <w:rPr>
                <w:b/>
                <w:sz w:val="18"/>
                <w:szCs w:val="18"/>
              </w:rPr>
            </w:pPr>
            <w:r>
              <w:rPr>
                <w:rFonts w:ascii="Times New Roman" w:eastAsia="Times New Roman" w:hAnsi="Times New Roman" w:cs="Times New Roman"/>
                <w:sz w:val="18"/>
                <w:szCs w:val="18"/>
              </w:rPr>
              <w:t>Fue medido a través de la escala de rendimiento académico universitario (RAU), propuesta por De Lourdes et al (2021); es una escala de tipo Likert que tiene 20 ítems y los resultados obtenidos se clasificaron entre las categorías: bajo, promedio y alto.</w:t>
            </w:r>
          </w:p>
        </w:tc>
        <w:tc>
          <w:tcPr>
            <w:tcW w:w="1134" w:type="dxa"/>
            <w:tcBorders>
              <w:top w:val="single" w:sz="8" w:space="0" w:color="FFFFFF"/>
              <w:left w:val="single" w:sz="8" w:space="0" w:color="FFFFFF"/>
              <w:bottom w:val="single" w:sz="8" w:space="0" w:color="FFFFFF"/>
              <w:right w:val="single" w:sz="8" w:space="0" w:color="FFFFFF"/>
            </w:tcBorders>
          </w:tcPr>
          <w:p w14:paraId="1702C607" w14:textId="77777777" w:rsidR="00812EE8" w:rsidRDefault="00812EE8" w:rsidP="008E3AF6">
            <w:pPr>
              <w:spacing w:line="360" w:lineRule="auto"/>
              <w:jc w:val="center"/>
              <w:rPr>
                <w:b/>
                <w:sz w:val="18"/>
                <w:szCs w:val="18"/>
              </w:rPr>
            </w:pPr>
            <w:r>
              <w:rPr>
                <w:rFonts w:ascii="Times New Roman" w:eastAsia="Times New Roman" w:hAnsi="Times New Roman" w:cs="Times New Roman"/>
                <w:sz w:val="18"/>
                <w:szCs w:val="18"/>
              </w:rPr>
              <w:t>Aportación en actividades académicas</w:t>
            </w:r>
          </w:p>
        </w:tc>
        <w:tc>
          <w:tcPr>
            <w:tcW w:w="2552" w:type="dxa"/>
            <w:tcBorders>
              <w:top w:val="single" w:sz="8" w:space="0" w:color="FFFFFF"/>
              <w:left w:val="single" w:sz="8" w:space="0" w:color="FFFFFF"/>
              <w:bottom w:val="single" w:sz="8" w:space="0" w:color="FFFFFF"/>
              <w:right w:val="single" w:sz="8" w:space="0" w:color="FFFFFF"/>
            </w:tcBorders>
          </w:tcPr>
          <w:p w14:paraId="6073C64B" w14:textId="77777777" w:rsidR="00812EE8" w:rsidRDefault="00812EE8" w:rsidP="008E3AF6">
            <w:pPr>
              <w:numPr>
                <w:ilvl w:val="0"/>
                <w:numId w:val="4"/>
              </w:numPr>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Gusto por exponer.</w:t>
            </w:r>
          </w:p>
          <w:p w14:paraId="548B1D96" w14:textId="77777777" w:rsidR="00812EE8" w:rsidRDefault="00812EE8" w:rsidP="008E3AF6">
            <w:pPr>
              <w:numPr>
                <w:ilvl w:val="0"/>
                <w:numId w:val="4"/>
              </w:numPr>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Habilidades en redacción.</w:t>
            </w:r>
          </w:p>
          <w:p w14:paraId="77FAE45F" w14:textId="77777777" w:rsidR="00812EE8" w:rsidRDefault="00812EE8" w:rsidP="008E3AF6">
            <w:pPr>
              <w:numPr>
                <w:ilvl w:val="0"/>
                <w:numId w:val="4"/>
              </w:numPr>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Tener cursos extracurriculares.</w:t>
            </w:r>
          </w:p>
          <w:p w14:paraId="6F180B64" w14:textId="77777777" w:rsidR="00812EE8" w:rsidRDefault="00812EE8" w:rsidP="008E3AF6">
            <w:pPr>
              <w:numPr>
                <w:ilvl w:val="0"/>
                <w:numId w:val="4"/>
              </w:numPr>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Trabajar en equipo.</w:t>
            </w:r>
          </w:p>
        </w:tc>
        <w:tc>
          <w:tcPr>
            <w:tcW w:w="1417" w:type="dxa"/>
            <w:vMerge w:val="restart"/>
            <w:tcBorders>
              <w:top w:val="single" w:sz="8" w:space="0" w:color="FFFFFF"/>
              <w:left w:val="single" w:sz="8" w:space="0" w:color="FFFFFF"/>
              <w:right w:val="single" w:sz="8" w:space="0" w:color="FFFFFF"/>
            </w:tcBorders>
          </w:tcPr>
          <w:p w14:paraId="0879F757" w14:textId="77777777" w:rsidR="00812EE8" w:rsidRDefault="00812EE8" w:rsidP="008E3AF6">
            <w:pPr>
              <w:spacing w:line="360" w:lineRule="auto"/>
              <w:jc w:val="center"/>
              <w:rPr>
                <w:rFonts w:ascii="Times New Roman" w:eastAsia="Times New Roman" w:hAnsi="Times New Roman" w:cs="Times New Roman"/>
                <w:sz w:val="20"/>
                <w:szCs w:val="20"/>
              </w:rPr>
            </w:pPr>
          </w:p>
          <w:p w14:paraId="4A126965" w14:textId="77777777" w:rsidR="00812EE8" w:rsidRDefault="00812EE8" w:rsidP="008E3AF6">
            <w:pPr>
              <w:spacing w:line="360" w:lineRule="auto"/>
              <w:jc w:val="center"/>
              <w:rPr>
                <w:rFonts w:ascii="Times New Roman" w:eastAsia="Times New Roman" w:hAnsi="Times New Roman" w:cs="Times New Roman"/>
                <w:sz w:val="20"/>
                <w:szCs w:val="20"/>
              </w:rPr>
            </w:pPr>
          </w:p>
          <w:p w14:paraId="3F6228A6" w14:textId="77777777" w:rsidR="00812EE8" w:rsidRDefault="00812EE8" w:rsidP="008E3AF6">
            <w:pPr>
              <w:spacing w:line="360" w:lineRule="auto"/>
              <w:jc w:val="center"/>
              <w:rPr>
                <w:rFonts w:ascii="Times New Roman" w:eastAsia="Times New Roman" w:hAnsi="Times New Roman" w:cs="Times New Roman"/>
                <w:sz w:val="20"/>
                <w:szCs w:val="20"/>
              </w:rPr>
            </w:pPr>
          </w:p>
          <w:p w14:paraId="33BE43CB" w14:textId="77777777" w:rsidR="00812EE8" w:rsidRDefault="00812EE8" w:rsidP="008E3AF6">
            <w:pPr>
              <w:spacing w:line="360" w:lineRule="auto"/>
              <w:jc w:val="center"/>
              <w:rPr>
                <w:rFonts w:ascii="Times New Roman" w:eastAsia="Times New Roman" w:hAnsi="Times New Roman" w:cs="Times New Roman"/>
                <w:sz w:val="20"/>
                <w:szCs w:val="20"/>
              </w:rPr>
            </w:pPr>
          </w:p>
          <w:p w14:paraId="253B9445" w14:textId="77777777" w:rsidR="00812EE8" w:rsidRDefault="00812EE8" w:rsidP="008E3AF6">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Nivel bajo: 0 a 18.</w:t>
            </w:r>
          </w:p>
          <w:p w14:paraId="79B3E684" w14:textId="77777777" w:rsidR="00812EE8" w:rsidRDefault="00812EE8" w:rsidP="008E3AF6">
            <w:pPr>
              <w:spacing w:line="360" w:lineRule="auto"/>
              <w:jc w:val="center"/>
              <w:rPr>
                <w:rFonts w:ascii="Times New Roman" w:eastAsia="Times New Roman" w:hAnsi="Times New Roman" w:cs="Times New Roman"/>
                <w:sz w:val="20"/>
                <w:szCs w:val="20"/>
              </w:rPr>
            </w:pPr>
          </w:p>
          <w:p w14:paraId="059F52CA" w14:textId="77777777" w:rsidR="00812EE8" w:rsidRDefault="00812EE8" w:rsidP="008E3AF6">
            <w:pPr>
              <w:spacing w:line="360" w:lineRule="auto"/>
              <w:jc w:val="center"/>
              <w:rPr>
                <w:rFonts w:ascii="Times New Roman" w:eastAsia="Times New Roman" w:hAnsi="Times New Roman" w:cs="Times New Roman"/>
                <w:sz w:val="20"/>
                <w:szCs w:val="20"/>
              </w:rPr>
            </w:pPr>
          </w:p>
          <w:p w14:paraId="4C37B42C" w14:textId="77777777" w:rsidR="00812EE8" w:rsidRDefault="00812EE8" w:rsidP="008E3AF6">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Nivel promedio: 19 a 37.</w:t>
            </w:r>
          </w:p>
          <w:p w14:paraId="1007DCF2" w14:textId="77777777" w:rsidR="00812EE8" w:rsidRDefault="00812EE8" w:rsidP="008E3AF6">
            <w:pPr>
              <w:spacing w:line="360" w:lineRule="auto"/>
              <w:jc w:val="center"/>
              <w:rPr>
                <w:rFonts w:ascii="Times New Roman" w:eastAsia="Times New Roman" w:hAnsi="Times New Roman" w:cs="Times New Roman"/>
                <w:sz w:val="20"/>
                <w:szCs w:val="20"/>
              </w:rPr>
            </w:pPr>
          </w:p>
          <w:p w14:paraId="18B3E50A" w14:textId="77777777" w:rsidR="00812EE8" w:rsidRDefault="00812EE8" w:rsidP="008E3AF6">
            <w:pPr>
              <w:spacing w:line="360" w:lineRule="auto"/>
              <w:jc w:val="center"/>
              <w:rPr>
                <w:rFonts w:ascii="Times New Roman" w:eastAsia="Times New Roman" w:hAnsi="Times New Roman" w:cs="Times New Roman"/>
                <w:sz w:val="20"/>
                <w:szCs w:val="20"/>
              </w:rPr>
            </w:pPr>
          </w:p>
          <w:p w14:paraId="48668228" w14:textId="77777777" w:rsidR="00812EE8" w:rsidRDefault="00812EE8" w:rsidP="008E3AF6">
            <w:pPr>
              <w:spacing w:line="360" w:lineRule="auto"/>
              <w:jc w:val="center"/>
              <w:rPr>
                <w:rFonts w:ascii="Times New Roman" w:eastAsia="Times New Roman" w:hAnsi="Times New Roman" w:cs="Times New Roman"/>
                <w:sz w:val="20"/>
                <w:szCs w:val="20"/>
              </w:rPr>
            </w:pPr>
          </w:p>
          <w:p w14:paraId="1F9C03FD" w14:textId="77777777" w:rsidR="00812EE8" w:rsidRDefault="00812EE8" w:rsidP="008E3AF6">
            <w:pPr>
              <w:spacing w:line="360" w:lineRule="auto"/>
              <w:jc w:val="center"/>
              <w:rPr>
                <w:b/>
                <w:sz w:val="24"/>
                <w:szCs w:val="24"/>
              </w:rPr>
            </w:pPr>
            <w:r>
              <w:rPr>
                <w:rFonts w:ascii="Times New Roman" w:eastAsia="Times New Roman" w:hAnsi="Times New Roman" w:cs="Times New Roman"/>
                <w:sz w:val="20"/>
                <w:szCs w:val="20"/>
              </w:rPr>
              <w:t>Nivel alto: 38 a 56.</w:t>
            </w:r>
          </w:p>
        </w:tc>
      </w:tr>
      <w:tr w:rsidR="00812EE8" w14:paraId="5F269EE9" w14:textId="77777777" w:rsidTr="008E3AF6">
        <w:trPr>
          <w:trHeight w:val="440"/>
        </w:trPr>
        <w:tc>
          <w:tcPr>
            <w:tcW w:w="1266" w:type="dxa"/>
            <w:vMerge/>
            <w:tcBorders>
              <w:left w:val="single" w:sz="8" w:space="0" w:color="FFFFFF"/>
              <w:right w:val="single" w:sz="8" w:space="0" w:color="FFFFFF"/>
            </w:tcBorders>
          </w:tcPr>
          <w:p w14:paraId="3C00B175" w14:textId="77777777" w:rsidR="00812EE8" w:rsidRDefault="00812EE8" w:rsidP="008E3AF6">
            <w:pPr>
              <w:rPr>
                <w:b/>
                <w:sz w:val="24"/>
                <w:szCs w:val="24"/>
              </w:rPr>
            </w:pPr>
          </w:p>
        </w:tc>
        <w:tc>
          <w:tcPr>
            <w:tcW w:w="2268" w:type="dxa"/>
            <w:vMerge/>
            <w:tcBorders>
              <w:left w:val="single" w:sz="8" w:space="0" w:color="FFFFFF"/>
              <w:right w:val="single" w:sz="8" w:space="0" w:color="FFFFFF"/>
            </w:tcBorders>
          </w:tcPr>
          <w:p w14:paraId="01A4A887" w14:textId="77777777" w:rsidR="00812EE8" w:rsidRDefault="00812EE8" w:rsidP="008E3AF6">
            <w:pPr>
              <w:jc w:val="center"/>
              <w:rPr>
                <w:b/>
                <w:sz w:val="24"/>
                <w:szCs w:val="24"/>
              </w:rPr>
            </w:pPr>
          </w:p>
        </w:tc>
        <w:tc>
          <w:tcPr>
            <w:tcW w:w="2126" w:type="dxa"/>
            <w:vMerge/>
            <w:tcBorders>
              <w:left w:val="single" w:sz="8" w:space="0" w:color="FFFFFF"/>
              <w:right w:val="single" w:sz="8" w:space="0" w:color="FFFFFF"/>
            </w:tcBorders>
          </w:tcPr>
          <w:p w14:paraId="24E20069" w14:textId="77777777" w:rsidR="00812EE8" w:rsidRDefault="00812EE8" w:rsidP="008E3AF6">
            <w:pPr>
              <w:jc w:val="center"/>
              <w:rPr>
                <w:b/>
                <w:sz w:val="24"/>
                <w:szCs w:val="24"/>
              </w:rPr>
            </w:pPr>
          </w:p>
        </w:tc>
        <w:tc>
          <w:tcPr>
            <w:tcW w:w="1134" w:type="dxa"/>
            <w:tcBorders>
              <w:top w:val="single" w:sz="8" w:space="0" w:color="FFFFFF"/>
              <w:left w:val="single" w:sz="8" w:space="0" w:color="FFFFFF"/>
              <w:bottom w:val="single" w:sz="8" w:space="0" w:color="FFFFFF"/>
              <w:right w:val="single" w:sz="8" w:space="0" w:color="FFFFFF"/>
            </w:tcBorders>
          </w:tcPr>
          <w:p w14:paraId="0D368CEC" w14:textId="77777777" w:rsidR="00812EE8" w:rsidRDefault="00812EE8" w:rsidP="008E3AF6">
            <w:pPr>
              <w:spacing w:line="360" w:lineRule="auto"/>
              <w:jc w:val="center"/>
              <w:rPr>
                <w:b/>
                <w:sz w:val="18"/>
                <w:szCs w:val="18"/>
              </w:rPr>
            </w:pPr>
            <w:r>
              <w:rPr>
                <w:rFonts w:ascii="Times New Roman" w:eastAsia="Times New Roman" w:hAnsi="Times New Roman" w:cs="Times New Roman"/>
                <w:sz w:val="18"/>
                <w:szCs w:val="18"/>
              </w:rPr>
              <w:t>Dedicación al estudio</w:t>
            </w:r>
          </w:p>
        </w:tc>
        <w:tc>
          <w:tcPr>
            <w:tcW w:w="2552" w:type="dxa"/>
            <w:tcBorders>
              <w:top w:val="single" w:sz="8" w:space="0" w:color="FFFFFF"/>
              <w:left w:val="single" w:sz="8" w:space="0" w:color="FFFFFF"/>
              <w:bottom w:val="single" w:sz="8" w:space="0" w:color="FFFFFF"/>
              <w:right w:val="single" w:sz="8" w:space="0" w:color="FFFFFF"/>
            </w:tcBorders>
          </w:tcPr>
          <w:p w14:paraId="00C8F15F" w14:textId="77777777" w:rsidR="00812EE8" w:rsidRDefault="00812EE8" w:rsidP="008E3AF6">
            <w:pPr>
              <w:numPr>
                <w:ilvl w:val="0"/>
                <w:numId w:val="3"/>
              </w:numPr>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Organización del tiempo para el estudio.</w:t>
            </w:r>
          </w:p>
          <w:p w14:paraId="37E08B1D" w14:textId="77777777" w:rsidR="00812EE8" w:rsidRDefault="00812EE8" w:rsidP="008E3AF6">
            <w:pPr>
              <w:numPr>
                <w:ilvl w:val="0"/>
                <w:numId w:val="3"/>
              </w:numPr>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Preparación para exámenes.</w:t>
            </w:r>
          </w:p>
          <w:p w14:paraId="3C459F35" w14:textId="77777777" w:rsidR="00812EE8" w:rsidRDefault="00812EE8" w:rsidP="008E3AF6">
            <w:pPr>
              <w:numPr>
                <w:ilvl w:val="0"/>
                <w:numId w:val="3"/>
              </w:numPr>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Utilizar diversos recursos didácticos.</w:t>
            </w:r>
          </w:p>
        </w:tc>
        <w:tc>
          <w:tcPr>
            <w:tcW w:w="1417" w:type="dxa"/>
            <w:vMerge/>
            <w:tcBorders>
              <w:left w:val="single" w:sz="8" w:space="0" w:color="FFFFFF"/>
              <w:right w:val="single" w:sz="8" w:space="0" w:color="FFFFFF"/>
            </w:tcBorders>
          </w:tcPr>
          <w:p w14:paraId="55F97C69" w14:textId="77777777" w:rsidR="00812EE8" w:rsidRDefault="00812EE8" w:rsidP="008E3AF6">
            <w:pPr>
              <w:jc w:val="center"/>
              <w:rPr>
                <w:b/>
                <w:sz w:val="24"/>
                <w:szCs w:val="24"/>
              </w:rPr>
            </w:pPr>
          </w:p>
        </w:tc>
      </w:tr>
      <w:tr w:rsidR="00812EE8" w14:paraId="19A4ADF2" w14:textId="77777777" w:rsidTr="008E3AF6">
        <w:trPr>
          <w:trHeight w:val="440"/>
        </w:trPr>
        <w:tc>
          <w:tcPr>
            <w:tcW w:w="1266" w:type="dxa"/>
            <w:vMerge/>
            <w:tcBorders>
              <w:left w:val="single" w:sz="8" w:space="0" w:color="FFFFFF"/>
              <w:right w:val="single" w:sz="8" w:space="0" w:color="FFFFFF"/>
            </w:tcBorders>
          </w:tcPr>
          <w:p w14:paraId="67AB3785" w14:textId="77777777" w:rsidR="00812EE8" w:rsidRDefault="00812EE8" w:rsidP="008E3AF6">
            <w:pPr>
              <w:rPr>
                <w:b/>
                <w:sz w:val="24"/>
                <w:szCs w:val="24"/>
              </w:rPr>
            </w:pPr>
          </w:p>
        </w:tc>
        <w:tc>
          <w:tcPr>
            <w:tcW w:w="2268" w:type="dxa"/>
            <w:vMerge/>
            <w:tcBorders>
              <w:left w:val="single" w:sz="8" w:space="0" w:color="FFFFFF"/>
              <w:right w:val="single" w:sz="8" w:space="0" w:color="FFFFFF"/>
            </w:tcBorders>
          </w:tcPr>
          <w:p w14:paraId="2E7DD238" w14:textId="77777777" w:rsidR="00812EE8" w:rsidRDefault="00812EE8" w:rsidP="008E3AF6">
            <w:pPr>
              <w:jc w:val="center"/>
              <w:rPr>
                <w:b/>
                <w:sz w:val="24"/>
                <w:szCs w:val="24"/>
              </w:rPr>
            </w:pPr>
          </w:p>
        </w:tc>
        <w:tc>
          <w:tcPr>
            <w:tcW w:w="2126" w:type="dxa"/>
            <w:vMerge/>
            <w:tcBorders>
              <w:left w:val="single" w:sz="8" w:space="0" w:color="FFFFFF"/>
              <w:right w:val="single" w:sz="8" w:space="0" w:color="FFFFFF"/>
            </w:tcBorders>
          </w:tcPr>
          <w:p w14:paraId="2BF66D36" w14:textId="77777777" w:rsidR="00812EE8" w:rsidRDefault="00812EE8" w:rsidP="008E3AF6">
            <w:pPr>
              <w:jc w:val="center"/>
              <w:rPr>
                <w:b/>
                <w:sz w:val="24"/>
                <w:szCs w:val="24"/>
              </w:rPr>
            </w:pPr>
          </w:p>
        </w:tc>
        <w:tc>
          <w:tcPr>
            <w:tcW w:w="1134" w:type="dxa"/>
            <w:tcBorders>
              <w:top w:val="single" w:sz="8" w:space="0" w:color="FFFFFF"/>
              <w:left w:val="single" w:sz="8" w:space="0" w:color="FFFFFF"/>
              <w:right w:val="single" w:sz="8" w:space="0" w:color="FFFFFF"/>
            </w:tcBorders>
          </w:tcPr>
          <w:p w14:paraId="27C8734E" w14:textId="77777777" w:rsidR="00812EE8" w:rsidRDefault="00812EE8" w:rsidP="008E3AF6">
            <w:pPr>
              <w:spacing w:line="360" w:lineRule="auto"/>
              <w:jc w:val="center"/>
              <w:rPr>
                <w:b/>
                <w:sz w:val="18"/>
                <w:szCs w:val="18"/>
              </w:rPr>
            </w:pPr>
            <w:r>
              <w:rPr>
                <w:rFonts w:ascii="Times New Roman" w:eastAsia="Times New Roman" w:hAnsi="Times New Roman" w:cs="Times New Roman"/>
                <w:sz w:val="18"/>
                <w:szCs w:val="18"/>
              </w:rPr>
              <w:t>Falta de organización de los recursos didácticos</w:t>
            </w:r>
          </w:p>
        </w:tc>
        <w:tc>
          <w:tcPr>
            <w:tcW w:w="2552" w:type="dxa"/>
            <w:tcBorders>
              <w:top w:val="single" w:sz="8" w:space="0" w:color="FFFFFF"/>
              <w:left w:val="single" w:sz="8" w:space="0" w:color="FFFFFF"/>
              <w:right w:val="single" w:sz="8" w:space="0" w:color="FFFFFF"/>
            </w:tcBorders>
          </w:tcPr>
          <w:p w14:paraId="4FFC4423" w14:textId="77777777" w:rsidR="00812EE8" w:rsidRDefault="00812EE8" w:rsidP="008E3AF6">
            <w:pPr>
              <w:numPr>
                <w:ilvl w:val="0"/>
                <w:numId w:val="6"/>
              </w:numPr>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Horas de sueño.</w:t>
            </w:r>
          </w:p>
          <w:p w14:paraId="1BCED386" w14:textId="77777777" w:rsidR="00812EE8" w:rsidRDefault="00812EE8" w:rsidP="008E3AF6">
            <w:pPr>
              <w:numPr>
                <w:ilvl w:val="0"/>
                <w:numId w:val="6"/>
              </w:numPr>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Carencia de materiales para estudiar.</w:t>
            </w:r>
          </w:p>
          <w:p w14:paraId="6895893A" w14:textId="77777777" w:rsidR="00812EE8" w:rsidRDefault="00812EE8" w:rsidP="008E3AF6">
            <w:pPr>
              <w:numPr>
                <w:ilvl w:val="0"/>
                <w:numId w:val="6"/>
              </w:numPr>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Olvido de contenidos temáticos.</w:t>
            </w:r>
          </w:p>
          <w:p w14:paraId="4BBE7633" w14:textId="77777777" w:rsidR="00812EE8" w:rsidRDefault="00812EE8" w:rsidP="008E3AF6">
            <w:pPr>
              <w:numPr>
                <w:ilvl w:val="0"/>
                <w:numId w:val="6"/>
              </w:numPr>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Omisión en la entrega de trabajos.</w:t>
            </w:r>
          </w:p>
        </w:tc>
        <w:tc>
          <w:tcPr>
            <w:tcW w:w="1417" w:type="dxa"/>
            <w:vMerge/>
            <w:tcBorders>
              <w:left w:val="single" w:sz="8" w:space="0" w:color="FFFFFF"/>
              <w:right w:val="single" w:sz="8" w:space="0" w:color="FFFFFF"/>
            </w:tcBorders>
          </w:tcPr>
          <w:p w14:paraId="64C94D3B" w14:textId="77777777" w:rsidR="00812EE8" w:rsidRDefault="00812EE8" w:rsidP="008E3AF6">
            <w:pPr>
              <w:jc w:val="center"/>
              <w:rPr>
                <w:b/>
                <w:sz w:val="24"/>
                <w:szCs w:val="24"/>
              </w:rPr>
            </w:pPr>
          </w:p>
        </w:tc>
      </w:tr>
    </w:tbl>
    <w:p w14:paraId="4053FA98" w14:textId="2FAD533F" w:rsidR="001F2A67" w:rsidRDefault="008E3AF6" w:rsidP="008E3AF6">
      <w:pPr>
        <w:spacing w:line="360" w:lineRule="auto"/>
        <w:jc w:val="center"/>
        <w:rPr>
          <w:sz w:val="24"/>
          <w:szCs w:val="24"/>
        </w:rPr>
      </w:pPr>
      <w:r>
        <w:rPr>
          <w:sz w:val="24"/>
          <w:szCs w:val="24"/>
        </w:rPr>
        <w:t>Anexos</w:t>
      </w:r>
    </w:p>
    <w:p w14:paraId="30328722" w14:textId="09FAF703" w:rsidR="001F2A67" w:rsidRDefault="001F2A67"/>
    <w:sectPr w:rsidR="001F2A67">
      <w:footerReference w:type="first" r:id="rId45"/>
      <w:pgSz w:w="11906" w:h="16838"/>
      <w:pgMar w:top="1418" w:right="1418" w:bottom="1418" w:left="1417"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0F46C3" w14:textId="77777777" w:rsidR="00F53F9A" w:rsidRDefault="00F53F9A">
      <w:r>
        <w:separator/>
      </w:r>
    </w:p>
  </w:endnote>
  <w:endnote w:type="continuationSeparator" w:id="0">
    <w:p w14:paraId="4E4D2687" w14:textId="77777777" w:rsidR="00F53F9A" w:rsidRDefault="00F53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7BAFFB3A-B05F-4A3A-8F4D-3E26EC0F7B99}"/>
  </w:font>
  <w:font w:name="Georgia">
    <w:panose1 w:val="02040502050405020303"/>
    <w:charset w:val="00"/>
    <w:family w:val="roman"/>
    <w:pitch w:val="variable"/>
    <w:sig w:usb0="00000287" w:usb1="00000000" w:usb2="00000000" w:usb3="00000000" w:csb0="0000009F" w:csb1="00000000"/>
    <w:embedRegular r:id="rId2" w:fontKey="{0B3C465C-B975-47A6-9226-97C0669D4D70}"/>
    <w:embedItalic r:id="rId3" w:fontKey="{F6F4E3CB-91A2-4EB8-A6A4-AAECD1019246}"/>
  </w:font>
  <w:font w:name="Arial MT">
    <w:altName w:val="Arial"/>
    <w:charset w:val="00"/>
    <w:family w:val="auto"/>
    <w:pitch w:val="default"/>
  </w:font>
  <w:font w:name="Roboto Condensed Light">
    <w:charset w:val="00"/>
    <w:family w:val="auto"/>
    <w:pitch w:val="variable"/>
    <w:sig w:usb0="E0000AFF" w:usb1="5000217F" w:usb2="00000021" w:usb3="00000000" w:csb0="0000019F" w:csb1="00000000"/>
    <w:embedRegular r:id="rId4" w:fontKey="{608A399B-A31C-416E-AF02-FB8FF995891E}"/>
  </w:font>
  <w:font w:name="Calibri">
    <w:panose1 w:val="020F0502020204030204"/>
    <w:charset w:val="00"/>
    <w:family w:val="swiss"/>
    <w:pitch w:val="variable"/>
    <w:sig w:usb0="E4002EFF" w:usb1="C200247B" w:usb2="00000009" w:usb3="00000000" w:csb0="000001FF" w:csb1="00000000"/>
    <w:embedRegular r:id="rId5" w:fontKey="{A47429FF-A225-491F-9482-7BECDC83FB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D6DD8" w14:textId="77777777" w:rsidR="001F2A67" w:rsidRDefault="001F2A67">
    <w:pPr>
      <w:pBdr>
        <w:top w:val="nil"/>
        <w:left w:val="nil"/>
        <w:bottom w:val="nil"/>
        <w:right w:val="nil"/>
        <w:between w:val="nil"/>
      </w:pBdr>
      <w:tabs>
        <w:tab w:val="center" w:pos="4419"/>
        <w:tab w:val="right" w:pos="8838"/>
      </w:tabs>
      <w:jc w:val="right"/>
      <w:rPr>
        <w:color w:val="000000"/>
      </w:rPr>
    </w:pPr>
  </w:p>
  <w:p w14:paraId="4A6BC3E5" w14:textId="77777777" w:rsidR="001F2A67" w:rsidRDefault="001F2A67">
    <w:pPr>
      <w:pBdr>
        <w:top w:val="nil"/>
        <w:left w:val="nil"/>
        <w:bottom w:val="nil"/>
        <w:right w:val="nil"/>
        <w:between w:val="nil"/>
      </w:pBdr>
      <w:tabs>
        <w:tab w:val="center" w:pos="4419"/>
        <w:tab w:val="right" w:pos="8838"/>
      </w:tabs>
    </w:pPr>
  </w:p>
  <w:p w14:paraId="23470C86" w14:textId="77777777" w:rsidR="001F2A67" w:rsidRDefault="00000000">
    <w:pPr>
      <w:pBdr>
        <w:top w:val="nil"/>
        <w:left w:val="nil"/>
        <w:bottom w:val="nil"/>
        <w:right w:val="nil"/>
        <w:between w:val="nil"/>
      </w:pBdr>
      <w:tabs>
        <w:tab w:val="center" w:pos="4419"/>
        <w:tab w:val="right" w:pos="8838"/>
      </w:tabs>
      <w:jc w:val="right"/>
    </w:pPr>
    <w:r>
      <w:fldChar w:fldCharType="begin"/>
    </w:r>
    <w:r>
      <w:instrText>PAGE</w:instrText>
    </w:r>
    <w:r>
      <w:fldChar w:fldCharType="separate"/>
    </w:r>
    <w:r w:rsidR="00812EE8">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EF5D8" w14:textId="65A08F38" w:rsidR="001F2A67" w:rsidRDefault="00000000">
    <w:pPr>
      <w:pBdr>
        <w:top w:val="nil"/>
        <w:left w:val="nil"/>
        <w:bottom w:val="nil"/>
        <w:right w:val="nil"/>
        <w:between w:val="nil"/>
      </w:pBdr>
      <w:tabs>
        <w:tab w:val="center" w:pos="4419"/>
        <w:tab w:val="right" w:pos="8838"/>
      </w:tabs>
      <w:jc w:val="right"/>
      <w:rPr>
        <w:color w:val="000000"/>
      </w:rPr>
    </w:pPr>
    <w:r>
      <w:fldChar w:fldCharType="begin"/>
    </w:r>
    <w:r>
      <w:instrText>PAGE</w:instrText>
    </w:r>
    <w:r>
      <w:fldChar w:fldCharType="separate"/>
    </w:r>
    <w:r w:rsidR="00812EE8">
      <w:rPr>
        <w:noProof/>
      </w:rPr>
      <w:t>1</w:t>
    </w:r>
    <w:r>
      <w:fldChar w:fldCharType="end"/>
    </w:r>
  </w:p>
  <w:p w14:paraId="5A7A6238" w14:textId="77777777" w:rsidR="001F2A67" w:rsidRDefault="001F2A67">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55D9AC" w14:textId="77777777" w:rsidR="00F53F9A" w:rsidRDefault="00F53F9A">
      <w:r>
        <w:separator/>
      </w:r>
    </w:p>
  </w:footnote>
  <w:footnote w:type="continuationSeparator" w:id="0">
    <w:p w14:paraId="37D9932D" w14:textId="77777777" w:rsidR="00F53F9A" w:rsidRDefault="00F53F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36075"/>
    <w:multiLevelType w:val="multilevel"/>
    <w:tmpl w:val="D0A6F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207DC3"/>
    <w:multiLevelType w:val="multilevel"/>
    <w:tmpl w:val="F07EB6E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AB301D7"/>
    <w:multiLevelType w:val="multilevel"/>
    <w:tmpl w:val="8744B1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7D25B5"/>
    <w:multiLevelType w:val="multilevel"/>
    <w:tmpl w:val="94C49B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DEA26F7"/>
    <w:multiLevelType w:val="multilevel"/>
    <w:tmpl w:val="027EDF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7877935"/>
    <w:multiLevelType w:val="multilevel"/>
    <w:tmpl w:val="8E92ED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74317693">
    <w:abstractNumId w:val="0"/>
  </w:num>
  <w:num w:numId="2" w16cid:durableId="804926775">
    <w:abstractNumId w:val="1"/>
  </w:num>
  <w:num w:numId="3" w16cid:durableId="293951748">
    <w:abstractNumId w:val="2"/>
  </w:num>
  <w:num w:numId="4" w16cid:durableId="1008558652">
    <w:abstractNumId w:val="5"/>
  </w:num>
  <w:num w:numId="5" w16cid:durableId="439179315">
    <w:abstractNumId w:val="4"/>
  </w:num>
  <w:num w:numId="6" w16cid:durableId="21093476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A67"/>
    <w:rsid w:val="001F2A67"/>
    <w:rsid w:val="00812EE8"/>
    <w:rsid w:val="008E3AF6"/>
    <w:rsid w:val="00F53F9A"/>
    <w:rsid w:val="00F6112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388DF"/>
  <w15:docId w15:val="{F45814A5-4AFE-4C49-A26E-A7028A3E4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ES" w:eastAsia="es-P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6BB"/>
  </w:style>
  <w:style w:type="paragraph" w:styleId="Ttulo1">
    <w:name w:val="heading 1"/>
    <w:basedOn w:val="Normal"/>
    <w:next w:val="Normal"/>
    <w:link w:val="Ttulo1Car"/>
    <w:uiPriority w:val="9"/>
    <w:qFormat/>
    <w:rsid w:val="00C106BB"/>
    <w:pPr>
      <w:spacing w:line="360" w:lineRule="auto"/>
      <w:jc w:val="center"/>
      <w:outlineLvl w:val="0"/>
    </w:pPr>
    <w:rPr>
      <w:b/>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C106BB"/>
    <w:rPr>
      <w:rFonts w:ascii="Arial" w:eastAsia="Arial" w:hAnsi="Arial" w:cs="Arial"/>
      <w:b/>
      <w:sz w:val="24"/>
      <w:szCs w:val="24"/>
      <w:lang w:val="es-ES"/>
    </w:rPr>
  </w:style>
  <w:style w:type="paragraph" w:styleId="TtuloTDC">
    <w:name w:val="TOC Heading"/>
    <w:basedOn w:val="Ttulo1"/>
    <w:next w:val="Normal"/>
    <w:uiPriority w:val="39"/>
    <w:unhideWhenUsed/>
    <w:qFormat/>
    <w:rsid w:val="00C106BB"/>
    <w:pPr>
      <w:keepNext/>
      <w:keepLines/>
      <w:widowControl/>
      <w:spacing w:before="240" w:line="259" w:lineRule="auto"/>
      <w:jc w:val="left"/>
      <w:outlineLvl w:val="9"/>
    </w:pPr>
    <w:rPr>
      <w:rFonts w:asciiTheme="majorHAnsi" w:eastAsiaTheme="majorEastAsia" w:hAnsiTheme="majorHAnsi" w:cstheme="majorBidi"/>
      <w:b w:val="0"/>
      <w:color w:val="2E74B5" w:themeColor="accent1" w:themeShade="BF"/>
      <w:sz w:val="32"/>
      <w:szCs w:val="32"/>
      <w:lang w:val="en-US"/>
    </w:rPr>
  </w:style>
  <w:style w:type="paragraph" w:styleId="TDC1">
    <w:name w:val="toc 1"/>
    <w:basedOn w:val="Normal"/>
    <w:next w:val="Normal"/>
    <w:autoRedefine/>
    <w:uiPriority w:val="39"/>
    <w:unhideWhenUsed/>
    <w:rsid w:val="00C106BB"/>
    <w:pPr>
      <w:spacing w:after="100"/>
    </w:pPr>
  </w:style>
  <w:style w:type="character" w:styleId="Hipervnculo">
    <w:name w:val="Hyperlink"/>
    <w:basedOn w:val="Fuentedeprrafopredeter"/>
    <w:uiPriority w:val="99"/>
    <w:unhideWhenUsed/>
    <w:rsid w:val="00C106BB"/>
    <w:rPr>
      <w:color w:val="0563C1" w:themeColor="hyperlink"/>
      <w:u w:val="single"/>
    </w:rPr>
  </w:style>
  <w:style w:type="paragraph" w:styleId="Encabezado">
    <w:name w:val="header"/>
    <w:basedOn w:val="Normal"/>
    <w:link w:val="EncabezadoCar"/>
    <w:uiPriority w:val="99"/>
    <w:unhideWhenUsed/>
    <w:rsid w:val="00C106BB"/>
    <w:pPr>
      <w:tabs>
        <w:tab w:val="center" w:pos="4419"/>
        <w:tab w:val="right" w:pos="8838"/>
      </w:tabs>
    </w:pPr>
  </w:style>
  <w:style w:type="character" w:customStyle="1" w:styleId="EncabezadoCar">
    <w:name w:val="Encabezado Car"/>
    <w:basedOn w:val="Fuentedeprrafopredeter"/>
    <w:link w:val="Encabezado"/>
    <w:uiPriority w:val="99"/>
    <w:rsid w:val="00C106BB"/>
    <w:rPr>
      <w:rFonts w:ascii="Arial" w:eastAsia="Arial" w:hAnsi="Arial" w:cs="Arial"/>
      <w:lang w:val="es-ES"/>
    </w:rPr>
  </w:style>
  <w:style w:type="paragraph" w:styleId="Piedepgina">
    <w:name w:val="footer"/>
    <w:basedOn w:val="Normal"/>
    <w:link w:val="PiedepginaCar"/>
    <w:uiPriority w:val="99"/>
    <w:unhideWhenUsed/>
    <w:rsid w:val="00C106BB"/>
    <w:pPr>
      <w:tabs>
        <w:tab w:val="center" w:pos="4419"/>
        <w:tab w:val="right" w:pos="8838"/>
      </w:tabs>
    </w:pPr>
  </w:style>
  <w:style w:type="character" w:customStyle="1" w:styleId="PiedepginaCar">
    <w:name w:val="Pie de página Car"/>
    <w:basedOn w:val="Fuentedeprrafopredeter"/>
    <w:link w:val="Piedepgina"/>
    <w:uiPriority w:val="99"/>
    <w:rsid w:val="00C106BB"/>
    <w:rPr>
      <w:rFonts w:ascii="Arial" w:eastAsia="Arial" w:hAnsi="Arial" w:cs="Arial"/>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0" w:type="dxa"/>
        <w:left w:w="0" w:type="dxa"/>
        <w:bottom w:w="0" w:type="dxa"/>
        <w:right w:w="0" w:type="dxa"/>
      </w:tblCellMar>
    </w:tblPr>
  </w:style>
  <w:style w:type="table" w:customStyle="1" w:styleId="a1">
    <w:basedOn w:val="TableNormal1"/>
    <w:tblPr>
      <w:tblStyleRowBandSize w:val="1"/>
      <w:tblStyleColBandSize w:val="1"/>
      <w:tblCellMar>
        <w:top w:w="0" w:type="dxa"/>
        <w:left w:w="0" w:type="dxa"/>
        <w:bottom w:w="0" w:type="dxa"/>
        <w:right w:w="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ccastillopra@ucvvirtual.edu.pe" TargetMode="External"/><Relationship Id="rId18" Type="http://schemas.openxmlformats.org/officeDocument/2006/relationships/hyperlink" Target="http://orcid.org/0000-0002-0565-3647" TargetMode="External"/><Relationship Id="rId26" Type="http://schemas.openxmlformats.org/officeDocument/2006/relationships/hyperlink" Target="https://dialnet.unirioja.es/servlet/articulo?codigo=8416180" TargetMode="External"/><Relationship Id="rId39" Type="http://schemas.openxmlformats.org/officeDocument/2006/relationships/hyperlink" Target="https://revistas.ucv.edu.pe/index.php/psiquemag/article/view/278/264" TargetMode="External"/><Relationship Id="rId21" Type="http://schemas.openxmlformats.org/officeDocument/2006/relationships/footer" Target="footer1.xml"/><Relationship Id="rId34" Type="http://schemas.openxmlformats.org/officeDocument/2006/relationships/hyperlink" Target="https://doi.org/10.1016/j.anr.2012.08.004" TargetMode="External"/><Relationship Id="rId42" Type="http://schemas.openxmlformats.org/officeDocument/2006/relationships/hyperlink" Target="https://www.redalyc.org/journal/674/67462875008/67462875008.pdf"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orcid.org/0009-0007-5326-3233" TargetMode="External"/><Relationship Id="rId29" Type="http://schemas.openxmlformats.org/officeDocument/2006/relationships/hyperlink" Target="https://repositorio.upao.edu.pe/handle/20.500.12759/2019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rcid.org/0009-0007-9157-0648" TargetMode="External"/><Relationship Id="rId24" Type="http://schemas.openxmlformats.org/officeDocument/2006/relationships/hyperlink" Target="https://revistaespacios.com/a20v41n48/a20v41n48p30.pdf" TargetMode="External"/><Relationship Id="rId32" Type="http://schemas.openxmlformats.org/officeDocument/2006/relationships/hyperlink" Target="https://bibliotecadigital.uce.edu.ec/s/L-D/item/793" TargetMode="External"/><Relationship Id="rId37" Type="http://schemas.openxmlformats.org/officeDocument/2006/relationships/hyperlink" Target="https://www.oecd.org/es/publications/2015/10/frascati-manual-2015_g1g57dcb.html" TargetMode="External"/><Relationship Id="rId40" Type="http://schemas.openxmlformats.org/officeDocument/2006/relationships/hyperlink" Target="https://repositorio.ucv.edu.pe/handle/20.500.12692/16331"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hramirezro5@ucvvirtual.edu.pe" TargetMode="External"/><Relationship Id="rId23" Type="http://schemas.openxmlformats.org/officeDocument/2006/relationships/hyperlink" Target="https://www.efdeportes.com/efdeportes/index.php/EFDeportes/article/download/1617/1250?inline=1" TargetMode="External"/><Relationship Id="rId28" Type="http://schemas.openxmlformats.org/officeDocument/2006/relationships/hyperlink" Target="https://doi.org/10.5281/zenodo.4065032" TargetMode="External"/><Relationship Id="rId36" Type="http://schemas.openxmlformats.org/officeDocument/2006/relationships/hyperlink" Target="https://revistainvestigacionacademicasinfrontera.unison.mx/index.php/RDIASF/article/view/388/404" TargetMode="External"/><Relationship Id="rId10" Type="http://schemas.openxmlformats.org/officeDocument/2006/relationships/hyperlink" Target="mailto:ecruzadova@ucvvirtual.edu.pe" TargetMode="External"/><Relationship Id="rId19" Type="http://schemas.openxmlformats.org/officeDocument/2006/relationships/hyperlink" Target="mailto:lvigoc@ucvvirtual.edu.pe" TargetMode="External"/><Relationship Id="rId31" Type="http://schemas.openxmlformats.org/officeDocument/2006/relationships/hyperlink" Target="https://dx.doi.org/10.4067/S0718-50062021000100013" TargetMode="External"/><Relationship Id="rId44" Type="http://schemas.openxmlformats.org/officeDocument/2006/relationships/hyperlink" Target="https://revistas.uss.edu.pe/index.php/HACEDOR/article/view/2525/3038" TargetMode="External"/><Relationship Id="rId4" Type="http://schemas.openxmlformats.org/officeDocument/2006/relationships/settings" Target="settings.xml"/><Relationship Id="rId9" Type="http://schemas.openxmlformats.org/officeDocument/2006/relationships/hyperlink" Target="http://orcid.org/0009-0009-9126-1954" TargetMode="External"/><Relationship Id="rId14" Type="http://schemas.openxmlformats.org/officeDocument/2006/relationships/hyperlink" Target="http://orcid.org/0009-0007-5326-3233" TargetMode="External"/><Relationship Id="rId22" Type="http://schemas.openxmlformats.org/officeDocument/2006/relationships/hyperlink" Target="https://acortar.link/eKfkiM" TargetMode="External"/><Relationship Id="rId27" Type="http://schemas.openxmlformats.org/officeDocument/2006/relationships/hyperlink" Target="https://www.eumed.net/rev/atlante/2018/08/estres-academico.html?fb" TargetMode="External"/><Relationship Id="rId30" Type="http://schemas.openxmlformats.org/officeDocument/2006/relationships/hyperlink" Target="https://repositorio.ucv.edu.pe/handle/20.500.12692/96734" TargetMode="External"/><Relationship Id="rId35" Type="http://schemas.openxmlformats.org/officeDocument/2006/relationships/hyperlink" Target="https://www.revistaespacios.com/a21v42n07/a21v42n07p06.pdf" TargetMode="External"/><Relationship Id="rId43" Type="http://schemas.openxmlformats.org/officeDocument/2006/relationships/hyperlink" Target="http://www.scielo.org.co/scielo.php?pid=S1692-72732022000100003&amp;script=sci_arttext"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adelgadoat@ucvvirtual.edu.pe" TargetMode="External"/><Relationship Id="rId17" Type="http://schemas.openxmlformats.org/officeDocument/2006/relationships/hyperlink" Target="http://orcid.org/0009-0007-5326-3233" TargetMode="External"/><Relationship Id="rId25" Type="http://schemas.openxmlformats.org/officeDocument/2006/relationships/hyperlink" Target="https://biblat.unam.mx/es/revista/archivos-venezolanos-de-farmacologia-y-terapeutica/articulo/salud-mental-en-adolescentes-universitarios-latinoamericanos-revision-sistematica" TargetMode="External"/><Relationship Id="rId33" Type="http://schemas.openxmlformats.org/officeDocument/2006/relationships/hyperlink" Target="https://acortar.link/rWf7Dl" TargetMode="External"/><Relationship Id="rId38" Type="http://schemas.openxmlformats.org/officeDocument/2006/relationships/hyperlink" Target="https://repositorio.continental.edu.pe/handle/20.500.12394/16002" TargetMode="External"/><Relationship Id="rId46" Type="http://schemas.openxmlformats.org/officeDocument/2006/relationships/fontTable" Target="fontTable.xml"/><Relationship Id="rId20" Type="http://schemas.openxmlformats.org/officeDocument/2006/relationships/hyperlink" Target="http://orcid.org/0009-0009-2577-6052" TargetMode="External"/><Relationship Id="rId41" Type="http://schemas.openxmlformats.org/officeDocument/2006/relationships/hyperlink" Target="https://dialnet.unirioja.es/servlet/articulo?codigo=728771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QBCA5yQPCSXfLlgIBEsJ5bzBcA==">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24</Pages>
  <Words>6994</Words>
  <Characters>38471</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Segundo Eloy Soto Abanto</dc:creator>
  <cp:lastModifiedBy>Delgado Atahopilco</cp:lastModifiedBy>
  <cp:revision>2</cp:revision>
  <dcterms:created xsi:type="dcterms:W3CDTF">2024-01-20T02:46:00Z</dcterms:created>
  <dcterms:modified xsi:type="dcterms:W3CDTF">2025-07-09T22:50:00Z</dcterms:modified>
</cp:coreProperties>
</file>