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DEFE4" w14:textId="22399C9B" w:rsidR="00A33C38" w:rsidRDefault="00A33C38" w:rsidP="00F3508F">
      <w:pPr>
        <w:spacing w:before="240" w:line="360" w:lineRule="auto"/>
        <w:jc w:val="center"/>
        <w:rPr>
          <w:rFonts w:asciiTheme="majorHAnsi" w:eastAsia="Times New Roman" w:hAnsiTheme="majorHAnsi" w:cstheme="majorHAnsi"/>
          <w:b/>
          <w:sz w:val="28"/>
          <w:szCs w:val="28"/>
          <w:lang w:eastAsia="cs-CZ"/>
        </w:rPr>
      </w:pPr>
      <w:r w:rsidRPr="00833A3A">
        <w:rPr>
          <w:rFonts w:asciiTheme="majorHAnsi" w:eastAsia="Times New Roman" w:hAnsiTheme="majorHAnsi" w:cstheme="majorHAnsi"/>
          <w:b/>
          <w:sz w:val="28"/>
          <w:szCs w:val="28"/>
          <w:lang w:eastAsia="cs-CZ"/>
        </w:rPr>
        <w:t>Metacognitive Thinking Skills as Indicators of Mental Health: Possible Effects of Alexithymia Levels</w:t>
      </w:r>
    </w:p>
    <w:p w14:paraId="677C3A53" w14:textId="77777777" w:rsidR="009C475C" w:rsidRPr="00833A3A" w:rsidRDefault="009C475C" w:rsidP="00833A3A">
      <w:pPr>
        <w:widowControl w:val="0"/>
        <w:autoSpaceDE w:val="0"/>
        <w:autoSpaceDN w:val="0"/>
        <w:adjustRightInd w:val="0"/>
        <w:spacing w:before="120" w:line="276" w:lineRule="auto"/>
        <w:jc w:val="both"/>
        <w:rPr>
          <w:rFonts w:asciiTheme="majorHAnsi" w:eastAsia="Times New Roman" w:hAnsiTheme="majorHAnsi" w:cstheme="majorHAnsi"/>
          <w:b/>
          <w:lang w:val="cs-CZ" w:eastAsia="cs-CZ"/>
        </w:rPr>
      </w:pPr>
      <w:bookmarkStart w:id="0" w:name="_GoBack"/>
      <w:bookmarkEnd w:id="0"/>
      <w:r w:rsidRPr="00833A3A">
        <w:rPr>
          <w:rFonts w:asciiTheme="majorHAnsi" w:eastAsia="Times New Roman" w:hAnsiTheme="majorHAnsi" w:cstheme="majorHAnsi"/>
          <w:b/>
          <w:sz w:val="28"/>
          <w:szCs w:val="28"/>
          <w:lang w:val="cs-CZ" w:eastAsia="cs-CZ"/>
        </w:rPr>
        <w:t>Abstract</w:t>
      </w:r>
    </w:p>
    <w:p w14:paraId="491F3DE4" w14:textId="75C56768" w:rsidR="00226D86" w:rsidRPr="00833A3A" w:rsidRDefault="00A809A4" w:rsidP="00833A3A">
      <w:pPr>
        <w:spacing w:line="276" w:lineRule="auto"/>
        <w:jc w:val="both"/>
        <w:rPr>
          <w:rFonts w:asciiTheme="majorHAnsi" w:hAnsiTheme="majorHAnsi" w:cstheme="majorHAnsi"/>
          <w:sz w:val="22"/>
          <w:szCs w:val="22"/>
        </w:rPr>
      </w:pPr>
      <w:r w:rsidRPr="00833A3A">
        <w:rPr>
          <w:rFonts w:asciiTheme="majorHAnsi" w:hAnsiTheme="majorHAnsi" w:cstheme="majorHAnsi"/>
          <w:sz w:val="22"/>
          <w:szCs w:val="22"/>
        </w:rPr>
        <w:t>This research aimed to identify the potential effects of alexithymia levels on metacognitive thinking skills among university students by identifying the prevalence levels of alexithymia, determining the level of metacognitive thinking skills, and examining the effects of alexithymia levels on metacognitive thinking skills. This research adopted a descriptive approach to describe, analyze, and interpret behavioral phenomena, in addition to using a comparative approach to identify the differences in metacognitive thinking skills among high-, medium-, and low- alexithymia students. The sample consisted of (120) male and female students who were randomly selected from the study population. The tools used wer</w:t>
      </w:r>
      <w:r w:rsidR="000D07DE" w:rsidRPr="00833A3A">
        <w:rPr>
          <w:rFonts w:asciiTheme="majorHAnsi" w:hAnsiTheme="majorHAnsi" w:cstheme="majorHAnsi"/>
          <w:sz w:val="22"/>
          <w:szCs w:val="22"/>
        </w:rPr>
        <w:t xml:space="preserve">e the Toronto Alexithymia Scale </w:t>
      </w:r>
      <w:r w:rsidRPr="00833A3A">
        <w:rPr>
          <w:rFonts w:asciiTheme="majorHAnsi" w:hAnsiTheme="majorHAnsi" w:cstheme="majorHAnsi"/>
          <w:sz w:val="22"/>
          <w:szCs w:val="22"/>
        </w:rPr>
        <w:t xml:space="preserve">and the Metacognition Thinking Scale. The results revealed that university students have a high level of alexithymia alongside a high level of metacognitive thinking. Notably, an effect of alexithymia on metacognitive thinking skills, which represent important indicators of the learner's mental health, was observed. Compared with those with medium and high levels of alexithymia, students with low levels of alexithymia performed better in metacognitive thinking skills. </w:t>
      </w:r>
      <w:r w:rsidR="00FC1BA6" w:rsidRPr="00833A3A">
        <w:rPr>
          <w:rFonts w:asciiTheme="majorHAnsi" w:hAnsiTheme="majorHAnsi" w:cstheme="majorHAnsi"/>
          <w:sz w:val="22"/>
          <w:szCs w:val="22"/>
        </w:rPr>
        <w:t xml:space="preserve">The results showed that it is important to develop the abilities of university students suffering from alexithymia in terms of identifying feelings and emotions, practicing imaginative thinking, and performing educational tasks that enhance the emotional aspects to develop their metacognitive thinking skills.  </w:t>
      </w:r>
    </w:p>
    <w:p w14:paraId="4E963F6D" w14:textId="4DEF44C6" w:rsidR="00226D86" w:rsidRPr="00833A3A" w:rsidRDefault="002E250E" w:rsidP="00833A3A">
      <w:pPr>
        <w:spacing w:before="120" w:after="120" w:line="276" w:lineRule="auto"/>
        <w:rPr>
          <w:rFonts w:asciiTheme="majorHAnsi" w:hAnsiTheme="majorHAnsi" w:cstheme="majorHAnsi"/>
        </w:rPr>
      </w:pPr>
      <w:r w:rsidRPr="00833A3A">
        <w:rPr>
          <w:rFonts w:asciiTheme="majorHAnsi" w:eastAsia="Times New Roman" w:hAnsiTheme="majorHAnsi" w:cstheme="majorHAnsi"/>
          <w:b/>
          <w:sz w:val="28"/>
          <w:szCs w:val="28"/>
          <w:lang w:val="cs-CZ" w:eastAsia="cs-CZ"/>
        </w:rPr>
        <w:t>Keywords:</w:t>
      </w:r>
      <w:r w:rsidRPr="00833A3A">
        <w:rPr>
          <w:rFonts w:asciiTheme="majorHAnsi" w:hAnsiTheme="majorHAnsi" w:cstheme="majorHAnsi"/>
        </w:rPr>
        <w:t xml:space="preserve"> </w:t>
      </w:r>
      <w:r w:rsidR="00A809A4" w:rsidRPr="00E13D50">
        <w:rPr>
          <w:rFonts w:asciiTheme="majorHAnsi" w:hAnsiTheme="majorHAnsi" w:cstheme="majorHAnsi"/>
          <w:sz w:val="22"/>
          <w:szCs w:val="22"/>
        </w:rPr>
        <w:t>Metacognitive Thinking Skills; Mental Health, Alexithymia; University Students</w:t>
      </w:r>
      <w:r w:rsidR="002F1F57" w:rsidRPr="00E13D50">
        <w:rPr>
          <w:rFonts w:asciiTheme="majorHAnsi" w:hAnsiTheme="majorHAnsi" w:cstheme="majorHAnsi"/>
          <w:sz w:val="22"/>
          <w:szCs w:val="22"/>
        </w:rPr>
        <w:t>.</w:t>
      </w:r>
      <w:r w:rsidR="00EB45F6" w:rsidRPr="00833A3A">
        <w:rPr>
          <w:rFonts w:asciiTheme="majorHAnsi" w:hAnsiTheme="majorHAnsi" w:cstheme="majorHAnsi"/>
        </w:rPr>
        <w:t xml:space="preserve"> </w:t>
      </w:r>
      <w:r w:rsidR="00A809A4" w:rsidRPr="00833A3A">
        <w:rPr>
          <w:rFonts w:asciiTheme="majorHAnsi" w:hAnsiTheme="majorHAnsi" w:cstheme="majorHAnsi"/>
        </w:rPr>
        <w:t xml:space="preserve"> </w:t>
      </w:r>
    </w:p>
    <w:p w14:paraId="080CE0E5" w14:textId="0B3C29E6" w:rsidR="007A5A76" w:rsidRPr="00833A3A" w:rsidRDefault="00226D86" w:rsidP="00833A3A">
      <w:pPr>
        <w:widowControl w:val="0"/>
        <w:autoSpaceDE w:val="0"/>
        <w:autoSpaceDN w:val="0"/>
        <w:adjustRightInd w:val="0"/>
        <w:spacing w:before="120" w:after="240" w:line="276" w:lineRule="auto"/>
        <w:jc w:val="both"/>
        <w:rPr>
          <w:rFonts w:asciiTheme="majorHAnsi" w:eastAsia="Times New Roman" w:hAnsiTheme="majorHAnsi" w:cstheme="majorHAnsi"/>
          <w:b/>
          <w:sz w:val="28"/>
          <w:szCs w:val="28"/>
          <w:lang w:val="cs-CZ" w:eastAsia="cs-CZ"/>
        </w:rPr>
      </w:pPr>
      <w:r w:rsidRPr="00833A3A">
        <w:rPr>
          <w:rFonts w:asciiTheme="majorHAnsi" w:eastAsia="Times New Roman" w:hAnsiTheme="majorHAnsi" w:cstheme="majorHAnsi"/>
          <w:b/>
          <w:sz w:val="28"/>
          <w:szCs w:val="28"/>
          <w:lang w:val="cs-CZ" w:eastAsia="cs-CZ"/>
        </w:rPr>
        <w:t>Introduction</w:t>
      </w:r>
      <w:r w:rsidR="00B36EC7" w:rsidRPr="00833A3A">
        <w:rPr>
          <w:rFonts w:asciiTheme="majorHAnsi" w:eastAsia="Times New Roman" w:hAnsiTheme="majorHAnsi" w:cstheme="majorHAnsi"/>
          <w:b/>
          <w:sz w:val="28"/>
          <w:szCs w:val="28"/>
          <w:lang w:val="cs-CZ" w:eastAsia="cs-CZ"/>
        </w:rPr>
        <w:t xml:space="preserve"> </w:t>
      </w:r>
    </w:p>
    <w:p w14:paraId="6E56EAF0" w14:textId="66776199" w:rsidR="00A809A4" w:rsidRPr="00833A3A" w:rsidRDefault="00A809A4" w:rsidP="00833A3A">
      <w:pPr>
        <w:spacing w:after="120" w:line="276" w:lineRule="auto"/>
        <w:jc w:val="both"/>
        <w:rPr>
          <w:rFonts w:asciiTheme="majorHAnsi" w:hAnsiTheme="majorHAnsi" w:cstheme="majorHAnsi"/>
          <w:bCs/>
          <w:sz w:val="22"/>
          <w:szCs w:val="22"/>
        </w:rPr>
      </w:pPr>
      <w:r>
        <w:rPr>
          <w:rFonts w:ascii="Times New Roman" w:hAnsi="Times New Roman" w:cs="Times New Roman"/>
        </w:rPr>
        <w:t xml:space="preserve"> </w:t>
      </w:r>
      <w:r w:rsidRPr="00833A3A">
        <w:rPr>
          <w:rFonts w:asciiTheme="majorHAnsi" w:hAnsiTheme="majorHAnsi" w:cstheme="majorHAnsi"/>
          <w:bCs/>
          <w:sz w:val="22"/>
          <w:szCs w:val="22"/>
        </w:rPr>
        <w:t>University students represent a crucial age group within society, as their skills and abilities have the potential to bring about significant change. However, given the current era and the changes and challenges it presents, university students are increasingly susceptible to various psychological, social, and mental issues. These challenges can negatively impact their performance in university tasks and hinder their ability to engage in various thinking skills.</w:t>
      </w:r>
    </w:p>
    <w:p w14:paraId="177FF56C" w14:textId="31B3CD89" w:rsidR="00A809A4" w:rsidRPr="00833A3A" w:rsidRDefault="00A809A4" w:rsidP="00833A3A">
      <w:pPr>
        <w:spacing w:after="120" w:line="276" w:lineRule="auto"/>
        <w:jc w:val="both"/>
        <w:rPr>
          <w:rFonts w:asciiTheme="majorHAnsi" w:hAnsiTheme="majorHAnsi" w:cstheme="majorHAnsi"/>
          <w:bCs/>
          <w:sz w:val="22"/>
          <w:szCs w:val="22"/>
        </w:rPr>
      </w:pPr>
      <w:r w:rsidRPr="00833A3A">
        <w:rPr>
          <w:rFonts w:asciiTheme="majorHAnsi" w:hAnsiTheme="majorHAnsi" w:cstheme="majorHAnsi"/>
          <w:bCs/>
          <w:sz w:val="22"/>
          <w:szCs w:val="22"/>
        </w:rPr>
        <w:t>Alexithymia is one of the most common psychological, behavioral, and mental problems facing university students, and it has negative effects on performance, thinking, adaptation, and interaction with others (Besharat, 2010). Researchers have emphasized the role of alexithymia in difficulty identifying, understanding, and describing emotions; externally directed thinking; deficits in cognitive processing; emotion regulation; poor social interactions and communication with others; and deficits in empathy, dealing with and regulating emotions. It is negatively associated with resilience, a sense of personal accomplishment, academic performance, satisfaction, self-efficacy, and metacognitive thinking (Yaghoubi &amp; Salehi, 2016).</w:t>
      </w:r>
    </w:p>
    <w:p w14:paraId="22F6EA02" w14:textId="09CF103A" w:rsidR="00A809A4" w:rsidRPr="00833A3A" w:rsidRDefault="00A809A4" w:rsidP="00833A3A">
      <w:pPr>
        <w:spacing w:after="120" w:line="276" w:lineRule="auto"/>
        <w:jc w:val="both"/>
        <w:rPr>
          <w:rFonts w:asciiTheme="majorHAnsi" w:hAnsiTheme="majorHAnsi" w:cstheme="majorHAnsi"/>
          <w:bCs/>
          <w:sz w:val="22"/>
          <w:szCs w:val="22"/>
        </w:rPr>
      </w:pPr>
      <w:r w:rsidRPr="00833A3A">
        <w:rPr>
          <w:rFonts w:asciiTheme="majorHAnsi" w:hAnsiTheme="majorHAnsi" w:cstheme="majorHAnsi"/>
          <w:bCs/>
          <w:sz w:val="22"/>
          <w:szCs w:val="22"/>
        </w:rPr>
        <w:t xml:space="preserve">Studies have indicated that alexithymia affects the learner's motivation in performing tasks, enduring stressful situations, and mobilizing emotional energy and feelings toward the learning task. It also affects mental alertness and the amount of effort exerted to achieve goals, leading to a scarcity of imagination and emotional distress and weak emotional engagement with learning topics, which prevents the achievement of the required levels of performance, and lacks mental health (Rösch et </w:t>
      </w:r>
      <w:r w:rsidRPr="00833A3A">
        <w:rPr>
          <w:rFonts w:asciiTheme="majorHAnsi" w:hAnsiTheme="majorHAnsi" w:cstheme="majorHAnsi"/>
          <w:bCs/>
          <w:sz w:val="22"/>
          <w:szCs w:val="22"/>
        </w:rPr>
        <w:lastRenderedPageBreak/>
        <w:t>al., 2022; Karbasdehi et al., 2018; Faramarzi &amp; Khafri, 2017</w:t>
      </w:r>
      <w:r w:rsidR="00001968" w:rsidRPr="00833A3A">
        <w:rPr>
          <w:rFonts w:asciiTheme="majorHAnsi" w:hAnsiTheme="majorHAnsi" w:cstheme="majorHAnsi"/>
          <w:bCs/>
          <w:sz w:val="22"/>
          <w:szCs w:val="22"/>
        </w:rPr>
        <w:t>; Paul, 2017). Negative emotional experiences and a lower capacity for positive emotions were associated with a greater number of mental health problems (Leweke et al., 2011)</w:t>
      </w:r>
      <w:r w:rsidRPr="00833A3A">
        <w:rPr>
          <w:rFonts w:asciiTheme="majorHAnsi" w:hAnsiTheme="majorHAnsi" w:cstheme="majorHAnsi"/>
          <w:bCs/>
          <w:sz w:val="22"/>
          <w:szCs w:val="22"/>
        </w:rPr>
        <w:t xml:space="preserve"> </w:t>
      </w:r>
    </w:p>
    <w:p w14:paraId="757C03EC" w14:textId="0028D0B3" w:rsidR="00A809A4" w:rsidRPr="00833A3A" w:rsidRDefault="00A809A4" w:rsidP="00833A3A">
      <w:pPr>
        <w:spacing w:after="120" w:line="276" w:lineRule="auto"/>
        <w:jc w:val="both"/>
        <w:rPr>
          <w:rFonts w:asciiTheme="majorHAnsi" w:hAnsiTheme="majorHAnsi" w:cstheme="majorHAnsi"/>
          <w:bCs/>
          <w:sz w:val="22"/>
          <w:szCs w:val="22"/>
        </w:rPr>
      </w:pPr>
      <w:r w:rsidRPr="00833A3A">
        <w:rPr>
          <w:rFonts w:asciiTheme="majorHAnsi" w:hAnsiTheme="majorHAnsi" w:cstheme="majorHAnsi"/>
          <w:bCs/>
          <w:sz w:val="22"/>
          <w:szCs w:val="22"/>
        </w:rPr>
        <w:t>Saghaei (2009) noted that anxiety affects key components of metacognitive thinking, such as monitoring skills, strategy use, and goal knowledge. This anxiety is positively correlated with alexithymia among students. Research shows that individuals with high levels of alexithymia have an increased level of anxiety and exhibit lower metacognitive processes and skills (Kleitman &amp; Stankov, 2007). Sifneos (1973) and Babaei et al. (2016) further confirmed that high levels of metacognitive impairments are closely related to alexithymia</w:t>
      </w:r>
      <w:r w:rsidR="00001968" w:rsidRPr="00833A3A">
        <w:rPr>
          <w:rFonts w:asciiTheme="majorHAnsi" w:hAnsiTheme="majorHAnsi" w:cstheme="majorHAnsi"/>
          <w:bCs/>
          <w:sz w:val="22"/>
          <w:szCs w:val="22"/>
        </w:rPr>
        <w:t>, suggesting that individuals with high metacognitive thinking tend to have lower levels of alexithymia traits, leading to better educational performance. They concluded that metacognitive abilities might affect alexithymia traits, particularly the ability to recognize emotions.</w:t>
      </w:r>
    </w:p>
    <w:p w14:paraId="31AF7397" w14:textId="45EBA237" w:rsidR="00A809A4" w:rsidRPr="00833A3A" w:rsidRDefault="00A809A4" w:rsidP="00833A3A">
      <w:pPr>
        <w:spacing w:after="120" w:line="276" w:lineRule="auto"/>
        <w:jc w:val="both"/>
        <w:rPr>
          <w:rFonts w:asciiTheme="majorHAnsi" w:hAnsiTheme="majorHAnsi" w:cstheme="majorHAnsi"/>
          <w:bCs/>
          <w:sz w:val="22"/>
          <w:szCs w:val="22"/>
        </w:rPr>
      </w:pPr>
      <w:r w:rsidRPr="00833A3A">
        <w:rPr>
          <w:rFonts w:asciiTheme="majorHAnsi" w:hAnsiTheme="majorHAnsi" w:cstheme="majorHAnsi"/>
          <w:bCs/>
          <w:sz w:val="22"/>
          <w:szCs w:val="22"/>
        </w:rPr>
        <w:t>Since alexithymia is associated with a diminished capacity for abstract thinking (a cognitive aspect of metacognitive processes), a reluctance to engage in thought, and a weak ability to empathize with tasks (an emotional aspect of metacognitive processes), it negatively impacts the application of metacognitive skills and the ability to understand and connect new ideas with prior knowledge and experiences (Yaghoubi &amp; Salehi, 2016).</w:t>
      </w:r>
    </w:p>
    <w:p w14:paraId="2F729040" w14:textId="5A9FFB54" w:rsidR="00BC4346" w:rsidRPr="00833A3A" w:rsidRDefault="00A809A4" w:rsidP="00833A3A">
      <w:pPr>
        <w:spacing w:after="120" w:line="276" w:lineRule="auto"/>
        <w:jc w:val="both"/>
        <w:rPr>
          <w:rFonts w:asciiTheme="majorHAnsi" w:hAnsiTheme="majorHAnsi" w:cstheme="majorHAnsi"/>
          <w:sz w:val="22"/>
          <w:szCs w:val="22"/>
        </w:rPr>
      </w:pPr>
      <w:r w:rsidRPr="00833A3A">
        <w:rPr>
          <w:rFonts w:asciiTheme="majorHAnsi" w:hAnsiTheme="majorHAnsi" w:cstheme="majorHAnsi"/>
          <w:bCs/>
          <w:sz w:val="22"/>
          <w:szCs w:val="22"/>
        </w:rPr>
        <w:t>The deficit in metacognitive thinking skills in an individual with a high level of alexithymia stems from traits associated with alexithymia that hinder the effective operation of metacognitive thinking processes, leading to a lack of awareness of their mental states. The loss of the ability to express feelings is characterized by limitations in perceiving, distinguishing, and organizing feelings; it is considered an important vulnerability factor for the development of mental disorders that hinder metacognitive thinking processes (Leweke et al., 2011). Additionally, metacognitive thinking is a powerful factor in the development and maintenance of psychological disorders such as depression and anxiety, which are often associated with alexithymia. Therefore, the current research aims to examine the possible effects of alexithymia levels on metacognitive thinking skills in university students.</w:t>
      </w:r>
    </w:p>
    <w:p w14:paraId="5B4CFD6F" w14:textId="4679B070" w:rsidR="00553241" w:rsidRPr="00833A3A" w:rsidRDefault="00553241" w:rsidP="00833A3A">
      <w:pPr>
        <w:widowControl w:val="0"/>
        <w:autoSpaceDE w:val="0"/>
        <w:autoSpaceDN w:val="0"/>
        <w:adjustRightInd w:val="0"/>
        <w:spacing w:before="120" w:after="240" w:line="276" w:lineRule="auto"/>
        <w:jc w:val="both"/>
        <w:rPr>
          <w:rFonts w:asciiTheme="majorHAnsi" w:eastAsia="Times New Roman" w:hAnsiTheme="majorHAnsi" w:cstheme="majorHAnsi"/>
          <w:b/>
          <w:sz w:val="28"/>
          <w:szCs w:val="28"/>
          <w:lang w:val="cs-CZ" w:eastAsia="cs-CZ"/>
        </w:rPr>
      </w:pPr>
      <w:r w:rsidRPr="00833A3A">
        <w:rPr>
          <w:rFonts w:asciiTheme="majorHAnsi" w:eastAsia="Times New Roman" w:hAnsiTheme="majorHAnsi" w:cstheme="majorHAnsi"/>
          <w:b/>
          <w:sz w:val="28"/>
          <w:szCs w:val="28"/>
          <w:lang w:val="cs-CZ" w:eastAsia="cs-CZ"/>
        </w:rPr>
        <w:t>Research Problem</w:t>
      </w:r>
    </w:p>
    <w:p w14:paraId="33A37A98" w14:textId="4651E153" w:rsidR="00553241" w:rsidRPr="00833A3A" w:rsidRDefault="00553241" w:rsidP="00833A3A">
      <w:pPr>
        <w:spacing w:after="120" w:line="276" w:lineRule="auto"/>
        <w:jc w:val="both"/>
        <w:rPr>
          <w:rFonts w:asciiTheme="majorHAnsi" w:hAnsiTheme="majorHAnsi" w:cstheme="majorHAnsi"/>
          <w:bCs/>
          <w:sz w:val="22"/>
          <w:szCs w:val="22"/>
        </w:rPr>
      </w:pPr>
      <w:r w:rsidRPr="00833A3A">
        <w:rPr>
          <w:rFonts w:asciiTheme="majorHAnsi" w:hAnsiTheme="majorHAnsi" w:cstheme="majorHAnsi"/>
          <w:bCs/>
          <w:sz w:val="22"/>
          <w:szCs w:val="22"/>
        </w:rPr>
        <w:t xml:space="preserve">The emotional state of an individual is crucial in the learning process and in performing various educational tasks. Alexithymia, along with associated behavioral and academic challenges, is one of the most prevalent issues faced by university students and adversely impacts their cognitive abilities and performance. It serves as a risk factor for numerous psychological and physical disorders, including anxiety, depression, and, in some cases, schizophrenia, as well as decreased life satisfaction and the development of mental disorders (Ucok, 2023). They also noted that alexithymia is associated with mental health (Quinto et al., 2022; </w:t>
      </w:r>
      <w:r w:rsidR="00D679A2" w:rsidRPr="00833A3A">
        <w:rPr>
          <w:rFonts w:asciiTheme="majorHAnsi" w:hAnsiTheme="majorHAnsi" w:cstheme="majorHAnsi"/>
          <w:bCs/>
          <w:sz w:val="22"/>
          <w:szCs w:val="22"/>
        </w:rPr>
        <w:t>Innamorati et al., 2018</w:t>
      </w:r>
      <w:r w:rsidRPr="00833A3A">
        <w:rPr>
          <w:rFonts w:asciiTheme="majorHAnsi" w:hAnsiTheme="majorHAnsi" w:cstheme="majorHAnsi"/>
          <w:bCs/>
          <w:sz w:val="22"/>
          <w:szCs w:val="22"/>
        </w:rPr>
        <w:t>), is associated with a greater number of mental health problems (Leweke et al., 2011), and has effects on conscious thinking processes.</w:t>
      </w:r>
      <w:r w:rsidRPr="00833A3A">
        <w:rPr>
          <w:rFonts w:asciiTheme="majorHAnsi" w:hAnsiTheme="majorHAnsi" w:cstheme="majorHAnsi"/>
          <w:bCs/>
          <w:sz w:val="22"/>
          <w:szCs w:val="22"/>
          <w:rtl/>
        </w:rPr>
        <w:t xml:space="preserve"> </w:t>
      </w:r>
      <w:r w:rsidRPr="00833A3A">
        <w:rPr>
          <w:rFonts w:asciiTheme="majorHAnsi" w:hAnsiTheme="majorHAnsi" w:cstheme="majorHAnsi"/>
          <w:bCs/>
          <w:sz w:val="22"/>
          <w:szCs w:val="22"/>
        </w:rPr>
        <w:t xml:space="preserve">The seriousness of these issues is underscored by multiple studies that indicate that alexithymia is a widespread phenomenon among students (Faramarzi &amp; Khafri, 2017). These studies also suggest that alexithymia affects conscious thinking processes, leading to deficits that hinder cognitive development, disrupt emotional regulation, diminish self-efficacy, and impair mental processing (Yavuz et al., 2019; Faramarzi &amp; Khafri, 2017; Yaghoubi &amp; Salehi, 2016). and these represent important indicators of mental health. Students' behavior related to health in general and </w:t>
      </w:r>
      <w:r w:rsidRPr="00833A3A">
        <w:rPr>
          <w:rFonts w:asciiTheme="majorHAnsi" w:hAnsiTheme="majorHAnsi" w:cstheme="majorHAnsi"/>
          <w:bCs/>
          <w:sz w:val="22"/>
          <w:szCs w:val="22"/>
        </w:rPr>
        <w:lastRenderedPageBreak/>
        <w:t>mental health in particular is affected by many factors, including knowledge, as they obtain information through knowledge, transform it into internal psychological activities, and then control their behavior. Hence, metacognitive thinking comes as a monitoring system of human thinking responsible for the individual's awareness of himself and his self-regulation of the cognitive and internal activities that he performs (Li et al., 2023), and it is also responsible for changing cognitive processes and internal activities to confront behaviors that are harmful to mental health (Tomljenovic &amp; Bubic, 2021).Thus, investigating the potential effects of alexithymia levels on students' metacognitive thinking skills is essential.</w:t>
      </w:r>
    </w:p>
    <w:p w14:paraId="21A2E8F2" w14:textId="59DBC766" w:rsidR="00553241" w:rsidRPr="00833A3A" w:rsidRDefault="00553241" w:rsidP="00833A3A">
      <w:pPr>
        <w:spacing w:line="276" w:lineRule="auto"/>
        <w:jc w:val="both"/>
        <w:rPr>
          <w:rFonts w:asciiTheme="majorHAnsi" w:eastAsia="Calibri" w:hAnsiTheme="majorHAnsi" w:cstheme="majorHAnsi"/>
          <w:b/>
          <w:bCs/>
          <w:sz w:val="22"/>
          <w:szCs w:val="22"/>
          <w:lang w:bidi="ar-EG"/>
        </w:rPr>
      </w:pPr>
      <w:r w:rsidRPr="00833A3A">
        <w:rPr>
          <w:rFonts w:asciiTheme="majorHAnsi" w:hAnsiTheme="majorHAnsi" w:cstheme="majorHAnsi"/>
          <w:bCs/>
          <w:sz w:val="22"/>
          <w:szCs w:val="22"/>
        </w:rPr>
        <w:t>Given this context, the research problem concerns the following main question: What are the potential effects of alexithymia levels on metacognitive thinking skills among university students?</w:t>
      </w:r>
      <w:r w:rsidRPr="00833A3A">
        <w:rPr>
          <w:rFonts w:asciiTheme="majorHAnsi" w:eastAsia="Calibri" w:hAnsiTheme="majorHAnsi" w:cstheme="majorHAnsi"/>
          <w:sz w:val="22"/>
          <w:szCs w:val="22"/>
          <w:lang w:bidi="ar-EG"/>
        </w:rPr>
        <w:t xml:space="preserve"> This question is divided into the following questions:</w:t>
      </w:r>
    </w:p>
    <w:p w14:paraId="01CF4996" w14:textId="5F7D73E3" w:rsidR="00553241" w:rsidRPr="00833A3A" w:rsidRDefault="00553241" w:rsidP="00833A3A">
      <w:pPr>
        <w:numPr>
          <w:ilvl w:val="0"/>
          <w:numId w:val="9"/>
        </w:numPr>
        <w:spacing w:before="240" w:line="276" w:lineRule="auto"/>
        <w:contextualSpacing/>
        <w:jc w:val="both"/>
        <w:rPr>
          <w:rFonts w:asciiTheme="majorHAnsi" w:eastAsia="Calibri" w:hAnsiTheme="majorHAnsi" w:cstheme="majorHAnsi"/>
          <w:sz w:val="22"/>
          <w:szCs w:val="22"/>
          <w:lang w:bidi="ar-EG"/>
        </w:rPr>
      </w:pPr>
      <w:r w:rsidRPr="00833A3A">
        <w:rPr>
          <w:rFonts w:asciiTheme="majorHAnsi" w:eastAsia="Calibri" w:hAnsiTheme="majorHAnsi" w:cstheme="majorHAnsi"/>
          <w:sz w:val="22"/>
          <w:szCs w:val="22"/>
          <w:lang w:bidi="ar-EG"/>
        </w:rPr>
        <w:t>What are the levels of alexithymia prevalence among university students?</w:t>
      </w:r>
    </w:p>
    <w:p w14:paraId="08469F6A" w14:textId="564DFDED" w:rsidR="00553241" w:rsidRPr="00833A3A" w:rsidRDefault="00553241" w:rsidP="00833A3A">
      <w:pPr>
        <w:numPr>
          <w:ilvl w:val="0"/>
          <w:numId w:val="9"/>
        </w:numPr>
        <w:spacing w:before="240" w:after="160" w:line="276" w:lineRule="auto"/>
        <w:contextualSpacing/>
        <w:jc w:val="both"/>
        <w:rPr>
          <w:rFonts w:asciiTheme="majorHAnsi" w:eastAsia="Calibri" w:hAnsiTheme="majorHAnsi" w:cstheme="majorHAnsi"/>
          <w:sz w:val="22"/>
          <w:szCs w:val="22"/>
          <w:lang w:bidi="ar-EG"/>
        </w:rPr>
      </w:pPr>
      <w:r w:rsidRPr="00833A3A">
        <w:rPr>
          <w:rFonts w:asciiTheme="majorHAnsi" w:eastAsia="Calibri" w:hAnsiTheme="majorHAnsi" w:cstheme="majorHAnsi"/>
          <w:sz w:val="22"/>
          <w:szCs w:val="22"/>
          <w:lang w:bidi="ar-EG"/>
        </w:rPr>
        <w:t>What is the level of metacognitive thinking skills among university students?</w:t>
      </w:r>
    </w:p>
    <w:p w14:paraId="185E6786" w14:textId="0913595F" w:rsidR="00553241" w:rsidRPr="00833A3A" w:rsidRDefault="00553241" w:rsidP="00833A3A">
      <w:pPr>
        <w:numPr>
          <w:ilvl w:val="0"/>
          <w:numId w:val="9"/>
        </w:numPr>
        <w:spacing w:before="240" w:after="160" w:line="276" w:lineRule="auto"/>
        <w:contextualSpacing/>
        <w:jc w:val="both"/>
        <w:rPr>
          <w:rFonts w:asciiTheme="majorHAnsi" w:eastAsia="Calibri" w:hAnsiTheme="majorHAnsi" w:cstheme="majorHAnsi"/>
          <w:sz w:val="22"/>
          <w:szCs w:val="22"/>
          <w:lang w:bidi="ar-EG"/>
        </w:rPr>
      </w:pPr>
      <w:r w:rsidRPr="00833A3A">
        <w:rPr>
          <w:rFonts w:asciiTheme="majorHAnsi" w:eastAsia="Calibri" w:hAnsiTheme="majorHAnsi" w:cstheme="majorHAnsi"/>
          <w:sz w:val="22"/>
          <w:szCs w:val="22"/>
          <w:lang w:bidi="ar-EG"/>
        </w:rPr>
        <w:t>What is the effect of alexithymia level on metacognitive thinking skills among university students?</w:t>
      </w:r>
    </w:p>
    <w:p w14:paraId="78B64B1F" w14:textId="4658570C" w:rsidR="00553241" w:rsidRPr="00833A3A" w:rsidRDefault="00553241" w:rsidP="00833A3A">
      <w:pPr>
        <w:widowControl w:val="0"/>
        <w:autoSpaceDE w:val="0"/>
        <w:autoSpaceDN w:val="0"/>
        <w:adjustRightInd w:val="0"/>
        <w:spacing w:before="120" w:after="240" w:line="276" w:lineRule="auto"/>
        <w:jc w:val="both"/>
        <w:rPr>
          <w:rFonts w:asciiTheme="majorHAnsi" w:eastAsia="Times New Roman" w:hAnsiTheme="majorHAnsi" w:cstheme="majorHAnsi"/>
          <w:b/>
          <w:sz w:val="28"/>
          <w:szCs w:val="28"/>
          <w:lang w:val="cs-CZ" w:eastAsia="cs-CZ"/>
        </w:rPr>
      </w:pPr>
      <w:r w:rsidRPr="00833A3A">
        <w:rPr>
          <w:rFonts w:asciiTheme="majorHAnsi" w:eastAsia="Times New Roman" w:hAnsiTheme="majorHAnsi" w:cstheme="majorHAnsi"/>
          <w:b/>
          <w:sz w:val="28"/>
          <w:szCs w:val="28"/>
          <w:lang w:val="cs-CZ" w:eastAsia="cs-CZ"/>
        </w:rPr>
        <w:t>Hypotheses</w:t>
      </w:r>
    </w:p>
    <w:p w14:paraId="046CD1D9" w14:textId="4610306A" w:rsidR="00553241" w:rsidRPr="00833A3A" w:rsidRDefault="00553241" w:rsidP="00833A3A">
      <w:pPr>
        <w:numPr>
          <w:ilvl w:val="0"/>
          <w:numId w:val="8"/>
        </w:numPr>
        <w:spacing w:before="240" w:after="160" w:line="276" w:lineRule="auto"/>
        <w:contextualSpacing/>
        <w:jc w:val="both"/>
        <w:rPr>
          <w:rFonts w:asciiTheme="majorHAnsi" w:eastAsia="Calibri" w:hAnsiTheme="majorHAnsi" w:cstheme="majorHAnsi"/>
          <w:sz w:val="22"/>
          <w:szCs w:val="22"/>
          <w:lang w:bidi="ar-EG"/>
        </w:rPr>
      </w:pPr>
      <w:r w:rsidRPr="00833A3A">
        <w:rPr>
          <w:rFonts w:asciiTheme="majorHAnsi" w:eastAsia="Calibri" w:hAnsiTheme="majorHAnsi" w:cstheme="majorHAnsi"/>
          <w:sz w:val="22"/>
          <w:szCs w:val="22"/>
          <w:lang w:bidi="ar-EG"/>
        </w:rPr>
        <w:t>University students have a high level of alexithymia.</w:t>
      </w:r>
    </w:p>
    <w:p w14:paraId="5DBB2B27" w14:textId="7F2ABD68" w:rsidR="00553241" w:rsidRPr="00833A3A" w:rsidRDefault="00553241" w:rsidP="00833A3A">
      <w:pPr>
        <w:numPr>
          <w:ilvl w:val="0"/>
          <w:numId w:val="8"/>
        </w:numPr>
        <w:spacing w:before="240" w:after="160" w:line="276" w:lineRule="auto"/>
        <w:contextualSpacing/>
        <w:jc w:val="both"/>
        <w:rPr>
          <w:rFonts w:asciiTheme="majorHAnsi" w:eastAsia="Calibri" w:hAnsiTheme="majorHAnsi" w:cstheme="majorHAnsi"/>
          <w:sz w:val="22"/>
          <w:szCs w:val="22"/>
          <w:lang w:bidi="ar-EG"/>
        </w:rPr>
      </w:pPr>
      <w:r w:rsidRPr="00833A3A">
        <w:rPr>
          <w:rFonts w:asciiTheme="majorHAnsi" w:eastAsia="Calibri" w:hAnsiTheme="majorHAnsi" w:cstheme="majorHAnsi"/>
          <w:sz w:val="22"/>
          <w:szCs w:val="22"/>
          <w:lang w:bidi="ar-EG"/>
        </w:rPr>
        <w:t>University students have a high level of metacognitive thinking skills.</w:t>
      </w:r>
    </w:p>
    <w:p w14:paraId="70734F48" w14:textId="02C283F1" w:rsidR="00553241" w:rsidRPr="00833A3A" w:rsidRDefault="00553241" w:rsidP="00833A3A">
      <w:pPr>
        <w:numPr>
          <w:ilvl w:val="0"/>
          <w:numId w:val="8"/>
        </w:numPr>
        <w:spacing w:before="240" w:line="276" w:lineRule="auto"/>
        <w:contextualSpacing/>
        <w:jc w:val="both"/>
        <w:rPr>
          <w:rFonts w:asciiTheme="majorHAnsi" w:eastAsia="Calibri" w:hAnsiTheme="majorHAnsi" w:cstheme="majorHAnsi"/>
          <w:sz w:val="22"/>
          <w:szCs w:val="22"/>
          <w:lang w:bidi="ar-EG"/>
        </w:rPr>
      </w:pPr>
      <w:r w:rsidRPr="00833A3A">
        <w:rPr>
          <w:rFonts w:asciiTheme="majorHAnsi" w:eastAsia="Calibri" w:hAnsiTheme="majorHAnsi" w:cstheme="majorHAnsi"/>
          <w:sz w:val="22"/>
          <w:szCs w:val="22"/>
          <w:lang w:bidi="ar-EG"/>
        </w:rPr>
        <w:t>There are no statistically significant differences (0.01) between the mean scores of each group of students’ (high, medium, and low) alexithymia in metacognitive thinking skills</w:t>
      </w:r>
      <w:r w:rsidRPr="00833A3A">
        <w:rPr>
          <w:rFonts w:asciiTheme="majorHAnsi" w:eastAsia="Calibri" w:hAnsiTheme="majorHAnsi" w:cstheme="majorHAnsi"/>
          <w:sz w:val="22"/>
          <w:szCs w:val="22"/>
          <w:rtl/>
          <w:lang w:bidi="ar-EG"/>
        </w:rPr>
        <w:t>.</w:t>
      </w:r>
    </w:p>
    <w:p w14:paraId="543DF308" w14:textId="3E1A1C64" w:rsidR="00226D86" w:rsidRPr="00833A3A" w:rsidRDefault="00553241" w:rsidP="00833A3A">
      <w:pPr>
        <w:widowControl w:val="0"/>
        <w:autoSpaceDE w:val="0"/>
        <w:autoSpaceDN w:val="0"/>
        <w:adjustRightInd w:val="0"/>
        <w:spacing w:before="120" w:after="240" w:line="276" w:lineRule="auto"/>
        <w:jc w:val="both"/>
        <w:rPr>
          <w:rFonts w:asciiTheme="majorHAnsi" w:eastAsia="Times New Roman" w:hAnsiTheme="majorHAnsi" w:cstheme="majorHAnsi"/>
          <w:b/>
          <w:sz w:val="28"/>
          <w:szCs w:val="28"/>
          <w:lang w:val="cs-CZ" w:eastAsia="cs-CZ"/>
        </w:rPr>
      </w:pPr>
      <w:r w:rsidRPr="00833A3A">
        <w:rPr>
          <w:rFonts w:asciiTheme="majorHAnsi" w:eastAsia="Times New Roman" w:hAnsiTheme="majorHAnsi" w:cstheme="majorHAnsi"/>
          <w:b/>
          <w:sz w:val="28"/>
          <w:szCs w:val="28"/>
          <w:lang w:val="cs-CZ" w:eastAsia="cs-CZ"/>
        </w:rPr>
        <w:t>Conceptual Framework</w:t>
      </w:r>
    </w:p>
    <w:p w14:paraId="6BF64AF8" w14:textId="7FD2E350" w:rsidR="00553241" w:rsidRPr="00833A3A" w:rsidRDefault="00553241" w:rsidP="00833A3A">
      <w:pPr>
        <w:widowControl w:val="0"/>
        <w:autoSpaceDE w:val="0"/>
        <w:autoSpaceDN w:val="0"/>
        <w:adjustRightInd w:val="0"/>
        <w:spacing w:before="120" w:after="240" w:line="276" w:lineRule="auto"/>
        <w:jc w:val="both"/>
        <w:rPr>
          <w:rFonts w:asciiTheme="majorHAnsi" w:eastAsia="Times New Roman" w:hAnsiTheme="majorHAnsi" w:cstheme="majorHAnsi"/>
          <w:b/>
          <w:sz w:val="28"/>
          <w:szCs w:val="28"/>
          <w:lang w:val="cs-CZ" w:eastAsia="cs-CZ"/>
        </w:rPr>
      </w:pPr>
      <w:r w:rsidRPr="00833A3A">
        <w:rPr>
          <w:rFonts w:asciiTheme="majorHAnsi" w:eastAsia="Times New Roman" w:hAnsiTheme="majorHAnsi" w:cstheme="majorHAnsi"/>
          <w:b/>
          <w:sz w:val="28"/>
          <w:szCs w:val="28"/>
          <w:lang w:val="cs-CZ" w:eastAsia="cs-CZ"/>
        </w:rPr>
        <w:t>Alexithymia: Concept, Structure and Explanatory Theories</w:t>
      </w:r>
    </w:p>
    <w:p w14:paraId="62A6FBBC" w14:textId="116BC2E8" w:rsidR="00553241" w:rsidRPr="00833A3A" w:rsidRDefault="00553241" w:rsidP="00833A3A">
      <w:pPr>
        <w:spacing w:after="120" w:line="276" w:lineRule="auto"/>
        <w:jc w:val="both"/>
        <w:rPr>
          <w:rFonts w:asciiTheme="majorHAnsi" w:hAnsiTheme="majorHAnsi" w:cstheme="majorHAnsi"/>
          <w:sz w:val="22"/>
          <w:szCs w:val="22"/>
        </w:rPr>
      </w:pPr>
      <w:r w:rsidRPr="00833A3A">
        <w:rPr>
          <w:rFonts w:asciiTheme="majorHAnsi" w:hAnsiTheme="majorHAnsi" w:cstheme="majorHAnsi"/>
          <w:sz w:val="22"/>
          <w:szCs w:val="22"/>
        </w:rPr>
        <w:t>The concept of alexithymia is relatively new in psychopathology and was introduced by the scientist "Sifneos" in 1972. In the clinical field, it has received the attention of researchers as one of the concepts related to health and disease. Taylor &amp; Bagby (2000) and Taylor (2000) used the term "affective aphasia" to express the clear separation between emotions and thoughts and to refer to the state of inability to transform thoughts into language.</w:t>
      </w:r>
    </w:p>
    <w:p w14:paraId="3B144E03" w14:textId="1A24E576" w:rsidR="00553241" w:rsidRPr="00833A3A" w:rsidRDefault="00553241" w:rsidP="00833A3A">
      <w:pPr>
        <w:spacing w:after="120" w:line="276" w:lineRule="auto"/>
        <w:jc w:val="both"/>
        <w:rPr>
          <w:rFonts w:asciiTheme="majorHAnsi" w:hAnsiTheme="majorHAnsi" w:cstheme="majorHAnsi"/>
          <w:sz w:val="22"/>
          <w:szCs w:val="22"/>
        </w:rPr>
      </w:pPr>
      <w:r w:rsidRPr="00833A3A">
        <w:rPr>
          <w:rFonts w:asciiTheme="majorHAnsi" w:hAnsiTheme="majorHAnsi" w:cstheme="majorHAnsi"/>
          <w:sz w:val="22"/>
          <w:szCs w:val="22"/>
        </w:rPr>
        <w:t>Alexithymia is defined as a disorder in the cognitive and emotional performance or in some cognitive and emotional functions of the individual who appears in the decline in his ability to use appropriate words and verbal expressions to describe and identify his feelings and internal feelings toward others (Sifneos, 1973);</w:t>
      </w:r>
      <w:r w:rsidR="00001968" w:rsidRPr="00833A3A">
        <w:rPr>
          <w:rFonts w:asciiTheme="majorHAnsi" w:eastAsiaTheme="minorHAnsi" w:hAnsiTheme="majorHAnsi" w:cstheme="majorHAnsi"/>
          <w:sz w:val="22"/>
          <w:szCs w:val="22"/>
          <w:lang w:bidi="ar-EG"/>
        </w:rPr>
        <w:t xml:space="preserve"> </w:t>
      </w:r>
      <w:r w:rsidR="00001968" w:rsidRPr="00833A3A">
        <w:rPr>
          <w:rFonts w:asciiTheme="majorHAnsi" w:hAnsiTheme="majorHAnsi" w:cstheme="majorHAnsi"/>
          <w:sz w:val="22"/>
          <w:szCs w:val="22"/>
        </w:rPr>
        <w:t xml:space="preserve">it is a deficiency in the ability to verbalize and identify feelings and distinguish between different emotional states and the limited capacity of the individual's imagination (Burch, 1995). It is a specific disorder in emotional processing, especially the weakness of the ability to verbalize and perceive feelings (Chen et al., 2011). </w:t>
      </w:r>
      <w:r w:rsidRPr="00833A3A">
        <w:rPr>
          <w:rFonts w:asciiTheme="majorHAnsi" w:hAnsiTheme="majorHAnsi" w:cstheme="majorHAnsi"/>
          <w:sz w:val="22"/>
          <w:szCs w:val="22"/>
        </w:rPr>
        <w:t>It is also defined as the inability to recognize or distinguish feelings and respond to them in an appropriate manner, which affects the quality of interpersonal relationships and how to use them in making effective decisions in life (Messina et al., 2014).</w:t>
      </w:r>
    </w:p>
    <w:p w14:paraId="1501A674" w14:textId="3216C183" w:rsidR="00553241" w:rsidRPr="00833A3A" w:rsidRDefault="00553241" w:rsidP="00833A3A">
      <w:pPr>
        <w:spacing w:after="120" w:line="276" w:lineRule="auto"/>
        <w:jc w:val="both"/>
        <w:rPr>
          <w:rFonts w:asciiTheme="majorHAnsi" w:hAnsiTheme="majorHAnsi" w:cstheme="majorHAnsi"/>
          <w:sz w:val="22"/>
          <w:szCs w:val="22"/>
        </w:rPr>
      </w:pPr>
      <w:r w:rsidRPr="00833A3A">
        <w:rPr>
          <w:rFonts w:asciiTheme="majorHAnsi" w:hAnsiTheme="majorHAnsi" w:cstheme="majorHAnsi"/>
          <w:sz w:val="22"/>
          <w:szCs w:val="22"/>
        </w:rPr>
        <w:t xml:space="preserve">Alexithymia is a personality structure characterized by four basic elements, including the inability to experience feelings, express feelings, imagine, and reflect on one’s emotions   (Mohamed &amp; Ahmed, 2022; Benbrika et al., 2018). It is defined as a cognitive and affective trait that manifests as </w:t>
      </w:r>
      <w:r w:rsidRPr="00833A3A">
        <w:rPr>
          <w:rFonts w:asciiTheme="majorHAnsi" w:hAnsiTheme="majorHAnsi" w:cstheme="majorHAnsi"/>
          <w:sz w:val="22"/>
          <w:szCs w:val="22"/>
        </w:rPr>
        <w:lastRenderedPageBreak/>
        <w:t>difficulties in emotional processing, particularly in recognizing one's feelings and in verbal emotional communication (Noli et al., 2010).</w:t>
      </w:r>
    </w:p>
    <w:p w14:paraId="7B5B700D" w14:textId="2809CF7A" w:rsidR="00553241" w:rsidRPr="00833A3A" w:rsidRDefault="00553241" w:rsidP="00833A3A">
      <w:pPr>
        <w:spacing w:after="120" w:line="276" w:lineRule="auto"/>
        <w:jc w:val="both"/>
        <w:rPr>
          <w:rFonts w:asciiTheme="majorHAnsi" w:hAnsiTheme="majorHAnsi" w:cstheme="majorHAnsi"/>
          <w:sz w:val="22"/>
          <w:szCs w:val="22"/>
        </w:rPr>
      </w:pPr>
      <w:r w:rsidRPr="00833A3A">
        <w:rPr>
          <w:rFonts w:asciiTheme="majorHAnsi" w:hAnsiTheme="majorHAnsi" w:cstheme="majorHAnsi"/>
          <w:sz w:val="22"/>
          <w:szCs w:val="22"/>
        </w:rPr>
        <w:t>Research indicates that alexithymia comprises two components of alexithymia that contribute to deficits in cognitive emotional processing: the affective component, which involves the inability to distinguish between emotions and physical sensations; the weakness of the ability to express feelings to others; and the cognitive component, which is associated with difficulties in imaginative thought processes. Individuals with alexithymia suffer from a weakness in their ability to process emotional experiences and have a notable lack of creativity (Rösch et al., 2022</w:t>
      </w:r>
      <w:r w:rsidR="006A053C" w:rsidRPr="00833A3A">
        <w:rPr>
          <w:rFonts w:asciiTheme="majorHAnsi" w:hAnsiTheme="majorHAnsi" w:cstheme="majorHAnsi"/>
          <w:sz w:val="22"/>
          <w:szCs w:val="22"/>
        </w:rPr>
        <w:t>;</w:t>
      </w:r>
      <w:r w:rsidR="006A053C" w:rsidRPr="00833A3A">
        <w:rPr>
          <w:rFonts w:asciiTheme="majorHAnsi" w:eastAsiaTheme="minorHAnsi" w:hAnsiTheme="majorHAnsi" w:cstheme="majorHAnsi"/>
          <w:sz w:val="22"/>
          <w:szCs w:val="22"/>
          <w:lang w:bidi="ar-EG"/>
        </w:rPr>
        <w:t xml:space="preserve"> </w:t>
      </w:r>
      <w:r w:rsidR="006A053C" w:rsidRPr="00833A3A">
        <w:rPr>
          <w:rFonts w:asciiTheme="majorHAnsi" w:hAnsiTheme="majorHAnsi" w:cstheme="majorHAnsi"/>
          <w:sz w:val="22"/>
          <w:szCs w:val="22"/>
        </w:rPr>
        <w:t>Preece et al., 2017</w:t>
      </w:r>
      <w:r w:rsidRPr="00833A3A">
        <w:rPr>
          <w:rFonts w:asciiTheme="majorHAnsi" w:hAnsiTheme="majorHAnsi" w:cstheme="majorHAnsi"/>
          <w:sz w:val="22"/>
          <w:szCs w:val="22"/>
        </w:rPr>
        <w:t>).</w:t>
      </w:r>
    </w:p>
    <w:p w14:paraId="7DE6A099" w14:textId="2715836F" w:rsidR="00553241" w:rsidRPr="00833A3A" w:rsidRDefault="00553241" w:rsidP="00833A3A">
      <w:pPr>
        <w:spacing w:after="120" w:line="276" w:lineRule="auto"/>
        <w:jc w:val="both"/>
        <w:rPr>
          <w:rFonts w:asciiTheme="majorHAnsi" w:hAnsiTheme="majorHAnsi" w:cstheme="majorHAnsi"/>
          <w:sz w:val="22"/>
          <w:szCs w:val="22"/>
        </w:rPr>
      </w:pPr>
      <w:r w:rsidRPr="00833A3A">
        <w:rPr>
          <w:rFonts w:asciiTheme="majorHAnsi" w:hAnsiTheme="majorHAnsi" w:cstheme="majorHAnsi"/>
          <w:sz w:val="22"/>
          <w:szCs w:val="22"/>
        </w:rPr>
        <w:t>According to behavioral theory, alexithymia is defined as disorders in emotional regulation resulting from painful life experiences and emotional neglect. These factors lead to the inability to identify feelings. When traumatic experiences and emotional neglect are repeated, individuals may develop a state of emotional ignorance, often resulting from the continuous suppression of painful feelings associated with these experiences (Ivan et al., 2013).</w:t>
      </w:r>
    </w:p>
    <w:p w14:paraId="13AC13C8" w14:textId="1F07C095" w:rsidR="00553241" w:rsidRPr="00833A3A" w:rsidRDefault="00553241" w:rsidP="00833A3A">
      <w:pPr>
        <w:spacing w:after="120" w:line="276" w:lineRule="auto"/>
        <w:jc w:val="both"/>
        <w:rPr>
          <w:rFonts w:asciiTheme="majorHAnsi" w:hAnsiTheme="majorHAnsi" w:cstheme="majorHAnsi"/>
          <w:sz w:val="22"/>
          <w:szCs w:val="22"/>
        </w:rPr>
      </w:pPr>
      <w:r w:rsidRPr="00833A3A">
        <w:rPr>
          <w:rFonts w:asciiTheme="majorHAnsi" w:hAnsiTheme="majorHAnsi" w:cstheme="majorHAnsi"/>
          <w:sz w:val="22"/>
          <w:szCs w:val="22"/>
        </w:rPr>
        <w:t>The neurological theory explains alexithymia in light of the presence of a disorder in the neural connections between the right hemisphere of the brain, which is responsible for creativity, imagination, and feelings, and the left hemisphere, which is responsible for language and verbal expressions. Failure to transfer emotional information from the right hemisphere to the left hemisphere can contribute to physiological disease accompanied by alexithymia. This theory indicates that psychiatric patients suffer from a functional brain deficit that hinders the transmission and exchange of information between the right and left hemispheres. As a result, individuals with alexithymia struggle to convey their emotions verbally because of the right hemisphere's inability to transmit feelings to the language centers in the left hemisphere (</w:t>
      </w:r>
      <w:r w:rsidR="006A053C" w:rsidRPr="00833A3A">
        <w:rPr>
          <w:rFonts w:asciiTheme="majorHAnsi" w:hAnsiTheme="majorHAnsi" w:cstheme="majorHAnsi"/>
          <w:sz w:val="22"/>
          <w:szCs w:val="22"/>
        </w:rPr>
        <w:t xml:space="preserve">Jessimer &amp; Markham, 1997; </w:t>
      </w:r>
      <w:r w:rsidRPr="00833A3A">
        <w:rPr>
          <w:rFonts w:asciiTheme="majorHAnsi" w:hAnsiTheme="majorHAnsi" w:cstheme="majorHAnsi"/>
          <w:sz w:val="22"/>
          <w:szCs w:val="22"/>
        </w:rPr>
        <w:t>Sifneos, 1988).</w:t>
      </w:r>
    </w:p>
    <w:p w14:paraId="4B7F9F6B" w14:textId="4362C3CD" w:rsidR="00553241" w:rsidRPr="00833A3A" w:rsidRDefault="00553241" w:rsidP="00833A3A">
      <w:pPr>
        <w:spacing w:after="120" w:line="276" w:lineRule="auto"/>
        <w:jc w:val="both"/>
        <w:rPr>
          <w:rFonts w:asciiTheme="majorHAnsi" w:hAnsiTheme="majorHAnsi" w:cstheme="majorHAnsi"/>
          <w:sz w:val="22"/>
          <w:szCs w:val="22"/>
        </w:rPr>
      </w:pPr>
      <w:r w:rsidRPr="00833A3A">
        <w:rPr>
          <w:rFonts w:asciiTheme="majorHAnsi" w:hAnsiTheme="majorHAnsi" w:cstheme="majorHAnsi"/>
          <w:sz w:val="22"/>
          <w:szCs w:val="22"/>
        </w:rPr>
        <w:t>The cognitive theory explains alexithymia as a relationship between thinking and emotion and that thinking processes are affected by the feelings that the individual is experiencing (Larsen et al., 2003). Therefore, alexithymia, in light of this theory, is an emotional state that reflects a weakness in the cognitive processing of emotions and feelings (Larsen et al., 2003;</w:t>
      </w:r>
      <w:r w:rsidR="0047452B" w:rsidRPr="0047452B">
        <w:t xml:space="preserve"> </w:t>
      </w:r>
      <w:r w:rsidR="0047452B" w:rsidRPr="0047452B">
        <w:rPr>
          <w:rFonts w:asciiTheme="majorHAnsi" w:hAnsiTheme="majorHAnsi" w:cstheme="majorHAnsi"/>
          <w:sz w:val="22"/>
          <w:szCs w:val="22"/>
        </w:rPr>
        <w:t>Taylor</w:t>
      </w:r>
      <w:r w:rsidR="0047452B">
        <w:rPr>
          <w:rFonts w:asciiTheme="majorHAnsi" w:hAnsiTheme="majorHAnsi" w:cstheme="majorHAnsi"/>
          <w:sz w:val="22"/>
          <w:szCs w:val="22"/>
        </w:rPr>
        <w:t>, 2000;</w:t>
      </w:r>
      <w:r w:rsidRPr="00833A3A">
        <w:rPr>
          <w:rFonts w:asciiTheme="majorHAnsi" w:hAnsiTheme="majorHAnsi" w:cstheme="majorHAnsi"/>
          <w:sz w:val="22"/>
          <w:szCs w:val="22"/>
        </w:rPr>
        <w:t xml:space="preserve"> Taylor et al., 1997); thus, individuals who suffer from alexithymia experience disturbances in imagination and feelings that lead to a malfunction in the mentalization process (Rösch et al., 2022</w:t>
      </w:r>
      <w:r w:rsidR="006A053C" w:rsidRPr="00833A3A">
        <w:rPr>
          <w:rFonts w:asciiTheme="majorHAnsi" w:hAnsiTheme="majorHAnsi" w:cstheme="majorHAnsi"/>
          <w:sz w:val="22"/>
          <w:szCs w:val="22"/>
        </w:rPr>
        <w:t>; Donges et al., 2014; Ivan et al., 2013</w:t>
      </w:r>
      <w:r w:rsidRPr="00833A3A">
        <w:rPr>
          <w:rFonts w:asciiTheme="majorHAnsi" w:hAnsiTheme="majorHAnsi" w:cstheme="majorHAnsi"/>
          <w:sz w:val="22"/>
          <w:szCs w:val="22"/>
        </w:rPr>
        <w:t>).</w:t>
      </w:r>
    </w:p>
    <w:p w14:paraId="371085E1" w14:textId="070811A0" w:rsidR="006A053C" w:rsidRPr="00833A3A" w:rsidRDefault="00553241" w:rsidP="00833A3A">
      <w:pPr>
        <w:spacing w:after="120" w:line="276" w:lineRule="auto"/>
        <w:jc w:val="both"/>
        <w:rPr>
          <w:rFonts w:asciiTheme="majorHAnsi" w:hAnsiTheme="majorHAnsi" w:cstheme="majorHAnsi"/>
          <w:sz w:val="22"/>
          <w:szCs w:val="22"/>
        </w:rPr>
      </w:pPr>
      <w:r w:rsidRPr="00833A3A">
        <w:rPr>
          <w:rFonts w:asciiTheme="majorHAnsi" w:hAnsiTheme="majorHAnsi" w:cstheme="majorHAnsi"/>
          <w:sz w:val="22"/>
          <w:szCs w:val="22"/>
        </w:rPr>
        <w:t xml:space="preserve">Finally, social theory suggests that individuals with alexithymia experience disruptions in social functioning (Schurz et al., 2020), and they may lack social support and face difficulties in communication and social integration, which affects their psychological and social health (Nahar &amp; Kakulte, 2022). </w:t>
      </w:r>
      <w:r w:rsidR="006A053C" w:rsidRPr="00833A3A">
        <w:rPr>
          <w:rFonts w:asciiTheme="majorHAnsi" w:hAnsiTheme="majorHAnsi" w:cstheme="majorHAnsi"/>
          <w:sz w:val="22"/>
          <w:szCs w:val="22"/>
        </w:rPr>
        <w:t>Additionally, they often exhibit reduced emotional sensitivity to social situations and struggle with behavioral adaptations to reality and society (Ucok, 2023; Rösch et al., 2022).</w:t>
      </w:r>
    </w:p>
    <w:p w14:paraId="74870C97" w14:textId="0E3770B4" w:rsidR="00553241" w:rsidRPr="00833A3A" w:rsidRDefault="00553241" w:rsidP="00833A3A">
      <w:pPr>
        <w:spacing w:after="120" w:line="276" w:lineRule="auto"/>
        <w:jc w:val="both"/>
        <w:rPr>
          <w:rFonts w:asciiTheme="majorHAnsi" w:hAnsiTheme="majorHAnsi" w:cstheme="majorHAnsi"/>
          <w:sz w:val="22"/>
          <w:szCs w:val="22"/>
        </w:rPr>
      </w:pPr>
      <w:r w:rsidRPr="00833A3A">
        <w:rPr>
          <w:rFonts w:asciiTheme="majorHAnsi" w:hAnsiTheme="majorHAnsi" w:cstheme="majorHAnsi"/>
          <w:sz w:val="22"/>
          <w:szCs w:val="22"/>
        </w:rPr>
        <w:t>Many studies have examined alexithymia; Leweke et al. (2011) indicated that the prevalence of alexithymia is relatively high in patients with mental disorders</w:t>
      </w:r>
      <w:r w:rsidR="006A053C" w:rsidRPr="00833A3A">
        <w:rPr>
          <w:rFonts w:asciiTheme="majorHAnsi" w:hAnsiTheme="majorHAnsi" w:cstheme="majorHAnsi"/>
          <w:sz w:val="22"/>
          <w:szCs w:val="22"/>
        </w:rPr>
        <w:t>, and that the loss of the ability to express emotions is significantly associated with greater impairment in mental health and mental illness</w:t>
      </w:r>
      <w:r w:rsidRPr="00833A3A">
        <w:rPr>
          <w:rFonts w:asciiTheme="majorHAnsi" w:hAnsiTheme="majorHAnsi" w:cstheme="majorHAnsi"/>
          <w:sz w:val="22"/>
          <w:szCs w:val="22"/>
        </w:rPr>
        <w:t xml:space="preserve">. Dwarakanath &amp; Thangapandian (2020) indicated a significant negative relationship between the loss of the ability to express feelings and mental health. The inability to express feelings and difficulties regulating emotions lead to the emergence of various mental health problems. Thus, alexithymia plays a role in determining the mental health of individuals, i.e., individuals with high levels of alexithymia are at risk of poor mental health. Taylor (2004) agree that alexithymia is </w:t>
      </w:r>
      <w:r w:rsidRPr="00833A3A">
        <w:rPr>
          <w:rFonts w:asciiTheme="majorHAnsi" w:hAnsiTheme="majorHAnsi" w:cstheme="majorHAnsi"/>
          <w:sz w:val="22"/>
          <w:szCs w:val="22"/>
        </w:rPr>
        <w:lastRenderedPageBreak/>
        <w:t>associated with mental health problems, and that there is a negative association between them. The greater the loss of the ability to express feelings, the lower the mental health and vice versa.</w:t>
      </w:r>
      <w:r w:rsidR="006A053C" w:rsidRPr="00833A3A">
        <w:rPr>
          <w:rFonts w:asciiTheme="majorHAnsi" w:hAnsiTheme="majorHAnsi" w:cstheme="majorHAnsi"/>
          <w:sz w:val="22"/>
          <w:szCs w:val="22"/>
        </w:rPr>
        <w:t xml:space="preserve"> Pape et al.(2022) reported that alexithymia is highly prevalent in patients with internet gaming disorder (IGD). </w:t>
      </w:r>
      <w:r w:rsidRPr="00833A3A">
        <w:rPr>
          <w:rFonts w:asciiTheme="majorHAnsi" w:hAnsiTheme="majorHAnsi" w:cstheme="majorHAnsi"/>
          <w:sz w:val="22"/>
          <w:szCs w:val="22"/>
        </w:rPr>
        <w:t xml:space="preserve"> Ucok (2023) and Rösch et al. (2022) highlighted that cognitive deficits related to emotional awareness and realistic thinking contribute to decreased emotional sensitivity in social contexts and hinder behavioral adaptation. Nahar &amp; Kakulte (2022) noted that alexithymia is associated with a variety of psychological problems, including depression, schizophrenia, emotional deficits, and mental health. Mohamed &amp; Ahmed (2022) reported that emotional intelligence is negatively associated with alexithymia. Luo et al. (2022) indicated that alexithymia affects metacognitive components such as cognitive confidence, positive beliefs about anxiety, and the need to control thoughts.</w:t>
      </w:r>
    </w:p>
    <w:p w14:paraId="7BFAF3D7" w14:textId="631CEA67" w:rsidR="00553241" w:rsidRPr="00833A3A" w:rsidRDefault="00553241" w:rsidP="00833A3A">
      <w:pPr>
        <w:widowControl w:val="0"/>
        <w:autoSpaceDE w:val="0"/>
        <w:autoSpaceDN w:val="0"/>
        <w:adjustRightInd w:val="0"/>
        <w:spacing w:before="120" w:after="240" w:line="276" w:lineRule="auto"/>
        <w:jc w:val="both"/>
        <w:rPr>
          <w:rFonts w:asciiTheme="majorHAnsi" w:eastAsia="Times New Roman" w:hAnsiTheme="majorHAnsi" w:cstheme="majorHAnsi"/>
          <w:b/>
          <w:sz w:val="28"/>
          <w:szCs w:val="28"/>
          <w:lang w:val="cs-CZ" w:eastAsia="cs-CZ"/>
        </w:rPr>
      </w:pPr>
      <w:r w:rsidRPr="00833A3A">
        <w:rPr>
          <w:rFonts w:asciiTheme="majorHAnsi" w:eastAsia="Times New Roman" w:hAnsiTheme="majorHAnsi" w:cstheme="majorHAnsi"/>
          <w:b/>
          <w:sz w:val="28"/>
          <w:szCs w:val="28"/>
          <w:lang w:val="cs-CZ" w:eastAsia="cs-CZ"/>
        </w:rPr>
        <w:t>Metacognitive Thinking</w:t>
      </w:r>
    </w:p>
    <w:p w14:paraId="65696A07" w14:textId="02B6C480" w:rsidR="00553241" w:rsidRPr="00833A3A" w:rsidRDefault="00553241" w:rsidP="00833A3A">
      <w:pPr>
        <w:spacing w:after="120" w:line="276" w:lineRule="auto"/>
        <w:jc w:val="both"/>
        <w:rPr>
          <w:rFonts w:asciiTheme="majorHAnsi" w:hAnsiTheme="majorHAnsi" w:cstheme="majorHAnsi"/>
          <w:sz w:val="22"/>
          <w:szCs w:val="22"/>
        </w:rPr>
      </w:pPr>
      <w:r w:rsidRPr="00833A3A">
        <w:rPr>
          <w:rFonts w:asciiTheme="majorHAnsi" w:hAnsiTheme="majorHAnsi" w:cstheme="majorHAnsi"/>
          <w:sz w:val="22"/>
          <w:szCs w:val="22"/>
        </w:rPr>
        <w:t>The concept of metacognitive thinking was first introduced in cognitive psychology by John Flavell, as a crucial component of human behavior and subjective experience (Flavell, 1979), and refers to the ability to reflect on our own cognition and mental states. It plays a role in supporting the performance of language acquisition processes, comprehension, attention, self-regulation, memory, writing, problem solving, and personality development in students (Mokhtari, et al. 2018</w:t>
      </w:r>
      <w:r w:rsidR="000851E9" w:rsidRPr="00833A3A">
        <w:rPr>
          <w:rFonts w:asciiTheme="majorHAnsi" w:hAnsiTheme="majorHAnsi" w:cstheme="majorHAnsi"/>
          <w:sz w:val="22"/>
          <w:szCs w:val="22"/>
        </w:rPr>
        <w:t>; Flavell, 1979</w:t>
      </w:r>
      <w:r w:rsidRPr="00833A3A">
        <w:rPr>
          <w:rFonts w:asciiTheme="majorHAnsi" w:hAnsiTheme="majorHAnsi" w:cstheme="majorHAnsi"/>
          <w:sz w:val="22"/>
          <w:szCs w:val="22"/>
        </w:rPr>
        <w:t>).</w:t>
      </w:r>
      <w:r w:rsidR="000851E9" w:rsidRPr="00833A3A">
        <w:rPr>
          <w:rFonts w:asciiTheme="majorHAnsi" w:hAnsiTheme="majorHAnsi" w:cstheme="majorHAnsi"/>
          <w:sz w:val="22"/>
          <w:szCs w:val="22"/>
        </w:rPr>
        <w:t xml:space="preserve"> Metacognitive thinking is defined as the learner's awareness of thinking processes and ability to control these processes (Flavell, 1979). </w:t>
      </w:r>
      <w:r w:rsidRPr="00833A3A">
        <w:rPr>
          <w:rFonts w:asciiTheme="majorHAnsi" w:hAnsiTheme="majorHAnsi" w:cstheme="majorHAnsi"/>
          <w:sz w:val="22"/>
          <w:szCs w:val="22"/>
        </w:rPr>
        <w:t xml:space="preserve"> It refers to the learner's knowledge, awareness, and control of cognitive activities (Nelson, 1990) and refers to the learner's awareness of their ability to understand and control learning, choose appropriate strategies to achieve their goals, and constantly assess and evaluate their performance (Schraw &amp; Dannison, 1994). It is also defined as “thinking about thinking”, which allows learners to control and reconstruct their thoughts (Akaydin, 2011; Güss &amp; Wiley, 2007). </w:t>
      </w:r>
    </w:p>
    <w:p w14:paraId="1815702D" w14:textId="6228F8E2" w:rsidR="00553241" w:rsidRPr="00833A3A" w:rsidRDefault="00553241" w:rsidP="00833A3A">
      <w:pPr>
        <w:spacing w:after="120" w:line="276" w:lineRule="auto"/>
        <w:jc w:val="both"/>
        <w:rPr>
          <w:rFonts w:asciiTheme="majorHAnsi" w:hAnsiTheme="majorHAnsi" w:cstheme="majorHAnsi"/>
          <w:sz w:val="22"/>
          <w:szCs w:val="22"/>
        </w:rPr>
      </w:pPr>
      <w:r w:rsidRPr="00833A3A">
        <w:rPr>
          <w:rFonts w:asciiTheme="majorHAnsi" w:hAnsiTheme="majorHAnsi" w:cstheme="majorHAnsi"/>
          <w:sz w:val="22"/>
          <w:szCs w:val="22"/>
        </w:rPr>
        <w:t>The components of metacognitive thinking are identified in metacognitive knowledge, which includes the learner's knowledge about himself or herself as a thinker, awareness of task variables, and knowledge about the effective strategies needed to achieve task goals. It also includes metacognitive experiences that help the learner choose the most effective strategies to perform a task, as well as metacognitive monitoring and control, which refers to the learner's ability to monitor and control thinking processes (</w:t>
      </w:r>
      <w:r w:rsidR="0047452B" w:rsidRPr="0047452B">
        <w:rPr>
          <w:rFonts w:asciiTheme="majorHAnsi" w:hAnsiTheme="majorHAnsi" w:cstheme="majorHAnsi"/>
          <w:sz w:val="22"/>
          <w:szCs w:val="22"/>
        </w:rPr>
        <w:t>Finn</w:t>
      </w:r>
      <w:r w:rsidR="0047452B">
        <w:rPr>
          <w:rFonts w:asciiTheme="majorHAnsi" w:hAnsiTheme="majorHAnsi" w:cstheme="majorHAnsi"/>
          <w:sz w:val="22"/>
          <w:szCs w:val="22"/>
        </w:rPr>
        <w:t>, 2008;</w:t>
      </w:r>
      <w:r w:rsidR="0047452B" w:rsidRPr="0047452B">
        <w:rPr>
          <w:rFonts w:asciiTheme="majorHAnsi" w:hAnsiTheme="majorHAnsi" w:cstheme="majorHAnsi"/>
          <w:sz w:val="22"/>
          <w:szCs w:val="22"/>
        </w:rPr>
        <w:t xml:space="preserve"> </w:t>
      </w:r>
      <w:r w:rsidRPr="00833A3A">
        <w:rPr>
          <w:rFonts w:asciiTheme="majorHAnsi" w:hAnsiTheme="majorHAnsi" w:cstheme="majorHAnsi"/>
          <w:sz w:val="22"/>
          <w:szCs w:val="22"/>
        </w:rPr>
        <w:t>Flavell, 1979). Nordin &amp; Yunus (2020); Koulianou &amp; Samartzi (2018); Yaghoubi &amp; Salehi (2016); Schraw &amp; Dannison (1994) and Jacobs &amp; Paris (1987) identified two key components of metacognitive thinking: knowledge of cognition (declarative knowledge, procedural knowledge, and conditional knowledge) and regulation of knowledge (planning, information management, self-monitoring, debugging, and evaluation).</w:t>
      </w:r>
    </w:p>
    <w:p w14:paraId="3AC9B1F4" w14:textId="77777777" w:rsidR="001634D9" w:rsidRPr="00833A3A" w:rsidRDefault="00553241" w:rsidP="00833A3A">
      <w:pPr>
        <w:spacing w:after="120" w:line="276" w:lineRule="auto"/>
        <w:jc w:val="both"/>
        <w:rPr>
          <w:rFonts w:asciiTheme="majorHAnsi" w:hAnsiTheme="majorHAnsi" w:cstheme="majorHAnsi"/>
          <w:sz w:val="22"/>
          <w:szCs w:val="22"/>
        </w:rPr>
      </w:pPr>
      <w:r w:rsidRPr="00833A3A">
        <w:rPr>
          <w:rFonts w:asciiTheme="majorHAnsi" w:hAnsiTheme="majorHAnsi" w:cstheme="majorHAnsi"/>
          <w:sz w:val="22"/>
          <w:szCs w:val="22"/>
        </w:rPr>
        <w:t>Metacognitive thinking is important for self-regulation, learning, and performance; it leads to improvements in overall health (Babaei et al., 2016; Mahasneh, 2014</w:t>
      </w:r>
      <w:r w:rsidR="001634D9" w:rsidRPr="00833A3A">
        <w:rPr>
          <w:rFonts w:asciiTheme="majorHAnsi" w:hAnsiTheme="majorHAnsi" w:cstheme="majorHAnsi"/>
          <w:sz w:val="22"/>
          <w:szCs w:val="22"/>
        </w:rPr>
        <w:t>;</w:t>
      </w:r>
      <w:r w:rsidR="001634D9" w:rsidRPr="00833A3A">
        <w:rPr>
          <w:rFonts w:asciiTheme="majorHAnsi" w:eastAsia="Calibri" w:hAnsiTheme="majorHAnsi" w:cstheme="majorHAnsi"/>
          <w:sz w:val="22"/>
          <w:szCs w:val="22"/>
          <w:lang w:bidi="ar-EG"/>
        </w:rPr>
        <w:t xml:space="preserve"> </w:t>
      </w:r>
      <w:r w:rsidR="001634D9" w:rsidRPr="00833A3A">
        <w:rPr>
          <w:rFonts w:asciiTheme="majorHAnsi" w:hAnsiTheme="majorHAnsi" w:cstheme="majorHAnsi"/>
          <w:sz w:val="22"/>
          <w:szCs w:val="22"/>
        </w:rPr>
        <w:t>Qhavechi &amp; Mohammadkhani, 2012</w:t>
      </w:r>
      <w:r w:rsidRPr="00833A3A">
        <w:rPr>
          <w:rFonts w:asciiTheme="majorHAnsi" w:hAnsiTheme="majorHAnsi" w:cstheme="majorHAnsi"/>
          <w:sz w:val="22"/>
          <w:szCs w:val="22"/>
        </w:rPr>
        <w:t xml:space="preserve">). It enhances the learner’s awareness of task-related thinking and strategies, optimizes learning processes, and fosters control over learning (Gunstone, 1995). Additionally, it supports decision-making abilities (Akaydin et al., 2020) and problem-solving skills (Omprakash et al., 2021; Spicer, 2018), suppresses maladaptive thoughts, and helps individuals overcome emotional and cognitive challenges (Pandey &amp; Jaiswal, 2018). </w:t>
      </w:r>
      <w:r w:rsidR="001634D9" w:rsidRPr="00833A3A">
        <w:rPr>
          <w:rFonts w:asciiTheme="majorHAnsi" w:hAnsiTheme="majorHAnsi" w:cstheme="majorHAnsi"/>
          <w:sz w:val="22"/>
          <w:szCs w:val="22"/>
        </w:rPr>
        <w:t>Furthermore, it stimulates critical thinking and self-regulation (Rivas et al., 2022; Akcaoğlu et al., 2022).</w:t>
      </w:r>
    </w:p>
    <w:p w14:paraId="1E1FA5EB" w14:textId="77777777" w:rsidR="001634D9" w:rsidRPr="00833A3A" w:rsidRDefault="00553241" w:rsidP="00833A3A">
      <w:pPr>
        <w:spacing w:after="120" w:line="276" w:lineRule="auto"/>
        <w:jc w:val="both"/>
        <w:rPr>
          <w:rFonts w:asciiTheme="majorHAnsi" w:hAnsiTheme="majorHAnsi" w:cstheme="majorHAnsi"/>
          <w:sz w:val="22"/>
          <w:szCs w:val="22"/>
        </w:rPr>
      </w:pPr>
      <w:r w:rsidRPr="00833A3A">
        <w:rPr>
          <w:rFonts w:asciiTheme="majorHAnsi" w:hAnsiTheme="majorHAnsi" w:cstheme="majorHAnsi"/>
          <w:sz w:val="22"/>
          <w:szCs w:val="22"/>
        </w:rPr>
        <w:lastRenderedPageBreak/>
        <w:t xml:space="preserve">From the perspective of positive psychology, metacognitive processes become particularly evident when individuals face challenging situations. These processes are associated with indicators of well-being or happiness, intrinsic motivation and adaptive coping strategies. When learners deal with difficult tasks, they activate metacognitive processes that facilitate experiential learning (Beer &amp; Moneta, 2010). </w:t>
      </w:r>
      <w:r w:rsidR="001634D9" w:rsidRPr="00833A3A">
        <w:rPr>
          <w:rFonts w:asciiTheme="majorHAnsi" w:hAnsiTheme="majorHAnsi" w:cstheme="majorHAnsi"/>
          <w:sz w:val="22"/>
          <w:szCs w:val="22"/>
        </w:rPr>
        <w:t xml:space="preserve">The importance of metacognitive thinking is underscored by its role in regulating perception, knowledge, metacognition, metaemotion, and emotions, as well as its involvement in various psychological phenomena related to emotions, including depression, anxiety, and fear (Pandey &amp; Jaiswal, 2018). </w:t>
      </w:r>
    </w:p>
    <w:p w14:paraId="64633DA2" w14:textId="77777777" w:rsidR="001634D9" w:rsidRPr="00833A3A" w:rsidRDefault="00553241" w:rsidP="00833A3A">
      <w:pPr>
        <w:spacing w:after="120" w:line="276" w:lineRule="auto"/>
        <w:jc w:val="both"/>
        <w:rPr>
          <w:rFonts w:asciiTheme="majorHAnsi" w:hAnsiTheme="majorHAnsi" w:cstheme="majorHAnsi"/>
          <w:sz w:val="22"/>
          <w:szCs w:val="22"/>
        </w:rPr>
      </w:pPr>
      <w:r w:rsidRPr="00833A3A">
        <w:rPr>
          <w:rFonts w:asciiTheme="majorHAnsi" w:hAnsiTheme="majorHAnsi" w:cstheme="majorHAnsi"/>
          <w:sz w:val="22"/>
          <w:szCs w:val="22"/>
        </w:rPr>
        <w:t xml:space="preserve">Pandey &amp; Jaiswal (2018) argued that metacognition refers to stable knowledge about one's cognitive system, knowledge about the factors that influence the functioning of this system, and the organization and awareness of knowledge, which are important factors in preventing and managing psychological disorders such as depression and anxiety, pathological anxiety, and obsessive‒compulsive symptomatology. Therefore, many researchers have emphasized that metacognitive thinking is closely related to psychopathology, suggesting that it contributes to a vicious cycle involving psychological disorders such as anxiety, depression, anger, and burnout, as well as psychotic disorders (Wasmuth et al., 2015; Olstad et al., 2015). </w:t>
      </w:r>
      <w:r w:rsidR="001634D9" w:rsidRPr="00833A3A">
        <w:rPr>
          <w:rFonts w:asciiTheme="majorHAnsi" w:hAnsiTheme="majorHAnsi" w:cstheme="majorHAnsi"/>
          <w:sz w:val="22"/>
          <w:szCs w:val="22"/>
        </w:rPr>
        <w:t>Hudlicka (2005) indicated that emotional deficits such as difficulties in recognizing emotions are influenced by an individual’s confidence in and awareness of thinking processes.</w:t>
      </w:r>
    </w:p>
    <w:p w14:paraId="05657316" w14:textId="4E405CCC" w:rsidR="00553241" w:rsidRPr="00833A3A" w:rsidRDefault="00553241" w:rsidP="00833A3A">
      <w:pPr>
        <w:spacing w:after="120" w:line="276" w:lineRule="auto"/>
        <w:jc w:val="both"/>
        <w:rPr>
          <w:rFonts w:asciiTheme="majorHAnsi" w:hAnsiTheme="majorHAnsi" w:cstheme="majorHAnsi"/>
          <w:sz w:val="22"/>
          <w:szCs w:val="22"/>
        </w:rPr>
      </w:pPr>
      <w:r w:rsidRPr="00833A3A">
        <w:rPr>
          <w:rFonts w:asciiTheme="majorHAnsi" w:hAnsiTheme="majorHAnsi" w:cstheme="majorHAnsi"/>
          <w:sz w:val="22"/>
          <w:szCs w:val="22"/>
        </w:rPr>
        <w:t>Previous studies have confirmed a statistically significant negative relationship between metacognitive strategies and knowledge with alexithymia (Yavuz et al., 2019; Yaghoubi &amp; Salehi, 2016). Additionally, metacognitive beliefs play an important role in predicting alexithymia among students (Babaei et al., 2016), and both positive metacognition and metaemotion are negatively correlated with alexithymia (Pandey &amp; Jaiswal, 2018).</w:t>
      </w:r>
    </w:p>
    <w:p w14:paraId="1FFCBE14" w14:textId="3FB5371E" w:rsidR="00553241" w:rsidRPr="00833A3A" w:rsidRDefault="00553241" w:rsidP="00833A3A">
      <w:pPr>
        <w:widowControl w:val="0"/>
        <w:autoSpaceDE w:val="0"/>
        <w:autoSpaceDN w:val="0"/>
        <w:adjustRightInd w:val="0"/>
        <w:spacing w:before="120" w:after="240" w:line="276" w:lineRule="auto"/>
        <w:jc w:val="both"/>
        <w:rPr>
          <w:rFonts w:asciiTheme="majorHAnsi" w:eastAsia="Times New Roman" w:hAnsiTheme="majorHAnsi" w:cstheme="majorHAnsi"/>
          <w:b/>
          <w:sz w:val="28"/>
          <w:szCs w:val="28"/>
          <w:lang w:val="cs-CZ" w:eastAsia="cs-CZ"/>
        </w:rPr>
      </w:pPr>
      <w:r w:rsidRPr="00833A3A">
        <w:rPr>
          <w:rFonts w:asciiTheme="majorHAnsi" w:eastAsia="Times New Roman" w:hAnsiTheme="majorHAnsi" w:cstheme="majorHAnsi"/>
          <w:b/>
          <w:sz w:val="28"/>
          <w:szCs w:val="28"/>
          <w:lang w:val="cs-CZ" w:eastAsia="cs-CZ"/>
        </w:rPr>
        <w:t>Metacognitive Thinking as an Indicator of Mental Health</w:t>
      </w:r>
    </w:p>
    <w:p w14:paraId="3E14C9C0" w14:textId="5728F393" w:rsidR="00553241" w:rsidRPr="00833A3A" w:rsidRDefault="00553241" w:rsidP="00833A3A">
      <w:pPr>
        <w:spacing w:after="120" w:line="276" w:lineRule="auto"/>
        <w:jc w:val="both"/>
        <w:rPr>
          <w:rFonts w:asciiTheme="majorHAnsi" w:hAnsiTheme="majorHAnsi" w:cstheme="majorHAnsi"/>
          <w:sz w:val="22"/>
          <w:szCs w:val="22"/>
        </w:rPr>
      </w:pPr>
      <w:r w:rsidRPr="00833A3A">
        <w:rPr>
          <w:rFonts w:asciiTheme="majorHAnsi" w:hAnsiTheme="majorHAnsi" w:cstheme="majorHAnsi"/>
          <w:sz w:val="22"/>
          <w:szCs w:val="22"/>
        </w:rPr>
        <w:t xml:space="preserve"> Mental health has a profound impact on performance, and studies have supported the relationship between mental health and academic success. Mental health issues (e.g., anxiety disorders) are common among students and have an impact on achievement (Ghandour et al., 2018; Stephan et al., 2015). Therefore, using metacognitive thinking and self-regulation as a component of metacognitive thinking supports students with anxiety (Weight &amp; Bond, 2022). Weight &amp; Bond (2022) see the importance of using metacognitive educational strategies as strategies to support students’ mental health in the context of the classroom environment. Hattie (2012); Wells &amp; King (2006) indicate that metacognitive thinking is a powerful strategy for enhancing student learning in schools, and is one of the effective variables and strategies for addressing mental health issues within learning environments (e.g., anxiety treatment).</w:t>
      </w:r>
    </w:p>
    <w:p w14:paraId="3E8CA557" w14:textId="052209E7" w:rsidR="00553241" w:rsidRPr="00833A3A" w:rsidRDefault="00553241" w:rsidP="00833A3A">
      <w:pPr>
        <w:spacing w:after="120" w:line="276" w:lineRule="auto"/>
        <w:jc w:val="both"/>
        <w:rPr>
          <w:rFonts w:asciiTheme="majorHAnsi" w:hAnsiTheme="majorHAnsi" w:cstheme="majorHAnsi"/>
          <w:sz w:val="22"/>
          <w:szCs w:val="22"/>
        </w:rPr>
      </w:pPr>
      <w:r w:rsidRPr="00833A3A">
        <w:rPr>
          <w:rFonts w:asciiTheme="majorHAnsi" w:hAnsiTheme="majorHAnsi" w:cstheme="majorHAnsi"/>
          <w:sz w:val="22"/>
          <w:szCs w:val="22"/>
        </w:rPr>
        <w:t>This can be attributed to the fact that metacognitive thinking plays a role in examining and modifying the learner’s thinking and beliefs (Wells &amp; King, 2006), which is a high-level psychological process that refers to all processes related to knowledge, thinking about thinking, and the learner’s response to what he has of thinking through monitoring and organizing his thoughts (Black and Wiliam, 2009), and plays a role in preparing the learner for academic success in learning environments and in life, and it is an organizational system that gives the person the ability to be aware of and control mental processes, thus enhancing his social and emotional health, and then as a strategy to support the learner’s mental health (Weight &amp; Bond, 2022).</w:t>
      </w:r>
    </w:p>
    <w:p w14:paraId="34AFC53C" w14:textId="3B75DC7F" w:rsidR="00553241" w:rsidRPr="00833A3A" w:rsidRDefault="00553241" w:rsidP="00833A3A">
      <w:pPr>
        <w:spacing w:after="120" w:line="276" w:lineRule="auto"/>
        <w:jc w:val="both"/>
        <w:rPr>
          <w:rFonts w:asciiTheme="majorHAnsi" w:hAnsiTheme="majorHAnsi" w:cstheme="majorHAnsi"/>
          <w:sz w:val="22"/>
          <w:szCs w:val="22"/>
        </w:rPr>
      </w:pPr>
      <w:r w:rsidRPr="00833A3A">
        <w:rPr>
          <w:rFonts w:asciiTheme="majorHAnsi" w:hAnsiTheme="majorHAnsi" w:cstheme="majorHAnsi"/>
          <w:sz w:val="22"/>
          <w:szCs w:val="22"/>
        </w:rPr>
        <w:lastRenderedPageBreak/>
        <w:t>Researchers have attributed the presence of mental health problems in students to their inability to understand their metacognitive abilities and lack of awareness of the metacognitive processes that participate in organizing and evaluating thinking or when they are activated incorrectly (Weight &amp; Bond, 2022). In particular, the failure to employ metacognitive thinking skills poses a threat to mental health (Wells &amp; King, 2006), which is what made Weight &amp; Bond (2022) emphasize the importance of using metacognitive thinking strategies in treating mental health problems.</w:t>
      </w:r>
    </w:p>
    <w:p w14:paraId="562E6557" w14:textId="1F0A1038" w:rsidR="00553241" w:rsidRPr="00833A3A" w:rsidRDefault="00553241" w:rsidP="00833A3A">
      <w:pPr>
        <w:spacing w:after="120" w:line="276" w:lineRule="auto"/>
        <w:jc w:val="both"/>
        <w:rPr>
          <w:rFonts w:asciiTheme="majorHAnsi" w:hAnsiTheme="majorHAnsi" w:cstheme="majorHAnsi"/>
          <w:sz w:val="22"/>
          <w:szCs w:val="22"/>
        </w:rPr>
      </w:pPr>
      <w:r w:rsidRPr="00833A3A">
        <w:rPr>
          <w:rFonts w:asciiTheme="majorHAnsi" w:hAnsiTheme="majorHAnsi" w:cstheme="majorHAnsi"/>
          <w:sz w:val="22"/>
          <w:szCs w:val="22"/>
        </w:rPr>
        <w:t>The importance of metacognitive thinking in supporting the learner’s mental health comes from the fact that it is one of the most important mental processes related to the individual’s knowledge of cognitive processes and outcomes, designing metacognitive strategies to monitor cognitive progress, using metacognitive skills well to supervise his own learning process, monitoring and modifying thought (Flavell, 1979), and supporting the ability to learn, the ability to plan and self-regulate, and monitor and correct learning errors (Blair &amp; Diamond, 2008</w:t>
      </w:r>
      <w:r w:rsidR="001634D9" w:rsidRPr="00833A3A">
        <w:rPr>
          <w:rFonts w:asciiTheme="majorHAnsi" w:hAnsiTheme="majorHAnsi" w:cstheme="majorHAnsi"/>
          <w:sz w:val="22"/>
          <w:szCs w:val="22"/>
        </w:rPr>
        <w:t>; Bransford et al., 2004</w:t>
      </w:r>
      <w:r w:rsidRPr="00833A3A">
        <w:rPr>
          <w:rFonts w:asciiTheme="majorHAnsi" w:hAnsiTheme="majorHAnsi" w:cstheme="majorHAnsi"/>
          <w:sz w:val="22"/>
          <w:szCs w:val="22"/>
        </w:rPr>
        <w:t>).</w:t>
      </w:r>
    </w:p>
    <w:p w14:paraId="67A156D1" w14:textId="6B4A9480" w:rsidR="00226D86" w:rsidRPr="00833A3A" w:rsidRDefault="00553241" w:rsidP="00833A3A">
      <w:pPr>
        <w:spacing w:after="120" w:line="276" w:lineRule="auto"/>
        <w:jc w:val="both"/>
        <w:rPr>
          <w:rFonts w:asciiTheme="majorHAnsi" w:hAnsiTheme="majorHAnsi" w:cstheme="majorHAnsi"/>
          <w:sz w:val="22"/>
          <w:szCs w:val="22"/>
        </w:rPr>
      </w:pPr>
      <w:r w:rsidRPr="00833A3A">
        <w:rPr>
          <w:rFonts w:asciiTheme="majorHAnsi" w:hAnsiTheme="majorHAnsi" w:cstheme="majorHAnsi"/>
          <w:sz w:val="22"/>
          <w:szCs w:val="22"/>
        </w:rPr>
        <w:t>Metacognitive thinking improves the learner's ability to address mental health problems through self-control and self-regulation, preventing illness, and maintaining the learner's mental health (Conn et al., 2018; Hu &amp; Liang, 2002). A wealth of empirical studies have shown a relationship between metacognitive thinking skills and mental health; Fisher et al., (1991) indicated that metacognitive disorders are a major factor in psychological vulnerability, and Gong et al. (2010) indicated that high levels of anxiety in individuals increase the likelihood of developing metacognitive disorder. Foumany et al. (2014) indicated that metacognitive thinking is associated with mental health, and that learners with positive metacognitive beliefs have better mental health, Melli et al. (2016) also indicated that metacognition predicts depression, anxiety, and dysfunctional health-related beliefs, Hamonniere &amp; Varescon (2018) indicated that alexithymia can produce psychological disorders and exacerbate a series of health-harmful behaviors, and that poor metacognitive thinking is associated with harmful behavior and poor mental health (Desender et al., 2016; Morales et al., 2018). Commodari et al. (2022) also suggests that metacognition affects depression, stress, anxiety symptoms, and quality of life, and that metacognitive skills play a role in promoting mental health. Weight &amp; Bond (2022) suggests that there is a relationship between metacognitive thinking and its use as a mental health support strategy for students with mental health disorders (such as anxiety). Finally, Li et al. (2023) suggests that there is an association between metacognitive thinking and health-related behavior in students, and that metacognition can positively predict health-related behavior</w:t>
      </w:r>
      <w:r w:rsidR="00AE5515" w:rsidRPr="00833A3A">
        <w:rPr>
          <w:rFonts w:asciiTheme="majorHAnsi" w:hAnsiTheme="majorHAnsi" w:cstheme="majorHAnsi"/>
          <w:sz w:val="22"/>
          <w:szCs w:val="22"/>
        </w:rPr>
        <w:t>.</w:t>
      </w:r>
    </w:p>
    <w:p w14:paraId="6766EEA4" w14:textId="272FD9AE" w:rsidR="00226D86" w:rsidRPr="00833A3A" w:rsidRDefault="00226D86" w:rsidP="00833A3A">
      <w:pPr>
        <w:widowControl w:val="0"/>
        <w:autoSpaceDE w:val="0"/>
        <w:autoSpaceDN w:val="0"/>
        <w:adjustRightInd w:val="0"/>
        <w:spacing w:before="120" w:after="240" w:line="276" w:lineRule="auto"/>
        <w:jc w:val="both"/>
        <w:rPr>
          <w:rFonts w:asciiTheme="majorHAnsi" w:eastAsia="Times New Roman" w:hAnsiTheme="majorHAnsi" w:cstheme="majorHAnsi"/>
          <w:b/>
          <w:sz w:val="28"/>
          <w:szCs w:val="28"/>
          <w:lang w:val="cs-CZ" w:eastAsia="cs-CZ"/>
        </w:rPr>
      </w:pPr>
      <w:r w:rsidRPr="00833A3A">
        <w:rPr>
          <w:rFonts w:asciiTheme="majorHAnsi" w:eastAsia="Times New Roman" w:hAnsiTheme="majorHAnsi" w:cstheme="majorHAnsi"/>
          <w:b/>
          <w:sz w:val="28"/>
          <w:szCs w:val="28"/>
          <w:lang w:val="cs-CZ" w:eastAsia="cs-CZ"/>
        </w:rPr>
        <w:t>Methodology</w:t>
      </w:r>
    </w:p>
    <w:p w14:paraId="4DC924B7" w14:textId="2ACB5F49" w:rsidR="00553241" w:rsidRPr="00833A3A" w:rsidRDefault="00226D86" w:rsidP="00833A3A">
      <w:pPr>
        <w:widowControl w:val="0"/>
        <w:autoSpaceDE w:val="0"/>
        <w:autoSpaceDN w:val="0"/>
        <w:adjustRightInd w:val="0"/>
        <w:spacing w:before="120" w:after="240" w:line="276" w:lineRule="auto"/>
        <w:jc w:val="both"/>
        <w:rPr>
          <w:rFonts w:asciiTheme="majorHAnsi" w:eastAsia="Times New Roman" w:hAnsiTheme="majorHAnsi" w:cstheme="majorHAnsi"/>
          <w:b/>
          <w:sz w:val="28"/>
          <w:szCs w:val="28"/>
          <w:lang w:val="cs-CZ" w:eastAsia="cs-CZ"/>
        </w:rPr>
      </w:pPr>
      <w:r w:rsidRPr="00833A3A">
        <w:rPr>
          <w:rFonts w:asciiTheme="majorHAnsi" w:eastAsia="Times New Roman" w:hAnsiTheme="majorHAnsi" w:cstheme="majorHAnsi"/>
          <w:b/>
          <w:sz w:val="28"/>
          <w:szCs w:val="28"/>
          <w:lang w:val="cs-CZ" w:eastAsia="cs-CZ"/>
        </w:rPr>
        <w:t xml:space="preserve">Research </w:t>
      </w:r>
      <w:r w:rsidR="002F1F57" w:rsidRPr="00833A3A">
        <w:rPr>
          <w:rFonts w:asciiTheme="majorHAnsi" w:eastAsia="Times New Roman" w:hAnsiTheme="majorHAnsi" w:cstheme="majorHAnsi"/>
          <w:b/>
          <w:sz w:val="28"/>
          <w:szCs w:val="28"/>
          <w:lang w:val="cs-CZ" w:eastAsia="cs-CZ"/>
        </w:rPr>
        <w:t xml:space="preserve">Design </w:t>
      </w:r>
    </w:p>
    <w:p w14:paraId="4A6977FE" w14:textId="1765C603" w:rsidR="00CF5078" w:rsidRPr="00833A3A" w:rsidRDefault="00553241" w:rsidP="00833A3A">
      <w:pPr>
        <w:spacing w:line="276" w:lineRule="auto"/>
        <w:jc w:val="both"/>
        <w:rPr>
          <w:rFonts w:asciiTheme="majorHAnsi" w:hAnsiTheme="majorHAnsi" w:cstheme="majorHAnsi"/>
          <w:sz w:val="22"/>
          <w:szCs w:val="22"/>
        </w:rPr>
      </w:pPr>
      <w:r w:rsidRPr="00833A3A">
        <w:rPr>
          <w:rFonts w:asciiTheme="majorHAnsi" w:hAnsiTheme="majorHAnsi" w:cstheme="majorHAnsi"/>
          <w:sz w:val="22"/>
          <w:szCs w:val="22"/>
        </w:rPr>
        <w:t>This research adopted a descriptive approach, which aims to describe behavioral phenomena and express them quantitatively and qualitatively; analyze, interpret, and link them to other phenomena; and determine the level of alexithymia and metacognitive thinking skills among university students. Additionally, a comparative approach is utilized to examine the differences in the mean scores of student groups categorized by high, medium, and low levels of alexithymia in relation to their metacognitive thinking skills.</w:t>
      </w:r>
    </w:p>
    <w:p w14:paraId="4FDF62BC" w14:textId="20F6D594" w:rsidR="00553241" w:rsidRPr="00833A3A" w:rsidRDefault="00553241" w:rsidP="00833A3A">
      <w:pPr>
        <w:widowControl w:val="0"/>
        <w:autoSpaceDE w:val="0"/>
        <w:autoSpaceDN w:val="0"/>
        <w:adjustRightInd w:val="0"/>
        <w:spacing w:before="120" w:after="240" w:line="276" w:lineRule="auto"/>
        <w:jc w:val="both"/>
        <w:rPr>
          <w:rFonts w:asciiTheme="majorHAnsi" w:eastAsia="Times New Roman" w:hAnsiTheme="majorHAnsi" w:cstheme="majorHAnsi"/>
          <w:b/>
          <w:sz w:val="28"/>
          <w:szCs w:val="28"/>
          <w:rtl/>
          <w:lang w:val="cs-CZ" w:eastAsia="cs-CZ"/>
        </w:rPr>
      </w:pPr>
      <w:r w:rsidRPr="00833A3A">
        <w:rPr>
          <w:rFonts w:asciiTheme="majorHAnsi" w:eastAsia="Times New Roman" w:hAnsiTheme="majorHAnsi" w:cstheme="majorHAnsi"/>
          <w:b/>
          <w:sz w:val="28"/>
          <w:szCs w:val="28"/>
          <w:lang w:val="cs-CZ" w:eastAsia="cs-CZ"/>
        </w:rPr>
        <w:t>Population and Sample</w:t>
      </w:r>
    </w:p>
    <w:p w14:paraId="47DB95DF" w14:textId="3600ED21" w:rsidR="00553241" w:rsidRPr="00833A3A" w:rsidRDefault="00553241" w:rsidP="00887206">
      <w:pPr>
        <w:spacing w:line="276" w:lineRule="auto"/>
        <w:jc w:val="both"/>
        <w:rPr>
          <w:rFonts w:asciiTheme="majorHAnsi" w:hAnsiTheme="majorHAnsi" w:cstheme="majorHAnsi"/>
          <w:sz w:val="22"/>
          <w:szCs w:val="22"/>
        </w:rPr>
      </w:pPr>
      <w:r w:rsidRPr="00833A3A">
        <w:rPr>
          <w:rFonts w:asciiTheme="majorHAnsi" w:hAnsiTheme="majorHAnsi" w:cstheme="majorHAnsi"/>
          <w:sz w:val="22"/>
          <w:szCs w:val="22"/>
        </w:rPr>
        <w:lastRenderedPageBreak/>
        <w:t xml:space="preserve">The study population included undergraduate students from the Department of Psychology, Faculty of Arts, Benha University, enrolled for the academic year (2023-2024). The sample consisted of (120) male and female students, who were randomly selected from this population, with ages ranging from 17--22 years. The participants represented all four academic groups within the Department of Psychology, with an average age of 20.1 years and a standard deviation of 1.8. </w:t>
      </w:r>
      <w:r w:rsidR="00887206" w:rsidRPr="00887206">
        <w:rPr>
          <w:rFonts w:asciiTheme="majorHAnsi" w:hAnsiTheme="majorHAnsi" w:cstheme="majorHAnsi"/>
          <w:sz w:val="22"/>
          <w:szCs w:val="22"/>
        </w:rPr>
        <w:t xml:space="preserve">Table 1 shows the characteristics of the sample according to the variables of </w:t>
      </w:r>
      <w:r w:rsidRPr="00833A3A">
        <w:rPr>
          <w:rFonts w:asciiTheme="majorHAnsi" w:hAnsiTheme="majorHAnsi" w:cstheme="majorHAnsi"/>
          <w:sz w:val="22"/>
          <w:szCs w:val="22"/>
        </w:rPr>
        <w:t>academic group and chronological age.</w:t>
      </w:r>
    </w:p>
    <w:p w14:paraId="2F94C882" w14:textId="0B8E18E2" w:rsidR="00553241" w:rsidRPr="00833A3A" w:rsidRDefault="00553241" w:rsidP="00833A3A">
      <w:pPr>
        <w:tabs>
          <w:tab w:val="left" w:pos="9355"/>
        </w:tabs>
        <w:spacing w:before="240" w:after="120"/>
        <w:jc w:val="center"/>
        <w:rPr>
          <w:rFonts w:asciiTheme="majorHAnsi" w:hAnsiTheme="majorHAnsi" w:cstheme="majorHAnsi"/>
          <w:color w:val="000000" w:themeColor="text1"/>
          <w:sz w:val="22"/>
          <w:szCs w:val="22"/>
          <w:rtl/>
        </w:rPr>
      </w:pPr>
      <w:r w:rsidRPr="00833A3A">
        <w:rPr>
          <w:rFonts w:asciiTheme="majorHAnsi" w:hAnsiTheme="majorHAnsi" w:cstheme="majorHAnsi"/>
          <w:color w:val="000000" w:themeColor="text1"/>
          <w:sz w:val="22"/>
          <w:szCs w:val="22"/>
        </w:rPr>
        <w:t xml:space="preserve">Table 1.Characteristics of the </w:t>
      </w:r>
      <w:r w:rsidR="00A36E39" w:rsidRPr="00833A3A">
        <w:rPr>
          <w:rFonts w:asciiTheme="majorHAnsi" w:hAnsiTheme="majorHAnsi" w:cstheme="majorHAnsi"/>
          <w:color w:val="000000" w:themeColor="text1"/>
          <w:sz w:val="22"/>
          <w:szCs w:val="22"/>
        </w:rPr>
        <w:t xml:space="preserve">Sample According </w:t>
      </w:r>
      <w:r w:rsidRPr="00833A3A">
        <w:rPr>
          <w:rFonts w:asciiTheme="majorHAnsi" w:hAnsiTheme="majorHAnsi" w:cstheme="majorHAnsi"/>
          <w:color w:val="000000" w:themeColor="text1"/>
          <w:sz w:val="22"/>
          <w:szCs w:val="22"/>
        </w:rPr>
        <w:t xml:space="preserve">to the </w:t>
      </w:r>
      <w:r w:rsidR="00A36E39" w:rsidRPr="00833A3A">
        <w:rPr>
          <w:rFonts w:asciiTheme="majorHAnsi" w:hAnsiTheme="majorHAnsi" w:cstheme="majorHAnsi"/>
          <w:color w:val="000000" w:themeColor="text1"/>
          <w:sz w:val="22"/>
          <w:szCs w:val="22"/>
        </w:rPr>
        <w:t xml:space="preserve">Variables </w:t>
      </w:r>
      <w:r w:rsidRPr="00833A3A">
        <w:rPr>
          <w:rFonts w:asciiTheme="majorHAnsi" w:hAnsiTheme="majorHAnsi" w:cstheme="majorHAnsi"/>
          <w:color w:val="000000" w:themeColor="text1"/>
          <w:sz w:val="22"/>
          <w:szCs w:val="22"/>
        </w:rPr>
        <w:t xml:space="preserve">of the four </w:t>
      </w:r>
      <w:r w:rsidR="00A36E39" w:rsidRPr="00833A3A">
        <w:rPr>
          <w:rFonts w:asciiTheme="majorHAnsi" w:hAnsiTheme="majorHAnsi" w:cstheme="majorHAnsi"/>
          <w:color w:val="000000" w:themeColor="text1"/>
          <w:sz w:val="22"/>
          <w:szCs w:val="22"/>
        </w:rPr>
        <w:t xml:space="preserve">Academic Groups </w:t>
      </w:r>
      <w:r w:rsidRPr="00833A3A">
        <w:rPr>
          <w:rFonts w:asciiTheme="majorHAnsi" w:hAnsiTheme="majorHAnsi" w:cstheme="majorHAnsi"/>
          <w:color w:val="000000" w:themeColor="text1"/>
          <w:sz w:val="22"/>
          <w:szCs w:val="22"/>
        </w:rPr>
        <w:t xml:space="preserve">in the Psychology Department and </w:t>
      </w:r>
      <w:r w:rsidR="00A36E39" w:rsidRPr="00833A3A">
        <w:rPr>
          <w:rFonts w:asciiTheme="majorHAnsi" w:hAnsiTheme="majorHAnsi" w:cstheme="majorHAnsi"/>
          <w:color w:val="000000" w:themeColor="text1"/>
          <w:sz w:val="22"/>
          <w:szCs w:val="22"/>
        </w:rPr>
        <w:t>Chronological Age</w:t>
      </w:r>
    </w:p>
    <w:tbl>
      <w:tblPr>
        <w:tblStyle w:val="2"/>
        <w:tblW w:w="0" w:type="auto"/>
        <w:tblInd w:w="288" w:type="dxa"/>
        <w:tblBorders>
          <w:left w:val="none" w:sz="0" w:space="0" w:color="auto"/>
          <w:right w:val="none" w:sz="0" w:space="0" w:color="auto"/>
          <w:insideH w:val="none" w:sz="0" w:space="0" w:color="auto"/>
        </w:tblBorders>
        <w:tblLook w:val="04A0" w:firstRow="1" w:lastRow="0" w:firstColumn="1" w:lastColumn="0" w:noHBand="0" w:noVBand="1"/>
      </w:tblPr>
      <w:tblGrid>
        <w:gridCol w:w="1928"/>
        <w:gridCol w:w="1407"/>
        <w:gridCol w:w="1420"/>
        <w:gridCol w:w="1412"/>
        <w:gridCol w:w="1419"/>
        <w:gridCol w:w="1409"/>
      </w:tblGrid>
      <w:tr w:rsidR="00553241" w:rsidRPr="00553241" w14:paraId="29591B3A" w14:textId="7DA7F736" w:rsidTr="00F40D25">
        <w:tc>
          <w:tcPr>
            <w:tcW w:w="8995" w:type="dxa"/>
            <w:gridSpan w:val="6"/>
            <w:tcBorders>
              <w:top w:val="single" w:sz="4" w:space="0" w:color="auto"/>
              <w:bottom w:val="single" w:sz="4" w:space="0" w:color="auto"/>
            </w:tcBorders>
            <w:shd w:val="clear" w:color="auto" w:fill="FFFFFF" w:themeFill="background1"/>
          </w:tcPr>
          <w:p w14:paraId="79DCDEB7" w14:textId="01503904" w:rsidR="00553241" w:rsidRPr="00553241" w:rsidRDefault="00553241" w:rsidP="00553241">
            <w:pPr>
              <w:spacing w:after="160" w:line="360" w:lineRule="auto"/>
              <w:jc w:val="center"/>
              <w:rPr>
                <w:rFonts w:ascii="Times New Roman" w:hAnsi="Times New Roman" w:cs="Times New Roman"/>
                <w:b/>
                <w:bCs/>
                <w:sz w:val="20"/>
                <w:szCs w:val="20"/>
                <w:rtl/>
              </w:rPr>
            </w:pPr>
            <w:r w:rsidRPr="00553241">
              <w:rPr>
                <w:rFonts w:ascii="Times New Roman" w:hAnsi="Times New Roman" w:cs="Times New Roman"/>
                <w:b/>
                <w:bCs/>
                <w:sz w:val="20"/>
                <w:szCs w:val="20"/>
              </w:rPr>
              <w:t>The Four Academic Groups</w:t>
            </w:r>
            <w:r w:rsidRPr="00553241">
              <w:rPr>
                <w:rFonts w:ascii="Times New Roman" w:hAnsi="Times New Roman" w:cs="Times New Roman" w:hint="cs"/>
                <w:b/>
                <w:bCs/>
                <w:sz w:val="20"/>
                <w:szCs w:val="20"/>
                <w:rtl/>
              </w:rPr>
              <w:t xml:space="preserve"> </w:t>
            </w:r>
          </w:p>
        </w:tc>
      </w:tr>
      <w:tr w:rsidR="00553241" w:rsidRPr="00553241" w14:paraId="01927827" w14:textId="1DAA463A" w:rsidTr="00F40D25">
        <w:tc>
          <w:tcPr>
            <w:tcW w:w="1928" w:type="dxa"/>
            <w:tcBorders>
              <w:top w:val="single" w:sz="4" w:space="0" w:color="auto"/>
              <w:bottom w:val="single" w:sz="4" w:space="0" w:color="auto"/>
              <w:right w:val="nil"/>
            </w:tcBorders>
            <w:shd w:val="clear" w:color="auto" w:fill="FFFFFF" w:themeFill="background1"/>
          </w:tcPr>
          <w:p w14:paraId="5A764694" w14:textId="2FC3CBA1" w:rsidR="00553241" w:rsidRPr="00553241" w:rsidRDefault="00553241" w:rsidP="00553241">
            <w:pPr>
              <w:spacing w:after="160" w:line="360" w:lineRule="auto"/>
              <w:jc w:val="center"/>
              <w:rPr>
                <w:rFonts w:ascii="Times New Roman" w:hAnsi="Times New Roman" w:cs="Times New Roman"/>
                <w:b/>
                <w:bCs/>
                <w:sz w:val="20"/>
                <w:szCs w:val="20"/>
                <w:rtl/>
              </w:rPr>
            </w:pPr>
          </w:p>
        </w:tc>
        <w:tc>
          <w:tcPr>
            <w:tcW w:w="1407" w:type="dxa"/>
            <w:tcBorders>
              <w:top w:val="single" w:sz="4" w:space="0" w:color="auto"/>
              <w:left w:val="nil"/>
              <w:bottom w:val="single" w:sz="4" w:space="0" w:color="auto"/>
              <w:right w:val="nil"/>
            </w:tcBorders>
            <w:shd w:val="clear" w:color="auto" w:fill="FFFFFF" w:themeFill="background1"/>
          </w:tcPr>
          <w:p w14:paraId="067E72B0" w14:textId="753DF434" w:rsidR="00553241" w:rsidRPr="00553241" w:rsidRDefault="00553241" w:rsidP="00553241">
            <w:pPr>
              <w:spacing w:after="160" w:line="360" w:lineRule="auto"/>
              <w:jc w:val="center"/>
              <w:rPr>
                <w:rFonts w:ascii="Times New Roman" w:hAnsi="Times New Roman" w:cs="Times New Roman"/>
                <w:b/>
                <w:bCs/>
                <w:sz w:val="20"/>
                <w:szCs w:val="20"/>
                <w:rtl/>
              </w:rPr>
            </w:pPr>
            <w:r w:rsidRPr="00553241">
              <w:rPr>
                <w:rFonts w:ascii="Times New Roman" w:hAnsi="Times New Roman" w:cs="Times New Roman"/>
                <w:b/>
                <w:bCs/>
                <w:sz w:val="20"/>
                <w:szCs w:val="20"/>
              </w:rPr>
              <w:t>First</w:t>
            </w:r>
          </w:p>
        </w:tc>
        <w:tc>
          <w:tcPr>
            <w:tcW w:w="1420" w:type="dxa"/>
            <w:tcBorders>
              <w:top w:val="single" w:sz="4" w:space="0" w:color="auto"/>
              <w:left w:val="nil"/>
              <w:bottom w:val="single" w:sz="4" w:space="0" w:color="auto"/>
              <w:right w:val="nil"/>
            </w:tcBorders>
            <w:shd w:val="clear" w:color="auto" w:fill="FFFFFF" w:themeFill="background1"/>
          </w:tcPr>
          <w:p w14:paraId="3C027206" w14:textId="5F29B639" w:rsidR="00553241" w:rsidRPr="00553241" w:rsidRDefault="00553241" w:rsidP="00553241">
            <w:pPr>
              <w:spacing w:after="160" w:line="360" w:lineRule="auto"/>
              <w:jc w:val="center"/>
              <w:rPr>
                <w:rFonts w:ascii="Times New Roman" w:hAnsi="Times New Roman" w:cs="Times New Roman"/>
                <w:b/>
                <w:bCs/>
                <w:sz w:val="20"/>
                <w:szCs w:val="20"/>
                <w:rtl/>
              </w:rPr>
            </w:pPr>
            <w:r w:rsidRPr="00553241">
              <w:rPr>
                <w:rFonts w:ascii="Times New Roman" w:hAnsi="Times New Roman" w:cs="Times New Roman"/>
                <w:b/>
                <w:bCs/>
                <w:sz w:val="20"/>
                <w:szCs w:val="20"/>
              </w:rPr>
              <w:t>Second</w:t>
            </w:r>
          </w:p>
        </w:tc>
        <w:tc>
          <w:tcPr>
            <w:tcW w:w="1412" w:type="dxa"/>
            <w:tcBorders>
              <w:top w:val="single" w:sz="4" w:space="0" w:color="auto"/>
              <w:left w:val="nil"/>
              <w:bottom w:val="single" w:sz="4" w:space="0" w:color="auto"/>
              <w:right w:val="nil"/>
            </w:tcBorders>
            <w:shd w:val="clear" w:color="auto" w:fill="FFFFFF" w:themeFill="background1"/>
          </w:tcPr>
          <w:p w14:paraId="44DD30D6" w14:textId="6CC01C50" w:rsidR="00553241" w:rsidRPr="00553241" w:rsidRDefault="00553241" w:rsidP="00553241">
            <w:pPr>
              <w:spacing w:after="160" w:line="360" w:lineRule="auto"/>
              <w:jc w:val="center"/>
              <w:rPr>
                <w:rFonts w:ascii="Times New Roman" w:hAnsi="Times New Roman" w:cs="Times New Roman"/>
                <w:b/>
                <w:bCs/>
                <w:sz w:val="20"/>
                <w:szCs w:val="20"/>
                <w:rtl/>
              </w:rPr>
            </w:pPr>
            <w:r w:rsidRPr="00553241">
              <w:rPr>
                <w:rFonts w:ascii="Times New Roman" w:hAnsi="Times New Roman" w:cs="Times New Roman"/>
                <w:b/>
                <w:bCs/>
                <w:sz w:val="20"/>
                <w:szCs w:val="20"/>
              </w:rPr>
              <w:t>Third</w:t>
            </w:r>
          </w:p>
        </w:tc>
        <w:tc>
          <w:tcPr>
            <w:tcW w:w="1419" w:type="dxa"/>
            <w:tcBorders>
              <w:top w:val="single" w:sz="4" w:space="0" w:color="auto"/>
              <w:left w:val="nil"/>
              <w:bottom w:val="single" w:sz="4" w:space="0" w:color="auto"/>
              <w:right w:val="nil"/>
            </w:tcBorders>
            <w:shd w:val="clear" w:color="auto" w:fill="FFFFFF" w:themeFill="background1"/>
          </w:tcPr>
          <w:p w14:paraId="74A767B7" w14:textId="415DE85A" w:rsidR="00553241" w:rsidRPr="00553241" w:rsidRDefault="00553241" w:rsidP="00553241">
            <w:pPr>
              <w:spacing w:after="160" w:line="360" w:lineRule="auto"/>
              <w:jc w:val="center"/>
              <w:rPr>
                <w:rFonts w:ascii="Times New Roman" w:hAnsi="Times New Roman" w:cs="Times New Roman"/>
                <w:b/>
                <w:bCs/>
                <w:sz w:val="20"/>
                <w:szCs w:val="20"/>
                <w:rtl/>
              </w:rPr>
            </w:pPr>
            <w:r w:rsidRPr="00553241">
              <w:rPr>
                <w:rFonts w:ascii="Times New Roman" w:hAnsi="Times New Roman" w:cs="Times New Roman"/>
                <w:b/>
                <w:bCs/>
                <w:sz w:val="20"/>
                <w:szCs w:val="20"/>
              </w:rPr>
              <w:t>Fourth</w:t>
            </w:r>
          </w:p>
        </w:tc>
        <w:tc>
          <w:tcPr>
            <w:tcW w:w="1409" w:type="dxa"/>
            <w:tcBorders>
              <w:top w:val="single" w:sz="4" w:space="0" w:color="auto"/>
              <w:left w:val="nil"/>
              <w:bottom w:val="single" w:sz="4" w:space="0" w:color="auto"/>
            </w:tcBorders>
            <w:shd w:val="clear" w:color="auto" w:fill="FFFFFF" w:themeFill="background1"/>
          </w:tcPr>
          <w:p w14:paraId="5542DFD9" w14:textId="4AA7AD25" w:rsidR="00553241" w:rsidRPr="00553241" w:rsidRDefault="00553241" w:rsidP="00553241">
            <w:pPr>
              <w:spacing w:after="160" w:line="360" w:lineRule="auto"/>
              <w:jc w:val="center"/>
              <w:rPr>
                <w:rFonts w:ascii="Times New Roman" w:hAnsi="Times New Roman" w:cs="Times New Roman"/>
                <w:b/>
                <w:bCs/>
                <w:sz w:val="20"/>
                <w:szCs w:val="20"/>
              </w:rPr>
            </w:pPr>
            <w:r w:rsidRPr="00553241">
              <w:rPr>
                <w:rFonts w:ascii="Times New Roman" w:hAnsi="Times New Roman" w:cs="Times New Roman"/>
                <w:b/>
                <w:bCs/>
                <w:sz w:val="20"/>
                <w:szCs w:val="20"/>
              </w:rPr>
              <w:t>Total</w:t>
            </w:r>
          </w:p>
        </w:tc>
      </w:tr>
      <w:tr w:rsidR="00553241" w:rsidRPr="00553241" w14:paraId="02D74FA5" w14:textId="54C0AF18" w:rsidTr="00F40D25">
        <w:trPr>
          <w:trHeight w:val="296"/>
        </w:trPr>
        <w:tc>
          <w:tcPr>
            <w:tcW w:w="1928" w:type="dxa"/>
            <w:tcBorders>
              <w:top w:val="single" w:sz="4" w:space="0" w:color="auto"/>
              <w:bottom w:val="nil"/>
              <w:right w:val="nil"/>
            </w:tcBorders>
          </w:tcPr>
          <w:p w14:paraId="6B182E5B" w14:textId="595A73D0" w:rsidR="00553241" w:rsidRPr="00553241" w:rsidRDefault="00553241" w:rsidP="00553241">
            <w:pPr>
              <w:spacing w:after="160" w:line="360" w:lineRule="auto"/>
              <w:jc w:val="center"/>
              <w:rPr>
                <w:rFonts w:ascii="Times New Roman" w:hAnsi="Times New Roman" w:cs="Times New Roman"/>
                <w:b/>
                <w:bCs/>
                <w:sz w:val="20"/>
                <w:szCs w:val="20"/>
                <w:rtl/>
              </w:rPr>
            </w:pPr>
            <w:r w:rsidRPr="00553241">
              <w:rPr>
                <w:rFonts w:ascii="Times New Roman" w:hAnsi="Times New Roman" w:cs="Times New Roman"/>
                <w:b/>
                <w:bCs/>
                <w:sz w:val="20"/>
                <w:szCs w:val="20"/>
              </w:rPr>
              <w:t>Chronological age</w:t>
            </w:r>
          </w:p>
        </w:tc>
        <w:tc>
          <w:tcPr>
            <w:tcW w:w="1407" w:type="dxa"/>
            <w:tcBorders>
              <w:top w:val="single" w:sz="4" w:space="0" w:color="auto"/>
              <w:left w:val="nil"/>
              <w:bottom w:val="nil"/>
              <w:right w:val="nil"/>
            </w:tcBorders>
          </w:tcPr>
          <w:p w14:paraId="19B75020" w14:textId="3374267B" w:rsidR="00553241" w:rsidRPr="00553241" w:rsidRDefault="00553241" w:rsidP="00553241">
            <w:pPr>
              <w:spacing w:after="160" w:line="360" w:lineRule="auto"/>
              <w:jc w:val="center"/>
              <w:rPr>
                <w:rFonts w:ascii="Times New Roman" w:hAnsi="Times New Roman" w:cs="Times New Roman"/>
                <w:b/>
                <w:bCs/>
                <w:sz w:val="20"/>
                <w:szCs w:val="20"/>
                <w:rtl/>
              </w:rPr>
            </w:pPr>
            <w:r w:rsidRPr="00553241">
              <w:rPr>
                <w:rFonts w:ascii="Times New Roman" w:hAnsi="Times New Roman" w:cs="Times New Roman"/>
                <w:b/>
                <w:bCs/>
                <w:sz w:val="20"/>
                <w:szCs w:val="20"/>
              </w:rPr>
              <w:t xml:space="preserve"> 22 </w:t>
            </w:r>
            <w:r w:rsidRPr="00553241">
              <w:rPr>
                <w:rFonts w:ascii="Times New Roman" w:hAnsi="Times New Roman" w:cs="Times New Roman" w:hint="cs"/>
                <w:b/>
                <w:bCs/>
                <w:sz w:val="20"/>
                <w:szCs w:val="20"/>
                <w:rtl/>
              </w:rPr>
              <w:t>&gt;</w:t>
            </w:r>
            <w:r w:rsidRPr="00553241">
              <w:rPr>
                <w:rFonts w:ascii="Times New Roman" w:hAnsi="Times New Roman" w:cs="Times New Roman"/>
                <w:b/>
                <w:bCs/>
                <w:sz w:val="20"/>
                <w:szCs w:val="20"/>
              </w:rPr>
              <w:t xml:space="preserve">17 </w:t>
            </w:r>
            <w:r w:rsidRPr="00553241">
              <w:rPr>
                <w:rFonts w:ascii="Times New Roman" w:hAnsi="Times New Roman" w:cs="Times New Roman" w:hint="cs"/>
                <w:b/>
                <w:bCs/>
                <w:sz w:val="20"/>
                <w:szCs w:val="20"/>
                <w:rtl/>
              </w:rPr>
              <w:t xml:space="preserve"> ـ</w:t>
            </w:r>
            <w:r w:rsidRPr="00553241">
              <w:rPr>
                <w:rFonts w:ascii="Times New Roman" w:hAnsi="Times New Roman" w:cs="Times New Roman"/>
                <w:b/>
                <w:bCs/>
                <w:sz w:val="20"/>
                <w:szCs w:val="20"/>
              </w:rPr>
              <w:t xml:space="preserve"> </w:t>
            </w:r>
          </w:p>
        </w:tc>
        <w:tc>
          <w:tcPr>
            <w:tcW w:w="1420" w:type="dxa"/>
            <w:tcBorders>
              <w:top w:val="single" w:sz="4" w:space="0" w:color="auto"/>
              <w:left w:val="nil"/>
              <w:bottom w:val="nil"/>
              <w:right w:val="nil"/>
            </w:tcBorders>
          </w:tcPr>
          <w:p w14:paraId="28898C68" w14:textId="5613F0E5" w:rsidR="00553241" w:rsidRPr="00553241" w:rsidRDefault="00553241" w:rsidP="00553241">
            <w:pPr>
              <w:spacing w:after="160" w:line="360" w:lineRule="auto"/>
              <w:jc w:val="center"/>
              <w:rPr>
                <w:rFonts w:ascii="Times New Roman" w:hAnsi="Times New Roman" w:cs="Times New Roman"/>
                <w:b/>
                <w:bCs/>
                <w:sz w:val="20"/>
                <w:szCs w:val="20"/>
                <w:rtl/>
              </w:rPr>
            </w:pPr>
            <w:r w:rsidRPr="00553241">
              <w:rPr>
                <w:rFonts w:ascii="Times New Roman" w:hAnsi="Times New Roman" w:cs="Times New Roman"/>
                <w:b/>
                <w:bCs/>
                <w:sz w:val="20"/>
                <w:szCs w:val="20"/>
              </w:rPr>
              <w:t xml:space="preserve"> 20 </w:t>
            </w:r>
            <w:r w:rsidRPr="00553241">
              <w:rPr>
                <w:rFonts w:ascii="Times New Roman" w:hAnsi="Times New Roman" w:cs="Times New Roman" w:hint="cs"/>
                <w:b/>
                <w:bCs/>
                <w:sz w:val="20"/>
                <w:szCs w:val="20"/>
                <w:rtl/>
              </w:rPr>
              <w:t>&gt;</w:t>
            </w:r>
            <w:r w:rsidRPr="00553241">
              <w:rPr>
                <w:rFonts w:ascii="Times New Roman" w:hAnsi="Times New Roman" w:cs="Times New Roman"/>
                <w:b/>
                <w:bCs/>
                <w:sz w:val="20"/>
                <w:szCs w:val="20"/>
              </w:rPr>
              <w:t xml:space="preserve"> 19 </w:t>
            </w:r>
            <w:r w:rsidRPr="00553241">
              <w:rPr>
                <w:rFonts w:ascii="Times New Roman" w:hAnsi="Times New Roman" w:cs="Times New Roman" w:hint="cs"/>
                <w:b/>
                <w:bCs/>
                <w:sz w:val="20"/>
                <w:szCs w:val="20"/>
                <w:rtl/>
              </w:rPr>
              <w:t xml:space="preserve"> ـ</w:t>
            </w:r>
            <w:r w:rsidRPr="00553241">
              <w:rPr>
                <w:rFonts w:ascii="Times New Roman" w:hAnsi="Times New Roman" w:cs="Times New Roman"/>
                <w:b/>
                <w:bCs/>
                <w:sz w:val="20"/>
                <w:szCs w:val="20"/>
              </w:rPr>
              <w:t xml:space="preserve"> </w:t>
            </w:r>
          </w:p>
        </w:tc>
        <w:tc>
          <w:tcPr>
            <w:tcW w:w="1412" w:type="dxa"/>
            <w:tcBorders>
              <w:top w:val="single" w:sz="4" w:space="0" w:color="auto"/>
              <w:left w:val="nil"/>
              <w:bottom w:val="nil"/>
              <w:right w:val="nil"/>
            </w:tcBorders>
          </w:tcPr>
          <w:p w14:paraId="3FDC2EC6" w14:textId="7740FB9D" w:rsidR="00553241" w:rsidRPr="00553241" w:rsidRDefault="00553241" w:rsidP="00553241">
            <w:pPr>
              <w:spacing w:after="160" w:line="360" w:lineRule="auto"/>
              <w:jc w:val="center"/>
              <w:rPr>
                <w:rFonts w:ascii="Times New Roman" w:hAnsi="Times New Roman" w:cs="Times New Roman"/>
                <w:b/>
                <w:bCs/>
                <w:sz w:val="20"/>
                <w:szCs w:val="20"/>
                <w:rtl/>
              </w:rPr>
            </w:pPr>
            <w:r w:rsidRPr="00553241">
              <w:rPr>
                <w:rFonts w:ascii="Times New Roman" w:hAnsi="Times New Roman" w:cs="Times New Roman"/>
                <w:b/>
                <w:bCs/>
                <w:sz w:val="20"/>
                <w:szCs w:val="20"/>
              </w:rPr>
              <w:t xml:space="preserve"> 21 </w:t>
            </w:r>
            <w:r w:rsidRPr="00553241">
              <w:rPr>
                <w:rFonts w:ascii="Times New Roman" w:hAnsi="Times New Roman" w:cs="Times New Roman" w:hint="cs"/>
                <w:b/>
                <w:bCs/>
                <w:sz w:val="20"/>
                <w:szCs w:val="20"/>
                <w:rtl/>
              </w:rPr>
              <w:t>&gt;</w:t>
            </w:r>
            <w:r w:rsidRPr="00553241">
              <w:rPr>
                <w:rFonts w:ascii="Times New Roman" w:hAnsi="Times New Roman" w:cs="Times New Roman"/>
                <w:b/>
                <w:bCs/>
                <w:sz w:val="20"/>
                <w:szCs w:val="20"/>
              </w:rPr>
              <w:t xml:space="preserve">20 </w:t>
            </w:r>
            <w:r w:rsidRPr="00553241">
              <w:rPr>
                <w:rFonts w:ascii="Times New Roman" w:hAnsi="Times New Roman" w:cs="Times New Roman" w:hint="cs"/>
                <w:b/>
                <w:bCs/>
                <w:sz w:val="20"/>
                <w:szCs w:val="20"/>
                <w:rtl/>
              </w:rPr>
              <w:t xml:space="preserve"> ـ</w:t>
            </w:r>
            <w:r w:rsidRPr="00553241">
              <w:rPr>
                <w:rFonts w:ascii="Times New Roman" w:hAnsi="Times New Roman" w:cs="Times New Roman"/>
                <w:b/>
                <w:bCs/>
                <w:sz w:val="20"/>
                <w:szCs w:val="20"/>
              </w:rPr>
              <w:t xml:space="preserve"> </w:t>
            </w:r>
          </w:p>
        </w:tc>
        <w:tc>
          <w:tcPr>
            <w:tcW w:w="1419" w:type="dxa"/>
            <w:tcBorders>
              <w:top w:val="single" w:sz="4" w:space="0" w:color="auto"/>
              <w:left w:val="nil"/>
              <w:bottom w:val="nil"/>
              <w:right w:val="nil"/>
            </w:tcBorders>
          </w:tcPr>
          <w:p w14:paraId="7CFB3638" w14:textId="4FD473A5" w:rsidR="00553241" w:rsidRPr="00553241" w:rsidRDefault="00553241" w:rsidP="00553241">
            <w:pPr>
              <w:spacing w:after="160" w:line="360" w:lineRule="auto"/>
              <w:jc w:val="center"/>
              <w:rPr>
                <w:rFonts w:ascii="Times New Roman" w:hAnsi="Times New Roman" w:cs="Times New Roman"/>
                <w:b/>
                <w:bCs/>
                <w:sz w:val="20"/>
                <w:szCs w:val="20"/>
              </w:rPr>
            </w:pPr>
            <w:r w:rsidRPr="00553241">
              <w:rPr>
                <w:rFonts w:ascii="Times New Roman" w:hAnsi="Times New Roman" w:cs="Times New Roman"/>
                <w:b/>
                <w:bCs/>
                <w:sz w:val="20"/>
                <w:szCs w:val="20"/>
              </w:rPr>
              <w:t xml:space="preserve"> 22</w:t>
            </w:r>
            <w:r w:rsidRPr="00553241">
              <w:rPr>
                <w:rFonts w:ascii="Times New Roman" w:hAnsi="Times New Roman" w:cs="Times New Roman" w:hint="cs"/>
                <w:b/>
                <w:bCs/>
                <w:sz w:val="20"/>
                <w:szCs w:val="20"/>
                <w:rtl/>
              </w:rPr>
              <w:t>&gt;</w:t>
            </w:r>
            <w:r w:rsidRPr="00553241">
              <w:rPr>
                <w:rFonts w:ascii="Times New Roman" w:hAnsi="Times New Roman" w:cs="Times New Roman"/>
                <w:b/>
                <w:bCs/>
                <w:sz w:val="20"/>
                <w:szCs w:val="20"/>
              </w:rPr>
              <w:t xml:space="preserve"> 21 </w:t>
            </w:r>
            <w:r w:rsidRPr="00553241">
              <w:rPr>
                <w:rFonts w:ascii="Times New Roman" w:hAnsi="Times New Roman" w:cs="Times New Roman" w:hint="cs"/>
                <w:b/>
                <w:bCs/>
                <w:sz w:val="20"/>
                <w:szCs w:val="20"/>
                <w:rtl/>
              </w:rPr>
              <w:t xml:space="preserve"> ـ</w:t>
            </w:r>
            <w:r w:rsidRPr="00553241">
              <w:rPr>
                <w:rFonts w:ascii="Times New Roman" w:hAnsi="Times New Roman" w:cs="Times New Roman"/>
                <w:b/>
                <w:bCs/>
                <w:sz w:val="20"/>
                <w:szCs w:val="20"/>
              </w:rPr>
              <w:t xml:space="preserve"> </w:t>
            </w:r>
          </w:p>
        </w:tc>
        <w:tc>
          <w:tcPr>
            <w:tcW w:w="1409" w:type="dxa"/>
            <w:vMerge w:val="restart"/>
            <w:tcBorders>
              <w:top w:val="single" w:sz="4" w:space="0" w:color="auto"/>
              <w:left w:val="nil"/>
              <w:bottom w:val="nil"/>
            </w:tcBorders>
          </w:tcPr>
          <w:p w14:paraId="4C5C0FCF" w14:textId="5FD6F6A3" w:rsidR="00553241" w:rsidRPr="00553241" w:rsidRDefault="00553241" w:rsidP="00553241">
            <w:pPr>
              <w:spacing w:after="160" w:line="360" w:lineRule="auto"/>
              <w:jc w:val="center"/>
              <w:rPr>
                <w:rFonts w:ascii="Times New Roman" w:hAnsi="Times New Roman" w:cs="Times New Roman"/>
                <w:b/>
                <w:bCs/>
                <w:sz w:val="20"/>
                <w:szCs w:val="20"/>
                <w:rtl/>
              </w:rPr>
            </w:pPr>
            <w:r w:rsidRPr="00553241">
              <w:rPr>
                <w:rFonts w:ascii="Times New Roman" w:hAnsi="Times New Roman" w:cs="Times New Roman"/>
                <w:b/>
                <w:bCs/>
                <w:sz w:val="20"/>
                <w:szCs w:val="20"/>
              </w:rPr>
              <w:t>120</w:t>
            </w:r>
          </w:p>
        </w:tc>
      </w:tr>
      <w:tr w:rsidR="00553241" w:rsidRPr="00553241" w14:paraId="37DA86D7" w14:textId="3EED1D97" w:rsidTr="00F40D25">
        <w:tc>
          <w:tcPr>
            <w:tcW w:w="1928" w:type="dxa"/>
            <w:tcBorders>
              <w:top w:val="nil"/>
              <w:bottom w:val="single" w:sz="4" w:space="0" w:color="auto"/>
              <w:right w:val="nil"/>
            </w:tcBorders>
          </w:tcPr>
          <w:p w14:paraId="19171F72" w14:textId="6B5F601E" w:rsidR="00553241" w:rsidRPr="00553241" w:rsidRDefault="00553241" w:rsidP="00553241">
            <w:pPr>
              <w:spacing w:after="160" w:line="360" w:lineRule="auto"/>
              <w:jc w:val="center"/>
              <w:rPr>
                <w:rFonts w:ascii="Times New Roman" w:hAnsi="Times New Roman" w:cs="Times New Roman"/>
                <w:b/>
                <w:bCs/>
                <w:sz w:val="20"/>
                <w:szCs w:val="20"/>
              </w:rPr>
            </w:pPr>
            <w:r w:rsidRPr="00553241">
              <w:rPr>
                <w:rFonts w:ascii="Times New Roman" w:hAnsi="Times New Roman" w:cs="Times New Roman" w:hint="cs"/>
                <w:b/>
                <w:bCs/>
                <w:sz w:val="20"/>
                <w:szCs w:val="20"/>
                <w:rtl/>
              </w:rPr>
              <w:t xml:space="preserve"> </w:t>
            </w:r>
            <w:r w:rsidRPr="00553241">
              <w:rPr>
                <w:rFonts w:ascii="Times New Roman" w:hAnsi="Times New Roman" w:cs="Times New Roman"/>
                <w:b/>
                <w:bCs/>
                <w:sz w:val="20"/>
                <w:szCs w:val="20"/>
              </w:rPr>
              <w:t>Number</w:t>
            </w:r>
          </w:p>
        </w:tc>
        <w:tc>
          <w:tcPr>
            <w:tcW w:w="1407" w:type="dxa"/>
            <w:tcBorders>
              <w:top w:val="nil"/>
              <w:left w:val="nil"/>
              <w:bottom w:val="single" w:sz="4" w:space="0" w:color="auto"/>
              <w:right w:val="nil"/>
            </w:tcBorders>
          </w:tcPr>
          <w:p w14:paraId="271E1C3A" w14:textId="5E3C7A78" w:rsidR="00553241" w:rsidRPr="00553241" w:rsidRDefault="00553241" w:rsidP="00553241">
            <w:pPr>
              <w:spacing w:after="160" w:line="360" w:lineRule="auto"/>
              <w:jc w:val="center"/>
              <w:rPr>
                <w:rFonts w:ascii="Times New Roman" w:hAnsi="Times New Roman" w:cs="Times New Roman"/>
                <w:b/>
                <w:bCs/>
                <w:sz w:val="20"/>
                <w:szCs w:val="20"/>
                <w:rtl/>
              </w:rPr>
            </w:pPr>
            <w:r w:rsidRPr="00553241">
              <w:rPr>
                <w:rFonts w:ascii="Times New Roman" w:hAnsi="Times New Roman" w:cs="Times New Roman"/>
                <w:b/>
                <w:bCs/>
                <w:sz w:val="20"/>
                <w:szCs w:val="20"/>
              </w:rPr>
              <w:t>30</w:t>
            </w:r>
          </w:p>
        </w:tc>
        <w:tc>
          <w:tcPr>
            <w:tcW w:w="1420" w:type="dxa"/>
            <w:tcBorders>
              <w:top w:val="nil"/>
              <w:left w:val="nil"/>
              <w:bottom w:val="single" w:sz="4" w:space="0" w:color="auto"/>
              <w:right w:val="nil"/>
            </w:tcBorders>
          </w:tcPr>
          <w:p w14:paraId="492DB64F" w14:textId="330F3867" w:rsidR="00553241" w:rsidRPr="00553241" w:rsidRDefault="00553241" w:rsidP="00553241">
            <w:pPr>
              <w:spacing w:after="160" w:line="360" w:lineRule="auto"/>
              <w:jc w:val="center"/>
              <w:rPr>
                <w:rFonts w:ascii="Times New Roman" w:hAnsi="Times New Roman" w:cs="Times New Roman"/>
                <w:b/>
                <w:bCs/>
                <w:sz w:val="20"/>
                <w:szCs w:val="20"/>
                <w:rtl/>
              </w:rPr>
            </w:pPr>
            <w:r w:rsidRPr="00553241">
              <w:rPr>
                <w:rFonts w:ascii="Times New Roman" w:hAnsi="Times New Roman" w:cs="Times New Roman"/>
                <w:b/>
                <w:bCs/>
                <w:sz w:val="20"/>
                <w:szCs w:val="20"/>
              </w:rPr>
              <w:t>32</w:t>
            </w:r>
          </w:p>
        </w:tc>
        <w:tc>
          <w:tcPr>
            <w:tcW w:w="1412" w:type="dxa"/>
            <w:tcBorders>
              <w:top w:val="nil"/>
              <w:left w:val="nil"/>
              <w:bottom w:val="single" w:sz="4" w:space="0" w:color="auto"/>
              <w:right w:val="nil"/>
            </w:tcBorders>
          </w:tcPr>
          <w:p w14:paraId="79B7DB59" w14:textId="3FACB31C" w:rsidR="00553241" w:rsidRPr="00553241" w:rsidRDefault="00553241" w:rsidP="00553241">
            <w:pPr>
              <w:spacing w:after="160" w:line="360" w:lineRule="auto"/>
              <w:jc w:val="center"/>
              <w:rPr>
                <w:rFonts w:ascii="Times New Roman" w:hAnsi="Times New Roman" w:cs="Times New Roman"/>
                <w:b/>
                <w:bCs/>
                <w:sz w:val="20"/>
                <w:szCs w:val="20"/>
                <w:rtl/>
              </w:rPr>
            </w:pPr>
            <w:r w:rsidRPr="00553241">
              <w:rPr>
                <w:rFonts w:ascii="Times New Roman" w:hAnsi="Times New Roman" w:cs="Times New Roman"/>
                <w:b/>
                <w:bCs/>
                <w:sz w:val="20"/>
                <w:szCs w:val="20"/>
              </w:rPr>
              <w:t>32</w:t>
            </w:r>
          </w:p>
        </w:tc>
        <w:tc>
          <w:tcPr>
            <w:tcW w:w="1419" w:type="dxa"/>
            <w:tcBorders>
              <w:top w:val="nil"/>
              <w:left w:val="nil"/>
              <w:bottom w:val="single" w:sz="4" w:space="0" w:color="auto"/>
              <w:right w:val="nil"/>
            </w:tcBorders>
          </w:tcPr>
          <w:p w14:paraId="1D66DFB1" w14:textId="037E4F00" w:rsidR="00553241" w:rsidRPr="00553241" w:rsidRDefault="00553241" w:rsidP="00553241">
            <w:pPr>
              <w:spacing w:after="160" w:line="360" w:lineRule="auto"/>
              <w:jc w:val="center"/>
              <w:rPr>
                <w:rFonts w:ascii="Times New Roman" w:hAnsi="Times New Roman" w:cs="Times New Roman"/>
                <w:b/>
                <w:bCs/>
                <w:sz w:val="20"/>
                <w:szCs w:val="20"/>
                <w:rtl/>
              </w:rPr>
            </w:pPr>
            <w:r w:rsidRPr="00553241">
              <w:rPr>
                <w:rFonts w:ascii="Times New Roman" w:hAnsi="Times New Roman" w:cs="Times New Roman"/>
                <w:b/>
                <w:bCs/>
                <w:sz w:val="20"/>
                <w:szCs w:val="20"/>
              </w:rPr>
              <w:t>26</w:t>
            </w:r>
          </w:p>
        </w:tc>
        <w:tc>
          <w:tcPr>
            <w:tcW w:w="1409" w:type="dxa"/>
            <w:vMerge/>
            <w:tcBorders>
              <w:top w:val="nil"/>
              <w:left w:val="nil"/>
              <w:bottom w:val="single" w:sz="4" w:space="0" w:color="auto"/>
            </w:tcBorders>
          </w:tcPr>
          <w:p w14:paraId="0EA0549B" w14:textId="1FA959F7" w:rsidR="00553241" w:rsidRPr="00553241" w:rsidRDefault="00553241" w:rsidP="00553241">
            <w:pPr>
              <w:bidi/>
              <w:spacing w:before="240" w:after="160" w:line="259" w:lineRule="auto"/>
              <w:contextualSpacing/>
              <w:jc w:val="center"/>
              <w:rPr>
                <w:rFonts w:ascii="Times New Roman" w:hAnsi="Times New Roman" w:cs="Times New Roman"/>
                <w:sz w:val="28"/>
                <w:szCs w:val="28"/>
                <w:rtl/>
              </w:rPr>
            </w:pPr>
          </w:p>
        </w:tc>
      </w:tr>
    </w:tbl>
    <w:p w14:paraId="0CAFCFD9" w14:textId="54513A1F" w:rsidR="00F40D25" w:rsidRPr="00833A3A" w:rsidRDefault="00F40D25" w:rsidP="009C475C">
      <w:pPr>
        <w:spacing w:before="240"/>
        <w:jc w:val="both"/>
        <w:rPr>
          <w:rFonts w:asciiTheme="majorHAnsi" w:hAnsiTheme="majorHAnsi" w:cstheme="majorHAnsi"/>
          <w:b/>
          <w:bCs/>
          <w:i/>
          <w:sz w:val="22"/>
          <w:szCs w:val="22"/>
        </w:rPr>
      </w:pPr>
      <w:r w:rsidRPr="00833A3A">
        <w:rPr>
          <w:rFonts w:asciiTheme="majorHAnsi" w:hAnsiTheme="majorHAnsi" w:cstheme="majorHAnsi"/>
          <w:b/>
          <w:bCs/>
          <w:i/>
          <w:sz w:val="22"/>
          <w:szCs w:val="22"/>
        </w:rPr>
        <w:t>Tools</w:t>
      </w:r>
    </w:p>
    <w:p w14:paraId="4FC57A5E" w14:textId="1179D05E" w:rsidR="00F40D25" w:rsidRPr="00833A3A" w:rsidRDefault="00F40D25" w:rsidP="009C475C">
      <w:pPr>
        <w:jc w:val="both"/>
        <w:rPr>
          <w:rFonts w:asciiTheme="majorHAnsi" w:hAnsiTheme="majorHAnsi" w:cstheme="majorHAnsi"/>
          <w:i/>
          <w:sz w:val="22"/>
          <w:szCs w:val="22"/>
        </w:rPr>
      </w:pPr>
      <w:r w:rsidRPr="00833A3A">
        <w:rPr>
          <w:rFonts w:asciiTheme="majorHAnsi" w:hAnsiTheme="majorHAnsi" w:cstheme="majorHAnsi"/>
          <w:i/>
          <w:sz w:val="22"/>
          <w:szCs w:val="22"/>
        </w:rPr>
        <w:t>The Toronto Alexithymia Scale (TAS) (Taylor</w:t>
      </w:r>
      <w:r w:rsidRPr="00833A3A">
        <w:rPr>
          <w:rFonts w:asciiTheme="majorHAnsi" w:hAnsiTheme="majorHAnsi" w:cstheme="majorHAnsi"/>
          <w:i/>
          <w:sz w:val="22"/>
          <w:szCs w:val="22"/>
          <w:rtl/>
        </w:rPr>
        <w:t xml:space="preserve"> </w:t>
      </w:r>
      <w:r w:rsidRPr="00833A3A">
        <w:rPr>
          <w:rFonts w:asciiTheme="majorHAnsi" w:hAnsiTheme="majorHAnsi" w:cstheme="majorHAnsi"/>
          <w:i/>
          <w:sz w:val="22"/>
          <w:szCs w:val="22"/>
        </w:rPr>
        <w:t>et al., 1994)</w:t>
      </w:r>
    </w:p>
    <w:p w14:paraId="65F44D60" w14:textId="48F6F1A6" w:rsidR="00F40D25" w:rsidRPr="00833A3A" w:rsidRDefault="00F40D25" w:rsidP="009C475C">
      <w:pPr>
        <w:jc w:val="both"/>
        <w:rPr>
          <w:rFonts w:asciiTheme="majorHAnsi" w:hAnsiTheme="majorHAnsi" w:cstheme="majorHAnsi"/>
          <w:sz w:val="22"/>
          <w:szCs w:val="22"/>
        </w:rPr>
      </w:pPr>
      <w:r w:rsidRPr="00833A3A">
        <w:rPr>
          <w:rFonts w:asciiTheme="majorHAnsi" w:hAnsiTheme="majorHAnsi" w:cstheme="majorHAnsi"/>
          <w:sz w:val="22"/>
          <w:szCs w:val="22"/>
        </w:rPr>
        <w:t>The current research utilized the Toronto Alexithymia Scale (TAS-20), which consists of 20 items distributed across three dimensions: difficulty identifying feelings (7 items: 1, 3, 6, 7, 9, 13, 14), difficulty describing feelings (5 items: 2, 4, 11, 12, 17), and externally oriented thinking (8 items: 5, 8, 10, 15, 16, 18, 19, 20). The responses are given on a five-point Likert scale (strongly disagree - disagree - neutral - agree - strongly agree), with values of ​​5 - 4 - 3 - 2 - 1; for negatively worded items (4, 5, 10, 18, 19), the scores are reversed. The scoring for each dimension is as follows: difficulty identifying feelings (7--35), difficulty describing feelings (5--25), externally oriented thinking (8--40), and overall score (20--100). The scale was applied to a pilot sample consisting of 28 university students to ensure the clarity of the scale items and to calculate the standard efficiency of the scale. The alpha‒Cronbach method was used to calculate the reliability coefficients for the dimensions and the scale as a whole, which reached 0.854, 0.754, 0.698, and 0.857, respectively, indicating high reliability. The correlation coefficients for the difficulty identifying feelings dimension ranged from 0.636--0.759, those for difficulty describing feelings ranged from 0.677--0.849, and those for externally directed thinking ranged from 0.680--0.821. The correlation coefficients between the dimensions of the scale and the total score ranged between 0.721 and 0.846. All the correlation coefficients are statistically significant at (0.01). These results support that the scale has a high degree of validity and reliability.</w:t>
      </w:r>
    </w:p>
    <w:p w14:paraId="684944EC" w14:textId="786A1CAC" w:rsidR="00F40D25" w:rsidRPr="00833A3A" w:rsidRDefault="00F40D25" w:rsidP="009C475C">
      <w:pPr>
        <w:spacing w:before="240"/>
        <w:jc w:val="both"/>
        <w:rPr>
          <w:rFonts w:asciiTheme="majorHAnsi" w:hAnsiTheme="majorHAnsi" w:cstheme="majorHAnsi"/>
          <w:i/>
          <w:sz w:val="22"/>
          <w:szCs w:val="22"/>
        </w:rPr>
      </w:pPr>
      <w:r w:rsidRPr="00833A3A">
        <w:rPr>
          <w:rFonts w:asciiTheme="majorHAnsi" w:hAnsiTheme="majorHAnsi" w:cstheme="majorHAnsi"/>
          <w:i/>
          <w:sz w:val="22"/>
          <w:szCs w:val="22"/>
        </w:rPr>
        <w:t xml:space="preserve">The Metacognition Thinking Scale (O'neil &amp; Abedi, 1996) </w:t>
      </w:r>
    </w:p>
    <w:p w14:paraId="5DE604E6" w14:textId="1B87C9BD" w:rsidR="00F40D25" w:rsidRPr="00833A3A" w:rsidRDefault="00F40D25" w:rsidP="009C475C">
      <w:pPr>
        <w:jc w:val="both"/>
        <w:rPr>
          <w:rFonts w:asciiTheme="majorHAnsi" w:hAnsiTheme="majorHAnsi" w:cstheme="majorHAnsi"/>
          <w:sz w:val="22"/>
          <w:szCs w:val="22"/>
        </w:rPr>
      </w:pPr>
      <w:r w:rsidRPr="00833A3A">
        <w:rPr>
          <w:rFonts w:asciiTheme="majorHAnsi" w:hAnsiTheme="majorHAnsi" w:cstheme="majorHAnsi"/>
          <w:i/>
          <w:sz w:val="22"/>
          <w:szCs w:val="22"/>
        </w:rPr>
        <w:t>The metacognition scale</w:t>
      </w:r>
      <w:r w:rsidRPr="00833A3A">
        <w:rPr>
          <w:rFonts w:asciiTheme="majorHAnsi" w:hAnsiTheme="majorHAnsi" w:cstheme="majorHAnsi"/>
          <w:sz w:val="22"/>
          <w:szCs w:val="22"/>
        </w:rPr>
        <w:t xml:space="preserve"> comprises 42 items categorized into three dimensions: knowledge of cognition (12 items: 2, 4, 8, 13, 15, 20, 21, 22, 23, 25, 26, and 28); regulation of cognition (19 items: 3, 5, 6, 7, 9, 16, 17, 18, 19, 29, 30, 33, 34, 35, 36, 39, 40, 41, and 42); and knowledge processing (11 items: 1, 10, 11, 12, 14, 24, 27, 31, 32, 37, 38). The respondents answer each item on a five-point Likert scale (always - often - sometimes - rarely - never), which is scored as ​​5 - 4 - 3 - 2 - 1. The scale was applied to a pilot sample consisting of 28 university students to ensure the clarity of the scale items and to calculate the standard efficiency of the scale. The alpha‒Cronbach method was used to calculate the reliability coefficients for the dimensions and the scale as a whole, which reached 0.772, 0.675, 0.678, 0.847, and 0.789, respectively, indicating a high level of reliability. The construct validity of the scale was also calculated via Pearson's correlation coefficient by calculating the correlation of each item of the scale with the dimension to which it belongs. The correlation coefficients for the knowledge of cognition dimension ranged between 0.721 and 0.786, the </w:t>
      </w:r>
      <w:r w:rsidRPr="00833A3A">
        <w:rPr>
          <w:rFonts w:asciiTheme="majorHAnsi" w:hAnsiTheme="majorHAnsi" w:cstheme="majorHAnsi"/>
          <w:sz w:val="22"/>
          <w:szCs w:val="22"/>
        </w:rPr>
        <w:lastRenderedPageBreak/>
        <w:t>correlation coefficients for the regulation of cognition dimension ranged between 0.579 and 0.714, the correlation coefficients for the knowledge processing dimension ranged between 0.733 and 0.801, the correlation coefficients between the dimensions themselves ranged between 0.723 and 0.785, and the correlation coefficients for the dimensions of the scale with the total score of the scale ranged between 0.689 and 0.778. All the correlation coefficients were statistically significant at 0.01. These results support that the scale has a high degree of validity and reliability.</w:t>
      </w:r>
    </w:p>
    <w:p w14:paraId="4CB7CF26" w14:textId="6349AD1D" w:rsidR="00CF5078" w:rsidRPr="00833A3A" w:rsidRDefault="00CF5078" w:rsidP="00833A3A">
      <w:pPr>
        <w:widowControl w:val="0"/>
        <w:autoSpaceDE w:val="0"/>
        <w:autoSpaceDN w:val="0"/>
        <w:adjustRightInd w:val="0"/>
        <w:spacing w:before="120" w:after="240" w:line="276" w:lineRule="auto"/>
        <w:jc w:val="both"/>
        <w:rPr>
          <w:rFonts w:asciiTheme="majorHAnsi" w:eastAsia="Times New Roman" w:hAnsiTheme="majorHAnsi" w:cstheme="majorHAnsi"/>
          <w:b/>
          <w:sz w:val="22"/>
          <w:szCs w:val="22"/>
          <w:lang w:val="cs-CZ" w:eastAsia="cs-CZ"/>
        </w:rPr>
      </w:pPr>
      <w:r w:rsidRPr="00833A3A">
        <w:rPr>
          <w:rFonts w:asciiTheme="majorHAnsi" w:eastAsia="Times New Roman" w:hAnsiTheme="majorHAnsi" w:cstheme="majorHAnsi"/>
          <w:b/>
          <w:sz w:val="22"/>
          <w:szCs w:val="22"/>
          <w:lang w:val="cs-CZ" w:eastAsia="cs-CZ"/>
        </w:rPr>
        <w:t>Analyzing of Data</w:t>
      </w:r>
    </w:p>
    <w:p w14:paraId="4ED9EA14" w14:textId="6C497D2C" w:rsidR="00F40D25" w:rsidRPr="00833A3A" w:rsidRDefault="00F40D25" w:rsidP="009C475C">
      <w:pPr>
        <w:jc w:val="both"/>
        <w:rPr>
          <w:rFonts w:asciiTheme="majorHAnsi" w:hAnsiTheme="majorHAnsi" w:cstheme="majorHAnsi"/>
          <w:sz w:val="22"/>
          <w:szCs w:val="22"/>
        </w:rPr>
      </w:pPr>
      <w:r w:rsidRPr="00833A3A">
        <w:rPr>
          <w:rFonts w:asciiTheme="majorHAnsi" w:hAnsiTheme="majorHAnsi" w:cstheme="majorHAnsi"/>
          <w:sz w:val="22"/>
          <w:szCs w:val="22"/>
        </w:rPr>
        <w:t>To categorize university students into high, medium, and low levels of alexithymia and metacognitive thinking skills, a five-point Likert scale response for each of the two scales was utilized. The scores were divided into three equal-range levels via the following formula: Category length = (highest value - lowest value) ÷ 5 = (5 - 1) ÷ 3 = 1.33. This calculation led to the classification shown in Table (2).</w:t>
      </w:r>
    </w:p>
    <w:p w14:paraId="18F5EF30" w14:textId="0EC02C83" w:rsidR="00F40D25" w:rsidRPr="00833A3A" w:rsidRDefault="00F40D25" w:rsidP="00833A3A">
      <w:pPr>
        <w:tabs>
          <w:tab w:val="left" w:pos="9355"/>
        </w:tabs>
        <w:spacing w:before="240" w:after="120"/>
        <w:jc w:val="center"/>
        <w:rPr>
          <w:rFonts w:asciiTheme="majorHAnsi" w:hAnsiTheme="majorHAnsi" w:cstheme="majorHAnsi"/>
          <w:color w:val="000000" w:themeColor="text1"/>
          <w:sz w:val="22"/>
          <w:szCs w:val="22"/>
        </w:rPr>
      </w:pPr>
      <w:r w:rsidRPr="00833A3A">
        <w:rPr>
          <w:rFonts w:asciiTheme="majorHAnsi" w:hAnsiTheme="majorHAnsi" w:cstheme="majorHAnsi"/>
          <w:color w:val="000000" w:themeColor="text1"/>
          <w:sz w:val="22"/>
          <w:szCs w:val="22"/>
        </w:rPr>
        <w:t xml:space="preserve">Table 2. The </w:t>
      </w:r>
      <w:r w:rsidR="00A36E39" w:rsidRPr="00833A3A">
        <w:rPr>
          <w:rFonts w:asciiTheme="majorHAnsi" w:hAnsiTheme="majorHAnsi" w:cstheme="majorHAnsi"/>
          <w:color w:val="000000" w:themeColor="text1"/>
          <w:sz w:val="22"/>
          <w:szCs w:val="22"/>
        </w:rPr>
        <w:t xml:space="preserve">Actual Limits </w:t>
      </w:r>
      <w:r w:rsidRPr="00833A3A">
        <w:rPr>
          <w:rFonts w:asciiTheme="majorHAnsi" w:hAnsiTheme="majorHAnsi" w:cstheme="majorHAnsi"/>
          <w:color w:val="000000" w:themeColor="text1"/>
          <w:sz w:val="22"/>
          <w:szCs w:val="22"/>
        </w:rPr>
        <w:t xml:space="preserve">of the </w:t>
      </w:r>
      <w:r w:rsidR="00A36E39" w:rsidRPr="00833A3A">
        <w:rPr>
          <w:rFonts w:asciiTheme="majorHAnsi" w:hAnsiTheme="majorHAnsi" w:cstheme="majorHAnsi"/>
          <w:color w:val="000000" w:themeColor="text1"/>
          <w:sz w:val="22"/>
          <w:szCs w:val="22"/>
        </w:rPr>
        <w:t xml:space="preserve">Response Level Scores </w:t>
      </w:r>
      <w:r w:rsidRPr="00833A3A">
        <w:rPr>
          <w:rFonts w:asciiTheme="majorHAnsi" w:hAnsiTheme="majorHAnsi" w:cstheme="majorHAnsi"/>
          <w:color w:val="000000" w:themeColor="text1"/>
          <w:sz w:val="22"/>
          <w:szCs w:val="22"/>
        </w:rPr>
        <w:t>(</w:t>
      </w:r>
      <w:r w:rsidR="00A36E39" w:rsidRPr="00833A3A">
        <w:rPr>
          <w:rFonts w:asciiTheme="majorHAnsi" w:hAnsiTheme="majorHAnsi" w:cstheme="majorHAnsi"/>
          <w:color w:val="000000" w:themeColor="text1"/>
          <w:sz w:val="22"/>
          <w:szCs w:val="22"/>
        </w:rPr>
        <w:t>Relative Weights</w:t>
      </w:r>
      <w:r w:rsidRPr="00833A3A">
        <w:rPr>
          <w:rFonts w:asciiTheme="majorHAnsi" w:hAnsiTheme="majorHAnsi" w:cstheme="majorHAnsi"/>
          <w:color w:val="000000" w:themeColor="text1"/>
          <w:sz w:val="22"/>
          <w:szCs w:val="22"/>
        </w:rPr>
        <w:t xml:space="preserve">) on the </w:t>
      </w:r>
      <w:r w:rsidR="00A36E39" w:rsidRPr="00833A3A">
        <w:rPr>
          <w:rFonts w:asciiTheme="majorHAnsi" w:hAnsiTheme="majorHAnsi" w:cstheme="majorHAnsi"/>
          <w:color w:val="000000" w:themeColor="text1"/>
          <w:sz w:val="22"/>
          <w:szCs w:val="22"/>
        </w:rPr>
        <w:t xml:space="preserve">Scales </w:t>
      </w:r>
      <w:r w:rsidRPr="00833A3A">
        <w:rPr>
          <w:rFonts w:asciiTheme="majorHAnsi" w:hAnsiTheme="majorHAnsi" w:cstheme="majorHAnsi"/>
          <w:color w:val="000000" w:themeColor="text1"/>
          <w:sz w:val="22"/>
          <w:szCs w:val="22"/>
        </w:rPr>
        <w:t xml:space="preserve">according to the </w:t>
      </w:r>
      <w:r w:rsidR="00A36E39" w:rsidRPr="00833A3A">
        <w:rPr>
          <w:rFonts w:asciiTheme="majorHAnsi" w:hAnsiTheme="majorHAnsi" w:cstheme="majorHAnsi"/>
          <w:color w:val="000000" w:themeColor="text1"/>
          <w:sz w:val="22"/>
          <w:szCs w:val="22"/>
        </w:rPr>
        <w:t>Five</w:t>
      </w:r>
      <w:r w:rsidRPr="00833A3A">
        <w:rPr>
          <w:rFonts w:asciiTheme="majorHAnsi" w:hAnsiTheme="majorHAnsi" w:cstheme="majorHAnsi"/>
          <w:color w:val="000000" w:themeColor="text1"/>
          <w:sz w:val="22"/>
          <w:szCs w:val="22"/>
        </w:rPr>
        <w:t>-</w:t>
      </w:r>
      <w:r w:rsidR="00A36E39" w:rsidRPr="00833A3A">
        <w:rPr>
          <w:rFonts w:asciiTheme="majorHAnsi" w:hAnsiTheme="majorHAnsi" w:cstheme="majorHAnsi"/>
          <w:color w:val="000000" w:themeColor="text1"/>
          <w:sz w:val="22"/>
          <w:szCs w:val="22"/>
        </w:rPr>
        <w:t xml:space="preserve">Point </w:t>
      </w:r>
      <w:r w:rsidRPr="00833A3A">
        <w:rPr>
          <w:rFonts w:asciiTheme="majorHAnsi" w:hAnsiTheme="majorHAnsi" w:cstheme="majorHAnsi"/>
          <w:color w:val="000000" w:themeColor="text1"/>
          <w:sz w:val="22"/>
          <w:szCs w:val="22"/>
        </w:rPr>
        <w:t xml:space="preserve">Likert </w:t>
      </w:r>
      <w:r w:rsidR="00A36E39" w:rsidRPr="00833A3A">
        <w:rPr>
          <w:rFonts w:asciiTheme="majorHAnsi" w:hAnsiTheme="majorHAnsi" w:cstheme="majorHAnsi"/>
          <w:color w:val="000000" w:themeColor="text1"/>
          <w:sz w:val="22"/>
          <w:szCs w:val="22"/>
        </w:rPr>
        <w:t>Scale</w:t>
      </w:r>
    </w:p>
    <w:tbl>
      <w:tblPr>
        <w:tblW w:w="0" w:type="auto"/>
        <w:tblInd w:w="901" w:type="dxa"/>
        <w:tblBorders>
          <w:top w:val="single" w:sz="4" w:space="0" w:color="000000"/>
          <w:bottom w:val="single" w:sz="4" w:space="0" w:color="000000"/>
        </w:tblBorders>
        <w:tblLook w:val="04A0" w:firstRow="1" w:lastRow="0" w:firstColumn="1" w:lastColumn="0" w:noHBand="0" w:noVBand="1"/>
      </w:tblPr>
      <w:tblGrid>
        <w:gridCol w:w="566"/>
        <w:gridCol w:w="2251"/>
        <w:gridCol w:w="2816"/>
        <w:gridCol w:w="2749"/>
      </w:tblGrid>
      <w:tr w:rsidR="00F40D25" w:rsidRPr="00F40D25" w14:paraId="1847ABEE" w14:textId="16B684F1" w:rsidTr="00C30768">
        <w:tc>
          <w:tcPr>
            <w:tcW w:w="566" w:type="dxa"/>
            <w:tcBorders>
              <w:top w:val="single" w:sz="4" w:space="0" w:color="000000"/>
              <w:bottom w:val="single" w:sz="4" w:space="0" w:color="000000"/>
            </w:tcBorders>
            <w:hideMark/>
          </w:tcPr>
          <w:p w14:paraId="2DE5C9D3" w14:textId="7D78496B" w:rsidR="00F40D25" w:rsidRPr="00F40D25" w:rsidRDefault="00F40D25" w:rsidP="00F40D25">
            <w:pPr>
              <w:spacing w:line="360" w:lineRule="auto"/>
              <w:jc w:val="center"/>
              <w:rPr>
                <w:rFonts w:ascii="Times New Roman" w:eastAsia="Calibri" w:hAnsi="Times New Roman" w:cs="Times New Roman"/>
                <w:b/>
                <w:bCs/>
                <w:sz w:val="20"/>
                <w:szCs w:val="20"/>
              </w:rPr>
            </w:pPr>
            <w:r w:rsidRPr="00F40D25">
              <w:rPr>
                <w:rFonts w:ascii="Times New Roman" w:eastAsia="Calibri" w:hAnsi="Times New Roman" w:cs="Times New Roman"/>
                <w:b/>
                <w:bCs/>
                <w:sz w:val="20"/>
                <w:szCs w:val="20"/>
              </w:rPr>
              <w:t>NO.</w:t>
            </w:r>
          </w:p>
        </w:tc>
        <w:tc>
          <w:tcPr>
            <w:tcW w:w="2284" w:type="dxa"/>
            <w:tcBorders>
              <w:top w:val="single" w:sz="4" w:space="0" w:color="000000"/>
              <w:bottom w:val="single" w:sz="4" w:space="0" w:color="000000"/>
            </w:tcBorders>
            <w:hideMark/>
          </w:tcPr>
          <w:p w14:paraId="637C5EC5" w14:textId="0AA5980B" w:rsidR="00F40D25" w:rsidRPr="00F40D25" w:rsidRDefault="00F40D25" w:rsidP="00F40D25">
            <w:pPr>
              <w:spacing w:line="360" w:lineRule="auto"/>
              <w:jc w:val="center"/>
              <w:rPr>
                <w:rFonts w:ascii="Times New Roman" w:eastAsia="Calibri" w:hAnsi="Times New Roman" w:cs="Times New Roman"/>
                <w:b/>
                <w:bCs/>
                <w:sz w:val="20"/>
                <w:szCs w:val="20"/>
              </w:rPr>
            </w:pPr>
            <w:r w:rsidRPr="00F40D25">
              <w:rPr>
                <w:rFonts w:ascii="Times New Roman" w:eastAsia="Calibri" w:hAnsi="Times New Roman" w:cs="Times New Roman"/>
                <w:b/>
                <w:bCs/>
                <w:sz w:val="20"/>
                <w:szCs w:val="20"/>
              </w:rPr>
              <w:t>Means</w:t>
            </w:r>
          </w:p>
        </w:tc>
        <w:tc>
          <w:tcPr>
            <w:tcW w:w="2853" w:type="dxa"/>
            <w:tcBorders>
              <w:top w:val="single" w:sz="4" w:space="0" w:color="000000"/>
              <w:bottom w:val="single" w:sz="4" w:space="0" w:color="000000"/>
            </w:tcBorders>
            <w:hideMark/>
          </w:tcPr>
          <w:p w14:paraId="354C9178" w14:textId="0DC68F61" w:rsidR="00F40D25" w:rsidRPr="00F40D25" w:rsidRDefault="00F40D25" w:rsidP="00F40D25">
            <w:pPr>
              <w:spacing w:line="360" w:lineRule="auto"/>
              <w:jc w:val="center"/>
              <w:rPr>
                <w:rFonts w:ascii="Times New Roman" w:eastAsia="Calibri" w:hAnsi="Times New Roman" w:cs="Times New Roman"/>
                <w:b/>
                <w:bCs/>
                <w:sz w:val="20"/>
                <w:szCs w:val="20"/>
              </w:rPr>
            </w:pPr>
            <w:r w:rsidRPr="00F40D25">
              <w:rPr>
                <w:rFonts w:ascii="Times New Roman" w:eastAsia="Calibri" w:hAnsi="Times New Roman" w:cs="Times New Roman"/>
                <w:b/>
                <w:bCs/>
                <w:sz w:val="20"/>
                <w:szCs w:val="20"/>
              </w:rPr>
              <w:t>Percentage</w:t>
            </w:r>
          </w:p>
        </w:tc>
        <w:tc>
          <w:tcPr>
            <w:tcW w:w="2790" w:type="dxa"/>
            <w:tcBorders>
              <w:top w:val="single" w:sz="4" w:space="0" w:color="000000"/>
              <w:bottom w:val="single" w:sz="4" w:space="0" w:color="000000"/>
            </w:tcBorders>
            <w:hideMark/>
          </w:tcPr>
          <w:p w14:paraId="557583A1" w14:textId="15772441" w:rsidR="00F40D25" w:rsidRPr="00F40D25" w:rsidRDefault="00F40D25" w:rsidP="00F40D25">
            <w:pPr>
              <w:spacing w:line="360" w:lineRule="auto"/>
              <w:jc w:val="center"/>
              <w:rPr>
                <w:rFonts w:ascii="Times New Roman" w:eastAsia="Calibri" w:hAnsi="Times New Roman" w:cs="Times New Roman"/>
                <w:b/>
                <w:bCs/>
                <w:sz w:val="20"/>
                <w:szCs w:val="20"/>
              </w:rPr>
            </w:pPr>
            <w:r w:rsidRPr="00F40D25">
              <w:rPr>
                <w:rFonts w:ascii="Times New Roman" w:eastAsia="Calibri" w:hAnsi="Times New Roman" w:cs="Times New Roman"/>
                <w:b/>
                <w:bCs/>
                <w:sz w:val="20"/>
                <w:szCs w:val="20"/>
              </w:rPr>
              <w:t>Level</w:t>
            </w:r>
          </w:p>
        </w:tc>
      </w:tr>
      <w:tr w:rsidR="00F40D25" w:rsidRPr="00F40D25" w14:paraId="673DF78E" w14:textId="7FDD201B" w:rsidTr="00C30768">
        <w:tc>
          <w:tcPr>
            <w:tcW w:w="566" w:type="dxa"/>
            <w:tcBorders>
              <w:top w:val="single" w:sz="4" w:space="0" w:color="000000"/>
            </w:tcBorders>
            <w:hideMark/>
          </w:tcPr>
          <w:p w14:paraId="109B8748" w14:textId="7316D548" w:rsidR="00F40D25" w:rsidRPr="00F40D25" w:rsidRDefault="00F40D25" w:rsidP="00F40D25">
            <w:pPr>
              <w:spacing w:line="360" w:lineRule="auto"/>
              <w:jc w:val="center"/>
              <w:rPr>
                <w:rFonts w:ascii="Times New Roman" w:eastAsia="Calibri" w:hAnsi="Times New Roman" w:cs="Times New Roman"/>
                <w:sz w:val="20"/>
                <w:szCs w:val="20"/>
              </w:rPr>
            </w:pPr>
            <w:r w:rsidRPr="00F40D25">
              <w:rPr>
                <w:rFonts w:ascii="Times New Roman" w:eastAsia="Calibri" w:hAnsi="Times New Roman" w:cs="Times New Roman"/>
                <w:sz w:val="20"/>
                <w:szCs w:val="20"/>
              </w:rPr>
              <w:t>1</w:t>
            </w:r>
          </w:p>
        </w:tc>
        <w:tc>
          <w:tcPr>
            <w:tcW w:w="2284" w:type="dxa"/>
            <w:tcBorders>
              <w:top w:val="single" w:sz="4" w:space="0" w:color="000000"/>
            </w:tcBorders>
            <w:hideMark/>
          </w:tcPr>
          <w:p w14:paraId="39A18303" w14:textId="4E013327" w:rsidR="00F40D25" w:rsidRPr="00F40D25" w:rsidRDefault="00F40D25" w:rsidP="00F40D25">
            <w:pPr>
              <w:spacing w:line="360" w:lineRule="auto"/>
              <w:jc w:val="center"/>
              <w:rPr>
                <w:rFonts w:ascii="Times New Roman" w:eastAsia="Calibri" w:hAnsi="Times New Roman" w:cs="Times New Roman"/>
                <w:sz w:val="20"/>
                <w:szCs w:val="20"/>
              </w:rPr>
            </w:pPr>
            <w:r w:rsidRPr="00F40D25">
              <w:rPr>
                <w:rFonts w:ascii="Times New Roman" w:eastAsia="Calibri" w:hAnsi="Times New Roman" w:cs="Times New Roman"/>
                <w:sz w:val="20"/>
                <w:szCs w:val="20"/>
              </w:rPr>
              <w:t>3.67- 5.00</w:t>
            </w:r>
          </w:p>
        </w:tc>
        <w:tc>
          <w:tcPr>
            <w:tcW w:w="2853" w:type="dxa"/>
            <w:tcBorders>
              <w:top w:val="single" w:sz="4" w:space="0" w:color="000000"/>
            </w:tcBorders>
            <w:hideMark/>
          </w:tcPr>
          <w:p w14:paraId="042BEA3A" w14:textId="34FCAED1" w:rsidR="00F40D25" w:rsidRPr="00F40D25" w:rsidRDefault="00F40D25" w:rsidP="00F40D25">
            <w:pPr>
              <w:spacing w:line="360" w:lineRule="auto"/>
              <w:jc w:val="center"/>
              <w:rPr>
                <w:rFonts w:ascii="Times New Roman" w:eastAsia="Calibri" w:hAnsi="Times New Roman" w:cs="Times New Roman"/>
                <w:sz w:val="20"/>
                <w:szCs w:val="20"/>
              </w:rPr>
            </w:pPr>
            <w:r w:rsidRPr="00F40D25">
              <w:rPr>
                <w:rFonts w:ascii="Times New Roman" w:eastAsia="Calibri" w:hAnsi="Times New Roman" w:cs="Times New Roman"/>
                <w:sz w:val="20"/>
                <w:szCs w:val="20"/>
              </w:rPr>
              <w:t>100%</w:t>
            </w:r>
            <w:r w:rsidRPr="00F40D25">
              <w:rPr>
                <w:rFonts w:ascii="Times New Roman" w:eastAsia="Calibri" w:hAnsi="Times New Roman" w:cs="Times New Roman"/>
                <w:sz w:val="20"/>
                <w:szCs w:val="20"/>
                <w:rtl/>
              </w:rPr>
              <w:t xml:space="preserve">– </w:t>
            </w:r>
            <w:r w:rsidRPr="00F40D25">
              <w:rPr>
                <w:rFonts w:ascii="Times New Roman" w:eastAsia="Calibri" w:hAnsi="Times New Roman" w:cs="Times New Roman"/>
                <w:sz w:val="20"/>
                <w:szCs w:val="20"/>
              </w:rPr>
              <w:t>73.4</w:t>
            </w:r>
            <w:r w:rsidRPr="00F40D25">
              <w:rPr>
                <w:rFonts w:ascii="Times New Roman" w:eastAsia="Calibri" w:hAnsi="Times New Roman" w:cs="Times New Roman"/>
                <w:sz w:val="20"/>
                <w:szCs w:val="20"/>
                <w:rtl/>
              </w:rPr>
              <w:t>%</w:t>
            </w:r>
          </w:p>
        </w:tc>
        <w:tc>
          <w:tcPr>
            <w:tcW w:w="2790" w:type="dxa"/>
            <w:tcBorders>
              <w:top w:val="single" w:sz="4" w:space="0" w:color="000000"/>
            </w:tcBorders>
            <w:hideMark/>
          </w:tcPr>
          <w:p w14:paraId="23C56845" w14:textId="5CCB5733" w:rsidR="00F40D25" w:rsidRPr="00F40D25" w:rsidRDefault="00F40D25" w:rsidP="00F40D25">
            <w:pPr>
              <w:spacing w:line="360" w:lineRule="auto"/>
              <w:jc w:val="center"/>
              <w:rPr>
                <w:rFonts w:ascii="Times New Roman" w:eastAsia="Calibri" w:hAnsi="Times New Roman" w:cs="Times New Roman"/>
                <w:sz w:val="20"/>
                <w:szCs w:val="20"/>
              </w:rPr>
            </w:pPr>
            <w:r w:rsidRPr="00F40D25">
              <w:rPr>
                <w:rFonts w:ascii="Times New Roman" w:eastAsia="Calibri" w:hAnsi="Times New Roman" w:cs="Times New Roman"/>
                <w:sz w:val="20"/>
                <w:szCs w:val="20"/>
              </w:rPr>
              <w:t>High</w:t>
            </w:r>
          </w:p>
        </w:tc>
      </w:tr>
      <w:tr w:rsidR="00F40D25" w:rsidRPr="00F40D25" w14:paraId="73050F78" w14:textId="39086F58" w:rsidTr="00C30768">
        <w:tc>
          <w:tcPr>
            <w:tcW w:w="566" w:type="dxa"/>
            <w:hideMark/>
          </w:tcPr>
          <w:p w14:paraId="4F4EF048" w14:textId="6125B12E" w:rsidR="00F40D25" w:rsidRPr="00F40D25" w:rsidRDefault="00F40D25" w:rsidP="00F40D25">
            <w:pPr>
              <w:spacing w:line="360" w:lineRule="auto"/>
              <w:jc w:val="center"/>
              <w:rPr>
                <w:rFonts w:ascii="Times New Roman" w:eastAsia="Calibri" w:hAnsi="Times New Roman" w:cs="Times New Roman"/>
                <w:sz w:val="20"/>
                <w:szCs w:val="20"/>
              </w:rPr>
            </w:pPr>
            <w:r w:rsidRPr="00F40D25">
              <w:rPr>
                <w:rFonts w:ascii="Times New Roman" w:eastAsia="Calibri" w:hAnsi="Times New Roman" w:cs="Times New Roman"/>
                <w:sz w:val="20"/>
                <w:szCs w:val="20"/>
              </w:rPr>
              <w:t>2</w:t>
            </w:r>
          </w:p>
        </w:tc>
        <w:tc>
          <w:tcPr>
            <w:tcW w:w="2284" w:type="dxa"/>
            <w:hideMark/>
          </w:tcPr>
          <w:p w14:paraId="2264D100" w14:textId="7E0B17D6" w:rsidR="00F40D25" w:rsidRPr="00F40D25" w:rsidRDefault="00F40D25" w:rsidP="00F40D25">
            <w:pPr>
              <w:spacing w:line="360" w:lineRule="auto"/>
              <w:jc w:val="center"/>
              <w:rPr>
                <w:rFonts w:ascii="Times New Roman" w:eastAsia="Calibri" w:hAnsi="Times New Roman" w:cs="Times New Roman"/>
                <w:sz w:val="20"/>
                <w:szCs w:val="20"/>
              </w:rPr>
            </w:pPr>
            <w:r w:rsidRPr="00F40D25">
              <w:rPr>
                <w:rFonts w:ascii="Times New Roman" w:eastAsia="Calibri" w:hAnsi="Times New Roman" w:cs="Times New Roman"/>
                <w:sz w:val="20"/>
                <w:szCs w:val="20"/>
              </w:rPr>
              <w:t>2.34 – 3.66</w:t>
            </w:r>
          </w:p>
        </w:tc>
        <w:tc>
          <w:tcPr>
            <w:tcW w:w="2853" w:type="dxa"/>
            <w:hideMark/>
          </w:tcPr>
          <w:p w14:paraId="10B2B47C" w14:textId="2B8ABE5A" w:rsidR="00F40D25" w:rsidRPr="00F40D25" w:rsidRDefault="00F40D25" w:rsidP="00F40D25">
            <w:pPr>
              <w:spacing w:line="360" w:lineRule="auto"/>
              <w:jc w:val="center"/>
              <w:rPr>
                <w:rFonts w:ascii="Times New Roman" w:eastAsia="Calibri" w:hAnsi="Times New Roman" w:cs="Times New Roman"/>
                <w:sz w:val="20"/>
                <w:szCs w:val="20"/>
              </w:rPr>
            </w:pPr>
            <w:r w:rsidRPr="00F40D25">
              <w:rPr>
                <w:rFonts w:ascii="Times New Roman" w:eastAsia="Calibri" w:hAnsi="Times New Roman" w:cs="Times New Roman"/>
                <w:sz w:val="20"/>
                <w:szCs w:val="20"/>
              </w:rPr>
              <w:t>%73.2</w:t>
            </w:r>
            <w:r w:rsidRPr="00F40D25">
              <w:rPr>
                <w:rFonts w:ascii="Times New Roman" w:eastAsia="Calibri" w:hAnsi="Times New Roman" w:cs="Times New Roman"/>
                <w:sz w:val="20"/>
                <w:szCs w:val="20"/>
                <w:rtl/>
              </w:rPr>
              <w:t xml:space="preserve"> – </w:t>
            </w:r>
            <w:r w:rsidRPr="00F40D25">
              <w:rPr>
                <w:rFonts w:ascii="Times New Roman" w:eastAsia="Calibri" w:hAnsi="Times New Roman" w:cs="Times New Roman"/>
                <w:sz w:val="20"/>
                <w:szCs w:val="20"/>
              </w:rPr>
              <w:t>46.8%</w:t>
            </w:r>
          </w:p>
        </w:tc>
        <w:tc>
          <w:tcPr>
            <w:tcW w:w="2790" w:type="dxa"/>
            <w:hideMark/>
          </w:tcPr>
          <w:p w14:paraId="32C2B777" w14:textId="04B54443" w:rsidR="00F40D25" w:rsidRPr="00F40D25" w:rsidRDefault="00F40D25" w:rsidP="00F40D25">
            <w:pPr>
              <w:spacing w:line="360" w:lineRule="auto"/>
              <w:jc w:val="center"/>
              <w:rPr>
                <w:rFonts w:ascii="Times New Roman" w:eastAsia="Calibri" w:hAnsi="Times New Roman" w:cs="Times New Roman"/>
                <w:sz w:val="20"/>
                <w:szCs w:val="20"/>
              </w:rPr>
            </w:pPr>
            <w:r w:rsidRPr="00F40D25">
              <w:rPr>
                <w:rFonts w:ascii="Times New Roman" w:eastAsia="Calibri" w:hAnsi="Times New Roman" w:cs="Times New Roman"/>
                <w:sz w:val="20"/>
                <w:szCs w:val="20"/>
              </w:rPr>
              <w:t>Medium</w:t>
            </w:r>
          </w:p>
        </w:tc>
      </w:tr>
      <w:tr w:rsidR="00F40D25" w:rsidRPr="00F40D25" w14:paraId="6BC2A815" w14:textId="26CA5E22" w:rsidTr="00C30768">
        <w:tc>
          <w:tcPr>
            <w:tcW w:w="566" w:type="dxa"/>
            <w:hideMark/>
          </w:tcPr>
          <w:p w14:paraId="242F5420" w14:textId="13A454DE" w:rsidR="00F40D25" w:rsidRPr="00F40D25" w:rsidRDefault="00F40D25" w:rsidP="00F40D25">
            <w:pPr>
              <w:spacing w:line="360" w:lineRule="auto"/>
              <w:jc w:val="center"/>
              <w:rPr>
                <w:rFonts w:ascii="Times New Roman" w:eastAsia="Calibri" w:hAnsi="Times New Roman" w:cs="Times New Roman"/>
                <w:sz w:val="20"/>
                <w:szCs w:val="20"/>
              </w:rPr>
            </w:pPr>
            <w:r w:rsidRPr="00F40D25">
              <w:rPr>
                <w:rFonts w:ascii="Times New Roman" w:eastAsia="Calibri" w:hAnsi="Times New Roman" w:cs="Times New Roman"/>
                <w:sz w:val="20"/>
                <w:szCs w:val="20"/>
              </w:rPr>
              <w:t>3</w:t>
            </w:r>
          </w:p>
        </w:tc>
        <w:tc>
          <w:tcPr>
            <w:tcW w:w="2284" w:type="dxa"/>
            <w:hideMark/>
          </w:tcPr>
          <w:p w14:paraId="46BB07E5" w14:textId="75E88E26" w:rsidR="00F40D25" w:rsidRPr="00F40D25" w:rsidRDefault="00F40D25" w:rsidP="00F40D25">
            <w:pPr>
              <w:spacing w:line="360" w:lineRule="auto"/>
              <w:jc w:val="center"/>
              <w:rPr>
                <w:rFonts w:ascii="Times New Roman" w:eastAsia="Calibri" w:hAnsi="Times New Roman" w:cs="Times New Roman"/>
                <w:sz w:val="20"/>
                <w:szCs w:val="20"/>
              </w:rPr>
            </w:pPr>
            <w:r w:rsidRPr="00F40D25">
              <w:rPr>
                <w:rFonts w:ascii="Times New Roman" w:eastAsia="Calibri" w:hAnsi="Times New Roman" w:cs="Times New Roman"/>
                <w:sz w:val="20"/>
                <w:szCs w:val="20"/>
              </w:rPr>
              <w:t>2.33</w:t>
            </w:r>
            <w:r w:rsidRPr="00F40D25">
              <w:rPr>
                <w:rFonts w:ascii="Times New Roman" w:eastAsia="Calibri" w:hAnsi="Times New Roman" w:cs="Times New Roman"/>
                <w:sz w:val="20"/>
                <w:szCs w:val="20"/>
                <w:rtl/>
              </w:rPr>
              <w:t xml:space="preserve">- </w:t>
            </w:r>
            <w:r w:rsidRPr="00F40D25">
              <w:rPr>
                <w:rFonts w:ascii="Times New Roman" w:eastAsia="Calibri" w:hAnsi="Times New Roman" w:cs="Times New Roman"/>
                <w:sz w:val="20"/>
                <w:szCs w:val="20"/>
              </w:rPr>
              <w:t>1</w:t>
            </w:r>
          </w:p>
        </w:tc>
        <w:tc>
          <w:tcPr>
            <w:tcW w:w="2853" w:type="dxa"/>
            <w:hideMark/>
          </w:tcPr>
          <w:p w14:paraId="102AC5D8" w14:textId="573E9808" w:rsidR="00F40D25" w:rsidRPr="00F40D25" w:rsidRDefault="00F40D25" w:rsidP="00F40D25">
            <w:pPr>
              <w:spacing w:line="360" w:lineRule="auto"/>
              <w:jc w:val="center"/>
              <w:rPr>
                <w:rFonts w:ascii="Times New Roman" w:eastAsia="Calibri" w:hAnsi="Times New Roman" w:cs="Times New Roman"/>
                <w:sz w:val="20"/>
                <w:szCs w:val="20"/>
              </w:rPr>
            </w:pPr>
            <w:r w:rsidRPr="00F40D25">
              <w:rPr>
                <w:rFonts w:ascii="Times New Roman" w:eastAsia="Calibri" w:hAnsi="Times New Roman" w:cs="Times New Roman"/>
                <w:sz w:val="20"/>
                <w:szCs w:val="20"/>
              </w:rPr>
              <w:t>46.6%</w:t>
            </w:r>
            <w:r w:rsidRPr="00F40D25">
              <w:rPr>
                <w:rFonts w:ascii="Times New Roman" w:eastAsia="Calibri" w:hAnsi="Times New Roman" w:cs="Times New Roman"/>
                <w:sz w:val="20"/>
                <w:szCs w:val="20"/>
                <w:rtl/>
              </w:rPr>
              <w:t xml:space="preserve"> – </w:t>
            </w:r>
            <w:r w:rsidRPr="00F40D25">
              <w:rPr>
                <w:rFonts w:ascii="Times New Roman" w:eastAsia="Calibri" w:hAnsi="Times New Roman" w:cs="Times New Roman"/>
                <w:sz w:val="20"/>
                <w:szCs w:val="20"/>
              </w:rPr>
              <w:t>20%</w:t>
            </w:r>
          </w:p>
        </w:tc>
        <w:tc>
          <w:tcPr>
            <w:tcW w:w="2790" w:type="dxa"/>
            <w:hideMark/>
          </w:tcPr>
          <w:p w14:paraId="53F4A74A" w14:textId="175B5B4D" w:rsidR="00F40D25" w:rsidRPr="00F40D25" w:rsidRDefault="00F40D25" w:rsidP="00F40D25">
            <w:pPr>
              <w:spacing w:line="360" w:lineRule="auto"/>
              <w:jc w:val="center"/>
              <w:rPr>
                <w:rFonts w:ascii="Times New Roman" w:eastAsia="Calibri" w:hAnsi="Times New Roman" w:cs="Times New Roman"/>
                <w:sz w:val="20"/>
                <w:szCs w:val="20"/>
              </w:rPr>
            </w:pPr>
            <w:r w:rsidRPr="00F40D25">
              <w:rPr>
                <w:rFonts w:ascii="Times New Roman" w:eastAsia="Calibri" w:hAnsi="Times New Roman" w:cs="Times New Roman"/>
                <w:sz w:val="20"/>
                <w:szCs w:val="20"/>
              </w:rPr>
              <w:t>Low</w:t>
            </w:r>
          </w:p>
        </w:tc>
      </w:tr>
    </w:tbl>
    <w:p w14:paraId="25B7248B" w14:textId="7A64B908" w:rsidR="00F40D25" w:rsidRPr="00833A3A" w:rsidRDefault="00F40D25" w:rsidP="00833A3A">
      <w:pPr>
        <w:spacing w:before="240"/>
        <w:jc w:val="both"/>
        <w:rPr>
          <w:rFonts w:asciiTheme="majorHAnsi" w:hAnsiTheme="majorHAnsi" w:cstheme="majorHAnsi"/>
          <w:sz w:val="22"/>
          <w:szCs w:val="22"/>
        </w:rPr>
      </w:pPr>
      <w:r w:rsidRPr="00833A3A">
        <w:rPr>
          <w:rFonts w:asciiTheme="majorHAnsi" w:hAnsiTheme="majorHAnsi" w:cstheme="majorHAnsi"/>
          <w:sz w:val="22"/>
          <w:szCs w:val="22"/>
        </w:rPr>
        <w:t>The data were analyzed via descriptive statistics, including means, relative means, standard deviations, percentages, and hypothetical means (highest theoretical score + lowest theoretical score/2) for each dimension of the scale, as well as for the scale as a whole. Additionally, inferential statistics were utilized, with one-way ANOVA used to verify the effect of alexithymia  on metacognitive thinking skills among university students. This analysis was conducted via the Statistical Package for Service Solutions (SPSS version 26.0). The Scheffe test was used for multiple comparisons between the means of the scores for high, medium, and low alexithymia to determine the extent and direction of these differences.</w:t>
      </w:r>
    </w:p>
    <w:p w14:paraId="5A77B3DF" w14:textId="5D26400E" w:rsidR="00226D86" w:rsidRPr="00833A3A" w:rsidRDefault="00CF5078" w:rsidP="00833A3A">
      <w:pPr>
        <w:widowControl w:val="0"/>
        <w:autoSpaceDE w:val="0"/>
        <w:autoSpaceDN w:val="0"/>
        <w:adjustRightInd w:val="0"/>
        <w:spacing w:before="120" w:after="240" w:line="276" w:lineRule="auto"/>
        <w:jc w:val="both"/>
        <w:rPr>
          <w:rFonts w:asciiTheme="majorHAnsi" w:eastAsia="Times New Roman" w:hAnsiTheme="majorHAnsi" w:cstheme="majorHAnsi"/>
          <w:b/>
          <w:sz w:val="28"/>
          <w:szCs w:val="28"/>
          <w:lang w:val="cs-CZ" w:eastAsia="cs-CZ"/>
        </w:rPr>
      </w:pPr>
      <w:r w:rsidRPr="00833A3A">
        <w:rPr>
          <w:rFonts w:asciiTheme="majorHAnsi" w:eastAsia="Times New Roman" w:hAnsiTheme="majorHAnsi" w:cstheme="majorHAnsi"/>
          <w:b/>
          <w:sz w:val="28"/>
          <w:szCs w:val="28"/>
          <w:lang w:val="cs-CZ" w:eastAsia="cs-CZ"/>
        </w:rPr>
        <w:t>Results</w:t>
      </w:r>
      <w:r w:rsidR="00BC4346" w:rsidRPr="00833A3A">
        <w:rPr>
          <w:rFonts w:asciiTheme="majorHAnsi" w:eastAsia="Times New Roman" w:hAnsiTheme="majorHAnsi" w:cstheme="majorHAnsi"/>
          <w:b/>
          <w:sz w:val="28"/>
          <w:szCs w:val="28"/>
          <w:lang w:val="cs-CZ" w:eastAsia="cs-CZ"/>
        </w:rPr>
        <w:t xml:space="preserve"> </w:t>
      </w:r>
    </w:p>
    <w:p w14:paraId="241E2B80" w14:textId="1F744EE0" w:rsidR="00F40D25" w:rsidRPr="00833A3A" w:rsidRDefault="00F40D25" w:rsidP="00833A3A">
      <w:pPr>
        <w:widowControl w:val="0"/>
        <w:autoSpaceDE w:val="0"/>
        <w:autoSpaceDN w:val="0"/>
        <w:adjustRightInd w:val="0"/>
        <w:spacing w:before="120" w:after="240" w:line="276" w:lineRule="auto"/>
        <w:jc w:val="both"/>
        <w:rPr>
          <w:rFonts w:asciiTheme="majorHAnsi" w:eastAsia="Times New Roman" w:hAnsiTheme="majorHAnsi" w:cstheme="majorHAnsi"/>
          <w:b/>
          <w:sz w:val="28"/>
          <w:szCs w:val="28"/>
          <w:lang w:val="cs-CZ" w:eastAsia="cs-CZ"/>
        </w:rPr>
      </w:pPr>
      <w:r w:rsidRPr="00833A3A">
        <w:rPr>
          <w:rFonts w:asciiTheme="majorHAnsi" w:eastAsia="Times New Roman" w:hAnsiTheme="majorHAnsi" w:cstheme="majorHAnsi"/>
          <w:b/>
          <w:sz w:val="28"/>
          <w:szCs w:val="28"/>
          <w:lang w:val="cs-CZ" w:eastAsia="cs-CZ"/>
        </w:rPr>
        <w:t>Levels of alexithymia prevalence among university students:</w:t>
      </w:r>
    </w:p>
    <w:p w14:paraId="34779F2C" w14:textId="1EC33DDD" w:rsidR="00F40D25" w:rsidRPr="00833A3A" w:rsidRDefault="00F40D25" w:rsidP="009C475C">
      <w:pPr>
        <w:spacing w:before="240"/>
        <w:jc w:val="both"/>
        <w:rPr>
          <w:rFonts w:asciiTheme="majorHAnsi" w:hAnsiTheme="majorHAnsi" w:cstheme="majorHAnsi"/>
          <w:sz w:val="22"/>
          <w:szCs w:val="22"/>
          <w:rtl/>
        </w:rPr>
      </w:pPr>
      <w:r w:rsidRPr="00833A3A">
        <w:rPr>
          <w:rFonts w:asciiTheme="majorHAnsi" w:hAnsiTheme="majorHAnsi" w:cstheme="majorHAnsi"/>
          <w:sz w:val="22"/>
          <w:szCs w:val="22"/>
        </w:rPr>
        <w:t>To determine the prevalence levels of alexithymia and its dimensions among university students, Table (3) was used, and the data for each level were analyzed via descriptive statistics, means and relative means, standard deviations, and percentages, as shown in Table (4).</w:t>
      </w:r>
    </w:p>
    <w:p w14:paraId="6C22345F" w14:textId="0DAED469" w:rsidR="00F40D25" w:rsidRPr="00833A3A" w:rsidRDefault="00F40D25" w:rsidP="00833A3A">
      <w:pPr>
        <w:tabs>
          <w:tab w:val="left" w:pos="9355"/>
        </w:tabs>
        <w:spacing w:before="240" w:after="120"/>
        <w:jc w:val="center"/>
        <w:rPr>
          <w:rFonts w:asciiTheme="majorHAnsi" w:hAnsiTheme="majorHAnsi" w:cstheme="majorHAnsi"/>
          <w:color w:val="000000" w:themeColor="text1"/>
          <w:sz w:val="22"/>
          <w:szCs w:val="22"/>
        </w:rPr>
      </w:pPr>
      <w:r w:rsidRPr="00833A3A">
        <w:rPr>
          <w:rFonts w:asciiTheme="majorHAnsi" w:hAnsiTheme="majorHAnsi" w:cstheme="majorHAnsi"/>
          <w:color w:val="000000" w:themeColor="text1"/>
          <w:sz w:val="22"/>
          <w:szCs w:val="22"/>
        </w:rPr>
        <w:t xml:space="preserve">Table 3.  The </w:t>
      </w:r>
      <w:r w:rsidR="00A36E39" w:rsidRPr="00833A3A">
        <w:rPr>
          <w:rFonts w:asciiTheme="majorHAnsi" w:hAnsiTheme="majorHAnsi" w:cstheme="majorHAnsi"/>
          <w:color w:val="000000" w:themeColor="text1"/>
          <w:sz w:val="22"/>
          <w:szCs w:val="22"/>
        </w:rPr>
        <w:t xml:space="preserve">Prevalence </w:t>
      </w:r>
      <w:r w:rsidRPr="00833A3A">
        <w:rPr>
          <w:rFonts w:asciiTheme="majorHAnsi" w:hAnsiTheme="majorHAnsi" w:cstheme="majorHAnsi"/>
          <w:color w:val="000000" w:themeColor="text1"/>
          <w:sz w:val="22"/>
          <w:szCs w:val="22"/>
        </w:rPr>
        <w:t xml:space="preserve">of </w:t>
      </w:r>
      <w:r w:rsidR="00A36E39" w:rsidRPr="00833A3A">
        <w:rPr>
          <w:rFonts w:asciiTheme="majorHAnsi" w:hAnsiTheme="majorHAnsi" w:cstheme="majorHAnsi"/>
          <w:color w:val="000000" w:themeColor="text1"/>
          <w:sz w:val="22"/>
          <w:szCs w:val="22"/>
        </w:rPr>
        <w:t xml:space="preserve">Alexithymia </w:t>
      </w:r>
      <w:r w:rsidRPr="00833A3A">
        <w:rPr>
          <w:rFonts w:asciiTheme="majorHAnsi" w:hAnsiTheme="majorHAnsi" w:cstheme="majorHAnsi"/>
          <w:color w:val="000000" w:themeColor="text1"/>
          <w:sz w:val="22"/>
          <w:szCs w:val="22"/>
        </w:rPr>
        <w:t xml:space="preserve">in the </w:t>
      </w:r>
      <w:r w:rsidR="00A36E39" w:rsidRPr="00833A3A">
        <w:rPr>
          <w:rFonts w:asciiTheme="majorHAnsi" w:hAnsiTheme="majorHAnsi" w:cstheme="majorHAnsi"/>
          <w:color w:val="000000" w:themeColor="text1"/>
          <w:sz w:val="22"/>
          <w:szCs w:val="22"/>
        </w:rPr>
        <w:t xml:space="preserve">Research Sample </w:t>
      </w:r>
      <w:r w:rsidRPr="00833A3A">
        <w:rPr>
          <w:rFonts w:asciiTheme="majorHAnsi" w:hAnsiTheme="majorHAnsi" w:cstheme="majorHAnsi"/>
          <w:color w:val="000000" w:themeColor="text1"/>
          <w:sz w:val="22"/>
          <w:szCs w:val="22"/>
        </w:rPr>
        <w:t>(N=120)</w:t>
      </w:r>
    </w:p>
    <w:tbl>
      <w:tblPr>
        <w:tblStyle w:val="10"/>
        <w:bidiVisual/>
        <w:tblW w:w="9000" w:type="dxa"/>
        <w:tblInd w:w="738" w:type="dxa"/>
        <w:tblLayout w:type="fixed"/>
        <w:tblLook w:val="04A0" w:firstRow="1" w:lastRow="0" w:firstColumn="1" w:lastColumn="0" w:noHBand="0" w:noVBand="1"/>
      </w:tblPr>
      <w:tblGrid>
        <w:gridCol w:w="630"/>
        <w:gridCol w:w="1080"/>
        <w:gridCol w:w="900"/>
        <w:gridCol w:w="810"/>
        <w:gridCol w:w="900"/>
        <w:gridCol w:w="540"/>
        <w:gridCol w:w="900"/>
        <w:gridCol w:w="540"/>
        <w:gridCol w:w="810"/>
        <w:gridCol w:w="540"/>
        <w:gridCol w:w="1350"/>
      </w:tblGrid>
      <w:tr w:rsidR="00F40D25" w:rsidRPr="00F40D25" w14:paraId="431AB9BF" w14:textId="2EED17F7" w:rsidTr="00C30768">
        <w:tc>
          <w:tcPr>
            <w:tcW w:w="630" w:type="dxa"/>
            <w:vMerge w:val="restart"/>
            <w:tcBorders>
              <w:left w:val="nil"/>
              <w:bottom w:val="single" w:sz="4" w:space="0" w:color="auto"/>
              <w:right w:val="nil"/>
            </w:tcBorders>
          </w:tcPr>
          <w:p w14:paraId="77401519" w14:textId="27C46311" w:rsidR="00F40D25" w:rsidRPr="00F40D25" w:rsidRDefault="00F40D25" w:rsidP="00F40D25">
            <w:pPr>
              <w:spacing w:line="276" w:lineRule="auto"/>
              <w:jc w:val="center"/>
              <w:rPr>
                <w:rFonts w:ascii="Times New Roman" w:hAnsi="Times New Roman" w:cs="Times New Roman"/>
                <w:b/>
                <w:bCs/>
                <w:sz w:val="20"/>
                <w:szCs w:val="20"/>
                <w:rtl/>
              </w:rPr>
            </w:pPr>
            <w:r w:rsidRPr="00F40D25">
              <w:rPr>
                <w:rFonts w:ascii="Times New Roman" w:hAnsi="Times New Roman" w:cs="Times New Roman"/>
                <w:b/>
                <w:bCs/>
                <w:sz w:val="20"/>
                <w:szCs w:val="20"/>
              </w:rPr>
              <w:t>rank</w:t>
            </w:r>
          </w:p>
        </w:tc>
        <w:tc>
          <w:tcPr>
            <w:tcW w:w="1080" w:type="dxa"/>
            <w:vMerge w:val="restart"/>
            <w:tcBorders>
              <w:left w:val="nil"/>
              <w:bottom w:val="single" w:sz="4" w:space="0" w:color="auto"/>
              <w:right w:val="nil"/>
            </w:tcBorders>
          </w:tcPr>
          <w:p w14:paraId="70765232" w14:textId="4AD8E239" w:rsidR="00F40D25" w:rsidRPr="00F40D25" w:rsidRDefault="00F40D25" w:rsidP="00F40D25">
            <w:pPr>
              <w:spacing w:line="276" w:lineRule="auto"/>
              <w:jc w:val="center"/>
              <w:rPr>
                <w:rFonts w:ascii="Times New Roman" w:hAnsi="Times New Roman" w:cs="Times New Roman"/>
                <w:b/>
                <w:bCs/>
                <w:sz w:val="20"/>
                <w:szCs w:val="20"/>
                <w:rtl/>
              </w:rPr>
            </w:pPr>
            <w:r w:rsidRPr="00F40D25">
              <w:rPr>
                <w:rFonts w:ascii="Times New Roman" w:hAnsi="Times New Roman" w:cs="Times New Roman"/>
                <w:b/>
                <w:bCs/>
                <w:sz w:val="20"/>
                <w:szCs w:val="20"/>
              </w:rPr>
              <w:t>standard deviation</w:t>
            </w:r>
          </w:p>
        </w:tc>
        <w:tc>
          <w:tcPr>
            <w:tcW w:w="900" w:type="dxa"/>
            <w:vMerge w:val="restart"/>
            <w:tcBorders>
              <w:left w:val="nil"/>
              <w:bottom w:val="single" w:sz="4" w:space="0" w:color="auto"/>
              <w:right w:val="nil"/>
            </w:tcBorders>
          </w:tcPr>
          <w:p w14:paraId="063C3A95" w14:textId="1E250694" w:rsidR="00F40D25" w:rsidRPr="00F40D25" w:rsidRDefault="00F40D25" w:rsidP="00F40D25">
            <w:pPr>
              <w:spacing w:line="276" w:lineRule="auto"/>
              <w:jc w:val="center"/>
              <w:rPr>
                <w:rFonts w:ascii="Times New Roman" w:hAnsi="Times New Roman" w:cs="Times New Roman"/>
                <w:b/>
                <w:bCs/>
                <w:sz w:val="20"/>
                <w:szCs w:val="20"/>
                <w:rtl/>
              </w:rPr>
            </w:pPr>
            <w:r w:rsidRPr="00F40D25">
              <w:rPr>
                <w:rFonts w:ascii="Times New Roman" w:hAnsi="Times New Roman" w:cs="Times New Roman"/>
                <w:b/>
                <w:bCs/>
                <w:sz w:val="20"/>
                <w:szCs w:val="20"/>
              </w:rPr>
              <w:t>relative mean</w:t>
            </w:r>
          </w:p>
        </w:tc>
        <w:tc>
          <w:tcPr>
            <w:tcW w:w="810" w:type="dxa"/>
            <w:vMerge w:val="restart"/>
            <w:tcBorders>
              <w:left w:val="nil"/>
              <w:bottom w:val="nil"/>
              <w:right w:val="nil"/>
            </w:tcBorders>
          </w:tcPr>
          <w:p w14:paraId="4FA027B1" w14:textId="225664C7" w:rsidR="00F40D25" w:rsidRPr="00F40D25" w:rsidRDefault="00F40D25" w:rsidP="00F40D25">
            <w:pPr>
              <w:spacing w:line="276" w:lineRule="auto"/>
              <w:jc w:val="center"/>
              <w:rPr>
                <w:rFonts w:ascii="Times New Roman" w:hAnsi="Times New Roman" w:cs="Times New Roman"/>
                <w:b/>
                <w:bCs/>
                <w:sz w:val="20"/>
                <w:szCs w:val="20"/>
                <w:rtl/>
              </w:rPr>
            </w:pPr>
            <w:r w:rsidRPr="00F40D25">
              <w:rPr>
                <w:rFonts w:ascii="Times New Roman" w:hAnsi="Times New Roman" w:cs="Times New Roman"/>
                <w:b/>
                <w:bCs/>
                <w:sz w:val="20"/>
                <w:szCs w:val="20"/>
              </w:rPr>
              <w:t>mean</w:t>
            </w:r>
          </w:p>
        </w:tc>
        <w:tc>
          <w:tcPr>
            <w:tcW w:w="4230" w:type="dxa"/>
            <w:gridSpan w:val="6"/>
            <w:tcBorders>
              <w:left w:val="nil"/>
              <w:bottom w:val="single" w:sz="4" w:space="0" w:color="auto"/>
              <w:right w:val="nil"/>
            </w:tcBorders>
          </w:tcPr>
          <w:p w14:paraId="4E1F88AB" w14:textId="2758BA52" w:rsidR="00F40D25" w:rsidRPr="00F40D25" w:rsidRDefault="00F40D25" w:rsidP="00F40D25">
            <w:pPr>
              <w:spacing w:line="276" w:lineRule="auto"/>
              <w:jc w:val="center"/>
              <w:rPr>
                <w:rFonts w:ascii="Times New Roman" w:hAnsi="Times New Roman" w:cs="Times New Roman"/>
                <w:b/>
                <w:bCs/>
                <w:sz w:val="20"/>
                <w:szCs w:val="20"/>
                <w:rtl/>
              </w:rPr>
            </w:pPr>
            <w:r w:rsidRPr="00F40D25">
              <w:rPr>
                <w:rFonts w:ascii="Times New Roman" w:hAnsi="Times New Roman" w:cs="Times New Roman"/>
                <w:b/>
                <w:bCs/>
                <w:sz w:val="20"/>
                <w:szCs w:val="20"/>
              </w:rPr>
              <w:t>Level</w:t>
            </w:r>
          </w:p>
        </w:tc>
        <w:tc>
          <w:tcPr>
            <w:tcW w:w="1350" w:type="dxa"/>
            <w:vMerge w:val="restart"/>
            <w:tcBorders>
              <w:left w:val="nil"/>
              <w:bottom w:val="nil"/>
              <w:right w:val="nil"/>
            </w:tcBorders>
          </w:tcPr>
          <w:p w14:paraId="2ACADA05" w14:textId="57B752B7" w:rsidR="00F40D25" w:rsidRPr="00F40D25" w:rsidRDefault="00F40D25" w:rsidP="00F40D25">
            <w:pPr>
              <w:jc w:val="center"/>
              <w:rPr>
                <w:rFonts w:ascii="Times New Roman" w:hAnsi="Times New Roman" w:cs="Times New Roman"/>
                <w:b/>
                <w:bCs/>
                <w:sz w:val="20"/>
                <w:szCs w:val="20"/>
                <w:rtl/>
              </w:rPr>
            </w:pPr>
            <w:r w:rsidRPr="00F40D25">
              <w:rPr>
                <w:rFonts w:ascii="Times New Roman" w:hAnsi="Times New Roman" w:cs="Times New Roman"/>
                <w:b/>
                <w:bCs/>
                <w:sz w:val="20"/>
                <w:szCs w:val="20"/>
              </w:rPr>
              <w:t>Alexithymia Dimensions</w:t>
            </w:r>
          </w:p>
        </w:tc>
      </w:tr>
      <w:tr w:rsidR="00F40D25" w:rsidRPr="00F40D25" w14:paraId="3D4D2065" w14:textId="38377818" w:rsidTr="00C30768">
        <w:tc>
          <w:tcPr>
            <w:tcW w:w="630" w:type="dxa"/>
            <w:vMerge/>
            <w:tcBorders>
              <w:top w:val="nil"/>
              <w:left w:val="nil"/>
              <w:bottom w:val="single" w:sz="4" w:space="0" w:color="auto"/>
              <w:right w:val="nil"/>
            </w:tcBorders>
          </w:tcPr>
          <w:p w14:paraId="7354BC9C" w14:textId="58BD1E45" w:rsidR="00F40D25" w:rsidRPr="00F40D25" w:rsidRDefault="00F40D25" w:rsidP="00F40D25">
            <w:pPr>
              <w:bidi/>
              <w:spacing w:line="276" w:lineRule="auto"/>
              <w:jc w:val="both"/>
              <w:rPr>
                <w:rFonts w:ascii="Times New Roman" w:hAnsi="Times New Roman" w:cs="Traditional Arabic"/>
                <w:sz w:val="28"/>
                <w:szCs w:val="28"/>
                <w:rtl/>
                <w:lang w:bidi="ar-EG"/>
              </w:rPr>
            </w:pPr>
          </w:p>
        </w:tc>
        <w:tc>
          <w:tcPr>
            <w:tcW w:w="1080" w:type="dxa"/>
            <w:vMerge/>
            <w:tcBorders>
              <w:top w:val="nil"/>
              <w:left w:val="nil"/>
              <w:bottom w:val="single" w:sz="4" w:space="0" w:color="auto"/>
              <w:right w:val="nil"/>
            </w:tcBorders>
          </w:tcPr>
          <w:p w14:paraId="14D49FEA" w14:textId="6A3F181A" w:rsidR="00F40D25" w:rsidRPr="00F40D25" w:rsidRDefault="00F40D25" w:rsidP="00F40D25">
            <w:pPr>
              <w:bidi/>
              <w:spacing w:line="276" w:lineRule="auto"/>
              <w:jc w:val="both"/>
              <w:rPr>
                <w:rFonts w:ascii="Times New Roman" w:hAnsi="Times New Roman" w:cs="Traditional Arabic"/>
                <w:sz w:val="28"/>
                <w:szCs w:val="28"/>
                <w:rtl/>
                <w:lang w:bidi="ar-EG"/>
              </w:rPr>
            </w:pPr>
          </w:p>
        </w:tc>
        <w:tc>
          <w:tcPr>
            <w:tcW w:w="900" w:type="dxa"/>
            <w:vMerge/>
            <w:tcBorders>
              <w:top w:val="nil"/>
              <w:left w:val="nil"/>
              <w:bottom w:val="single" w:sz="4" w:space="0" w:color="auto"/>
              <w:right w:val="nil"/>
            </w:tcBorders>
          </w:tcPr>
          <w:p w14:paraId="3C079592" w14:textId="118C91E3" w:rsidR="00F40D25" w:rsidRPr="00F40D25" w:rsidRDefault="00F40D25" w:rsidP="00F40D25">
            <w:pPr>
              <w:bidi/>
              <w:spacing w:line="276" w:lineRule="auto"/>
              <w:jc w:val="both"/>
              <w:rPr>
                <w:rFonts w:ascii="Times New Roman" w:hAnsi="Times New Roman" w:cs="Traditional Arabic"/>
                <w:sz w:val="28"/>
                <w:szCs w:val="28"/>
                <w:rtl/>
                <w:lang w:bidi="ar-EG"/>
              </w:rPr>
            </w:pPr>
          </w:p>
        </w:tc>
        <w:tc>
          <w:tcPr>
            <w:tcW w:w="810" w:type="dxa"/>
            <w:vMerge/>
            <w:tcBorders>
              <w:top w:val="nil"/>
              <w:left w:val="nil"/>
              <w:bottom w:val="nil"/>
              <w:right w:val="nil"/>
            </w:tcBorders>
          </w:tcPr>
          <w:p w14:paraId="0A01D969" w14:textId="58C56F48" w:rsidR="00F40D25" w:rsidRPr="00F40D25" w:rsidRDefault="00F40D25" w:rsidP="00F40D25">
            <w:pPr>
              <w:bidi/>
              <w:spacing w:line="276" w:lineRule="auto"/>
              <w:jc w:val="both"/>
              <w:rPr>
                <w:rFonts w:ascii="Times New Roman" w:hAnsi="Times New Roman" w:cs="Traditional Arabic"/>
                <w:sz w:val="28"/>
                <w:szCs w:val="28"/>
                <w:rtl/>
                <w:lang w:bidi="ar-EG"/>
              </w:rPr>
            </w:pPr>
          </w:p>
        </w:tc>
        <w:tc>
          <w:tcPr>
            <w:tcW w:w="1440" w:type="dxa"/>
            <w:gridSpan w:val="2"/>
            <w:tcBorders>
              <w:top w:val="single" w:sz="4" w:space="0" w:color="auto"/>
              <w:left w:val="nil"/>
              <w:bottom w:val="single" w:sz="4" w:space="0" w:color="auto"/>
              <w:right w:val="nil"/>
            </w:tcBorders>
          </w:tcPr>
          <w:p w14:paraId="03FE3CAF" w14:textId="3B1AD002" w:rsidR="00F40D25" w:rsidRPr="00F40D25" w:rsidRDefault="00F40D25" w:rsidP="00F40D25">
            <w:pPr>
              <w:spacing w:line="276" w:lineRule="auto"/>
              <w:jc w:val="center"/>
              <w:rPr>
                <w:rFonts w:ascii="Times New Roman" w:hAnsi="Times New Roman" w:cs="Times New Roman"/>
                <w:b/>
                <w:bCs/>
                <w:sz w:val="20"/>
                <w:szCs w:val="20"/>
                <w:rtl/>
              </w:rPr>
            </w:pPr>
            <w:r w:rsidRPr="00F40D25">
              <w:rPr>
                <w:rFonts w:ascii="Times New Roman" w:hAnsi="Times New Roman" w:cs="Times New Roman"/>
                <w:b/>
                <w:bCs/>
                <w:sz w:val="20"/>
                <w:szCs w:val="20"/>
              </w:rPr>
              <w:t>High</w:t>
            </w:r>
          </w:p>
        </w:tc>
        <w:tc>
          <w:tcPr>
            <w:tcW w:w="1440" w:type="dxa"/>
            <w:gridSpan w:val="2"/>
            <w:tcBorders>
              <w:top w:val="single" w:sz="4" w:space="0" w:color="auto"/>
              <w:left w:val="nil"/>
              <w:bottom w:val="single" w:sz="4" w:space="0" w:color="auto"/>
              <w:right w:val="nil"/>
            </w:tcBorders>
          </w:tcPr>
          <w:p w14:paraId="4B6AA724" w14:textId="466CC760" w:rsidR="00F40D25" w:rsidRPr="00F40D25" w:rsidRDefault="00F40D25" w:rsidP="00F40D25">
            <w:pPr>
              <w:spacing w:line="276" w:lineRule="auto"/>
              <w:jc w:val="center"/>
              <w:rPr>
                <w:rFonts w:ascii="Times New Roman" w:hAnsi="Times New Roman" w:cs="Times New Roman"/>
                <w:b/>
                <w:bCs/>
                <w:sz w:val="20"/>
                <w:szCs w:val="20"/>
                <w:rtl/>
              </w:rPr>
            </w:pPr>
            <w:r w:rsidRPr="00F40D25">
              <w:rPr>
                <w:rFonts w:ascii="Times New Roman" w:hAnsi="Times New Roman" w:cs="Times New Roman"/>
                <w:b/>
                <w:bCs/>
                <w:sz w:val="20"/>
                <w:szCs w:val="20"/>
              </w:rPr>
              <w:t>Medium</w:t>
            </w:r>
          </w:p>
        </w:tc>
        <w:tc>
          <w:tcPr>
            <w:tcW w:w="1350" w:type="dxa"/>
            <w:gridSpan w:val="2"/>
            <w:tcBorders>
              <w:top w:val="single" w:sz="4" w:space="0" w:color="auto"/>
              <w:left w:val="nil"/>
              <w:bottom w:val="single" w:sz="4" w:space="0" w:color="auto"/>
              <w:right w:val="nil"/>
            </w:tcBorders>
          </w:tcPr>
          <w:p w14:paraId="559AF84D" w14:textId="0F824919" w:rsidR="00F40D25" w:rsidRPr="00F40D25" w:rsidRDefault="00F40D25" w:rsidP="00F40D25">
            <w:pPr>
              <w:spacing w:line="276" w:lineRule="auto"/>
              <w:jc w:val="center"/>
              <w:rPr>
                <w:rFonts w:ascii="Times New Roman" w:hAnsi="Times New Roman" w:cs="Times New Roman"/>
                <w:b/>
                <w:bCs/>
                <w:sz w:val="20"/>
                <w:szCs w:val="20"/>
                <w:rtl/>
              </w:rPr>
            </w:pPr>
            <w:r w:rsidRPr="00F40D25">
              <w:rPr>
                <w:rFonts w:ascii="Times New Roman" w:hAnsi="Times New Roman" w:cs="Times New Roman"/>
                <w:b/>
                <w:bCs/>
                <w:sz w:val="20"/>
                <w:szCs w:val="20"/>
              </w:rPr>
              <w:t>Low</w:t>
            </w:r>
          </w:p>
        </w:tc>
        <w:tc>
          <w:tcPr>
            <w:tcW w:w="1350" w:type="dxa"/>
            <w:vMerge/>
            <w:tcBorders>
              <w:top w:val="nil"/>
              <w:left w:val="nil"/>
              <w:bottom w:val="nil"/>
              <w:right w:val="nil"/>
            </w:tcBorders>
          </w:tcPr>
          <w:p w14:paraId="35349537" w14:textId="143B0B91" w:rsidR="00F40D25" w:rsidRPr="00F40D25" w:rsidRDefault="00F40D25" w:rsidP="00F40D25">
            <w:pPr>
              <w:bidi/>
              <w:jc w:val="center"/>
              <w:rPr>
                <w:rFonts w:ascii="Traditional Arabic" w:eastAsia="Times New Roman" w:hAnsi="Traditional Arabic" w:cs="Traditional Arabic"/>
                <w:b/>
                <w:bCs/>
                <w:sz w:val="20"/>
                <w:szCs w:val="20"/>
                <w:rtl/>
              </w:rPr>
            </w:pPr>
          </w:p>
        </w:tc>
      </w:tr>
      <w:tr w:rsidR="00F40D25" w:rsidRPr="00F40D25" w14:paraId="62F9A3CB" w14:textId="3DDDE5DC" w:rsidTr="00C30768">
        <w:tc>
          <w:tcPr>
            <w:tcW w:w="630" w:type="dxa"/>
            <w:vMerge/>
            <w:tcBorders>
              <w:top w:val="nil"/>
              <w:left w:val="nil"/>
              <w:bottom w:val="single" w:sz="4" w:space="0" w:color="auto"/>
              <w:right w:val="nil"/>
            </w:tcBorders>
          </w:tcPr>
          <w:p w14:paraId="52E08C1F" w14:textId="4306EFF5" w:rsidR="00F40D25" w:rsidRPr="00F40D25" w:rsidRDefault="00F40D25" w:rsidP="00F40D25">
            <w:pPr>
              <w:bidi/>
              <w:spacing w:line="276" w:lineRule="auto"/>
              <w:jc w:val="both"/>
              <w:rPr>
                <w:rFonts w:ascii="Times New Roman" w:hAnsi="Times New Roman" w:cs="Traditional Arabic"/>
                <w:sz w:val="28"/>
                <w:szCs w:val="28"/>
                <w:rtl/>
                <w:lang w:bidi="ar-EG"/>
              </w:rPr>
            </w:pPr>
          </w:p>
        </w:tc>
        <w:tc>
          <w:tcPr>
            <w:tcW w:w="1080" w:type="dxa"/>
            <w:vMerge/>
            <w:tcBorders>
              <w:top w:val="nil"/>
              <w:left w:val="nil"/>
              <w:bottom w:val="single" w:sz="4" w:space="0" w:color="auto"/>
              <w:right w:val="nil"/>
            </w:tcBorders>
          </w:tcPr>
          <w:p w14:paraId="0B6C5B67" w14:textId="7C306F87" w:rsidR="00F40D25" w:rsidRPr="00F40D25" w:rsidRDefault="00F40D25" w:rsidP="00F40D25">
            <w:pPr>
              <w:bidi/>
              <w:spacing w:line="276" w:lineRule="auto"/>
              <w:jc w:val="both"/>
              <w:rPr>
                <w:rFonts w:ascii="Times New Roman" w:hAnsi="Times New Roman" w:cs="Traditional Arabic"/>
                <w:b/>
                <w:bCs/>
                <w:sz w:val="20"/>
                <w:szCs w:val="20"/>
                <w:rtl/>
                <w:lang w:bidi="ar-EG"/>
              </w:rPr>
            </w:pPr>
          </w:p>
        </w:tc>
        <w:tc>
          <w:tcPr>
            <w:tcW w:w="900" w:type="dxa"/>
            <w:vMerge/>
            <w:tcBorders>
              <w:top w:val="nil"/>
              <w:left w:val="nil"/>
              <w:bottom w:val="single" w:sz="4" w:space="0" w:color="auto"/>
              <w:right w:val="nil"/>
            </w:tcBorders>
          </w:tcPr>
          <w:p w14:paraId="56FB4599" w14:textId="693392F7" w:rsidR="00F40D25" w:rsidRPr="00F40D25" w:rsidRDefault="00F40D25" w:rsidP="00F40D25">
            <w:pPr>
              <w:bidi/>
              <w:spacing w:line="276" w:lineRule="auto"/>
              <w:jc w:val="both"/>
              <w:rPr>
                <w:rFonts w:ascii="Times New Roman" w:hAnsi="Times New Roman" w:cs="Traditional Arabic"/>
                <w:b/>
                <w:bCs/>
                <w:sz w:val="20"/>
                <w:szCs w:val="20"/>
                <w:rtl/>
                <w:lang w:bidi="ar-EG"/>
              </w:rPr>
            </w:pPr>
          </w:p>
        </w:tc>
        <w:tc>
          <w:tcPr>
            <w:tcW w:w="810" w:type="dxa"/>
            <w:vMerge/>
            <w:tcBorders>
              <w:top w:val="nil"/>
              <w:left w:val="nil"/>
              <w:bottom w:val="single" w:sz="4" w:space="0" w:color="auto"/>
              <w:right w:val="nil"/>
            </w:tcBorders>
          </w:tcPr>
          <w:p w14:paraId="00A9EDDB" w14:textId="7A99F08F" w:rsidR="00F40D25" w:rsidRPr="00F40D25" w:rsidRDefault="00F40D25" w:rsidP="00F40D25">
            <w:pPr>
              <w:bidi/>
              <w:spacing w:line="276" w:lineRule="auto"/>
              <w:jc w:val="both"/>
              <w:rPr>
                <w:rFonts w:ascii="Times New Roman" w:hAnsi="Times New Roman" w:cs="Traditional Arabic"/>
                <w:b/>
                <w:bCs/>
                <w:sz w:val="20"/>
                <w:szCs w:val="20"/>
                <w:rtl/>
                <w:lang w:bidi="ar-EG"/>
              </w:rPr>
            </w:pPr>
          </w:p>
        </w:tc>
        <w:tc>
          <w:tcPr>
            <w:tcW w:w="900" w:type="dxa"/>
            <w:tcBorders>
              <w:top w:val="single" w:sz="4" w:space="0" w:color="auto"/>
              <w:left w:val="nil"/>
              <w:bottom w:val="single" w:sz="4" w:space="0" w:color="auto"/>
              <w:right w:val="nil"/>
            </w:tcBorders>
          </w:tcPr>
          <w:p w14:paraId="121693EC" w14:textId="0991CB8A" w:rsidR="00F40D25" w:rsidRPr="00F40D25" w:rsidRDefault="00F40D25" w:rsidP="00F40D25">
            <w:pPr>
              <w:spacing w:line="276" w:lineRule="auto"/>
              <w:jc w:val="center"/>
              <w:rPr>
                <w:rFonts w:ascii="Times New Roman" w:hAnsi="Times New Roman" w:cs="Times New Roman"/>
                <w:b/>
                <w:bCs/>
                <w:sz w:val="20"/>
                <w:szCs w:val="20"/>
                <w:rtl/>
              </w:rPr>
            </w:pPr>
            <w:r w:rsidRPr="00F40D25">
              <w:rPr>
                <w:rFonts w:ascii="Times New Roman" w:hAnsi="Times New Roman" w:cs="Times New Roman"/>
                <w:b/>
                <w:bCs/>
                <w:sz w:val="20"/>
                <w:szCs w:val="20"/>
              </w:rPr>
              <w:t>%</w:t>
            </w:r>
          </w:p>
        </w:tc>
        <w:tc>
          <w:tcPr>
            <w:tcW w:w="540" w:type="dxa"/>
            <w:tcBorders>
              <w:top w:val="single" w:sz="4" w:space="0" w:color="auto"/>
              <w:left w:val="nil"/>
              <w:bottom w:val="single" w:sz="4" w:space="0" w:color="auto"/>
              <w:right w:val="nil"/>
            </w:tcBorders>
          </w:tcPr>
          <w:p w14:paraId="07358268" w14:textId="075AC2D4" w:rsidR="00F40D25" w:rsidRPr="00F40D25" w:rsidRDefault="00F40D25" w:rsidP="00F40D25">
            <w:pPr>
              <w:spacing w:line="276" w:lineRule="auto"/>
              <w:jc w:val="center"/>
              <w:rPr>
                <w:rFonts w:ascii="Times New Roman" w:hAnsi="Times New Roman" w:cs="Times New Roman"/>
                <w:b/>
                <w:bCs/>
                <w:sz w:val="20"/>
                <w:szCs w:val="20"/>
                <w:rtl/>
              </w:rPr>
            </w:pPr>
            <w:r w:rsidRPr="00F40D25">
              <w:rPr>
                <w:rFonts w:ascii="Times New Roman" w:hAnsi="Times New Roman" w:cs="Times New Roman"/>
                <w:b/>
                <w:bCs/>
                <w:sz w:val="20"/>
                <w:szCs w:val="20"/>
              </w:rPr>
              <w:t>N</w:t>
            </w:r>
          </w:p>
        </w:tc>
        <w:tc>
          <w:tcPr>
            <w:tcW w:w="900" w:type="dxa"/>
            <w:tcBorders>
              <w:top w:val="single" w:sz="4" w:space="0" w:color="auto"/>
              <w:left w:val="nil"/>
              <w:bottom w:val="single" w:sz="4" w:space="0" w:color="auto"/>
              <w:right w:val="nil"/>
            </w:tcBorders>
          </w:tcPr>
          <w:p w14:paraId="2AD87B34" w14:textId="1A2356FB" w:rsidR="00F40D25" w:rsidRPr="00F40D25" w:rsidRDefault="00F40D25" w:rsidP="00F40D25">
            <w:pPr>
              <w:spacing w:line="276" w:lineRule="auto"/>
              <w:jc w:val="center"/>
              <w:rPr>
                <w:rFonts w:ascii="Times New Roman" w:hAnsi="Times New Roman" w:cs="Times New Roman"/>
                <w:b/>
                <w:bCs/>
                <w:sz w:val="20"/>
                <w:szCs w:val="20"/>
                <w:rtl/>
              </w:rPr>
            </w:pPr>
            <w:r w:rsidRPr="00F40D25">
              <w:rPr>
                <w:rFonts w:ascii="Times New Roman" w:hAnsi="Times New Roman" w:cs="Times New Roman"/>
                <w:b/>
                <w:bCs/>
                <w:sz w:val="20"/>
                <w:szCs w:val="20"/>
              </w:rPr>
              <w:t>%</w:t>
            </w:r>
          </w:p>
        </w:tc>
        <w:tc>
          <w:tcPr>
            <w:tcW w:w="540" w:type="dxa"/>
            <w:tcBorders>
              <w:top w:val="single" w:sz="4" w:space="0" w:color="auto"/>
              <w:left w:val="nil"/>
              <w:bottom w:val="single" w:sz="4" w:space="0" w:color="auto"/>
              <w:right w:val="nil"/>
            </w:tcBorders>
          </w:tcPr>
          <w:p w14:paraId="4DFB4A8D" w14:textId="3E161233" w:rsidR="00F40D25" w:rsidRPr="00F40D25" w:rsidRDefault="00F40D25" w:rsidP="00F40D25">
            <w:pPr>
              <w:spacing w:line="276" w:lineRule="auto"/>
              <w:jc w:val="center"/>
              <w:rPr>
                <w:rFonts w:ascii="Times New Roman" w:hAnsi="Times New Roman" w:cs="Times New Roman"/>
                <w:b/>
                <w:bCs/>
                <w:sz w:val="20"/>
                <w:szCs w:val="20"/>
                <w:rtl/>
              </w:rPr>
            </w:pPr>
            <w:r w:rsidRPr="00F40D25">
              <w:rPr>
                <w:rFonts w:ascii="Times New Roman" w:hAnsi="Times New Roman" w:cs="Times New Roman"/>
                <w:b/>
                <w:bCs/>
                <w:sz w:val="20"/>
                <w:szCs w:val="20"/>
              </w:rPr>
              <w:t>N</w:t>
            </w:r>
          </w:p>
        </w:tc>
        <w:tc>
          <w:tcPr>
            <w:tcW w:w="810" w:type="dxa"/>
            <w:tcBorders>
              <w:top w:val="single" w:sz="4" w:space="0" w:color="auto"/>
              <w:left w:val="nil"/>
              <w:bottom w:val="single" w:sz="4" w:space="0" w:color="auto"/>
              <w:right w:val="nil"/>
            </w:tcBorders>
          </w:tcPr>
          <w:p w14:paraId="3C67DE73" w14:textId="751E0CF9" w:rsidR="00F40D25" w:rsidRPr="00F40D25" w:rsidRDefault="00F40D25" w:rsidP="00F40D25">
            <w:pPr>
              <w:spacing w:line="276" w:lineRule="auto"/>
              <w:jc w:val="both"/>
              <w:rPr>
                <w:rFonts w:ascii="Times New Roman" w:hAnsi="Times New Roman" w:cs="Times New Roman"/>
                <w:b/>
                <w:bCs/>
                <w:sz w:val="20"/>
                <w:szCs w:val="20"/>
                <w:rtl/>
              </w:rPr>
            </w:pPr>
            <w:r w:rsidRPr="00F40D25">
              <w:rPr>
                <w:rFonts w:ascii="Times New Roman" w:hAnsi="Times New Roman" w:cs="Times New Roman"/>
                <w:b/>
                <w:bCs/>
                <w:sz w:val="20"/>
                <w:szCs w:val="20"/>
              </w:rPr>
              <w:t>%</w:t>
            </w:r>
          </w:p>
        </w:tc>
        <w:tc>
          <w:tcPr>
            <w:tcW w:w="540" w:type="dxa"/>
            <w:tcBorders>
              <w:top w:val="single" w:sz="4" w:space="0" w:color="auto"/>
              <w:left w:val="nil"/>
              <w:bottom w:val="single" w:sz="4" w:space="0" w:color="auto"/>
              <w:right w:val="nil"/>
            </w:tcBorders>
          </w:tcPr>
          <w:p w14:paraId="77CDAE0D" w14:textId="0998B9FA" w:rsidR="00F40D25" w:rsidRPr="00F40D25" w:rsidRDefault="00F40D25" w:rsidP="00F40D25">
            <w:pPr>
              <w:spacing w:line="276" w:lineRule="auto"/>
              <w:jc w:val="center"/>
              <w:rPr>
                <w:rFonts w:ascii="Times New Roman" w:hAnsi="Times New Roman" w:cs="Times New Roman"/>
                <w:b/>
                <w:bCs/>
                <w:sz w:val="20"/>
                <w:szCs w:val="20"/>
                <w:rtl/>
              </w:rPr>
            </w:pPr>
            <w:r w:rsidRPr="00F40D25">
              <w:rPr>
                <w:rFonts w:ascii="Times New Roman" w:hAnsi="Times New Roman" w:cs="Times New Roman"/>
                <w:b/>
                <w:bCs/>
                <w:sz w:val="20"/>
                <w:szCs w:val="20"/>
              </w:rPr>
              <w:t>N</w:t>
            </w:r>
          </w:p>
        </w:tc>
        <w:tc>
          <w:tcPr>
            <w:tcW w:w="1350" w:type="dxa"/>
            <w:vMerge/>
            <w:tcBorders>
              <w:top w:val="nil"/>
              <w:left w:val="nil"/>
              <w:bottom w:val="single" w:sz="4" w:space="0" w:color="auto"/>
              <w:right w:val="nil"/>
            </w:tcBorders>
          </w:tcPr>
          <w:p w14:paraId="289B257B" w14:textId="4323576E" w:rsidR="00F40D25" w:rsidRPr="00F40D25" w:rsidRDefault="00F40D25" w:rsidP="00F40D25">
            <w:pPr>
              <w:bidi/>
              <w:jc w:val="center"/>
              <w:rPr>
                <w:rFonts w:ascii="Traditional Arabic" w:eastAsia="Times New Roman" w:hAnsi="Traditional Arabic" w:cs="Traditional Arabic"/>
                <w:b/>
                <w:bCs/>
                <w:sz w:val="20"/>
                <w:szCs w:val="20"/>
                <w:rtl/>
              </w:rPr>
            </w:pPr>
          </w:p>
        </w:tc>
      </w:tr>
      <w:tr w:rsidR="00F40D25" w:rsidRPr="00F40D25" w14:paraId="63FE28C0" w14:textId="5B314C9A" w:rsidTr="00C30768">
        <w:tc>
          <w:tcPr>
            <w:tcW w:w="630" w:type="dxa"/>
            <w:tcBorders>
              <w:top w:val="single" w:sz="4" w:space="0" w:color="auto"/>
              <w:left w:val="nil"/>
              <w:bottom w:val="nil"/>
              <w:right w:val="nil"/>
            </w:tcBorders>
          </w:tcPr>
          <w:p w14:paraId="1E0D80DC" w14:textId="09A892CC" w:rsidR="00F40D25" w:rsidRPr="00F40D25" w:rsidRDefault="00F40D25" w:rsidP="00F40D25">
            <w:pPr>
              <w:bidi/>
              <w:spacing w:line="276" w:lineRule="auto"/>
              <w:jc w:val="center"/>
              <w:rPr>
                <w:rFonts w:ascii="Times New Roman" w:hAnsi="Times New Roman" w:cs="Traditional Arabic"/>
                <w:sz w:val="28"/>
                <w:szCs w:val="28"/>
                <w:rtl/>
                <w:lang w:bidi="ar-EG"/>
              </w:rPr>
            </w:pPr>
            <w:r w:rsidRPr="00F40D25">
              <w:rPr>
                <w:rFonts w:ascii="Times New Roman" w:hAnsi="Times New Roman" w:cs="Traditional Arabic"/>
                <w:sz w:val="28"/>
                <w:szCs w:val="28"/>
                <w:lang w:bidi="ar-EG"/>
              </w:rPr>
              <w:t>3</w:t>
            </w:r>
          </w:p>
        </w:tc>
        <w:tc>
          <w:tcPr>
            <w:tcW w:w="1080" w:type="dxa"/>
            <w:tcBorders>
              <w:top w:val="single" w:sz="4" w:space="0" w:color="auto"/>
              <w:left w:val="nil"/>
              <w:bottom w:val="nil"/>
              <w:right w:val="nil"/>
            </w:tcBorders>
          </w:tcPr>
          <w:p w14:paraId="071530CC" w14:textId="23145A01" w:rsidR="00F40D25" w:rsidRPr="00F40D25" w:rsidRDefault="00F40D25" w:rsidP="00F40D25">
            <w:pPr>
              <w:bidi/>
              <w:spacing w:line="276" w:lineRule="auto"/>
              <w:jc w:val="center"/>
              <w:rPr>
                <w:rFonts w:ascii="Times New Roman" w:hAnsi="Times New Roman" w:cs="Traditional Arabic"/>
                <w:sz w:val="20"/>
                <w:szCs w:val="20"/>
                <w:lang w:bidi="ar-EG"/>
              </w:rPr>
            </w:pPr>
            <w:r w:rsidRPr="00F40D25">
              <w:rPr>
                <w:rFonts w:ascii="Times New Roman" w:hAnsi="Times New Roman" w:cs="Traditional Arabic"/>
                <w:sz w:val="20"/>
                <w:szCs w:val="20"/>
                <w:lang w:bidi="ar-EG"/>
              </w:rPr>
              <w:t>9.71</w:t>
            </w:r>
          </w:p>
        </w:tc>
        <w:tc>
          <w:tcPr>
            <w:tcW w:w="900" w:type="dxa"/>
            <w:tcBorders>
              <w:top w:val="single" w:sz="4" w:space="0" w:color="auto"/>
              <w:left w:val="nil"/>
              <w:bottom w:val="nil"/>
              <w:right w:val="nil"/>
            </w:tcBorders>
          </w:tcPr>
          <w:p w14:paraId="52FDB06A" w14:textId="0EAE4674" w:rsidR="00F40D25" w:rsidRPr="00F40D25" w:rsidRDefault="00F40D25" w:rsidP="00F40D25">
            <w:pPr>
              <w:bidi/>
              <w:spacing w:line="276" w:lineRule="auto"/>
              <w:jc w:val="center"/>
              <w:rPr>
                <w:rFonts w:ascii="Times New Roman" w:hAnsi="Times New Roman" w:cs="Traditional Arabic"/>
                <w:sz w:val="20"/>
                <w:szCs w:val="20"/>
                <w:rtl/>
                <w:lang w:bidi="ar-EG"/>
              </w:rPr>
            </w:pPr>
            <w:r w:rsidRPr="00F40D25">
              <w:rPr>
                <w:rFonts w:ascii="Times New Roman" w:hAnsi="Times New Roman" w:cs="Traditional Arabic"/>
                <w:sz w:val="20"/>
                <w:szCs w:val="20"/>
                <w:lang w:bidi="ar-EG"/>
              </w:rPr>
              <w:t>62.54</w:t>
            </w:r>
          </w:p>
        </w:tc>
        <w:tc>
          <w:tcPr>
            <w:tcW w:w="810" w:type="dxa"/>
            <w:tcBorders>
              <w:left w:val="nil"/>
              <w:bottom w:val="nil"/>
              <w:right w:val="nil"/>
            </w:tcBorders>
          </w:tcPr>
          <w:p w14:paraId="6965B616" w14:textId="4ED185B7" w:rsidR="00F40D25" w:rsidRPr="00F40D25" w:rsidRDefault="00F40D25" w:rsidP="00F40D25">
            <w:pPr>
              <w:bidi/>
              <w:spacing w:line="276" w:lineRule="auto"/>
              <w:jc w:val="center"/>
              <w:rPr>
                <w:rFonts w:ascii="Times New Roman" w:hAnsi="Times New Roman" w:cs="Traditional Arabic"/>
                <w:sz w:val="20"/>
                <w:szCs w:val="20"/>
                <w:lang w:bidi="ar-EG"/>
              </w:rPr>
            </w:pPr>
            <w:r w:rsidRPr="00F40D25">
              <w:rPr>
                <w:rFonts w:ascii="Times New Roman" w:hAnsi="Times New Roman" w:cs="Traditional Arabic"/>
                <w:sz w:val="20"/>
                <w:szCs w:val="20"/>
                <w:lang w:bidi="ar-EG"/>
              </w:rPr>
              <w:t>21.89</w:t>
            </w:r>
          </w:p>
        </w:tc>
        <w:tc>
          <w:tcPr>
            <w:tcW w:w="900" w:type="dxa"/>
            <w:tcBorders>
              <w:left w:val="nil"/>
              <w:bottom w:val="nil"/>
              <w:right w:val="nil"/>
            </w:tcBorders>
          </w:tcPr>
          <w:p w14:paraId="7E075330" w14:textId="3F161EDE" w:rsidR="00F40D25" w:rsidRPr="00F40D25" w:rsidRDefault="00F40D25" w:rsidP="00F40D25">
            <w:pPr>
              <w:bidi/>
              <w:spacing w:line="276" w:lineRule="auto"/>
              <w:jc w:val="center"/>
              <w:rPr>
                <w:rFonts w:ascii="Times New Roman" w:hAnsi="Times New Roman" w:cs="Traditional Arabic"/>
                <w:sz w:val="20"/>
                <w:szCs w:val="20"/>
                <w:rtl/>
                <w:lang w:bidi="ar-EG"/>
              </w:rPr>
            </w:pPr>
            <w:r w:rsidRPr="00F40D25">
              <w:rPr>
                <w:rFonts w:ascii="Times New Roman" w:hAnsi="Times New Roman" w:cs="Traditional Arabic"/>
                <w:sz w:val="20"/>
                <w:szCs w:val="20"/>
                <w:lang w:bidi="ar-EG"/>
              </w:rPr>
              <w:t>44.17%</w:t>
            </w:r>
          </w:p>
        </w:tc>
        <w:tc>
          <w:tcPr>
            <w:tcW w:w="540" w:type="dxa"/>
            <w:tcBorders>
              <w:left w:val="nil"/>
              <w:bottom w:val="nil"/>
              <w:right w:val="nil"/>
            </w:tcBorders>
          </w:tcPr>
          <w:p w14:paraId="7A0F5989" w14:textId="11ACE306" w:rsidR="00F40D25" w:rsidRPr="00F40D25" w:rsidRDefault="00F40D25" w:rsidP="00F40D25">
            <w:pPr>
              <w:bidi/>
              <w:spacing w:line="276" w:lineRule="auto"/>
              <w:jc w:val="center"/>
              <w:rPr>
                <w:rFonts w:ascii="Times New Roman" w:hAnsi="Times New Roman" w:cs="Traditional Arabic"/>
                <w:sz w:val="20"/>
                <w:szCs w:val="20"/>
                <w:rtl/>
                <w:lang w:bidi="ar-EG"/>
              </w:rPr>
            </w:pPr>
            <w:r w:rsidRPr="00F40D25">
              <w:rPr>
                <w:rFonts w:ascii="Times New Roman" w:hAnsi="Times New Roman" w:cs="Traditional Arabic"/>
                <w:sz w:val="20"/>
                <w:szCs w:val="20"/>
                <w:lang w:bidi="ar-EG"/>
              </w:rPr>
              <w:t>53</w:t>
            </w:r>
          </w:p>
        </w:tc>
        <w:tc>
          <w:tcPr>
            <w:tcW w:w="900" w:type="dxa"/>
            <w:tcBorders>
              <w:left w:val="nil"/>
              <w:bottom w:val="nil"/>
              <w:right w:val="nil"/>
            </w:tcBorders>
          </w:tcPr>
          <w:p w14:paraId="39EADBC6" w14:textId="58944700" w:rsidR="00F40D25" w:rsidRPr="00F40D25" w:rsidRDefault="00F40D25" w:rsidP="00F40D25">
            <w:pPr>
              <w:bidi/>
              <w:spacing w:line="276" w:lineRule="auto"/>
              <w:jc w:val="center"/>
              <w:rPr>
                <w:rFonts w:ascii="Times New Roman" w:hAnsi="Times New Roman" w:cs="Traditional Arabic"/>
                <w:sz w:val="20"/>
                <w:szCs w:val="20"/>
                <w:rtl/>
                <w:lang w:bidi="ar-EG"/>
              </w:rPr>
            </w:pPr>
            <w:r w:rsidRPr="00F40D25">
              <w:rPr>
                <w:rFonts w:ascii="Times New Roman" w:hAnsi="Times New Roman" w:cs="Traditional Arabic"/>
                <w:sz w:val="20"/>
                <w:szCs w:val="20"/>
                <w:lang w:bidi="ar-EG"/>
              </w:rPr>
              <w:t>25.83%</w:t>
            </w:r>
          </w:p>
        </w:tc>
        <w:tc>
          <w:tcPr>
            <w:tcW w:w="540" w:type="dxa"/>
            <w:tcBorders>
              <w:left w:val="nil"/>
              <w:bottom w:val="nil"/>
              <w:right w:val="nil"/>
            </w:tcBorders>
          </w:tcPr>
          <w:p w14:paraId="01FE1047" w14:textId="54F2FD21" w:rsidR="00F40D25" w:rsidRPr="00F40D25" w:rsidRDefault="00F40D25" w:rsidP="00F40D25">
            <w:pPr>
              <w:bidi/>
              <w:spacing w:line="276" w:lineRule="auto"/>
              <w:jc w:val="center"/>
              <w:rPr>
                <w:rFonts w:ascii="Times New Roman" w:hAnsi="Times New Roman" w:cs="Traditional Arabic"/>
                <w:sz w:val="20"/>
                <w:szCs w:val="20"/>
                <w:rtl/>
                <w:lang w:bidi="ar-EG"/>
              </w:rPr>
            </w:pPr>
            <w:r w:rsidRPr="00F40D25">
              <w:rPr>
                <w:rFonts w:ascii="Times New Roman" w:hAnsi="Times New Roman" w:cs="Traditional Arabic"/>
                <w:sz w:val="20"/>
                <w:szCs w:val="20"/>
                <w:lang w:bidi="ar-EG"/>
              </w:rPr>
              <w:t>31</w:t>
            </w:r>
          </w:p>
        </w:tc>
        <w:tc>
          <w:tcPr>
            <w:tcW w:w="810" w:type="dxa"/>
            <w:tcBorders>
              <w:left w:val="nil"/>
              <w:bottom w:val="nil"/>
              <w:right w:val="nil"/>
            </w:tcBorders>
          </w:tcPr>
          <w:p w14:paraId="0AC32300" w14:textId="08E5C624" w:rsidR="00F40D25" w:rsidRPr="00F40D25" w:rsidRDefault="00F40D25" w:rsidP="00F40D25">
            <w:pPr>
              <w:bidi/>
              <w:spacing w:line="276" w:lineRule="auto"/>
              <w:jc w:val="center"/>
              <w:rPr>
                <w:rFonts w:ascii="Times New Roman" w:hAnsi="Times New Roman" w:cs="Traditional Arabic"/>
                <w:sz w:val="20"/>
                <w:szCs w:val="20"/>
                <w:lang w:bidi="ar-EG"/>
              </w:rPr>
            </w:pPr>
            <w:r w:rsidRPr="00F40D25">
              <w:rPr>
                <w:rFonts w:ascii="Times New Roman" w:hAnsi="Times New Roman" w:cs="Traditional Arabic"/>
                <w:sz w:val="20"/>
                <w:szCs w:val="20"/>
                <w:lang w:bidi="ar-EG"/>
              </w:rPr>
              <w:t>30%</w:t>
            </w:r>
          </w:p>
        </w:tc>
        <w:tc>
          <w:tcPr>
            <w:tcW w:w="540" w:type="dxa"/>
            <w:tcBorders>
              <w:left w:val="nil"/>
              <w:bottom w:val="nil"/>
              <w:right w:val="nil"/>
            </w:tcBorders>
          </w:tcPr>
          <w:p w14:paraId="7B227B1C" w14:textId="78659811" w:rsidR="00F40D25" w:rsidRPr="00F40D25" w:rsidRDefault="00F40D25" w:rsidP="00F40D25">
            <w:pPr>
              <w:bidi/>
              <w:spacing w:line="276" w:lineRule="auto"/>
              <w:jc w:val="center"/>
              <w:rPr>
                <w:rFonts w:ascii="Times New Roman" w:hAnsi="Times New Roman" w:cs="Traditional Arabic"/>
                <w:sz w:val="20"/>
                <w:szCs w:val="20"/>
                <w:rtl/>
                <w:lang w:bidi="ar-EG"/>
              </w:rPr>
            </w:pPr>
            <w:r w:rsidRPr="00F40D25">
              <w:rPr>
                <w:rFonts w:ascii="Times New Roman" w:hAnsi="Times New Roman" w:cs="Traditional Arabic"/>
                <w:sz w:val="20"/>
                <w:szCs w:val="20"/>
                <w:lang w:bidi="ar-EG"/>
              </w:rPr>
              <w:t>36</w:t>
            </w:r>
          </w:p>
        </w:tc>
        <w:tc>
          <w:tcPr>
            <w:tcW w:w="1350" w:type="dxa"/>
            <w:tcBorders>
              <w:left w:val="nil"/>
              <w:bottom w:val="nil"/>
              <w:right w:val="nil"/>
            </w:tcBorders>
            <w:vAlign w:val="center"/>
          </w:tcPr>
          <w:p w14:paraId="74D9D646" w14:textId="2F409217" w:rsidR="00F40D25" w:rsidRPr="00F40D25" w:rsidRDefault="00F40D25" w:rsidP="00F40D25">
            <w:pPr>
              <w:bidi/>
              <w:jc w:val="center"/>
              <w:rPr>
                <w:rFonts w:ascii="Traditional Arabic" w:eastAsia="Times New Roman" w:hAnsi="Traditional Arabic" w:cs="Traditional Arabic"/>
                <w:sz w:val="20"/>
                <w:szCs w:val="20"/>
                <w:rtl/>
              </w:rPr>
            </w:pPr>
            <w:r w:rsidRPr="00F40D25">
              <w:rPr>
                <w:rFonts w:ascii="Traditional Arabic" w:eastAsia="Times New Roman" w:hAnsi="Traditional Arabic" w:cs="Traditional Arabic"/>
                <w:sz w:val="20"/>
                <w:szCs w:val="20"/>
              </w:rPr>
              <w:t>DIF</w:t>
            </w:r>
          </w:p>
        </w:tc>
      </w:tr>
      <w:tr w:rsidR="00F40D25" w:rsidRPr="00F40D25" w14:paraId="34DC9C05" w14:textId="2F4E7D36" w:rsidTr="00C30768">
        <w:tc>
          <w:tcPr>
            <w:tcW w:w="630" w:type="dxa"/>
            <w:tcBorders>
              <w:top w:val="nil"/>
              <w:left w:val="nil"/>
              <w:bottom w:val="nil"/>
              <w:right w:val="nil"/>
            </w:tcBorders>
          </w:tcPr>
          <w:p w14:paraId="286E2831" w14:textId="024D3221" w:rsidR="00F40D25" w:rsidRPr="00F40D25" w:rsidRDefault="00F40D25" w:rsidP="00F40D25">
            <w:pPr>
              <w:bidi/>
              <w:spacing w:line="276" w:lineRule="auto"/>
              <w:jc w:val="center"/>
              <w:rPr>
                <w:rFonts w:ascii="Times New Roman" w:hAnsi="Times New Roman" w:cs="Traditional Arabic"/>
                <w:sz w:val="28"/>
                <w:szCs w:val="28"/>
                <w:rtl/>
                <w:lang w:bidi="ar-EG"/>
              </w:rPr>
            </w:pPr>
            <w:r w:rsidRPr="00F40D25">
              <w:rPr>
                <w:rFonts w:ascii="Times New Roman" w:hAnsi="Times New Roman" w:cs="Traditional Arabic"/>
                <w:sz w:val="28"/>
                <w:szCs w:val="28"/>
                <w:lang w:bidi="ar-EG"/>
              </w:rPr>
              <w:t>2</w:t>
            </w:r>
          </w:p>
        </w:tc>
        <w:tc>
          <w:tcPr>
            <w:tcW w:w="1080" w:type="dxa"/>
            <w:tcBorders>
              <w:top w:val="nil"/>
              <w:left w:val="nil"/>
              <w:bottom w:val="nil"/>
              <w:right w:val="nil"/>
            </w:tcBorders>
          </w:tcPr>
          <w:p w14:paraId="25089C7F" w14:textId="2C1E1C4A" w:rsidR="00F40D25" w:rsidRPr="00F40D25" w:rsidRDefault="00F40D25" w:rsidP="00F40D25">
            <w:pPr>
              <w:bidi/>
              <w:spacing w:line="276" w:lineRule="auto"/>
              <w:jc w:val="center"/>
              <w:rPr>
                <w:rFonts w:ascii="Times New Roman" w:hAnsi="Times New Roman" w:cs="Traditional Arabic"/>
                <w:sz w:val="20"/>
                <w:szCs w:val="20"/>
                <w:rtl/>
                <w:lang w:bidi="ar-EG"/>
              </w:rPr>
            </w:pPr>
            <w:r w:rsidRPr="00F40D25">
              <w:rPr>
                <w:rFonts w:ascii="Times New Roman" w:hAnsi="Times New Roman" w:cs="Traditional Arabic"/>
                <w:sz w:val="20"/>
                <w:szCs w:val="20"/>
                <w:lang w:bidi="ar-EG"/>
              </w:rPr>
              <w:t>6.72</w:t>
            </w:r>
          </w:p>
        </w:tc>
        <w:tc>
          <w:tcPr>
            <w:tcW w:w="900" w:type="dxa"/>
            <w:tcBorders>
              <w:top w:val="nil"/>
              <w:left w:val="nil"/>
              <w:bottom w:val="nil"/>
              <w:right w:val="nil"/>
            </w:tcBorders>
          </w:tcPr>
          <w:p w14:paraId="56686C8F" w14:textId="42B977A8" w:rsidR="00F40D25" w:rsidRPr="00F40D25" w:rsidRDefault="00F40D25" w:rsidP="00F40D25">
            <w:pPr>
              <w:bidi/>
              <w:spacing w:line="276" w:lineRule="auto"/>
              <w:jc w:val="center"/>
              <w:rPr>
                <w:rFonts w:ascii="Times New Roman" w:hAnsi="Times New Roman" w:cs="Traditional Arabic"/>
                <w:sz w:val="20"/>
                <w:szCs w:val="20"/>
                <w:rtl/>
                <w:lang w:bidi="ar-EG"/>
              </w:rPr>
            </w:pPr>
            <w:r w:rsidRPr="00F40D25">
              <w:rPr>
                <w:rFonts w:ascii="Times New Roman" w:hAnsi="Times New Roman" w:cs="Traditional Arabic"/>
                <w:sz w:val="20"/>
                <w:szCs w:val="20"/>
                <w:lang w:bidi="ar-EG"/>
              </w:rPr>
              <w:t>65.16</w:t>
            </w:r>
          </w:p>
        </w:tc>
        <w:tc>
          <w:tcPr>
            <w:tcW w:w="810" w:type="dxa"/>
            <w:tcBorders>
              <w:top w:val="nil"/>
              <w:left w:val="nil"/>
              <w:bottom w:val="nil"/>
              <w:right w:val="nil"/>
            </w:tcBorders>
          </w:tcPr>
          <w:p w14:paraId="7F197B2B" w14:textId="603033C8" w:rsidR="00F40D25" w:rsidRPr="00F40D25" w:rsidRDefault="00F40D25" w:rsidP="00F40D25">
            <w:pPr>
              <w:bidi/>
              <w:spacing w:line="276" w:lineRule="auto"/>
              <w:jc w:val="center"/>
              <w:rPr>
                <w:rFonts w:ascii="Times New Roman" w:hAnsi="Times New Roman" w:cs="Traditional Arabic"/>
                <w:sz w:val="20"/>
                <w:szCs w:val="20"/>
                <w:lang w:bidi="ar-EG"/>
              </w:rPr>
            </w:pPr>
            <w:r w:rsidRPr="00F40D25">
              <w:rPr>
                <w:rFonts w:ascii="Times New Roman" w:hAnsi="Times New Roman" w:cs="Traditional Arabic"/>
                <w:sz w:val="20"/>
                <w:szCs w:val="20"/>
                <w:lang w:bidi="ar-EG"/>
              </w:rPr>
              <w:t>16.29</w:t>
            </w:r>
          </w:p>
        </w:tc>
        <w:tc>
          <w:tcPr>
            <w:tcW w:w="900" w:type="dxa"/>
            <w:tcBorders>
              <w:top w:val="nil"/>
              <w:left w:val="nil"/>
              <w:bottom w:val="nil"/>
              <w:right w:val="nil"/>
            </w:tcBorders>
          </w:tcPr>
          <w:p w14:paraId="0F971CEE" w14:textId="01052486" w:rsidR="00F40D25" w:rsidRPr="00F40D25" w:rsidRDefault="00F40D25" w:rsidP="00F40D25">
            <w:pPr>
              <w:bidi/>
              <w:spacing w:line="276" w:lineRule="auto"/>
              <w:jc w:val="center"/>
              <w:rPr>
                <w:rFonts w:ascii="Times New Roman" w:hAnsi="Times New Roman" w:cs="Traditional Arabic"/>
                <w:sz w:val="20"/>
                <w:szCs w:val="20"/>
                <w:rtl/>
                <w:lang w:bidi="ar-EG"/>
              </w:rPr>
            </w:pPr>
            <w:r w:rsidRPr="00F40D25">
              <w:rPr>
                <w:rFonts w:ascii="Times New Roman" w:hAnsi="Times New Roman" w:cs="Traditional Arabic"/>
                <w:sz w:val="20"/>
                <w:szCs w:val="20"/>
                <w:lang w:bidi="ar-EG"/>
              </w:rPr>
              <w:t>44.15%</w:t>
            </w:r>
          </w:p>
        </w:tc>
        <w:tc>
          <w:tcPr>
            <w:tcW w:w="540" w:type="dxa"/>
            <w:tcBorders>
              <w:top w:val="nil"/>
              <w:left w:val="nil"/>
              <w:bottom w:val="nil"/>
              <w:right w:val="nil"/>
            </w:tcBorders>
          </w:tcPr>
          <w:p w14:paraId="333D9720" w14:textId="477CA563" w:rsidR="00F40D25" w:rsidRPr="00F40D25" w:rsidRDefault="00F40D25" w:rsidP="00F40D25">
            <w:pPr>
              <w:bidi/>
              <w:spacing w:line="276" w:lineRule="auto"/>
              <w:jc w:val="center"/>
              <w:rPr>
                <w:rFonts w:ascii="Times New Roman" w:hAnsi="Times New Roman" w:cs="Traditional Arabic"/>
                <w:sz w:val="20"/>
                <w:szCs w:val="20"/>
                <w:rtl/>
                <w:lang w:bidi="ar-EG"/>
              </w:rPr>
            </w:pPr>
            <w:r w:rsidRPr="00F40D25">
              <w:rPr>
                <w:rFonts w:ascii="Times New Roman" w:hAnsi="Times New Roman" w:cs="Traditional Arabic"/>
                <w:sz w:val="20"/>
                <w:szCs w:val="20"/>
                <w:lang w:bidi="ar-EG"/>
              </w:rPr>
              <w:t>53</w:t>
            </w:r>
          </w:p>
        </w:tc>
        <w:tc>
          <w:tcPr>
            <w:tcW w:w="900" w:type="dxa"/>
            <w:tcBorders>
              <w:top w:val="nil"/>
              <w:left w:val="nil"/>
              <w:bottom w:val="nil"/>
              <w:right w:val="nil"/>
            </w:tcBorders>
          </w:tcPr>
          <w:p w14:paraId="5CDB7719" w14:textId="51645633" w:rsidR="00F40D25" w:rsidRPr="00F40D25" w:rsidRDefault="00F40D25" w:rsidP="00F40D25">
            <w:pPr>
              <w:bidi/>
              <w:spacing w:line="276" w:lineRule="auto"/>
              <w:jc w:val="center"/>
              <w:rPr>
                <w:rFonts w:ascii="Times New Roman" w:hAnsi="Times New Roman" w:cs="Traditional Arabic"/>
                <w:sz w:val="20"/>
                <w:szCs w:val="20"/>
                <w:rtl/>
                <w:lang w:bidi="ar-EG"/>
              </w:rPr>
            </w:pPr>
            <w:r w:rsidRPr="00F40D25">
              <w:rPr>
                <w:rFonts w:ascii="Times New Roman" w:hAnsi="Times New Roman" w:cs="Traditional Arabic"/>
                <w:sz w:val="20"/>
                <w:szCs w:val="20"/>
                <w:lang w:bidi="ar-EG"/>
              </w:rPr>
              <w:t>29.15%</w:t>
            </w:r>
          </w:p>
        </w:tc>
        <w:tc>
          <w:tcPr>
            <w:tcW w:w="540" w:type="dxa"/>
            <w:tcBorders>
              <w:top w:val="nil"/>
              <w:left w:val="nil"/>
              <w:bottom w:val="nil"/>
              <w:right w:val="nil"/>
            </w:tcBorders>
          </w:tcPr>
          <w:p w14:paraId="6A74D711" w14:textId="1FE286B4" w:rsidR="00F40D25" w:rsidRPr="00F40D25" w:rsidRDefault="00F40D25" w:rsidP="00F40D25">
            <w:pPr>
              <w:bidi/>
              <w:spacing w:line="276" w:lineRule="auto"/>
              <w:jc w:val="center"/>
              <w:rPr>
                <w:rFonts w:ascii="Times New Roman" w:hAnsi="Times New Roman" w:cs="Traditional Arabic"/>
                <w:sz w:val="20"/>
                <w:szCs w:val="20"/>
                <w:rtl/>
                <w:lang w:bidi="ar-EG"/>
              </w:rPr>
            </w:pPr>
            <w:r w:rsidRPr="00F40D25">
              <w:rPr>
                <w:rFonts w:ascii="Times New Roman" w:hAnsi="Times New Roman" w:cs="Traditional Arabic"/>
                <w:sz w:val="20"/>
                <w:szCs w:val="20"/>
                <w:lang w:bidi="ar-EG"/>
              </w:rPr>
              <w:t>35</w:t>
            </w:r>
          </w:p>
        </w:tc>
        <w:tc>
          <w:tcPr>
            <w:tcW w:w="810" w:type="dxa"/>
            <w:tcBorders>
              <w:top w:val="nil"/>
              <w:left w:val="nil"/>
              <w:bottom w:val="nil"/>
              <w:right w:val="nil"/>
            </w:tcBorders>
          </w:tcPr>
          <w:p w14:paraId="1F6B90FA" w14:textId="1FC59BD6" w:rsidR="00F40D25" w:rsidRPr="00F40D25" w:rsidRDefault="00F40D25" w:rsidP="00F40D25">
            <w:pPr>
              <w:bidi/>
              <w:spacing w:line="276" w:lineRule="auto"/>
              <w:jc w:val="center"/>
              <w:rPr>
                <w:rFonts w:ascii="Times New Roman" w:hAnsi="Times New Roman" w:cs="Traditional Arabic"/>
                <w:sz w:val="20"/>
                <w:szCs w:val="20"/>
                <w:rtl/>
                <w:lang w:bidi="ar-EG"/>
              </w:rPr>
            </w:pPr>
            <w:r w:rsidRPr="00F40D25">
              <w:rPr>
                <w:rFonts w:ascii="Times New Roman" w:hAnsi="Times New Roman" w:cs="Traditional Arabic"/>
                <w:sz w:val="20"/>
                <w:szCs w:val="20"/>
                <w:lang w:bidi="ar-EG"/>
              </w:rPr>
              <w:t>26.7%</w:t>
            </w:r>
          </w:p>
        </w:tc>
        <w:tc>
          <w:tcPr>
            <w:tcW w:w="540" w:type="dxa"/>
            <w:tcBorders>
              <w:top w:val="nil"/>
              <w:left w:val="nil"/>
              <w:bottom w:val="nil"/>
              <w:right w:val="nil"/>
            </w:tcBorders>
          </w:tcPr>
          <w:p w14:paraId="7CA58C93" w14:textId="1A6037B1" w:rsidR="00F40D25" w:rsidRPr="00F40D25" w:rsidRDefault="00F40D25" w:rsidP="00F40D25">
            <w:pPr>
              <w:bidi/>
              <w:spacing w:line="276" w:lineRule="auto"/>
              <w:jc w:val="center"/>
              <w:rPr>
                <w:rFonts w:ascii="Times New Roman" w:hAnsi="Times New Roman" w:cs="Traditional Arabic"/>
                <w:sz w:val="20"/>
                <w:szCs w:val="20"/>
                <w:rtl/>
                <w:lang w:bidi="ar-EG"/>
              </w:rPr>
            </w:pPr>
            <w:r w:rsidRPr="00F40D25">
              <w:rPr>
                <w:rFonts w:ascii="Times New Roman" w:hAnsi="Times New Roman" w:cs="Traditional Arabic"/>
                <w:sz w:val="20"/>
                <w:szCs w:val="20"/>
                <w:lang w:bidi="ar-EG"/>
              </w:rPr>
              <w:t>32</w:t>
            </w:r>
          </w:p>
        </w:tc>
        <w:tc>
          <w:tcPr>
            <w:tcW w:w="1350" w:type="dxa"/>
            <w:tcBorders>
              <w:top w:val="nil"/>
              <w:left w:val="nil"/>
              <w:bottom w:val="nil"/>
              <w:right w:val="nil"/>
            </w:tcBorders>
            <w:vAlign w:val="center"/>
          </w:tcPr>
          <w:p w14:paraId="760EE7B9" w14:textId="12570459" w:rsidR="00F40D25" w:rsidRPr="00F40D25" w:rsidRDefault="00F40D25" w:rsidP="00F40D25">
            <w:pPr>
              <w:bidi/>
              <w:jc w:val="center"/>
              <w:rPr>
                <w:rFonts w:ascii="Traditional Arabic" w:eastAsia="Times New Roman" w:hAnsi="Traditional Arabic" w:cs="Traditional Arabic"/>
                <w:sz w:val="20"/>
                <w:szCs w:val="20"/>
                <w:rtl/>
              </w:rPr>
            </w:pPr>
            <w:r w:rsidRPr="00F40D25">
              <w:rPr>
                <w:rFonts w:ascii="Traditional Arabic" w:eastAsia="Times New Roman" w:hAnsi="Traditional Arabic" w:cs="Traditional Arabic"/>
                <w:sz w:val="20"/>
                <w:szCs w:val="20"/>
              </w:rPr>
              <w:t>DDF</w:t>
            </w:r>
          </w:p>
        </w:tc>
      </w:tr>
      <w:tr w:rsidR="00F40D25" w:rsidRPr="00F40D25" w14:paraId="7A5AA686" w14:textId="67169ED3" w:rsidTr="00C30768">
        <w:tc>
          <w:tcPr>
            <w:tcW w:w="630" w:type="dxa"/>
            <w:tcBorders>
              <w:top w:val="nil"/>
              <w:left w:val="nil"/>
              <w:bottom w:val="nil"/>
              <w:right w:val="nil"/>
            </w:tcBorders>
          </w:tcPr>
          <w:p w14:paraId="0E5A3061" w14:textId="6394D846" w:rsidR="00F40D25" w:rsidRPr="00F40D25" w:rsidRDefault="00F40D25" w:rsidP="00F40D25">
            <w:pPr>
              <w:bidi/>
              <w:spacing w:line="276" w:lineRule="auto"/>
              <w:jc w:val="center"/>
              <w:rPr>
                <w:rFonts w:ascii="Times New Roman" w:hAnsi="Times New Roman" w:cs="Traditional Arabic"/>
                <w:sz w:val="28"/>
                <w:szCs w:val="28"/>
                <w:rtl/>
                <w:lang w:bidi="ar-EG"/>
              </w:rPr>
            </w:pPr>
            <w:r w:rsidRPr="00F40D25">
              <w:rPr>
                <w:rFonts w:ascii="Times New Roman" w:hAnsi="Times New Roman" w:cs="Traditional Arabic"/>
                <w:sz w:val="28"/>
                <w:szCs w:val="28"/>
                <w:lang w:bidi="ar-EG"/>
              </w:rPr>
              <w:t>1</w:t>
            </w:r>
          </w:p>
        </w:tc>
        <w:tc>
          <w:tcPr>
            <w:tcW w:w="1080" w:type="dxa"/>
            <w:tcBorders>
              <w:top w:val="nil"/>
              <w:left w:val="nil"/>
              <w:bottom w:val="nil"/>
              <w:right w:val="nil"/>
            </w:tcBorders>
          </w:tcPr>
          <w:p w14:paraId="34FEB46F" w14:textId="2863729D" w:rsidR="00F40D25" w:rsidRPr="00F40D25" w:rsidRDefault="00F40D25" w:rsidP="00F40D25">
            <w:pPr>
              <w:bidi/>
              <w:spacing w:line="276" w:lineRule="auto"/>
              <w:jc w:val="center"/>
              <w:rPr>
                <w:rFonts w:ascii="Times New Roman" w:hAnsi="Times New Roman" w:cs="Traditional Arabic"/>
                <w:sz w:val="20"/>
                <w:szCs w:val="20"/>
                <w:rtl/>
                <w:lang w:bidi="ar-EG"/>
              </w:rPr>
            </w:pPr>
            <w:r w:rsidRPr="00F40D25">
              <w:rPr>
                <w:rFonts w:ascii="Times New Roman" w:hAnsi="Times New Roman" w:cs="Traditional Arabic"/>
                <w:sz w:val="20"/>
                <w:szCs w:val="20"/>
                <w:lang w:bidi="ar-EG"/>
              </w:rPr>
              <w:t>11.26</w:t>
            </w:r>
          </w:p>
        </w:tc>
        <w:tc>
          <w:tcPr>
            <w:tcW w:w="900" w:type="dxa"/>
            <w:tcBorders>
              <w:top w:val="nil"/>
              <w:left w:val="nil"/>
              <w:bottom w:val="nil"/>
              <w:right w:val="nil"/>
            </w:tcBorders>
          </w:tcPr>
          <w:p w14:paraId="2A5CCCD5" w14:textId="0BE6D06E" w:rsidR="00F40D25" w:rsidRPr="00F40D25" w:rsidRDefault="00F40D25" w:rsidP="00F40D25">
            <w:pPr>
              <w:bidi/>
              <w:spacing w:line="276" w:lineRule="auto"/>
              <w:jc w:val="center"/>
              <w:rPr>
                <w:rFonts w:ascii="Times New Roman" w:hAnsi="Times New Roman" w:cs="Traditional Arabic"/>
                <w:sz w:val="20"/>
                <w:szCs w:val="20"/>
                <w:rtl/>
                <w:lang w:bidi="ar-EG"/>
              </w:rPr>
            </w:pPr>
            <w:r w:rsidRPr="00F40D25">
              <w:rPr>
                <w:rFonts w:ascii="Times New Roman" w:hAnsi="Times New Roman" w:cs="Traditional Arabic"/>
                <w:sz w:val="20"/>
                <w:szCs w:val="20"/>
                <w:lang w:bidi="ar-EG"/>
              </w:rPr>
              <w:t>68.15</w:t>
            </w:r>
          </w:p>
        </w:tc>
        <w:tc>
          <w:tcPr>
            <w:tcW w:w="810" w:type="dxa"/>
            <w:tcBorders>
              <w:top w:val="nil"/>
              <w:left w:val="nil"/>
              <w:bottom w:val="nil"/>
              <w:right w:val="nil"/>
            </w:tcBorders>
          </w:tcPr>
          <w:p w14:paraId="452ADE4C" w14:textId="3C04A022" w:rsidR="00F40D25" w:rsidRPr="00F40D25" w:rsidRDefault="00F40D25" w:rsidP="00F40D25">
            <w:pPr>
              <w:bidi/>
              <w:spacing w:line="276" w:lineRule="auto"/>
              <w:jc w:val="center"/>
              <w:rPr>
                <w:rFonts w:ascii="Times New Roman" w:hAnsi="Times New Roman" w:cs="Traditional Arabic"/>
                <w:sz w:val="20"/>
                <w:szCs w:val="20"/>
                <w:lang w:bidi="ar-EG"/>
              </w:rPr>
            </w:pPr>
            <w:r w:rsidRPr="00F40D25">
              <w:rPr>
                <w:rFonts w:ascii="Times New Roman" w:hAnsi="Times New Roman" w:cs="Traditional Arabic"/>
                <w:sz w:val="20"/>
                <w:szCs w:val="20"/>
                <w:lang w:bidi="ar-EG"/>
              </w:rPr>
              <w:t>27.26</w:t>
            </w:r>
          </w:p>
        </w:tc>
        <w:tc>
          <w:tcPr>
            <w:tcW w:w="900" w:type="dxa"/>
            <w:tcBorders>
              <w:top w:val="nil"/>
              <w:left w:val="nil"/>
              <w:bottom w:val="nil"/>
              <w:right w:val="nil"/>
            </w:tcBorders>
          </w:tcPr>
          <w:p w14:paraId="189ED810" w14:textId="029D469E" w:rsidR="00F40D25" w:rsidRPr="00F40D25" w:rsidRDefault="00F40D25" w:rsidP="00F40D25">
            <w:pPr>
              <w:bidi/>
              <w:spacing w:line="276" w:lineRule="auto"/>
              <w:jc w:val="center"/>
              <w:rPr>
                <w:rFonts w:ascii="Times New Roman" w:hAnsi="Times New Roman" w:cs="Traditional Arabic"/>
                <w:sz w:val="20"/>
                <w:szCs w:val="20"/>
                <w:rtl/>
                <w:lang w:bidi="ar-EG"/>
              </w:rPr>
            </w:pPr>
            <w:r w:rsidRPr="00F40D25">
              <w:rPr>
                <w:rFonts w:ascii="Times New Roman" w:hAnsi="Times New Roman" w:cs="Traditional Arabic"/>
                <w:sz w:val="20"/>
                <w:szCs w:val="20"/>
                <w:lang w:bidi="ar-EG"/>
              </w:rPr>
              <w:t>40.83%</w:t>
            </w:r>
          </w:p>
        </w:tc>
        <w:tc>
          <w:tcPr>
            <w:tcW w:w="540" w:type="dxa"/>
            <w:tcBorders>
              <w:top w:val="nil"/>
              <w:left w:val="nil"/>
              <w:bottom w:val="nil"/>
              <w:right w:val="nil"/>
            </w:tcBorders>
          </w:tcPr>
          <w:p w14:paraId="20D3981C" w14:textId="4128808D" w:rsidR="00F40D25" w:rsidRPr="00F40D25" w:rsidRDefault="00F40D25" w:rsidP="00F40D25">
            <w:pPr>
              <w:bidi/>
              <w:spacing w:line="276" w:lineRule="auto"/>
              <w:jc w:val="center"/>
              <w:rPr>
                <w:rFonts w:ascii="Times New Roman" w:hAnsi="Times New Roman" w:cs="Traditional Arabic"/>
                <w:sz w:val="20"/>
                <w:szCs w:val="20"/>
                <w:rtl/>
                <w:lang w:bidi="ar-EG"/>
              </w:rPr>
            </w:pPr>
            <w:r w:rsidRPr="00F40D25">
              <w:rPr>
                <w:rFonts w:ascii="Times New Roman" w:hAnsi="Times New Roman" w:cs="Traditional Arabic"/>
                <w:sz w:val="20"/>
                <w:szCs w:val="20"/>
                <w:lang w:bidi="ar-EG"/>
              </w:rPr>
              <w:t>43</w:t>
            </w:r>
          </w:p>
        </w:tc>
        <w:tc>
          <w:tcPr>
            <w:tcW w:w="900" w:type="dxa"/>
            <w:tcBorders>
              <w:top w:val="nil"/>
              <w:left w:val="nil"/>
              <w:bottom w:val="nil"/>
              <w:right w:val="nil"/>
            </w:tcBorders>
          </w:tcPr>
          <w:p w14:paraId="707F29C9" w14:textId="0FEA9284" w:rsidR="00F40D25" w:rsidRPr="00F40D25" w:rsidRDefault="00F40D25" w:rsidP="00F40D25">
            <w:pPr>
              <w:bidi/>
              <w:spacing w:line="276" w:lineRule="auto"/>
              <w:jc w:val="center"/>
              <w:rPr>
                <w:rFonts w:ascii="Times New Roman" w:hAnsi="Times New Roman" w:cs="Traditional Arabic"/>
                <w:sz w:val="20"/>
                <w:szCs w:val="20"/>
                <w:rtl/>
                <w:lang w:bidi="ar-EG"/>
              </w:rPr>
            </w:pPr>
            <w:r w:rsidRPr="00F40D25">
              <w:rPr>
                <w:rFonts w:ascii="Times New Roman" w:hAnsi="Times New Roman" w:cs="Traditional Arabic"/>
                <w:sz w:val="20"/>
                <w:szCs w:val="20"/>
                <w:lang w:bidi="ar-EG"/>
              </w:rPr>
              <w:t>28.34%</w:t>
            </w:r>
          </w:p>
        </w:tc>
        <w:tc>
          <w:tcPr>
            <w:tcW w:w="540" w:type="dxa"/>
            <w:tcBorders>
              <w:top w:val="nil"/>
              <w:left w:val="nil"/>
              <w:bottom w:val="nil"/>
              <w:right w:val="nil"/>
            </w:tcBorders>
          </w:tcPr>
          <w:p w14:paraId="5972E606" w14:textId="6303000E" w:rsidR="00F40D25" w:rsidRPr="00F40D25" w:rsidRDefault="00F40D25" w:rsidP="00F40D25">
            <w:pPr>
              <w:bidi/>
              <w:spacing w:line="276" w:lineRule="auto"/>
              <w:jc w:val="center"/>
              <w:rPr>
                <w:rFonts w:ascii="Times New Roman" w:hAnsi="Times New Roman" w:cs="Traditional Arabic"/>
                <w:sz w:val="20"/>
                <w:szCs w:val="20"/>
                <w:rtl/>
                <w:lang w:bidi="ar-EG"/>
              </w:rPr>
            </w:pPr>
            <w:r w:rsidRPr="00F40D25">
              <w:rPr>
                <w:rFonts w:ascii="Times New Roman" w:hAnsi="Times New Roman" w:cs="Traditional Arabic"/>
                <w:sz w:val="20"/>
                <w:szCs w:val="20"/>
                <w:lang w:bidi="ar-EG"/>
              </w:rPr>
              <w:t>34</w:t>
            </w:r>
          </w:p>
        </w:tc>
        <w:tc>
          <w:tcPr>
            <w:tcW w:w="810" w:type="dxa"/>
            <w:tcBorders>
              <w:top w:val="nil"/>
              <w:left w:val="nil"/>
              <w:bottom w:val="nil"/>
              <w:right w:val="nil"/>
            </w:tcBorders>
          </w:tcPr>
          <w:p w14:paraId="27EF6480" w14:textId="1CDF5485" w:rsidR="00F40D25" w:rsidRPr="00F40D25" w:rsidRDefault="00F40D25" w:rsidP="00F40D25">
            <w:pPr>
              <w:bidi/>
              <w:spacing w:line="276" w:lineRule="auto"/>
              <w:jc w:val="center"/>
              <w:rPr>
                <w:rFonts w:ascii="Times New Roman" w:hAnsi="Times New Roman" w:cs="Traditional Arabic"/>
                <w:sz w:val="20"/>
                <w:szCs w:val="20"/>
                <w:rtl/>
                <w:lang w:bidi="ar-EG"/>
              </w:rPr>
            </w:pPr>
            <w:r w:rsidRPr="00F40D25">
              <w:rPr>
                <w:rFonts w:ascii="Times New Roman" w:hAnsi="Times New Roman" w:cs="Traditional Arabic"/>
                <w:sz w:val="20"/>
                <w:szCs w:val="20"/>
                <w:lang w:bidi="ar-EG"/>
              </w:rPr>
              <w:t>30.8%</w:t>
            </w:r>
          </w:p>
        </w:tc>
        <w:tc>
          <w:tcPr>
            <w:tcW w:w="540" w:type="dxa"/>
            <w:tcBorders>
              <w:top w:val="nil"/>
              <w:left w:val="nil"/>
              <w:bottom w:val="nil"/>
              <w:right w:val="nil"/>
            </w:tcBorders>
          </w:tcPr>
          <w:p w14:paraId="25EF40B1" w14:textId="09FA63E0" w:rsidR="00F40D25" w:rsidRPr="00F40D25" w:rsidRDefault="00F40D25" w:rsidP="00F40D25">
            <w:pPr>
              <w:bidi/>
              <w:spacing w:line="276" w:lineRule="auto"/>
              <w:jc w:val="center"/>
              <w:rPr>
                <w:rFonts w:ascii="Times New Roman" w:hAnsi="Times New Roman" w:cs="Traditional Arabic"/>
                <w:sz w:val="20"/>
                <w:szCs w:val="20"/>
                <w:rtl/>
                <w:lang w:bidi="ar-EG"/>
              </w:rPr>
            </w:pPr>
            <w:r w:rsidRPr="00F40D25">
              <w:rPr>
                <w:rFonts w:ascii="Times New Roman" w:hAnsi="Times New Roman" w:cs="Traditional Arabic"/>
                <w:sz w:val="20"/>
                <w:szCs w:val="20"/>
                <w:lang w:bidi="ar-EG"/>
              </w:rPr>
              <w:t>37</w:t>
            </w:r>
          </w:p>
        </w:tc>
        <w:tc>
          <w:tcPr>
            <w:tcW w:w="1350" w:type="dxa"/>
            <w:tcBorders>
              <w:top w:val="nil"/>
              <w:left w:val="nil"/>
              <w:bottom w:val="nil"/>
              <w:right w:val="nil"/>
            </w:tcBorders>
            <w:vAlign w:val="center"/>
          </w:tcPr>
          <w:p w14:paraId="669196FF" w14:textId="64BAA346" w:rsidR="00F40D25" w:rsidRPr="00F40D25" w:rsidRDefault="00F40D25" w:rsidP="00F40D25">
            <w:pPr>
              <w:bidi/>
              <w:jc w:val="center"/>
              <w:rPr>
                <w:rFonts w:ascii="Traditional Arabic" w:eastAsia="Times New Roman" w:hAnsi="Traditional Arabic" w:cs="Traditional Arabic"/>
                <w:sz w:val="20"/>
                <w:szCs w:val="20"/>
                <w:rtl/>
              </w:rPr>
            </w:pPr>
            <w:r w:rsidRPr="00F40D25">
              <w:rPr>
                <w:rFonts w:ascii="Traditional Arabic" w:eastAsia="Times New Roman" w:hAnsi="Traditional Arabic" w:cs="Traditional Arabic"/>
                <w:sz w:val="20"/>
                <w:szCs w:val="20"/>
              </w:rPr>
              <w:t>EOT</w:t>
            </w:r>
          </w:p>
        </w:tc>
      </w:tr>
      <w:tr w:rsidR="00F40D25" w:rsidRPr="00F40D25" w14:paraId="12DAF030" w14:textId="25D8668B" w:rsidTr="00C30768">
        <w:tc>
          <w:tcPr>
            <w:tcW w:w="630" w:type="dxa"/>
            <w:tcBorders>
              <w:top w:val="nil"/>
              <w:left w:val="nil"/>
              <w:bottom w:val="single" w:sz="4" w:space="0" w:color="auto"/>
              <w:right w:val="nil"/>
            </w:tcBorders>
          </w:tcPr>
          <w:p w14:paraId="02B3667C" w14:textId="69D80228" w:rsidR="00F40D25" w:rsidRPr="00F40D25" w:rsidRDefault="00F40D25" w:rsidP="00F40D25">
            <w:pPr>
              <w:bidi/>
              <w:spacing w:line="276" w:lineRule="auto"/>
              <w:jc w:val="center"/>
              <w:rPr>
                <w:rFonts w:ascii="Times New Roman" w:hAnsi="Times New Roman" w:cs="Traditional Arabic"/>
                <w:sz w:val="28"/>
                <w:szCs w:val="28"/>
                <w:rtl/>
                <w:lang w:bidi="ar-EG"/>
              </w:rPr>
            </w:pPr>
          </w:p>
        </w:tc>
        <w:tc>
          <w:tcPr>
            <w:tcW w:w="1080" w:type="dxa"/>
            <w:tcBorders>
              <w:top w:val="nil"/>
              <w:left w:val="nil"/>
              <w:bottom w:val="single" w:sz="4" w:space="0" w:color="auto"/>
              <w:right w:val="nil"/>
            </w:tcBorders>
          </w:tcPr>
          <w:p w14:paraId="376F43A4" w14:textId="508427C2" w:rsidR="00F40D25" w:rsidRPr="00F40D25" w:rsidRDefault="00F40D25" w:rsidP="00F40D25">
            <w:pPr>
              <w:bidi/>
              <w:spacing w:line="276" w:lineRule="auto"/>
              <w:jc w:val="center"/>
              <w:rPr>
                <w:rFonts w:ascii="Times New Roman" w:hAnsi="Times New Roman" w:cs="Traditional Arabic"/>
                <w:sz w:val="20"/>
                <w:szCs w:val="20"/>
                <w:rtl/>
                <w:lang w:bidi="ar-EG"/>
              </w:rPr>
            </w:pPr>
            <w:r w:rsidRPr="00F40D25">
              <w:rPr>
                <w:rFonts w:ascii="Times New Roman" w:hAnsi="Times New Roman" w:cs="Traditional Arabic"/>
                <w:sz w:val="20"/>
                <w:szCs w:val="20"/>
                <w:lang w:bidi="ar-EG"/>
              </w:rPr>
              <w:t>27.79</w:t>
            </w:r>
          </w:p>
        </w:tc>
        <w:tc>
          <w:tcPr>
            <w:tcW w:w="900" w:type="dxa"/>
            <w:tcBorders>
              <w:top w:val="nil"/>
              <w:left w:val="nil"/>
              <w:bottom w:val="single" w:sz="4" w:space="0" w:color="auto"/>
              <w:right w:val="nil"/>
            </w:tcBorders>
          </w:tcPr>
          <w:p w14:paraId="4282C4F2" w14:textId="15E61936" w:rsidR="00F40D25" w:rsidRPr="00F40D25" w:rsidRDefault="00F40D25" w:rsidP="00F40D25">
            <w:pPr>
              <w:bidi/>
              <w:spacing w:line="276" w:lineRule="auto"/>
              <w:jc w:val="center"/>
              <w:rPr>
                <w:rFonts w:ascii="Times New Roman" w:hAnsi="Times New Roman" w:cs="Traditional Arabic"/>
                <w:sz w:val="20"/>
                <w:szCs w:val="20"/>
                <w:rtl/>
                <w:lang w:bidi="ar-EG"/>
              </w:rPr>
            </w:pPr>
            <w:r w:rsidRPr="00F40D25">
              <w:rPr>
                <w:rFonts w:ascii="Times New Roman" w:hAnsi="Times New Roman" w:cs="Traditional Arabic"/>
                <w:sz w:val="20"/>
                <w:szCs w:val="20"/>
                <w:lang w:bidi="ar-EG"/>
              </w:rPr>
              <w:t>68.15</w:t>
            </w:r>
          </w:p>
        </w:tc>
        <w:tc>
          <w:tcPr>
            <w:tcW w:w="810" w:type="dxa"/>
            <w:tcBorders>
              <w:top w:val="nil"/>
              <w:left w:val="nil"/>
              <w:bottom w:val="single" w:sz="4" w:space="0" w:color="auto"/>
              <w:right w:val="nil"/>
            </w:tcBorders>
          </w:tcPr>
          <w:p w14:paraId="2DCA44A4" w14:textId="40BC4BF1" w:rsidR="00F40D25" w:rsidRPr="00F40D25" w:rsidRDefault="00F40D25" w:rsidP="00F40D25">
            <w:pPr>
              <w:bidi/>
              <w:spacing w:line="276" w:lineRule="auto"/>
              <w:jc w:val="center"/>
              <w:rPr>
                <w:rFonts w:ascii="Times New Roman" w:hAnsi="Times New Roman" w:cs="Traditional Arabic"/>
                <w:sz w:val="20"/>
                <w:szCs w:val="20"/>
                <w:rtl/>
                <w:lang w:bidi="ar-EG"/>
              </w:rPr>
            </w:pPr>
            <w:r w:rsidRPr="00F40D25">
              <w:rPr>
                <w:rFonts w:ascii="Times New Roman" w:hAnsi="Times New Roman" w:cs="Traditional Arabic"/>
                <w:sz w:val="20"/>
                <w:szCs w:val="20"/>
                <w:lang w:bidi="ar-EG"/>
              </w:rPr>
              <w:t>68.15</w:t>
            </w:r>
          </w:p>
        </w:tc>
        <w:tc>
          <w:tcPr>
            <w:tcW w:w="900" w:type="dxa"/>
            <w:tcBorders>
              <w:top w:val="nil"/>
              <w:left w:val="nil"/>
              <w:bottom w:val="single" w:sz="4" w:space="0" w:color="auto"/>
              <w:right w:val="nil"/>
            </w:tcBorders>
          </w:tcPr>
          <w:p w14:paraId="43B8216B" w14:textId="0E5D99A4" w:rsidR="00F40D25" w:rsidRPr="00F40D25" w:rsidRDefault="00F40D25" w:rsidP="00F40D25">
            <w:pPr>
              <w:bidi/>
              <w:spacing w:line="276" w:lineRule="auto"/>
              <w:jc w:val="center"/>
              <w:rPr>
                <w:rFonts w:ascii="Times New Roman" w:hAnsi="Times New Roman" w:cs="Traditional Arabic"/>
                <w:sz w:val="20"/>
                <w:szCs w:val="20"/>
                <w:rtl/>
                <w:lang w:bidi="ar-EG"/>
              </w:rPr>
            </w:pPr>
            <w:r w:rsidRPr="00F40D25">
              <w:rPr>
                <w:rFonts w:ascii="Times New Roman" w:hAnsi="Times New Roman" w:cs="Traditional Arabic"/>
                <w:sz w:val="20"/>
                <w:szCs w:val="20"/>
                <w:lang w:bidi="ar-EG"/>
              </w:rPr>
              <w:t>44.15%</w:t>
            </w:r>
          </w:p>
        </w:tc>
        <w:tc>
          <w:tcPr>
            <w:tcW w:w="540" w:type="dxa"/>
            <w:tcBorders>
              <w:top w:val="nil"/>
              <w:left w:val="nil"/>
              <w:bottom w:val="single" w:sz="4" w:space="0" w:color="auto"/>
              <w:right w:val="nil"/>
            </w:tcBorders>
          </w:tcPr>
          <w:p w14:paraId="09E6D78C" w14:textId="070EE85A" w:rsidR="00F40D25" w:rsidRPr="00F40D25" w:rsidRDefault="00F40D25" w:rsidP="00F40D25">
            <w:pPr>
              <w:bidi/>
              <w:spacing w:line="276" w:lineRule="auto"/>
              <w:jc w:val="center"/>
              <w:rPr>
                <w:rFonts w:ascii="Times New Roman" w:hAnsi="Times New Roman" w:cs="Traditional Arabic"/>
                <w:sz w:val="20"/>
                <w:szCs w:val="20"/>
                <w:rtl/>
                <w:lang w:bidi="ar-EG"/>
              </w:rPr>
            </w:pPr>
            <w:r w:rsidRPr="00F40D25">
              <w:rPr>
                <w:rFonts w:ascii="Times New Roman" w:hAnsi="Times New Roman" w:cs="Traditional Arabic"/>
                <w:sz w:val="20"/>
                <w:szCs w:val="20"/>
                <w:lang w:bidi="ar-EG"/>
              </w:rPr>
              <w:t>53</w:t>
            </w:r>
          </w:p>
        </w:tc>
        <w:tc>
          <w:tcPr>
            <w:tcW w:w="900" w:type="dxa"/>
            <w:tcBorders>
              <w:top w:val="nil"/>
              <w:left w:val="nil"/>
              <w:bottom w:val="single" w:sz="4" w:space="0" w:color="auto"/>
              <w:right w:val="nil"/>
            </w:tcBorders>
          </w:tcPr>
          <w:p w14:paraId="77E7C8E2" w14:textId="7862DC4B" w:rsidR="00F40D25" w:rsidRPr="00F40D25" w:rsidRDefault="00F40D25" w:rsidP="00F40D25">
            <w:pPr>
              <w:bidi/>
              <w:spacing w:line="276" w:lineRule="auto"/>
              <w:jc w:val="center"/>
              <w:rPr>
                <w:rFonts w:ascii="Times New Roman" w:hAnsi="Times New Roman" w:cs="Traditional Arabic"/>
                <w:sz w:val="20"/>
                <w:szCs w:val="20"/>
                <w:rtl/>
                <w:lang w:bidi="ar-EG"/>
              </w:rPr>
            </w:pPr>
            <w:r w:rsidRPr="00F40D25">
              <w:rPr>
                <w:rFonts w:ascii="Times New Roman" w:hAnsi="Times New Roman" w:cs="Traditional Arabic"/>
                <w:sz w:val="20"/>
                <w:szCs w:val="20"/>
                <w:lang w:bidi="ar-EG"/>
              </w:rPr>
              <w:t>29.15%</w:t>
            </w:r>
          </w:p>
        </w:tc>
        <w:tc>
          <w:tcPr>
            <w:tcW w:w="540" w:type="dxa"/>
            <w:tcBorders>
              <w:top w:val="nil"/>
              <w:left w:val="nil"/>
              <w:bottom w:val="single" w:sz="4" w:space="0" w:color="auto"/>
              <w:right w:val="nil"/>
            </w:tcBorders>
          </w:tcPr>
          <w:p w14:paraId="12127AB1" w14:textId="32B16AC4" w:rsidR="00F40D25" w:rsidRPr="00F40D25" w:rsidRDefault="00F40D25" w:rsidP="00F40D25">
            <w:pPr>
              <w:bidi/>
              <w:spacing w:line="276" w:lineRule="auto"/>
              <w:jc w:val="center"/>
              <w:rPr>
                <w:rFonts w:ascii="Times New Roman" w:hAnsi="Times New Roman" w:cs="Traditional Arabic"/>
                <w:sz w:val="20"/>
                <w:szCs w:val="20"/>
                <w:rtl/>
                <w:lang w:bidi="ar-EG"/>
              </w:rPr>
            </w:pPr>
            <w:r w:rsidRPr="00F40D25">
              <w:rPr>
                <w:rFonts w:ascii="Times New Roman" w:hAnsi="Times New Roman" w:cs="Traditional Arabic"/>
                <w:sz w:val="20"/>
                <w:szCs w:val="20"/>
                <w:lang w:bidi="ar-EG"/>
              </w:rPr>
              <w:t>35</w:t>
            </w:r>
          </w:p>
        </w:tc>
        <w:tc>
          <w:tcPr>
            <w:tcW w:w="810" w:type="dxa"/>
            <w:tcBorders>
              <w:top w:val="nil"/>
              <w:left w:val="nil"/>
              <w:bottom w:val="single" w:sz="4" w:space="0" w:color="auto"/>
              <w:right w:val="nil"/>
            </w:tcBorders>
          </w:tcPr>
          <w:p w14:paraId="69F9A40D" w14:textId="1AD418E8" w:rsidR="00F40D25" w:rsidRPr="00F40D25" w:rsidRDefault="00F40D25" w:rsidP="00F40D25">
            <w:pPr>
              <w:bidi/>
              <w:spacing w:line="276" w:lineRule="auto"/>
              <w:jc w:val="center"/>
              <w:rPr>
                <w:rFonts w:ascii="Times New Roman" w:hAnsi="Times New Roman" w:cs="Traditional Arabic"/>
                <w:sz w:val="20"/>
                <w:szCs w:val="20"/>
                <w:rtl/>
                <w:lang w:bidi="ar-EG"/>
              </w:rPr>
            </w:pPr>
            <w:r w:rsidRPr="00F40D25">
              <w:rPr>
                <w:rFonts w:ascii="Times New Roman" w:hAnsi="Times New Roman" w:cs="Traditional Arabic"/>
                <w:sz w:val="20"/>
                <w:szCs w:val="20"/>
                <w:lang w:bidi="ar-EG"/>
              </w:rPr>
              <w:t>26.7%</w:t>
            </w:r>
          </w:p>
        </w:tc>
        <w:tc>
          <w:tcPr>
            <w:tcW w:w="540" w:type="dxa"/>
            <w:tcBorders>
              <w:top w:val="nil"/>
              <w:left w:val="nil"/>
              <w:bottom w:val="single" w:sz="4" w:space="0" w:color="auto"/>
              <w:right w:val="nil"/>
            </w:tcBorders>
          </w:tcPr>
          <w:p w14:paraId="29177911" w14:textId="16174E3A" w:rsidR="00F40D25" w:rsidRPr="00F40D25" w:rsidRDefault="00F40D25" w:rsidP="00F40D25">
            <w:pPr>
              <w:bidi/>
              <w:spacing w:line="276" w:lineRule="auto"/>
              <w:jc w:val="center"/>
              <w:rPr>
                <w:rFonts w:ascii="Times New Roman" w:hAnsi="Times New Roman" w:cs="Traditional Arabic"/>
                <w:sz w:val="20"/>
                <w:szCs w:val="20"/>
                <w:rtl/>
                <w:lang w:bidi="ar-EG"/>
              </w:rPr>
            </w:pPr>
            <w:r w:rsidRPr="00F40D25">
              <w:rPr>
                <w:rFonts w:ascii="Times New Roman" w:hAnsi="Times New Roman" w:cs="Traditional Arabic"/>
                <w:sz w:val="20"/>
                <w:szCs w:val="20"/>
                <w:lang w:bidi="ar-EG"/>
              </w:rPr>
              <w:t>32</w:t>
            </w:r>
          </w:p>
        </w:tc>
        <w:tc>
          <w:tcPr>
            <w:tcW w:w="1350" w:type="dxa"/>
            <w:tcBorders>
              <w:top w:val="nil"/>
              <w:left w:val="nil"/>
              <w:bottom w:val="single" w:sz="4" w:space="0" w:color="auto"/>
              <w:right w:val="nil"/>
            </w:tcBorders>
            <w:vAlign w:val="center"/>
          </w:tcPr>
          <w:p w14:paraId="048C3BB3" w14:textId="60F15861" w:rsidR="00F40D25" w:rsidRPr="00F40D25" w:rsidRDefault="00F40D25" w:rsidP="00F40D25">
            <w:pPr>
              <w:bidi/>
              <w:jc w:val="center"/>
              <w:rPr>
                <w:rFonts w:ascii="Traditional Arabic" w:eastAsia="Times New Roman" w:hAnsi="Traditional Arabic" w:cs="Traditional Arabic"/>
                <w:sz w:val="20"/>
                <w:szCs w:val="20"/>
                <w:rtl/>
              </w:rPr>
            </w:pPr>
            <w:r w:rsidRPr="00F40D25">
              <w:rPr>
                <w:rFonts w:ascii="Traditional Arabic" w:eastAsia="Times New Roman" w:hAnsi="Traditional Arabic" w:cs="Traditional Arabic"/>
                <w:sz w:val="20"/>
                <w:szCs w:val="20"/>
              </w:rPr>
              <w:t>AS.tot</w:t>
            </w:r>
          </w:p>
        </w:tc>
      </w:tr>
    </w:tbl>
    <w:p w14:paraId="743D10B7" w14:textId="55422D39" w:rsidR="00F40D25" w:rsidRPr="00F40D25" w:rsidRDefault="00F40D25" w:rsidP="00F40D25">
      <w:pPr>
        <w:jc w:val="both"/>
        <w:rPr>
          <w:rFonts w:ascii="Traditional Arabic" w:eastAsia="Times New Roman" w:hAnsi="Traditional Arabic" w:cs="Traditional Arabic"/>
          <w:i/>
          <w:iCs/>
          <w:sz w:val="20"/>
          <w:szCs w:val="20"/>
        </w:rPr>
      </w:pPr>
      <w:r w:rsidRPr="00F40D25">
        <w:rPr>
          <w:rFonts w:ascii="Traditional Arabic" w:eastAsia="Times New Roman" w:hAnsi="Traditional Arabic" w:cs="Traditional Arabic"/>
          <w:i/>
          <w:iCs/>
          <w:sz w:val="20"/>
          <w:szCs w:val="20"/>
        </w:rPr>
        <w:t>Abbreviations: DIF = subscale “difficulties identifying feelings”, DDF = subscale “difficulties describing feelings”, EOT = subscale “externally oriented thinking style</w:t>
      </w:r>
      <w:r w:rsidRPr="00F40D25">
        <w:rPr>
          <w:rFonts w:ascii="Traditional Arabic" w:eastAsia="Times New Roman" w:hAnsi="Traditional Arabic" w:cs="Traditional Arabic"/>
          <w:i/>
          <w:iCs/>
          <w:sz w:val="20"/>
          <w:szCs w:val="20"/>
          <w:rtl/>
        </w:rPr>
        <w:t>”</w:t>
      </w:r>
      <w:r w:rsidRPr="00F40D25">
        <w:rPr>
          <w:rFonts w:ascii="Traditional Arabic" w:eastAsia="Times New Roman" w:hAnsi="Traditional Arabic" w:cs="Traditional Arabic"/>
          <w:i/>
          <w:iCs/>
          <w:sz w:val="20"/>
          <w:szCs w:val="20"/>
        </w:rPr>
        <w:t>, AS.tot, Alexithymia Scale as a total.</w:t>
      </w:r>
    </w:p>
    <w:p w14:paraId="65B72DEC" w14:textId="12CA97DF" w:rsidR="00F40D25" w:rsidRPr="00833A3A" w:rsidRDefault="00F40D25" w:rsidP="00833A3A">
      <w:pPr>
        <w:spacing w:before="240"/>
        <w:jc w:val="both"/>
        <w:rPr>
          <w:rFonts w:asciiTheme="majorHAnsi" w:hAnsiTheme="majorHAnsi" w:cstheme="majorHAnsi"/>
          <w:sz w:val="22"/>
          <w:szCs w:val="22"/>
          <w:rtl/>
        </w:rPr>
      </w:pPr>
      <w:r w:rsidRPr="00833A3A">
        <w:rPr>
          <w:rFonts w:asciiTheme="majorHAnsi" w:hAnsiTheme="majorHAnsi" w:cstheme="majorHAnsi"/>
          <w:sz w:val="22"/>
          <w:szCs w:val="22"/>
        </w:rPr>
        <w:lastRenderedPageBreak/>
        <w:t>Table (</w:t>
      </w:r>
      <w:r w:rsidRPr="00833A3A">
        <w:rPr>
          <w:rFonts w:asciiTheme="majorHAnsi" w:hAnsiTheme="majorHAnsi" w:cstheme="majorHAnsi" w:hint="cs"/>
          <w:sz w:val="22"/>
          <w:szCs w:val="22"/>
          <w:rtl/>
        </w:rPr>
        <w:t>3</w:t>
      </w:r>
      <w:r w:rsidRPr="00833A3A">
        <w:rPr>
          <w:rFonts w:asciiTheme="majorHAnsi" w:hAnsiTheme="majorHAnsi" w:cstheme="majorHAnsi"/>
          <w:sz w:val="22"/>
          <w:szCs w:val="22"/>
        </w:rPr>
        <w:t>) indicates that 44.17% of university students experienced difficulty in identifying feelings, with a relative mean of 62.54. Additionally, 44.15% suffer from difficulty in describing feelings, with a relative mean of 65.16. Furthermore, 40.83% of the participants exhibited externally oriented thinking, with a relative mean of 68.15. Overall, 44.15% of university students suffer from alexithymia overall, with a relative mean of 68.15. On the basis of the findings in Table (2), the symptoms of alexithymia among students can be ranked as follows: externally oriented thinking, difficulty identifying feelings, and difficulty describing feelings</w:t>
      </w:r>
      <w:r w:rsidRPr="00833A3A">
        <w:rPr>
          <w:rFonts w:asciiTheme="majorHAnsi" w:hAnsiTheme="majorHAnsi" w:cstheme="majorHAnsi"/>
          <w:sz w:val="22"/>
          <w:szCs w:val="22"/>
          <w:rtl/>
        </w:rPr>
        <w:t>.</w:t>
      </w:r>
    </w:p>
    <w:p w14:paraId="3F6990E0" w14:textId="53C1174F" w:rsidR="00F40D25" w:rsidRPr="00833A3A" w:rsidRDefault="00F40D25" w:rsidP="00833A3A">
      <w:pPr>
        <w:spacing w:before="240"/>
        <w:jc w:val="both"/>
        <w:rPr>
          <w:rFonts w:asciiTheme="majorHAnsi" w:hAnsiTheme="majorHAnsi" w:cstheme="majorHAnsi"/>
          <w:sz w:val="22"/>
          <w:szCs w:val="22"/>
        </w:rPr>
      </w:pPr>
      <w:r w:rsidRPr="00833A3A">
        <w:rPr>
          <w:rFonts w:asciiTheme="majorHAnsi" w:hAnsiTheme="majorHAnsi" w:cstheme="majorHAnsi"/>
          <w:sz w:val="22"/>
          <w:szCs w:val="22"/>
        </w:rPr>
        <w:t>To test the validity of the first hypothesis, "University students have a high level of alexithymia", a t-test was used for one independent sample to determine the significance of the difference between the mean scores of students on the dimensions of the alexithymia scale and the hypothetical mean for those dimensions to determine the level of alexithymia among university students. The results are shown in Table (4).</w:t>
      </w:r>
    </w:p>
    <w:p w14:paraId="4FE7A88E" w14:textId="44EEE891" w:rsidR="00F40D25" w:rsidRPr="00833A3A" w:rsidRDefault="00F40D25" w:rsidP="00A36E39">
      <w:pPr>
        <w:tabs>
          <w:tab w:val="left" w:pos="9355"/>
        </w:tabs>
        <w:spacing w:before="240" w:after="120"/>
        <w:jc w:val="center"/>
        <w:rPr>
          <w:rFonts w:asciiTheme="majorHAnsi" w:hAnsiTheme="majorHAnsi" w:cstheme="majorHAnsi"/>
          <w:color w:val="000000" w:themeColor="text1"/>
          <w:sz w:val="22"/>
          <w:szCs w:val="22"/>
        </w:rPr>
      </w:pPr>
      <w:r w:rsidRPr="00833A3A">
        <w:rPr>
          <w:rFonts w:asciiTheme="majorHAnsi" w:hAnsiTheme="majorHAnsi" w:cstheme="majorHAnsi"/>
          <w:color w:val="000000" w:themeColor="text1"/>
          <w:sz w:val="22"/>
          <w:szCs w:val="22"/>
        </w:rPr>
        <w:t xml:space="preserve">Table 4. Means, </w:t>
      </w:r>
      <w:r w:rsidR="00A36E39" w:rsidRPr="00833A3A">
        <w:rPr>
          <w:rFonts w:asciiTheme="majorHAnsi" w:hAnsiTheme="majorHAnsi" w:cstheme="majorHAnsi"/>
          <w:color w:val="000000" w:themeColor="text1"/>
          <w:sz w:val="22"/>
          <w:szCs w:val="22"/>
        </w:rPr>
        <w:t>Standard Deviations</w:t>
      </w:r>
      <w:r w:rsidRPr="00833A3A">
        <w:rPr>
          <w:rFonts w:asciiTheme="majorHAnsi" w:hAnsiTheme="majorHAnsi" w:cstheme="majorHAnsi"/>
          <w:color w:val="000000" w:themeColor="text1"/>
          <w:sz w:val="22"/>
          <w:szCs w:val="22"/>
        </w:rPr>
        <w:t xml:space="preserve">, </w:t>
      </w:r>
      <w:r w:rsidR="00A36E39" w:rsidRPr="00833A3A">
        <w:rPr>
          <w:rFonts w:asciiTheme="majorHAnsi" w:hAnsiTheme="majorHAnsi" w:cstheme="majorHAnsi"/>
          <w:color w:val="000000" w:themeColor="text1"/>
          <w:sz w:val="22"/>
          <w:szCs w:val="22"/>
        </w:rPr>
        <w:t>Hypothetical Means</w:t>
      </w:r>
      <w:r w:rsidRPr="00833A3A">
        <w:rPr>
          <w:rFonts w:asciiTheme="majorHAnsi" w:hAnsiTheme="majorHAnsi" w:cstheme="majorHAnsi"/>
          <w:color w:val="000000" w:themeColor="text1"/>
          <w:sz w:val="22"/>
          <w:szCs w:val="22"/>
        </w:rPr>
        <w:t xml:space="preserve">, and (t) </w:t>
      </w:r>
      <w:r w:rsidR="00A36E39" w:rsidRPr="00833A3A">
        <w:rPr>
          <w:rFonts w:asciiTheme="majorHAnsi" w:hAnsiTheme="majorHAnsi" w:cstheme="majorHAnsi"/>
          <w:color w:val="000000" w:themeColor="text1"/>
          <w:sz w:val="22"/>
          <w:szCs w:val="22"/>
        </w:rPr>
        <w:t xml:space="preserve">Values </w:t>
      </w:r>
      <w:r w:rsidRPr="00833A3A">
        <w:rPr>
          <w:rFonts w:asciiTheme="majorHAnsi" w:hAnsiTheme="majorHAnsi" w:cstheme="majorHAnsi"/>
          <w:color w:val="000000" w:themeColor="text1"/>
          <w:sz w:val="22"/>
          <w:szCs w:val="22"/>
        </w:rPr>
        <w:t xml:space="preserve">for </w:t>
      </w:r>
      <w:r w:rsidR="00A36E39" w:rsidRPr="00833A3A">
        <w:rPr>
          <w:rFonts w:asciiTheme="majorHAnsi" w:hAnsiTheme="majorHAnsi" w:cstheme="majorHAnsi"/>
          <w:color w:val="000000" w:themeColor="text1"/>
          <w:sz w:val="22"/>
          <w:szCs w:val="22"/>
        </w:rPr>
        <w:t xml:space="preserve">One Sample </w:t>
      </w:r>
      <w:r w:rsidRPr="00833A3A">
        <w:rPr>
          <w:rFonts w:asciiTheme="majorHAnsi" w:hAnsiTheme="majorHAnsi" w:cstheme="majorHAnsi"/>
          <w:color w:val="000000" w:themeColor="text1"/>
          <w:sz w:val="22"/>
          <w:szCs w:val="22"/>
        </w:rPr>
        <w:t xml:space="preserve">to determine the </w:t>
      </w:r>
      <w:r w:rsidR="00A36E39" w:rsidRPr="00833A3A">
        <w:rPr>
          <w:rFonts w:asciiTheme="majorHAnsi" w:hAnsiTheme="majorHAnsi" w:cstheme="majorHAnsi"/>
          <w:color w:val="000000" w:themeColor="text1"/>
          <w:sz w:val="22"/>
          <w:szCs w:val="22"/>
        </w:rPr>
        <w:t xml:space="preserve">Level </w:t>
      </w:r>
      <w:r w:rsidRPr="00833A3A">
        <w:rPr>
          <w:rFonts w:asciiTheme="majorHAnsi" w:hAnsiTheme="majorHAnsi" w:cstheme="majorHAnsi"/>
          <w:color w:val="000000" w:themeColor="text1"/>
          <w:sz w:val="22"/>
          <w:szCs w:val="22"/>
        </w:rPr>
        <w:t xml:space="preserve">of </w:t>
      </w:r>
      <w:r w:rsidR="00A36E39" w:rsidRPr="00833A3A">
        <w:rPr>
          <w:rFonts w:asciiTheme="majorHAnsi" w:hAnsiTheme="majorHAnsi" w:cstheme="majorHAnsi"/>
          <w:color w:val="000000" w:themeColor="text1"/>
          <w:sz w:val="22"/>
          <w:szCs w:val="22"/>
        </w:rPr>
        <w:t xml:space="preserve">Alexithymia </w:t>
      </w:r>
      <w:r w:rsidRPr="00833A3A">
        <w:rPr>
          <w:rFonts w:asciiTheme="majorHAnsi" w:hAnsiTheme="majorHAnsi" w:cstheme="majorHAnsi"/>
          <w:color w:val="000000" w:themeColor="text1"/>
          <w:sz w:val="22"/>
          <w:szCs w:val="22"/>
        </w:rPr>
        <w:t xml:space="preserve">among </w:t>
      </w:r>
      <w:r w:rsidR="00A36E39" w:rsidRPr="00833A3A">
        <w:rPr>
          <w:rFonts w:asciiTheme="majorHAnsi" w:hAnsiTheme="majorHAnsi" w:cstheme="majorHAnsi"/>
          <w:color w:val="000000" w:themeColor="text1"/>
          <w:sz w:val="22"/>
          <w:szCs w:val="22"/>
        </w:rPr>
        <w:t>University Students</w:t>
      </w:r>
    </w:p>
    <w:tbl>
      <w:tblPr>
        <w:tblStyle w:val="10"/>
        <w:tblpPr w:leftFromText="180" w:rightFromText="180" w:vertAnchor="text" w:horzAnchor="margin" w:tblpXSpec="center" w:tblpY="235"/>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350"/>
        <w:gridCol w:w="630"/>
        <w:gridCol w:w="810"/>
        <w:gridCol w:w="1260"/>
        <w:gridCol w:w="720"/>
        <w:gridCol w:w="720"/>
        <w:gridCol w:w="810"/>
        <w:gridCol w:w="1260"/>
      </w:tblGrid>
      <w:tr w:rsidR="00F40D25" w:rsidRPr="00F40D25" w14:paraId="721AB6DD" w14:textId="20656C26" w:rsidTr="00C30768">
        <w:trPr>
          <w:trHeight w:val="532"/>
        </w:trPr>
        <w:tc>
          <w:tcPr>
            <w:tcW w:w="1350" w:type="dxa"/>
            <w:tcBorders>
              <w:bottom w:val="single" w:sz="4" w:space="0" w:color="auto"/>
            </w:tcBorders>
          </w:tcPr>
          <w:p w14:paraId="053A3EDC" w14:textId="327A4A9B" w:rsidR="00F40D25" w:rsidRPr="00F40D25" w:rsidRDefault="00F40D25" w:rsidP="00F40D25">
            <w:pPr>
              <w:spacing w:line="276" w:lineRule="auto"/>
              <w:jc w:val="center"/>
              <w:rPr>
                <w:rFonts w:ascii="Times New Roman" w:hAnsi="Times New Roman" w:cs="Times New Roman"/>
                <w:b/>
                <w:bCs/>
                <w:sz w:val="20"/>
                <w:szCs w:val="20"/>
              </w:rPr>
            </w:pPr>
            <w:r w:rsidRPr="00F40D25">
              <w:rPr>
                <w:rFonts w:ascii="Times New Roman" w:hAnsi="Times New Roman" w:cs="Times New Roman"/>
                <w:b/>
                <w:bCs/>
                <w:sz w:val="20"/>
                <w:szCs w:val="20"/>
              </w:rPr>
              <w:t>Alexithymia</w:t>
            </w:r>
          </w:p>
          <w:p w14:paraId="268A2749" w14:textId="188CF21B" w:rsidR="00F40D25" w:rsidRPr="00F40D25" w:rsidRDefault="00F40D25" w:rsidP="00F40D25">
            <w:pPr>
              <w:spacing w:line="276" w:lineRule="auto"/>
              <w:jc w:val="center"/>
              <w:rPr>
                <w:rFonts w:ascii="Times New Roman" w:hAnsi="Times New Roman" w:cs="Times New Roman"/>
                <w:b/>
                <w:bCs/>
                <w:sz w:val="20"/>
                <w:szCs w:val="20"/>
              </w:rPr>
            </w:pPr>
            <w:r w:rsidRPr="00F40D25">
              <w:rPr>
                <w:rFonts w:ascii="Times New Roman" w:hAnsi="Times New Roman" w:cs="Times New Roman"/>
                <w:b/>
                <w:bCs/>
                <w:sz w:val="20"/>
                <w:szCs w:val="20"/>
              </w:rPr>
              <w:t>Dimensions</w:t>
            </w:r>
          </w:p>
        </w:tc>
        <w:tc>
          <w:tcPr>
            <w:tcW w:w="630" w:type="dxa"/>
            <w:tcBorders>
              <w:bottom w:val="single" w:sz="4" w:space="0" w:color="auto"/>
            </w:tcBorders>
          </w:tcPr>
          <w:p w14:paraId="1D11D930" w14:textId="7230A875" w:rsidR="00F40D25" w:rsidRPr="00F40D25" w:rsidRDefault="00F40D25" w:rsidP="00F40D25">
            <w:pPr>
              <w:spacing w:line="276" w:lineRule="auto"/>
              <w:jc w:val="center"/>
              <w:rPr>
                <w:rFonts w:ascii="Times New Roman" w:hAnsi="Times New Roman" w:cs="Times New Roman"/>
                <w:b/>
                <w:bCs/>
                <w:sz w:val="20"/>
                <w:szCs w:val="20"/>
              </w:rPr>
            </w:pPr>
            <w:r w:rsidRPr="00F40D25">
              <w:rPr>
                <w:rFonts w:ascii="Times New Roman" w:hAnsi="Times New Roman" w:cs="Times New Roman"/>
                <w:b/>
                <w:bCs/>
                <w:sz w:val="20"/>
                <w:szCs w:val="20"/>
              </w:rPr>
              <w:t>N</w:t>
            </w:r>
          </w:p>
        </w:tc>
        <w:tc>
          <w:tcPr>
            <w:tcW w:w="810" w:type="dxa"/>
            <w:tcBorders>
              <w:bottom w:val="single" w:sz="4" w:space="0" w:color="auto"/>
            </w:tcBorders>
          </w:tcPr>
          <w:p w14:paraId="50C5CCB8" w14:textId="4FBB889D" w:rsidR="00F40D25" w:rsidRPr="00F40D25" w:rsidRDefault="00F40D25" w:rsidP="00F40D25">
            <w:pPr>
              <w:spacing w:line="276" w:lineRule="auto"/>
              <w:jc w:val="center"/>
              <w:rPr>
                <w:rFonts w:ascii="Times New Roman" w:hAnsi="Times New Roman" w:cs="Times New Roman"/>
                <w:b/>
                <w:bCs/>
                <w:sz w:val="20"/>
                <w:szCs w:val="20"/>
              </w:rPr>
            </w:pPr>
            <w:r w:rsidRPr="00F40D25">
              <w:rPr>
                <w:rFonts w:ascii="Times New Roman" w:hAnsi="Times New Roman" w:cs="Times New Roman"/>
                <w:b/>
                <w:bCs/>
                <w:sz w:val="20"/>
                <w:szCs w:val="20"/>
              </w:rPr>
              <w:t>Mean</w:t>
            </w:r>
          </w:p>
        </w:tc>
        <w:tc>
          <w:tcPr>
            <w:tcW w:w="1260" w:type="dxa"/>
            <w:tcBorders>
              <w:bottom w:val="single" w:sz="4" w:space="0" w:color="auto"/>
            </w:tcBorders>
          </w:tcPr>
          <w:p w14:paraId="4F4B9738" w14:textId="6874CF77" w:rsidR="00F40D25" w:rsidRPr="00F40D25" w:rsidRDefault="00F40D25" w:rsidP="00F40D25">
            <w:pPr>
              <w:tabs>
                <w:tab w:val="left" w:pos="180"/>
                <w:tab w:val="center" w:pos="442"/>
              </w:tabs>
              <w:spacing w:line="276" w:lineRule="auto"/>
              <w:jc w:val="center"/>
              <w:rPr>
                <w:rFonts w:ascii="Times New Roman" w:hAnsi="Times New Roman" w:cs="Times New Roman"/>
                <w:b/>
                <w:bCs/>
                <w:sz w:val="20"/>
                <w:szCs w:val="20"/>
              </w:rPr>
            </w:pPr>
            <w:r w:rsidRPr="00F40D25">
              <w:rPr>
                <w:rFonts w:ascii="Times New Roman" w:hAnsi="Times New Roman" w:cs="Times New Roman"/>
                <w:b/>
                <w:bCs/>
                <w:sz w:val="20"/>
                <w:szCs w:val="20"/>
              </w:rPr>
              <w:t>Hypothetical mean</w:t>
            </w:r>
          </w:p>
        </w:tc>
        <w:tc>
          <w:tcPr>
            <w:tcW w:w="720" w:type="dxa"/>
            <w:tcBorders>
              <w:bottom w:val="single" w:sz="4" w:space="0" w:color="auto"/>
            </w:tcBorders>
          </w:tcPr>
          <w:p w14:paraId="21F51A29" w14:textId="6447FFAA" w:rsidR="00F40D25" w:rsidRPr="00F40D25" w:rsidRDefault="00F40D25" w:rsidP="00F40D25">
            <w:pPr>
              <w:spacing w:line="276" w:lineRule="auto"/>
              <w:jc w:val="center"/>
              <w:rPr>
                <w:rFonts w:ascii="Times New Roman" w:hAnsi="Times New Roman" w:cs="Times New Roman"/>
                <w:b/>
                <w:bCs/>
                <w:sz w:val="20"/>
                <w:szCs w:val="20"/>
              </w:rPr>
            </w:pPr>
            <w:r w:rsidRPr="00F40D25">
              <w:rPr>
                <w:rFonts w:ascii="Times New Roman" w:hAnsi="Times New Roman" w:cs="Times New Roman"/>
                <w:b/>
                <w:bCs/>
                <w:sz w:val="20"/>
                <w:szCs w:val="20"/>
              </w:rPr>
              <w:t>SD</w:t>
            </w:r>
          </w:p>
        </w:tc>
        <w:tc>
          <w:tcPr>
            <w:tcW w:w="720" w:type="dxa"/>
            <w:tcBorders>
              <w:bottom w:val="single" w:sz="4" w:space="0" w:color="auto"/>
            </w:tcBorders>
          </w:tcPr>
          <w:p w14:paraId="52F95010" w14:textId="39280B21" w:rsidR="00F40D25" w:rsidRPr="00F40D25" w:rsidRDefault="00F40D25" w:rsidP="00F40D25">
            <w:pPr>
              <w:spacing w:line="276" w:lineRule="auto"/>
              <w:jc w:val="center"/>
              <w:rPr>
                <w:rFonts w:ascii="Times New Roman" w:hAnsi="Times New Roman" w:cs="Times New Roman"/>
                <w:b/>
                <w:bCs/>
                <w:sz w:val="20"/>
                <w:szCs w:val="20"/>
              </w:rPr>
            </w:pPr>
            <w:r w:rsidRPr="00F40D25">
              <w:rPr>
                <w:rFonts w:ascii="Times New Roman" w:hAnsi="Times New Roman" w:cs="Times New Roman"/>
                <w:b/>
                <w:bCs/>
                <w:sz w:val="20"/>
                <w:szCs w:val="20"/>
              </w:rPr>
              <w:t>t- test</w:t>
            </w:r>
          </w:p>
        </w:tc>
        <w:tc>
          <w:tcPr>
            <w:tcW w:w="810" w:type="dxa"/>
            <w:tcBorders>
              <w:bottom w:val="single" w:sz="4" w:space="0" w:color="auto"/>
            </w:tcBorders>
          </w:tcPr>
          <w:p w14:paraId="4181665B" w14:textId="503FB9D1" w:rsidR="00F40D25" w:rsidRPr="00F40D25" w:rsidRDefault="00F40D25" w:rsidP="00F40D25">
            <w:pPr>
              <w:spacing w:line="276" w:lineRule="auto"/>
              <w:jc w:val="center"/>
              <w:rPr>
                <w:rFonts w:ascii="Times New Roman" w:hAnsi="Times New Roman" w:cs="Times New Roman"/>
                <w:b/>
                <w:bCs/>
                <w:sz w:val="20"/>
                <w:szCs w:val="20"/>
              </w:rPr>
            </w:pPr>
            <w:r w:rsidRPr="00F40D25">
              <w:rPr>
                <w:rFonts w:ascii="Times New Roman" w:hAnsi="Times New Roman" w:cs="Times New Roman"/>
                <w:b/>
                <w:bCs/>
                <w:sz w:val="20"/>
                <w:szCs w:val="20"/>
              </w:rPr>
              <w:t>Sign.</w:t>
            </w:r>
          </w:p>
        </w:tc>
        <w:tc>
          <w:tcPr>
            <w:tcW w:w="1260" w:type="dxa"/>
            <w:tcBorders>
              <w:bottom w:val="single" w:sz="4" w:space="0" w:color="auto"/>
            </w:tcBorders>
          </w:tcPr>
          <w:p w14:paraId="1C408428" w14:textId="37C8760C" w:rsidR="00F40D25" w:rsidRPr="00F40D25" w:rsidRDefault="00F40D25" w:rsidP="00F40D25">
            <w:pPr>
              <w:tabs>
                <w:tab w:val="left" w:pos="0"/>
              </w:tabs>
              <w:bidi/>
              <w:spacing w:line="276" w:lineRule="auto"/>
              <w:ind w:left="-90" w:right="-244"/>
              <w:jc w:val="center"/>
              <w:rPr>
                <w:rFonts w:ascii="Times New Roman" w:hAnsi="Times New Roman" w:cs="Times New Roman"/>
                <w:b/>
                <w:bCs/>
                <w:sz w:val="20"/>
                <w:szCs w:val="20"/>
              </w:rPr>
            </w:pPr>
            <w:r w:rsidRPr="00F40D25">
              <w:rPr>
                <w:rFonts w:ascii="Times New Roman" w:hAnsi="Times New Roman" w:cs="Times New Roman"/>
                <w:b/>
                <w:bCs/>
                <w:sz w:val="20"/>
                <w:szCs w:val="20"/>
              </w:rPr>
              <w:t>The Level</w:t>
            </w:r>
          </w:p>
        </w:tc>
      </w:tr>
      <w:tr w:rsidR="00F40D25" w:rsidRPr="00F40D25" w14:paraId="1C870E8A" w14:textId="2DC17FED" w:rsidTr="00C30768">
        <w:trPr>
          <w:trHeight w:val="202"/>
        </w:trPr>
        <w:tc>
          <w:tcPr>
            <w:tcW w:w="1350" w:type="dxa"/>
            <w:tcBorders>
              <w:bottom w:val="nil"/>
            </w:tcBorders>
            <w:vAlign w:val="center"/>
          </w:tcPr>
          <w:p w14:paraId="05E62F4E" w14:textId="12E53904" w:rsidR="00F40D25" w:rsidRPr="00F40D25" w:rsidRDefault="00F40D25" w:rsidP="00F40D25">
            <w:pPr>
              <w:spacing w:line="276" w:lineRule="auto"/>
              <w:jc w:val="center"/>
              <w:rPr>
                <w:rFonts w:ascii="Times New Roman" w:hAnsi="Times New Roman" w:cs="Times New Roman"/>
                <w:sz w:val="20"/>
                <w:szCs w:val="20"/>
                <w:rtl/>
              </w:rPr>
            </w:pPr>
            <w:r w:rsidRPr="00F40D25">
              <w:rPr>
                <w:rFonts w:ascii="Times New Roman" w:hAnsi="Times New Roman" w:cs="Times New Roman"/>
                <w:sz w:val="20"/>
                <w:szCs w:val="20"/>
              </w:rPr>
              <w:t>DIF</w:t>
            </w:r>
          </w:p>
        </w:tc>
        <w:tc>
          <w:tcPr>
            <w:tcW w:w="630" w:type="dxa"/>
            <w:tcBorders>
              <w:bottom w:val="nil"/>
            </w:tcBorders>
          </w:tcPr>
          <w:p w14:paraId="6AB16FEA" w14:textId="7EC91781" w:rsidR="00F40D25" w:rsidRPr="00F40D25" w:rsidRDefault="00F40D25" w:rsidP="00F40D25">
            <w:pPr>
              <w:spacing w:line="276" w:lineRule="auto"/>
              <w:jc w:val="center"/>
              <w:rPr>
                <w:rFonts w:ascii="Times New Roman" w:hAnsi="Times New Roman" w:cs="Times New Roman"/>
                <w:sz w:val="20"/>
                <w:szCs w:val="20"/>
              </w:rPr>
            </w:pPr>
            <w:r w:rsidRPr="00F40D25">
              <w:rPr>
                <w:rFonts w:ascii="Times New Roman" w:hAnsi="Times New Roman" w:cs="Times New Roman"/>
                <w:sz w:val="20"/>
                <w:szCs w:val="20"/>
              </w:rPr>
              <w:t>120</w:t>
            </w:r>
          </w:p>
        </w:tc>
        <w:tc>
          <w:tcPr>
            <w:tcW w:w="810" w:type="dxa"/>
            <w:tcBorders>
              <w:bottom w:val="nil"/>
            </w:tcBorders>
          </w:tcPr>
          <w:p w14:paraId="341F6722" w14:textId="0397B3E4" w:rsidR="00F40D25" w:rsidRPr="00F40D25" w:rsidRDefault="00F40D25" w:rsidP="00F40D25">
            <w:pPr>
              <w:spacing w:line="276" w:lineRule="auto"/>
              <w:jc w:val="center"/>
              <w:rPr>
                <w:rFonts w:ascii="Times New Roman" w:hAnsi="Times New Roman" w:cs="Times New Roman"/>
                <w:sz w:val="20"/>
                <w:szCs w:val="20"/>
              </w:rPr>
            </w:pPr>
            <w:r w:rsidRPr="00F40D25">
              <w:rPr>
                <w:rFonts w:ascii="Times New Roman" w:hAnsi="Times New Roman" w:cs="Times New Roman"/>
                <w:sz w:val="20"/>
                <w:szCs w:val="20"/>
              </w:rPr>
              <w:t>23.96</w:t>
            </w:r>
          </w:p>
        </w:tc>
        <w:tc>
          <w:tcPr>
            <w:tcW w:w="1260" w:type="dxa"/>
            <w:tcBorders>
              <w:bottom w:val="nil"/>
            </w:tcBorders>
          </w:tcPr>
          <w:p w14:paraId="33C4583F" w14:textId="6DDCE766" w:rsidR="00F40D25" w:rsidRPr="00F40D25" w:rsidRDefault="00F40D25" w:rsidP="00F40D25">
            <w:pPr>
              <w:spacing w:line="276" w:lineRule="auto"/>
              <w:jc w:val="center"/>
              <w:rPr>
                <w:rFonts w:ascii="Times New Roman" w:hAnsi="Times New Roman" w:cs="Times New Roman"/>
                <w:sz w:val="20"/>
                <w:szCs w:val="20"/>
              </w:rPr>
            </w:pPr>
            <w:r w:rsidRPr="00F40D25">
              <w:rPr>
                <w:rFonts w:ascii="Times New Roman" w:hAnsi="Times New Roman" w:cs="Times New Roman"/>
                <w:sz w:val="20"/>
                <w:szCs w:val="20"/>
              </w:rPr>
              <w:t>20</w:t>
            </w:r>
          </w:p>
        </w:tc>
        <w:tc>
          <w:tcPr>
            <w:tcW w:w="720" w:type="dxa"/>
            <w:tcBorders>
              <w:bottom w:val="nil"/>
            </w:tcBorders>
          </w:tcPr>
          <w:p w14:paraId="0E7A3B03" w14:textId="4EA62F63" w:rsidR="00F40D25" w:rsidRPr="00F40D25" w:rsidRDefault="00F40D25" w:rsidP="00F40D25">
            <w:pPr>
              <w:spacing w:line="276" w:lineRule="auto"/>
              <w:jc w:val="center"/>
              <w:rPr>
                <w:rFonts w:ascii="Times New Roman" w:hAnsi="Times New Roman" w:cs="Times New Roman"/>
                <w:sz w:val="20"/>
                <w:szCs w:val="20"/>
              </w:rPr>
            </w:pPr>
            <w:r w:rsidRPr="00F40D25">
              <w:rPr>
                <w:rFonts w:ascii="Times New Roman" w:hAnsi="Times New Roman" w:cs="Times New Roman"/>
                <w:sz w:val="20"/>
                <w:szCs w:val="20"/>
              </w:rPr>
              <w:t>10.00</w:t>
            </w:r>
          </w:p>
        </w:tc>
        <w:tc>
          <w:tcPr>
            <w:tcW w:w="720" w:type="dxa"/>
            <w:tcBorders>
              <w:bottom w:val="nil"/>
            </w:tcBorders>
          </w:tcPr>
          <w:p w14:paraId="02369891" w14:textId="124B2B8C" w:rsidR="00F40D25" w:rsidRPr="00F40D25" w:rsidRDefault="00F40D25" w:rsidP="00F40D25">
            <w:pPr>
              <w:spacing w:line="276" w:lineRule="auto"/>
              <w:jc w:val="center"/>
              <w:rPr>
                <w:rFonts w:ascii="Times New Roman" w:hAnsi="Times New Roman" w:cs="Times New Roman"/>
                <w:sz w:val="20"/>
                <w:szCs w:val="20"/>
                <w:rtl/>
              </w:rPr>
            </w:pPr>
            <w:r w:rsidRPr="00F40D25">
              <w:rPr>
                <w:rFonts w:ascii="Times New Roman" w:hAnsi="Times New Roman" w:cs="Times New Roman"/>
                <w:sz w:val="20"/>
                <w:szCs w:val="20"/>
              </w:rPr>
              <w:t>4.33</w:t>
            </w:r>
          </w:p>
        </w:tc>
        <w:tc>
          <w:tcPr>
            <w:tcW w:w="810" w:type="dxa"/>
            <w:tcBorders>
              <w:bottom w:val="nil"/>
            </w:tcBorders>
          </w:tcPr>
          <w:p w14:paraId="0387A82E" w14:textId="68D2477D" w:rsidR="00F40D25" w:rsidRPr="00F40D25" w:rsidRDefault="00F40D25" w:rsidP="00F40D25">
            <w:pPr>
              <w:spacing w:line="276" w:lineRule="auto"/>
              <w:jc w:val="center"/>
              <w:rPr>
                <w:rFonts w:ascii="Times New Roman" w:hAnsi="Times New Roman" w:cs="Times New Roman"/>
                <w:sz w:val="20"/>
                <w:szCs w:val="20"/>
              </w:rPr>
            </w:pPr>
            <w:r w:rsidRPr="00F40D25">
              <w:rPr>
                <w:rFonts w:ascii="Times New Roman" w:hAnsi="Times New Roman" w:cs="Times New Roman"/>
                <w:sz w:val="20"/>
                <w:szCs w:val="20"/>
              </w:rPr>
              <w:t>0.01</w:t>
            </w:r>
          </w:p>
        </w:tc>
        <w:tc>
          <w:tcPr>
            <w:tcW w:w="1260" w:type="dxa"/>
            <w:tcBorders>
              <w:bottom w:val="nil"/>
            </w:tcBorders>
          </w:tcPr>
          <w:p w14:paraId="064B945B" w14:textId="660D7800" w:rsidR="00F40D25" w:rsidRPr="00F40D25" w:rsidRDefault="00F40D25" w:rsidP="00F40D25">
            <w:pPr>
              <w:autoSpaceDE w:val="0"/>
              <w:autoSpaceDN w:val="0"/>
              <w:adjustRightInd w:val="0"/>
              <w:spacing w:line="276" w:lineRule="auto"/>
              <w:contextualSpacing/>
              <w:jc w:val="center"/>
              <w:rPr>
                <w:rFonts w:ascii="Times New Roman" w:hAnsi="Times New Roman" w:cs="Times New Roman"/>
                <w:sz w:val="20"/>
                <w:szCs w:val="20"/>
              </w:rPr>
            </w:pPr>
            <w:r w:rsidRPr="00F40D25">
              <w:rPr>
                <w:rFonts w:ascii="Times New Roman" w:hAnsi="Times New Roman" w:cs="Times New Roman"/>
                <w:sz w:val="20"/>
                <w:szCs w:val="20"/>
              </w:rPr>
              <w:t>High</w:t>
            </w:r>
          </w:p>
        </w:tc>
      </w:tr>
      <w:tr w:rsidR="00F40D25" w:rsidRPr="00F40D25" w14:paraId="43679478" w14:textId="45BDACC7" w:rsidTr="00C30768">
        <w:trPr>
          <w:trHeight w:val="265"/>
        </w:trPr>
        <w:tc>
          <w:tcPr>
            <w:tcW w:w="1350" w:type="dxa"/>
            <w:tcBorders>
              <w:top w:val="nil"/>
              <w:bottom w:val="nil"/>
            </w:tcBorders>
            <w:vAlign w:val="center"/>
          </w:tcPr>
          <w:p w14:paraId="04458427" w14:textId="31E16D21" w:rsidR="00F40D25" w:rsidRPr="00F40D25" w:rsidRDefault="00F40D25" w:rsidP="00F40D25">
            <w:pPr>
              <w:spacing w:line="276" w:lineRule="auto"/>
              <w:jc w:val="center"/>
              <w:rPr>
                <w:rFonts w:ascii="Times New Roman" w:hAnsi="Times New Roman" w:cs="Times New Roman"/>
                <w:sz w:val="20"/>
                <w:szCs w:val="20"/>
                <w:rtl/>
              </w:rPr>
            </w:pPr>
            <w:r w:rsidRPr="00F40D25">
              <w:rPr>
                <w:rFonts w:ascii="Times New Roman" w:hAnsi="Times New Roman" w:cs="Times New Roman"/>
                <w:sz w:val="20"/>
                <w:szCs w:val="20"/>
              </w:rPr>
              <w:t>DDF</w:t>
            </w:r>
          </w:p>
        </w:tc>
        <w:tc>
          <w:tcPr>
            <w:tcW w:w="630" w:type="dxa"/>
            <w:tcBorders>
              <w:top w:val="nil"/>
              <w:bottom w:val="nil"/>
            </w:tcBorders>
          </w:tcPr>
          <w:p w14:paraId="79EB8BB4" w14:textId="302452FF" w:rsidR="00F40D25" w:rsidRPr="00F40D25" w:rsidRDefault="00F40D25" w:rsidP="00F40D25">
            <w:pPr>
              <w:spacing w:line="276" w:lineRule="auto"/>
              <w:jc w:val="center"/>
              <w:rPr>
                <w:rFonts w:ascii="Times New Roman" w:hAnsi="Times New Roman" w:cs="Times New Roman"/>
                <w:sz w:val="20"/>
                <w:szCs w:val="20"/>
              </w:rPr>
            </w:pPr>
            <w:r w:rsidRPr="00F40D25">
              <w:rPr>
                <w:rFonts w:ascii="Times New Roman" w:hAnsi="Times New Roman" w:cs="Times New Roman"/>
                <w:sz w:val="20"/>
                <w:szCs w:val="20"/>
              </w:rPr>
              <w:t>120</w:t>
            </w:r>
          </w:p>
        </w:tc>
        <w:tc>
          <w:tcPr>
            <w:tcW w:w="810" w:type="dxa"/>
            <w:tcBorders>
              <w:top w:val="nil"/>
              <w:bottom w:val="nil"/>
            </w:tcBorders>
          </w:tcPr>
          <w:p w14:paraId="5C5B79CA" w14:textId="7C90C977" w:rsidR="00F40D25" w:rsidRPr="00F40D25" w:rsidRDefault="00F40D25" w:rsidP="00F40D25">
            <w:pPr>
              <w:spacing w:line="276" w:lineRule="auto"/>
              <w:jc w:val="center"/>
              <w:rPr>
                <w:rFonts w:ascii="Times New Roman" w:hAnsi="Times New Roman" w:cs="Times New Roman"/>
                <w:sz w:val="20"/>
                <w:szCs w:val="20"/>
              </w:rPr>
            </w:pPr>
            <w:r w:rsidRPr="00F40D25">
              <w:rPr>
                <w:rFonts w:ascii="Times New Roman" w:hAnsi="Times New Roman" w:cs="Times New Roman"/>
                <w:sz w:val="20"/>
                <w:szCs w:val="20"/>
              </w:rPr>
              <w:t>16.92</w:t>
            </w:r>
          </w:p>
        </w:tc>
        <w:tc>
          <w:tcPr>
            <w:tcW w:w="1260" w:type="dxa"/>
            <w:tcBorders>
              <w:top w:val="nil"/>
              <w:bottom w:val="nil"/>
            </w:tcBorders>
          </w:tcPr>
          <w:p w14:paraId="3C5C2EE6" w14:textId="598DC959" w:rsidR="00F40D25" w:rsidRPr="00F40D25" w:rsidRDefault="00F40D25" w:rsidP="00F40D25">
            <w:pPr>
              <w:spacing w:line="276" w:lineRule="auto"/>
              <w:jc w:val="center"/>
              <w:rPr>
                <w:rFonts w:ascii="Times New Roman" w:hAnsi="Times New Roman" w:cs="Times New Roman"/>
                <w:sz w:val="20"/>
                <w:szCs w:val="20"/>
              </w:rPr>
            </w:pPr>
            <w:r w:rsidRPr="00F40D25">
              <w:rPr>
                <w:rFonts w:ascii="Times New Roman" w:hAnsi="Times New Roman" w:cs="Times New Roman"/>
                <w:sz w:val="20"/>
                <w:szCs w:val="20"/>
              </w:rPr>
              <w:t>15</w:t>
            </w:r>
          </w:p>
        </w:tc>
        <w:tc>
          <w:tcPr>
            <w:tcW w:w="720" w:type="dxa"/>
            <w:tcBorders>
              <w:top w:val="nil"/>
              <w:bottom w:val="nil"/>
            </w:tcBorders>
          </w:tcPr>
          <w:p w14:paraId="377FF257" w14:textId="2F72438F" w:rsidR="00F40D25" w:rsidRPr="00F40D25" w:rsidRDefault="00F40D25" w:rsidP="00F40D25">
            <w:pPr>
              <w:spacing w:line="276" w:lineRule="auto"/>
              <w:jc w:val="center"/>
              <w:rPr>
                <w:rFonts w:ascii="Times New Roman" w:hAnsi="Times New Roman" w:cs="Times New Roman"/>
                <w:sz w:val="20"/>
                <w:szCs w:val="20"/>
              </w:rPr>
            </w:pPr>
            <w:r w:rsidRPr="00F40D25">
              <w:rPr>
                <w:rFonts w:ascii="Times New Roman" w:hAnsi="Times New Roman" w:cs="Times New Roman"/>
                <w:sz w:val="20"/>
                <w:szCs w:val="20"/>
              </w:rPr>
              <w:t>6.93</w:t>
            </w:r>
          </w:p>
        </w:tc>
        <w:tc>
          <w:tcPr>
            <w:tcW w:w="720" w:type="dxa"/>
            <w:tcBorders>
              <w:top w:val="nil"/>
              <w:bottom w:val="nil"/>
            </w:tcBorders>
          </w:tcPr>
          <w:p w14:paraId="4280C3B4" w14:textId="2465336E" w:rsidR="00F40D25" w:rsidRPr="00F40D25" w:rsidRDefault="00F40D25" w:rsidP="00F40D25">
            <w:pPr>
              <w:spacing w:line="276" w:lineRule="auto"/>
              <w:jc w:val="center"/>
              <w:rPr>
                <w:rFonts w:ascii="Times New Roman" w:hAnsi="Times New Roman" w:cs="Times New Roman"/>
                <w:sz w:val="20"/>
                <w:szCs w:val="20"/>
                <w:rtl/>
              </w:rPr>
            </w:pPr>
            <w:r w:rsidRPr="00F40D25">
              <w:rPr>
                <w:rFonts w:ascii="Times New Roman" w:hAnsi="Times New Roman" w:cs="Times New Roman"/>
                <w:sz w:val="20"/>
                <w:szCs w:val="20"/>
              </w:rPr>
              <w:t>3.03</w:t>
            </w:r>
          </w:p>
        </w:tc>
        <w:tc>
          <w:tcPr>
            <w:tcW w:w="810" w:type="dxa"/>
            <w:tcBorders>
              <w:top w:val="nil"/>
              <w:bottom w:val="nil"/>
            </w:tcBorders>
          </w:tcPr>
          <w:p w14:paraId="60E0B0E6" w14:textId="5972CC64" w:rsidR="00F40D25" w:rsidRPr="00F40D25" w:rsidRDefault="00F40D25" w:rsidP="00F40D25">
            <w:pPr>
              <w:spacing w:line="276" w:lineRule="auto"/>
              <w:jc w:val="center"/>
              <w:rPr>
                <w:rFonts w:ascii="Times New Roman" w:hAnsi="Times New Roman" w:cs="Times New Roman"/>
                <w:sz w:val="20"/>
                <w:szCs w:val="20"/>
              </w:rPr>
            </w:pPr>
            <w:r w:rsidRPr="00F40D25">
              <w:rPr>
                <w:rFonts w:ascii="Times New Roman" w:hAnsi="Times New Roman" w:cs="Times New Roman"/>
                <w:sz w:val="20"/>
                <w:szCs w:val="20"/>
              </w:rPr>
              <w:t>0. 01</w:t>
            </w:r>
          </w:p>
        </w:tc>
        <w:tc>
          <w:tcPr>
            <w:tcW w:w="1260" w:type="dxa"/>
            <w:tcBorders>
              <w:top w:val="nil"/>
              <w:bottom w:val="nil"/>
            </w:tcBorders>
          </w:tcPr>
          <w:p w14:paraId="26EF3F99" w14:textId="2417F278" w:rsidR="00F40D25" w:rsidRPr="00F40D25" w:rsidRDefault="00F40D25" w:rsidP="00F40D25">
            <w:pPr>
              <w:spacing w:line="276" w:lineRule="auto"/>
              <w:jc w:val="center"/>
              <w:rPr>
                <w:rFonts w:ascii="Times New Roman" w:hAnsi="Times New Roman" w:cs="Times New Roman"/>
                <w:sz w:val="20"/>
                <w:szCs w:val="20"/>
              </w:rPr>
            </w:pPr>
            <w:r w:rsidRPr="00F40D25">
              <w:rPr>
                <w:rFonts w:ascii="Times New Roman" w:hAnsi="Times New Roman" w:cs="Times New Roman"/>
                <w:sz w:val="20"/>
                <w:szCs w:val="20"/>
              </w:rPr>
              <w:t>High</w:t>
            </w:r>
          </w:p>
        </w:tc>
      </w:tr>
      <w:tr w:rsidR="00F40D25" w:rsidRPr="00F40D25" w14:paraId="4D4BF464" w14:textId="41B3B9AD" w:rsidTr="00C30768">
        <w:trPr>
          <w:trHeight w:val="314"/>
        </w:trPr>
        <w:tc>
          <w:tcPr>
            <w:tcW w:w="1350" w:type="dxa"/>
            <w:tcBorders>
              <w:top w:val="nil"/>
              <w:bottom w:val="nil"/>
            </w:tcBorders>
            <w:vAlign w:val="center"/>
          </w:tcPr>
          <w:p w14:paraId="77B788CC" w14:textId="6A78CF40" w:rsidR="00F40D25" w:rsidRPr="00F40D25" w:rsidRDefault="00F40D25" w:rsidP="00F40D25">
            <w:pPr>
              <w:spacing w:line="276" w:lineRule="auto"/>
              <w:jc w:val="center"/>
              <w:rPr>
                <w:rFonts w:ascii="Times New Roman" w:hAnsi="Times New Roman" w:cs="Times New Roman"/>
                <w:sz w:val="20"/>
                <w:szCs w:val="20"/>
                <w:rtl/>
              </w:rPr>
            </w:pPr>
            <w:r w:rsidRPr="00F40D25">
              <w:rPr>
                <w:rFonts w:ascii="Times New Roman" w:hAnsi="Times New Roman" w:cs="Times New Roman"/>
                <w:sz w:val="20"/>
                <w:szCs w:val="20"/>
              </w:rPr>
              <w:t>EOT</w:t>
            </w:r>
          </w:p>
        </w:tc>
        <w:tc>
          <w:tcPr>
            <w:tcW w:w="630" w:type="dxa"/>
            <w:tcBorders>
              <w:top w:val="nil"/>
              <w:bottom w:val="nil"/>
            </w:tcBorders>
          </w:tcPr>
          <w:p w14:paraId="5707E5B5" w14:textId="37B3AE48" w:rsidR="00F40D25" w:rsidRPr="00F40D25" w:rsidRDefault="00F40D25" w:rsidP="00F40D25">
            <w:pPr>
              <w:spacing w:line="276" w:lineRule="auto"/>
              <w:jc w:val="center"/>
              <w:rPr>
                <w:rFonts w:ascii="Times New Roman" w:hAnsi="Times New Roman" w:cs="Times New Roman"/>
                <w:sz w:val="20"/>
                <w:szCs w:val="20"/>
              </w:rPr>
            </w:pPr>
            <w:r w:rsidRPr="00F40D25">
              <w:rPr>
                <w:rFonts w:ascii="Times New Roman" w:hAnsi="Times New Roman" w:cs="Times New Roman"/>
                <w:sz w:val="20"/>
                <w:szCs w:val="20"/>
              </w:rPr>
              <w:t>120</w:t>
            </w:r>
          </w:p>
        </w:tc>
        <w:tc>
          <w:tcPr>
            <w:tcW w:w="810" w:type="dxa"/>
            <w:tcBorders>
              <w:top w:val="nil"/>
              <w:bottom w:val="nil"/>
            </w:tcBorders>
          </w:tcPr>
          <w:p w14:paraId="6504244C" w14:textId="0331C671" w:rsidR="00F40D25" w:rsidRPr="00F40D25" w:rsidRDefault="00F40D25" w:rsidP="00F40D25">
            <w:pPr>
              <w:spacing w:line="276" w:lineRule="auto"/>
              <w:jc w:val="center"/>
              <w:rPr>
                <w:rFonts w:ascii="Times New Roman" w:hAnsi="Times New Roman" w:cs="Times New Roman"/>
                <w:sz w:val="20"/>
                <w:szCs w:val="20"/>
              </w:rPr>
            </w:pPr>
            <w:r w:rsidRPr="00F40D25">
              <w:rPr>
                <w:rFonts w:ascii="Times New Roman" w:hAnsi="Times New Roman" w:cs="Times New Roman"/>
                <w:sz w:val="20"/>
                <w:szCs w:val="20"/>
              </w:rPr>
              <w:t>27.28</w:t>
            </w:r>
          </w:p>
        </w:tc>
        <w:tc>
          <w:tcPr>
            <w:tcW w:w="1260" w:type="dxa"/>
            <w:tcBorders>
              <w:top w:val="nil"/>
              <w:bottom w:val="nil"/>
            </w:tcBorders>
          </w:tcPr>
          <w:p w14:paraId="6AF165C0" w14:textId="27969F10" w:rsidR="00F40D25" w:rsidRPr="00F40D25" w:rsidRDefault="00F40D25" w:rsidP="00F40D25">
            <w:pPr>
              <w:spacing w:line="276" w:lineRule="auto"/>
              <w:jc w:val="center"/>
              <w:rPr>
                <w:rFonts w:ascii="Times New Roman" w:hAnsi="Times New Roman" w:cs="Times New Roman"/>
                <w:sz w:val="20"/>
                <w:szCs w:val="20"/>
              </w:rPr>
            </w:pPr>
            <w:r w:rsidRPr="00F40D25">
              <w:rPr>
                <w:rFonts w:ascii="Times New Roman" w:hAnsi="Times New Roman" w:cs="Times New Roman"/>
                <w:sz w:val="20"/>
                <w:szCs w:val="20"/>
              </w:rPr>
              <w:t>22.5</w:t>
            </w:r>
          </w:p>
        </w:tc>
        <w:tc>
          <w:tcPr>
            <w:tcW w:w="720" w:type="dxa"/>
            <w:tcBorders>
              <w:top w:val="nil"/>
              <w:bottom w:val="nil"/>
            </w:tcBorders>
          </w:tcPr>
          <w:p w14:paraId="49D97767" w14:textId="586103A0" w:rsidR="00F40D25" w:rsidRPr="00F40D25" w:rsidRDefault="00F40D25" w:rsidP="00F40D25">
            <w:pPr>
              <w:spacing w:line="276" w:lineRule="auto"/>
              <w:jc w:val="center"/>
              <w:rPr>
                <w:rFonts w:ascii="Times New Roman" w:hAnsi="Times New Roman" w:cs="Times New Roman"/>
                <w:sz w:val="20"/>
                <w:szCs w:val="20"/>
              </w:rPr>
            </w:pPr>
            <w:r w:rsidRPr="00F40D25">
              <w:rPr>
                <w:rFonts w:ascii="Times New Roman" w:hAnsi="Times New Roman" w:cs="Times New Roman"/>
                <w:sz w:val="20"/>
                <w:szCs w:val="20"/>
              </w:rPr>
              <w:t>11.26</w:t>
            </w:r>
          </w:p>
        </w:tc>
        <w:tc>
          <w:tcPr>
            <w:tcW w:w="720" w:type="dxa"/>
            <w:tcBorders>
              <w:top w:val="nil"/>
              <w:bottom w:val="nil"/>
            </w:tcBorders>
          </w:tcPr>
          <w:p w14:paraId="36C67F9D" w14:textId="3393C5DF" w:rsidR="00F40D25" w:rsidRPr="00F40D25" w:rsidRDefault="00F40D25" w:rsidP="00F40D25">
            <w:pPr>
              <w:spacing w:line="276" w:lineRule="auto"/>
              <w:jc w:val="center"/>
              <w:rPr>
                <w:rFonts w:ascii="Times New Roman" w:hAnsi="Times New Roman" w:cs="Times New Roman"/>
                <w:sz w:val="20"/>
                <w:szCs w:val="20"/>
                <w:rtl/>
              </w:rPr>
            </w:pPr>
            <w:r w:rsidRPr="00F40D25">
              <w:rPr>
                <w:rFonts w:ascii="Times New Roman" w:hAnsi="Times New Roman" w:cs="Times New Roman"/>
                <w:sz w:val="20"/>
                <w:szCs w:val="20"/>
              </w:rPr>
              <w:t>4.64</w:t>
            </w:r>
          </w:p>
        </w:tc>
        <w:tc>
          <w:tcPr>
            <w:tcW w:w="810" w:type="dxa"/>
            <w:tcBorders>
              <w:top w:val="nil"/>
              <w:bottom w:val="nil"/>
            </w:tcBorders>
          </w:tcPr>
          <w:p w14:paraId="781A71AA" w14:textId="471ACFEE" w:rsidR="00F40D25" w:rsidRPr="00F40D25" w:rsidRDefault="00F40D25" w:rsidP="00F40D25">
            <w:pPr>
              <w:spacing w:line="276" w:lineRule="auto"/>
              <w:jc w:val="center"/>
              <w:rPr>
                <w:rFonts w:ascii="Times New Roman" w:hAnsi="Times New Roman" w:cs="Times New Roman"/>
                <w:sz w:val="20"/>
                <w:szCs w:val="20"/>
              </w:rPr>
            </w:pPr>
            <w:r w:rsidRPr="00F40D25">
              <w:rPr>
                <w:rFonts w:ascii="Times New Roman" w:hAnsi="Times New Roman" w:cs="Times New Roman"/>
                <w:sz w:val="20"/>
                <w:szCs w:val="20"/>
              </w:rPr>
              <w:t>0.01</w:t>
            </w:r>
          </w:p>
        </w:tc>
        <w:tc>
          <w:tcPr>
            <w:tcW w:w="1260" w:type="dxa"/>
            <w:tcBorders>
              <w:top w:val="nil"/>
              <w:bottom w:val="nil"/>
            </w:tcBorders>
          </w:tcPr>
          <w:p w14:paraId="2987797A" w14:textId="6AA7C815" w:rsidR="00F40D25" w:rsidRPr="00F40D25" w:rsidRDefault="00F40D25" w:rsidP="00F40D25">
            <w:pPr>
              <w:spacing w:line="276" w:lineRule="auto"/>
              <w:jc w:val="center"/>
              <w:rPr>
                <w:rFonts w:ascii="Times New Roman" w:hAnsi="Times New Roman" w:cs="Times New Roman"/>
                <w:sz w:val="20"/>
                <w:szCs w:val="20"/>
              </w:rPr>
            </w:pPr>
            <w:r w:rsidRPr="00F40D25">
              <w:rPr>
                <w:rFonts w:ascii="Times New Roman" w:hAnsi="Times New Roman" w:cs="Times New Roman"/>
                <w:sz w:val="20"/>
                <w:szCs w:val="20"/>
              </w:rPr>
              <w:t>High</w:t>
            </w:r>
          </w:p>
        </w:tc>
      </w:tr>
      <w:tr w:rsidR="00F40D25" w:rsidRPr="00F40D25" w14:paraId="153B1F43" w14:textId="01295FCB" w:rsidTr="00C30768">
        <w:tc>
          <w:tcPr>
            <w:tcW w:w="1350" w:type="dxa"/>
            <w:tcBorders>
              <w:top w:val="nil"/>
            </w:tcBorders>
          </w:tcPr>
          <w:p w14:paraId="75EB8D92" w14:textId="26E6F8D7" w:rsidR="00F40D25" w:rsidRPr="00F40D25" w:rsidRDefault="00F40D25" w:rsidP="00F40D25">
            <w:pPr>
              <w:spacing w:line="276" w:lineRule="auto"/>
              <w:jc w:val="center"/>
              <w:rPr>
                <w:rFonts w:ascii="Times New Roman" w:hAnsi="Times New Roman" w:cs="Times New Roman"/>
                <w:sz w:val="20"/>
                <w:szCs w:val="20"/>
              </w:rPr>
            </w:pPr>
            <w:r w:rsidRPr="00F40D25">
              <w:rPr>
                <w:rFonts w:ascii="Times New Roman" w:hAnsi="Times New Roman" w:cs="Times New Roman"/>
                <w:sz w:val="20"/>
                <w:szCs w:val="20"/>
              </w:rPr>
              <w:t>AS.tot</w:t>
            </w:r>
          </w:p>
        </w:tc>
        <w:tc>
          <w:tcPr>
            <w:tcW w:w="630" w:type="dxa"/>
            <w:tcBorders>
              <w:top w:val="nil"/>
            </w:tcBorders>
          </w:tcPr>
          <w:p w14:paraId="68A313CC" w14:textId="05E52587" w:rsidR="00F40D25" w:rsidRPr="00F40D25" w:rsidRDefault="00F40D25" w:rsidP="00F40D25">
            <w:pPr>
              <w:spacing w:line="276" w:lineRule="auto"/>
              <w:jc w:val="center"/>
              <w:rPr>
                <w:rFonts w:ascii="Times New Roman" w:hAnsi="Times New Roman" w:cs="Times New Roman"/>
                <w:sz w:val="20"/>
                <w:szCs w:val="20"/>
              </w:rPr>
            </w:pPr>
            <w:r w:rsidRPr="00F40D25">
              <w:rPr>
                <w:rFonts w:ascii="Times New Roman" w:hAnsi="Times New Roman" w:cs="Times New Roman"/>
                <w:sz w:val="20"/>
                <w:szCs w:val="20"/>
              </w:rPr>
              <w:t>120</w:t>
            </w:r>
          </w:p>
        </w:tc>
        <w:tc>
          <w:tcPr>
            <w:tcW w:w="810" w:type="dxa"/>
            <w:tcBorders>
              <w:top w:val="nil"/>
            </w:tcBorders>
          </w:tcPr>
          <w:p w14:paraId="533B5964" w14:textId="42DD6237" w:rsidR="00F40D25" w:rsidRPr="00F40D25" w:rsidRDefault="00F40D25" w:rsidP="00F40D25">
            <w:pPr>
              <w:spacing w:line="276" w:lineRule="auto"/>
              <w:jc w:val="center"/>
              <w:rPr>
                <w:rFonts w:ascii="Times New Roman" w:hAnsi="Times New Roman" w:cs="Times New Roman"/>
                <w:sz w:val="20"/>
                <w:szCs w:val="20"/>
              </w:rPr>
            </w:pPr>
            <w:r w:rsidRPr="00F40D25">
              <w:rPr>
                <w:rFonts w:ascii="Times New Roman" w:hAnsi="Times New Roman" w:cs="Times New Roman"/>
                <w:sz w:val="20"/>
                <w:szCs w:val="20"/>
              </w:rPr>
              <w:t>68.15</w:t>
            </w:r>
          </w:p>
        </w:tc>
        <w:tc>
          <w:tcPr>
            <w:tcW w:w="1260" w:type="dxa"/>
            <w:tcBorders>
              <w:top w:val="nil"/>
            </w:tcBorders>
          </w:tcPr>
          <w:p w14:paraId="26E13AD4" w14:textId="244BA15E" w:rsidR="00F40D25" w:rsidRPr="00F40D25" w:rsidRDefault="00F40D25" w:rsidP="00F40D25">
            <w:pPr>
              <w:spacing w:line="276" w:lineRule="auto"/>
              <w:jc w:val="center"/>
              <w:rPr>
                <w:rFonts w:ascii="Times New Roman" w:hAnsi="Times New Roman" w:cs="Times New Roman"/>
                <w:sz w:val="20"/>
                <w:szCs w:val="20"/>
                <w:rtl/>
              </w:rPr>
            </w:pPr>
            <w:r w:rsidRPr="00F40D25">
              <w:rPr>
                <w:rFonts w:ascii="Times New Roman" w:hAnsi="Times New Roman" w:cs="Times New Roman"/>
                <w:sz w:val="20"/>
                <w:szCs w:val="20"/>
              </w:rPr>
              <w:t>60</w:t>
            </w:r>
          </w:p>
        </w:tc>
        <w:tc>
          <w:tcPr>
            <w:tcW w:w="720" w:type="dxa"/>
            <w:tcBorders>
              <w:top w:val="nil"/>
            </w:tcBorders>
          </w:tcPr>
          <w:p w14:paraId="299AA744" w14:textId="623C1690" w:rsidR="00F40D25" w:rsidRPr="00F40D25" w:rsidRDefault="00F40D25" w:rsidP="00F40D25">
            <w:pPr>
              <w:spacing w:line="276" w:lineRule="auto"/>
              <w:jc w:val="center"/>
              <w:rPr>
                <w:rFonts w:ascii="Times New Roman" w:hAnsi="Times New Roman" w:cs="Times New Roman"/>
                <w:sz w:val="20"/>
                <w:szCs w:val="20"/>
                <w:rtl/>
              </w:rPr>
            </w:pPr>
            <w:r w:rsidRPr="00F40D25">
              <w:rPr>
                <w:rFonts w:ascii="Times New Roman" w:hAnsi="Times New Roman" w:cs="Times New Roman"/>
                <w:sz w:val="20"/>
                <w:szCs w:val="20"/>
              </w:rPr>
              <w:t>27.79</w:t>
            </w:r>
          </w:p>
        </w:tc>
        <w:tc>
          <w:tcPr>
            <w:tcW w:w="720" w:type="dxa"/>
            <w:tcBorders>
              <w:top w:val="nil"/>
            </w:tcBorders>
          </w:tcPr>
          <w:p w14:paraId="2D0FA3C9" w14:textId="363A77C4" w:rsidR="00F40D25" w:rsidRPr="00F40D25" w:rsidRDefault="00F40D25" w:rsidP="00F40D25">
            <w:pPr>
              <w:spacing w:line="276" w:lineRule="auto"/>
              <w:jc w:val="center"/>
              <w:rPr>
                <w:rFonts w:ascii="Times New Roman" w:hAnsi="Times New Roman" w:cs="Times New Roman"/>
                <w:sz w:val="20"/>
                <w:szCs w:val="20"/>
              </w:rPr>
            </w:pPr>
            <w:r w:rsidRPr="00F40D25">
              <w:rPr>
                <w:rFonts w:ascii="Times New Roman" w:hAnsi="Times New Roman" w:cs="Times New Roman"/>
                <w:sz w:val="20"/>
                <w:szCs w:val="20"/>
              </w:rPr>
              <w:t>3.21</w:t>
            </w:r>
          </w:p>
        </w:tc>
        <w:tc>
          <w:tcPr>
            <w:tcW w:w="810" w:type="dxa"/>
            <w:tcBorders>
              <w:top w:val="nil"/>
            </w:tcBorders>
          </w:tcPr>
          <w:p w14:paraId="4C0B25D1" w14:textId="7C1171CA" w:rsidR="00F40D25" w:rsidRPr="00F40D25" w:rsidRDefault="00F40D25" w:rsidP="00F40D25">
            <w:pPr>
              <w:spacing w:line="276" w:lineRule="auto"/>
              <w:jc w:val="center"/>
              <w:rPr>
                <w:rFonts w:ascii="Times New Roman" w:hAnsi="Times New Roman" w:cs="Times New Roman"/>
                <w:sz w:val="20"/>
                <w:szCs w:val="20"/>
              </w:rPr>
            </w:pPr>
            <w:r w:rsidRPr="00F40D25">
              <w:rPr>
                <w:rFonts w:ascii="Times New Roman" w:hAnsi="Times New Roman" w:cs="Times New Roman"/>
                <w:sz w:val="20"/>
                <w:szCs w:val="20"/>
              </w:rPr>
              <w:t>0.01</w:t>
            </w:r>
          </w:p>
        </w:tc>
        <w:tc>
          <w:tcPr>
            <w:tcW w:w="1260" w:type="dxa"/>
            <w:tcBorders>
              <w:top w:val="nil"/>
            </w:tcBorders>
          </w:tcPr>
          <w:p w14:paraId="62B6ADEC" w14:textId="44475F8C" w:rsidR="00F40D25" w:rsidRPr="00F40D25" w:rsidRDefault="00F40D25" w:rsidP="00F40D25">
            <w:pPr>
              <w:spacing w:line="276" w:lineRule="auto"/>
              <w:jc w:val="center"/>
              <w:rPr>
                <w:rFonts w:ascii="Times New Roman" w:hAnsi="Times New Roman" w:cs="Times New Roman"/>
                <w:sz w:val="20"/>
                <w:szCs w:val="20"/>
              </w:rPr>
            </w:pPr>
            <w:r w:rsidRPr="00F40D25">
              <w:rPr>
                <w:rFonts w:ascii="Times New Roman" w:hAnsi="Times New Roman" w:cs="Times New Roman"/>
                <w:sz w:val="20"/>
                <w:szCs w:val="20"/>
              </w:rPr>
              <w:t>High</w:t>
            </w:r>
          </w:p>
        </w:tc>
      </w:tr>
    </w:tbl>
    <w:p w14:paraId="182B0FBB" w14:textId="2B4CB1BC" w:rsidR="00F40D25" w:rsidRPr="00F40D25" w:rsidRDefault="00F40D25" w:rsidP="00F40D25">
      <w:pPr>
        <w:bidi/>
        <w:spacing w:after="160" w:line="259" w:lineRule="auto"/>
        <w:ind w:left="270"/>
        <w:jc w:val="both"/>
        <w:rPr>
          <w:rFonts w:ascii="Times New Roman" w:eastAsia="Calibri" w:hAnsi="Times New Roman" w:cs="Traditional Arabic"/>
          <w:sz w:val="28"/>
          <w:szCs w:val="28"/>
          <w:lang w:bidi="ar-EG"/>
        </w:rPr>
      </w:pPr>
    </w:p>
    <w:p w14:paraId="703CE008" w14:textId="1B4C8AD4" w:rsidR="00F40D25" w:rsidRPr="00833A3A" w:rsidRDefault="00F40D25" w:rsidP="00833A3A">
      <w:pPr>
        <w:jc w:val="lowKashida"/>
        <w:rPr>
          <w:rFonts w:asciiTheme="majorHAnsi" w:hAnsiTheme="majorHAnsi" w:cstheme="majorHAnsi"/>
          <w:sz w:val="22"/>
          <w:szCs w:val="22"/>
        </w:rPr>
      </w:pPr>
      <w:r w:rsidRPr="00F40D25">
        <w:rPr>
          <w:rFonts w:ascii="Times New Roman" w:eastAsia="Calibri" w:hAnsi="Times New Roman" w:cs="Times New Roman"/>
          <w:lang w:bidi="ar-EG"/>
        </w:rPr>
        <w:t xml:space="preserve">Table (4) </w:t>
      </w:r>
      <w:r w:rsidRPr="00833A3A">
        <w:rPr>
          <w:rFonts w:asciiTheme="majorHAnsi" w:hAnsiTheme="majorHAnsi" w:cstheme="majorHAnsi"/>
          <w:sz w:val="22"/>
          <w:szCs w:val="22"/>
        </w:rPr>
        <w:t>shows that the  t-values for the dimensions of alexithymia (difficulty identifying feelings, difficulty describing feelings, and externally oriented thinking) and the total score are statistically significant (0.01). Therefore, the level of alexithymia among university students was high in all dimensions and at the scale as a whole.</w:t>
      </w:r>
    </w:p>
    <w:p w14:paraId="79899763" w14:textId="7AC9C8AD" w:rsidR="00C30768" w:rsidRPr="00833A3A" w:rsidRDefault="00C30768" w:rsidP="00833A3A">
      <w:pPr>
        <w:widowControl w:val="0"/>
        <w:autoSpaceDE w:val="0"/>
        <w:autoSpaceDN w:val="0"/>
        <w:adjustRightInd w:val="0"/>
        <w:spacing w:before="120" w:after="240" w:line="276" w:lineRule="auto"/>
        <w:jc w:val="both"/>
        <w:rPr>
          <w:rFonts w:asciiTheme="majorHAnsi" w:eastAsia="Times New Roman" w:hAnsiTheme="majorHAnsi" w:cstheme="majorHAnsi"/>
          <w:b/>
          <w:sz w:val="28"/>
          <w:szCs w:val="28"/>
          <w:lang w:val="cs-CZ" w:eastAsia="cs-CZ"/>
        </w:rPr>
      </w:pPr>
      <w:r w:rsidRPr="00833A3A">
        <w:rPr>
          <w:rFonts w:asciiTheme="majorHAnsi" w:eastAsia="Times New Roman" w:hAnsiTheme="majorHAnsi" w:cstheme="majorHAnsi"/>
          <w:b/>
          <w:sz w:val="28"/>
          <w:szCs w:val="28"/>
          <w:lang w:val="cs-CZ" w:eastAsia="cs-CZ"/>
        </w:rPr>
        <w:t>The level of metacognitive thinking skills among university students:</w:t>
      </w:r>
    </w:p>
    <w:p w14:paraId="2E81B238" w14:textId="5696DAFE" w:rsidR="00C30768" w:rsidRPr="00833A3A" w:rsidRDefault="00C30768" w:rsidP="009C475C">
      <w:pPr>
        <w:spacing w:before="240"/>
        <w:jc w:val="lowKashida"/>
        <w:rPr>
          <w:rFonts w:asciiTheme="majorHAnsi" w:hAnsiTheme="majorHAnsi" w:cstheme="majorHAnsi"/>
          <w:sz w:val="22"/>
          <w:szCs w:val="22"/>
        </w:rPr>
      </w:pPr>
      <w:r w:rsidRPr="00833A3A">
        <w:rPr>
          <w:rFonts w:asciiTheme="majorHAnsi" w:hAnsiTheme="majorHAnsi" w:cstheme="majorHAnsi"/>
          <w:sz w:val="22"/>
          <w:szCs w:val="22"/>
        </w:rPr>
        <w:t>To determine the levels of metacognitive thinking skills among university students, Table (5) was used; thus, the data for each level were analyzed via descriptive statistics, arithmetic means, relative means, standard deviations and percentages, as shown in Table (6).</w:t>
      </w:r>
    </w:p>
    <w:p w14:paraId="409ECE8F" w14:textId="4081EC84" w:rsidR="00C30768" w:rsidRPr="00833A3A" w:rsidRDefault="00C30768" w:rsidP="00A36E39">
      <w:pPr>
        <w:tabs>
          <w:tab w:val="left" w:pos="9355"/>
        </w:tabs>
        <w:spacing w:before="240" w:after="120"/>
        <w:jc w:val="center"/>
        <w:rPr>
          <w:rFonts w:asciiTheme="majorHAnsi" w:hAnsiTheme="majorHAnsi" w:cstheme="majorHAnsi"/>
          <w:color w:val="000000" w:themeColor="text1"/>
          <w:sz w:val="22"/>
          <w:szCs w:val="22"/>
        </w:rPr>
      </w:pPr>
      <w:r w:rsidRPr="00833A3A">
        <w:rPr>
          <w:rFonts w:asciiTheme="majorHAnsi" w:hAnsiTheme="majorHAnsi" w:cstheme="majorHAnsi"/>
          <w:color w:val="000000" w:themeColor="text1"/>
          <w:sz w:val="22"/>
          <w:szCs w:val="22"/>
        </w:rPr>
        <w:t xml:space="preserve">Table 5.  Levels of </w:t>
      </w:r>
      <w:r w:rsidR="00A36E39" w:rsidRPr="00833A3A">
        <w:rPr>
          <w:rFonts w:asciiTheme="majorHAnsi" w:hAnsiTheme="majorHAnsi" w:cstheme="majorHAnsi"/>
          <w:color w:val="000000" w:themeColor="text1"/>
          <w:sz w:val="22"/>
          <w:szCs w:val="22"/>
        </w:rPr>
        <w:t xml:space="preserve">Metacognitive Thinking Skills </w:t>
      </w:r>
      <w:r w:rsidRPr="00833A3A">
        <w:rPr>
          <w:rFonts w:asciiTheme="majorHAnsi" w:hAnsiTheme="majorHAnsi" w:cstheme="majorHAnsi"/>
          <w:color w:val="000000" w:themeColor="text1"/>
          <w:sz w:val="22"/>
          <w:szCs w:val="22"/>
        </w:rPr>
        <w:t xml:space="preserve">among the </w:t>
      </w:r>
      <w:r w:rsidR="00A36E39" w:rsidRPr="00833A3A">
        <w:rPr>
          <w:rFonts w:asciiTheme="majorHAnsi" w:hAnsiTheme="majorHAnsi" w:cstheme="majorHAnsi"/>
          <w:color w:val="000000" w:themeColor="text1"/>
          <w:sz w:val="22"/>
          <w:szCs w:val="22"/>
        </w:rPr>
        <w:t xml:space="preserve">Research Sample </w:t>
      </w:r>
      <w:r w:rsidRPr="00833A3A">
        <w:rPr>
          <w:rFonts w:asciiTheme="majorHAnsi" w:hAnsiTheme="majorHAnsi" w:cstheme="majorHAnsi"/>
          <w:color w:val="000000" w:themeColor="text1"/>
          <w:sz w:val="22"/>
          <w:szCs w:val="22"/>
        </w:rPr>
        <w:t>(N=120)</w:t>
      </w:r>
    </w:p>
    <w:tbl>
      <w:tblPr>
        <w:tblStyle w:val="3"/>
        <w:bidiVisual/>
        <w:tblW w:w="8100" w:type="dxa"/>
        <w:tblInd w:w="55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080"/>
        <w:gridCol w:w="900"/>
        <w:gridCol w:w="1170"/>
        <w:gridCol w:w="1440"/>
        <w:gridCol w:w="1170"/>
        <w:gridCol w:w="900"/>
        <w:gridCol w:w="1440"/>
      </w:tblGrid>
      <w:tr w:rsidR="00C30768" w:rsidRPr="00C30768" w14:paraId="031E7321" w14:textId="3C5FA7BD" w:rsidTr="00C30768">
        <w:trPr>
          <w:trHeight w:val="481"/>
        </w:trPr>
        <w:tc>
          <w:tcPr>
            <w:tcW w:w="1080" w:type="dxa"/>
            <w:tcBorders>
              <w:bottom w:val="single" w:sz="4" w:space="0" w:color="auto"/>
            </w:tcBorders>
          </w:tcPr>
          <w:p w14:paraId="276710FA" w14:textId="74D37346" w:rsidR="00C30768" w:rsidRPr="00DD7C37" w:rsidRDefault="00C30768" w:rsidP="00C30768">
            <w:pPr>
              <w:spacing w:line="276" w:lineRule="auto"/>
              <w:jc w:val="center"/>
              <w:rPr>
                <w:rFonts w:ascii="Times New Roman" w:hAnsi="Times New Roman" w:cs="Times New Roman"/>
                <w:sz w:val="20"/>
                <w:szCs w:val="20"/>
                <w:rtl/>
              </w:rPr>
            </w:pPr>
            <w:r w:rsidRPr="00DD7C37">
              <w:rPr>
                <w:rFonts w:ascii="Times New Roman" w:hAnsi="Times New Roman" w:cs="Times New Roman"/>
                <w:sz w:val="20"/>
                <w:szCs w:val="20"/>
              </w:rPr>
              <w:t>Ranking</w:t>
            </w:r>
          </w:p>
        </w:tc>
        <w:tc>
          <w:tcPr>
            <w:tcW w:w="900" w:type="dxa"/>
            <w:tcBorders>
              <w:bottom w:val="single" w:sz="4" w:space="0" w:color="auto"/>
            </w:tcBorders>
          </w:tcPr>
          <w:p w14:paraId="3803162C" w14:textId="12AC06A7" w:rsidR="00C30768" w:rsidRPr="00DD7C37" w:rsidRDefault="00C30768" w:rsidP="00C30768">
            <w:pPr>
              <w:bidi/>
              <w:spacing w:line="276" w:lineRule="auto"/>
              <w:jc w:val="center"/>
              <w:rPr>
                <w:rFonts w:ascii="Times New Roman" w:hAnsi="Times New Roman" w:cs="Traditional Arabic"/>
                <w:sz w:val="20"/>
                <w:szCs w:val="20"/>
                <w:rtl/>
                <w:lang w:bidi="ar-EG"/>
              </w:rPr>
            </w:pPr>
            <w:r w:rsidRPr="00DD7C37">
              <w:rPr>
                <w:rFonts w:ascii="Times New Roman" w:hAnsi="Times New Roman" w:cs="Traditional Arabic"/>
                <w:sz w:val="20"/>
                <w:szCs w:val="20"/>
                <w:lang w:bidi="ar-EG"/>
              </w:rPr>
              <w:t>Level</w:t>
            </w:r>
          </w:p>
        </w:tc>
        <w:tc>
          <w:tcPr>
            <w:tcW w:w="1170" w:type="dxa"/>
            <w:tcBorders>
              <w:bottom w:val="single" w:sz="4" w:space="0" w:color="auto"/>
            </w:tcBorders>
          </w:tcPr>
          <w:p w14:paraId="6976572B" w14:textId="3634D5DB" w:rsidR="00C30768" w:rsidRPr="00DD7C37" w:rsidRDefault="00C30768" w:rsidP="00C30768">
            <w:pPr>
              <w:spacing w:line="276" w:lineRule="auto"/>
              <w:jc w:val="center"/>
              <w:rPr>
                <w:rFonts w:ascii="Times New Roman" w:hAnsi="Times New Roman" w:cs="Times New Roman"/>
                <w:sz w:val="20"/>
                <w:szCs w:val="20"/>
                <w:lang w:bidi="ar-EG"/>
              </w:rPr>
            </w:pPr>
            <w:r w:rsidRPr="00DD7C37">
              <w:rPr>
                <w:rFonts w:ascii="Times New Roman" w:hAnsi="Times New Roman" w:cs="Times New Roman"/>
                <w:sz w:val="20"/>
                <w:szCs w:val="20"/>
                <w:lang w:bidi="ar-EG"/>
              </w:rPr>
              <w:t>SD</w:t>
            </w:r>
          </w:p>
        </w:tc>
        <w:tc>
          <w:tcPr>
            <w:tcW w:w="1440" w:type="dxa"/>
            <w:tcBorders>
              <w:bottom w:val="single" w:sz="4" w:space="0" w:color="auto"/>
            </w:tcBorders>
          </w:tcPr>
          <w:p w14:paraId="7BFB0DDE" w14:textId="39DDA440" w:rsidR="00C30768" w:rsidRPr="00DD7C37" w:rsidRDefault="00C30768" w:rsidP="00C30768">
            <w:pPr>
              <w:spacing w:line="276" w:lineRule="auto"/>
              <w:jc w:val="center"/>
              <w:rPr>
                <w:rFonts w:ascii="Times New Roman" w:hAnsi="Times New Roman" w:cs="Times New Roman"/>
                <w:sz w:val="20"/>
                <w:szCs w:val="20"/>
                <w:rtl/>
              </w:rPr>
            </w:pPr>
            <w:r w:rsidRPr="00DD7C37">
              <w:rPr>
                <w:rFonts w:ascii="Times New Roman" w:hAnsi="Times New Roman" w:cs="Times New Roman"/>
                <w:sz w:val="20"/>
                <w:szCs w:val="20"/>
              </w:rPr>
              <w:t>Relative mean</w:t>
            </w:r>
          </w:p>
        </w:tc>
        <w:tc>
          <w:tcPr>
            <w:tcW w:w="1170" w:type="dxa"/>
            <w:tcBorders>
              <w:bottom w:val="single" w:sz="4" w:space="0" w:color="auto"/>
            </w:tcBorders>
          </w:tcPr>
          <w:p w14:paraId="69500A83" w14:textId="32F1E238" w:rsidR="00C30768" w:rsidRPr="00DD7C37" w:rsidRDefault="00C30768" w:rsidP="00C30768">
            <w:pPr>
              <w:spacing w:line="276" w:lineRule="auto"/>
              <w:jc w:val="center"/>
              <w:rPr>
                <w:rFonts w:ascii="Times New Roman" w:hAnsi="Times New Roman" w:cs="Times New Roman"/>
                <w:sz w:val="20"/>
                <w:szCs w:val="20"/>
                <w:rtl/>
              </w:rPr>
            </w:pPr>
            <w:r w:rsidRPr="00DD7C37">
              <w:rPr>
                <w:rFonts w:ascii="Times New Roman" w:hAnsi="Times New Roman" w:cs="Times New Roman"/>
                <w:sz w:val="20"/>
                <w:szCs w:val="20"/>
              </w:rPr>
              <w:t>Maximum</w:t>
            </w:r>
          </w:p>
        </w:tc>
        <w:tc>
          <w:tcPr>
            <w:tcW w:w="900" w:type="dxa"/>
            <w:tcBorders>
              <w:bottom w:val="single" w:sz="4" w:space="0" w:color="auto"/>
            </w:tcBorders>
          </w:tcPr>
          <w:p w14:paraId="3EB03003" w14:textId="4A73585E" w:rsidR="00C30768" w:rsidRPr="00DD7C37" w:rsidRDefault="00C30768" w:rsidP="00C30768">
            <w:pPr>
              <w:spacing w:line="276" w:lineRule="auto"/>
              <w:jc w:val="center"/>
              <w:rPr>
                <w:rFonts w:ascii="Times New Roman" w:hAnsi="Times New Roman" w:cs="Times New Roman"/>
                <w:sz w:val="20"/>
                <w:szCs w:val="20"/>
                <w:rtl/>
              </w:rPr>
            </w:pPr>
            <w:r w:rsidRPr="00DD7C37">
              <w:rPr>
                <w:rFonts w:ascii="Times New Roman" w:hAnsi="Times New Roman" w:cs="Times New Roman"/>
                <w:sz w:val="20"/>
                <w:szCs w:val="20"/>
              </w:rPr>
              <w:t>Mean</w:t>
            </w:r>
          </w:p>
        </w:tc>
        <w:tc>
          <w:tcPr>
            <w:tcW w:w="1440" w:type="dxa"/>
            <w:tcBorders>
              <w:bottom w:val="single" w:sz="4" w:space="0" w:color="auto"/>
            </w:tcBorders>
          </w:tcPr>
          <w:p w14:paraId="082EB690" w14:textId="37F7E6D7" w:rsidR="00C30768" w:rsidRPr="00C30768" w:rsidRDefault="00C30768" w:rsidP="00C30768">
            <w:pPr>
              <w:spacing w:line="276" w:lineRule="auto"/>
              <w:jc w:val="center"/>
              <w:rPr>
                <w:rFonts w:ascii="Times New Roman" w:hAnsi="Times New Roman" w:cs="Times New Roman"/>
                <w:sz w:val="20"/>
                <w:szCs w:val="20"/>
              </w:rPr>
            </w:pPr>
            <w:r w:rsidRPr="00DD7C37">
              <w:rPr>
                <w:rFonts w:ascii="Times New Roman" w:hAnsi="Times New Roman" w:cs="Times New Roman"/>
                <w:sz w:val="20"/>
                <w:szCs w:val="20"/>
              </w:rPr>
              <w:t>Metacognitive Thinking</w:t>
            </w:r>
          </w:p>
        </w:tc>
      </w:tr>
      <w:tr w:rsidR="00C30768" w:rsidRPr="00C30768" w14:paraId="267F3CC2" w14:textId="5A0BCF80" w:rsidTr="00C30768">
        <w:tc>
          <w:tcPr>
            <w:tcW w:w="1080" w:type="dxa"/>
            <w:tcBorders>
              <w:bottom w:val="nil"/>
            </w:tcBorders>
          </w:tcPr>
          <w:p w14:paraId="42337109" w14:textId="3227D083" w:rsidR="00C30768" w:rsidRPr="00C30768" w:rsidRDefault="00C30768" w:rsidP="00C30768">
            <w:pPr>
              <w:bidi/>
              <w:spacing w:line="276" w:lineRule="auto"/>
              <w:jc w:val="center"/>
              <w:rPr>
                <w:rFonts w:ascii="Times New Roman" w:hAnsi="Times New Roman" w:cs="Traditional Arabic"/>
                <w:sz w:val="28"/>
                <w:szCs w:val="28"/>
                <w:rtl/>
                <w:lang w:bidi="ar-EG"/>
              </w:rPr>
            </w:pPr>
            <w:r w:rsidRPr="00C30768">
              <w:rPr>
                <w:rFonts w:ascii="Times New Roman" w:hAnsi="Times New Roman" w:cs="Traditional Arabic"/>
                <w:sz w:val="28"/>
                <w:szCs w:val="28"/>
                <w:lang w:bidi="ar-EG"/>
              </w:rPr>
              <w:t>1</w:t>
            </w:r>
          </w:p>
        </w:tc>
        <w:tc>
          <w:tcPr>
            <w:tcW w:w="900" w:type="dxa"/>
            <w:tcBorders>
              <w:bottom w:val="nil"/>
            </w:tcBorders>
          </w:tcPr>
          <w:p w14:paraId="4A843B04" w14:textId="3C77006A" w:rsidR="00C30768" w:rsidRPr="00C30768" w:rsidRDefault="00C30768" w:rsidP="00C30768">
            <w:pPr>
              <w:bidi/>
              <w:spacing w:line="276" w:lineRule="auto"/>
              <w:jc w:val="center"/>
              <w:rPr>
                <w:rFonts w:ascii="Times New Roman" w:hAnsi="Times New Roman" w:cs="Traditional Arabic"/>
                <w:sz w:val="20"/>
                <w:szCs w:val="20"/>
                <w:lang w:bidi="ar-EG"/>
              </w:rPr>
            </w:pPr>
            <w:r w:rsidRPr="00C30768">
              <w:rPr>
                <w:rFonts w:ascii="Times New Roman" w:hAnsi="Times New Roman" w:cs="Traditional Arabic"/>
                <w:sz w:val="20"/>
                <w:szCs w:val="20"/>
                <w:lang w:bidi="ar-EG"/>
              </w:rPr>
              <w:t>High</w:t>
            </w:r>
          </w:p>
        </w:tc>
        <w:tc>
          <w:tcPr>
            <w:tcW w:w="1170" w:type="dxa"/>
            <w:tcBorders>
              <w:bottom w:val="nil"/>
            </w:tcBorders>
          </w:tcPr>
          <w:p w14:paraId="4DD8E3A4" w14:textId="3C57BFA5" w:rsidR="00C30768" w:rsidRPr="00C30768" w:rsidRDefault="00C30768" w:rsidP="00C30768">
            <w:pPr>
              <w:bidi/>
              <w:spacing w:line="276" w:lineRule="auto"/>
              <w:jc w:val="center"/>
              <w:rPr>
                <w:rFonts w:ascii="Times New Roman" w:hAnsi="Times New Roman" w:cs="Traditional Arabic"/>
                <w:sz w:val="20"/>
                <w:szCs w:val="20"/>
                <w:lang w:bidi="ar-EG"/>
              </w:rPr>
            </w:pPr>
            <w:r w:rsidRPr="00C30768">
              <w:rPr>
                <w:rFonts w:ascii="Times New Roman" w:hAnsi="Times New Roman" w:cs="Traditional Arabic"/>
                <w:sz w:val="20"/>
                <w:szCs w:val="20"/>
                <w:lang w:bidi="ar-EG"/>
              </w:rPr>
              <w:t>7.84</w:t>
            </w:r>
          </w:p>
        </w:tc>
        <w:tc>
          <w:tcPr>
            <w:tcW w:w="1440" w:type="dxa"/>
            <w:tcBorders>
              <w:bottom w:val="nil"/>
            </w:tcBorders>
          </w:tcPr>
          <w:p w14:paraId="14A1E698" w14:textId="344656F1" w:rsidR="00C30768" w:rsidRPr="00C30768" w:rsidRDefault="00C30768" w:rsidP="00C30768">
            <w:pPr>
              <w:spacing w:line="276" w:lineRule="auto"/>
              <w:jc w:val="center"/>
              <w:rPr>
                <w:rFonts w:ascii="Times New Roman" w:hAnsi="Times New Roman" w:cs="Times New Roman"/>
                <w:sz w:val="20"/>
                <w:szCs w:val="20"/>
                <w:rtl/>
              </w:rPr>
            </w:pPr>
            <w:r w:rsidRPr="00C30768">
              <w:rPr>
                <w:rFonts w:ascii="Times New Roman" w:hAnsi="Times New Roman" w:cs="Times New Roman"/>
                <w:sz w:val="20"/>
                <w:szCs w:val="20"/>
              </w:rPr>
              <w:t>75.13%</w:t>
            </w:r>
          </w:p>
        </w:tc>
        <w:tc>
          <w:tcPr>
            <w:tcW w:w="1170" w:type="dxa"/>
            <w:tcBorders>
              <w:bottom w:val="nil"/>
            </w:tcBorders>
          </w:tcPr>
          <w:p w14:paraId="22180ACB" w14:textId="6401E698" w:rsidR="00C30768" w:rsidRPr="00C30768" w:rsidRDefault="00C30768" w:rsidP="00C30768">
            <w:pPr>
              <w:spacing w:line="276" w:lineRule="auto"/>
              <w:jc w:val="center"/>
              <w:rPr>
                <w:rFonts w:ascii="Times New Roman" w:hAnsi="Times New Roman" w:cs="Times New Roman"/>
                <w:sz w:val="20"/>
                <w:szCs w:val="20"/>
                <w:rtl/>
              </w:rPr>
            </w:pPr>
            <w:r w:rsidRPr="00C30768">
              <w:rPr>
                <w:rFonts w:ascii="Times New Roman" w:hAnsi="Times New Roman" w:cs="Times New Roman"/>
                <w:sz w:val="20"/>
                <w:szCs w:val="20"/>
              </w:rPr>
              <w:t>70</w:t>
            </w:r>
          </w:p>
        </w:tc>
        <w:tc>
          <w:tcPr>
            <w:tcW w:w="900" w:type="dxa"/>
            <w:tcBorders>
              <w:bottom w:val="nil"/>
            </w:tcBorders>
          </w:tcPr>
          <w:p w14:paraId="0F62E2B8" w14:textId="37F82F49" w:rsidR="00C30768" w:rsidRPr="00C30768" w:rsidRDefault="00C30768" w:rsidP="00C30768">
            <w:pPr>
              <w:tabs>
                <w:tab w:val="left" w:pos="180"/>
                <w:tab w:val="center" w:pos="442"/>
              </w:tabs>
              <w:spacing w:line="276" w:lineRule="auto"/>
              <w:jc w:val="center"/>
              <w:rPr>
                <w:rFonts w:ascii="Times New Roman" w:hAnsi="Times New Roman" w:cs="Times New Roman"/>
                <w:sz w:val="20"/>
                <w:szCs w:val="20"/>
              </w:rPr>
            </w:pPr>
            <w:r w:rsidRPr="00C30768">
              <w:rPr>
                <w:rFonts w:ascii="Times New Roman" w:hAnsi="Times New Roman" w:cs="Times New Roman"/>
                <w:sz w:val="20"/>
                <w:szCs w:val="20"/>
              </w:rPr>
              <w:t>45.08</w:t>
            </w:r>
          </w:p>
        </w:tc>
        <w:tc>
          <w:tcPr>
            <w:tcW w:w="1440" w:type="dxa"/>
            <w:tcBorders>
              <w:bottom w:val="nil"/>
            </w:tcBorders>
            <w:vAlign w:val="center"/>
          </w:tcPr>
          <w:p w14:paraId="5FA05F92" w14:textId="3473D053" w:rsidR="00C30768" w:rsidRPr="00C30768" w:rsidRDefault="00C30768" w:rsidP="00C30768">
            <w:pPr>
              <w:spacing w:line="276" w:lineRule="auto"/>
              <w:jc w:val="center"/>
              <w:rPr>
                <w:rFonts w:ascii="Times New Roman" w:hAnsi="Times New Roman" w:cs="Times New Roman"/>
                <w:sz w:val="20"/>
                <w:szCs w:val="20"/>
                <w:rtl/>
              </w:rPr>
            </w:pPr>
            <w:r w:rsidRPr="00C30768">
              <w:rPr>
                <w:rFonts w:ascii="Times New Roman" w:hAnsi="Times New Roman" w:cs="Times New Roman"/>
                <w:sz w:val="20"/>
                <w:szCs w:val="20"/>
              </w:rPr>
              <w:t>KoC</w:t>
            </w:r>
          </w:p>
        </w:tc>
      </w:tr>
      <w:tr w:rsidR="00C30768" w:rsidRPr="00C30768" w14:paraId="65DA95C6" w14:textId="29544722" w:rsidTr="00C30768">
        <w:tc>
          <w:tcPr>
            <w:tcW w:w="1080" w:type="dxa"/>
            <w:tcBorders>
              <w:top w:val="nil"/>
              <w:bottom w:val="nil"/>
            </w:tcBorders>
          </w:tcPr>
          <w:p w14:paraId="7A4A9459" w14:textId="1513529D" w:rsidR="00C30768" w:rsidRPr="00C30768" w:rsidRDefault="00C30768" w:rsidP="00C30768">
            <w:pPr>
              <w:bidi/>
              <w:spacing w:line="276" w:lineRule="auto"/>
              <w:jc w:val="center"/>
              <w:rPr>
                <w:rFonts w:ascii="Times New Roman" w:hAnsi="Times New Roman" w:cs="Traditional Arabic"/>
                <w:sz w:val="28"/>
                <w:szCs w:val="28"/>
                <w:rtl/>
                <w:lang w:bidi="ar-EG"/>
              </w:rPr>
            </w:pPr>
            <w:r w:rsidRPr="00C30768">
              <w:rPr>
                <w:rFonts w:ascii="Times New Roman" w:hAnsi="Times New Roman" w:cs="Traditional Arabic"/>
                <w:sz w:val="28"/>
                <w:szCs w:val="28"/>
                <w:lang w:bidi="ar-EG"/>
              </w:rPr>
              <w:t>3</w:t>
            </w:r>
          </w:p>
        </w:tc>
        <w:tc>
          <w:tcPr>
            <w:tcW w:w="900" w:type="dxa"/>
            <w:tcBorders>
              <w:top w:val="nil"/>
              <w:bottom w:val="nil"/>
            </w:tcBorders>
          </w:tcPr>
          <w:p w14:paraId="1A2A0B2D" w14:textId="2155112D" w:rsidR="00C30768" w:rsidRPr="00C30768" w:rsidRDefault="00C30768" w:rsidP="00C30768">
            <w:pPr>
              <w:bidi/>
              <w:spacing w:line="276" w:lineRule="auto"/>
              <w:jc w:val="center"/>
              <w:rPr>
                <w:rFonts w:ascii="Times New Roman" w:hAnsi="Times New Roman" w:cs="Traditional Arabic"/>
                <w:sz w:val="20"/>
                <w:szCs w:val="20"/>
                <w:lang w:bidi="ar-EG"/>
              </w:rPr>
            </w:pPr>
            <w:r w:rsidRPr="00C30768">
              <w:rPr>
                <w:rFonts w:ascii="Times New Roman" w:hAnsi="Times New Roman" w:cs="Traditional Arabic"/>
                <w:sz w:val="20"/>
                <w:szCs w:val="20"/>
                <w:lang w:bidi="ar-EG"/>
              </w:rPr>
              <w:t>High</w:t>
            </w:r>
          </w:p>
        </w:tc>
        <w:tc>
          <w:tcPr>
            <w:tcW w:w="1170" w:type="dxa"/>
            <w:tcBorders>
              <w:top w:val="nil"/>
              <w:bottom w:val="nil"/>
            </w:tcBorders>
          </w:tcPr>
          <w:p w14:paraId="59FB861A" w14:textId="7F22B63F" w:rsidR="00C30768" w:rsidRPr="00C30768" w:rsidRDefault="00C30768" w:rsidP="00C30768">
            <w:pPr>
              <w:bidi/>
              <w:spacing w:line="276" w:lineRule="auto"/>
              <w:jc w:val="center"/>
              <w:rPr>
                <w:rFonts w:ascii="Times New Roman" w:hAnsi="Times New Roman" w:cs="Traditional Arabic"/>
                <w:sz w:val="20"/>
                <w:szCs w:val="20"/>
                <w:rtl/>
                <w:lang w:bidi="ar-EG"/>
              </w:rPr>
            </w:pPr>
            <w:r w:rsidRPr="00C30768">
              <w:rPr>
                <w:rFonts w:ascii="Times New Roman" w:hAnsi="Times New Roman" w:cs="Traditional Arabic"/>
                <w:sz w:val="20"/>
                <w:szCs w:val="20"/>
                <w:lang w:bidi="ar-EG"/>
              </w:rPr>
              <w:t>14.21</w:t>
            </w:r>
          </w:p>
        </w:tc>
        <w:tc>
          <w:tcPr>
            <w:tcW w:w="1440" w:type="dxa"/>
            <w:tcBorders>
              <w:top w:val="nil"/>
              <w:bottom w:val="nil"/>
            </w:tcBorders>
          </w:tcPr>
          <w:p w14:paraId="21547B99" w14:textId="71B69C6C" w:rsidR="00C30768" w:rsidRPr="00C30768" w:rsidRDefault="00C30768" w:rsidP="00C30768">
            <w:pPr>
              <w:spacing w:line="276" w:lineRule="auto"/>
              <w:jc w:val="center"/>
              <w:rPr>
                <w:rFonts w:ascii="Times New Roman" w:hAnsi="Times New Roman" w:cs="Times New Roman"/>
                <w:sz w:val="20"/>
                <w:szCs w:val="20"/>
              </w:rPr>
            </w:pPr>
            <w:r w:rsidRPr="00C30768">
              <w:rPr>
                <w:rFonts w:ascii="Times New Roman" w:hAnsi="Times New Roman" w:cs="Times New Roman"/>
                <w:sz w:val="20"/>
                <w:szCs w:val="20"/>
              </w:rPr>
              <w:t>70.23%</w:t>
            </w:r>
          </w:p>
        </w:tc>
        <w:tc>
          <w:tcPr>
            <w:tcW w:w="1170" w:type="dxa"/>
            <w:tcBorders>
              <w:top w:val="nil"/>
              <w:bottom w:val="nil"/>
            </w:tcBorders>
          </w:tcPr>
          <w:p w14:paraId="4116627E" w14:textId="47F0616A" w:rsidR="00C30768" w:rsidRPr="00C30768" w:rsidRDefault="00C30768" w:rsidP="00C30768">
            <w:pPr>
              <w:spacing w:line="276" w:lineRule="auto"/>
              <w:jc w:val="center"/>
              <w:rPr>
                <w:rFonts w:ascii="Times New Roman" w:hAnsi="Times New Roman" w:cs="Times New Roman"/>
                <w:sz w:val="20"/>
                <w:szCs w:val="20"/>
                <w:rtl/>
              </w:rPr>
            </w:pPr>
            <w:r w:rsidRPr="00C30768">
              <w:rPr>
                <w:rFonts w:ascii="Times New Roman" w:hAnsi="Times New Roman" w:cs="Times New Roman"/>
                <w:sz w:val="20"/>
                <w:szCs w:val="20"/>
              </w:rPr>
              <w:t>95</w:t>
            </w:r>
          </w:p>
        </w:tc>
        <w:tc>
          <w:tcPr>
            <w:tcW w:w="900" w:type="dxa"/>
            <w:tcBorders>
              <w:top w:val="nil"/>
              <w:bottom w:val="nil"/>
            </w:tcBorders>
          </w:tcPr>
          <w:p w14:paraId="12CD414F" w14:textId="6BD60CE7" w:rsidR="00C30768" w:rsidRPr="00C30768" w:rsidRDefault="00C30768" w:rsidP="00C30768">
            <w:pPr>
              <w:tabs>
                <w:tab w:val="left" w:pos="180"/>
                <w:tab w:val="center" w:pos="442"/>
              </w:tabs>
              <w:spacing w:line="276" w:lineRule="auto"/>
              <w:jc w:val="center"/>
              <w:rPr>
                <w:rFonts w:ascii="Times New Roman" w:hAnsi="Times New Roman" w:cs="Times New Roman"/>
                <w:sz w:val="20"/>
                <w:szCs w:val="20"/>
              </w:rPr>
            </w:pPr>
            <w:r w:rsidRPr="00C30768">
              <w:rPr>
                <w:rFonts w:ascii="Times New Roman" w:hAnsi="Times New Roman" w:cs="Times New Roman"/>
                <w:sz w:val="20"/>
                <w:szCs w:val="20"/>
              </w:rPr>
              <w:t>66.72</w:t>
            </w:r>
          </w:p>
        </w:tc>
        <w:tc>
          <w:tcPr>
            <w:tcW w:w="1440" w:type="dxa"/>
            <w:tcBorders>
              <w:top w:val="nil"/>
              <w:bottom w:val="nil"/>
            </w:tcBorders>
            <w:vAlign w:val="center"/>
          </w:tcPr>
          <w:p w14:paraId="674F3CC1" w14:textId="2E1CFE4B" w:rsidR="00C30768" w:rsidRPr="00C30768" w:rsidRDefault="00C30768" w:rsidP="00C30768">
            <w:pPr>
              <w:spacing w:line="276" w:lineRule="auto"/>
              <w:jc w:val="center"/>
              <w:rPr>
                <w:rFonts w:ascii="Times New Roman" w:hAnsi="Times New Roman" w:cs="Times New Roman"/>
                <w:sz w:val="20"/>
                <w:szCs w:val="20"/>
                <w:rtl/>
              </w:rPr>
            </w:pPr>
            <w:r w:rsidRPr="00C30768">
              <w:rPr>
                <w:rFonts w:ascii="Times New Roman" w:hAnsi="Times New Roman" w:cs="Times New Roman"/>
                <w:sz w:val="20"/>
                <w:szCs w:val="20"/>
              </w:rPr>
              <w:t>RoC</w:t>
            </w:r>
          </w:p>
        </w:tc>
      </w:tr>
      <w:tr w:rsidR="00C30768" w:rsidRPr="00C30768" w14:paraId="1294D70D" w14:textId="49B4E797" w:rsidTr="00C30768">
        <w:tc>
          <w:tcPr>
            <w:tcW w:w="1080" w:type="dxa"/>
            <w:tcBorders>
              <w:top w:val="nil"/>
              <w:bottom w:val="nil"/>
            </w:tcBorders>
          </w:tcPr>
          <w:p w14:paraId="0DB0A8B8" w14:textId="3C9DAF2F" w:rsidR="00C30768" w:rsidRPr="00C30768" w:rsidRDefault="00C30768" w:rsidP="00C30768">
            <w:pPr>
              <w:bidi/>
              <w:spacing w:line="276" w:lineRule="auto"/>
              <w:jc w:val="center"/>
              <w:rPr>
                <w:rFonts w:ascii="Times New Roman" w:hAnsi="Times New Roman" w:cs="Traditional Arabic"/>
                <w:sz w:val="28"/>
                <w:szCs w:val="28"/>
                <w:rtl/>
                <w:lang w:bidi="ar-EG"/>
              </w:rPr>
            </w:pPr>
            <w:r w:rsidRPr="00C30768">
              <w:rPr>
                <w:rFonts w:ascii="Times New Roman" w:hAnsi="Times New Roman" w:cs="Traditional Arabic"/>
                <w:sz w:val="28"/>
                <w:szCs w:val="28"/>
                <w:lang w:bidi="ar-EG"/>
              </w:rPr>
              <w:t>2</w:t>
            </w:r>
          </w:p>
        </w:tc>
        <w:tc>
          <w:tcPr>
            <w:tcW w:w="900" w:type="dxa"/>
            <w:tcBorders>
              <w:top w:val="nil"/>
              <w:bottom w:val="nil"/>
            </w:tcBorders>
          </w:tcPr>
          <w:p w14:paraId="4D4561E0" w14:textId="0856719F" w:rsidR="00C30768" w:rsidRPr="00C30768" w:rsidRDefault="00C30768" w:rsidP="00C30768">
            <w:pPr>
              <w:bidi/>
              <w:spacing w:line="276" w:lineRule="auto"/>
              <w:jc w:val="center"/>
              <w:rPr>
                <w:rFonts w:ascii="Times New Roman" w:hAnsi="Times New Roman" w:cs="Traditional Arabic"/>
                <w:sz w:val="20"/>
                <w:szCs w:val="20"/>
                <w:lang w:bidi="ar-EG"/>
              </w:rPr>
            </w:pPr>
            <w:r w:rsidRPr="00C30768">
              <w:rPr>
                <w:rFonts w:ascii="Times New Roman" w:hAnsi="Times New Roman" w:cs="Traditional Arabic"/>
                <w:sz w:val="20"/>
                <w:szCs w:val="20"/>
                <w:lang w:bidi="ar-EG"/>
              </w:rPr>
              <w:t>High</w:t>
            </w:r>
          </w:p>
        </w:tc>
        <w:tc>
          <w:tcPr>
            <w:tcW w:w="1170" w:type="dxa"/>
            <w:tcBorders>
              <w:top w:val="nil"/>
              <w:bottom w:val="nil"/>
            </w:tcBorders>
          </w:tcPr>
          <w:p w14:paraId="79C8AFB4" w14:textId="12BBB6CA" w:rsidR="00C30768" w:rsidRPr="00C30768" w:rsidRDefault="00C30768" w:rsidP="00C30768">
            <w:pPr>
              <w:bidi/>
              <w:spacing w:line="276" w:lineRule="auto"/>
              <w:jc w:val="center"/>
              <w:rPr>
                <w:rFonts w:ascii="Times New Roman" w:hAnsi="Times New Roman" w:cs="Traditional Arabic"/>
                <w:sz w:val="20"/>
                <w:szCs w:val="20"/>
                <w:rtl/>
                <w:lang w:bidi="ar-EG"/>
              </w:rPr>
            </w:pPr>
            <w:r w:rsidRPr="00C30768">
              <w:rPr>
                <w:rFonts w:ascii="Times New Roman" w:hAnsi="Times New Roman" w:cs="Traditional Arabic"/>
                <w:sz w:val="20"/>
                <w:szCs w:val="20"/>
                <w:lang w:bidi="ar-EG"/>
              </w:rPr>
              <w:t>10.68</w:t>
            </w:r>
          </w:p>
        </w:tc>
        <w:tc>
          <w:tcPr>
            <w:tcW w:w="1440" w:type="dxa"/>
            <w:tcBorders>
              <w:top w:val="nil"/>
              <w:bottom w:val="nil"/>
            </w:tcBorders>
          </w:tcPr>
          <w:p w14:paraId="23098AB9" w14:textId="6EA78F9C" w:rsidR="00C30768" w:rsidRPr="00C30768" w:rsidRDefault="00C30768" w:rsidP="00C30768">
            <w:pPr>
              <w:spacing w:line="276" w:lineRule="auto"/>
              <w:jc w:val="center"/>
              <w:rPr>
                <w:rFonts w:ascii="Times New Roman" w:hAnsi="Times New Roman" w:cs="Times New Roman"/>
                <w:sz w:val="20"/>
                <w:szCs w:val="20"/>
                <w:rtl/>
              </w:rPr>
            </w:pPr>
            <w:r w:rsidRPr="00C30768">
              <w:rPr>
                <w:rFonts w:ascii="Times New Roman" w:hAnsi="Times New Roman" w:cs="Times New Roman"/>
                <w:sz w:val="20"/>
                <w:szCs w:val="20"/>
              </w:rPr>
              <w:t>70.45%</w:t>
            </w:r>
          </w:p>
        </w:tc>
        <w:tc>
          <w:tcPr>
            <w:tcW w:w="1170" w:type="dxa"/>
            <w:tcBorders>
              <w:top w:val="nil"/>
              <w:bottom w:val="nil"/>
            </w:tcBorders>
          </w:tcPr>
          <w:p w14:paraId="401B9846" w14:textId="22C22167" w:rsidR="00C30768" w:rsidRPr="00C30768" w:rsidRDefault="00C30768" w:rsidP="00C30768">
            <w:pPr>
              <w:spacing w:line="276" w:lineRule="auto"/>
              <w:jc w:val="center"/>
              <w:rPr>
                <w:rFonts w:ascii="Times New Roman" w:hAnsi="Times New Roman" w:cs="Times New Roman"/>
                <w:sz w:val="20"/>
                <w:szCs w:val="20"/>
                <w:rtl/>
              </w:rPr>
            </w:pPr>
            <w:r w:rsidRPr="00C30768">
              <w:rPr>
                <w:rFonts w:ascii="Times New Roman" w:hAnsi="Times New Roman" w:cs="Times New Roman"/>
                <w:sz w:val="20"/>
                <w:szCs w:val="20"/>
              </w:rPr>
              <w:t>55</w:t>
            </w:r>
          </w:p>
        </w:tc>
        <w:tc>
          <w:tcPr>
            <w:tcW w:w="900" w:type="dxa"/>
            <w:tcBorders>
              <w:top w:val="nil"/>
              <w:bottom w:val="nil"/>
            </w:tcBorders>
          </w:tcPr>
          <w:p w14:paraId="7DAD90B0" w14:textId="0C88334E" w:rsidR="00C30768" w:rsidRPr="00C30768" w:rsidRDefault="00C30768" w:rsidP="00C30768">
            <w:pPr>
              <w:tabs>
                <w:tab w:val="left" w:pos="180"/>
                <w:tab w:val="center" w:pos="442"/>
              </w:tabs>
              <w:spacing w:line="276" w:lineRule="auto"/>
              <w:jc w:val="center"/>
              <w:rPr>
                <w:rFonts w:ascii="Times New Roman" w:hAnsi="Times New Roman" w:cs="Times New Roman"/>
                <w:sz w:val="20"/>
                <w:szCs w:val="20"/>
              </w:rPr>
            </w:pPr>
            <w:r w:rsidRPr="00C30768">
              <w:rPr>
                <w:rFonts w:ascii="Times New Roman" w:hAnsi="Times New Roman" w:cs="Times New Roman"/>
                <w:sz w:val="20"/>
                <w:szCs w:val="20"/>
              </w:rPr>
              <w:t>38.75</w:t>
            </w:r>
          </w:p>
        </w:tc>
        <w:tc>
          <w:tcPr>
            <w:tcW w:w="1440" w:type="dxa"/>
            <w:tcBorders>
              <w:top w:val="nil"/>
              <w:bottom w:val="nil"/>
            </w:tcBorders>
            <w:vAlign w:val="center"/>
          </w:tcPr>
          <w:p w14:paraId="0694B949" w14:textId="0259CA5C" w:rsidR="00C30768" w:rsidRPr="00C30768" w:rsidRDefault="00C30768" w:rsidP="00C30768">
            <w:pPr>
              <w:spacing w:line="276" w:lineRule="auto"/>
              <w:jc w:val="center"/>
              <w:rPr>
                <w:rFonts w:ascii="Times New Roman" w:hAnsi="Times New Roman" w:cs="Times New Roman"/>
                <w:sz w:val="20"/>
                <w:szCs w:val="20"/>
                <w:rtl/>
              </w:rPr>
            </w:pPr>
            <w:r w:rsidRPr="00C30768">
              <w:rPr>
                <w:rFonts w:ascii="Times New Roman" w:hAnsi="Times New Roman" w:cs="Times New Roman"/>
                <w:sz w:val="20"/>
                <w:szCs w:val="20"/>
              </w:rPr>
              <w:t>KP</w:t>
            </w:r>
          </w:p>
        </w:tc>
      </w:tr>
      <w:tr w:rsidR="00C30768" w:rsidRPr="00C30768" w14:paraId="5F497887" w14:textId="4DC940AD" w:rsidTr="00C30768">
        <w:trPr>
          <w:trHeight w:val="242"/>
        </w:trPr>
        <w:tc>
          <w:tcPr>
            <w:tcW w:w="1080" w:type="dxa"/>
            <w:tcBorders>
              <w:top w:val="nil"/>
            </w:tcBorders>
          </w:tcPr>
          <w:p w14:paraId="730AC3AB" w14:textId="3C25603A" w:rsidR="00C30768" w:rsidRPr="00C30768" w:rsidRDefault="00C30768" w:rsidP="00C30768">
            <w:pPr>
              <w:tabs>
                <w:tab w:val="left" w:pos="180"/>
                <w:tab w:val="center" w:pos="442"/>
              </w:tabs>
              <w:jc w:val="center"/>
              <w:rPr>
                <w:rFonts w:ascii="Sakkal Majalla" w:hAnsi="Sakkal Majalla" w:cs="Sakkal Majalla"/>
                <w:sz w:val="28"/>
                <w:szCs w:val="28"/>
                <w:lang w:bidi="ar-EG"/>
              </w:rPr>
            </w:pPr>
          </w:p>
        </w:tc>
        <w:tc>
          <w:tcPr>
            <w:tcW w:w="900" w:type="dxa"/>
            <w:tcBorders>
              <w:top w:val="nil"/>
            </w:tcBorders>
          </w:tcPr>
          <w:p w14:paraId="7F016EEE" w14:textId="00E96FC9" w:rsidR="00C30768" w:rsidRPr="00C30768" w:rsidRDefault="00C30768" w:rsidP="00C30768">
            <w:pPr>
              <w:bidi/>
              <w:spacing w:line="276" w:lineRule="auto"/>
              <w:jc w:val="center"/>
              <w:rPr>
                <w:rFonts w:ascii="Times New Roman" w:hAnsi="Times New Roman" w:cs="Traditional Arabic"/>
                <w:sz w:val="20"/>
                <w:szCs w:val="20"/>
                <w:lang w:bidi="ar-EG"/>
              </w:rPr>
            </w:pPr>
            <w:r w:rsidRPr="00C30768">
              <w:rPr>
                <w:rFonts w:ascii="Times New Roman" w:hAnsi="Times New Roman" w:cs="Traditional Arabic"/>
                <w:sz w:val="20"/>
                <w:szCs w:val="20"/>
                <w:lang w:bidi="ar-EG"/>
              </w:rPr>
              <w:t>High</w:t>
            </w:r>
          </w:p>
        </w:tc>
        <w:tc>
          <w:tcPr>
            <w:tcW w:w="1170" w:type="dxa"/>
            <w:tcBorders>
              <w:top w:val="nil"/>
            </w:tcBorders>
          </w:tcPr>
          <w:p w14:paraId="75098B61" w14:textId="31BF65B6" w:rsidR="00C30768" w:rsidRPr="00C30768" w:rsidRDefault="00C30768" w:rsidP="00C30768">
            <w:pPr>
              <w:bidi/>
              <w:spacing w:line="276" w:lineRule="auto"/>
              <w:jc w:val="center"/>
              <w:rPr>
                <w:rFonts w:ascii="Times New Roman" w:hAnsi="Times New Roman" w:cs="Traditional Arabic"/>
                <w:sz w:val="20"/>
                <w:szCs w:val="20"/>
                <w:rtl/>
                <w:lang w:bidi="ar-EG"/>
              </w:rPr>
            </w:pPr>
            <w:r w:rsidRPr="00C30768">
              <w:rPr>
                <w:rFonts w:ascii="Times New Roman" w:hAnsi="Times New Roman" w:cs="Traditional Arabic"/>
                <w:sz w:val="20"/>
                <w:szCs w:val="20"/>
                <w:lang w:bidi="ar-EG"/>
              </w:rPr>
              <w:t>32.04</w:t>
            </w:r>
          </w:p>
        </w:tc>
        <w:tc>
          <w:tcPr>
            <w:tcW w:w="1440" w:type="dxa"/>
            <w:tcBorders>
              <w:top w:val="nil"/>
            </w:tcBorders>
          </w:tcPr>
          <w:p w14:paraId="0A35103D" w14:textId="2318410E" w:rsidR="00C30768" w:rsidRPr="00C30768" w:rsidRDefault="00C30768" w:rsidP="00C30768">
            <w:pPr>
              <w:spacing w:line="276" w:lineRule="auto"/>
              <w:jc w:val="center"/>
              <w:rPr>
                <w:rFonts w:ascii="Times New Roman" w:hAnsi="Times New Roman" w:cs="Times New Roman"/>
                <w:sz w:val="20"/>
                <w:szCs w:val="20"/>
                <w:rtl/>
              </w:rPr>
            </w:pPr>
            <w:r w:rsidRPr="00C30768">
              <w:rPr>
                <w:rFonts w:ascii="Times New Roman" w:hAnsi="Times New Roman" w:cs="Times New Roman"/>
                <w:sz w:val="20"/>
                <w:szCs w:val="20"/>
              </w:rPr>
              <w:t>71.69%</w:t>
            </w:r>
          </w:p>
        </w:tc>
        <w:tc>
          <w:tcPr>
            <w:tcW w:w="1170" w:type="dxa"/>
            <w:tcBorders>
              <w:top w:val="nil"/>
            </w:tcBorders>
          </w:tcPr>
          <w:p w14:paraId="30BC9B59" w14:textId="1B0FAA2B" w:rsidR="00C30768" w:rsidRPr="00C30768" w:rsidRDefault="00C30768" w:rsidP="00C30768">
            <w:pPr>
              <w:spacing w:line="276" w:lineRule="auto"/>
              <w:jc w:val="center"/>
              <w:rPr>
                <w:rFonts w:ascii="Times New Roman" w:hAnsi="Times New Roman" w:cs="Times New Roman"/>
                <w:sz w:val="20"/>
                <w:szCs w:val="20"/>
                <w:rtl/>
              </w:rPr>
            </w:pPr>
            <w:r w:rsidRPr="00C30768">
              <w:rPr>
                <w:rFonts w:ascii="Times New Roman" w:hAnsi="Times New Roman" w:cs="Times New Roman"/>
                <w:sz w:val="20"/>
                <w:szCs w:val="20"/>
              </w:rPr>
              <w:t>210</w:t>
            </w:r>
          </w:p>
        </w:tc>
        <w:tc>
          <w:tcPr>
            <w:tcW w:w="900" w:type="dxa"/>
            <w:tcBorders>
              <w:top w:val="nil"/>
            </w:tcBorders>
          </w:tcPr>
          <w:p w14:paraId="4EA07F18" w14:textId="42FFE4B3" w:rsidR="00C30768" w:rsidRPr="00C30768" w:rsidRDefault="00C30768" w:rsidP="00C30768">
            <w:pPr>
              <w:tabs>
                <w:tab w:val="left" w:pos="180"/>
                <w:tab w:val="center" w:pos="442"/>
              </w:tabs>
              <w:spacing w:line="276" w:lineRule="auto"/>
              <w:jc w:val="center"/>
              <w:rPr>
                <w:rFonts w:ascii="Times New Roman" w:hAnsi="Times New Roman" w:cs="Times New Roman"/>
                <w:sz w:val="20"/>
                <w:szCs w:val="20"/>
              </w:rPr>
            </w:pPr>
            <w:r w:rsidRPr="00C30768">
              <w:rPr>
                <w:rFonts w:ascii="Times New Roman" w:hAnsi="Times New Roman" w:cs="Times New Roman"/>
                <w:sz w:val="20"/>
                <w:szCs w:val="20"/>
              </w:rPr>
              <w:t>150.54</w:t>
            </w:r>
          </w:p>
        </w:tc>
        <w:tc>
          <w:tcPr>
            <w:tcW w:w="1440" w:type="dxa"/>
            <w:tcBorders>
              <w:top w:val="nil"/>
            </w:tcBorders>
            <w:vAlign w:val="center"/>
          </w:tcPr>
          <w:p w14:paraId="7E38ACC8" w14:textId="7E383800" w:rsidR="00C30768" w:rsidRPr="00C30768" w:rsidRDefault="00C30768" w:rsidP="00C30768">
            <w:pPr>
              <w:spacing w:line="276" w:lineRule="auto"/>
              <w:jc w:val="center"/>
              <w:rPr>
                <w:rFonts w:ascii="Times New Roman" w:hAnsi="Times New Roman" w:cs="Times New Roman"/>
                <w:sz w:val="20"/>
                <w:szCs w:val="20"/>
                <w:rtl/>
              </w:rPr>
            </w:pPr>
            <w:r w:rsidRPr="00C30768">
              <w:rPr>
                <w:rFonts w:ascii="Times New Roman" w:hAnsi="Times New Roman" w:cs="Times New Roman"/>
                <w:sz w:val="20"/>
                <w:szCs w:val="20"/>
              </w:rPr>
              <w:t>MTS.tot</w:t>
            </w:r>
          </w:p>
        </w:tc>
      </w:tr>
    </w:tbl>
    <w:p w14:paraId="20A1C742" w14:textId="1E1393E5" w:rsidR="00C30768" w:rsidRPr="00C30768" w:rsidRDefault="00C30768" w:rsidP="00C30768">
      <w:pPr>
        <w:jc w:val="both"/>
        <w:rPr>
          <w:rFonts w:ascii="Traditional Arabic" w:eastAsia="Times New Roman" w:hAnsi="Traditional Arabic" w:cs="Traditional Arabic"/>
          <w:i/>
          <w:iCs/>
          <w:sz w:val="20"/>
          <w:szCs w:val="20"/>
          <w:rtl/>
        </w:rPr>
      </w:pPr>
      <w:r w:rsidRPr="00C30768">
        <w:rPr>
          <w:rFonts w:ascii="Traditional Arabic" w:eastAsia="Times New Roman" w:hAnsi="Traditional Arabic" w:cs="Traditional Arabic"/>
          <w:i/>
          <w:iCs/>
          <w:sz w:val="20"/>
          <w:szCs w:val="20"/>
        </w:rPr>
        <w:t>Abbreviations: KoC = subscale “knowledge of cognition”, RoC = subscale “regulation of cognition”, KP = subscale “knowledge processing</w:t>
      </w:r>
      <w:r w:rsidRPr="00C30768">
        <w:rPr>
          <w:rFonts w:ascii="Traditional Arabic" w:eastAsia="Times New Roman" w:hAnsi="Traditional Arabic" w:cs="Traditional Arabic"/>
          <w:i/>
          <w:iCs/>
          <w:sz w:val="20"/>
          <w:szCs w:val="20"/>
          <w:rtl/>
        </w:rPr>
        <w:t>”.</w:t>
      </w:r>
      <w:r w:rsidRPr="00C30768">
        <w:rPr>
          <w:rFonts w:ascii="Traditional Arabic" w:eastAsia="Times New Roman" w:hAnsi="Traditional Arabic" w:cs="Traditional Arabic"/>
          <w:i/>
          <w:iCs/>
          <w:sz w:val="20"/>
          <w:szCs w:val="20"/>
        </w:rPr>
        <w:t xml:space="preserve"> MTS.tot, Metacognitive Thinking Scale</w:t>
      </w:r>
    </w:p>
    <w:p w14:paraId="7965FE3F" w14:textId="35871BF9" w:rsidR="00C30768" w:rsidRPr="00833A3A" w:rsidRDefault="00C30768" w:rsidP="009C475C">
      <w:pPr>
        <w:spacing w:before="240"/>
        <w:jc w:val="lowKashida"/>
        <w:rPr>
          <w:rFonts w:asciiTheme="majorHAnsi" w:hAnsiTheme="majorHAnsi" w:cstheme="majorHAnsi"/>
          <w:sz w:val="22"/>
          <w:szCs w:val="22"/>
        </w:rPr>
      </w:pPr>
      <w:r w:rsidRPr="00833A3A">
        <w:rPr>
          <w:rFonts w:asciiTheme="majorHAnsi" w:hAnsiTheme="majorHAnsi" w:cstheme="majorHAnsi"/>
          <w:sz w:val="22"/>
          <w:szCs w:val="22"/>
        </w:rPr>
        <w:t>Table (5) indicates that the level of metacognitive thinking among university students was high, with 75.13% for knowledge of cognition, 70.23% for regulation of cognition, 70.45% for knowledge processing, and 71.69% for the scale as a whole.</w:t>
      </w:r>
    </w:p>
    <w:p w14:paraId="58D7BDD5" w14:textId="6AF8DE9A" w:rsidR="00C30768" w:rsidRPr="00833A3A" w:rsidRDefault="00C30768" w:rsidP="009C475C">
      <w:pPr>
        <w:spacing w:before="240"/>
        <w:jc w:val="lowKashida"/>
        <w:rPr>
          <w:rFonts w:asciiTheme="majorHAnsi" w:hAnsiTheme="majorHAnsi" w:cstheme="majorHAnsi"/>
          <w:sz w:val="22"/>
          <w:szCs w:val="22"/>
        </w:rPr>
      </w:pPr>
      <w:r w:rsidRPr="00833A3A">
        <w:rPr>
          <w:rFonts w:asciiTheme="majorHAnsi" w:hAnsiTheme="majorHAnsi" w:cstheme="majorHAnsi"/>
          <w:sz w:val="22"/>
          <w:szCs w:val="22"/>
        </w:rPr>
        <w:lastRenderedPageBreak/>
        <w:t>To test the validity of the hypothesis "University students have a high level of metacognitive thinking skills", a t- test was used for one independent sample to determine the significance of the difference between the mean scores of students on the dimensions of the metacognitive thinking scale and the hypothetical means of those dimensions to determine the level of metacognitive thinking among university students. The results are shown in Table (6).</w:t>
      </w:r>
    </w:p>
    <w:p w14:paraId="679A7376" w14:textId="2D3094FF" w:rsidR="00C30768" w:rsidRPr="00833A3A" w:rsidRDefault="00C30768" w:rsidP="00833A3A">
      <w:pPr>
        <w:tabs>
          <w:tab w:val="left" w:pos="9355"/>
        </w:tabs>
        <w:spacing w:before="240" w:after="120"/>
        <w:jc w:val="center"/>
        <w:rPr>
          <w:rFonts w:asciiTheme="majorHAnsi" w:hAnsiTheme="majorHAnsi" w:cstheme="majorHAnsi"/>
          <w:color w:val="000000" w:themeColor="text1"/>
          <w:sz w:val="22"/>
          <w:szCs w:val="22"/>
        </w:rPr>
      </w:pPr>
      <w:r w:rsidRPr="00833A3A">
        <w:rPr>
          <w:rFonts w:asciiTheme="majorHAnsi" w:hAnsiTheme="majorHAnsi" w:cstheme="majorHAnsi"/>
          <w:color w:val="000000" w:themeColor="text1"/>
          <w:sz w:val="22"/>
          <w:szCs w:val="22"/>
        </w:rPr>
        <w:t xml:space="preserve">Table 6. Means, </w:t>
      </w:r>
      <w:r w:rsidR="005F63C8" w:rsidRPr="00833A3A">
        <w:rPr>
          <w:rFonts w:asciiTheme="majorHAnsi" w:hAnsiTheme="majorHAnsi" w:cstheme="majorHAnsi"/>
          <w:color w:val="000000" w:themeColor="text1"/>
          <w:sz w:val="22"/>
          <w:szCs w:val="22"/>
        </w:rPr>
        <w:t>Standard Deviations</w:t>
      </w:r>
      <w:r w:rsidRPr="00833A3A">
        <w:rPr>
          <w:rFonts w:asciiTheme="majorHAnsi" w:hAnsiTheme="majorHAnsi" w:cstheme="majorHAnsi"/>
          <w:color w:val="000000" w:themeColor="text1"/>
          <w:sz w:val="22"/>
          <w:szCs w:val="22"/>
        </w:rPr>
        <w:t xml:space="preserve">, </w:t>
      </w:r>
      <w:r w:rsidR="005F63C8" w:rsidRPr="00833A3A">
        <w:rPr>
          <w:rFonts w:asciiTheme="majorHAnsi" w:hAnsiTheme="majorHAnsi" w:cstheme="majorHAnsi"/>
          <w:color w:val="000000" w:themeColor="text1"/>
          <w:sz w:val="22"/>
          <w:szCs w:val="22"/>
        </w:rPr>
        <w:t>Hypothetical Means</w:t>
      </w:r>
      <w:r w:rsidRPr="00833A3A">
        <w:rPr>
          <w:rFonts w:asciiTheme="majorHAnsi" w:hAnsiTheme="majorHAnsi" w:cstheme="majorHAnsi"/>
          <w:color w:val="000000" w:themeColor="text1"/>
          <w:sz w:val="22"/>
          <w:szCs w:val="22"/>
        </w:rPr>
        <w:t xml:space="preserve">, and (t) </w:t>
      </w:r>
      <w:r w:rsidR="005F63C8" w:rsidRPr="00833A3A">
        <w:rPr>
          <w:rFonts w:asciiTheme="majorHAnsi" w:hAnsiTheme="majorHAnsi" w:cstheme="majorHAnsi"/>
          <w:color w:val="000000" w:themeColor="text1"/>
          <w:sz w:val="22"/>
          <w:szCs w:val="22"/>
        </w:rPr>
        <w:t xml:space="preserve">Values </w:t>
      </w:r>
      <w:r w:rsidRPr="00833A3A">
        <w:rPr>
          <w:rFonts w:asciiTheme="majorHAnsi" w:hAnsiTheme="majorHAnsi" w:cstheme="majorHAnsi"/>
          <w:color w:val="000000" w:themeColor="text1"/>
          <w:sz w:val="22"/>
          <w:szCs w:val="22"/>
        </w:rPr>
        <w:t xml:space="preserve">for </w:t>
      </w:r>
      <w:r w:rsidR="005F63C8" w:rsidRPr="00833A3A">
        <w:rPr>
          <w:rFonts w:asciiTheme="majorHAnsi" w:hAnsiTheme="majorHAnsi" w:cstheme="majorHAnsi"/>
          <w:color w:val="000000" w:themeColor="text1"/>
          <w:sz w:val="22"/>
          <w:szCs w:val="22"/>
        </w:rPr>
        <w:t xml:space="preserve">One Sample </w:t>
      </w:r>
      <w:r w:rsidRPr="00833A3A">
        <w:rPr>
          <w:rFonts w:asciiTheme="majorHAnsi" w:hAnsiTheme="majorHAnsi" w:cstheme="majorHAnsi"/>
          <w:color w:val="000000" w:themeColor="text1"/>
          <w:sz w:val="22"/>
          <w:szCs w:val="22"/>
        </w:rPr>
        <w:t xml:space="preserve">to determine the level of </w:t>
      </w:r>
      <w:r w:rsidR="003D049A" w:rsidRPr="00833A3A">
        <w:rPr>
          <w:rFonts w:asciiTheme="majorHAnsi" w:hAnsiTheme="majorHAnsi" w:cstheme="majorHAnsi"/>
          <w:color w:val="000000" w:themeColor="text1"/>
          <w:sz w:val="22"/>
          <w:szCs w:val="22"/>
        </w:rPr>
        <w:t>Metacognitive</w:t>
      </w:r>
      <w:r w:rsidR="005F63C8" w:rsidRPr="00833A3A">
        <w:rPr>
          <w:rFonts w:asciiTheme="majorHAnsi" w:hAnsiTheme="majorHAnsi" w:cstheme="majorHAnsi"/>
          <w:color w:val="000000" w:themeColor="text1"/>
          <w:sz w:val="22"/>
          <w:szCs w:val="22"/>
        </w:rPr>
        <w:t xml:space="preserve"> Thinking </w:t>
      </w:r>
      <w:r w:rsidRPr="00833A3A">
        <w:rPr>
          <w:rFonts w:asciiTheme="majorHAnsi" w:hAnsiTheme="majorHAnsi" w:cstheme="majorHAnsi"/>
          <w:color w:val="000000" w:themeColor="text1"/>
          <w:sz w:val="22"/>
          <w:szCs w:val="22"/>
        </w:rPr>
        <w:t xml:space="preserve">of </w:t>
      </w:r>
      <w:r w:rsidR="005F63C8" w:rsidRPr="00833A3A">
        <w:rPr>
          <w:rFonts w:asciiTheme="majorHAnsi" w:hAnsiTheme="majorHAnsi" w:cstheme="majorHAnsi"/>
          <w:color w:val="000000" w:themeColor="text1"/>
          <w:sz w:val="22"/>
          <w:szCs w:val="22"/>
        </w:rPr>
        <w:t>University Students</w:t>
      </w:r>
    </w:p>
    <w:tbl>
      <w:tblPr>
        <w:tblStyle w:val="3"/>
        <w:tblW w:w="0" w:type="auto"/>
        <w:tblInd w:w="-162" w:type="dxa"/>
        <w:tblBorders>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710"/>
        <w:gridCol w:w="720"/>
        <w:gridCol w:w="900"/>
        <w:gridCol w:w="1260"/>
        <w:gridCol w:w="955"/>
        <w:gridCol w:w="843"/>
        <w:gridCol w:w="1262"/>
        <w:gridCol w:w="1710"/>
      </w:tblGrid>
      <w:tr w:rsidR="00C30768" w:rsidRPr="00C30768" w14:paraId="22794F4D" w14:textId="0AC1D522" w:rsidTr="00C30768">
        <w:trPr>
          <w:trHeight w:val="467"/>
        </w:trPr>
        <w:tc>
          <w:tcPr>
            <w:tcW w:w="1710" w:type="dxa"/>
            <w:tcBorders>
              <w:bottom w:val="single" w:sz="4" w:space="0" w:color="auto"/>
            </w:tcBorders>
          </w:tcPr>
          <w:p w14:paraId="2B4C62F7" w14:textId="506F37CD" w:rsidR="00C30768" w:rsidRPr="00C30768" w:rsidRDefault="00C30768" w:rsidP="00C30768">
            <w:pPr>
              <w:spacing w:line="276" w:lineRule="auto"/>
              <w:jc w:val="center"/>
              <w:rPr>
                <w:rFonts w:ascii="Times New Roman" w:hAnsi="Times New Roman" w:cs="Times New Roman"/>
                <w:sz w:val="20"/>
                <w:szCs w:val="20"/>
                <w:lang w:val="en-GB"/>
              </w:rPr>
            </w:pPr>
            <w:r w:rsidRPr="00C30768">
              <w:rPr>
                <w:rFonts w:ascii="Times New Roman" w:hAnsi="Times New Roman" w:cs="Times New Roman"/>
                <w:b/>
                <w:bCs/>
                <w:sz w:val="20"/>
                <w:szCs w:val="20"/>
              </w:rPr>
              <w:t>Metacognition Thinking</w:t>
            </w:r>
          </w:p>
        </w:tc>
        <w:tc>
          <w:tcPr>
            <w:tcW w:w="720" w:type="dxa"/>
            <w:tcBorders>
              <w:bottom w:val="single" w:sz="4" w:space="0" w:color="auto"/>
            </w:tcBorders>
          </w:tcPr>
          <w:p w14:paraId="2C7D6331" w14:textId="55BC8D89" w:rsidR="00C30768" w:rsidRPr="00C30768" w:rsidRDefault="00C30768" w:rsidP="00C30768">
            <w:pPr>
              <w:spacing w:line="276" w:lineRule="auto"/>
              <w:jc w:val="center"/>
              <w:rPr>
                <w:rFonts w:ascii="Times New Roman" w:hAnsi="Times New Roman" w:cs="Times New Roman"/>
                <w:b/>
                <w:bCs/>
                <w:sz w:val="20"/>
                <w:szCs w:val="20"/>
              </w:rPr>
            </w:pPr>
            <w:r w:rsidRPr="00C30768">
              <w:rPr>
                <w:rFonts w:ascii="Times New Roman" w:hAnsi="Times New Roman" w:cs="Times New Roman"/>
                <w:b/>
                <w:bCs/>
                <w:sz w:val="20"/>
                <w:szCs w:val="20"/>
              </w:rPr>
              <w:t>N</w:t>
            </w:r>
          </w:p>
        </w:tc>
        <w:tc>
          <w:tcPr>
            <w:tcW w:w="900" w:type="dxa"/>
            <w:tcBorders>
              <w:bottom w:val="single" w:sz="4" w:space="0" w:color="auto"/>
            </w:tcBorders>
          </w:tcPr>
          <w:p w14:paraId="615310E3" w14:textId="3D8EA759" w:rsidR="00C30768" w:rsidRPr="00C30768" w:rsidRDefault="00C30768" w:rsidP="00C30768">
            <w:pPr>
              <w:spacing w:line="276" w:lineRule="auto"/>
              <w:jc w:val="center"/>
              <w:rPr>
                <w:rFonts w:ascii="Times New Roman" w:hAnsi="Times New Roman" w:cs="Times New Roman"/>
                <w:b/>
                <w:bCs/>
                <w:sz w:val="20"/>
                <w:szCs w:val="20"/>
              </w:rPr>
            </w:pPr>
            <w:r w:rsidRPr="00C30768">
              <w:rPr>
                <w:rFonts w:ascii="Times New Roman" w:hAnsi="Times New Roman" w:cs="Times New Roman"/>
                <w:b/>
                <w:bCs/>
                <w:sz w:val="20"/>
                <w:szCs w:val="20"/>
              </w:rPr>
              <w:t>Mean</w:t>
            </w:r>
          </w:p>
        </w:tc>
        <w:tc>
          <w:tcPr>
            <w:tcW w:w="1260" w:type="dxa"/>
            <w:tcBorders>
              <w:bottom w:val="single" w:sz="4" w:space="0" w:color="auto"/>
            </w:tcBorders>
          </w:tcPr>
          <w:p w14:paraId="4ABBB63F" w14:textId="24B6CE5C" w:rsidR="00C30768" w:rsidRPr="00C30768" w:rsidRDefault="00C30768" w:rsidP="00C30768">
            <w:pPr>
              <w:tabs>
                <w:tab w:val="left" w:pos="180"/>
                <w:tab w:val="center" w:pos="442"/>
              </w:tabs>
              <w:spacing w:line="276" w:lineRule="auto"/>
              <w:jc w:val="center"/>
              <w:rPr>
                <w:rFonts w:ascii="Times New Roman" w:hAnsi="Times New Roman" w:cs="Times New Roman"/>
                <w:b/>
                <w:bCs/>
                <w:sz w:val="20"/>
                <w:szCs w:val="20"/>
              </w:rPr>
            </w:pPr>
            <w:r w:rsidRPr="00C30768">
              <w:rPr>
                <w:rFonts w:ascii="Times New Roman" w:hAnsi="Times New Roman" w:cs="Times New Roman"/>
                <w:b/>
                <w:bCs/>
                <w:sz w:val="20"/>
                <w:szCs w:val="20"/>
              </w:rPr>
              <w:t>Hypothetical mean</w:t>
            </w:r>
          </w:p>
        </w:tc>
        <w:tc>
          <w:tcPr>
            <w:tcW w:w="955" w:type="dxa"/>
            <w:tcBorders>
              <w:bottom w:val="single" w:sz="4" w:space="0" w:color="auto"/>
            </w:tcBorders>
          </w:tcPr>
          <w:p w14:paraId="1E4B6A4D" w14:textId="14176EC6" w:rsidR="00C30768" w:rsidRPr="00C30768" w:rsidRDefault="00C30768" w:rsidP="00C30768">
            <w:pPr>
              <w:spacing w:line="276" w:lineRule="auto"/>
              <w:jc w:val="center"/>
              <w:rPr>
                <w:rFonts w:ascii="Times New Roman" w:hAnsi="Times New Roman" w:cs="Times New Roman"/>
                <w:b/>
                <w:bCs/>
                <w:sz w:val="20"/>
                <w:szCs w:val="20"/>
              </w:rPr>
            </w:pPr>
            <w:r w:rsidRPr="00C30768">
              <w:rPr>
                <w:rFonts w:ascii="Times New Roman" w:hAnsi="Times New Roman" w:cs="Times New Roman"/>
                <w:b/>
                <w:bCs/>
                <w:sz w:val="20"/>
                <w:szCs w:val="20"/>
              </w:rPr>
              <w:t>SD</w:t>
            </w:r>
          </w:p>
        </w:tc>
        <w:tc>
          <w:tcPr>
            <w:tcW w:w="843" w:type="dxa"/>
            <w:tcBorders>
              <w:bottom w:val="single" w:sz="4" w:space="0" w:color="auto"/>
            </w:tcBorders>
          </w:tcPr>
          <w:p w14:paraId="4E39D687" w14:textId="6A4450C9" w:rsidR="00C30768" w:rsidRPr="00C30768" w:rsidRDefault="00C30768" w:rsidP="00C30768">
            <w:pPr>
              <w:spacing w:line="276" w:lineRule="auto"/>
              <w:jc w:val="center"/>
              <w:rPr>
                <w:rFonts w:ascii="Times New Roman" w:hAnsi="Times New Roman" w:cs="Times New Roman"/>
                <w:b/>
                <w:bCs/>
                <w:sz w:val="20"/>
                <w:szCs w:val="20"/>
              </w:rPr>
            </w:pPr>
            <w:r w:rsidRPr="00C30768">
              <w:rPr>
                <w:rFonts w:ascii="Times New Roman" w:hAnsi="Times New Roman" w:cs="Times New Roman"/>
                <w:b/>
                <w:bCs/>
                <w:sz w:val="20"/>
                <w:szCs w:val="20"/>
              </w:rPr>
              <w:t>t- test</w:t>
            </w:r>
          </w:p>
        </w:tc>
        <w:tc>
          <w:tcPr>
            <w:tcW w:w="1262" w:type="dxa"/>
            <w:tcBorders>
              <w:bottom w:val="single" w:sz="4" w:space="0" w:color="auto"/>
            </w:tcBorders>
          </w:tcPr>
          <w:p w14:paraId="1BE7C89F" w14:textId="59DC1585" w:rsidR="00C30768" w:rsidRPr="00C30768" w:rsidRDefault="00C30768" w:rsidP="00C30768">
            <w:pPr>
              <w:spacing w:line="276" w:lineRule="auto"/>
              <w:jc w:val="center"/>
              <w:rPr>
                <w:rFonts w:ascii="Times New Roman" w:hAnsi="Times New Roman" w:cs="Times New Roman"/>
                <w:b/>
                <w:bCs/>
                <w:sz w:val="20"/>
                <w:szCs w:val="20"/>
              </w:rPr>
            </w:pPr>
            <w:r w:rsidRPr="00C30768">
              <w:rPr>
                <w:rFonts w:ascii="Times New Roman" w:hAnsi="Times New Roman" w:cs="Times New Roman"/>
                <w:b/>
                <w:bCs/>
                <w:sz w:val="20"/>
                <w:szCs w:val="20"/>
              </w:rPr>
              <w:t>Sign.</w:t>
            </w:r>
          </w:p>
        </w:tc>
        <w:tc>
          <w:tcPr>
            <w:tcW w:w="1710" w:type="dxa"/>
            <w:tcBorders>
              <w:bottom w:val="single" w:sz="4" w:space="0" w:color="auto"/>
            </w:tcBorders>
          </w:tcPr>
          <w:p w14:paraId="26082B7E" w14:textId="6B327BBC" w:rsidR="00C30768" w:rsidRPr="00C30768" w:rsidRDefault="00C30768" w:rsidP="00C30768">
            <w:pPr>
              <w:tabs>
                <w:tab w:val="left" w:pos="0"/>
              </w:tabs>
              <w:bidi/>
              <w:spacing w:line="276" w:lineRule="auto"/>
              <w:ind w:left="-90" w:right="-244"/>
              <w:jc w:val="center"/>
              <w:rPr>
                <w:rFonts w:ascii="Times New Roman" w:hAnsi="Times New Roman" w:cs="Times New Roman"/>
                <w:b/>
                <w:bCs/>
                <w:sz w:val="20"/>
                <w:szCs w:val="20"/>
              </w:rPr>
            </w:pPr>
            <w:r w:rsidRPr="00C30768">
              <w:rPr>
                <w:rFonts w:ascii="Times New Roman" w:hAnsi="Times New Roman" w:cs="Times New Roman"/>
                <w:b/>
                <w:bCs/>
                <w:sz w:val="20"/>
                <w:szCs w:val="20"/>
              </w:rPr>
              <w:t>The Level</w:t>
            </w:r>
          </w:p>
        </w:tc>
      </w:tr>
      <w:tr w:rsidR="00C30768" w:rsidRPr="00C30768" w14:paraId="3A062F8D" w14:textId="445988EB" w:rsidTr="00C30768">
        <w:trPr>
          <w:trHeight w:val="202"/>
        </w:trPr>
        <w:tc>
          <w:tcPr>
            <w:tcW w:w="1710" w:type="dxa"/>
            <w:tcBorders>
              <w:bottom w:val="nil"/>
            </w:tcBorders>
            <w:vAlign w:val="center"/>
          </w:tcPr>
          <w:p w14:paraId="22E3FE3D" w14:textId="0E3BFB6A" w:rsidR="00C30768" w:rsidRPr="00C30768" w:rsidRDefault="00C30768" w:rsidP="00C30768">
            <w:pPr>
              <w:spacing w:line="276" w:lineRule="auto"/>
              <w:jc w:val="center"/>
              <w:rPr>
                <w:rFonts w:ascii="Times New Roman" w:hAnsi="Times New Roman" w:cs="Times New Roman"/>
                <w:sz w:val="20"/>
                <w:szCs w:val="20"/>
                <w:rtl/>
              </w:rPr>
            </w:pPr>
            <w:r w:rsidRPr="00C30768">
              <w:rPr>
                <w:rFonts w:ascii="Times New Roman" w:hAnsi="Times New Roman" w:cs="Times New Roman"/>
                <w:sz w:val="20"/>
                <w:szCs w:val="20"/>
              </w:rPr>
              <w:t>KoC</w:t>
            </w:r>
          </w:p>
        </w:tc>
        <w:tc>
          <w:tcPr>
            <w:tcW w:w="720" w:type="dxa"/>
            <w:tcBorders>
              <w:bottom w:val="nil"/>
            </w:tcBorders>
          </w:tcPr>
          <w:p w14:paraId="1F9D25A8" w14:textId="2E28B7A6" w:rsidR="00C30768" w:rsidRPr="00C30768" w:rsidRDefault="00C30768" w:rsidP="00C30768">
            <w:pPr>
              <w:spacing w:line="276" w:lineRule="auto"/>
              <w:jc w:val="center"/>
              <w:rPr>
                <w:rFonts w:ascii="Times New Roman" w:hAnsi="Times New Roman" w:cs="Times New Roman"/>
                <w:sz w:val="20"/>
                <w:szCs w:val="20"/>
              </w:rPr>
            </w:pPr>
            <w:r w:rsidRPr="00C30768">
              <w:rPr>
                <w:rFonts w:ascii="Times New Roman" w:hAnsi="Times New Roman" w:cs="Times New Roman"/>
                <w:sz w:val="20"/>
                <w:szCs w:val="20"/>
              </w:rPr>
              <w:t>120</w:t>
            </w:r>
          </w:p>
        </w:tc>
        <w:tc>
          <w:tcPr>
            <w:tcW w:w="900" w:type="dxa"/>
            <w:tcBorders>
              <w:bottom w:val="nil"/>
            </w:tcBorders>
          </w:tcPr>
          <w:p w14:paraId="6ABA5A0C" w14:textId="6B1A203D" w:rsidR="00C30768" w:rsidRPr="00C30768" w:rsidRDefault="00C30768" w:rsidP="00C30768">
            <w:pPr>
              <w:spacing w:line="276" w:lineRule="auto"/>
              <w:jc w:val="center"/>
              <w:rPr>
                <w:rFonts w:ascii="Times New Roman" w:hAnsi="Times New Roman" w:cs="Times New Roman"/>
                <w:sz w:val="20"/>
                <w:szCs w:val="20"/>
              </w:rPr>
            </w:pPr>
            <w:r w:rsidRPr="00C30768">
              <w:rPr>
                <w:rFonts w:ascii="Times New Roman" w:hAnsi="Times New Roman" w:cs="Times New Roman"/>
                <w:sz w:val="20"/>
                <w:szCs w:val="20"/>
              </w:rPr>
              <w:t>45.08</w:t>
            </w:r>
          </w:p>
        </w:tc>
        <w:tc>
          <w:tcPr>
            <w:tcW w:w="1260" w:type="dxa"/>
            <w:tcBorders>
              <w:bottom w:val="nil"/>
            </w:tcBorders>
          </w:tcPr>
          <w:p w14:paraId="0A1D6B29" w14:textId="6453A231" w:rsidR="00C30768" w:rsidRPr="00C30768" w:rsidRDefault="00C30768" w:rsidP="00C30768">
            <w:pPr>
              <w:spacing w:line="276" w:lineRule="auto"/>
              <w:jc w:val="center"/>
              <w:rPr>
                <w:rFonts w:ascii="Times New Roman" w:hAnsi="Times New Roman" w:cs="Times New Roman"/>
                <w:sz w:val="20"/>
                <w:szCs w:val="20"/>
              </w:rPr>
            </w:pPr>
            <w:r w:rsidRPr="00C30768">
              <w:rPr>
                <w:rFonts w:ascii="Times New Roman" w:hAnsi="Times New Roman" w:cs="Times New Roman"/>
                <w:sz w:val="20"/>
                <w:szCs w:val="20"/>
              </w:rPr>
              <w:t>36</w:t>
            </w:r>
          </w:p>
        </w:tc>
        <w:tc>
          <w:tcPr>
            <w:tcW w:w="955" w:type="dxa"/>
            <w:tcBorders>
              <w:bottom w:val="nil"/>
            </w:tcBorders>
          </w:tcPr>
          <w:p w14:paraId="25A4AD7B" w14:textId="77823080" w:rsidR="00C30768" w:rsidRPr="00C30768" w:rsidRDefault="00C30768" w:rsidP="00C30768">
            <w:pPr>
              <w:spacing w:line="276" w:lineRule="auto"/>
              <w:jc w:val="center"/>
              <w:rPr>
                <w:rFonts w:ascii="Times New Roman" w:hAnsi="Times New Roman" w:cs="Times New Roman"/>
                <w:sz w:val="20"/>
                <w:szCs w:val="20"/>
              </w:rPr>
            </w:pPr>
            <w:r w:rsidRPr="00C30768">
              <w:rPr>
                <w:rFonts w:ascii="Times New Roman" w:hAnsi="Times New Roman" w:cs="Times New Roman"/>
                <w:sz w:val="20"/>
                <w:szCs w:val="20"/>
              </w:rPr>
              <w:t>7.84</w:t>
            </w:r>
          </w:p>
        </w:tc>
        <w:tc>
          <w:tcPr>
            <w:tcW w:w="843" w:type="dxa"/>
            <w:tcBorders>
              <w:bottom w:val="nil"/>
            </w:tcBorders>
          </w:tcPr>
          <w:p w14:paraId="39A01A41" w14:textId="588BA49F" w:rsidR="00C30768" w:rsidRPr="00C30768" w:rsidRDefault="00C30768" w:rsidP="00C30768">
            <w:pPr>
              <w:spacing w:line="276" w:lineRule="auto"/>
              <w:jc w:val="center"/>
              <w:rPr>
                <w:rFonts w:ascii="Times New Roman" w:hAnsi="Times New Roman" w:cs="Times New Roman"/>
                <w:sz w:val="20"/>
                <w:szCs w:val="20"/>
              </w:rPr>
            </w:pPr>
            <w:r w:rsidRPr="00C30768">
              <w:rPr>
                <w:rFonts w:ascii="Times New Roman" w:hAnsi="Times New Roman" w:cs="Times New Roman"/>
                <w:sz w:val="20"/>
                <w:szCs w:val="20"/>
              </w:rPr>
              <w:t>12.68</w:t>
            </w:r>
          </w:p>
        </w:tc>
        <w:tc>
          <w:tcPr>
            <w:tcW w:w="1262" w:type="dxa"/>
            <w:tcBorders>
              <w:bottom w:val="nil"/>
            </w:tcBorders>
          </w:tcPr>
          <w:p w14:paraId="4E1C0FE5" w14:textId="00374700" w:rsidR="00C30768" w:rsidRPr="00C30768" w:rsidRDefault="00C30768" w:rsidP="00C30768">
            <w:pPr>
              <w:spacing w:line="276" w:lineRule="auto"/>
              <w:jc w:val="center"/>
              <w:rPr>
                <w:rFonts w:ascii="Times New Roman" w:hAnsi="Times New Roman" w:cs="Times New Roman"/>
                <w:sz w:val="20"/>
                <w:szCs w:val="20"/>
              </w:rPr>
            </w:pPr>
            <w:r w:rsidRPr="00C30768">
              <w:rPr>
                <w:rFonts w:ascii="Times New Roman" w:hAnsi="Times New Roman" w:cs="Times New Roman"/>
                <w:sz w:val="20"/>
                <w:szCs w:val="20"/>
              </w:rPr>
              <w:t>0.01</w:t>
            </w:r>
          </w:p>
        </w:tc>
        <w:tc>
          <w:tcPr>
            <w:tcW w:w="1710" w:type="dxa"/>
            <w:tcBorders>
              <w:bottom w:val="nil"/>
            </w:tcBorders>
          </w:tcPr>
          <w:p w14:paraId="259AADB1" w14:textId="63AB794E" w:rsidR="00C30768" w:rsidRPr="00C30768" w:rsidRDefault="00C30768" w:rsidP="00C30768">
            <w:pPr>
              <w:autoSpaceDE w:val="0"/>
              <w:autoSpaceDN w:val="0"/>
              <w:adjustRightInd w:val="0"/>
              <w:spacing w:line="276" w:lineRule="auto"/>
              <w:contextualSpacing/>
              <w:jc w:val="center"/>
              <w:rPr>
                <w:rFonts w:ascii="Times New Roman" w:hAnsi="Times New Roman" w:cs="Times New Roman"/>
                <w:sz w:val="20"/>
                <w:szCs w:val="20"/>
              </w:rPr>
            </w:pPr>
            <w:r w:rsidRPr="00C30768">
              <w:rPr>
                <w:rFonts w:ascii="Times New Roman" w:hAnsi="Times New Roman" w:cs="Times New Roman"/>
                <w:sz w:val="20"/>
                <w:szCs w:val="20"/>
              </w:rPr>
              <w:t>High</w:t>
            </w:r>
          </w:p>
        </w:tc>
      </w:tr>
      <w:tr w:rsidR="00C30768" w:rsidRPr="00C30768" w14:paraId="7DE9098C" w14:textId="5DD91FA5" w:rsidTr="00C30768">
        <w:trPr>
          <w:trHeight w:val="265"/>
        </w:trPr>
        <w:tc>
          <w:tcPr>
            <w:tcW w:w="1710" w:type="dxa"/>
            <w:tcBorders>
              <w:top w:val="nil"/>
              <w:bottom w:val="nil"/>
            </w:tcBorders>
            <w:vAlign w:val="center"/>
          </w:tcPr>
          <w:p w14:paraId="1A5AFC4E" w14:textId="587A4D29" w:rsidR="00C30768" w:rsidRPr="00C30768" w:rsidRDefault="00C30768" w:rsidP="00C30768">
            <w:pPr>
              <w:spacing w:line="276" w:lineRule="auto"/>
              <w:jc w:val="center"/>
              <w:rPr>
                <w:rFonts w:ascii="Times New Roman" w:hAnsi="Times New Roman" w:cs="Times New Roman"/>
                <w:sz w:val="20"/>
                <w:szCs w:val="20"/>
                <w:rtl/>
              </w:rPr>
            </w:pPr>
            <w:r w:rsidRPr="00C30768">
              <w:rPr>
                <w:rFonts w:ascii="Times New Roman" w:hAnsi="Times New Roman" w:cs="Times New Roman"/>
                <w:sz w:val="20"/>
                <w:szCs w:val="20"/>
              </w:rPr>
              <w:t>RoC</w:t>
            </w:r>
          </w:p>
        </w:tc>
        <w:tc>
          <w:tcPr>
            <w:tcW w:w="720" w:type="dxa"/>
            <w:tcBorders>
              <w:top w:val="nil"/>
              <w:bottom w:val="nil"/>
            </w:tcBorders>
          </w:tcPr>
          <w:p w14:paraId="2F8E0C23" w14:textId="66EF04D8" w:rsidR="00C30768" w:rsidRPr="00C30768" w:rsidRDefault="00C30768" w:rsidP="00C30768">
            <w:pPr>
              <w:spacing w:line="276" w:lineRule="auto"/>
              <w:jc w:val="center"/>
              <w:rPr>
                <w:rFonts w:ascii="Times New Roman" w:hAnsi="Times New Roman" w:cs="Times New Roman"/>
                <w:sz w:val="20"/>
                <w:szCs w:val="20"/>
              </w:rPr>
            </w:pPr>
            <w:r w:rsidRPr="00C30768">
              <w:rPr>
                <w:rFonts w:ascii="Times New Roman" w:hAnsi="Times New Roman" w:cs="Times New Roman"/>
                <w:sz w:val="20"/>
                <w:szCs w:val="20"/>
              </w:rPr>
              <w:t>120</w:t>
            </w:r>
          </w:p>
        </w:tc>
        <w:tc>
          <w:tcPr>
            <w:tcW w:w="900" w:type="dxa"/>
            <w:tcBorders>
              <w:top w:val="nil"/>
              <w:bottom w:val="nil"/>
            </w:tcBorders>
          </w:tcPr>
          <w:p w14:paraId="77745F59" w14:textId="7A99C255" w:rsidR="00C30768" w:rsidRPr="00C30768" w:rsidRDefault="00C30768" w:rsidP="00C30768">
            <w:pPr>
              <w:spacing w:line="276" w:lineRule="auto"/>
              <w:jc w:val="center"/>
              <w:rPr>
                <w:rFonts w:ascii="Times New Roman" w:hAnsi="Times New Roman" w:cs="Times New Roman"/>
                <w:sz w:val="20"/>
                <w:szCs w:val="20"/>
              </w:rPr>
            </w:pPr>
            <w:r w:rsidRPr="00C30768">
              <w:rPr>
                <w:rFonts w:ascii="Times New Roman" w:hAnsi="Times New Roman" w:cs="Times New Roman"/>
                <w:sz w:val="20"/>
                <w:szCs w:val="20"/>
              </w:rPr>
              <w:t>66.72</w:t>
            </w:r>
          </w:p>
        </w:tc>
        <w:tc>
          <w:tcPr>
            <w:tcW w:w="1260" w:type="dxa"/>
            <w:tcBorders>
              <w:top w:val="nil"/>
              <w:bottom w:val="nil"/>
            </w:tcBorders>
          </w:tcPr>
          <w:p w14:paraId="467AC1DB" w14:textId="77C13E59" w:rsidR="00C30768" w:rsidRPr="00C30768" w:rsidRDefault="00C30768" w:rsidP="00C30768">
            <w:pPr>
              <w:spacing w:line="276" w:lineRule="auto"/>
              <w:jc w:val="center"/>
              <w:rPr>
                <w:rFonts w:ascii="Times New Roman" w:hAnsi="Times New Roman" w:cs="Times New Roman"/>
                <w:sz w:val="20"/>
                <w:szCs w:val="20"/>
              </w:rPr>
            </w:pPr>
            <w:r w:rsidRPr="00C30768">
              <w:rPr>
                <w:rFonts w:ascii="Times New Roman" w:hAnsi="Times New Roman" w:cs="Times New Roman"/>
                <w:sz w:val="20"/>
                <w:szCs w:val="20"/>
              </w:rPr>
              <w:t>57</w:t>
            </w:r>
          </w:p>
        </w:tc>
        <w:tc>
          <w:tcPr>
            <w:tcW w:w="955" w:type="dxa"/>
            <w:tcBorders>
              <w:top w:val="nil"/>
              <w:bottom w:val="nil"/>
            </w:tcBorders>
          </w:tcPr>
          <w:p w14:paraId="6E6BD761" w14:textId="4B81C5C1" w:rsidR="00C30768" w:rsidRPr="00C30768" w:rsidRDefault="00C30768" w:rsidP="00C30768">
            <w:pPr>
              <w:spacing w:line="276" w:lineRule="auto"/>
              <w:jc w:val="center"/>
              <w:rPr>
                <w:rFonts w:ascii="Times New Roman" w:hAnsi="Times New Roman" w:cs="Times New Roman"/>
                <w:sz w:val="20"/>
                <w:szCs w:val="20"/>
              </w:rPr>
            </w:pPr>
            <w:r w:rsidRPr="00C30768">
              <w:rPr>
                <w:rFonts w:ascii="Times New Roman" w:hAnsi="Times New Roman" w:cs="Times New Roman"/>
                <w:sz w:val="20"/>
                <w:szCs w:val="20"/>
              </w:rPr>
              <w:t>14.21</w:t>
            </w:r>
          </w:p>
        </w:tc>
        <w:tc>
          <w:tcPr>
            <w:tcW w:w="843" w:type="dxa"/>
            <w:tcBorders>
              <w:top w:val="nil"/>
              <w:bottom w:val="nil"/>
            </w:tcBorders>
          </w:tcPr>
          <w:p w14:paraId="3A32A8DD" w14:textId="4237FA8D" w:rsidR="00C30768" w:rsidRPr="00C30768" w:rsidRDefault="00C30768" w:rsidP="00C30768">
            <w:pPr>
              <w:spacing w:line="276" w:lineRule="auto"/>
              <w:jc w:val="center"/>
              <w:rPr>
                <w:rFonts w:ascii="Times New Roman" w:hAnsi="Times New Roman" w:cs="Times New Roman"/>
                <w:sz w:val="20"/>
                <w:szCs w:val="20"/>
                <w:rtl/>
              </w:rPr>
            </w:pPr>
            <w:r w:rsidRPr="00C30768">
              <w:rPr>
                <w:rFonts w:ascii="Times New Roman" w:hAnsi="Times New Roman" w:cs="Times New Roman"/>
                <w:sz w:val="20"/>
                <w:szCs w:val="20"/>
              </w:rPr>
              <w:t>7.49</w:t>
            </w:r>
          </w:p>
        </w:tc>
        <w:tc>
          <w:tcPr>
            <w:tcW w:w="1262" w:type="dxa"/>
            <w:tcBorders>
              <w:top w:val="nil"/>
              <w:bottom w:val="nil"/>
            </w:tcBorders>
          </w:tcPr>
          <w:p w14:paraId="4484ED3E" w14:textId="7893BE86" w:rsidR="00C30768" w:rsidRPr="00C30768" w:rsidRDefault="00C30768" w:rsidP="00C30768">
            <w:pPr>
              <w:spacing w:line="276" w:lineRule="auto"/>
              <w:jc w:val="center"/>
              <w:rPr>
                <w:rFonts w:ascii="Times New Roman" w:hAnsi="Times New Roman" w:cs="Times New Roman"/>
                <w:sz w:val="20"/>
                <w:szCs w:val="20"/>
              </w:rPr>
            </w:pPr>
            <w:r w:rsidRPr="00C30768">
              <w:rPr>
                <w:rFonts w:ascii="Times New Roman" w:hAnsi="Times New Roman" w:cs="Times New Roman"/>
                <w:sz w:val="20"/>
                <w:szCs w:val="20"/>
              </w:rPr>
              <w:t>0. 01</w:t>
            </w:r>
          </w:p>
        </w:tc>
        <w:tc>
          <w:tcPr>
            <w:tcW w:w="1710" w:type="dxa"/>
            <w:tcBorders>
              <w:top w:val="nil"/>
              <w:bottom w:val="nil"/>
            </w:tcBorders>
          </w:tcPr>
          <w:p w14:paraId="3A8E3DE3" w14:textId="57010993" w:rsidR="00C30768" w:rsidRPr="00C30768" w:rsidRDefault="00C30768" w:rsidP="00C30768">
            <w:pPr>
              <w:spacing w:line="276" w:lineRule="auto"/>
              <w:jc w:val="center"/>
              <w:rPr>
                <w:rFonts w:ascii="Times New Roman" w:hAnsi="Times New Roman" w:cs="Times New Roman"/>
                <w:sz w:val="20"/>
                <w:szCs w:val="20"/>
              </w:rPr>
            </w:pPr>
            <w:r w:rsidRPr="00C30768">
              <w:rPr>
                <w:rFonts w:ascii="Times New Roman" w:hAnsi="Times New Roman" w:cs="Times New Roman"/>
                <w:sz w:val="20"/>
                <w:szCs w:val="20"/>
              </w:rPr>
              <w:t>High</w:t>
            </w:r>
          </w:p>
        </w:tc>
      </w:tr>
      <w:tr w:rsidR="00C30768" w:rsidRPr="00C30768" w14:paraId="5CEDEC2D" w14:textId="1FE0B4EE" w:rsidTr="00C30768">
        <w:trPr>
          <w:trHeight w:val="314"/>
        </w:trPr>
        <w:tc>
          <w:tcPr>
            <w:tcW w:w="1710" w:type="dxa"/>
            <w:tcBorders>
              <w:top w:val="nil"/>
              <w:bottom w:val="nil"/>
            </w:tcBorders>
            <w:vAlign w:val="center"/>
          </w:tcPr>
          <w:p w14:paraId="70204920" w14:textId="2C9CF32D" w:rsidR="00C30768" w:rsidRPr="00C30768" w:rsidRDefault="00C30768" w:rsidP="00C30768">
            <w:pPr>
              <w:spacing w:line="276" w:lineRule="auto"/>
              <w:jc w:val="center"/>
              <w:rPr>
                <w:rFonts w:ascii="Times New Roman" w:hAnsi="Times New Roman" w:cs="Times New Roman"/>
                <w:sz w:val="20"/>
                <w:szCs w:val="20"/>
                <w:rtl/>
              </w:rPr>
            </w:pPr>
            <w:r w:rsidRPr="00C30768">
              <w:rPr>
                <w:rFonts w:ascii="Times New Roman" w:hAnsi="Times New Roman" w:cs="Times New Roman"/>
                <w:sz w:val="20"/>
                <w:szCs w:val="20"/>
              </w:rPr>
              <w:t>KP</w:t>
            </w:r>
          </w:p>
        </w:tc>
        <w:tc>
          <w:tcPr>
            <w:tcW w:w="720" w:type="dxa"/>
            <w:tcBorders>
              <w:top w:val="nil"/>
              <w:bottom w:val="nil"/>
            </w:tcBorders>
          </w:tcPr>
          <w:p w14:paraId="21A247D7" w14:textId="1C29D90C" w:rsidR="00C30768" w:rsidRPr="00C30768" w:rsidRDefault="00C30768" w:rsidP="00C30768">
            <w:pPr>
              <w:spacing w:line="276" w:lineRule="auto"/>
              <w:jc w:val="center"/>
              <w:rPr>
                <w:rFonts w:ascii="Times New Roman" w:hAnsi="Times New Roman" w:cs="Times New Roman"/>
                <w:sz w:val="20"/>
                <w:szCs w:val="20"/>
              </w:rPr>
            </w:pPr>
            <w:r w:rsidRPr="00C30768">
              <w:rPr>
                <w:rFonts w:ascii="Times New Roman" w:hAnsi="Times New Roman" w:cs="Times New Roman"/>
                <w:sz w:val="20"/>
                <w:szCs w:val="20"/>
              </w:rPr>
              <w:t>120</w:t>
            </w:r>
          </w:p>
        </w:tc>
        <w:tc>
          <w:tcPr>
            <w:tcW w:w="900" w:type="dxa"/>
            <w:tcBorders>
              <w:top w:val="nil"/>
              <w:bottom w:val="nil"/>
            </w:tcBorders>
          </w:tcPr>
          <w:p w14:paraId="69AAB647" w14:textId="0C7850B8" w:rsidR="00C30768" w:rsidRPr="00C30768" w:rsidRDefault="00C30768" w:rsidP="00C30768">
            <w:pPr>
              <w:spacing w:line="276" w:lineRule="auto"/>
              <w:jc w:val="center"/>
              <w:rPr>
                <w:rFonts w:ascii="Times New Roman" w:hAnsi="Times New Roman" w:cs="Times New Roman"/>
                <w:sz w:val="20"/>
                <w:szCs w:val="20"/>
              </w:rPr>
            </w:pPr>
            <w:r w:rsidRPr="00C30768">
              <w:rPr>
                <w:rFonts w:ascii="Times New Roman" w:hAnsi="Times New Roman" w:cs="Times New Roman"/>
                <w:sz w:val="20"/>
                <w:szCs w:val="20"/>
              </w:rPr>
              <w:t>38.75</w:t>
            </w:r>
          </w:p>
        </w:tc>
        <w:tc>
          <w:tcPr>
            <w:tcW w:w="1260" w:type="dxa"/>
            <w:tcBorders>
              <w:top w:val="nil"/>
              <w:bottom w:val="nil"/>
            </w:tcBorders>
          </w:tcPr>
          <w:p w14:paraId="551FC451" w14:textId="7EBD4E86" w:rsidR="00C30768" w:rsidRPr="00C30768" w:rsidRDefault="00C30768" w:rsidP="00C30768">
            <w:pPr>
              <w:spacing w:line="276" w:lineRule="auto"/>
              <w:jc w:val="center"/>
              <w:rPr>
                <w:rFonts w:ascii="Times New Roman" w:hAnsi="Times New Roman" w:cs="Times New Roman"/>
                <w:sz w:val="20"/>
                <w:szCs w:val="20"/>
              </w:rPr>
            </w:pPr>
            <w:r w:rsidRPr="00C30768">
              <w:rPr>
                <w:rFonts w:ascii="Times New Roman" w:hAnsi="Times New Roman" w:cs="Times New Roman"/>
                <w:sz w:val="20"/>
                <w:szCs w:val="20"/>
              </w:rPr>
              <w:t>33</w:t>
            </w:r>
          </w:p>
        </w:tc>
        <w:tc>
          <w:tcPr>
            <w:tcW w:w="955" w:type="dxa"/>
            <w:tcBorders>
              <w:top w:val="nil"/>
              <w:bottom w:val="nil"/>
            </w:tcBorders>
          </w:tcPr>
          <w:p w14:paraId="3EBB414D" w14:textId="3F7A66E9" w:rsidR="00C30768" w:rsidRPr="00C30768" w:rsidRDefault="00C30768" w:rsidP="00C30768">
            <w:pPr>
              <w:spacing w:line="276" w:lineRule="auto"/>
              <w:jc w:val="center"/>
              <w:rPr>
                <w:rFonts w:ascii="Times New Roman" w:hAnsi="Times New Roman" w:cs="Times New Roman"/>
                <w:sz w:val="20"/>
                <w:szCs w:val="20"/>
              </w:rPr>
            </w:pPr>
            <w:r w:rsidRPr="00C30768">
              <w:rPr>
                <w:rFonts w:ascii="Times New Roman" w:hAnsi="Times New Roman" w:cs="Times New Roman"/>
                <w:sz w:val="20"/>
                <w:szCs w:val="20"/>
              </w:rPr>
              <w:t>10.68</w:t>
            </w:r>
          </w:p>
        </w:tc>
        <w:tc>
          <w:tcPr>
            <w:tcW w:w="843" w:type="dxa"/>
            <w:tcBorders>
              <w:top w:val="nil"/>
              <w:bottom w:val="nil"/>
            </w:tcBorders>
          </w:tcPr>
          <w:p w14:paraId="30C4F3B3" w14:textId="61EB25DB" w:rsidR="00C30768" w:rsidRPr="00C30768" w:rsidRDefault="00C30768" w:rsidP="00C30768">
            <w:pPr>
              <w:spacing w:line="276" w:lineRule="auto"/>
              <w:jc w:val="center"/>
              <w:rPr>
                <w:rFonts w:ascii="Times New Roman" w:hAnsi="Times New Roman" w:cs="Times New Roman"/>
                <w:sz w:val="20"/>
                <w:szCs w:val="20"/>
                <w:rtl/>
              </w:rPr>
            </w:pPr>
            <w:r w:rsidRPr="00C30768">
              <w:rPr>
                <w:rFonts w:ascii="Times New Roman" w:hAnsi="Times New Roman" w:cs="Times New Roman"/>
                <w:sz w:val="20"/>
                <w:szCs w:val="20"/>
              </w:rPr>
              <w:t>5.90</w:t>
            </w:r>
          </w:p>
        </w:tc>
        <w:tc>
          <w:tcPr>
            <w:tcW w:w="1262" w:type="dxa"/>
            <w:tcBorders>
              <w:top w:val="nil"/>
              <w:bottom w:val="nil"/>
            </w:tcBorders>
          </w:tcPr>
          <w:p w14:paraId="0EC5F3DF" w14:textId="15181B0D" w:rsidR="00C30768" w:rsidRPr="00C30768" w:rsidRDefault="00C30768" w:rsidP="00C30768">
            <w:pPr>
              <w:spacing w:line="276" w:lineRule="auto"/>
              <w:jc w:val="center"/>
              <w:rPr>
                <w:rFonts w:ascii="Times New Roman" w:hAnsi="Times New Roman" w:cs="Times New Roman"/>
                <w:sz w:val="20"/>
                <w:szCs w:val="20"/>
              </w:rPr>
            </w:pPr>
            <w:r w:rsidRPr="00C30768">
              <w:rPr>
                <w:rFonts w:ascii="Times New Roman" w:hAnsi="Times New Roman" w:cs="Times New Roman"/>
                <w:sz w:val="20"/>
                <w:szCs w:val="20"/>
              </w:rPr>
              <w:t>0.01</w:t>
            </w:r>
          </w:p>
        </w:tc>
        <w:tc>
          <w:tcPr>
            <w:tcW w:w="1710" w:type="dxa"/>
            <w:tcBorders>
              <w:top w:val="nil"/>
              <w:bottom w:val="nil"/>
            </w:tcBorders>
          </w:tcPr>
          <w:p w14:paraId="5B295D52" w14:textId="58D2890E" w:rsidR="00C30768" w:rsidRPr="00C30768" w:rsidRDefault="00C30768" w:rsidP="00C30768">
            <w:pPr>
              <w:spacing w:line="276" w:lineRule="auto"/>
              <w:jc w:val="center"/>
              <w:rPr>
                <w:rFonts w:ascii="Times New Roman" w:hAnsi="Times New Roman" w:cs="Times New Roman"/>
                <w:sz w:val="20"/>
                <w:szCs w:val="20"/>
              </w:rPr>
            </w:pPr>
            <w:r w:rsidRPr="00C30768">
              <w:rPr>
                <w:rFonts w:ascii="Times New Roman" w:hAnsi="Times New Roman" w:cs="Times New Roman"/>
                <w:sz w:val="20"/>
                <w:szCs w:val="20"/>
              </w:rPr>
              <w:t>High</w:t>
            </w:r>
          </w:p>
        </w:tc>
      </w:tr>
      <w:tr w:rsidR="00C30768" w:rsidRPr="00C30768" w14:paraId="784EAC6F" w14:textId="3E16D556" w:rsidTr="00C30768">
        <w:tc>
          <w:tcPr>
            <w:tcW w:w="1710" w:type="dxa"/>
            <w:tcBorders>
              <w:top w:val="nil"/>
              <w:bottom w:val="single" w:sz="4" w:space="0" w:color="auto"/>
            </w:tcBorders>
          </w:tcPr>
          <w:p w14:paraId="2E8A6EF0" w14:textId="0A89D5F2" w:rsidR="00C30768" w:rsidRPr="00C30768" w:rsidRDefault="00C30768" w:rsidP="00C30768">
            <w:pPr>
              <w:spacing w:line="276" w:lineRule="auto"/>
              <w:jc w:val="center"/>
              <w:rPr>
                <w:rFonts w:ascii="Times New Roman" w:hAnsi="Times New Roman" w:cs="Times New Roman"/>
                <w:sz w:val="20"/>
                <w:szCs w:val="20"/>
              </w:rPr>
            </w:pPr>
            <w:r w:rsidRPr="00C30768">
              <w:rPr>
                <w:rFonts w:ascii="Times New Roman" w:hAnsi="Times New Roman" w:cs="Times New Roman"/>
                <w:sz w:val="20"/>
                <w:szCs w:val="20"/>
              </w:rPr>
              <w:t>MTS.tot</w:t>
            </w:r>
          </w:p>
        </w:tc>
        <w:tc>
          <w:tcPr>
            <w:tcW w:w="720" w:type="dxa"/>
            <w:tcBorders>
              <w:top w:val="nil"/>
              <w:bottom w:val="single" w:sz="4" w:space="0" w:color="auto"/>
            </w:tcBorders>
          </w:tcPr>
          <w:p w14:paraId="0FCEB8F1" w14:textId="64E16354" w:rsidR="00C30768" w:rsidRPr="00C30768" w:rsidRDefault="00C30768" w:rsidP="00C30768">
            <w:pPr>
              <w:spacing w:line="276" w:lineRule="auto"/>
              <w:jc w:val="center"/>
              <w:rPr>
                <w:rFonts w:ascii="Times New Roman" w:hAnsi="Times New Roman" w:cs="Times New Roman"/>
                <w:sz w:val="20"/>
                <w:szCs w:val="20"/>
              </w:rPr>
            </w:pPr>
            <w:r w:rsidRPr="00C30768">
              <w:rPr>
                <w:rFonts w:ascii="Times New Roman" w:hAnsi="Times New Roman" w:cs="Times New Roman"/>
                <w:sz w:val="20"/>
                <w:szCs w:val="20"/>
              </w:rPr>
              <w:t>120</w:t>
            </w:r>
          </w:p>
        </w:tc>
        <w:tc>
          <w:tcPr>
            <w:tcW w:w="900" w:type="dxa"/>
            <w:tcBorders>
              <w:top w:val="nil"/>
              <w:bottom w:val="single" w:sz="4" w:space="0" w:color="auto"/>
            </w:tcBorders>
          </w:tcPr>
          <w:p w14:paraId="0899C188" w14:textId="35AC731F" w:rsidR="00C30768" w:rsidRPr="00C30768" w:rsidRDefault="00C30768" w:rsidP="00C30768">
            <w:pPr>
              <w:tabs>
                <w:tab w:val="left" w:pos="180"/>
                <w:tab w:val="center" w:pos="442"/>
              </w:tabs>
              <w:spacing w:line="276" w:lineRule="auto"/>
              <w:jc w:val="center"/>
              <w:rPr>
                <w:rFonts w:ascii="Times New Roman" w:hAnsi="Times New Roman" w:cs="Times New Roman"/>
                <w:sz w:val="20"/>
                <w:szCs w:val="20"/>
              </w:rPr>
            </w:pPr>
            <w:r w:rsidRPr="00C30768">
              <w:rPr>
                <w:rFonts w:ascii="Times New Roman" w:hAnsi="Times New Roman" w:cs="Times New Roman"/>
                <w:sz w:val="20"/>
                <w:szCs w:val="20"/>
              </w:rPr>
              <w:t>150.54</w:t>
            </w:r>
          </w:p>
        </w:tc>
        <w:tc>
          <w:tcPr>
            <w:tcW w:w="1260" w:type="dxa"/>
            <w:tcBorders>
              <w:top w:val="nil"/>
              <w:bottom w:val="single" w:sz="4" w:space="0" w:color="auto"/>
            </w:tcBorders>
          </w:tcPr>
          <w:p w14:paraId="0DA238EE" w14:textId="33C92B6D" w:rsidR="00C30768" w:rsidRPr="00C30768" w:rsidRDefault="00C30768" w:rsidP="00C30768">
            <w:pPr>
              <w:tabs>
                <w:tab w:val="left" w:pos="180"/>
                <w:tab w:val="center" w:pos="442"/>
              </w:tabs>
              <w:spacing w:line="276" w:lineRule="auto"/>
              <w:jc w:val="center"/>
              <w:rPr>
                <w:rFonts w:ascii="Times New Roman" w:hAnsi="Times New Roman" w:cs="Times New Roman"/>
                <w:sz w:val="20"/>
                <w:szCs w:val="20"/>
              </w:rPr>
            </w:pPr>
            <w:r w:rsidRPr="00C30768">
              <w:rPr>
                <w:rFonts w:ascii="Times New Roman" w:hAnsi="Times New Roman" w:cs="Times New Roman"/>
                <w:sz w:val="20"/>
                <w:szCs w:val="20"/>
              </w:rPr>
              <w:t>126</w:t>
            </w:r>
          </w:p>
        </w:tc>
        <w:tc>
          <w:tcPr>
            <w:tcW w:w="955" w:type="dxa"/>
            <w:tcBorders>
              <w:top w:val="nil"/>
              <w:bottom w:val="single" w:sz="4" w:space="0" w:color="auto"/>
            </w:tcBorders>
          </w:tcPr>
          <w:p w14:paraId="236EB09E" w14:textId="4793D328" w:rsidR="00C30768" w:rsidRPr="00C30768" w:rsidRDefault="00C30768" w:rsidP="00C30768">
            <w:pPr>
              <w:tabs>
                <w:tab w:val="left" w:pos="180"/>
                <w:tab w:val="center" w:pos="442"/>
              </w:tabs>
              <w:spacing w:line="276" w:lineRule="auto"/>
              <w:jc w:val="center"/>
              <w:rPr>
                <w:rFonts w:ascii="Times New Roman" w:hAnsi="Times New Roman" w:cs="Times New Roman"/>
                <w:sz w:val="20"/>
                <w:szCs w:val="20"/>
              </w:rPr>
            </w:pPr>
            <w:r w:rsidRPr="00C30768">
              <w:rPr>
                <w:rFonts w:ascii="Times New Roman" w:hAnsi="Times New Roman" w:cs="Times New Roman"/>
                <w:sz w:val="20"/>
                <w:szCs w:val="20"/>
              </w:rPr>
              <w:t>26.34</w:t>
            </w:r>
          </w:p>
        </w:tc>
        <w:tc>
          <w:tcPr>
            <w:tcW w:w="843" w:type="dxa"/>
            <w:tcBorders>
              <w:top w:val="nil"/>
              <w:bottom w:val="single" w:sz="4" w:space="0" w:color="auto"/>
            </w:tcBorders>
          </w:tcPr>
          <w:p w14:paraId="687A730A" w14:textId="0D188837" w:rsidR="00C30768" w:rsidRPr="00C30768" w:rsidRDefault="00C30768" w:rsidP="00C30768">
            <w:pPr>
              <w:tabs>
                <w:tab w:val="left" w:pos="180"/>
                <w:tab w:val="center" w:pos="442"/>
              </w:tabs>
              <w:spacing w:line="276" w:lineRule="auto"/>
              <w:jc w:val="center"/>
              <w:rPr>
                <w:rFonts w:ascii="Times New Roman" w:hAnsi="Times New Roman" w:cs="Times New Roman"/>
                <w:sz w:val="20"/>
                <w:szCs w:val="20"/>
              </w:rPr>
            </w:pPr>
            <w:r w:rsidRPr="00C30768">
              <w:rPr>
                <w:rFonts w:ascii="Times New Roman" w:hAnsi="Times New Roman" w:cs="Times New Roman"/>
                <w:sz w:val="20"/>
                <w:szCs w:val="20"/>
              </w:rPr>
              <w:t>10.21</w:t>
            </w:r>
          </w:p>
        </w:tc>
        <w:tc>
          <w:tcPr>
            <w:tcW w:w="1262" w:type="dxa"/>
            <w:tcBorders>
              <w:top w:val="nil"/>
              <w:bottom w:val="single" w:sz="4" w:space="0" w:color="auto"/>
            </w:tcBorders>
          </w:tcPr>
          <w:p w14:paraId="3C9C3813" w14:textId="012E61ED" w:rsidR="00C30768" w:rsidRPr="00C30768" w:rsidRDefault="00C30768" w:rsidP="00C30768">
            <w:pPr>
              <w:tabs>
                <w:tab w:val="left" w:pos="180"/>
                <w:tab w:val="center" w:pos="442"/>
              </w:tabs>
              <w:spacing w:line="276" w:lineRule="auto"/>
              <w:jc w:val="center"/>
              <w:rPr>
                <w:rFonts w:ascii="Times New Roman" w:hAnsi="Times New Roman" w:cs="Times New Roman"/>
                <w:sz w:val="20"/>
                <w:szCs w:val="20"/>
              </w:rPr>
            </w:pPr>
            <w:r w:rsidRPr="00C30768">
              <w:rPr>
                <w:rFonts w:ascii="Times New Roman" w:hAnsi="Times New Roman" w:cs="Times New Roman"/>
                <w:sz w:val="20"/>
                <w:szCs w:val="20"/>
              </w:rPr>
              <w:t>0.01</w:t>
            </w:r>
          </w:p>
        </w:tc>
        <w:tc>
          <w:tcPr>
            <w:tcW w:w="1710" w:type="dxa"/>
            <w:tcBorders>
              <w:top w:val="nil"/>
              <w:bottom w:val="single" w:sz="4" w:space="0" w:color="auto"/>
            </w:tcBorders>
          </w:tcPr>
          <w:p w14:paraId="50200AE4" w14:textId="2FA3E862" w:rsidR="00C30768" w:rsidRPr="00C30768" w:rsidRDefault="00C30768" w:rsidP="00C30768">
            <w:pPr>
              <w:spacing w:line="276" w:lineRule="auto"/>
              <w:jc w:val="center"/>
              <w:rPr>
                <w:rFonts w:ascii="Times New Roman" w:hAnsi="Times New Roman" w:cs="Times New Roman"/>
                <w:sz w:val="20"/>
                <w:szCs w:val="20"/>
                <w:rtl/>
              </w:rPr>
            </w:pPr>
            <w:r w:rsidRPr="00C30768">
              <w:rPr>
                <w:rFonts w:ascii="Times New Roman" w:hAnsi="Times New Roman" w:cs="Times New Roman"/>
                <w:sz w:val="20"/>
                <w:szCs w:val="20"/>
              </w:rPr>
              <w:t>High</w:t>
            </w:r>
          </w:p>
        </w:tc>
      </w:tr>
    </w:tbl>
    <w:p w14:paraId="7D3A15D5" w14:textId="4CFBEDE9" w:rsidR="00C30768" w:rsidRPr="00833A3A" w:rsidRDefault="00C30768" w:rsidP="009C475C">
      <w:pPr>
        <w:spacing w:before="240"/>
        <w:jc w:val="lowKashida"/>
        <w:rPr>
          <w:rFonts w:asciiTheme="majorHAnsi" w:hAnsiTheme="majorHAnsi" w:cstheme="majorHAnsi"/>
          <w:sz w:val="22"/>
          <w:szCs w:val="22"/>
        </w:rPr>
      </w:pPr>
      <w:r w:rsidRPr="00833A3A">
        <w:rPr>
          <w:rFonts w:asciiTheme="majorHAnsi" w:hAnsiTheme="majorHAnsi" w:cstheme="majorHAnsi"/>
          <w:sz w:val="22"/>
          <w:szCs w:val="22"/>
        </w:rPr>
        <w:t>Table (6) shows that the t- values for metacognitive thinking skills (knowledge of cognition, regulation of cognition, and knowledge processing) and the total score are statistically significant (0.01). Therefore, the level of metacognitive thinking and its various skills among university students was high.</w:t>
      </w:r>
    </w:p>
    <w:p w14:paraId="281BEE6B" w14:textId="5ADE6DD4" w:rsidR="00C30768" w:rsidRPr="00833A3A" w:rsidRDefault="00C30768" w:rsidP="00833A3A">
      <w:pPr>
        <w:widowControl w:val="0"/>
        <w:autoSpaceDE w:val="0"/>
        <w:autoSpaceDN w:val="0"/>
        <w:adjustRightInd w:val="0"/>
        <w:spacing w:before="120" w:after="240" w:line="276" w:lineRule="auto"/>
        <w:jc w:val="both"/>
        <w:rPr>
          <w:rFonts w:asciiTheme="majorHAnsi" w:eastAsia="Times New Roman" w:hAnsiTheme="majorHAnsi" w:cstheme="majorHAnsi"/>
          <w:b/>
          <w:sz w:val="28"/>
          <w:szCs w:val="28"/>
          <w:rtl/>
          <w:lang w:val="cs-CZ" w:eastAsia="cs-CZ"/>
        </w:rPr>
      </w:pPr>
      <w:r w:rsidRPr="00833A3A">
        <w:rPr>
          <w:rFonts w:asciiTheme="majorHAnsi" w:eastAsia="Times New Roman" w:hAnsiTheme="majorHAnsi" w:cstheme="majorHAnsi"/>
          <w:b/>
          <w:sz w:val="28"/>
          <w:szCs w:val="28"/>
          <w:lang w:val="cs-CZ" w:eastAsia="cs-CZ"/>
        </w:rPr>
        <w:t>The effect of alexithymia levels on metacognitive thinking skills</w:t>
      </w:r>
    </w:p>
    <w:p w14:paraId="529637D1" w14:textId="308FD22F" w:rsidR="00C30768" w:rsidRPr="00833A3A" w:rsidRDefault="00C30768" w:rsidP="009C475C">
      <w:pPr>
        <w:spacing w:before="240"/>
        <w:jc w:val="lowKashida"/>
        <w:rPr>
          <w:rFonts w:asciiTheme="majorHAnsi" w:hAnsiTheme="majorHAnsi" w:cstheme="majorHAnsi"/>
          <w:sz w:val="22"/>
          <w:szCs w:val="22"/>
        </w:rPr>
      </w:pPr>
      <w:r w:rsidRPr="00833A3A">
        <w:rPr>
          <w:rFonts w:asciiTheme="majorHAnsi" w:hAnsiTheme="majorHAnsi" w:cstheme="majorHAnsi"/>
          <w:sz w:val="22"/>
          <w:szCs w:val="22"/>
        </w:rPr>
        <w:t>To test the validity of the hypothesis "There are no statistically significant differences at the level (0.01) between the mean scores of each group of students (high-average-low) in alexithymia regarding metacognitive thinking skills, “one-way analysis of variance” (ANOVA) was used to determine the significance of the difference between the mean scores among students categorized by their levels of alexithymia on the dimensions of the metacognitive thinking scale. The results are shown in Tables (7, 8, 9, and 10).</w:t>
      </w:r>
    </w:p>
    <w:p w14:paraId="67E82890" w14:textId="32F93E24" w:rsidR="00C30768" w:rsidRPr="00833A3A" w:rsidRDefault="00C30768" w:rsidP="00833A3A">
      <w:pPr>
        <w:tabs>
          <w:tab w:val="left" w:pos="9355"/>
        </w:tabs>
        <w:spacing w:before="240" w:after="120"/>
        <w:jc w:val="center"/>
        <w:rPr>
          <w:rFonts w:asciiTheme="majorHAnsi" w:hAnsiTheme="majorHAnsi" w:cstheme="majorHAnsi"/>
          <w:color w:val="000000" w:themeColor="text1"/>
          <w:sz w:val="22"/>
          <w:szCs w:val="22"/>
        </w:rPr>
      </w:pPr>
      <w:r w:rsidRPr="00833A3A">
        <w:rPr>
          <w:rFonts w:asciiTheme="majorHAnsi" w:hAnsiTheme="majorHAnsi" w:cstheme="majorHAnsi"/>
          <w:color w:val="000000" w:themeColor="text1"/>
          <w:sz w:val="22"/>
          <w:szCs w:val="22"/>
        </w:rPr>
        <w:t>Table 7. Analysis of the Differences between the Metacognition Thinking</w:t>
      </w:r>
      <w:r w:rsidRPr="00833A3A">
        <w:rPr>
          <w:rFonts w:asciiTheme="majorHAnsi" w:hAnsiTheme="majorHAnsi" w:cstheme="majorHAnsi"/>
          <w:color w:val="000000" w:themeColor="text1"/>
          <w:sz w:val="22"/>
          <w:szCs w:val="22"/>
          <w:rtl/>
        </w:rPr>
        <w:t xml:space="preserve"> </w:t>
      </w:r>
      <w:r w:rsidRPr="00833A3A">
        <w:rPr>
          <w:rFonts w:asciiTheme="majorHAnsi" w:hAnsiTheme="majorHAnsi" w:cstheme="majorHAnsi"/>
          <w:color w:val="000000" w:themeColor="text1"/>
          <w:sz w:val="22"/>
          <w:szCs w:val="22"/>
        </w:rPr>
        <w:t>skills via one-way ANOVA according to the Difficulty Identifying Feelings (DIF) Levels</w:t>
      </w:r>
    </w:p>
    <w:tbl>
      <w:tblPr>
        <w:tblW w:w="9912"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167"/>
        <w:gridCol w:w="933"/>
        <w:gridCol w:w="1631"/>
        <w:gridCol w:w="1066"/>
        <w:gridCol w:w="678"/>
        <w:gridCol w:w="989"/>
        <w:gridCol w:w="766"/>
        <w:gridCol w:w="1146"/>
        <w:gridCol w:w="1536"/>
      </w:tblGrid>
      <w:tr w:rsidR="00C30768" w:rsidRPr="00C30768" w14:paraId="2823E594" w14:textId="380AE867" w:rsidTr="00C30768">
        <w:trPr>
          <w:jc w:val="center"/>
        </w:trPr>
        <w:tc>
          <w:tcPr>
            <w:tcW w:w="1167" w:type="dxa"/>
            <w:vAlign w:val="center"/>
            <w:hideMark/>
          </w:tcPr>
          <w:p w14:paraId="5068FBC5" w14:textId="1ED1B110" w:rsidR="00C30768" w:rsidRPr="00C30768" w:rsidRDefault="00C30768" w:rsidP="00C30768">
            <w:pPr>
              <w:spacing w:line="276" w:lineRule="auto"/>
              <w:jc w:val="center"/>
              <w:rPr>
                <w:rFonts w:ascii="Times New Roman" w:eastAsia="Calibri" w:hAnsi="Times New Roman" w:cs="Times New Roman"/>
                <w:b/>
                <w:bCs/>
                <w:sz w:val="20"/>
                <w:szCs w:val="20"/>
              </w:rPr>
            </w:pPr>
            <w:r w:rsidRPr="00C30768">
              <w:rPr>
                <w:rFonts w:ascii="Times New Roman" w:eastAsia="Calibri" w:hAnsi="Times New Roman" w:cs="Times New Roman"/>
                <w:b/>
                <w:bCs/>
                <w:sz w:val="20"/>
                <w:szCs w:val="20"/>
              </w:rPr>
              <w:t>Main Variable</w:t>
            </w:r>
          </w:p>
        </w:tc>
        <w:tc>
          <w:tcPr>
            <w:tcW w:w="933" w:type="dxa"/>
            <w:vAlign w:val="center"/>
            <w:hideMark/>
          </w:tcPr>
          <w:p w14:paraId="668F9E23" w14:textId="6D827F50" w:rsidR="00C30768" w:rsidRPr="00C30768" w:rsidRDefault="00C30768" w:rsidP="00C30768">
            <w:pPr>
              <w:jc w:val="center"/>
              <w:rPr>
                <w:rFonts w:ascii="Times New Roman" w:eastAsia="Calibri" w:hAnsi="Times New Roman" w:cs="Times New Roman"/>
                <w:b/>
                <w:bCs/>
                <w:sz w:val="20"/>
                <w:szCs w:val="20"/>
              </w:rPr>
            </w:pPr>
          </w:p>
        </w:tc>
        <w:tc>
          <w:tcPr>
            <w:tcW w:w="1631" w:type="dxa"/>
            <w:vAlign w:val="center"/>
          </w:tcPr>
          <w:p w14:paraId="2EB2A24C" w14:textId="425B0B5C" w:rsidR="00C30768" w:rsidRPr="00C30768" w:rsidRDefault="00C30768" w:rsidP="00C30768">
            <w:pPr>
              <w:jc w:val="center"/>
              <w:rPr>
                <w:rFonts w:ascii="Times New Roman" w:eastAsia="Calibri" w:hAnsi="Times New Roman" w:cs="Times New Roman"/>
                <w:b/>
                <w:bCs/>
                <w:sz w:val="20"/>
                <w:szCs w:val="20"/>
              </w:rPr>
            </w:pPr>
          </w:p>
        </w:tc>
        <w:tc>
          <w:tcPr>
            <w:tcW w:w="1066" w:type="dxa"/>
            <w:vAlign w:val="center"/>
            <w:hideMark/>
          </w:tcPr>
          <w:p w14:paraId="16090192" w14:textId="39CFA675" w:rsidR="00C30768" w:rsidRPr="00C30768" w:rsidRDefault="00C30768" w:rsidP="00C30768">
            <w:pPr>
              <w:jc w:val="center"/>
              <w:rPr>
                <w:rFonts w:ascii="Times New Roman" w:eastAsia="Calibri" w:hAnsi="Times New Roman" w:cs="Times New Roman"/>
                <w:b/>
                <w:bCs/>
                <w:sz w:val="20"/>
                <w:szCs w:val="20"/>
              </w:rPr>
            </w:pPr>
            <w:r w:rsidRPr="00C30768">
              <w:rPr>
                <w:rFonts w:ascii="Times New Roman" w:eastAsia="Calibri" w:hAnsi="Times New Roman" w:cs="Times New Roman"/>
                <w:b/>
                <w:bCs/>
                <w:sz w:val="20"/>
                <w:szCs w:val="20"/>
              </w:rPr>
              <w:t>Sum of Squares</w:t>
            </w:r>
          </w:p>
        </w:tc>
        <w:tc>
          <w:tcPr>
            <w:tcW w:w="678" w:type="dxa"/>
            <w:vAlign w:val="center"/>
            <w:hideMark/>
          </w:tcPr>
          <w:p w14:paraId="728E0E36" w14:textId="6E31AEC4" w:rsidR="00C30768" w:rsidRPr="00C30768" w:rsidRDefault="00C30768" w:rsidP="00C30768">
            <w:pPr>
              <w:jc w:val="center"/>
              <w:rPr>
                <w:rFonts w:ascii="Times New Roman" w:eastAsia="Calibri" w:hAnsi="Times New Roman" w:cs="Times New Roman"/>
                <w:b/>
                <w:bCs/>
                <w:sz w:val="20"/>
                <w:szCs w:val="20"/>
              </w:rPr>
            </w:pPr>
            <w:r w:rsidRPr="00C30768">
              <w:rPr>
                <w:rFonts w:ascii="Times New Roman" w:eastAsia="Calibri" w:hAnsi="Times New Roman" w:cs="Times New Roman"/>
                <w:b/>
                <w:bCs/>
                <w:sz w:val="20"/>
                <w:szCs w:val="20"/>
              </w:rPr>
              <w:t>df</w:t>
            </w:r>
          </w:p>
        </w:tc>
        <w:tc>
          <w:tcPr>
            <w:tcW w:w="989" w:type="dxa"/>
            <w:vAlign w:val="center"/>
            <w:hideMark/>
          </w:tcPr>
          <w:p w14:paraId="4EC41518" w14:textId="47EA4A57" w:rsidR="00C30768" w:rsidRPr="00C30768" w:rsidRDefault="00C30768" w:rsidP="00C30768">
            <w:pPr>
              <w:jc w:val="center"/>
              <w:rPr>
                <w:rFonts w:ascii="Times New Roman" w:eastAsia="Calibri" w:hAnsi="Times New Roman" w:cs="Times New Roman"/>
                <w:b/>
                <w:bCs/>
                <w:sz w:val="20"/>
                <w:szCs w:val="20"/>
              </w:rPr>
            </w:pPr>
            <w:r w:rsidRPr="00C30768">
              <w:rPr>
                <w:rFonts w:ascii="Times New Roman" w:eastAsia="Calibri" w:hAnsi="Times New Roman" w:cs="Times New Roman"/>
                <w:b/>
                <w:bCs/>
                <w:sz w:val="20"/>
                <w:szCs w:val="20"/>
              </w:rPr>
              <w:t>Mean Square</w:t>
            </w:r>
          </w:p>
        </w:tc>
        <w:tc>
          <w:tcPr>
            <w:tcW w:w="766" w:type="dxa"/>
            <w:vAlign w:val="center"/>
            <w:hideMark/>
          </w:tcPr>
          <w:p w14:paraId="536A0DB6" w14:textId="0232B8F0" w:rsidR="00C30768" w:rsidRPr="00C30768" w:rsidRDefault="00C30768" w:rsidP="00C30768">
            <w:pPr>
              <w:spacing w:line="276" w:lineRule="auto"/>
              <w:jc w:val="center"/>
              <w:rPr>
                <w:rFonts w:ascii="Times New Roman" w:eastAsia="Calibri" w:hAnsi="Times New Roman" w:cs="Times New Roman"/>
                <w:b/>
                <w:bCs/>
                <w:sz w:val="20"/>
                <w:szCs w:val="20"/>
              </w:rPr>
            </w:pPr>
            <w:r w:rsidRPr="00C30768">
              <w:rPr>
                <w:rFonts w:ascii="Times New Roman" w:eastAsia="Calibri" w:hAnsi="Times New Roman" w:cs="Times New Roman"/>
                <w:b/>
                <w:bCs/>
                <w:sz w:val="20"/>
                <w:szCs w:val="20"/>
              </w:rPr>
              <w:t>F</w:t>
            </w:r>
          </w:p>
        </w:tc>
        <w:tc>
          <w:tcPr>
            <w:tcW w:w="1146" w:type="dxa"/>
            <w:vAlign w:val="center"/>
            <w:hideMark/>
          </w:tcPr>
          <w:p w14:paraId="269CF0B6" w14:textId="6EED84AF" w:rsidR="00C30768" w:rsidRPr="00C30768" w:rsidRDefault="00C30768" w:rsidP="00C30768">
            <w:pPr>
              <w:spacing w:line="276" w:lineRule="auto"/>
              <w:jc w:val="center"/>
              <w:rPr>
                <w:rFonts w:ascii="Times New Roman" w:eastAsia="Calibri" w:hAnsi="Times New Roman" w:cs="Times New Roman"/>
                <w:b/>
                <w:bCs/>
                <w:sz w:val="20"/>
                <w:szCs w:val="20"/>
              </w:rPr>
            </w:pPr>
            <w:r w:rsidRPr="00C30768">
              <w:rPr>
                <w:rFonts w:ascii="Times New Roman" w:eastAsia="Calibri" w:hAnsi="Times New Roman" w:cs="Times New Roman"/>
                <w:b/>
                <w:bCs/>
                <w:sz w:val="20"/>
                <w:szCs w:val="20"/>
              </w:rPr>
              <w:t>Sig.</w:t>
            </w:r>
          </w:p>
        </w:tc>
        <w:tc>
          <w:tcPr>
            <w:tcW w:w="1536" w:type="dxa"/>
            <w:vAlign w:val="center"/>
            <w:hideMark/>
          </w:tcPr>
          <w:p w14:paraId="6DCB37AD" w14:textId="290821F1" w:rsidR="00C30768" w:rsidRPr="00C30768" w:rsidRDefault="00C30768" w:rsidP="00C30768">
            <w:pPr>
              <w:spacing w:line="276" w:lineRule="auto"/>
              <w:jc w:val="center"/>
              <w:rPr>
                <w:rFonts w:ascii="Times New Roman" w:eastAsia="Calibri" w:hAnsi="Times New Roman" w:cs="Times New Roman"/>
                <w:b/>
                <w:bCs/>
                <w:sz w:val="20"/>
                <w:szCs w:val="20"/>
              </w:rPr>
            </w:pPr>
            <w:r w:rsidRPr="00C30768">
              <w:rPr>
                <w:rFonts w:ascii="Times New Roman" w:eastAsia="Calibri" w:hAnsi="Times New Roman" w:cs="Times New Roman"/>
                <w:b/>
                <w:bCs/>
                <w:sz w:val="20"/>
                <w:szCs w:val="20"/>
              </w:rPr>
              <w:t>Post hoc Scheffe test</w:t>
            </w:r>
          </w:p>
        </w:tc>
      </w:tr>
      <w:tr w:rsidR="00C30768" w:rsidRPr="00C30768" w14:paraId="15447AC6" w14:textId="74FA7F0A" w:rsidTr="00C30768">
        <w:trPr>
          <w:trHeight w:val="359"/>
          <w:jc w:val="center"/>
        </w:trPr>
        <w:tc>
          <w:tcPr>
            <w:tcW w:w="1167" w:type="dxa"/>
            <w:vMerge w:val="restart"/>
            <w:hideMark/>
          </w:tcPr>
          <w:p w14:paraId="042B30D1" w14:textId="158286B2"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difficulties identifying feelings (DIF)</w:t>
            </w:r>
          </w:p>
        </w:tc>
        <w:tc>
          <w:tcPr>
            <w:tcW w:w="933" w:type="dxa"/>
            <w:vMerge w:val="restart"/>
          </w:tcPr>
          <w:p w14:paraId="07FC716F" w14:textId="4B7614E2"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KoC</w:t>
            </w:r>
          </w:p>
        </w:tc>
        <w:tc>
          <w:tcPr>
            <w:tcW w:w="1631" w:type="dxa"/>
            <w:vAlign w:val="center"/>
            <w:hideMark/>
          </w:tcPr>
          <w:p w14:paraId="7A9868F1" w14:textId="0C0C011D"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Between Groups</w:t>
            </w:r>
          </w:p>
        </w:tc>
        <w:tc>
          <w:tcPr>
            <w:tcW w:w="1066" w:type="dxa"/>
            <w:vAlign w:val="center"/>
          </w:tcPr>
          <w:p w14:paraId="43FED98A" w14:textId="4393754D"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5688.64</w:t>
            </w:r>
          </w:p>
        </w:tc>
        <w:tc>
          <w:tcPr>
            <w:tcW w:w="678" w:type="dxa"/>
            <w:vAlign w:val="center"/>
          </w:tcPr>
          <w:p w14:paraId="22EC63DE" w14:textId="0B07D48E"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2</w:t>
            </w:r>
          </w:p>
        </w:tc>
        <w:tc>
          <w:tcPr>
            <w:tcW w:w="989" w:type="dxa"/>
            <w:vAlign w:val="center"/>
          </w:tcPr>
          <w:p w14:paraId="61C0023B" w14:textId="46720D4C"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2844.32</w:t>
            </w:r>
          </w:p>
        </w:tc>
        <w:tc>
          <w:tcPr>
            <w:tcW w:w="766" w:type="dxa"/>
            <w:vMerge w:val="restart"/>
          </w:tcPr>
          <w:p w14:paraId="1E226F52" w14:textId="207501EA"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204.45</w:t>
            </w:r>
          </w:p>
        </w:tc>
        <w:tc>
          <w:tcPr>
            <w:tcW w:w="1146" w:type="dxa"/>
            <w:vMerge w:val="restart"/>
            <w:hideMark/>
          </w:tcPr>
          <w:p w14:paraId="2A15671F" w14:textId="43D737AA"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P &lt; 0.001</w:t>
            </w:r>
          </w:p>
        </w:tc>
        <w:tc>
          <w:tcPr>
            <w:tcW w:w="1536" w:type="dxa"/>
            <w:vMerge w:val="restart"/>
          </w:tcPr>
          <w:p w14:paraId="1221CAEF" w14:textId="327F3D70"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Low &gt; medium &amp; High</w:t>
            </w:r>
          </w:p>
          <w:p w14:paraId="3572EEEB" w14:textId="5664D2DE"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Medium &gt; High</w:t>
            </w:r>
          </w:p>
        </w:tc>
      </w:tr>
      <w:tr w:rsidR="00C30768" w:rsidRPr="00C30768" w14:paraId="63EAF7E3" w14:textId="20C7A9F5" w:rsidTr="00C30768">
        <w:trPr>
          <w:trHeight w:val="287"/>
          <w:jc w:val="center"/>
        </w:trPr>
        <w:tc>
          <w:tcPr>
            <w:tcW w:w="1167" w:type="dxa"/>
            <w:vMerge/>
            <w:vAlign w:val="center"/>
            <w:hideMark/>
          </w:tcPr>
          <w:p w14:paraId="7F26C9C1" w14:textId="48E88E28" w:rsidR="00C30768" w:rsidRPr="00C30768" w:rsidRDefault="00C30768" w:rsidP="00C30768">
            <w:pPr>
              <w:spacing w:line="276" w:lineRule="auto"/>
              <w:jc w:val="center"/>
              <w:rPr>
                <w:rFonts w:ascii="Times New Roman" w:eastAsia="Calibri" w:hAnsi="Times New Roman" w:cs="Times New Roman"/>
                <w:b/>
                <w:bCs/>
                <w:sz w:val="20"/>
                <w:szCs w:val="20"/>
              </w:rPr>
            </w:pPr>
          </w:p>
        </w:tc>
        <w:tc>
          <w:tcPr>
            <w:tcW w:w="933" w:type="dxa"/>
            <w:vMerge/>
            <w:vAlign w:val="center"/>
          </w:tcPr>
          <w:p w14:paraId="0E16EA6D" w14:textId="1CA2612F" w:rsidR="00C30768" w:rsidRPr="00C30768" w:rsidRDefault="00C30768" w:rsidP="00C30768">
            <w:pPr>
              <w:spacing w:line="276" w:lineRule="auto"/>
              <w:jc w:val="center"/>
              <w:rPr>
                <w:rFonts w:ascii="Times New Roman" w:eastAsia="Calibri" w:hAnsi="Times New Roman" w:cs="Times New Roman"/>
                <w:sz w:val="20"/>
                <w:szCs w:val="20"/>
              </w:rPr>
            </w:pPr>
          </w:p>
        </w:tc>
        <w:tc>
          <w:tcPr>
            <w:tcW w:w="1631" w:type="dxa"/>
            <w:vAlign w:val="center"/>
            <w:hideMark/>
          </w:tcPr>
          <w:p w14:paraId="202C0E13" w14:textId="1C771AF3"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Within Groups</w:t>
            </w:r>
          </w:p>
        </w:tc>
        <w:tc>
          <w:tcPr>
            <w:tcW w:w="1066" w:type="dxa"/>
            <w:vAlign w:val="center"/>
          </w:tcPr>
          <w:p w14:paraId="5524A466" w14:textId="20518BB6"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1627.69</w:t>
            </w:r>
          </w:p>
        </w:tc>
        <w:tc>
          <w:tcPr>
            <w:tcW w:w="678" w:type="dxa"/>
            <w:vAlign w:val="center"/>
          </w:tcPr>
          <w:p w14:paraId="79C3D16A" w14:textId="736977C4"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117</w:t>
            </w:r>
          </w:p>
        </w:tc>
        <w:tc>
          <w:tcPr>
            <w:tcW w:w="989" w:type="dxa"/>
            <w:vAlign w:val="center"/>
          </w:tcPr>
          <w:p w14:paraId="6845D314" w14:textId="30249251"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13.91</w:t>
            </w:r>
          </w:p>
        </w:tc>
        <w:tc>
          <w:tcPr>
            <w:tcW w:w="766" w:type="dxa"/>
            <w:vMerge/>
            <w:vAlign w:val="center"/>
          </w:tcPr>
          <w:p w14:paraId="59BFA4F8" w14:textId="060DE780" w:rsidR="00C30768" w:rsidRPr="00C30768" w:rsidRDefault="00C30768" w:rsidP="00C30768">
            <w:pPr>
              <w:spacing w:line="276" w:lineRule="auto"/>
              <w:jc w:val="center"/>
              <w:rPr>
                <w:rFonts w:ascii="Times New Roman" w:eastAsia="Calibri" w:hAnsi="Times New Roman" w:cs="Times New Roman"/>
                <w:sz w:val="20"/>
                <w:szCs w:val="20"/>
              </w:rPr>
            </w:pPr>
          </w:p>
        </w:tc>
        <w:tc>
          <w:tcPr>
            <w:tcW w:w="1146" w:type="dxa"/>
            <w:vMerge/>
            <w:vAlign w:val="center"/>
            <w:hideMark/>
          </w:tcPr>
          <w:p w14:paraId="28289DDB" w14:textId="5E76C435" w:rsidR="00C30768" w:rsidRPr="00C30768" w:rsidRDefault="00C30768" w:rsidP="00C30768">
            <w:pPr>
              <w:spacing w:line="276" w:lineRule="auto"/>
              <w:jc w:val="center"/>
              <w:rPr>
                <w:rFonts w:ascii="Times New Roman" w:eastAsia="Calibri" w:hAnsi="Times New Roman" w:cs="Times New Roman"/>
                <w:sz w:val="20"/>
                <w:szCs w:val="20"/>
              </w:rPr>
            </w:pPr>
          </w:p>
        </w:tc>
        <w:tc>
          <w:tcPr>
            <w:tcW w:w="1536" w:type="dxa"/>
            <w:vMerge/>
            <w:vAlign w:val="center"/>
          </w:tcPr>
          <w:p w14:paraId="393C9348" w14:textId="0D5213A0" w:rsidR="00C30768" w:rsidRPr="00C30768" w:rsidRDefault="00C30768" w:rsidP="00C30768">
            <w:pPr>
              <w:spacing w:line="276" w:lineRule="auto"/>
              <w:jc w:val="center"/>
              <w:rPr>
                <w:rFonts w:ascii="Times New Roman" w:eastAsia="Calibri" w:hAnsi="Times New Roman" w:cs="Times New Roman"/>
                <w:sz w:val="20"/>
                <w:szCs w:val="20"/>
              </w:rPr>
            </w:pPr>
          </w:p>
        </w:tc>
      </w:tr>
      <w:tr w:rsidR="00C30768" w:rsidRPr="00C30768" w14:paraId="3E5E093B" w14:textId="2B068D0C" w:rsidTr="00C30768">
        <w:trPr>
          <w:trHeight w:val="323"/>
          <w:jc w:val="center"/>
        </w:trPr>
        <w:tc>
          <w:tcPr>
            <w:tcW w:w="1167" w:type="dxa"/>
            <w:vMerge/>
            <w:vAlign w:val="center"/>
            <w:hideMark/>
          </w:tcPr>
          <w:p w14:paraId="4834AB49" w14:textId="26CFE4C3" w:rsidR="00C30768" w:rsidRPr="00C30768" w:rsidRDefault="00C30768" w:rsidP="00C30768">
            <w:pPr>
              <w:spacing w:line="276" w:lineRule="auto"/>
              <w:jc w:val="center"/>
              <w:rPr>
                <w:rFonts w:ascii="Times New Roman" w:eastAsia="Calibri" w:hAnsi="Times New Roman" w:cs="Times New Roman"/>
                <w:b/>
                <w:bCs/>
                <w:sz w:val="20"/>
                <w:szCs w:val="20"/>
              </w:rPr>
            </w:pPr>
          </w:p>
        </w:tc>
        <w:tc>
          <w:tcPr>
            <w:tcW w:w="933" w:type="dxa"/>
            <w:vMerge/>
            <w:vAlign w:val="center"/>
          </w:tcPr>
          <w:p w14:paraId="279BF7F9" w14:textId="1087CEA1" w:rsidR="00C30768" w:rsidRPr="00C30768" w:rsidRDefault="00C30768" w:rsidP="00C30768">
            <w:pPr>
              <w:spacing w:line="276" w:lineRule="auto"/>
              <w:jc w:val="center"/>
              <w:rPr>
                <w:rFonts w:ascii="Times New Roman" w:eastAsia="Calibri" w:hAnsi="Times New Roman" w:cs="Times New Roman"/>
                <w:sz w:val="20"/>
                <w:szCs w:val="20"/>
              </w:rPr>
            </w:pPr>
          </w:p>
        </w:tc>
        <w:tc>
          <w:tcPr>
            <w:tcW w:w="1631" w:type="dxa"/>
            <w:vAlign w:val="center"/>
            <w:hideMark/>
          </w:tcPr>
          <w:p w14:paraId="2584C6E1" w14:textId="450EBC65"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Total</w:t>
            </w:r>
          </w:p>
        </w:tc>
        <w:tc>
          <w:tcPr>
            <w:tcW w:w="1066" w:type="dxa"/>
            <w:vAlign w:val="center"/>
          </w:tcPr>
          <w:p w14:paraId="71CE5AC9" w14:textId="615E5A96"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7316.33</w:t>
            </w:r>
          </w:p>
        </w:tc>
        <w:tc>
          <w:tcPr>
            <w:tcW w:w="678" w:type="dxa"/>
            <w:vAlign w:val="center"/>
          </w:tcPr>
          <w:p w14:paraId="147DC1F1" w14:textId="7BC61BE8"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119</w:t>
            </w:r>
          </w:p>
        </w:tc>
        <w:tc>
          <w:tcPr>
            <w:tcW w:w="989" w:type="dxa"/>
            <w:vAlign w:val="center"/>
          </w:tcPr>
          <w:p w14:paraId="3785E3D6" w14:textId="7A29974D" w:rsidR="00C30768" w:rsidRPr="00C30768" w:rsidRDefault="00C30768" w:rsidP="00C30768">
            <w:pPr>
              <w:spacing w:line="276" w:lineRule="auto"/>
              <w:jc w:val="center"/>
              <w:rPr>
                <w:rFonts w:ascii="Times New Roman" w:eastAsia="Calibri" w:hAnsi="Times New Roman" w:cs="Times New Roman"/>
                <w:sz w:val="20"/>
                <w:szCs w:val="20"/>
              </w:rPr>
            </w:pPr>
          </w:p>
        </w:tc>
        <w:tc>
          <w:tcPr>
            <w:tcW w:w="766" w:type="dxa"/>
            <w:vMerge/>
            <w:vAlign w:val="center"/>
          </w:tcPr>
          <w:p w14:paraId="268265CE" w14:textId="289E6746" w:rsidR="00C30768" w:rsidRPr="00C30768" w:rsidRDefault="00C30768" w:rsidP="00C30768">
            <w:pPr>
              <w:spacing w:line="276" w:lineRule="auto"/>
              <w:jc w:val="center"/>
              <w:rPr>
                <w:rFonts w:ascii="Times New Roman" w:eastAsia="Calibri" w:hAnsi="Times New Roman" w:cs="Times New Roman"/>
                <w:sz w:val="20"/>
                <w:szCs w:val="20"/>
              </w:rPr>
            </w:pPr>
          </w:p>
        </w:tc>
        <w:tc>
          <w:tcPr>
            <w:tcW w:w="1146" w:type="dxa"/>
            <w:vMerge/>
            <w:vAlign w:val="center"/>
            <w:hideMark/>
          </w:tcPr>
          <w:p w14:paraId="73885A3D" w14:textId="5FECBD79" w:rsidR="00C30768" w:rsidRPr="00C30768" w:rsidRDefault="00C30768" w:rsidP="00C30768">
            <w:pPr>
              <w:spacing w:line="276" w:lineRule="auto"/>
              <w:jc w:val="center"/>
              <w:rPr>
                <w:rFonts w:ascii="Times New Roman" w:eastAsia="Calibri" w:hAnsi="Times New Roman" w:cs="Times New Roman"/>
                <w:sz w:val="20"/>
                <w:szCs w:val="20"/>
              </w:rPr>
            </w:pPr>
          </w:p>
        </w:tc>
        <w:tc>
          <w:tcPr>
            <w:tcW w:w="1536" w:type="dxa"/>
            <w:vMerge/>
            <w:vAlign w:val="center"/>
            <w:hideMark/>
          </w:tcPr>
          <w:p w14:paraId="50FABE29" w14:textId="182DAB05" w:rsidR="00C30768" w:rsidRPr="00C30768" w:rsidRDefault="00C30768" w:rsidP="00C30768">
            <w:pPr>
              <w:spacing w:line="276" w:lineRule="auto"/>
              <w:jc w:val="center"/>
              <w:rPr>
                <w:rFonts w:ascii="Times New Roman" w:eastAsia="Calibri" w:hAnsi="Times New Roman" w:cs="Times New Roman"/>
                <w:sz w:val="20"/>
                <w:szCs w:val="20"/>
              </w:rPr>
            </w:pPr>
          </w:p>
        </w:tc>
      </w:tr>
      <w:tr w:rsidR="00C30768" w:rsidRPr="00C30768" w14:paraId="700335E2" w14:textId="73F3E7DC" w:rsidTr="00C30768">
        <w:trPr>
          <w:jc w:val="center"/>
        </w:trPr>
        <w:tc>
          <w:tcPr>
            <w:tcW w:w="1167" w:type="dxa"/>
            <w:vMerge/>
          </w:tcPr>
          <w:p w14:paraId="3894EA36" w14:textId="355DE1F9" w:rsidR="00C30768" w:rsidRPr="00C30768" w:rsidRDefault="00C30768" w:rsidP="00C30768">
            <w:pPr>
              <w:spacing w:line="276" w:lineRule="auto"/>
              <w:jc w:val="center"/>
              <w:rPr>
                <w:rFonts w:ascii="Times New Roman" w:eastAsia="Calibri" w:hAnsi="Times New Roman" w:cs="Times New Roman"/>
                <w:b/>
                <w:bCs/>
                <w:sz w:val="20"/>
                <w:szCs w:val="20"/>
              </w:rPr>
            </w:pPr>
          </w:p>
        </w:tc>
        <w:tc>
          <w:tcPr>
            <w:tcW w:w="933" w:type="dxa"/>
            <w:vMerge w:val="restart"/>
          </w:tcPr>
          <w:p w14:paraId="43E9E1EC" w14:textId="6DB2D469"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RoC</w:t>
            </w:r>
          </w:p>
        </w:tc>
        <w:tc>
          <w:tcPr>
            <w:tcW w:w="1631" w:type="dxa"/>
            <w:vAlign w:val="center"/>
            <w:hideMark/>
          </w:tcPr>
          <w:p w14:paraId="7E8CFF6F" w14:textId="008BC0E0"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Between Groups</w:t>
            </w:r>
          </w:p>
        </w:tc>
        <w:tc>
          <w:tcPr>
            <w:tcW w:w="1066" w:type="dxa"/>
            <w:vAlign w:val="center"/>
          </w:tcPr>
          <w:p w14:paraId="02304A53" w14:textId="0C730740"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22258.35</w:t>
            </w:r>
          </w:p>
        </w:tc>
        <w:tc>
          <w:tcPr>
            <w:tcW w:w="678" w:type="dxa"/>
            <w:vAlign w:val="center"/>
          </w:tcPr>
          <w:p w14:paraId="11A01584" w14:textId="33E9ECBB"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2</w:t>
            </w:r>
          </w:p>
        </w:tc>
        <w:tc>
          <w:tcPr>
            <w:tcW w:w="989" w:type="dxa"/>
            <w:vAlign w:val="center"/>
          </w:tcPr>
          <w:p w14:paraId="456627BF" w14:textId="1327E67F"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11129.17</w:t>
            </w:r>
          </w:p>
        </w:tc>
        <w:tc>
          <w:tcPr>
            <w:tcW w:w="766" w:type="dxa"/>
            <w:vMerge w:val="restart"/>
          </w:tcPr>
          <w:p w14:paraId="7B0F9D1B" w14:textId="7CC264B2"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732.34</w:t>
            </w:r>
          </w:p>
        </w:tc>
        <w:tc>
          <w:tcPr>
            <w:tcW w:w="1146" w:type="dxa"/>
            <w:vMerge w:val="restart"/>
            <w:hideMark/>
          </w:tcPr>
          <w:p w14:paraId="210B0308" w14:textId="489DFEF5"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P &lt; 0.001</w:t>
            </w:r>
          </w:p>
        </w:tc>
        <w:tc>
          <w:tcPr>
            <w:tcW w:w="1536" w:type="dxa"/>
            <w:vMerge w:val="restart"/>
          </w:tcPr>
          <w:p w14:paraId="3E8004E0" w14:textId="704AC9A7"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Low &gt; medium &amp; High</w:t>
            </w:r>
          </w:p>
          <w:p w14:paraId="5047DD57" w14:textId="002704E8"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medium&gt; High</w:t>
            </w:r>
          </w:p>
        </w:tc>
      </w:tr>
      <w:tr w:rsidR="00C30768" w:rsidRPr="00C30768" w14:paraId="7E196A3C" w14:textId="37F61532" w:rsidTr="00C30768">
        <w:trPr>
          <w:trHeight w:val="384"/>
          <w:jc w:val="center"/>
        </w:trPr>
        <w:tc>
          <w:tcPr>
            <w:tcW w:w="1167" w:type="dxa"/>
            <w:vMerge/>
            <w:vAlign w:val="center"/>
          </w:tcPr>
          <w:p w14:paraId="463712CA" w14:textId="6F12C9DF" w:rsidR="00C30768" w:rsidRPr="00C30768" w:rsidRDefault="00C30768" w:rsidP="00C30768">
            <w:pPr>
              <w:spacing w:line="276" w:lineRule="auto"/>
              <w:jc w:val="center"/>
              <w:rPr>
                <w:rFonts w:ascii="Times New Roman" w:eastAsia="Calibri" w:hAnsi="Times New Roman" w:cs="Times New Roman"/>
                <w:b/>
                <w:bCs/>
                <w:sz w:val="20"/>
                <w:szCs w:val="20"/>
              </w:rPr>
            </w:pPr>
          </w:p>
        </w:tc>
        <w:tc>
          <w:tcPr>
            <w:tcW w:w="933" w:type="dxa"/>
            <w:vMerge/>
            <w:vAlign w:val="center"/>
          </w:tcPr>
          <w:p w14:paraId="49D8BA9B" w14:textId="3ED76E44" w:rsidR="00C30768" w:rsidRPr="00C30768" w:rsidRDefault="00C30768" w:rsidP="00C30768">
            <w:pPr>
              <w:spacing w:line="276" w:lineRule="auto"/>
              <w:jc w:val="center"/>
              <w:rPr>
                <w:rFonts w:ascii="Times New Roman" w:eastAsia="Calibri" w:hAnsi="Times New Roman" w:cs="Times New Roman"/>
                <w:sz w:val="20"/>
                <w:szCs w:val="20"/>
              </w:rPr>
            </w:pPr>
          </w:p>
        </w:tc>
        <w:tc>
          <w:tcPr>
            <w:tcW w:w="1631" w:type="dxa"/>
            <w:vAlign w:val="center"/>
            <w:hideMark/>
          </w:tcPr>
          <w:p w14:paraId="1A7BA361" w14:textId="69AE0316"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Within Groups</w:t>
            </w:r>
          </w:p>
        </w:tc>
        <w:tc>
          <w:tcPr>
            <w:tcW w:w="1066" w:type="dxa"/>
            <w:vAlign w:val="center"/>
          </w:tcPr>
          <w:p w14:paraId="14377644" w14:textId="53B961C5"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1778.02</w:t>
            </w:r>
          </w:p>
        </w:tc>
        <w:tc>
          <w:tcPr>
            <w:tcW w:w="678" w:type="dxa"/>
            <w:vAlign w:val="center"/>
          </w:tcPr>
          <w:p w14:paraId="2EC0C0C2" w14:textId="09E8A94C"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117</w:t>
            </w:r>
          </w:p>
        </w:tc>
        <w:tc>
          <w:tcPr>
            <w:tcW w:w="989" w:type="dxa"/>
            <w:vAlign w:val="center"/>
          </w:tcPr>
          <w:p w14:paraId="33AF92D7" w14:textId="3DB37D36"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15.20</w:t>
            </w:r>
          </w:p>
        </w:tc>
        <w:tc>
          <w:tcPr>
            <w:tcW w:w="766" w:type="dxa"/>
            <w:vMerge/>
            <w:vAlign w:val="center"/>
          </w:tcPr>
          <w:p w14:paraId="71A11D11" w14:textId="29D747BA" w:rsidR="00C30768" w:rsidRPr="00C30768" w:rsidRDefault="00C30768" w:rsidP="00C30768">
            <w:pPr>
              <w:spacing w:line="276" w:lineRule="auto"/>
              <w:jc w:val="center"/>
              <w:rPr>
                <w:rFonts w:ascii="Times New Roman" w:eastAsia="Calibri" w:hAnsi="Times New Roman" w:cs="Times New Roman"/>
                <w:sz w:val="20"/>
                <w:szCs w:val="20"/>
              </w:rPr>
            </w:pPr>
          </w:p>
        </w:tc>
        <w:tc>
          <w:tcPr>
            <w:tcW w:w="1146" w:type="dxa"/>
            <w:vMerge/>
            <w:hideMark/>
          </w:tcPr>
          <w:p w14:paraId="4CE502A5" w14:textId="42E76C82" w:rsidR="00C30768" w:rsidRPr="00C30768" w:rsidRDefault="00C30768" w:rsidP="00C30768">
            <w:pPr>
              <w:spacing w:line="276" w:lineRule="auto"/>
              <w:jc w:val="center"/>
              <w:rPr>
                <w:rFonts w:ascii="Times New Roman" w:eastAsia="Calibri" w:hAnsi="Times New Roman" w:cs="Times New Roman"/>
                <w:sz w:val="20"/>
                <w:szCs w:val="20"/>
              </w:rPr>
            </w:pPr>
          </w:p>
        </w:tc>
        <w:tc>
          <w:tcPr>
            <w:tcW w:w="1536" w:type="dxa"/>
            <w:vMerge/>
            <w:vAlign w:val="center"/>
          </w:tcPr>
          <w:p w14:paraId="08A35C52" w14:textId="433A8B12" w:rsidR="00C30768" w:rsidRPr="00C30768" w:rsidRDefault="00C30768" w:rsidP="00C30768">
            <w:pPr>
              <w:spacing w:line="276" w:lineRule="auto"/>
              <w:jc w:val="center"/>
              <w:rPr>
                <w:rFonts w:ascii="Times New Roman" w:eastAsia="Calibri" w:hAnsi="Times New Roman" w:cs="Times New Roman"/>
                <w:sz w:val="20"/>
                <w:szCs w:val="20"/>
              </w:rPr>
            </w:pPr>
          </w:p>
        </w:tc>
      </w:tr>
      <w:tr w:rsidR="00C30768" w:rsidRPr="00C30768" w14:paraId="66536E9A" w14:textId="05399FE5" w:rsidTr="00C30768">
        <w:trPr>
          <w:trHeight w:val="324"/>
          <w:jc w:val="center"/>
        </w:trPr>
        <w:tc>
          <w:tcPr>
            <w:tcW w:w="1167" w:type="dxa"/>
            <w:vMerge/>
            <w:vAlign w:val="center"/>
          </w:tcPr>
          <w:p w14:paraId="300D85B2" w14:textId="7697E8F7" w:rsidR="00C30768" w:rsidRPr="00C30768" w:rsidRDefault="00C30768" w:rsidP="00C30768">
            <w:pPr>
              <w:spacing w:line="276" w:lineRule="auto"/>
              <w:jc w:val="center"/>
              <w:rPr>
                <w:rFonts w:ascii="Times New Roman" w:eastAsia="Calibri" w:hAnsi="Times New Roman" w:cs="Times New Roman"/>
                <w:b/>
                <w:bCs/>
                <w:sz w:val="20"/>
                <w:szCs w:val="20"/>
              </w:rPr>
            </w:pPr>
          </w:p>
        </w:tc>
        <w:tc>
          <w:tcPr>
            <w:tcW w:w="933" w:type="dxa"/>
            <w:vMerge/>
            <w:vAlign w:val="center"/>
          </w:tcPr>
          <w:p w14:paraId="11CEC7EC" w14:textId="3CD148B6" w:rsidR="00C30768" w:rsidRPr="00C30768" w:rsidRDefault="00C30768" w:rsidP="00C30768">
            <w:pPr>
              <w:spacing w:line="276" w:lineRule="auto"/>
              <w:jc w:val="center"/>
              <w:rPr>
                <w:rFonts w:ascii="Times New Roman" w:eastAsia="Calibri" w:hAnsi="Times New Roman" w:cs="Times New Roman"/>
                <w:sz w:val="20"/>
                <w:szCs w:val="20"/>
              </w:rPr>
            </w:pPr>
          </w:p>
        </w:tc>
        <w:tc>
          <w:tcPr>
            <w:tcW w:w="1631" w:type="dxa"/>
            <w:vAlign w:val="center"/>
            <w:hideMark/>
          </w:tcPr>
          <w:p w14:paraId="44D85C6F" w14:textId="43DF470F"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Total</w:t>
            </w:r>
          </w:p>
        </w:tc>
        <w:tc>
          <w:tcPr>
            <w:tcW w:w="1066" w:type="dxa"/>
            <w:vAlign w:val="center"/>
          </w:tcPr>
          <w:p w14:paraId="3B5EF4E7" w14:textId="67B5D53A"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24036.37</w:t>
            </w:r>
          </w:p>
        </w:tc>
        <w:tc>
          <w:tcPr>
            <w:tcW w:w="678" w:type="dxa"/>
            <w:vAlign w:val="center"/>
          </w:tcPr>
          <w:p w14:paraId="44E60EF2" w14:textId="45C1F68D"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119</w:t>
            </w:r>
          </w:p>
        </w:tc>
        <w:tc>
          <w:tcPr>
            <w:tcW w:w="989" w:type="dxa"/>
            <w:vAlign w:val="center"/>
          </w:tcPr>
          <w:p w14:paraId="48D82943" w14:textId="3D1C48F4" w:rsidR="00C30768" w:rsidRPr="00C30768" w:rsidRDefault="00C30768" w:rsidP="00C30768">
            <w:pPr>
              <w:spacing w:line="276" w:lineRule="auto"/>
              <w:jc w:val="center"/>
              <w:rPr>
                <w:rFonts w:ascii="Times New Roman" w:eastAsia="Calibri" w:hAnsi="Times New Roman" w:cs="Times New Roman"/>
                <w:sz w:val="20"/>
                <w:szCs w:val="20"/>
              </w:rPr>
            </w:pPr>
          </w:p>
        </w:tc>
        <w:tc>
          <w:tcPr>
            <w:tcW w:w="766" w:type="dxa"/>
            <w:vMerge/>
            <w:vAlign w:val="center"/>
          </w:tcPr>
          <w:p w14:paraId="27B3D6E4" w14:textId="0127884B" w:rsidR="00C30768" w:rsidRPr="00C30768" w:rsidRDefault="00C30768" w:rsidP="00C30768">
            <w:pPr>
              <w:spacing w:line="276" w:lineRule="auto"/>
              <w:jc w:val="center"/>
              <w:rPr>
                <w:rFonts w:ascii="Times New Roman" w:eastAsia="Calibri" w:hAnsi="Times New Roman" w:cs="Times New Roman"/>
                <w:sz w:val="20"/>
                <w:szCs w:val="20"/>
              </w:rPr>
            </w:pPr>
          </w:p>
        </w:tc>
        <w:tc>
          <w:tcPr>
            <w:tcW w:w="1146" w:type="dxa"/>
            <w:vMerge/>
            <w:hideMark/>
          </w:tcPr>
          <w:p w14:paraId="3947C3B8" w14:textId="64A45BF1" w:rsidR="00C30768" w:rsidRPr="00C30768" w:rsidRDefault="00C30768" w:rsidP="00C30768">
            <w:pPr>
              <w:spacing w:line="276" w:lineRule="auto"/>
              <w:jc w:val="center"/>
              <w:rPr>
                <w:rFonts w:ascii="Times New Roman" w:eastAsia="Calibri" w:hAnsi="Times New Roman" w:cs="Times New Roman"/>
                <w:sz w:val="20"/>
                <w:szCs w:val="20"/>
              </w:rPr>
            </w:pPr>
          </w:p>
        </w:tc>
        <w:tc>
          <w:tcPr>
            <w:tcW w:w="1536" w:type="dxa"/>
            <w:vMerge/>
            <w:vAlign w:val="center"/>
          </w:tcPr>
          <w:p w14:paraId="112C29FC" w14:textId="10681D52" w:rsidR="00C30768" w:rsidRPr="00C30768" w:rsidRDefault="00C30768" w:rsidP="00C30768">
            <w:pPr>
              <w:spacing w:line="276" w:lineRule="auto"/>
              <w:jc w:val="center"/>
              <w:rPr>
                <w:rFonts w:ascii="Times New Roman" w:eastAsia="Calibri" w:hAnsi="Times New Roman" w:cs="Times New Roman"/>
                <w:sz w:val="20"/>
                <w:szCs w:val="20"/>
              </w:rPr>
            </w:pPr>
          </w:p>
        </w:tc>
      </w:tr>
      <w:tr w:rsidR="00C30768" w:rsidRPr="00C30768" w14:paraId="1A71B8A5" w14:textId="319A0228" w:rsidTr="00C30768">
        <w:trPr>
          <w:jc w:val="center"/>
        </w:trPr>
        <w:tc>
          <w:tcPr>
            <w:tcW w:w="1167" w:type="dxa"/>
            <w:vMerge/>
          </w:tcPr>
          <w:p w14:paraId="29C703C8" w14:textId="0EB7C426" w:rsidR="00C30768" w:rsidRPr="00C30768" w:rsidRDefault="00C30768" w:rsidP="00C30768">
            <w:pPr>
              <w:spacing w:line="276" w:lineRule="auto"/>
              <w:jc w:val="center"/>
              <w:rPr>
                <w:rFonts w:ascii="Times New Roman" w:eastAsia="Calibri" w:hAnsi="Times New Roman" w:cs="Times New Roman"/>
                <w:b/>
                <w:bCs/>
                <w:sz w:val="20"/>
                <w:szCs w:val="20"/>
              </w:rPr>
            </w:pPr>
          </w:p>
        </w:tc>
        <w:tc>
          <w:tcPr>
            <w:tcW w:w="933" w:type="dxa"/>
            <w:vMerge w:val="restart"/>
          </w:tcPr>
          <w:p w14:paraId="52E8D078" w14:textId="23312047" w:rsidR="00C30768" w:rsidRPr="00C30768" w:rsidRDefault="00C30768" w:rsidP="00C30768">
            <w:pPr>
              <w:spacing w:line="276" w:lineRule="auto"/>
              <w:jc w:val="center"/>
              <w:rPr>
                <w:rFonts w:ascii="Times New Roman" w:eastAsia="Calibri" w:hAnsi="Times New Roman" w:cs="Times New Roman"/>
                <w:sz w:val="20"/>
                <w:szCs w:val="20"/>
                <w:rtl/>
              </w:rPr>
            </w:pPr>
            <w:r w:rsidRPr="00C30768">
              <w:rPr>
                <w:rFonts w:ascii="Times New Roman" w:eastAsia="Calibri" w:hAnsi="Times New Roman" w:cs="Times New Roman"/>
                <w:sz w:val="20"/>
                <w:szCs w:val="20"/>
              </w:rPr>
              <w:t>KP</w:t>
            </w:r>
          </w:p>
        </w:tc>
        <w:tc>
          <w:tcPr>
            <w:tcW w:w="1631" w:type="dxa"/>
            <w:vAlign w:val="center"/>
            <w:hideMark/>
          </w:tcPr>
          <w:p w14:paraId="48926A01" w14:textId="2EB00069"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Between Groups</w:t>
            </w:r>
          </w:p>
        </w:tc>
        <w:tc>
          <w:tcPr>
            <w:tcW w:w="1066" w:type="dxa"/>
            <w:vAlign w:val="center"/>
          </w:tcPr>
          <w:p w14:paraId="33F97D1C" w14:textId="310C93F6"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11869.34</w:t>
            </w:r>
          </w:p>
        </w:tc>
        <w:tc>
          <w:tcPr>
            <w:tcW w:w="678" w:type="dxa"/>
            <w:vAlign w:val="center"/>
          </w:tcPr>
          <w:p w14:paraId="05415F5C" w14:textId="4A9519B6"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2</w:t>
            </w:r>
          </w:p>
        </w:tc>
        <w:tc>
          <w:tcPr>
            <w:tcW w:w="989" w:type="dxa"/>
            <w:vAlign w:val="center"/>
          </w:tcPr>
          <w:p w14:paraId="37F40B23" w14:textId="550830AF"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5934.67</w:t>
            </w:r>
          </w:p>
        </w:tc>
        <w:tc>
          <w:tcPr>
            <w:tcW w:w="766" w:type="dxa"/>
            <w:vMerge w:val="restart"/>
          </w:tcPr>
          <w:p w14:paraId="285C18D4" w14:textId="3640940C"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410.10</w:t>
            </w:r>
          </w:p>
        </w:tc>
        <w:tc>
          <w:tcPr>
            <w:tcW w:w="1146" w:type="dxa"/>
            <w:vMerge w:val="restart"/>
            <w:hideMark/>
          </w:tcPr>
          <w:p w14:paraId="7031520E" w14:textId="667C6E78"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P &lt; 0.001</w:t>
            </w:r>
          </w:p>
        </w:tc>
        <w:tc>
          <w:tcPr>
            <w:tcW w:w="1536" w:type="dxa"/>
            <w:vMerge w:val="restart"/>
          </w:tcPr>
          <w:p w14:paraId="2F25E982" w14:textId="4EA6D0D4"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Low &gt; medium &amp; High</w:t>
            </w:r>
          </w:p>
          <w:p w14:paraId="5C7BF4F8" w14:textId="70A629AF"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medium&gt; High</w:t>
            </w:r>
          </w:p>
        </w:tc>
      </w:tr>
      <w:tr w:rsidR="00C30768" w:rsidRPr="00C30768" w14:paraId="4C4B913C" w14:textId="1ABC357B" w:rsidTr="00C30768">
        <w:trPr>
          <w:trHeight w:val="432"/>
          <w:jc w:val="center"/>
        </w:trPr>
        <w:tc>
          <w:tcPr>
            <w:tcW w:w="1167" w:type="dxa"/>
            <w:vMerge/>
            <w:vAlign w:val="center"/>
          </w:tcPr>
          <w:p w14:paraId="17C550A9" w14:textId="7C517B70" w:rsidR="00C30768" w:rsidRPr="00C30768" w:rsidRDefault="00C30768" w:rsidP="00C30768">
            <w:pPr>
              <w:spacing w:line="276" w:lineRule="auto"/>
              <w:jc w:val="center"/>
              <w:rPr>
                <w:rFonts w:ascii="Times New Roman" w:eastAsia="Calibri" w:hAnsi="Times New Roman" w:cs="Times New Roman"/>
                <w:b/>
                <w:bCs/>
                <w:sz w:val="20"/>
                <w:szCs w:val="20"/>
              </w:rPr>
            </w:pPr>
          </w:p>
        </w:tc>
        <w:tc>
          <w:tcPr>
            <w:tcW w:w="933" w:type="dxa"/>
            <w:vMerge/>
            <w:vAlign w:val="center"/>
          </w:tcPr>
          <w:p w14:paraId="07B41826" w14:textId="5CF97FC1" w:rsidR="00C30768" w:rsidRPr="00C30768" w:rsidRDefault="00C30768" w:rsidP="00C30768">
            <w:pPr>
              <w:spacing w:line="276" w:lineRule="auto"/>
              <w:jc w:val="center"/>
              <w:rPr>
                <w:rFonts w:ascii="Times New Roman" w:eastAsia="Calibri" w:hAnsi="Times New Roman" w:cs="Times New Roman"/>
                <w:b/>
                <w:bCs/>
                <w:sz w:val="20"/>
                <w:szCs w:val="20"/>
              </w:rPr>
            </w:pPr>
          </w:p>
        </w:tc>
        <w:tc>
          <w:tcPr>
            <w:tcW w:w="1631" w:type="dxa"/>
            <w:vAlign w:val="center"/>
            <w:hideMark/>
          </w:tcPr>
          <w:p w14:paraId="230F187D" w14:textId="6AA709EB"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Within Groups</w:t>
            </w:r>
          </w:p>
        </w:tc>
        <w:tc>
          <w:tcPr>
            <w:tcW w:w="1066" w:type="dxa"/>
            <w:vAlign w:val="center"/>
          </w:tcPr>
          <w:p w14:paraId="152B2D1C" w14:textId="25347169"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1693.16</w:t>
            </w:r>
          </w:p>
        </w:tc>
        <w:tc>
          <w:tcPr>
            <w:tcW w:w="678" w:type="dxa"/>
            <w:vAlign w:val="center"/>
          </w:tcPr>
          <w:p w14:paraId="346E3967" w14:textId="67EF9857"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117</w:t>
            </w:r>
          </w:p>
        </w:tc>
        <w:tc>
          <w:tcPr>
            <w:tcW w:w="989" w:type="dxa"/>
            <w:vAlign w:val="center"/>
          </w:tcPr>
          <w:p w14:paraId="039D0109" w14:textId="6DB44195"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14.47</w:t>
            </w:r>
          </w:p>
        </w:tc>
        <w:tc>
          <w:tcPr>
            <w:tcW w:w="766" w:type="dxa"/>
            <w:vMerge/>
            <w:vAlign w:val="center"/>
          </w:tcPr>
          <w:p w14:paraId="393D56DD" w14:textId="3744D443" w:rsidR="00C30768" w:rsidRPr="00C30768" w:rsidRDefault="00C30768" w:rsidP="00C30768">
            <w:pPr>
              <w:spacing w:line="276" w:lineRule="auto"/>
              <w:jc w:val="center"/>
              <w:rPr>
                <w:rFonts w:ascii="Times New Roman" w:eastAsia="Calibri" w:hAnsi="Times New Roman" w:cs="Times New Roman"/>
                <w:sz w:val="20"/>
                <w:szCs w:val="20"/>
              </w:rPr>
            </w:pPr>
          </w:p>
        </w:tc>
        <w:tc>
          <w:tcPr>
            <w:tcW w:w="1146" w:type="dxa"/>
            <w:vMerge/>
            <w:hideMark/>
          </w:tcPr>
          <w:p w14:paraId="013A36A7" w14:textId="668FCDCD" w:rsidR="00C30768" w:rsidRPr="00C30768" w:rsidRDefault="00C30768" w:rsidP="00C30768">
            <w:pPr>
              <w:spacing w:line="276" w:lineRule="auto"/>
              <w:jc w:val="center"/>
              <w:rPr>
                <w:rFonts w:ascii="Times New Roman" w:eastAsia="Calibri" w:hAnsi="Times New Roman" w:cs="Times New Roman"/>
                <w:sz w:val="20"/>
                <w:szCs w:val="20"/>
              </w:rPr>
            </w:pPr>
          </w:p>
        </w:tc>
        <w:tc>
          <w:tcPr>
            <w:tcW w:w="1536" w:type="dxa"/>
            <w:vMerge/>
            <w:vAlign w:val="center"/>
          </w:tcPr>
          <w:p w14:paraId="314F5A65" w14:textId="35D72BE8" w:rsidR="00C30768" w:rsidRPr="00C30768" w:rsidRDefault="00C30768" w:rsidP="00C30768">
            <w:pPr>
              <w:spacing w:line="276" w:lineRule="auto"/>
              <w:jc w:val="center"/>
              <w:rPr>
                <w:rFonts w:ascii="Times New Roman" w:eastAsia="Calibri" w:hAnsi="Times New Roman" w:cs="Times New Roman"/>
                <w:sz w:val="20"/>
                <w:szCs w:val="20"/>
              </w:rPr>
            </w:pPr>
          </w:p>
        </w:tc>
      </w:tr>
      <w:tr w:rsidR="00C30768" w:rsidRPr="00C30768" w14:paraId="44259517" w14:textId="65C1DF9F" w:rsidTr="00C30768">
        <w:trPr>
          <w:trHeight w:val="396"/>
          <w:jc w:val="center"/>
        </w:trPr>
        <w:tc>
          <w:tcPr>
            <w:tcW w:w="1167" w:type="dxa"/>
            <w:vMerge/>
            <w:vAlign w:val="center"/>
          </w:tcPr>
          <w:p w14:paraId="0A0F8726" w14:textId="415C6D20" w:rsidR="00C30768" w:rsidRPr="00C30768" w:rsidRDefault="00C30768" w:rsidP="00C30768">
            <w:pPr>
              <w:spacing w:line="276" w:lineRule="auto"/>
              <w:jc w:val="center"/>
              <w:rPr>
                <w:rFonts w:ascii="Times New Roman" w:eastAsia="Calibri" w:hAnsi="Times New Roman" w:cs="Times New Roman"/>
                <w:b/>
                <w:bCs/>
                <w:sz w:val="20"/>
                <w:szCs w:val="20"/>
              </w:rPr>
            </w:pPr>
          </w:p>
        </w:tc>
        <w:tc>
          <w:tcPr>
            <w:tcW w:w="933" w:type="dxa"/>
            <w:vMerge/>
            <w:vAlign w:val="center"/>
          </w:tcPr>
          <w:p w14:paraId="10C07E98" w14:textId="11D33C5F" w:rsidR="00C30768" w:rsidRPr="00C30768" w:rsidRDefault="00C30768" w:rsidP="00C30768">
            <w:pPr>
              <w:spacing w:line="276" w:lineRule="auto"/>
              <w:jc w:val="center"/>
              <w:rPr>
                <w:rFonts w:ascii="Times New Roman" w:eastAsia="Calibri" w:hAnsi="Times New Roman" w:cs="Times New Roman"/>
                <w:b/>
                <w:bCs/>
                <w:sz w:val="20"/>
                <w:szCs w:val="20"/>
              </w:rPr>
            </w:pPr>
          </w:p>
        </w:tc>
        <w:tc>
          <w:tcPr>
            <w:tcW w:w="1631" w:type="dxa"/>
            <w:vAlign w:val="center"/>
            <w:hideMark/>
          </w:tcPr>
          <w:p w14:paraId="43C55320" w14:textId="27E3DE5F"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Total</w:t>
            </w:r>
          </w:p>
        </w:tc>
        <w:tc>
          <w:tcPr>
            <w:tcW w:w="1066" w:type="dxa"/>
            <w:vAlign w:val="center"/>
          </w:tcPr>
          <w:p w14:paraId="0412DE87" w14:textId="6BD6A652"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13562.5</w:t>
            </w:r>
          </w:p>
        </w:tc>
        <w:tc>
          <w:tcPr>
            <w:tcW w:w="678" w:type="dxa"/>
            <w:vAlign w:val="center"/>
          </w:tcPr>
          <w:p w14:paraId="62EF83BC" w14:textId="24B78064"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119</w:t>
            </w:r>
          </w:p>
        </w:tc>
        <w:tc>
          <w:tcPr>
            <w:tcW w:w="989" w:type="dxa"/>
            <w:vAlign w:val="center"/>
          </w:tcPr>
          <w:p w14:paraId="199DA0F6" w14:textId="2EC545AF" w:rsidR="00C30768" w:rsidRPr="00C30768" w:rsidRDefault="00C30768" w:rsidP="00C30768">
            <w:pPr>
              <w:spacing w:line="276" w:lineRule="auto"/>
              <w:jc w:val="center"/>
              <w:rPr>
                <w:rFonts w:ascii="Times New Roman" w:eastAsia="Calibri" w:hAnsi="Times New Roman" w:cs="Times New Roman"/>
                <w:sz w:val="20"/>
                <w:szCs w:val="20"/>
              </w:rPr>
            </w:pPr>
          </w:p>
        </w:tc>
        <w:tc>
          <w:tcPr>
            <w:tcW w:w="766" w:type="dxa"/>
            <w:vMerge/>
            <w:vAlign w:val="center"/>
          </w:tcPr>
          <w:p w14:paraId="4F34B2CA" w14:textId="610F1DBE" w:rsidR="00C30768" w:rsidRPr="00C30768" w:rsidRDefault="00C30768" w:rsidP="00C30768">
            <w:pPr>
              <w:spacing w:line="276" w:lineRule="auto"/>
              <w:jc w:val="center"/>
              <w:rPr>
                <w:rFonts w:ascii="Times New Roman" w:eastAsia="Calibri" w:hAnsi="Times New Roman" w:cs="Times New Roman"/>
                <w:sz w:val="20"/>
                <w:szCs w:val="20"/>
              </w:rPr>
            </w:pPr>
          </w:p>
        </w:tc>
        <w:tc>
          <w:tcPr>
            <w:tcW w:w="1146" w:type="dxa"/>
            <w:vMerge/>
            <w:hideMark/>
          </w:tcPr>
          <w:p w14:paraId="33BBDCC7" w14:textId="1BF4F3B1" w:rsidR="00C30768" w:rsidRPr="00C30768" w:rsidRDefault="00C30768" w:rsidP="00C30768">
            <w:pPr>
              <w:spacing w:line="276" w:lineRule="auto"/>
              <w:jc w:val="center"/>
              <w:rPr>
                <w:rFonts w:ascii="Times New Roman" w:eastAsia="Calibri" w:hAnsi="Times New Roman" w:cs="Times New Roman"/>
                <w:sz w:val="20"/>
                <w:szCs w:val="20"/>
              </w:rPr>
            </w:pPr>
          </w:p>
        </w:tc>
        <w:tc>
          <w:tcPr>
            <w:tcW w:w="1536" w:type="dxa"/>
            <w:vMerge/>
            <w:vAlign w:val="center"/>
          </w:tcPr>
          <w:p w14:paraId="49119FA0" w14:textId="1F3595D5" w:rsidR="00C30768" w:rsidRPr="00C30768" w:rsidRDefault="00C30768" w:rsidP="00C30768">
            <w:pPr>
              <w:spacing w:line="276" w:lineRule="auto"/>
              <w:jc w:val="center"/>
              <w:rPr>
                <w:rFonts w:ascii="Times New Roman" w:eastAsia="Calibri" w:hAnsi="Times New Roman" w:cs="Times New Roman"/>
                <w:sz w:val="20"/>
                <w:szCs w:val="20"/>
              </w:rPr>
            </w:pPr>
          </w:p>
        </w:tc>
      </w:tr>
      <w:tr w:rsidR="00C30768" w:rsidRPr="00C30768" w14:paraId="19C9591F" w14:textId="70FF8D43" w:rsidTr="00C30768">
        <w:trPr>
          <w:jc w:val="center"/>
        </w:trPr>
        <w:tc>
          <w:tcPr>
            <w:tcW w:w="1167" w:type="dxa"/>
            <w:vMerge/>
          </w:tcPr>
          <w:p w14:paraId="70D576A2" w14:textId="59ACCF65" w:rsidR="00C30768" w:rsidRPr="00C30768" w:rsidRDefault="00C30768" w:rsidP="00C30768">
            <w:pPr>
              <w:spacing w:line="276" w:lineRule="auto"/>
              <w:jc w:val="center"/>
              <w:rPr>
                <w:rFonts w:ascii="Times New Roman" w:eastAsia="Calibri" w:hAnsi="Times New Roman" w:cs="Times New Roman"/>
                <w:b/>
                <w:bCs/>
                <w:sz w:val="20"/>
                <w:szCs w:val="20"/>
              </w:rPr>
            </w:pPr>
          </w:p>
        </w:tc>
        <w:tc>
          <w:tcPr>
            <w:tcW w:w="933" w:type="dxa"/>
            <w:vMerge w:val="restart"/>
          </w:tcPr>
          <w:p w14:paraId="4835188A" w14:textId="559D4077"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MTS.tot</w:t>
            </w:r>
          </w:p>
        </w:tc>
        <w:tc>
          <w:tcPr>
            <w:tcW w:w="1631" w:type="dxa"/>
            <w:vAlign w:val="center"/>
            <w:hideMark/>
          </w:tcPr>
          <w:p w14:paraId="37FB515B" w14:textId="0CBEE8DB"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Between Groups</w:t>
            </w:r>
          </w:p>
        </w:tc>
        <w:tc>
          <w:tcPr>
            <w:tcW w:w="1066" w:type="dxa"/>
            <w:vAlign w:val="center"/>
          </w:tcPr>
          <w:p w14:paraId="3F6CE720" w14:textId="12F7C1F3"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110574.65</w:t>
            </w:r>
          </w:p>
        </w:tc>
        <w:tc>
          <w:tcPr>
            <w:tcW w:w="678" w:type="dxa"/>
            <w:vAlign w:val="center"/>
          </w:tcPr>
          <w:p w14:paraId="4FEB9303" w14:textId="45D83715"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2</w:t>
            </w:r>
          </w:p>
        </w:tc>
        <w:tc>
          <w:tcPr>
            <w:tcW w:w="989" w:type="dxa"/>
            <w:vAlign w:val="center"/>
          </w:tcPr>
          <w:p w14:paraId="1B73B282" w14:textId="12C5F620"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55287.32</w:t>
            </w:r>
          </w:p>
        </w:tc>
        <w:tc>
          <w:tcPr>
            <w:tcW w:w="766" w:type="dxa"/>
            <w:vMerge w:val="restart"/>
          </w:tcPr>
          <w:p w14:paraId="4093E597" w14:textId="4F7FE6C4"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560.10</w:t>
            </w:r>
          </w:p>
        </w:tc>
        <w:tc>
          <w:tcPr>
            <w:tcW w:w="1146" w:type="dxa"/>
            <w:vMerge w:val="restart"/>
            <w:vAlign w:val="center"/>
            <w:hideMark/>
          </w:tcPr>
          <w:p w14:paraId="04DBACD3" w14:textId="78C4CF6E"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P &lt; 0.001</w:t>
            </w:r>
          </w:p>
        </w:tc>
        <w:tc>
          <w:tcPr>
            <w:tcW w:w="1536" w:type="dxa"/>
            <w:vMerge w:val="restart"/>
          </w:tcPr>
          <w:p w14:paraId="7A81BB65" w14:textId="3156B42F"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Low &gt; medium &amp; High</w:t>
            </w:r>
          </w:p>
          <w:p w14:paraId="5DFEF9FD" w14:textId="664B476A"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medium&gt; High</w:t>
            </w:r>
          </w:p>
        </w:tc>
      </w:tr>
      <w:tr w:rsidR="00C30768" w:rsidRPr="00C30768" w14:paraId="71C54D82" w14:textId="385EE99B" w:rsidTr="00C30768">
        <w:trPr>
          <w:trHeight w:val="489"/>
          <w:jc w:val="center"/>
        </w:trPr>
        <w:tc>
          <w:tcPr>
            <w:tcW w:w="1167" w:type="dxa"/>
            <w:vMerge/>
            <w:vAlign w:val="center"/>
          </w:tcPr>
          <w:p w14:paraId="5C6CB78D" w14:textId="16DB48CA" w:rsidR="00C30768" w:rsidRPr="00C30768" w:rsidRDefault="00C30768" w:rsidP="00C30768">
            <w:pPr>
              <w:spacing w:line="276" w:lineRule="auto"/>
              <w:jc w:val="center"/>
              <w:rPr>
                <w:rFonts w:ascii="Times New Roman" w:eastAsia="Calibri" w:hAnsi="Times New Roman" w:cs="Times New Roman"/>
                <w:b/>
                <w:bCs/>
                <w:sz w:val="20"/>
                <w:szCs w:val="20"/>
              </w:rPr>
            </w:pPr>
          </w:p>
        </w:tc>
        <w:tc>
          <w:tcPr>
            <w:tcW w:w="933" w:type="dxa"/>
            <w:vMerge/>
            <w:vAlign w:val="center"/>
          </w:tcPr>
          <w:p w14:paraId="51CA8C64" w14:textId="75843430" w:rsidR="00C30768" w:rsidRPr="00C30768" w:rsidRDefault="00C30768" w:rsidP="00C30768">
            <w:pPr>
              <w:spacing w:line="276" w:lineRule="auto"/>
              <w:jc w:val="center"/>
              <w:rPr>
                <w:rFonts w:ascii="Times New Roman" w:eastAsia="Calibri" w:hAnsi="Times New Roman" w:cs="Times New Roman"/>
                <w:b/>
                <w:bCs/>
                <w:sz w:val="20"/>
                <w:szCs w:val="20"/>
              </w:rPr>
            </w:pPr>
          </w:p>
        </w:tc>
        <w:tc>
          <w:tcPr>
            <w:tcW w:w="1631" w:type="dxa"/>
            <w:vAlign w:val="center"/>
            <w:hideMark/>
          </w:tcPr>
          <w:p w14:paraId="6278AEF2" w14:textId="6BD3083A"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Within Groups</w:t>
            </w:r>
          </w:p>
        </w:tc>
        <w:tc>
          <w:tcPr>
            <w:tcW w:w="1066" w:type="dxa"/>
            <w:vAlign w:val="center"/>
          </w:tcPr>
          <w:p w14:paraId="4ADC52DB" w14:textId="19EF7D67"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11549.15</w:t>
            </w:r>
          </w:p>
        </w:tc>
        <w:tc>
          <w:tcPr>
            <w:tcW w:w="678" w:type="dxa"/>
            <w:vAlign w:val="center"/>
          </w:tcPr>
          <w:p w14:paraId="01636657" w14:textId="13AA944A"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117</w:t>
            </w:r>
          </w:p>
        </w:tc>
        <w:tc>
          <w:tcPr>
            <w:tcW w:w="989" w:type="dxa"/>
            <w:vAlign w:val="center"/>
          </w:tcPr>
          <w:p w14:paraId="5D59D5B8" w14:textId="12079362"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98.71</w:t>
            </w:r>
          </w:p>
        </w:tc>
        <w:tc>
          <w:tcPr>
            <w:tcW w:w="766" w:type="dxa"/>
            <w:vMerge/>
            <w:vAlign w:val="center"/>
          </w:tcPr>
          <w:p w14:paraId="5A68E3F0" w14:textId="47ADC86E" w:rsidR="00C30768" w:rsidRPr="00C30768" w:rsidRDefault="00C30768" w:rsidP="00C30768">
            <w:pPr>
              <w:rPr>
                <w:rFonts w:ascii="Times New Roman" w:eastAsia="Calibri" w:hAnsi="Times New Roman" w:cs="Times New Roman"/>
                <w:sz w:val="28"/>
                <w:szCs w:val="28"/>
                <w:lang w:bidi="ar-EG"/>
              </w:rPr>
            </w:pPr>
          </w:p>
        </w:tc>
        <w:tc>
          <w:tcPr>
            <w:tcW w:w="1146" w:type="dxa"/>
            <w:vMerge/>
            <w:vAlign w:val="center"/>
            <w:hideMark/>
          </w:tcPr>
          <w:p w14:paraId="04FD494E" w14:textId="70EEF5C8" w:rsidR="00C30768" w:rsidRPr="00C30768" w:rsidRDefault="00C30768" w:rsidP="00C30768">
            <w:pPr>
              <w:rPr>
                <w:rFonts w:ascii="Times New Roman" w:eastAsia="Calibri" w:hAnsi="Times New Roman" w:cs="Times New Roman"/>
                <w:sz w:val="28"/>
                <w:szCs w:val="28"/>
                <w:lang w:bidi="ar-EG"/>
              </w:rPr>
            </w:pPr>
          </w:p>
        </w:tc>
        <w:tc>
          <w:tcPr>
            <w:tcW w:w="1536" w:type="dxa"/>
            <w:vMerge/>
            <w:vAlign w:val="center"/>
          </w:tcPr>
          <w:p w14:paraId="03F1E405" w14:textId="1A57E0FC" w:rsidR="00C30768" w:rsidRPr="00C30768" w:rsidRDefault="00C30768" w:rsidP="00C30768">
            <w:pPr>
              <w:rPr>
                <w:rFonts w:ascii="Times New Roman" w:eastAsia="Calibri" w:hAnsi="Times New Roman" w:cs="Times New Roman"/>
                <w:sz w:val="28"/>
                <w:szCs w:val="28"/>
              </w:rPr>
            </w:pPr>
          </w:p>
        </w:tc>
      </w:tr>
      <w:tr w:rsidR="00C30768" w:rsidRPr="00C30768" w14:paraId="08C47AE9" w14:textId="1DACAE18" w:rsidTr="00C30768">
        <w:trPr>
          <w:trHeight w:val="180"/>
          <w:jc w:val="center"/>
        </w:trPr>
        <w:tc>
          <w:tcPr>
            <w:tcW w:w="1167" w:type="dxa"/>
            <w:vMerge/>
            <w:vAlign w:val="center"/>
          </w:tcPr>
          <w:p w14:paraId="393B6F2F" w14:textId="2C34B2C8" w:rsidR="00C30768" w:rsidRPr="00C30768" w:rsidRDefault="00C30768" w:rsidP="00C30768">
            <w:pPr>
              <w:spacing w:line="276" w:lineRule="auto"/>
              <w:jc w:val="center"/>
              <w:rPr>
                <w:rFonts w:ascii="Times New Roman" w:eastAsia="Calibri" w:hAnsi="Times New Roman" w:cs="Times New Roman"/>
                <w:b/>
                <w:bCs/>
                <w:sz w:val="20"/>
                <w:szCs w:val="20"/>
              </w:rPr>
            </w:pPr>
          </w:p>
        </w:tc>
        <w:tc>
          <w:tcPr>
            <w:tcW w:w="933" w:type="dxa"/>
            <w:vMerge/>
            <w:vAlign w:val="center"/>
          </w:tcPr>
          <w:p w14:paraId="38253AC3" w14:textId="7CBB6377" w:rsidR="00C30768" w:rsidRPr="00C30768" w:rsidRDefault="00C30768" w:rsidP="00C30768">
            <w:pPr>
              <w:spacing w:line="276" w:lineRule="auto"/>
              <w:jc w:val="center"/>
              <w:rPr>
                <w:rFonts w:ascii="Times New Roman" w:eastAsia="Calibri" w:hAnsi="Times New Roman" w:cs="Times New Roman"/>
                <w:b/>
                <w:bCs/>
                <w:sz w:val="20"/>
                <w:szCs w:val="20"/>
              </w:rPr>
            </w:pPr>
          </w:p>
        </w:tc>
        <w:tc>
          <w:tcPr>
            <w:tcW w:w="1631" w:type="dxa"/>
            <w:vAlign w:val="center"/>
            <w:hideMark/>
          </w:tcPr>
          <w:p w14:paraId="074C18C5" w14:textId="3BE3D101"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Total</w:t>
            </w:r>
          </w:p>
        </w:tc>
        <w:tc>
          <w:tcPr>
            <w:tcW w:w="1066" w:type="dxa"/>
            <w:vAlign w:val="center"/>
          </w:tcPr>
          <w:p w14:paraId="0D5EED73" w14:textId="2DD5E81C"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122123.79</w:t>
            </w:r>
          </w:p>
        </w:tc>
        <w:tc>
          <w:tcPr>
            <w:tcW w:w="678" w:type="dxa"/>
            <w:vAlign w:val="center"/>
          </w:tcPr>
          <w:p w14:paraId="0DC80AE1" w14:textId="02363E5C"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119</w:t>
            </w:r>
          </w:p>
        </w:tc>
        <w:tc>
          <w:tcPr>
            <w:tcW w:w="989" w:type="dxa"/>
            <w:vAlign w:val="center"/>
          </w:tcPr>
          <w:p w14:paraId="4E5612C2" w14:textId="76030E22" w:rsidR="00C30768" w:rsidRPr="00C30768" w:rsidRDefault="00C30768" w:rsidP="00C30768">
            <w:pPr>
              <w:spacing w:line="276" w:lineRule="auto"/>
              <w:jc w:val="center"/>
              <w:rPr>
                <w:rFonts w:ascii="Times New Roman" w:eastAsia="Calibri" w:hAnsi="Times New Roman" w:cs="Times New Roman"/>
                <w:sz w:val="20"/>
                <w:szCs w:val="20"/>
              </w:rPr>
            </w:pPr>
          </w:p>
        </w:tc>
        <w:tc>
          <w:tcPr>
            <w:tcW w:w="766" w:type="dxa"/>
            <w:vMerge/>
            <w:vAlign w:val="center"/>
          </w:tcPr>
          <w:p w14:paraId="571A7F15" w14:textId="6E422FD4" w:rsidR="00C30768" w:rsidRPr="00C30768" w:rsidRDefault="00C30768" w:rsidP="00C30768">
            <w:pPr>
              <w:rPr>
                <w:rFonts w:ascii="Times New Roman" w:eastAsia="Calibri" w:hAnsi="Times New Roman" w:cs="Times New Roman"/>
                <w:sz w:val="28"/>
                <w:szCs w:val="28"/>
                <w:lang w:bidi="ar-EG"/>
              </w:rPr>
            </w:pPr>
          </w:p>
        </w:tc>
        <w:tc>
          <w:tcPr>
            <w:tcW w:w="1146" w:type="dxa"/>
            <w:vMerge/>
            <w:vAlign w:val="center"/>
            <w:hideMark/>
          </w:tcPr>
          <w:p w14:paraId="2E8A23F8" w14:textId="7C31C422" w:rsidR="00C30768" w:rsidRPr="00C30768" w:rsidRDefault="00C30768" w:rsidP="00C30768">
            <w:pPr>
              <w:rPr>
                <w:rFonts w:ascii="Times New Roman" w:eastAsia="Calibri" w:hAnsi="Times New Roman" w:cs="Times New Roman"/>
                <w:sz w:val="28"/>
                <w:szCs w:val="28"/>
                <w:lang w:bidi="ar-EG"/>
              </w:rPr>
            </w:pPr>
          </w:p>
        </w:tc>
        <w:tc>
          <w:tcPr>
            <w:tcW w:w="1536" w:type="dxa"/>
            <w:vMerge/>
            <w:vAlign w:val="center"/>
          </w:tcPr>
          <w:p w14:paraId="0492A4AF" w14:textId="1C3E50C1" w:rsidR="00C30768" w:rsidRPr="00C30768" w:rsidRDefault="00C30768" w:rsidP="00C30768">
            <w:pPr>
              <w:rPr>
                <w:rFonts w:ascii="Times New Roman" w:eastAsia="Calibri" w:hAnsi="Times New Roman" w:cs="Times New Roman"/>
                <w:sz w:val="28"/>
                <w:szCs w:val="28"/>
              </w:rPr>
            </w:pPr>
          </w:p>
        </w:tc>
      </w:tr>
    </w:tbl>
    <w:p w14:paraId="74ABEBFF" w14:textId="243312A5" w:rsidR="00C30768" w:rsidRPr="00C30768" w:rsidRDefault="00C30768" w:rsidP="005F63C8">
      <w:pPr>
        <w:spacing w:before="240" w:line="276" w:lineRule="auto"/>
        <w:ind w:firstLine="360"/>
        <w:jc w:val="center"/>
        <w:rPr>
          <w:rFonts w:ascii="Times New Roman" w:hAnsi="Times New Roman" w:cs="Times New Roman"/>
          <w:i/>
          <w:iCs/>
          <w:color w:val="000000" w:themeColor="text1"/>
        </w:rPr>
      </w:pPr>
      <w:r w:rsidRPr="00C30768">
        <w:rPr>
          <w:rFonts w:ascii="Times New Roman" w:hAnsi="Times New Roman" w:cs="Times New Roman"/>
          <w:i/>
          <w:iCs/>
          <w:color w:val="000000" w:themeColor="text1"/>
        </w:rPr>
        <w:lastRenderedPageBreak/>
        <w:t xml:space="preserve">Table </w:t>
      </w:r>
      <w:r>
        <w:rPr>
          <w:rFonts w:ascii="Times New Roman" w:hAnsi="Times New Roman" w:cs="Times New Roman"/>
          <w:i/>
          <w:iCs/>
          <w:color w:val="000000" w:themeColor="text1"/>
        </w:rPr>
        <w:t xml:space="preserve">8. </w:t>
      </w:r>
      <w:r w:rsidRPr="00C30768">
        <w:rPr>
          <w:rFonts w:ascii="Times New Roman" w:hAnsi="Times New Roman" w:cs="Times New Roman"/>
          <w:i/>
          <w:iCs/>
          <w:color w:val="000000" w:themeColor="text1"/>
        </w:rPr>
        <w:t>Analysis of the Differences between the Metacognition Thinking</w:t>
      </w:r>
      <w:r w:rsidRPr="00C30768">
        <w:rPr>
          <w:rFonts w:ascii="Times New Roman" w:hAnsi="Times New Roman" w:cs="Times New Roman" w:hint="cs"/>
          <w:i/>
          <w:iCs/>
          <w:color w:val="000000" w:themeColor="text1"/>
          <w:rtl/>
        </w:rPr>
        <w:t xml:space="preserve"> </w:t>
      </w:r>
      <w:r w:rsidRPr="00C30768">
        <w:rPr>
          <w:rFonts w:ascii="Times New Roman" w:hAnsi="Times New Roman" w:cs="Times New Roman"/>
          <w:i/>
          <w:iCs/>
          <w:color w:val="000000" w:themeColor="text1"/>
        </w:rPr>
        <w:t xml:space="preserve">Skills via </w:t>
      </w:r>
      <w:r w:rsidR="005F63C8">
        <w:rPr>
          <w:rFonts w:ascii="Times New Roman" w:hAnsi="Times New Roman" w:cs="Times New Roman"/>
          <w:i/>
          <w:iCs/>
          <w:color w:val="000000" w:themeColor="text1"/>
        </w:rPr>
        <w:t>O</w:t>
      </w:r>
      <w:r w:rsidR="005F63C8" w:rsidRPr="00C30768">
        <w:rPr>
          <w:rFonts w:ascii="Times New Roman" w:hAnsi="Times New Roman" w:cs="Times New Roman"/>
          <w:i/>
          <w:iCs/>
          <w:color w:val="000000" w:themeColor="text1"/>
        </w:rPr>
        <w:t>ne</w:t>
      </w:r>
      <w:r w:rsidRPr="00C30768">
        <w:rPr>
          <w:rFonts w:ascii="Times New Roman" w:hAnsi="Times New Roman" w:cs="Times New Roman"/>
          <w:i/>
          <w:iCs/>
          <w:color w:val="000000" w:themeColor="text1"/>
        </w:rPr>
        <w:t>-</w:t>
      </w:r>
      <w:r w:rsidR="005F63C8">
        <w:rPr>
          <w:rFonts w:ascii="Times New Roman" w:hAnsi="Times New Roman" w:cs="Times New Roman"/>
          <w:i/>
          <w:iCs/>
          <w:color w:val="000000" w:themeColor="text1"/>
        </w:rPr>
        <w:t>W</w:t>
      </w:r>
      <w:r w:rsidR="005F63C8" w:rsidRPr="00C30768">
        <w:rPr>
          <w:rFonts w:ascii="Times New Roman" w:hAnsi="Times New Roman" w:cs="Times New Roman"/>
          <w:i/>
          <w:iCs/>
          <w:color w:val="000000" w:themeColor="text1"/>
        </w:rPr>
        <w:t xml:space="preserve">ay </w:t>
      </w:r>
      <w:r w:rsidRPr="00C30768">
        <w:rPr>
          <w:rFonts w:ascii="Times New Roman" w:hAnsi="Times New Roman" w:cs="Times New Roman"/>
          <w:i/>
          <w:iCs/>
          <w:color w:val="000000" w:themeColor="text1"/>
        </w:rPr>
        <w:t>ANOVA according to the Difficulty Describing Feelings (DDF) Levels</w:t>
      </w:r>
    </w:p>
    <w:tbl>
      <w:tblPr>
        <w:tblW w:w="1008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281"/>
        <w:gridCol w:w="933"/>
        <w:gridCol w:w="1758"/>
        <w:gridCol w:w="1204"/>
        <w:gridCol w:w="579"/>
        <w:gridCol w:w="1087"/>
        <w:gridCol w:w="855"/>
        <w:gridCol w:w="1097"/>
        <w:gridCol w:w="1286"/>
      </w:tblGrid>
      <w:tr w:rsidR="00C30768" w:rsidRPr="00C30768" w14:paraId="4556FE5E" w14:textId="3F1C22F1" w:rsidTr="00C30768">
        <w:trPr>
          <w:jc w:val="center"/>
        </w:trPr>
        <w:tc>
          <w:tcPr>
            <w:tcW w:w="1281" w:type="dxa"/>
            <w:vAlign w:val="center"/>
            <w:hideMark/>
          </w:tcPr>
          <w:p w14:paraId="02898E0D" w14:textId="565EFF6F" w:rsidR="00C30768" w:rsidRPr="00C30768" w:rsidRDefault="00C30768" w:rsidP="00C30768">
            <w:pPr>
              <w:spacing w:line="276" w:lineRule="auto"/>
              <w:jc w:val="center"/>
              <w:rPr>
                <w:rFonts w:ascii="Times New Roman" w:eastAsia="Calibri" w:hAnsi="Times New Roman" w:cs="Times New Roman"/>
                <w:b/>
                <w:bCs/>
                <w:sz w:val="20"/>
                <w:szCs w:val="20"/>
              </w:rPr>
            </w:pPr>
            <w:r w:rsidRPr="00C30768">
              <w:rPr>
                <w:rFonts w:ascii="Times New Roman" w:eastAsia="Calibri" w:hAnsi="Times New Roman" w:cs="Times New Roman"/>
                <w:b/>
                <w:bCs/>
                <w:sz w:val="20"/>
                <w:szCs w:val="20"/>
              </w:rPr>
              <w:t>Main Variable</w:t>
            </w:r>
          </w:p>
        </w:tc>
        <w:tc>
          <w:tcPr>
            <w:tcW w:w="933" w:type="dxa"/>
            <w:vAlign w:val="center"/>
            <w:hideMark/>
          </w:tcPr>
          <w:p w14:paraId="721B384D" w14:textId="157A27B5" w:rsidR="00C30768" w:rsidRPr="00C30768" w:rsidRDefault="00C30768" w:rsidP="00C30768">
            <w:pPr>
              <w:spacing w:line="276" w:lineRule="auto"/>
              <w:jc w:val="center"/>
              <w:rPr>
                <w:rFonts w:ascii="Times New Roman" w:eastAsia="Calibri" w:hAnsi="Times New Roman" w:cs="Times New Roman"/>
                <w:b/>
                <w:bCs/>
                <w:sz w:val="20"/>
                <w:szCs w:val="20"/>
              </w:rPr>
            </w:pPr>
          </w:p>
        </w:tc>
        <w:tc>
          <w:tcPr>
            <w:tcW w:w="1758" w:type="dxa"/>
            <w:vAlign w:val="center"/>
          </w:tcPr>
          <w:p w14:paraId="194BC8EE" w14:textId="0A521131" w:rsidR="00C30768" w:rsidRPr="00C30768" w:rsidRDefault="00C30768" w:rsidP="00C30768">
            <w:pPr>
              <w:spacing w:line="276" w:lineRule="auto"/>
              <w:jc w:val="center"/>
              <w:rPr>
                <w:rFonts w:ascii="Times New Roman" w:eastAsia="Calibri" w:hAnsi="Times New Roman" w:cs="Times New Roman"/>
                <w:b/>
                <w:bCs/>
                <w:sz w:val="20"/>
                <w:szCs w:val="20"/>
              </w:rPr>
            </w:pPr>
          </w:p>
        </w:tc>
        <w:tc>
          <w:tcPr>
            <w:tcW w:w="1204" w:type="dxa"/>
            <w:vAlign w:val="center"/>
            <w:hideMark/>
          </w:tcPr>
          <w:p w14:paraId="0B680CAF" w14:textId="096A2E64" w:rsidR="00C30768" w:rsidRPr="00C30768" w:rsidRDefault="00C30768" w:rsidP="00C30768">
            <w:pPr>
              <w:spacing w:line="276" w:lineRule="auto"/>
              <w:jc w:val="center"/>
              <w:rPr>
                <w:rFonts w:ascii="Times New Roman" w:eastAsia="Calibri" w:hAnsi="Times New Roman" w:cs="Times New Roman"/>
                <w:b/>
                <w:bCs/>
                <w:sz w:val="20"/>
                <w:szCs w:val="20"/>
              </w:rPr>
            </w:pPr>
            <w:r w:rsidRPr="00C30768">
              <w:rPr>
                <w:rFonts w:ascii="Times New Roman" w:eastAsia="Calibri" w:hAnsi="Times New Roman" w:cs="Times New Roman"/>
                <w:b/>
                <w:bCs/>
                <w:sz w:val="20"/>
                <w:szCs w:val="20"/>
              </w:rPr>
              <w:t>Sum of Squares</w:t>
            </w:r>
          </w:p>
        </w:tc>
        <w:tc>
          <w:tcPr>
            <w:tcW w:w="579" w:type="dxa"/>
            <w:vAlign w:val="center"/>
            <w:hideMark/>
          </w:tcPr>
          <w:p w14:paraId="31BB4E39" w14:textId="49825E89" w:rsidR="00C30768" w:rsidRPr="00C30768" w:rsidRDefault="00C30768" w:rsidP="00C30768">
            <w:pPr>
              <w:spacing w:line="276" w:lineRule="auto"/>
              <w:jc w:val="center"/>
              <w:rPr>
                <w:rFonts w:ascii="Times New Roman" w:eastAsia="Calibri" w:hAnsi="Times New Roman" w:cs="Times New Roman"/>
                <w:b/>
                <w:bCs/>
                <w:sz w:val="20"/>
                <w:szCs w:val="20"/>
              </w:rPr>
            </w:pPr>
            <w:r w:rsidRPr="00C30768">
              <w:rPr>
                <w:rFonts w:ascii="Times New Roman" w:eastAsia="Calibri" w:hAnsi="Times New Roman" w:cs="Times New Roman"/>
                <w:b/>
                <w:bCs/>
                <w:sz w:val="20"/>
                <w:szCs w:val="20"/>
              </w:rPr>
              <w:t>df</w:t>
            </w:r>
          </w:p>
        </w:tc>
        <w:tc>
          <w:tcPr>
            <w:tcW w:w="1087" w:type="dxa"/>
            <w:vAlign w:val="center"/>
            <w:hideMark/>
          </w:tcPr>
          <w:p w14:paraId="79B4A078" w14:textId="29718E0E" w:rsidR="00C30768" w:rsidRPr="00C30768" w:rsidRDefault="00C30768" w:rsidP="00C30768">
            <w:pPr>
              <w:spacing w:line="276" w:lineRule="auto"/>
              <w:jc w:val="center"/>
              <w:rPr>
                <w:rFonts w:ascii="Times New Roman" w:eastAsia="Calibri" w:hAnsi="Times New Roman" w:cs="Times New Roman"/>
                <w:b/>
                <w:bCs/>
                <w:sz w:val="20"/>
                <w:szCs w:val="20"/>
              </w:rPr>
            </w:pPr>
            <w:r w:rsidRPr="00C30768">
              <w:rPr>
                <w:rFonts w:ascii="Times New Roman" w:eastAsia="Calibri" w:hAnsi="Times New Roman" w:cs="Times New Roman"/>
                <w:b/>
                <w:bCs/>
                <w:sz w:val="20"/>
                <w:szCs w:val="20"/>
              </w:rPr>
              <w:t>Mean Square</w:t>
            </w:r>
          </w:p>
        </w:tc>
        <w:tc>
          <w:tcPr>
            <w:tcW w:w="855" w:type="dxa"/>
            <w:vAlign w:val="center"/>
            <w:hideMark/>
          </w:tcPr>
          <w:p w14:paraId="217D0B8A" w14:textId="0463723A" w:rsidR="00C30768" w:rsidRPr="00C30768" w:rsidRDefault="00C30768" w:rsidP="00C30768">
            <w:pPr>
              <w:spacing w:line="276" w:lineRule="auto"/>
              <w:jc w:val="center"/>
              <w:rPr>
                <w:rFonts w:ascii="Times New Roman" w:eastAsia="Calibri" w:hAnsi="Times New Roman" w:cs="Times New Roman"/>
                <w:b/>
                <w:bCs/>
                <w:sz w:val="20"/>
                <w:szCs w:val="20"/>
              </w:rPr>
            </w:pPr>
            <w:r w:rsidRPr="00C30768">
              <w:rPr>
                <w:rFonts w:ascii="Times New Roman" w:eastAsia="Calibri" w:hAnsi="Times New Roman" w:cs="Times New Roman"/>
                <w:b/>
                <w:bCs/>
                <w:sz w:val="20"/>
                <w:szCs w:val="20"/>
              </w:rPr>
              <w:t>F</w:t>
            </w:r>
          </w:p>
        </w:tc>
        <w:tc>
          <w:tcPr>
            <w:tcW w:w="1097" w:type="dxa"/>
            <w:vAlign w:val="center"/>
            <w:hideMark/>
          </w:tcPr>
          <w:p w14:paraId="55306EFE" w14:textId="7621C4F4" w:rsidR="00C30768" w:rsidRPr="00C30768" w:rsidRDefault="00C30768" w:rsidP="00C30768">
            <w:pPr>
              <w:spacing w:line="276" w:lineRule="auto"/>
              <w:jc w:val="center"/>
              <w:rPr>
                <w:rFonts w:ascii="Times New Roman" w:eastAsia="Calibri" w:hAnsi="Times New Roman" w:cs="Times New Roman"/>
                <w:b/>
                <w:bCs/>
                <w:sz w:val="20"/>
                <w:szCs w:val="20"/>
              </w:rPr>
            </w:pPr>
            <w:r w:rsidRPr="00C30768">
              <w:rPr>
                <w:rFonts w:ascii="Times New Roman" w:eastAsia="Calibri" w:hAnsi="Times New Roman" w:cs="Times New Roman"/>
                <w:b/>
                <w:bCs/>
                <w:sz w:val="20"/>
                <w:szCs w:val="20"/>
              </w:rPr>
              <w:t>Sig</w:t>
            </w:r>
          </w:p>
        </w:tc>
        <w:tc>
          <w:tcPr>
            <w:tcW w:w="1286" w:type="dxa"/>
            <w:vAlign w:val="center"/>
            <w:hideMark/>
          </w:tcPr>
          <w:p w14:paraId="3E1EF983" w14:textId="088DB317" w:rsidR="00C30768" w:rsidRPr="00C30768" w:rsidRDefault="00C30768" w:rsidP="00C30768">
            <w:pPr>
              <w:spacing w:line="276" w:lineRule="auto"/>
              <w:jc w:val="center"/>
              <w:rPr>
                <w:rFonts w:ascii="Times New Roman" w:eastAsia="Calibri" w:hAnsi="Times New Roman" w:cs="Times New Roman"/>
                <w:b/>
                <w:bCs/>
                <w:sz w:val="20"/>
                <w:szCs w:val="20"/>
              </w:rPr>
            </w:pPr>
            <w:r w:rsidRPr="00C30768">
              <w:rPr>
                <w:rFonts w:ascii="Times New Roman" w:eastAsia="Calibri" w:hAnsi="Times New Roman" w:cs="Times New Roman"/>
                <w:b/>
                <w:bCs/>
                <w:sz w:val="20"/>
                <w:szCs w:val="20"/>
              </w:rPr>
              <w:t>Post hoc Scheffe test</w:t>
            </w:r>
          </w:p>
        </w:tc>
      </w:tr>
      <w:tr w:rsidR="00C30768" w:rsidRPr="00C30768" w14:paraId="035480A7" w14:textId="58F7B307" w:rsidTr="00C30768">
        <w:trPr>
          <w:trHeight w:val="449"/>
          <w:jc w:val="center"/>
        </w:trPr>
        <w:tc>
          <w:tcPr>
            <w:tcW w:w="1281" w:type="dxa"/>
            <w:vMerge w:val="restart"/>
            <w:hideMark/>
          </w:tcPr>
          <w:p w14:paraId="35692594" w14:textId="35754A1F"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difficulties describing feelings (DDF)</w:t>
            </w:r>
          </w:p>
        </w:tc>
        <w:tc>
          <w:tcPr>
            <w:tcW w:w="933" w:type="dxa"/>
            <w:vMerge w:val="restart"/>
          </w:tcPr>
          <w:p w14:paraId="1DD378E8" w14:textId="6FA9678B"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KoC</w:t>
            </w:r>
          </w:p>
        </w:tc>
        <w:tc>
          <w:tcPr>
            <w:tcW w:w="1758" w:type="dxa"/>
            <w:vAlign w:val="center"/>
            <w:hideMark/>
          </w:tcPr>
          <w:p w14:paraId="54D22376" w14:textId="50F628FF"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Between Groups</w:t>
            </w:r>
          </w:p>
        </w:tc>
        <w:tc>
          <w:tcPr>
            <w:tcW w:w="1204" w:type="dxa"/>
            <w:vAlign w:val="center"/>
          </w:tcPr>
          <w:p w14:paraId="1CA75523" w14:textId="0E8F8EE3"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5728.67</w:t>
            </w:r>
          </w:p>
        </w:tc>
        <w:tc>
          <w:tcPr>
            <w:tcW w:w="579" w:type="dxa"/>
            <w:vAlign w:val="center"/>
          </w:tcPr>
          <w:p w14:paraId="5A79EF70" w14:textId="3469628C"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2</w:t>
            </w:r>
          </w:p>
        </w:tc>
        <w:tc>
          <w:tcPr>
            <w:tcW w:w="1087" w:type="dxa"/>
            <w:vAlign w:val="center"/>
          </w:tcPr>
          <w:p w14:paraId="12E37FB8" w14:textId="49F664A8"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2864.33</w:t>
            </w:r>
          </w:p>
        </w:tc>
        <w:tc>
          <w:tcPr>
            <w:tcW w:w="855" w:type="dxa"/>
            <w:vMerge w:val="restart"/>
          </w:tcPr>
          <w:p w14:paraId="3CA77C21" w14:textId="0C806C08"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211.08</w:t>
            </w:r>
          </w:p>
        </w:tc>
        <w:tc>
          <w:tcPr>
            <w:tcW w:w="1097" w:type="dxa"/>
            <w:vMerge w:val="restart"/>
            <w:hideMark/>
          </w:tcPr>
          <w:p w14:paraId="0051C001" w14:textId="35BD3112"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P &lt; 0.001</w:t>
            </w:r>
          </w:p>
        </w:tc>
        <w:tc>
          <w:tcPr>
            <w:tcW w:w="1286" w:type="dxa"/>
            <w:vMerge w:val="restart"/>
          </w:tcPr>
          <w:p w14:paraId="5B3F9AD0" w14:textId="28BDF864"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Low &gt; medium &amp; High</w:t>
            </w:r>
          </w:p>
          <w:p w14:paraId="3222FD19" w14:textId="1AEEDF42"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medium&gt; High</w:t>
            </w:r>
          </w:p>
        </w:tc>
      </w:tr>
      <w:tr w:rsidR="00C30768" w:rsidRPr="00C30768" w14:paraId="354DD5F6" w14:textId="04DE0D57" w:rsidTr="00C30768">
        <w:trPr>
          <w:trHeight w:val="350"/>
          <w:jc w:val="center"/>
        </w:trPr>
        <w:tc>
          <w:tcPr>
            <w:tcW w:w="1281" w:type="dxa"/>
            <w:vMerge/>
            <w:vAlign w:val="center"/>
            <w:hideMark/>
          </w:tcPr>
          <w:p w14:paraId="5BD82E9A" w14:textId="319BFB65" w:rsidR="00C30768" w:rsidRPr="00C30768" w:rsidRDefault="00C30768" w:rsidP="00C30768">
            <w:pPr>
              <w:spacing w:line="276" w:lineRule="auto"/>
              <w:jc w:val="center"/>
              <w:rPr>
                <w:rFonts w:ascii="Times New Roman" w:eastAsia="Calibri" w:hAnsi="Times New Roman" w:cs="Times New Roman"/>
                <w:b/>
                <w:bCs/>
                <w:sz w:val="20"/>
                <w:szCs w:val="20"/>
              </w:rPr>
            </w:pPr>
          </w:p>
        </w:tc>
        <w:tc>
          <w:tcPr>
            <w:tcW w:w="933" w:type="dxa"/>
            <w:vMerge/>
            <w:vAlign w:val="center"/>
          </w:tcPr>
          <w:p w14:paraId="0F80C309" w14:textId="48082217" w:rsidR="00C30768" w:rsidRPr="00C30768" w:rsidRDefault="00C30768" w:rsidP="00C30768">
            <w:pPr>
              <w:spacing w:line="276" w:lineRule="auto"/>
              <w:jc w:val="center"/>
              <w:rPr>
                <w:rFonts w:ascii="Times New Roman" w:eastAsia="Calibri" w:hAnsi="Times New Roman" w:cs="Times New Roman"/>
                <w:sz w:val="20"/>
                <w:szCs w:val="20"/>
              </w:rPr>
            </w:pPr>
          </w:p>
        </w:tc>
        <w:tc>
          <w:tcPr>
            <w:tcW w:w="1758" w:type="dxa"/>
            <w:vAlign w:val="center"/>
            <w:hideMark/>
          </w:tcPr>
          <w:p w14:paraId="59C6E8C4" w14:textId="7B10A25F"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Within Groups</w:t>
            </w:r>
          </w:p>
        </w:tc>
        <w:tc>
          <w:tcPr>
            <w:tcW w:w="1204" w:type="dxa"/>
            <w:vAlign w:val="center"/>
          </w:tcPr>
          <w:p w14:paraId="3EDC7F65" w14:textId="4832046E"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1587.66</w:t>
            </w:r>
          </w:p>
        </w:tc>
        <w:tc>
          <w:tcPr>
            <w:tcW w:w="579" w:type="dxa"/>
            <w:vAlign w:val="center"/>
          </w:tcPr>
          <w:p w14:paraId="2C101784" w14:textId="41E0DBC8"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117</w:t>
            </w:r>
          </w:p>
        </w:tc>
        <w:tc>
          <w:tcPr>
            <w:tcW w:w="1087" w:type="dxa"/>
            <w:vAlign w:val="center"/>
          </w:tcPr>
          <w:p w14:paraId="0062E3EC" w14:textId="6A5C701B"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13.57</w:t>
            </w:r>
          </w:p>
        </w:tc>
        <w:tc>
          <w:tcPr>
            <w:tcW w:w="855" w:type="dxa"/>
            <w:vMerge/>
            <w:vAlign w:val="center"/>
          </w:tcPr>
          <w:p w14:paraId="6CCE745A" w14:textId="77459D96" w:rsidR="00C30768" w:rsidRPr="00C30768" w:rsidRDefault="00C30768" w:rsidP="00C30768">
            <w:pPr>
              <w:spacing w:line="276" w:lineRule="auto"/>
              <w:jc w:val="center"/>
              <w:rPr>
                <w:rFonts w:ascii="Times New Roman" w:eastAsia="Calibri" w:hAnsi="Times New Roman" w:cs="Times New Roman"/>
                <w:sz w:val="20"/>
                <w:szCs w:val="20"/>
              </w:rPr>
            </w:pPr>
          </w:p>
        </w:tc>
        <w:tc>
          <w:tcPr>
            <w:tcW w:w="1097" w:type="dxa"/>
            <w:vMerge/>
            <w:vAlign w:val="center"/>
            <w:hideMark/>
          </w:tcPr>
          <w:p w14:paraId="47529390" w14:textId="44BB8545" w:rsidR="00C30768" w:rsidRPr="00C30768" w:rsidRDefault="00C30768" w:rsidP="00C30768">
            <w:pPr>
              <w:spacing w:line="276" w:lineRule="auto"/>
              <w:jc w:val="center"/>
              <w:rPr>
                <w:rFonts w:ascii="Times New Roman" w:eastAsia="Calibri" w:hAnsi="Times New Roman" w:cs="Times New Roman"/>
                <w:sz w:val="20"/>
                <w:szCs w:val="20"/>
              </w:rPr>
            </w:pPr>
          </w:p>
        </w:tc>
        <w:tc>
          <w:tcPr>
            <w:tcW w:w="1286" w:type="dxa"/>
            <w:vMerge/>
            <w:vAlign w:val="center"/>
          </w:tcPr>
          <w:p w14:paraId="45F3CEB5" w14:textId="68F4729E" w:rsidR="00C30768" w:rsidRPr="00C30768" w:rsidRDefault="00C30768" w:rsidP="00C30768">
            <w:pPr>
              <w:spacing w:line="276" w:lineRule="auto"/>
              <w:jc w:val="center"/>
              <w:rPr>
                <w:rFonts w:ascii="Times New Roman" w:eastAsia="Calibri" w:hAnsi="Times New Roman" w:cs="Times New Roman"/>
                <w:sz w:val="20"/>
                <w:szCs w:val="20"/>
              </w:rPr>
            </w:pPr>
          </w:p>
        </w:tc>
      </w:tr>
      <w:tr w:rsidR="00C30768" w:rsidRPr="00C30768" w14:paraId="722DAF97" w14:textId="4B178529" w:rsidTr="00C30768">
        <w:trPr>
          <w:trHeight w:val="300"/>
          <w:jc w:val="center"/>
        </w:trPr>
        <w:tc>
          <w:tcPr>
            <w:tcW w:w="1281" w:type="dxa"/>
            <w:vMerge/>
            <w:vAlign w:val="center"/>
            <w:hideMark/>
          </w:tcPr>
          <w:p w14:paraId="061620E7" w14:textId="55B27255" w:rsidR="00C30768" w:rsidRPr="00C30768" w:rsidRDefault="00C30768" w:rsidP="00C30768">
            <w:pPr>
              <w:spacing w:line="276" w:lineRule="auto"/>
              <w:jc w:val="center"/>
              <w:rPr>
                <w:rFonts w:ascii="Times New Roman" w:eastAsia="Calibri" w:hAnsi="Times New Roman" w:cs="Times New Roman"/>
                <w:b/>
                <w:bCs/>
                <w:sz w:val="20"/>
                <w:szCs w:val="20"/>
              </w:rPr>
            </w:pPr>
          </w:p>
        </w:tc>
        <w:tc>
          <w:tcPr>
            <w:tcW w:w="933" w:type="dxa"/>
            <w:vMerge/>
            <w:vAlign w:val="center"/>
          </w:tcPr>
          <w:p w14:paraId="19F8EBED" w14:textId="39D91BC5" w:rsidR="00C30768" w:rsidRPr="00C30768" w:rsidRDefault="00C30768" w:rsidP="00C30768">
            <w:pPr>
              <w:spacing w:line="276" w:lineRule="auto"/>
              <w:jc w:val="center"/>
              <w:rPr>
                <w:rFonts w:ascii="Times New Roman" w:eastAsia="Calibri" w:hAnsi="Times New Roman" w:cs="Times New Roman"/>
                <w:sz w:val="20"/>
                <w:szCs w:val="20"/>
              </w:rPr>
            </w:pPr>
          </w:p>
        </w:tc>
        <w:tc>
          <w:tcPr>
            <w:tcW w:w="1758" w:type="dxa"/>
            <w:vAlign w:val="center"/>
            <w:hideMark/>
          </w:tcPr>
          <w:p w14:paraId="7D7FAACD" w14:textId="590B15D4"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Total</w:t>
            </w:r>
          </w:p>
        </w:tc>
        <w:tc>
          <w:tcPr>
            <w:tcW w:w="1204" w:type="dxa"/>
            <w:vAlign w:val="center"/>
          </w:tcPr>
          <w:p w14:paraId="25C87428" w14:textId="195147E0"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76316.33</w:t>
            </w:r>
          </w:p>
        </w:tc>
        <w:tc>
          <w:tcPr>
            <w:tcW w:w="579" w:type="dxa"/>
            <w:vAlign w:val="center"/>
          </w:tcPr>
          <w:p w14:paraId="161CFBC6" w14:textId="5E3F1864"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119</w:t>
            </w:r>
          </w:p>
        </w:tc>
        <w:tc>
          <w:tcPr>
            <w:tcW w:w="1087" w:type="dxa"/>
            <w:vAlign w:val="center"/>
          </w:tcPr>
          <w:p w14:paraId="70F39B37" w14:textId="3597A120" w:rsidR="00C30768" w:rsidRPr="00C30768" w:rsidRDefault="00C30768" w:rsidP="00C30768">
            <w:pPr>
              <w:spacing w:line="276" w:lineRule="auto"/>
              <w:jc w:val="center"/>
              <w:rPr>
                <w:rFonts w:ascii="Times New Roman" w:eastAsia="Calibri" w:hAnsi="Times New Roman" w:cs="Times New Roman"/>
                <w:sz w:val="20"/>
                <w:szCs w:val="20"/>
              </w:rPr>
            </w:pPr>
          </w:p>
        </w:tc>
        <w:tc>
          <w:tcPr>
            <w:tcW w:w="855" w:type="dxa"/>
            <w:vMerge/>
            <w:vAlign w:val="center"/>
          </w:tcPr>
          <w:p w14:paraId="4C968757" w14:textId="150D1894" w:rsidR="00C30768" w:rsidRPr="00C30768" w:rsidRDefault="00C30768" w:rsidP="00C30768">
            <w:pPr>
              <w:spacing w:line="276" w:lineRule="auto"/>
              <w:jc w:val="center"/>
              <w:rPr>
                <w:rFonts w:ascii="Times New Roman" w:eastAsia="Calibri" w:hAnsi="Times New Roman" w:cs="Times New Roman"/>
                <w:sz w:val="20"/>
                <w:szCs w:val="20"/>
              </w:rPr>
            </w:pPr>
          </w:p>
        </w:tc>
        <w:tc>
          <w:tcPr>
            <w:tcW w:w="1097" w:type="dxa"/>
            <w:vMerge/>
            <w:vAlign w:val="center"/>
            <w:hideMark/>
          </w:tcPr>
          <w:p w14:paraId="45D2DFE9" w14:textId="327491F9" w:rsidR="00C30768" w:rsidRPr="00C30768" w:rsidRDefault="00C30768" w:rsidP="00C30768">
            <w:pPr>
              <w:spacing w:line="276" w:lineRule="auto"/>
              <w:jc w:val="center"/>
              <w:rPr>
                <w:rFonts w:ascii="Times New Roman" w:eastAsia="Calibri" w:hAnsi="Times New Roman" w:cs="Times New Roman"/>
                <w:sz w:val="20"/>
                <w:szCs w:val="20"/>
              </w:rPr>
            </w:pPr>
          </w:p>
        </w:tc>
        <w:tc>
          <w:tcPr>
            <w:tcW w:w="1286" w:type="dxa"/>
            <w:vMerge/>
            <w:vAlign w:val="center"/>
            <w:hideMark/>
          </w:tcPr>
          <w:p w14:paraId="45E4B62D" w14:textId="3D10DDBE" w:rsidR="00C30768" w:rsidRPr="00C30768" w:rsidRDefault="00C30768" w:rsidP="00C30768">
            <w:pPr>
              <w:spacing w:line="276" w:lineRule="auto"/>
              <w:jc w:val="center"/>
              <w:rPr>
                <w:rFonts w:ascii="Times New Roman" w:eastAsia="Calibri" w:hAnsi="Times New Roman" w:cs="Times New Roman"/>
                <w:sz w:val="20"/>
                <w:szCs w:val="20"/>
              </w:rPr>
            </w:pPr>
          </w:p>
        </w:tc>
      </w:tr>
      <w:tr w:rsidR="00C30768" w:rsidRPr="00C30768" w14:paraId="32265D65" w14:textId="2422F229" w:rsidTr="00C30768">
        <w:trPr>
          <w:jc w:val="center"/>
        </w:trPr>
        <w:tc>
          <w:tcPr>
            <w:tcW w:w="1281" w:type="dxa"/>
            <w:vMerge/>
          </w:tcPr>
          <w:p w14:paraId="5DB62C7D" w14:textId="605C4624" w:rsidR="00C30768" w:rsidRPr="00C30768" w:rsidRDefault="00C30768" w:rsidP="00C30768">
            <w:pPr>
              <w:spacing w:line="276" w:lineRule="auto"/>
              <w:jc w:val="center"/>
              <w:rPr>
                <w:rFonts w:ascii="Times New Roman" w:eastAsia="Calibri" w:hAnsi="Times New Roman" w:cs="Times New Roman"/>
                <w:b/>
                <w:bCs/>
                <w:sz w:val="20"/>
                <w:szCs w:val="20"/>
              </w:rPr>
            </w:pPr>
          </w:p>
        </w:tc>
        <w:tc>
          <w:tcPr>
            <w:tcW w:w="933" w:type="dxa"/>
            <w:vMerge w:val="restart"/>
          </w:tcPr>
          <w:p w14:paraId="30D5A256" w14:textId="4EFBC186"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RoC</w:t>
            </w:r>
          </w:p>
        </w:tc>
        <w:tc>
          <w:tcPr>
            <w:tcW w:w="1758" w:type="dxa"/>
            <w:vAlign w:val="center"/>
            <w:hideMark/>
          </w:tcPr>
          <w:p w14:paraId="0EC17870" w14:textId="2B3C017B"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Between Groups</w:t>
            </w:r>
          </w:p>
        </w:tc>
        <w:tc>
          <w:tcPr>
            <w:tcW w:w="1204" w:type="dxa"/>
            <w:vAlign w:val="center"/>
          </w:tcPr>
          <w:p w14:paraId="2F362732" w14:textId="38119052"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22080.39</w:t>
            </w:r>
          </w:p>
        </w:tc>
        <w:tc>
          <w:tcPr>
            <w:tcW w:w="579" w:type="dxa"/>
            <w:vAlign w:val="center"/>
          </w:tcPr>
          <w:p w14:paraId="4B8A8015" w14:textId="14DA5BF4"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2</w:t>
            </w:r>
          </w:p>
        </w:tc>
        <w:tc>
          <w:tcPr>
            <w:tcW w:w="1087" w:type="dxa"/>
            <w:vAlign w:val="center"/>
          </w:tcPr>
          <w:p w14:paraId="1B607415" w14:textId="18066208"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2864.33</w:t>
            </w:r>
          </w:p>
        </w:tc>
        <w:tc>
          <w:tcPr>
            <w:tcW w:w="855" w:type="dxa"/>
            <w:vMerge w:val="restart"/>
          </w:tcPr>
          <w:p w14:paraId="5E5203EC" w14:textId="47EB7DD6"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660.39</w:t>
            </w:r>
          </w:p>
        </w:tc>
        <w:tc>
          <w:tcPr>
            <w:tcW w:w="1097" w:type="dxa"/>
            <w:vMerge w:val="restart"/>
            <w:hideMark/>
          </w:tcPr>
          <w:p w14:paraId="0B6D5AB7" w14:textId="304745AC"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P &lt; 0.001</w:t>
            </w:r>
          </w:p>
        </w:tc>
        <w:tc>
          <w:tcPr>
            <w:tcW w:w="1286" w:type="dxa"/>
            <w:vMerge w:val="restart"/>
          </w:tcPr>
          <w:p w14:paraId="7D3DDA1F" w14:textId="3948A38A"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Low &gt; medium &amp; High</w:t>
            </w:r>
          </w:p>
          <w:p w14:paraId="48E5C794" w14:textId="32B6A69F"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medium&gt; High</w:t>
            </w:r>
          </w:p>
        </w:tc>
      </w:tr>
      <w:tr w:rsidR="00C30768" w:rsidRPr="00C30768" w14:paraId="7D14A133" w14:textId="49B10366" w:rsidTr="00C30768">
        <w:trPr>
          <w:trHeight w:val="384"/>
          <w:jc w:val="center"/>
        </w:trPr>
        <w:tc>
          <w:tcPr>
            <w:tcW w:w="1281" w:type="dxa"/>
            <w:vMerge/>
            <w:vAlign w:val="center"/>
          </w:tcPr>
          <w:p w14:paraId="04D9C35D" w14:textId="6BB0E4E9" w:rsidR="00C30768" w:rsidRPr="00C30768" w:rsidRDefault="00C30768" w:rsidP="00C30768">
            <w:pPr>
              <w:spacing w:line="276" w:lineRule="auto"/>
              <w:jc w:val="center"/>
              <w:rPr>
                <w:rFonts w:ascii="Times New Roman" w:eastAsia="Calibri" w:hAnsi="Times New Roman" w:cs="Times New Roman"/>
                <w:b/>
                <w:bCs/>
                <w:sz w:val="20"/>
                <w:szCs w:val="20"/>
              </w:rPr>
            </w:pPr>
          </w:p>
        </w:tc>
        <w:tc>
          <w:tcPr>
            <w:tcW w:w="933" w:type="dxa"/>
            <w:vMerge/>
            <w:vAlign w:val="center"/>
          </w:tcPr>
          <w:p w14:paraId="312867D4" w14:textId="7C4AAC90" w:rsidR="00C30768" w:rsidRPr="00C30768" w:rsidRDefault="00C30768" w:rsidP="00C30768">
            <w:pPr>
              <w:spacing w:line="276" w:lineRule="auto"/>
              <w:jc w:val="center"/>
              <w:rPr>
                <w:rFonts w:ascii="Times New Roman" w:eastAsia="Calibri" w:hAnsi="Times New Roman" w:cs="Times New Roman"/>
                <w:sz w:val="20"/>
                <w:szCs w:val="20"/>
              </w:rPr>
            </w:pPr>
          </w:p>
        </w:tc>
        <w:tc>
          <w:tcPr>
            <w:tcW w:w="1758" w:type="dxa"/>
            <w:vAlign w:val="center"/>
            <w:hideMark/>
          </w:tcPr>
          <w:p w14:paraId="76240DD3" w14:textId="57CAFC22"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Within Groups</w:t>
            </w:r>
          </w:p>
        </w:tc>
        <w:tc>
          <w:tcPr>
            <w:tcW w:w="1204" w:type="dxa"/>
            <w:vAlign w:val="center"/>
          </w:tcPr>
          <w:p w14:paraId="60334160" w14:textId="21378CE1"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1955.98</w:t>
            </w:r>
          </w:p>
        </w:tc>
        <w:tc>
          <w:tcPr>
            <w:tcW w:w="579" w:type="dxa"/>
            <w:vAlign w:val="center"/>
          </w:tcPr>
          <w:p w14:paraId="295FE51B" w14:textId="6B24561F"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117</w:t>
            </w:r>
          </w:p>
        </w:tc>
        <w:tc>
          <w:tcPr>
            <w:tcW w:w="1087" w:type="dxa"/>
            <w:vAlign w:val="center"/>
          </w:tcPr>
          <w:p w14:paraId="5EE4FF7E" w14:textId="6C08E0EA"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16.72</w:t>
            </w:r>
          </w:p>
        </w:tc>
        <w:tc>
          <w:tcPr>
            <w:tcW w:w="855" w:type="dxa"/>
            <w:vMerge/>
            <w:vAlign w:val="center"/>
          </w:tcPr>
          <w:p w14:paraId="122A77F1" w14:textId="2BA96260" w:rsidR="00C30768" w:rsidRPr="00C30768" w:rsidRDefault="00C30768" w:rsidP="00C30768">
            <w:pPr>
              <w:spacing w:line="276" w:lineRule="auto"/>
              <w:jc w:val="center"/>
              <w:rPr>
                <w:rFonts w:ascii="Times New Roman" w:eastAsia="Calibri" w:hAnsi="Times New Roman" w:cs="Times New Roman"/>
                <w:sz w:val="20"/>
                <w:szCs w:val="20"/>
              </w:rPr>
            </w:pPr>
          </w:p>
        </w:tc>
        <w:tc>
          <w:tcPr>
            <w:tcW w:w="1097" w:type="dxa"/>
            <w:vMerge/>
            <w:hideMark/>
          </w:tcPr>
          <w:p w14:paraId="02481300" w14:textId="1C2FCFF9" w:rsidR="00C30768" w:rsidRPr="00C30768" w:rsidRDefault="00C30768" w:rsidP="00C30768">
            <w:pPr>
              <w:spacing w:line="276" w:lineRule="auto"/>
              <w:jc w:val="center"/>
              <w:rPr>
                <w:rFonts w:ascii="Times New Roman" w:eastAsia="Calibri" w:hAnsi="Times New Roman" w:cs="Times New Roman"/>
                <w:sz w:val="20"/>
                <w:szCs w:val="20"/>
              </w:rPr>
            </w:pPr>
          </w:p>
        </w:tc>
        <w:tc>
          <w:tcPr>
            <w:tcW w:w="1286" w:type="dxa"/>
            <w:vMerge/>
            <w:vAlign w:val="center"/>
          </w:tcPr>
          <w:p w14:paraId="220D8E31" w14:textId="714A47CA" w:rsidR="00C30768" w:rsidRPr="00C30768" w:rsidRDefault="00C30768" w:rsidP="00C30768">
            <w:pPr>
              <w:spacing w:line="276" w:lineRule="auto"/>
              <w:jc w:val="center"/>
              <w:rPr>
                <w:rFonts w:ascii="Times New Roman" w:eastAsia="Calibri" w:hAnsi="Times New Roman" w:cs="Times New Roman"/>
                <w:sz w:val="20"/>
                <w:szCs w:val="20"/>
              </w:rPr>
            </w:pPr>
          </w:p>
        </w:tc>
      </w:tr>
      <w:tr w:rsidR="00C30768" w:rsidRPr="00C30768" w14:paraId="1BBAB2E8" w14:textId="6CA015C1" w:rsidTr="00C30768">
        <w:trPr>
          <w:trHeight w:val="324"/>
          <w:jc w:val="center"/>
        </w:trPr>
        <w:tc>
          <w:tcPr>
            <w:tcW w:w="1281" w:type="dxa"/>
            <w:vMerge/>
            <w:vAlign w:val="center"/>
          </w:tcPr>
          <w:p w14:paraId="1B79299A" w14:textId="26DC3301" w:rsidR="00C30768" w:rsidRPr="00C30768" w:rsidRDefault="00C30768" w:rsidP="00C30768">
            <w:pPr>
              <w:spacing w:line="276" w:lineRule="auto"/>
              <w:jc w:val="center"/>
              <w:rPr>
                <w:rFonts w:ascii="Times New Roman" w:eastAsia="Calibri" w:hAnsi="Times New Roman" w:cs="Times New Roman"/>
                <w:b/>
                <w:bCs/>
                <w:sz w:val="20"/>
                <w:szCs w:val="20"/>
              </w:rPr>
            </w:pPr>
          </w:p>
        </w:tc>
        <w:tc>
          <w:tcPr>
            <w:tcW w:w="933" w:type="dxa"/>
            <w:vMerge/>
            <w:vAlign w:val="center"/>
          </w:tcPr>
          <w:p w14:paraId="123DA708" w14:textId="689D63C2" w:rsidR="00C30768" w:rsidRPr="00C30768" w:rsidRDefault="00C30768" w:rsidP="00C30768">
            <w:pPr>
              <w:spacing w:line="276" w:lineRule="auto"/>
              <w:jc w:val="center"/>
              <w:rPr>
                <w:rFonts w:ascii="Times New Roman" w:eastAsia="Calibri" w:hAnsi="Times New Roman" w:cs="Times New Roman"/>
                <w:sz w:val="20"/>
                <w:szCs w:val="20"/>
              </w:rPr>
            </w:pPr>
          </w:p>
        </w:tc>
        <w:tc>
          <w:tcPr>
            <w:tcW w:w="1758" w:type="dxa"/>
            <w:vAlign w:val="center"/>
            <w:hideMark/>
          </w:tcPr>
          <w:p w14:paraId="623D8637" w14:textId="790904BB"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Total</w:t>
            </w:r>
          </w:p>
        </w:tc>
        <w:tc>
          <w:tcPr>
            <w:tcW w:w="1204" w:type="dxa"/>
            <w:vAlign w:val="center"/>
          </w:tcPr>
          <w:p w14:paraId="6D52E18A" w14:textId="6A07726B"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24036.37</w:t>
            </w:r>
          </w:p>
        </w:tc>
        <w:tc>
          <w:tcPr>
            <w:tcW w:w="579" w:type="dxa"/>
            <w:vAlign w:val="center"/>
          </w:tcPr>
          <w:p w14:paraId="1FA36B1D" w14:textId="3ABD4FB5"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119</w:t>
            </w:r>
          </w:p>
        </w:tc>
        <w:tc>
          <w:tcPr>
            <w:tcW w:w="1087" w:type="dxa"/>
            <w:vAlign w:val="center"/>
          </w:tcPr>
          <w:p w14:paraId="5B50F44D" w14:textId="0BA7AE9F" w:rsidR="00C30768" w:rsidRPr="00C30768" w:rsidRDefault="00C30768" w:rsidP="00C30768">
            <w:pPr>
              <w:spacing w:line="276" w:lineRule="auto"/>
              <w:jc w:val="center"/>
              <w:rPr>
                <w:rFonts w:ascii="Times New Roman" w:eastAsia="Calibri" w:hAnsi="Times New Roman" w:cs="Times New Roman"/>
                <w:sz w:val="20"/>
                <w:szCs w:val="20"/>
              </w:rPr>
            </w:pPr>
          </w:p>
        </w:tc>
        <w:tc>
          <w:tcPr>
            <w:tcW w:w="855" w:type="dxa"/>
            <w:vMerge/>
            <w:vAlign w:val="center"/>
          </w:tcPr>
          <w:p w14:paraId="4BB913BA" w14:textId="3AE2B166" w:rsidR="00C30768" w:rsidRPr="00C30768" w:rsidRDefault="00C30768" w:rsidP="00C30768">
            <w:pPr>
              <w:spacing w:line="276" w:lineRule="auto"/>
              <w:jc w:val="center"/>
              <w:rPr>
                <w:rFonts w:ascii="Times New Roman" w:eastAsia="Calibri" w:hAnsi="Times New Roman" w:cs="Times New Roman"/>
                <w:sz w:val="20"/>
                <w:szCs w:val="20"/>
              </w:rPr>
            </w:pPr>
          </w:p>
        </w:tc>
        <w:tc>
          <w:tcPr>
            <w:tcW w:w="1097" w:type="dxa"/>
            <w:vMerge/>
            <w:hideMark/>
          </w:tcPr>
          <w:p w14:paraId="163693AD" w14:textId="25BC7344" w:rsidR="00C30768" w:rsidRPr="00C30768" w:rsidRDefault="00C30768" w:rsidP="00C30768">
            <w:pPr>
              <w:spacing w:line="276" w:lineRule="auto"/>
              <w:jc w:val="center"/>
              <w:rPr>
                <w:rFonts w:ascii="Times New Roman" w:eastAsia="Calibri" w:hAnsi="Times New Roman" w:cs="Times New Roman"/>
                <w:sz w:val="20"/>
                <w:szCs w:val="20"/>
              </w:rPr>
            </w:pPr>
          </w:p>
        </w:tc>
        <w:tc>
          <w:tcPr>
            <w:tcW w:w="1286" w:type="dxa"/>
            <w:vMerge/>
            <w:vAlign w:val="center"/>
          </w:tcPr>
          <w:p w14:paraId="46CC03CD" w14:textId="499ED00B" w:rsidR="00C30768" w:rsidRPr="00C30768" w:rsidRDefault="00C30768" w:rsidP="00C30768">
            <w:pPr>
              <w:spacing w:line="276" w:lineRule="auto"/>
              <w:jc w:val="center"/>
              <w:rPr>
                <w:rFonts w:ascii="Times New Roman" w:eastAsia="Calibri" w:hAnsi="Times New Roman" w:cs="Times New Roman"/>
                <w:sz w:val="20"/>
                <w:szCs w:val="20"/>
              </w:rPr>
            </w:pPr>
          </w:p>
        </w:tc>
      </w:tr>
      <w:tr w:rsidR="00C30768" w:rsidRPr="00C30768" w14:paraId="327B6B5F" w14:textId="6F104E5F" w:rsidTr="00C30768">
        <w:trPr>
          <w:jc w:val="center"/>
        </w:trPr>
        <w:tc>
          <w:tcPr>
            <w:tcW w:w="1281" w:type="dxa"/>
            <w:vMerge/>
          </w:tcPr>
          <w:p w14:paraId="646E232E" w14:textId="546F6C32" w:rsidR="00C30768" w:rsidRPr="00C30768" w:rsidRDefault="00C30768" w:rsidP="00C30768">
            <w:pPr>
              <w:spacing w:line="276" w:lineRule="auto"/>
              <w:jc w:val="center"/>
              <w:rPr>
                <w:rFonts w:ascii="Times New Roman" w:eastAsia="Calibri" w:hAnsi="Times New Roman" w:cs="Times New Roman"/>
                <w:b/>
                <w:bCs/>
                <w:sz w:val="20"/>
                <w:szCs w:val="20"/>
              </w:rPr>
            </w:pPr>
          </w:p>
        </w:tc>
        <w:tc>
          <w:tcPr>
            <w:tcW w:w="933" w:type="dxa"/>
            <w:vMerge w:val="restart"/>
          </w:tcPr>
          <w:p w14:paraId="70487EB0" w14:textId="1B9E5AAC" w:rsidR="00C30768" w:rsidRPr="00C30768" w:rsidRDefault="00C30768" w:rsidP="00C30768">
            <w:pPr>
              <w:spacing w:line="276" w:lineRule="auto"/>
              <w:jc w:val="center"/>
              <w:rPr>
                <w:rFonts w:ascii="Times New Roman" w:eastAsia="Calibri" w:hAnsi="Times New Roman" w:cs="Times New Roman"/>
                <w:sz w:val="20"/>
                <w:szCs w:val="20"/>
                <w:rtl/>
              </w:rPr>
            </w:pPr>
            <w:r w:rsidRPr="00C30768">
              <w:rPr>
                <w:rFonts w:ascii="Times New Roman" w:eastAsia="Calibri" w:hAnsi="Times New Roman" w:cs="Times New Roman"/>
                <w:sz w:val="20"/>
                <w:szCs w:val="20"/>
              </w:rPr>
              <w:t>KP</w:t>
            </w:r>
          </w:p>
        </w:tc>
        <w:tc>
          <w:tcPr>
            <w:tcW w:w="1758" w:type="dxa"/>
            <w:vAlign w:val="center"/>
            <w:hideMark/>
          </w:tcPr>
          <w:p w14:paraId="2831241E" w14:textId="6D7ABBEE"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Between Groups</w:t>
            </w:r>
          </w:p>
        </w:tc>
        <w:tc>
          <w:tcPr>
            <w:tcW w:w="1204" w:type="dxa"/>
            <w:vAlign w:val="center"/>
          </w:tcPr>
          <w:p w14:paraId="0043683F" w14:textId="188897B8"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11882.95</w:t>
            </w:r>
          </w:p>
        </w:tc>
        <w:tc>
          <w:tcPr>
            <w:tcW w:w="579" w:type="dxa"/>
            <w:vAlign w:val="center"/>
          </w:tcPr>
          <w:p w14:paraId="3502E818" w14:textId="4B3123DE"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2</w:t>
            </w:r>
          </w:p>
        </w:tc>
        <w:tc>
          <w:tcPr>
            <w:tcW w:w="1087" w:type="dxa"/>
            <w:vAlign w:val="center"/>
          </w:tcPr>
          <w:p w14:paraId="4B8EA4D4" w14:textId="3739D411"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5941.48</w:t>
            </w:r>
          </w:p>
        </w:tc>
        <w:tc>
          <w:tcPr>
            <w:tcW w:w="855" w:type="dxa"/>
            <w:vMerge w:val="restart"/>
          </w:tcPr>
          <w:p w14:paraId="3A564583" w14:textId="4089508A"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413.89</w:t>
            </w:r>
          </w:p>
        </w:tc>
        <w:tc>
          <w:tcPr>
            <w:tcW w:w="1097" w:type="dxa"/>
            <w:vMerge w:val="restart"/>
            <w:hideMark/>
          </w:tcPr>
          <w:p w14:paraId="1AB58D08" w14:textId="6EE39918"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P &lt; 0.001</w:t>
            </w:r>
          </w:p>
        </w:tc>
        <w:tc>
          <w:tcPr>
            <w:tcW w:w="1286" w:type="dxa"/>
            <w:vMerge w:val="restart"/>
          </w:tcPr>
          <w:p w14:paraId="41F02899" w14:textId="2C751B31"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Low &gt; medium &amp; High</w:t>
            </w:r>
          </w:p>
          <w:p w14:paraId="3552545E" w14:textId="23A0E8D1"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medium&gt; High</w:t>
            </w:r>
          </w:p>
        </w:tc>
      </w:tr>
      <w:tr w:rsidR="00C30768" w:rsidRPr="00C30768" w14:paraId="4BCC72CA" w14:textId="0615BA46" w:rsidTr="00C30768">
        <w:trPr>
          <w:trHeight w:val="432"/>
          <w:jc w:val="center"/>
        </w:trPr>
        <w:tc>
          <w:tcPr>
            <w:tcW w:w="1281" w:type="dxa"/>
            <w:vMerge/>
            <w:vAlign w:val="center"/>
          </w:tcPr>
          <w:p w14:paraId="43D2F174" w14:textId="5F9B9868" w:rsidR="00C30768" w:rsidRPr="00C30768" w:rsidRDefault="00C30768" w:rsidP="00C30768">
            <w:pPr>
              <w:spacing w:line="276" w:lineRule="auto"/>
              <w:jc w:val="center"/>
              <w:rPr>
                <w:rFonts w:ascii="Times New Roman" w:eastAsia="Calibri" w:hAnsi="Times New Roman" w:cs="Times New Roman"/>
                <w:b/>
                <w:bCs/>
                <w:sz w:val="20"/>
                <w:szCs w:val="20"/>
              </w:rPr>
            </w:pPr>
          </w:p>
        </w:tc>
        <w:tc>
          <w:tcPr>
            <w:tcW w:w="933" w:type="dxa"/>
            <w:vMerge/>
            <w:vAlign w:val="center"/>
          </w:tcPr>
          <w:p w14:paraId="0E85D618" w14:textId="6F32BE65" w:rsidR="00C30768" w:rsidRPr="00C30768" w:rsidRDefault="00C30768" w:rsidP="00C30768">
            <w:pPr>
              <w:spacing w:line="276" w:lineRule="auto"/>
              <w:jc w:val="center"/>
              <w:rPr>
                <w:rFonts w:ascii="Times New Roman" w:eastAsia="Calibri" w:hAnsi="Times New Roman" w:cs="Times New Roman"/>
                <w:sz w:val="20"/>
                <w:szCs w:val="20"/>
              </w:rPr>
            </w:pPr>
          </w:p>
        </w:tc>
        <w:tc>
          <w:tcPr>
            <w:tcW w:w="1758" w:type="dxa"/>
            <w:vAlign w:val="center"/>
            <w:hideMark/>
          </w:tcPr>
          <w:p w14:paraId="3F732039" w14:textId="08BF291F"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Within Groups</w:t>
            </w:r>
          </w:p>
        </w:tc>
        <w:tc>
          <w:tcPr>
            <w:tcW w:w="1204" w:type="dxa"/>
            <w:vAlign w:val="center"/>
          </w:tcPr>
          <w:p w14:paraId="3EA80BD1" w14:textId="28994AA0"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1679.55</w:t>
            </w:r>
          </w:p>
        </w:tc>
        <w:tc>
          <w:tcPr>
            <w:tcW w:w="579" w:type="dxa"/>
            <w:vAlign w:val="center"/>
          </w:tcPr>
          <w:p w14:paraId="4FDA13FC" w14:textId="1BD0B717"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117</w:t>
            </w:r>
          </w:p>
        </w:tc>
        <w:tc>
          <w:tcPr>
            <w:tcW w:w="1087" w:type="dxa"/>
            <w:vAlign w:val="center"/>
          </w:tcPr>
          <w:p w14:paraId="7C3D9A30" w14:textId="310CB477"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14.36</w:t>
            </w:r>
          </w:p>
        </w:tc>
        <w:tc>
          <w:tcPr>
            <w:tcW w:w="855" w:type="dxa"/>
            <w:vMerge/>
            <w:vAlign w:val="center"/>
          </w:tcPr>
          <w:p w14:paraId="62511600" w14:textId="4F73FB2B" w:rsidR="00C30768" w:rsidRPr="00C30768" w:rsidRDefault="00C30768" w:rsidP="00C30768">
            <w:pPr>
              <w:spacing w:line="276" w:lineRule="auto"/>
              <w:jc w:val="center"/>
              <w:rPr>
                <w:rFonts w:ascii="Times New Roman" w:eastAsia="Calibri" w:hAnsi="Times New Roman" w:cs="Times New Roman"/>
                <w:sz w:val="20"/>
                <w:szCs w:val="20"/>
              </w:rPr>
            </w:pPr>
          </w:p>
        </w:tc>
        <w:tc>
          <w:tcPr>
            <w:tcW w:w="1097" w:type="dxa"/>
            <w:vMerge/>
            <w:hideMark/>
          </w:tcPr>
          <w:p w14:paraId="5BC5F3DC" w14:textId="2F777478" w:rsidR="00C30768" w:rsidRPr="00C30768" w:rsidRDefault="00C30768" w:rsidP="00C30768">
            <w:pPr>
              <w:spacing w:line="276" w:lineRule="auto"/>
              <w:jc w:val="center"/>
              <w:rPr>
                <w:rFonts w:ascii="Times New Roman" w:eastAsia="Calibri" w:hAnsi="Times New Roman" w:cs="Times New Roman"/>
                <w:sz w:val="20"/>
                <w:szCs w:val="20"/>
              </w:rPr>
            </w:pPr>
          </w:p>
        </w:tc>
        <w:tc>
          <w:tcPr>
            <w:tcW w:w="1286" w:type="dxa"/>
            <w:vMerge/>
            <w:vAlign w:val="center"/>
          </w:tcPr>
          <w:p w14:paraId="54293469" w14:textId="14BBDCE3" w:rsidR="00C30768" w:rsidRPr="00C30768" w:rsidRDefault="00C30768" w:rsidP="00C30768">
            <w:pPr>
              <w:spacing w:line="276" w:lineRule="auto"/>
              <w:jc w:val="center"/>
              <w:rPr>
                <w:rFonts w:ascii="Times New Roman" w:eastAsia="Calibri" w:hAnsi="Times New Roman" w:cs="Times New Roman"/>
                <w:sz w:val="20"/>
                <w:szCs w:val="20"/>
              </w:rPr>
            </w:pPr>
          </w:p>
        </w:tc>
      </w:tr>
      <w:tr w:rsidR="00C30768" w:rsidRPr="00C30768" w14:paraId="34B9D388" w14:textId="1C2B47B2" w:rsidTr="00C30768">
        <w:trPr>
          <w:trHeight w:val="396"/>
          <w:jc w:val="center"/>
        </w:trPr>
        <w:tc>
          <w:tcPr>
            <w:tcW w:w="1281" w:type="dxa"/>
            <w:vMerge/>
            <w:vAlign w:val="center"/>
          </w:tcPr>
          <w:p w14:paraId="7D5C96A1" w14:textId="0A97BFB0" w:rsidR="00C30768" w:rsidRPr="00C30768" w:rsidRDefault="00C30768" w:rsidP="00C30768">
            <w:pPr>
              <w:spacing w:line="276" w:lineRule="auto"/>
              <w:jc w:val="center"/>
              <w:rPr>
                <w:rFonts w:ascii="Times New Roman" w:eastAsia="Calibri" w:hAnsi="Times New Roman" w:cs="Times New Roman"/>
                <w:b/>
                <w:bCs/>
                <w:sz w:val="20"/>
                <w:szCs w:val="20"/>
              </w:rPr>
            </w:pPr>
          </w:p>
        </w:tc>
        <w:tc>
          <w:tcPr>
            <w:tcW w:w="933" w:type="dxa"/>
            <w:vMerge/>
            <w:vAlign w:val="center"/>
          </w:tcPr>
          <w:p w14:paraId="640BAA3A" w14:textId="7AA17583" w:rsidR="00C30768" w:rsidRPr="00C30768" w:rsidRDefault="00C30768" w:rsidP="00C30768">
            <w:pPr>
              <w:spacing w:line="276" w:lineRule="auto"/>
              <w:jc w:val="center"/>
              <w:rPr>
                <w:rFonts w:ascii="Times New Roman" w:eastAsia="Calibri" w:hAnsi="Times New Roman" w:cs="Times New Roman"/>
                <w:sz w:val="20"/>
                <w:szCs w:val="20"/>
              </w:rPr>
            </w:pPr>
          </w:p>
        </w:tc>
        <w:tc>
          <w:tcPr>
            <w:tcW w:w="1758" w:type="dxa"/>
            <w:vAlign w:val="center"/>
            <w:hideMark/>
          </w:tcPr>
          <w:p w14:paraId="2E8E6A22" w14:textId="1F2613BC"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Total</w:t>
            </w:r>
          </w:p>
        </w:tc>
        <w:tc>
          <w:tcPr>
            <w:tcW w:w="1204" w:type="dxa"/>
            <w:vAlign w:val="center"/>
          </w:tcPr>
          <w:p w14:paraId="288A65E2" w14:textId="12CFD191"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13562.50</w:t>
            </w:r>
          </w:p>
        </w:tc>
        <w:tc>
          <w:tcPr>
            <w:tcW w:w="579" w:type="dxa"/>
            <w:vAlign w:val="center"/>
          </w:tcPr>
          <w:p w14:paraId="6073462C" w14:textId="49A758FA"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119</w:t>
            </w:r>
          </w:p>
        </w:tc>
        <w:tc>
          <w:tcPr>
            <w:tcW w:w="1087" w:type="dxa"/>
            <w:vAlign w:val="center"/>
          </w:tcPr>
          <w:p w14:paraId="4157F33B" w14:textId="340D5C97" w:rsidR="00C30768" w:rsidRPr="00C30768" w:rsidRDefault="00C30768" w:rsidP="00C30768">
            <w:pPr>
              <w:spacing w:line="276" w:lineRule="auto"/>
              <w:jc w:val="center"/>
              <w:rPr>
                <w:rFonts w:ascii="Times New Roman" w:eastAsia="Calibri" w:hAnsi="Times New Roman" w:cs="Times New Roman"/>
                <w:sz w:val="20"/>
                <w:szCs w:val="20"/>
              </w:rPr>
            </w:pPr>
          </w:p>
        </w:tc>
        <w:tc>
          <w:tcPr>
            <w:tcW w:w="855" w:type="dxa"/>
            <w:vMerge/>
            <w:vAlign w:val="center"/>
          </w:tcPr>
          <w:p w14:paraId="661AF1D4" w14:textId="7FA5EAAA" w:rsidR="00C30768" w:rsidRPr="00C30768" w:rsidRDefault="00C30768" w:rsidP="00C30768">
            <w:pPr>
              <w:spacing w:line="276" w:lineRule="auto"/>
              <w:jc w:val="center"/>
              <w:rPr>
                <w:rFonts w:ascii="Times New Roman" w:eastAsia="Calibri" w:hAnsi="Times New Roman" w:cs="Times New Roman"/>
                <w:sz w:val="20"/>
                <w:szCs w:val="20"/>
              </w:rPr>
            </w:pPr>
          </w:p>
        </w:tc>
        <w:tc>
          <w:tcPr>
            <w:tcW w:w="1097" w:type="dxa"/>
            <w:vMerge/>
            <w:hideMark/>
          </w:tcPr>
          <w:p w14:paraId="32BC323A" w14:textId="1B28657C" w:rsidR="00C30768" w:rsidRPr="00C30768" w:rsidRDefault="00C30768" w:rsidP="00C30768">
            <w:pPr>
              <w:spacing w:line="276" w:lineRule="auto"/>
              <w:jc w:val="center"/>
              <w:rPr>
                <w:rFonts w:ascii="Times New Roman" w:eastAsia="Calibri" w:hAnsi="Times New Roman" w:cs="Times New Roman"/>
                <w:sz w:val="20"/>
                <w:szCs w:val="20"/>
              </w:rPr>
            </w:pPr>
          </w:p>
        </w:tc>
        <w:tc>
          <w:tcPr>
            <w:tcW w:w="1286" w:type="dxa"/>
            <w:vMerge/>
            <w:vAlign w:val="center"/>
          </w:tcPr>
          <w:p w14:paraId="78DF973C" w14:textId="77CA04E9" w:rsidR="00C30768" w:rsidRPr="00C30768" w:rsidRDefault="00C30768" w:rsidP="00C30768">
            <w:pPr>
              <w:spacing w:line="276" w:lineRule="auto"/>
              <w:jc w:val="center"/>
              <w:rPr>
                <w:rFonts w:ascii="Times New Roman" w:eastAsia="Calibri" w:hAnsi="Times New Roman" w:cs="Times New Roman"/>
                <w:sz w:val="20"/>
                <w:szCs w:val="20"/>
              </w:rPr>
            </w:pPr>
          </w:p>
        </w:tc>
      </w:tr>
      <w:tr w:rsidR="00C30768" w:rsidRPr="00C30768" w14:paraId="011D5214" w14:textId="33B45EB1" w:rsidTr="00C30768">
        <w:trPr>
          <w:jc w:val="center"/>
        </w:trPr>
        <w:tc>
          <w:tcPr>
            <w:tcW w:w="1281" w:type="dxa"/>
            <w:vMerge/>
          </w:tcPr>
          <w:p w14:paraId="57F4D043" w14:textId="436A449E" w:rsidR="00C30768" w:rsidRPr="00C30768" w:rsidRDefault="00C30768" w:rsidP="00C30768">
            <w:pPr>
              <w:spacing w:line="276" w:lineRule="auto"/>
              <w:jc w:val="center"/>
              <w:rPr>
                <w:rFonts w:ascii="Times New Roman" w:eastAsia="Calibri" w:hAnsi="Times New Roman" w:cs="Times New Roman"/>
                <w:b/>
                <w:bCs/>
                <w:sz w:val="20"/>
                <w:szCs w:val="20"/>
              </w:rPr>
            </w:pPr>
          </w:p>
        </w:tc>
        <w:tc>
          <w:tcPr>
            <w:tcW w:w="933" w:type="dxa"/>
            <w:vMerge w:val="restart"/>
          </w:tcPr>
          <w:p w14:paraId="65E67B98" w14:textId="5ED729C7"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MTS.tot</w:t>
            </w:r>
          </w:p>
        </w:tc>
        <w:tc>
          <w:tcPr>
            <w:tcW w:w="1758" w:type="dxa"/>
            <w:vAlign w:val="center"/>
            <w:hideMark/>
          </w:tcPr>
          <w:p w14:paraId="56206D94" w14:textId="7F6AA2F6"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Between Groups</w:t>
            </w:r>
          </w:p>
        </w:tc>
        <w:tc>
          <w:tcPr>
            <w:tcW w:w="1204" w:type="dxa"/>
            <w:vAlign w:val="center"/>
          </w:tcPr>
          <w:p w14:paraId="3518AE2B" w14:textId="38FAB83F"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110477.13</w:t>
            </w:r>
          </w:p>
        </w:tc>
        <w:tc>
          <w:tcPr>
            <w:tcW w:w="579" w:type="dxa"/>
            <w:vAlign w:val="center"/>
          </w:tcPr>
          <w:p w14:paraId="0EDE7493" w14:textId="057B0C8D"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2</w:t>
            </w:r>
          </w:p>
        </w:tc>
        <w:tc>
          <w:tcPr>
            <w:tcW w:w="1087" w:type="dxa"/>
            <w:vAlign w:val="center"/>
          </w:tcPr>
          <w:p w14:paraId="072AF3C9" w14:textId="5C9D3185"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55238.56</w:t>
            </w:r>
          </w:p>
        </w:tc>
        <w:tc>
          <w:tcPr>
            <w:tcW w:w="855" w:type="dxa"/>
            <w:vMerge w:val="restart"/>
          </w:tcPr>
          <w:p w14:paraId="15D72B55" w14:textId="1581B348"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554.92</w:t>
            </w:r>
          </w:p>
        </w:tc>
        <w:tc>
          <w:tcPr>
            <w:tcW w:w="1097" w:type="dxa"/>
            <w:vMerge w:val="restart"/>
            <w:vAlign w:val="center"/>
            <w:hideMark/>
          </w:tcPr>
          <w:p w14:paraId="7AA61007" w14:textId="2BC77D37"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P &lt; 0.001</w:t>
            </w:r>
          </w:p>
        </w:tc>
        <w:tc>
          <w:tcPr>
            <w:tcW w:w="1286" w:type="dxa"/>
            <w:vMerge w:val="restart"/>
          </w:tcPr>
          <w:p w14:paraId="4FC1C691" w14:textId="1F1B7954"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Low &gt; medium &amp; High</w:t>
            </w:r>
          </w:p>
          <w:p w14:paraId="57EB836A" w14:textId="7C0A56E4"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medium&gt; High</w:t>
            </w:r>
          </w:p>
        </w:tc>
      </w:tr>
      <w:tr w:rsidR="00C30768" w:rsidRPr="00C30768" w14:paraId="4DFBA860" w14:textId="6842C8BE" w:rsidTr="00C30768">
        <w:trPr>
          <w:trHeight w:val="489"/>
          <w:jc w:val="center"/>
        </w:trPr>
        <w:tc>
          <w:tcPr>
            <w:tcW w:w="1281" w:type="dxa"/>
            <w:vMerge/>
            <w:vAlign w:val="center"/>
          </w:tcPr>
          <w:p w14:paraId="5CE27133" w14:textId="29A17B80" w:rsidR="00C30768" w:rsidRPr="00C30768" w:rsidRDefault="00C30768" w:rsidP="00C30768">
            <w:pPr>
              <w:spacing w:line="276" w:lineRule="auto"/>
              <w:jc w:val="center"/>
              <w:rPr>
                <w:rFonts w:ascii="Times New Roman" w:eastAsia="Calibri" w:hAnsi="Times New Roman" w:cs="Times New Roman"/>
                <w:b/>
                <w:bCs/>
                <w:sz w:val="20"/>
                <w:szCs w:val="20"/>
              </w:rPr>
            </w:pPr>
          </w:p>
        </w:tc>
        <w:tc>
          <w:tcPr>
            <w:tcW w:w="933" w:type="dxa"/>
            <w:vMerge/>
            <w:vAlign w:val="center"/>
          </w:tcPr>
          <w:p w14:paraId="761DAA9C" w14:textId="330BB71E" w:rsidR="00C30768" w:rsidRPr="00C30768" w:rsidRDefault="00C30768" w:rsidP="00C30768">
            <w:pPr>
              <w:spacing w:line="276" w:lineRule="auto"/>
              <w:jc w:val="center"/>
              <w:rPr>
                <w:rFonts w:ascii="Times New Roman" w:eastAsia="Calibri" w:hAnsi="Times New Roman" w:cs="Times New Roman"/>
                <w:b/>
                <w:bCs/>
                <w:sz w:val="20"/>
                <w:szCs w:val="20"/>
              </w:rPr>
            </w:pPr>
          </w:p>
        </w:tc>
        <w:tc>
          <w:tcPr>
            <w:tcW w:w="1758" w:type="dxa"/>
            <w:vAlign w:val="center"/>
            <w:hideMark/>
          </w:tcPr>
          <w:p w14:paraId="6B271C5A" w14:textId="637CB6AA"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Within Groups</w:t>
            </w:r>
          </w:p>
        </w:tc>
        <w:tc>
          <w:tcPr>
            <w:tcW w:w="1204" w:type="dxa"/>
            <w:vAlign w:val="center"/>
          </w:tcPr>
          <w:p w14:paraId="5677A84C" w14:textId="42787D83"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11646.66</w:t>
            </w:r>
          </w:p>
        </w:tc>
        <w:tc>
          <w:tcPr>
            <w:tcW w:w="579" w:type="dxa"/>
            <w:vAlign w:val="center"/>
          </w:tcPr>
          <w:p w14:paraId="47805256" w14:textId="2373D7B1"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117</w:t>
            </w:r>
          </w:p>
        </w:tc>
        <w:tc>
          <w:tcPr>
            <w:tcW w:w="1087" w:type="dxa"/>
            <w:vAlign w:val="center"/>
          </w:tcPr>
          <w:p w14:paraId="20E38835" w14:textId="2E26779F"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99.54</w:t>
            </w:r>
          </w:p>
        </w:tc>
        <w:tc>
          <w:tcPr>
            <w:tcW w:w="855" w:type="dxa"/>
            <w:vMerge/>
            <w:vAlign w:val="center"/>
          </w:tcPr>
          <w:p w14:paraId="53ED205C" w14:textId="14C7CBD5" w:rsidR="00C30768" w:rsidRPr="00C30768" w:rsidRDefault="00C30768" w:rsidP="00C30768">
            <w:pPr>
              <w:rPr>
                <w:rFonts w:ascii="Times New Roman" w:eastAsia="Calibri" w:hAnsi="Times New Roman" w:cs="Times New Roman"/>
                <w:sz w:val="28"/>
                <w:szCs w:val="28"/>
                <w:lang w:bidi="ar-EG"/>
              </w:rPr>
            </w:pPr>
          </w:p>
        </w:tc>
        <w:tc>
          <w:tcPr>
            <w:tcW w:w="1097" w:type="dxa"/>
            <w:vMerge/>
            <w:vAlign w:val="center"/>
            <w:hideMark/>
          </w:tcPr>
          <w:p w14:paraId="4AFF51B9" w14:textId="4FE35F47" w:rsidR="00C30768" w:rsidRPr="00C30768" w:rsidRDefault="00C30768" w:rsidP="00C30768">
            <w:pPr>
              <w:rPr>
                <w:rFonts w:ascii="Times New Roman" w:eastAsia="Calibri" w:hAnsi="Times New Roman" w:cs="Times New Roman"/>
                <w:sz w:val="28"/>
                <w:szCs w:val="28"/>
                <w:lang w:bidi="ar-EG"/>
              </w:rPr>
            </w:pPr>
          </w:p>
        </w:tc>
        <w:tc>
          <w:tcPr>
            <w:tcW w:w="1286" w:type="dxa"/>
            <w:vMerge/>
            <w:vAlign w:val="center"/>
          </w:tcPr>
          <w:p w14:paraId="3FEEFA0D" w14:textId="60CB09C6" w:rsidR="00C30768" w:rsidRPr="00C30768" w:rsidRDefault="00C30768" w:rsidP="00C30768">
            <w:pPr>
              <w:rPr>
                <w:rFonts w:ascii="Times New Roman" w:eastAsia="Calibri" w:hAnsi="Times New Roman" w:cs="Times New Roman"/>
                <w:sz w:val="28"/>
                <w:szCs w:val="28"/>
              </w:rPr>
            </w:pPr>
          </w:p>
        </w:tc>
      </w:tr>
      <w:tr w:rsidR="00C30768" w:rsidRPr="00C30768" w14:paraId="55208FB4" w14:textId="6EB14DBF" w:rsidTr="00C30768">
        <w:trPr>
          <w:trHeight w:val="180"/>
          <w:jc w:val="center"/>
        </w:trPr>
        <w:tc>
          <w:tcPr>
            <w:tcW w:w="1281" w:type="dxa"/>
            <w:vMerge/>
            <w:vAlign w:val="center"/>
          </w:tcPr>
          <w:p w14:paraId="4A775B0B" w14:textId="651C1CBA" w:rsidR="00C30768" w:rsidRPr="00C30768" w:rsidRDefault="00C30768" w:rsidP="00C30768">
            <w:pPr>
              <w:spacing w:line="276" w:lineRule="auto"/>
              <w:jc w:val="center"/>
              <w:rPr>
                <w:rFonts w:ascii="Times New Roman" w:eastAsia="Calibri" w:hAnsi="Times New Roman" w:cs="Times New Roman"/>
                <w:b/>
                <w:bCs/>
                <w:sz w:val="20"/>
                <w:szCs w:val="20"/>
              </w:rPr>
            </w:pPr>
          </w:p>
        </w:tc>
        <w:tc>
          <w:tcPr>
            <w:tcW w:w="933" w:type="dxa"/>
            <w:vMerge/>
            <w:vAlign w:val="center"/>
          </w:tcPr>
          <w:p w14:paraId="5FEC8B9D" w14:textId="02870781" w:rsidR="00C30768" w:rsidRPr="00C30768" w:rsidRDefault="00C30768" w:rsidP="00C30768">
            <w:pPr>
              <w:spacing w:line="276" w:lineRule="auto"/>
              <w:jc w:val="center"/>
              <w:rPr>
                <w:rFonts w:ascii="Times New Roman" w:eastAsia="Calibri" w:hAnsi="Times New Roman" w:cs="Times New Roman"/>
                <w:b/>
                <w:bCs/>
                <w:sz w:val="20"/>
                <w:szCs w:val="20"/>
              </w:rPr>
            </w:pPr>
          </w:p>
        </w:tc>
        <w:tc>
          <w:tcPr>
            <w:tcW w:w="1758" w:type="dxa"/>
            <w:vAlign w:val="center"/>
            <w:hideMark/>
          </w:tcPr>
          <w:p w14:paraId="10B4DEFA" w14:textId="1137A3FA" w:rsidR="00C30768" w:rsidRPr="00C30768" w:rsidRDefault="00C30768" w:rsidP="00C30768">
            <w:pPr>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Total</w:t>
            </w:r>
          </w:p>
        </w:tc>
        <w:tc>
          <w:tcPr>
            <w:tcW w:w="1204" w:type="dxa"/>
            <w:vAlign w:val="center"/>
          </w:tcPr>
          <w:p w14:paraId="05DAE79A" w14:textId="1E9A6592"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122123.79</w:t>
            </w:r>
          </w:p>
        </w:tc>
        <w:tc>
          <w:tcPr>
            <w:tcW w:w="579" w:type="dxa"/>
            <w:vAlign w:val="center"/>
          </w:tcPr>
          <w:p w14:paraId="39F3BD10" w14:textId="243761EA"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119</w:t>
            </w:r>
          </w:p>
        </w:tc>
        <w:tc>
          <w:tcPr>
            <w:tcW w:w="1087" w:type="dxa"/>
            <w:vAlign w:val="center"/>
          </w:tcPr>
          <w:p w14:paraId="56A8D88A" w14:textId="7BB4199B" w:rsidR="00C30768" w:rsidRPr="00C30768" w:rsidRDefault="00C30768" w:rsidP="00C30768">
            <w:pPr>
              <w:spacing w:line="276" w:lineRule="auto"/>
              <w:jc w:val="center"/>
              <w:rPr>
                <w:rFonts w:ascii="Times New Roman" w:eastAsia="Calibri" w:hAnsi="Times New Roman" w:cs="Times New Roman"/>
                <w:sz w:val="20"/>
                <w:szCs w:val="20"/>
              </w:rPr>
            </w:pPr>
          </w:p>
        </w:tc>
        <w:tc>
          <w:tcPr>
            <w:tcW w:w="855" w:type="dxa"/>
            <w:vMerge/>
            <w:vAlign w:val="center"/>
          </w:tcPr>
          <w:p w14:paraId="26881C26" w14:textId="47475A13" w:rsidR="00C30768" w:rsidRPr="00C30768" w:rsidRDefault="00C30768" w:rsidP="00C30768">
            <w:pPr>
              <w:rPr>
                <w:rFonts w:ascii="Times New Roman" w:eastAsia="Calibri" w:hAnsi="Times New Roman" w:cs="Times New Roman"/>
                <w:sz w:val="28"/>
                <w:szCs w:val="28"/>
                <w:lang w:bidi="ar-EG"/>
              </w:rPr>
            </w:pPr>
          </w:p>
        </w:tc>
        <w:tc>
          <w:tcPr>
            <w:tcW w:w="1097" w:type="dxa"/>
            <w:vMerge/>
            <w:vAlign w:val="center"/>
            <w:hideMark/>
          </w:tcPr>
          <w:p w14:paraId="4EAC9480" w14:textId="17577408" w:rsidR="00C30768" w:rsidRPr="00C30768" w:rsidRDefault="00C30768" w:rsidP="00C30768">
            <w:pPr>
              <w:rPr>
                <w:rFonts w:ascii="Times New Roman" w:eastAsia="Calibri" w:hAnsi="Times New Roman" w:cs="Times New Roman"/>
                <w:sz w:val="28"/>
                <w:szCs w:val="28"/>
                <w:lang w:bidi="ar-EG"/>
              </w:rPr>
            </w:pPr>
          </w:p>
        </w:tc>
        <w:tc>
          <w:tcPr>
            <w:tcW w:w="1286" w:type="dxa"/>
            <w:vMerge/>
            <w:vAlign w:val="center"/>
          </w:tcPr>
          <w:p w14:paraId="4DC9E344" w14:textId="110B0451" w:rsidR="00C30768" w:rsidRPr="00C30768" w:rsidRDefault="00C30768" w:rsidP="00C30768">
            <w:pPr>
              <w:rPr>
                <w:rFonts w:ascii="Times New Roman" w:eastAsia="Calibri" w:hAnsi="Times New Roman" w:cs="Times New Roman"/>
                <w:sz w:val="28"/>
                <w:szCs w:val="28"/>
              </w:rPr>
            </w:pPr>
          </w:p>
        </w:tc>
      </w:tr>
    </w:tbl>
    <w:p w14:paraId="5D35CAB9" w14:textId="2119E761" w:rsidR="00C30768" w:rsidRPr="00C30768" w:rsidRDefault="00C30768" w:rsidP="005F63C8">
      <w:pPr>
        <w:spacing w:before="240" w:line="276" w:lineRule="auto"/>
        <w:ind w:firstLine="360"/>
        <w:jc w:val="center"/>
        <w:rPr>
          <w:rFonts w:ascii="Times New Roman" w:hAnsi="Times New Roman" w:cs="Times New Roman"/>
          <w:i/>
          <w:iCs/>
          <w:color w:val="000000" w:themeColor="text1"/>
        </w:rPr>
      </w:pPr>
      <w:r w:rsidRPr="003D049A">
        <w:rPr>
          <w:rFonts w:ascii="Times New Roman" w:hAnsi="Times New Roman" w:cs="Times New Roman"/>
          <w:i/>
          <w:iCs/>
          <w:color w:val="000000" w:themeColor="text1"/>
        </w:rPr>
        <w:t xml:space="preserve">Table 9.  Analysis of the </w:t>
      </w:r>
      <w:r w:rsidR="005F63C8" w:rsidRPr="003D049A">
        <w:rPr>
          <w:rFonts w:ascii="Times New Roman" w:hAnsi="Times New Roman" w:cs="Times New Roman"/>
          <w:i/>
          <w:iCs/>
          <w:color w:val="000000" w:themeColor="text1"/>
        </w:rPr>
        <w:t xml:space="preserve">Differences </w:t>
      </w:r>
      <w:r w:rsidRPr="003D049A">
        <w:rPr>
          <w:rFonts w:ascii="Times New Roman" w:hAnsi="Times New Roman" w:cs="Times New Roman"/>
          <w:i/>
          <w:iCs/>
          <w:color w:val="000000" w:themeColor="text1"/>
        </w:rPr>
        <w:t xml:space="preserve">between </w:t>
      </w:r>
      <w:r w:rsidR="005F63C8" w:rsidRPr="003D049A">
        <w:rPr>
          <w:rFonts w:ascii="Times New Roman" w:hAnsi="Times New Roman" w:cs="Times New Roman"/>
          <w:i/>
          <w:iCs/>
          <w:color w:val="000000" w:themeColor="text1"/>
        </w:rPr>
        <w:t xml:space="preserve">Metacognition Thinking Skills </w:t>
      </w:r>
      <w:r w:rsidRPr="003D049A">
        <w:rPr>
          <w:rFonts w:ascii="Times New Roman" w:hAnsi="Times New Roman" w:cs="Times New Roman"/>
          <w:i/>
          <w:iCs/>
          <w:color w:val="000000" w:themeColor="text1"/>
        </w:rPr>
        <w:t xml:space="preserve">via </w:t>
      </w:r>
      <w:r w:rsidR="005F63C8" w:rsidRPr="003D049A">
        <w:rPr>
          <w:rFonts w:ascii="Times New Roman" w:hAnsi="Times New Roman" w:cs="Times New Roman"/>
          <w:i/>
          <w:iCs/>
          <w:color w:val="000000" w:themeColor="text1"/>
        </w:rPr>
        <w:t>One</w:t>
      </w:r>
      <w:r w:rsidRPr="003D049A">
        <w:rPr>
          <w:rFonts w:ascii="Times New Roman" w:hAnsi="Times New Roman" w:cs="Times New Roman"/>
          <w:i/>
          <w:iCs/>
          <w:color w:val="000000" w:themeColor="text1"/>
        </w:rPr>
        <w:t>-</w:t>
      </w:r>
      <w:r w:rsidR="005F63C8" w:rsidRPr="003D049A">
        <w:rPr>
          <w:rFonts w:ascii="Times New Roman" w:hAnsi="Times New Roman" w:cs="Times New Roman"/>
          <w:i/>
          <w:iCs/>
          <w:color w:val="000000" w:themeColor="text1"/>
        </w:rPr>
        <w:t xml:space="preserve">Way </w:t>
      </w:r>
      <w:r w:rsidRPr="003D049A">
        <w:rPr>
          <w:rFonts w:ascii="Times New Roman" w:hAnsi="Times New Roman" w:cs="Times New Roman"/>
          <w:i/>
          <w:iCs/>
          <w:color w:val="000000" w:themeColor="text1"/>
        </w:rPr>
        <w:t xml:space="preserve">ANOVA according to the </w:t>
      </w:r>
      <w:r w:rsidR="005F63C8" w:rsidRPr="003D049A">
        <w:rPr>
          <w:rFonts w:ascii="Times New Roman" w:hAnsi="Times New Roman" w:cs="Times New Roman"/>
          <w:i/>
          <w:iCs/>
          <w:color w:val="000000" w:themeColor="text1"/>
        </w:rPr>
        <w:t xml:space="preserve">Externally Oriented Thinking </w:t>
      </w:r>
      <w:r w:rsidRPr="003D049A">
        <w:rPr>
          <w:rFonts w:ascii="Times New Roman" w:hAnsi="Times New Roman" w:cs="Times New Roman"/>
          <w:i/>
          <w:iCs/>
          <w:color w:val="000000" w:themeColor="text1"/>
        </w:rPr>
        <w:t xml:space="preserve">(EOT) </w:t>
      </w:r>
      <w:r w:rsidR="005F63C8" w:rsidRPr="003D049A">
        <w:rPr>
          <w:rFonts w:ascii="Times New Roman" w:hAnsi="Times New Roman" w:cs="Times New Roman"/>
          <w:i/>
          <w:iCs/>
          <w:color w:val="000000" w:themeColor="text1"/>
        </w:rPr>
        <w:t>Levels</w:t>
      </w:r>
    </w:p>
    <w:tbl>
      <w:tblPr>
        <w:tblW w:w="10228"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290"/>
        <w:gridCol w:w="933"/>
        <w:gridCol w:w="1741"/>
        <w:gridCol w:w="1206"/>
        <w:gridCol w:w="581"/>
        <w:gridCol w:w="1090"/>
        <w:gridCol w:w="857"/>
        <w:gridCol w:w="1153"/>
        <w:gridCol w:w="1377"/>
      </w:tblGrid>
      <w:tr w:rsidR="00C30768" w:rsidRPr="00C30768" w14:paraId="7DFC2366" w14:textId="1402B5C5" w:rsidTr="00C30768">
        <w:trPr>
          <w:jc w:val="center"/>
        </w:trPr>
        <w:tc>
          <w:tcPr>
            <w:tcW w:w="1290" w:type="dxa"/>
            <w:vAlign w:val="center"/>
            <w:hideMark/>
          </w:tcPr>
          <w:p w14:paraId="73AF0F58" w14:textId="79CE2D55" w:rsidR="00C30768" w:rsidRPr="00C30768" w:rsidRDefault="00C30768" w:rsidP="00C30768">
            <w:pPr>
              <w:bidi/>
              <w:spacing w:line="276" w:lineRule="auto"/>
              <w:jc w:val="center"/>
              <w:rPr>
                <w:rFonts w:ascii="Times New Roman" w:eastAsia="Calibri" w:hAnsi="Times New Roman" w:cs="Times New Roman"/>
                <w:b/>
                <w:bCs/>
                <w:sz w:val="20"/>
                <w:szCs w:val="20"/>
              </w:rPr>
            </w:pPr>
            <w:r w:rsidRPr="00C30768">
              <w:rPr>
                <w:rFonts w:ascii="Times New Roman" w:eastAsia="Calibri" w:hAnsi="Times New Roman" w:cs="Times New Roman"/>
                <w:b/>
                <w:bCs/>
                <w:sz w:val="20"/>
                <w:szCs w:val="20"/>
              </w:rPr>
              <w:t>Main Variable</w:t>
            </w:r>
          </w:p>
        </w:tc>
        <w:tc>
          <w:tcPr>
            <w:tcW w:w="933" w:type="dxa"/>
            <w:vAlign w:val="center"/>
            <w:hideMark/>
          </w:tcPr>
          <w:p w14:paraId="1DEC91A4" w14:textId="75ADFF73" w:rsidR="00C30768" w:rsidRPr="00C30768" w:rsidRDefault="00C30768" w:rsidP="00C30768">
            <w:pPr>
              <w:bidi/>
              <w:jc w:val="center"/>
              <w:rPr>
                <w:rFonts w:ascii="Times New Roman" w:eastAsia="Calibri" w:hAnsi="Times New Roman" w:cs="Times New Roman"/>
                <w:b/>
                <w:bCs/>
                <w:sz w:val="20"/>
                <w:szCs w:val="20"/>
              </w:rPr>
            </w:pPr>
          </w:p>
        </w:tc>
        <w:tc>
          <w:tcPr>
            <w:tcW w:w="1741" w:type="dxa"/>
            <w:vAlign w:val="center"/>
          </w:tcPr>
          <w:p w14:paraId="179BFEFF" w14:textId="2F2DDC6F" w:rsidR="00C30768" w:rsidRPr="00C30768" w:rsidRDefault="00C30768" w:rsidP="00C30768">
            <w:pPr>
              <w:bidi/>
              <w:jc w:val="center"/>
              <w:rPr>
                <w:rFonts w:ascii="Times New Roman" w:eastAsia="Calibri" w:hAnsi="Times New Roman" w:cs="Times New Roman"/>
                <w:b/>
                <w:bCs/>
                <w:sz w:val="20"/>
                <w:szCs w:val="20"/>
              </w:rPr>
            </w:pPr>
          </w:p>
        </w:tc>
        <w:tc>
          <w:tcPr>
            <w:tcW w:w="1206" w:type="dxa"/>
            <w:vAlign w:val="center"/>
            <w:hideMark/>
          </w:tcPr>
          <w:p w14:paraId="56923BE0" w14:textId="0D6E5955" w:rsidR="00C30768" w:rsidRPr="00C30768" w:rsidRDefault="00C30768" w:rsidP="00C30768">
            <w:pPr>
              <w:bidi/>
              <w:jc w:val="center"/>
              <w:rPr>
                <w:rFonts w:ascii="Times New Roman" w:eastAsia="Calibri" w:hAnsi="Times New Roman" w:cs="Times New Roman"/>
                <w:b/>
                <w:bCs/>
                <w:sz w:val="20"/>
                <w:szCs w:val="20"/>
              </w:rPr>
            </w:pPr>
            <w:r w:rsidRPr="00C30768">
              <w:rPr>
                <w:rFonts w:ascii="Times New Roman" w:eastAsia="Calibri" w:hAnsi="Times New Roman" w:cs="Times New Roman"/>
                <w:b/>
                <w:bCs/>
                <w:sz w:val="20"/>
                <w:szCs w:val="20"/>
              </w:rPr>
              <w:t>Sum of Squares</w:t>
            </w:r>
          </w:p>
        </w:tc>
        <w:tc>
          <w:tcPr>
            <w:tcW w:w="581" w:type="dxa"/>
            <w:vAlign w:val="center"/>
            <w:hideMark/>
          </w:tcPr>
          <w:p w14:paraId="430FE5E7" w14:textId="5D65BE89" w:rsidR="00C30768" w:rsidRPr="00C30768" w:rsidRDefault="00C30768" w:rsidP="00C30768">
            <w:pPr>
              <w:bidi/>
              <w:jc w:val="center"/>
              <w:rPr>
                <w:rFonts w:ascii="Times New Roman" w:eastAsia="Calibri" w:hAnsi="Times New Roman" w:cs="Times New Roman"/>
                <w:b/>
                <w:bCs/>
                <w:sz w:val="20"/>
                <w:szCs w:val="20"/>
              </w:rPr>
            </w:pPr>
            <w:r w:rsidRPr="00C30768">
              <w:rPr>
                <w:rFonts w:ascii="Times New Roman" w:eastAsia="Calibri" w:hAnsi="Times New Roman" w:cs="Times New Roman"/>
                <w:b/>
                <w:bCs/>
                <w:sz w:val="20"/>
                <w:szCs w:val="20"/>
              </w:rPr>
              <w:t>d.f</w:t>
            </w:r>
          </w:p>
        </w:tc>
        <w:tc>
          <w:tcPr>
            <w:tcW w:w="1090" w:type="dxa"/>
            <w:vAlign w:val="center"/>
            <w:hideMark/>
          </w:tcPr>
          <w:p w14:paraId="53F3AD7A" w14:textId="234B7180" w:rsidR="00C30768" w:rsidRPr="00C30768" w:rsidRDefault="00C30768" w:rsidP="00C30768">
            <w:pPr>
              <w:bidi/>
              <w:jc w:val="center"/>
              <w:rPr>
                <w:rFonts w:ascii="Times New Roman" w:eastAsia="Calibri" w:hAnsi="Times New Roman" w:cs="Times New Roman"/>
                <w:b/>
                <w:bCs/>
                <w:sz w:val="20"/>
                <w:szCs w:val="20"/>
              </w:rPr>
            </w:pPr>
            <w:r w:rsidRPr="00C30768">
              <w:rPr>
                <w:rFonts w:ascii="Times New Roman" w:eastAsia="Calibri" w:hAnsi="Times New Roman" w:cs="Times New Roman"/>
                <w:b/>
                <w:bCs/>
                <w:sz w:val="20"/>
                <w:szCs w:val="20"/>
              </w:rPr>
              <w:t>Mean Square</w:t>
            </w:r>
          </w:p>
        </w:tc>
        <w:tc>
          <w:tcPr>
            <w:tcW w:w="857" w:type="dxa"/>
            <w:vAlign w:val="center"/>
            <w:hideMark/>
          </w:tcPr>
          <w:p w14:paraId="46530400" w14:textId="204E0C46" w:rsidR="00C30768" w:rsidRPr="00C30768" w:rsidRDefault="00C30768" w:rsidP="00C30768">
            <w:pPr>
              <w:bidi/>
              <w:spacing w:line="276" w:lineRule="auto"/>
              <w:jc w:val="center"/>
              <w:rPr>
                <w:rFonts w:ascii="Times New Roman" w:eastAsia="Calibri" w:hAnsi="Times New Roman" w:cs="Times New Roman"/>
                <w:b/>
                <w:bCs/>
                <w:sz w:val="20"/>
                <w:szCs w:val="20"/>
              </w:rPr>
            </w:pPr>
            <w:r w:rsidRPr="00C30768">
              <w:rPr>
                <w:rFonts w:ascii="Times New Roman" w:eastAsia="Calibri" w:hAnsi="Times New Roman" w:cs="Times New Roman"/>
                <w:b/>
                <w:bCs/>
                <w:sz w:val="20"/>
                <w:szCs w:val="20"/>
              </w:rPr>
              <w:t>F</w:t>
            </w:r>
          </w:p>
        </w:tc>
        <w:tc>
          <w:tcPr>
            <w:tcW w:w="1153" w:type="dxa"/>
            <w:vAlign w:val="center"/>
            <w:hideMark/>
          </w:tcPr>
          <w:p w14:paraId="79CD564D" w14:textId="6D39ABEC" w:rsidR="00C30768" w:rsidRPr="00C30768" w:rsidRDefault="00C30768" w:rsidP="00C30768">
            <w:pPr>
              <w:bidi/>
              <w:spacing w:line="276" w:lineRule="auto"/>
              <w:jc w:val="center"/>
              <w:rPr>
                <w:rFonts w:ascii="Times New Roman" w:eastAsia="Calibri" w:hAnsi="Times New Roman" w:cs="Times New Roman"/>
                <w:b/>
                <w:bCs/>
                <w:sz w:val="20"/>
                <w:szCs w:val="20"/>
              </w:rPr>
            </w:pPr>
            <w:r w:rsidRPr="00C30768">
              <w:rPr>
                <w:rFonts w:ascii="Times New Roman" w:eastAsia="Calibri" w:hAnsi="Times New Roman" w:cs="Times New Roman"/>
                <w:b/>
                <w:bCs/>
                <w:sz w:val="20"/>
                <w:szCs w:val="20"/>
              </w:rPr>
              <w:t>Sig</w:t>
            </w:r>
          </w:p>
        </w:tc>
        <w:tc>
          <w:tcPr>
            <w:tcW w:w="1377" w:type="dxa"/>
            <w:vAlign w:val="center"/>
            <w:hideMark/>
          </w:tcPr>
          <w:p w14:paraId="5574D42A" w14:textId="58857C69" w:rsidR="00C30768" w:rsidRPr="00C30768" w:rsidRDefault="00C30768" w:rsidP="00C30768">
            <w:pPr>
              <w:bidi/>
              <w:spacing w:line="276" w:lineRule="auto"/>
              <w:jc w:val="center"/>
              <w:rPr>
                <w:rFonts w:ascii="Times New Roman" w:eastAsia="Calibri" w:hAnsi="Times New Roman" w:cs="Times New Roman"/>
                <w:b/>
                <w:bCs/>
                <w:sz w:val="20"/>
                <w:szCs w:val="20"/>
              </w:rPr>
            </w:pPr>
            <w:r w:rsidRPr="00C30768">
              <w:rPr>
                <w:rFonts w:ascii="Times New Roman" w:eastAsia="Calibri" w:hAnsi="Times New Roman" w:cs="Times New Roman"/>
                <w:b/>
                <w:bCs/>
                <w:sz w:val="20"/>
                <w:szCs w:val="20"/>
              </w:rPr>
              <w:t>Post hoc Scheffee test</w:t>
            </w:r>
          </w:p>
        </w:tc>
      </w:tr>
      <w:tr w:rsidR="00C30768" w:rsidRPr="00C30768" w14:paraId="6F5E3B1D" w14:textId="0C1D28AF" w:rsidTr="00C30768">
        <w:trPr>
          <w:trHeight w:val="404"/>
          <w:jc w:val="center"/>
        </w:trPr>
        <w:tc>
          <w:tcPr>
            <w:tcW w:w="1290" w:type="dxa"/>
            <w:vMerge w:val="restart"/>
            <w:hideMark/>
          </w:tcPr>
          <w:p w14:paraId="4CE6FF95" w14:textId="4703F014"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externally oriented thinking (EOT)</w:t>
            </w:r>
          </w:p>
        </w:tc>
        <w:tc>
          <w:tcPr>
            <w:tcW w:w="933" w:type="dxa"/>
            <w:vMerge w:val="restart"/>
          </w:tcPr>
          <w:p w14:paraId="54E7D6F6" w14:textId="7D1DFADD"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KoC</w:t>
            </w:r>
          </w:p>
        </w:tc>
        <w:tc>
          <w:tcPr>
            <w:tcW w:w="1741" w:type="dxa"/>
            <w:vAlign w:val="center"/>
            <w:hideMark/>
          </w:tcPr>
          <w:p w14:paraId="5D2E816B" w14:textId="022DFB0E"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Between Groups</w:t>
            </w:r>
          </w:p>
        </w:tc>
        <w:tc>
          <w:tcPr>
            <w:tcW w:w="1206" w:type="dxa"/>
            <w:vAlign w:val="center"/>
          </w:tcPr>
          <w:p w14:paraId="5C27CED8" w14:textId="39050AD9"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5847.70</w:t>
            </w:r>
          </w:p>
        </w:tc>
        <w:tc>
          <w:tcPr>
            <w:tcW w:w="581" w:type="dxa"/>
            <w:vAlign w:val="center"/>
          </w:tcPr>
          <w:p w14:paraId="7E3720A9" w14:textId="117DFA9B"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2</w:t>
            </w:r>
          </w:p>
        </w:tc>
        <w:tc>
          <w:tcPr>
            <w:tcW w:w="1090" w:type="dxa"/>
            <w:vAlign w:val="center"/>
          </w:tcPr>
          <w:p w14:paraId="23ECFEB0" w14:textId="2903D9A3"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2923.85</w:t>
            </w:r>
          </w:p>
        </w:tc>
        <w:tc>
          <w:tcPr>
            <w:tcW w:w="857" w:type="dxa"/>
            <w:vMerge w:val="restart"/>
          </w:tcPr>
          <w:p w14:paraId="55F37330" w14:textId="13C10714"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232.93</w:t>
            </w:r>
          </w:p>
        </w:tc>
        <w:tc>
          <w:tcPr>
            <w:tcW w:w="1153" w:type="dxa"/>
            <w:vMerge w:val="restart"/>
            <w:hideMark/>
          </w:tcPr>
          <w:p w14:paraId="7796DCB0" w14:textId="6F393AF7"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P &lt; 0.001</w:t>
            </w:r>
          </w:p>
        </w:tc>
        <w:tc>
          <w:tcPr>
            <w:tcW w:w="1377" w:type="dxa"/>
            <w:vMerge w:val="restart"/>
          </w:tcPr>
          <w:p w14:paraId="719D4D7C" w14:textId="0198187C"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Low &gt; medium &amp; High</w:t>
            </w:r>
          </w:p>
          <w:p w14:paraId="3AB2907F" w14:textId="42EFFF2D"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medium&gt; High</w:t>
            </w:r>
          </w:p>
        </w:tc>
      </w:tr>
      <w:tr w:rsidR="00C30768" w:rsidRPr="00C30768" w14:paraId="612B56E8" w14:textId="242175BF" w:rsidTr="00C30768">
        <w:trPr>
          <w:trHeight w:val="323"/>
          <w:jc w:val="center"/>
        </w:trPr>
        <w:tc>
          <w:tcPr>
            <w:tcW w:w="1290" w:type="dxa"/>
            <w:vMerge/>
            <w:vAlign w:val="center"/>
            <w:hideMark/>
          </w:tcPr>
          <w:p w14:paraId="0D0EC5B8" w14:textId="55AE7D84" w:rsidR="00C30768" w:rsidRPr="00C30768" w:rsidRDefault="00C30768" w:rsidP="00C30768">
            <w:pPr>
              <w:bidi/>
              <w:spacing w:line="276" w:lineRule="auto"/>
              <w:jc w:val="center"/>
              <w:rPr>
                <w:rFonts w:ascii="Times New Roman" w:eastAsia="Calibri" w:hAnsi="Times New Roman" w:cs="Times New Roman"/>
                <w:sz w:val="20"/>
                <w:szCs w:val="20"/>
              </w:rPr>
            </w:pPr>
          </w:p>
        </w:tc>
        <w:tc>
          <w:tcPr>
            <w:tcW w:w="933" w:type="dxa"/>
            <w:vMerge/>
            <w:vAlign w:val="center"/>
          </w:tcPr>
          <w:p w14:paraId="0AC3D2D4" w14:textId="221216C8" w:rsidR="00C30768" w:rsidRPr="00C30768" w:rsidRDefault="00C30768" w:rsidP="00C30768">
            <w:pPr>
              <w:bidi/>
              <w:spacing w:line="276" w:lineRule="auto"/>
              <w:jc w:val="center"/>
              <w:rPr>
                <w:rFonts w:ascii="Times New Roman" w:eastAsia="Calibri" w:hAnsi="Times New Roman" w:cs="Times New Roman"/>
                <w:sz w:val="20"/>
                <w:szCs w:val="20"/>
              </w:rPr>
            </w:pPr>
          </w:p>
        </w:tc>
        <w:tc>
          <w:tcPr>
            <w:tcW w:w="1741" w:type="dxa"/>
            <w:vAlign w:val="center"/>
            <w:hideMark/>
          </w:tcPr>
          <w:p w14:paraId="157BBE39" w14:textId="2B00CABA"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Within Groups</w:t>
            </w:r>
          </w:p>
        </w:tc>
        <w:tc>
          <w:tcPr>
            <w:tcW w:w="1206" w:type="dxa"/>
            <w:vAlign w:val="center"/>
          </w:tcPr>
          <w:p w14:paraId="473D54D1" w14:textId="586E13C4"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1468.63</w:t>
            </w:r>
          </w:p>
        </w:tc>
        <w:tc>
          <w:tcPr>
            <w:tcW w:w="581" w:type="dxa"/>
            <w:vAlign w:val="center"/>
          </w:tcPr>
          <w:p w14:paraId="16EBB40A" w14:textId="11F92A03"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117</w:t>
            </w:r>
          </w:p>
        </w:tc>
        <w:tc>
          <w:tcPr>
            <w:tcW w:w="1090" w:type="dxa"/>
            <w:vAlign w:val="center"/>
          </w:tcPr>
          <w:p w14:paraId="6B669C80" w14:textId="1ECD6678"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12.55</w:t>
            </w:r>
          </w:p>
        </w:tc>
        <w:tc>
          <w:tcPr>
            <w:tcW w:w="857" w:type="dxa"/>
            <w:vMerge/>
            <w:vAlign w:val="center"/>
          </w:tcPr>
          <w:p w14:paraId="5A8ED588" w14:textId="48E0D7F8" w:rsidR="00C30768" w:rsidRPr="00C30768" w:rsidRDefault="00C30768" w:rsidP="00C30768">
            <w:pPr>
              <w:bidi/>
              <w:spacing w:line="276" w:lineRule="auto"/>
              <w:jc w:val="center"/>
              <w:rPr>
                <w:rFonts w:ascii="Times New Roman" w:eastAsia="Calibri" w:hAnsi="Times New Roman" w:cs="Times New Roman"/>
                <w:sz w:val="20"/>
                <w:szCs w:val="20"/>
              </w:rPr>
            </w:pPr>
          </w:p>
        </w:tc>
        <w:tc>
          <w:tcPr>
            <w:tcW w:w="1153" w:type="dxa"/>
            <w:vMerge/>
            <w:vAlign w:val="center"/>
            <w:hideMark/>
          </w:tcPr>
          <w:p w14:paraId="34A2A623" w14:textId="74CA1EC8" w:rsidR="00C30768" w:rsidRPr="00C30768" w:rsidRDefault="00C30768" w:rsidP="00C30768">
            <w:pPr>
              <w:bidi/>
              <w:spacing w:line="276" w:lineRule="auto"/>
              <w:jc w:val="center"/>
              <w:rPr>
                <w:rFonts w:ascii="Times New Roman" w:eastAsia="Calibri" w:hAnsi="Times New Roman" w:cs="Times New Roman"/>
                <w:sz w:val="20"/>
                <w:szCs w:val="20"/>
              </w:rPr>
            </w:pPr>
          </w:p>
        </w:tc>
        <w:tc>
          <w:tcPr>
            <w:tcW w:w="1377" w:type="dxa"/>
            <w:vMerge/>
            <w:vAlign w:val="center"/>
          </w:tcPr>
          <w:p w14:paraId="5ECC5D7C" w14:textId="090BC8C2" w:rsidR="00C30768" w:rsidRPr="00C30768" w:rsidRDefault="00C30768" w:rsidP="00C30768">
            <w:pPr>
              <w:bidi/>
              <w:spacing w:line="276" w:lineRule="auto"/>
              <w:jc w:val="center"/>
              <w:rPr>
                <w:rFonts w:ascii="Times New Roman" w:eastAsia="Calibri" w:hAnsi="Times New Roman" w:cs="Times New Roman"/>
                <w:sz w:val="20"/>
                <w:szCs w:val="20"/>
              </w:rPr>
            </w:pPr>
          </w:p>
        </w:tc>
      </w:tr>
      <w:tr w:rsidR="00C30768" w:rsidRPr="00C30768" w14:paraId="17679545" w14:textId="7D06E2A5" w:rsidTr="00C30768">
        <w:trPr>
          <w:trHeight w:val="300"/>
          <w:jc w:val="center"/>
        </w:trPr>
        <w:tc>
          <w:tcPr>
            <w:tcW w:w="1290" w:type="dxa"/>
            <w:vMerge/>
            <w:vAlign w:val="center"/>
            <w:hideMark/>
          </w:tcPr>
          <w:p w14:paraId="56B1DB98" w14:textId="32AEEDDD" w:rsidR="00C30768" w:rsidRPr="00C30768" w:rsidRDefault="00C30768" w:rsidP="00C30768">
            <w:pPr>
              <w:bidi/>
              <w:spacing w:line="276" w:lineRule="auto"/>
              <w:jc w:val="center"/>
              <w:rPr>
                <w:rFonts w:ascii="Times New Roman" w:eastAsia="Calibri" w:hAnsi="Times New Roman" w:cs="Times New Roman"/>
                <w:sz w:val="20"/>
                <w:szCs w:val="20"/>
              </w:rPr>
            </w:pPr>
          </w:p>
        </w:tc>
        <w:tc>
          <w:tcPr>
            <w:tcW w:w="933" w:type="dxa"/>
            <w:vMerge/>
            <w:vAlign w:val="center"/>
          </w:tcPr>
          <w:p w14:paraId="004243D8" w14:textId="7BE80A14" w:rsidR="00C30768" w:rsidRPr="00C30768" w:rsidRDefault="00C30768" w:rsidP="00C30768">
            <w:pPr>
              <w:bidi/>
              <w:spacing w:line="276" w:lineRule="auto"/>
              <w:jc w:val="center"/>
              <w:rPr>
                <w:rFonts w:ascii="Times New Roman" w:eastAsia="Calibri" w:hAnsi="Times New Roman" w:cs="Times New Roman"/>
                <w:sz w:val="20"/>
                <w:szCs w:val="20"/>
              </w:rPr>
            </w:pPr>
          </w:p>
        </w:tc>
        <w:tc>
          <w:tcPr>
            <w:tcW w:w="1741" w:type="dxa"/>
            <w:vAlign w:val="center"/>
            <w:hideMark/>
          </w:tcPr>
          <w:p w14:paraId="09315EFC" w14:textId="0FD79675"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Total</w:t>
            </w:r>
          </w:p>
        </w:tc>
        <w:tc>
          <w:tcPr>
            <w:tcW w:w="1206" w:type="dxa"/>
            <w:vAlign w:val="center"/>
          </w:tcPr>
          <w:p w14:paraId="46158ECA" w14:textId="5CB3BD46"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7316.33</w:t>
            </w:r>
          </w:p>
        </w:tc>
        <w:tc>
          <w:tcPr>
            <w:tcW w:w="581" w:type="dxa"/>
            <w:vAlign w:val="center"/>
          </w:tcPr>
          <w:p w14:paraId="4413A7CD" w14:textId="76711E29"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119</w:t>
            </w:r>
          </w:p>
        </w:tc>
        <w:tc>
          <w:tcPr>
            <w:tcW w:w="1090" w:type="dxa"/>
            <w:vAlign w:val="center"/>
          </w:tcPr>
          <w:p w14:paraId="41193884" w14:textId="6C9F1523" w:rsidR="00C30768" w:rsidRPr="00C30768" w:rsidRDefault="00C30768" w:rsidP="00C30768">
            <w:pPr>
              <w:bidi/>
              <w:spacing w:line="276" w:lineRule="auto"/>
              <w:jc w:val="center"/>
              <w:rPr>
                <w:rFonts w:ascii="Times New Roman" w:eastAsia="Calibri" w:hAnsi="Times New Roman" w:cs="Times New Roman"/>
                <w:sz w:val="20"/>
                <w:szCs w:val="20"/>
              </w:rPr>
            </w:pPr>
          </w:p>
        </w:tc>
        <w:tc>
          <w:tcPr>
            <w:tcW w:w="857" w:type="dxa"/>
            <w:vMerge/>
            <w:vAlign w:val="center"/>
          </w:tcPr>
          <w:p w14:paraId="7F9A0002" w14:textId="2DFABE80" w:rsidR="00C30768" w:rsidRPr="00C30768" w:rsidRDefault="00C30768" w:rsidP="00C30768">
            <w:pPr>
              <w:bidi/>
              <w:spacing w:line="276" w:lineRule="auto"/>
              <w:jc w:val="center"/>
              <w:rPr>
                <w:rFonts w:ascii="Times New Roman" w:eastAsia="Calibri" w:hAnsi="Times New Roman" w:cs="Times New Roman"/>
                <w:sz w:val="20"/>
                <w:szCs w:val="20"/>
              </w:rPr>
            </w:pPr>
          </w:p>
        </w:tc>
        <w:tc>
          <w:tcPr>
            <w:tcW w:w="1153" w:type="dxa"/>
            <w:vMerge/>
            <w:vAlign w:val="center"/>
            <w:hideMark/>
          </w:tcPr>
          <w:p w14:paraId="51FF47AF" w14:textId="076B05CD" w:rsidR="00C30768" w:rsidRPr="00C30768" w:rsidRDefault="00C30768" w:rsidP="00C30768">
            <w:pPr>
              <w:bidi/>
              <w:spacing w:line="276" w:lineRule="auto"/>
              <w:jc w:val="center"/>
              <w:rPr>
                <w:rFonts w:ascii="Times New Roman" w:eastAsia="Calibri" w:hAnsi="Times New Roman" w:cs="Times New Roman"/>
                <w:sz w:val="20"/>
                <w:szCs w:val="20"/>
              </w:rPr>
            </w:pPr>
          </w:p>
        </w:tc>
        <w:tc>
          <w:tcPr>
            <w:tcW w:w="1377" w:type="dxa"/>
            <w:vMerge/>
            <w:vAlign w:val="center"/>
            <w:hideMark/>
          </w:tcPr>
          <w:p w14:paraId="496DE143" w14:textId="2FCA4006" w:rsidR="00C30768" w:rsidRPr="00C30768" w:rsidRDefault="00C30768" w:rsidP="00C30768">
            <w:pPr>
              <w:bidi/>
              <w:spacing w:line="276" w:lineRule="auto"/>
              <w:jc w:val="center"/>
              <w:rPr>
                <w:rFonts w:ascii="Times New Roman" w:eastAsia="Calibri" w:hAnsi="Times New Roman" w:cs="Times New Roman"/>
                <w:sz w:val="20"/>
                <w:szCs w:val="20"/>
              </w:rPr>
            </w:pPr>
          </w:p>
        </w:tc>
      </w:tr>
      <w:tr w:rsidR="00C30768" w:rsidRPr="00C30768" w14:paraId="01713327" w14:textId="123F5BE7" w:rsidTr="00C30768">
        <w:trPr>
          <w:jc w:val="center"/>
        </w:trPr>
        <w:tc>
          <w:tcPr>
            <w:tcW w:w="1290" w:type="dxa"/>
            <w:vMerge/>
          </w:tcPr>
          <w:p w14:paraId="7BD627F1" w14:textId="0C31C430" w:rsidR="00C30768" w:rsidRPr="00C30768" w:rsidRDefault="00C30768" w:rsidP="00C30768">
            <w:pPr>
              <w:bidi/>
              <w:spacing w:line="276" w:lineRule="auto"/>
              <w:jc w:val="center"/>
              <w:rPr>
                <w:rFonts w:ascii="Times New Roman" w:eastAsia="Calibri" w:hAnsi="Times New Roman" w:cs="Times New Roman"/>
                <w:sz w:val="20"/>
                <w:szCs w:val="20"/>
              </w:rPr>
            </w:pPr>
          </w:p>
        </w:tc>
        <w:tc>
          <w:tcPr>
            <w:tcW w:w="933" w:type="dxa"/>
            <w:vMerge w:val="restart"/>
          </w:tcPr>
          <w:p w14:paraId="61C74B60" w14:textId="6C401CCF"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RoC</w:t>
            </w:r>
          </w:p>
        </w:tc>
        <w:tc>
          <w:tcPr>
            <w:tcW w:w="1741" w:type="dxa"/>
            <w:vAlign w:val="center"/>
            <w:hideMark/>
          </w:tcPr>
          <w:p w14:paraId="35A38169" w14:textId="729E13F4"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Between Groups</w:t>
            </w:r>
          </w:p>
        </w:tc>
        <w:tc>
          <w:tcPr>
            <w:tcW w:w="1206" w:type="dxa"/>
            <w:vAlign w:val="center"/>
          </w:tcPr>
          <w:p w14:paraId="5CA86352" w14:textId="35706111"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21835.34</w:t>
            </w:r>
          </w:p>
        </w:tc>
        <w:tc>
          <w:tcPr>
            <w:tcW w:w="581" w:type="dxa"/>
            <w:vAlign w:val="center"/>
          </w:tcPr>
          <w:p w14:paraId="42F73A3F" w14:textId="33489288"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2</w:t>
            </w:r>
          </w:p>
        </w:tc>
        <w:tc>
          <w:tcPr>
            <w:tcW w:w="1090" w:type="dxa"/>
            <w:vAlign w:val="center"/>
          </w:tcPr>
          <w:p w14:paraId="21826D96" w14:textId="022A3E95"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10917.67</w:t>
            </w:r>
          </w:p>
        </w:tc>
        <w:tc>
          <w:tcPr>
            <w:tcW w:w="857" w:type="dxa"/>
            <w:vMerge w:val="restart"/>
          </w:tcPr>
          <w:p w14:paraId="23B2E025" w14:textId="4CAA9E12"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580.35</w:t>
            </w:r>
          </w:p>
        </w:tc>
        <w:tc>
          <w:tcPr>
            <w:tcW w:w="1153" w:type="dxa"/>
            <w:vMerge w:val="restart"/>
            <w:hideMark/>
          </w:tcPr>
          <w:p w14:paraId="204DBE50" w14:textId="487F02CA"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P &lt; 0.001</w:t>
            </w:r>
          </w:p>
        </w:tc>
        <w:tc>
          <w:tcPr>
            <w:tcW w:w="1377" w:type="dxa"/>
            <w:vMerge w:val="restart"/>
          </w:tcPr>
          <w:p w14:paraId="618AD8DB" w14:textId="4B9AC896"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Low &gt; medium &amp; High</w:t>
            </w:r>
          </w:p>
          <w:p w14:paraId="26AE2293" w14:textId="0C0E0E18"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medium&gt; High</w:t>
            </w:r>
          </w:p>
        </w:tc>
      </w:tr>
      <w:tr w:rsidR="00C30768" w:rsidRPr="00C30768" w14:paraId="520957D6" w14:textId="729778FE" w:rsidTr="00C30768">
        <w:trPr>
          <w:trHeight w:val="384"/>
          <w:jc w:val="center"/>
        </w:trPr>
        <w:tc>
          <w:tcPr>
            <w:tcW w:w="1290" w:type="dxa"/>
            <w:vMerge/>
            <w:vAlign w:val="center"/>
          </w:tcPr>
          <w:p w14:paraId="6EC41929" w14:textId="23B574B4" w:rsidR="00C30768" w:rsidRPr="00C30768" w:rsidRDefault="00C30768" w:rsidP="00C30768">
            <w:pPr>
              <w:bidi/>
              <w:spacing w:line="276" w:lineRule="auto"/>
              <w:jc w:val="center"/>
              <w:rPr>
                <w:rFonts w:ascii="Times New Roman" w:eastAsia="Calibri" w:hAnsi="Times New Roman" w:cs="Times New Roman"/>
                <w:sz w:val="20"/>
                <w:szCs w:val="20"/>
              </w:rPr>
            </w:pPr>
          </w:p>
        </w:tc>
        <w:tc>
          <w:tcPr>
            <w:tcW w:w="933" w:type="dxa"/>
            <w:vMerge/>
            <w:vAlign w:val="center"/>
          </w:tcPr>
          <w:p w14:paraId="74062A5C" w14:textId="034AD152" w:rsidR="00C30768" w:rsidRPr="00C30768" w:rsidRDefault="00C30768" w:rsidP="00C30768">
            <w:pPr>
              <w:bidi/>
              <w:spacing w:line="276" w:lineRule="auto"/>
              <w:jc w:val="center"/>
              <w:rPr>
                <w:rFonts w:ascii="Times New Roman" w:eastAsia="Calibri" w:hAnsi="Times New Roman" w:cs="Times New Roman"/>
                <w:sz w:val="20"/>
                <w:szCs w:val="20"/>
              </w:rPr>
            </w:pPr>
          </w:p>
        </w:tc>
        <w:tc>
          <w:tcPr>
            <w:tcW w:w="1741" w:type="dxa"/>
            <w:vAlign w:val="center"/>
            <w:hideMark/>
          </w:tcPr>
          <w:p w14:paraId="2B940987" w14:textId="684CE58B"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Within Groups</w:t>
            </w:r>
          </w:p>
        </w:tc>
        <w:tc>
          <w:tcPr>
            <w:tcW w:w="1206" w:type="dxa"/>
            <w:vAlign w:val="center"/>
          </w:tcPr>
          <w:p w14:paraId="693E4E7E" w14:textId="690EEC86"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2201.03</w:t>
            </w:r>
          </w:p>
        </w:tc>
        <w:tc>
          <w:tcPr>
            <w:tcW w:w="581" w:type="dxa"/>
            <w:vAlign w:val="center"/>
          </w:tcPr>
          <w:p w14:paraId="1656186F" w14:textId="7C94B827"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117</w:t>
            </w:r>
          </w:p>
        </w:tc>
        <w:tc>
          <w:tcPr>
            <w:tcW w:w="1090" w:type="dxa"/>
            <w:vAlign w:val="center"/>
          </w:tcPr>
          <w:p w14:paraId="7FF419EF" w14:textId="7069AA73"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18.81</w:t>
            </w:r>
          </w:p>
        </w:tc>
        <w:tc>
          <w:tcPr>
            <w:tcW w:w="857" w:type="dxa"/>
            <w:vMerge/>
            <w:vAlign w:val="center"/>
          </w:tcPr>
          <w:p w14:paraId="5293EE31" w14:textId="20BCE867" w:rsidR="00C30768" w:rsidRPr="00C30768" w:rsidRDefault="00C30768" w:rsidP="00C30768">
            <w:pPr>
              <w:bidi/>
              <w:spacing w:line="276" w:lineRule="auto"/>
              <w:jc w:val="center"/>
              <w:rPr>
                <w:rFonts w:ascii="Times New Roman" w:eastAsia="Calibri" w:hAnsi="Times New Roman" w:cs="Times New Roman"/>
                <w:sz w:val="20"/>
                <w:szCs w:val="20"/>
              </w:rPr>
            </w:pPr>
          </w:p>
        </w:tc>
        <w:tc>
          <w:tcPr>
            <w:tcW w:w="1153" w:type="dxa"/>
            <w:vMerge/>
            <w:hideMark/>
          </w:tcPr>
          <w:p w14:paraId="1025BE1F" w14:textId="0A2C7D2E" w:rsidR="00C30768" w:rsidRPr="00C30768" w:rsidRDefault="00C30768" w:rsidP="00C30768">
            <w:pPr>
              <w:bidi/>
              <w:spacing w:line="276" w:lineRule="auto"/>
              <w:jc w:val="center"/>
              <w:rPr>
                <w:rFonts w:ascii="Times New Roman" w:eastAsia="Calibri" w:hAnsi="Times New Roman" w:cs="Times New Roman"/>
                <w:sz w:val="20"/>
                <w:szCs w:val="20"/>
              </w:rPr>
            </w:pPr>
          </w:p>
        </w:tc>
        <w:tc>
          <w:tcPr>
            <w:tcW w:w="1377" w:type="dxa"/>
            <w:vMerge/>
            <w:vAlign w:val="center"/>
          </w:tcPr>
          <w:p w14:paraId="12FB6975" w14:textId="67CB054E" w:rsidR="00C30768" w:rsidRPr="00C30768" w:rsidRDefault="00C30768" w:rsidP="00C30768">
            <w:pPr>
              <w:bidi/>
              <w:spacing w:line="276" w:lineRule="auto"/>
              <w:jc w:val="center"/>
              <w:rPr>
                <w:rFonts w:ascii="Times New Roman" w:eastAsia="Calibri" w:hAnsi="Times New Roman" w:cs="Times New Roman"/>
                <w:sz w:val="20"/>
                <w:szCs w:val="20"/>
              </w:rPr>
            </w:pPr>
          </w:p>
        </w:tc>
      </w:tr>
      <w:tr w:rsidR="00C30768" w:rsidRPr="00C30768" w14:paraId="3D19E809" w14:textId="245F7B64" w:rsidTr="00C30768">
        <w:trPr>
          <w:trHeight w:val="324"/>
          <w:jc w:val="center"/>
        </w:trPr>
        <w:tc>
          <w:tcPr>
            <w:tcW w:w="1290" w:type="dxa"/>
            <w:vMerge/>
            <w:vAlign w:val="center"/>
          </w:tcPr>
          <w:p w14:paraId="4B7B9EA2" w14:textId="3809AB8C" w:rsidR="00C30768" w:rsidRPr="00C30768" w:rsidRDefault="00C30768" w:rsidP="00C30768">
            <w:pPr>
              <w:bidi/>
              <w:spacing w:line="276" w:lineRule="auto"/>
              <w:jc w:val="center"/>
              <w:rPr>
                <w:rFonts w:ascii="Times New Roman" w:eastAsia="Calibri" w:hAnsi="Times New Roman" w:cs="Times New Roman"/>
                <w:sz w:val="20"/>
                <w:szCs w:val="20"/>
              </w:rPr>
            </w:pPr>
          </w:p>
        </w:tc>
        <w:tc>
          <w:tcPr>
            <w:tcW w:w="933" w:type="dxa"/>
            <w:vMerge/>
            <w:vAlign w:val="center"/>
          </w:tcPr>
          <w:p w14:paraId="60818A49" w14:textId="6606FCB0" w:rsidR="00C30768" w:rsidRPr="00C30768" w:rsidRDefault="00C30768" w:rsidP="00C30768">
            <w:pPr>
              <w:bidi/>
              <w:spacing w:line="276" w:lineRule="auto"/>
              <w:jc w:val="center"/>
              <w:rPr>
                <w:rFonts w:ascii="Times New Roman" w:eastAsia="Calibri" w:hAnsi="Times New Roman" w:cs="Times New Roman"/>
                <w:sz w:val="20"/>
                <w:szCs w:val="20"/>
              </w:rPr>
            </w:pPr>
          </w:p>
        </w:tc>
        <w:tc>
          <w:tcPr>
            <w:tcW w:w="1741" w:type="dxa"/>
            <w:vAlign w:val="center"/>
            <w:hideMark/>
          </w:tcPr>
          <w:p w14:paraId="64A2FFC3" w14:textId="3518DC2E"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Total</w:t>
            </w:r>
          </w:p>
        </w:tc>
        <w:tc>
          <w:tcPr>
            <w:tcW w:w="1206" w:type="dxa"/>
            <w:vAlign w:val="center"/>
          </w:tcPr>
          <w:p w14:paraId="5C3AD599" w14:textId="15C3AE4D"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24036.37</w:t>
            </w:r>
          </w:p>
        </w:tc>
        <w:tc>
          <w:tcPr>
            <w:tcW w:w="581" w:type="dxa"/>
            <w:vAlign w:val="center"/>
          </w:tcPr>
          <w:p w14:paraId="58212ECA" w14:textId="0F026E6E"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119</w:t>
            </w:r>
          </w:p>
        </w:tc>
        <w:tc>
          <w:tcPr>
            <w:tcW w:w="1090" w:type="dxa"/>
            <w:vAlign w:val="center"/>
          </w:tcPr>
          <w:p w14:paraId="0C0CDDEB" w14:textId="6B533D1D" w:rsidR="00C30768" w:rsidRPr="00C30768" w:rsidRDefault="00C30768" w:rsidP="00C30768">
            <w:pPr>
              <w:bidi/>
              <w:spacing w:line="276" w:lineRule="auto"/>
              <w:jc w:val="center"/>
              <w:rPr>
                <w:rFonts w:ascii="Times New Roman" w:eastAsia="Calibri" w:hAnsi="Times New Roman" w:cs="Times New Roman"/>
                <w:sz w:val="20"/>
                <w:szCs w:val="20"/>
              </w:rPr>
            </w:pPr>
          </w:p>
        </w:tc>
        <w:tc>
          <w:tcPr>
            <w:tcW w:w="857" w:type="dxa"/>
            <w:vMerge/>
            <w:vAlign w:val="center"/>
          </w:tcPr>
          <w:p w14:paraId="64AA2E60" w14:textId="735C627D" w:rsidR="00C30768" w:rsidRPr="00C30768" w:rsidRDefault="00C30768" w:rsidP="00C30768">
            <w:pPr>
              <w:bidi/>
              <w:spacing w:line="276" w:lineRule="auto"/>
              <w:jc w:val="center"/>
              <w:rPr>
                <w:rFonts w:ascii="Times New Roman" w:eastAsia="Calibri" w:hAnsi="Times New Roman" w:cs="Times New Roman"/>
                <w:sz w:val="20"/>
                <w:szCs w:val="20"/>
              </w:rPr>
            </w:pPr>
          </w:p>
        </w:tc>
        <w:tc>
          <w:tcPr>
            <w:tcW w:w="1153" w:type="dxa"/>
            <w:vMerge/>
            <w:hideMark/>
          </w:tcPr>
          <w:p w14:paraId="6FC206F1" w14:textId="3A3B5769" w:rsidR="00C30768" w:rsidRPr="00C30768" w:rsidRDefault="00C30768" w:rsidP="00C30768">
            <w:pPr>
              <w:bidi/>
              <w:spacing w:line="276" w:lineRule="auto"/>
              <w:jc w:val="center"/>
              <w:rPr>
                <w:rFonts w:ascii="Times New Roman" w:eastAsia="Calibri" w:hAnsi="Times New Roman" w:cs="Times New Roman"/>
                <w:sz w:val="20"/>
                <w:szCs w:val="20"/>
              </w:rPr>
            </w:pPr>
          </w:p>
        </w:tc>
        <w:tc>
          <w:tcPr>
            <w:tcW w:w="1377" w:type="dxa"/>
            <w:vMerge/>
            <w:vAlign w:val="center"/>
          </w:tcPr>
          <w:p w14:paraId="0191453D" w14:textId="119536AE" w:rsidR="00C30768" w:rsidRPr="00C30768" w:rsidRDefault="00C30768" w:rsidP="00C30768">
            <w:pPr>
              <w:bidi/>
              <w:spacing w:line="276" w:lineRule="auto"/>
              <w:jc w:val="center"/>
              <w:rPr>
                <w:rFonts w:ascii="Times New Roman" w:eastAsia="Calibri" w:hAnsi="Times New Roman" w:cs="Times New Roman"/>
                <w:sz w:val="20"/>
                <w:szCs w:val="20"/>
              </w:rPr>
            </w:pPr>
          </w:p>
        </w:tc>
      </w:tr>
      <w:tr w:rsidR="00C30768" w:rsidRPr="00C30768" w14:paraId="5CBA061C" w14:textId="6F143D2A" w:rsidTr="00C30768">
        <w:trPr>
          <w:jc w:val="center"/>
        </w:trPr>
        <w:tc>
          <w:tcPr>
            <w:tcW w:w="1290" w:type="dxa"/>
            <w:vMerge/>
          </w:tcPr>
          <w:p w14:paraId="25E787ED" w14:textId="7E0D7E6C" w:rsidR="00C30768" w:rsidRPr="00C30768" w:rsidRDefault="00C30768" w:rsidP="00C30768">
            <w:pPr>
              <w:bidi/>
              <w:spacing w:line="276" w:lineRule="auto"/>
              <w:jc w:val="center"/>
              <w:rPr>
                <w:rFonts w:ascii="Times New Roman" w:eastAsia="Calibri" w:hAnsi="Times New Roman" w:cs="Times New Roman"/>
                <w:sz w:val="20"/>
                <w:szCs w:val="20"/>
              </w:rPr>
            </w:pPr>
          </w:p>
        </w:tc>
        <w:tc>
          <w:tcPr>
            <w:tcW w:w="933" w:type="dxa"/>
            <w:vMerge w:val="restart"/>
          </w:tcPr>
          <w:p w14:paraId="3E564832" w14:textId="3716A07A" w:rsidR="00C30768" w:rsidRPr="00C30768" w:rsidRDefault="00C30768" w:rsidP="00C30768">
            <w:pPr>
              <w:bidi/>
              <w:spacing w:line="276" w:lineRule="auto"/>
              <w:rPr>
                <w:rFonts w:ascii="Times New Roman" w:eastAsia="Calibri" w:hAnsi="Times New Roman" w:cs="Times New Roman"/>
                <w:sz w:val="20"/>
                <w:szCs w:val="20"/>
                <w:rtl/>
              </w:rPr>
            </w:pPr>
            <w:r w:rsidRPr="00C30768">
              <w:rPr>
                <w:rFonts w:ascii="Times New Roman" w:eastAsia="Calibri" w:hAnsi="Times New Roman" w:cs="Times New Roman"/>
                <w:sz w:val="20"/>
                <w:szCs w:val="20"/>
              </w:rPr>
              <w:t>KP</w:t>
            </w:r>
          </w:p>
        </w:tc>
        <w:tc>
          <w:tcPr>
            <w:tcW w:w="1741" w:type="dxa"/>
            <w:vAlign w:val="center"/>
            <w:hideMark/>
          </w:tcPr>
          <w:p w14:paraId="0F1C6961" w14:textId="7A173B30"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Between Groups</w:t>
            </w:r>
          </w:p>
        </w:tc>
        <w:tc>
          <w:tcPr>
            <w:tcW w:w="1206" w:type="dxa"/>
            <w:vAlign w:val="center"/>
          </w:tcPr>
          <w:p w14:paraId="50035F17" w14:textId="68469C97"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12358.82</w:t>
            </w:r>
          </w:p>
        </w:tc>
        <w:tc>
          <w:tcPr>
            <w:tcW w:w="581" w:type="dxa"/>
            <w:vAlign w:val="center"/>
          </w:tcPr>
          <w:p w14:paraId="2C63DFAE" w14:textId="77F24C4E"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2</w:t>
            </w:r>
          </w:p>
        </w:tc>
        <w:tc>
          <w:tcPr>
            <w:tcW w:w="1090" w:type="dxa"/>
            <w:vAlign w:val="center"/>
          </w:tcPr>
          <w:p w14:paraId="0E88E663" w14:textId="25664B6B"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6179.41</w:t>
            </w:r>
          </w:p>
        </w:tc>
        <w:tc>
          <w:tcPr>
            <w:tcW w:w="857" w:type="dxa"/>
            <w:vMerge w:val="restart"/>
          </w:tcPr>
          <w:p w14:paraId="34FB2514" w14:textId="6067FDBE"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600.65</w:t>
            </w:r>
          </w:p>
        </w:tc>
        <w:tc>
          <w:tcPr>
            <w:tcW w:w="1153" w:type="dxa"/>
            <w:vMerge w:val="restart"/>
            <w:hideMark/>
          </w:tcPr>
          <w:p w14:paraId="21CA4430" w14:textId="107E52DE"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P &lt; 0.001</w:t>
            </w:r>
          </w:p>
        </w:tc>
        <w:tc>
          <w:tcPr>
            <w:tcW w:w="1377" w:type="dxa"/>
            <w:vMerge w:val="restart"/>
          </w:tcPr>
          <w:p w14:paraId="67A6A9B2" w14:textId="593DD741"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Low &gt; medium &amp; High</w:t>
            </w:r>
          </w:p>
          <w:p w14:paraId="7FC8FDB5" w14:textId="3477B2D4"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medium&gt; High</w:t>
            </w:r>
          </w:p>
        </w:tc>
      </w:tr>
      <w:tr w:rsidR="00C30768" w:rsidRPr="00C30768" w14:paraId="422BDC4F" w14:textId="0FB90961" w:rsidTr="00C30768">
        <w:trPr>
          <w:trHeight w:val="432"/>
          <w:jc w:val="center"/>
        </w:trPr>
        <w:tc>
          <w:tcPr>
            <w:tcW w:w="1290" w:type="dxa"/>
            <w:vMerge/>
            <w:vAlign w:val="center"/>
          </w:tcPr>
          <w:p w14:paraId="678935AA" w14:textId="767B5F67" w:rsidR="00C30768" w:rsidRPr="00C30768" w:rsidRDefault="00C30768" w:rsidP="00C30768">
            <w:pPr>
              <w:bidi/>
              <w:spacing w:line="276" w:lineRule="auto"/>
              <w:jc w:val="center"/>
              <w:rPr>
                <w:rFonts w:ascii="Times New Roman" w:eastAsia="Calibri" w:hAnsi="Times New Roman" w:cs="Times New Roman"/>
                <w:sz w:val="20"/>
                <w:szCs w:val="20"/>
              </w:rPr>
            </w:pPr>
          </w:p>
        </w:tc>
        <w:tc>
          <w:tcPr>
            <w:tcW w:w="933" w:type="dxa"/>
            <w:vMerge/>
            <w:vAlign w:val="center"/>
          </w:tcPr>
          <w:p w14:paraId="15DC9E44" w14:textId="7607E907" w:rsidR="00C30768" w:rsidRPr="00C30768" w:rsidRDefault="00C30768" w:rsidP="00C30768">
            <w:pPr>
              <w:bidi/>
              <w:spacing w:line="276" w:lineRule="auto"/>
              <w:jc w:val="center"/>
              <w:rPr>
                <w:rFonts w:ascii="Times New Roman" w:eastAsia="Calibri" w:hAnsi="Times New Roman" w:cs="Times New Roman"/>
                <w:sz w:val="20"/>
                <w:szCs w:val="20"/>
              </w:rPr>
            </w:pPr>
          </w:p>
        </w:tc>
        <w:tc>
          <w:tcPr>
            <w:tcW w:w="1741" w:type="dxa"/>
            <w:vAlign w:val="center"/>
            <w:hideMark/>
          </w:tcPr>
          <w:p w14:paraId="4BB05292" w14:textId="2883A010"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Within Groups</w:t>
            </w:r>
          </w:p>
        </w:tc>
        <w:tc>
          <w:tcPr>
            <w:tcW w:w="1206" w:type="dxa"/>
            <w:vAlign w:val="center"/>
          </w:tcPr>
          <w:p w14:paraId="465C89E6" w14:textId="5CA05CA7"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1203.68</w:t>
            </w:r>
          </w:p>
        </w:tc>
        <w:tc>
          <w:tcPr>
            <w:tcW w:w="581" w:type="dxa"/>
            <w:vAlign w:val="center"/>
          </w:tcPr>
          <w:p w14:paraId="672314BE" w14:textId="0F0F6084"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117</w:t>
            </w:r>
          </w:p>
        </w:tc>
        <w:tc>
          <w:tcPr>
            <w:tcW w:w="1090" w:type="dxa"/>
            <w:vAlign w:val="center"/>
          </w:tcPr>
          <w:p w14:paraId="47DFB535" w14:textId="5BF6665E"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10.29</w:t>
            </w:r>
          </w:p>
        </w:tc>
        <w:tc>
          <w:tcPr>
            <w:tcW w:w="857" w:type="dxa"/>
            <w:vMerge/>
            <w:vAlign w:val="center"/>
          </w:tcPr>
          <w:p w14:paraId="6C379994" w14:textId="16C209C1" w:rsidR="00C30768" w:rsidRPr="00C30768" w:rsidRDefault="00C30768" w:rsidP="00C30768">
            <w:pPr>
              <w:bidi/>
              <w:spacing w:line="276" w:lineRule="auto"/>
              <w:jc w:val="center"/>
              <w:rPr>
                <w:rFonts w:ascii="Times New Roman" w:eastAsia="Calibri" w:hAnsi="Times New Roman" w:cs="Times New Roman"/>
                <w:sz w:val="20"/>
                <w:szCs w:val="20"/>
              </w:rPr>
            </w:pPr>
          </w:p>
        </w:tc>
        <w:tc>
          <w:tcPr>
            <w:tcW w:w="1153" w:type="dxa"/>
            <w:vMerge/>
            <w:hideMark/>
          </w:tcPr>
          <w:p w14:paraId="2C0BAF1D" w14:textId="2CFCF048" w:rsidR="00C30768" w:rsidRPr="00C30768" w:rsidRDefault="00C30768" w:rsidP="00C30768">
            <w:pPr>
              <w:bidi/>
              <w:spacing w:line="276" w:lineRule="auto"/>
              <w:jc w:val="center"/>
              <w:rPr>
                <w:rFonts w:ascii="Times New Roman" w:eastAsia="Calibri" w:hAnsi="Times New Roman" w:cs="Times New Roman"/>
                <w:sz w:val="20"/>
                <w:szCs w:val="20"/>
              </w:rPr>
            </w:pPr>
          </w:p>
        </w:tc>
        <w:tc>
          <w:tcPr>
            <w:tcW w:w="1377" w:type="dxa"/>
            <w:vMerge/>
            <w:vAlign w:val="center"/>
          </w:tcPr>
          <w:p w14:paraId="5749B830" w14:textId="7E9AB259" w:rsidR="00C30768" w:rsidRPr="00C30768" w:rsidRDefault="00C30768" w:rsidP="00C30768">
            <w:pPr>
              <w:bidi/>
              <w:spacing w:line="276" w:lineRule="auto"/>
              <w:jc w:val="center"/>
              <w:rPr>
                <w:rFonts w:ascii="Times New Roman" w:eastAsia="Calibri" w:hAnsi="Times New Roman" w:cs="Times New Roman"/>
                <w:sz w:val="20"/>
                <w:szCs w:val="20"/>
              </w:rPr>
            </w:pPr>
          </w:p>
        </w:tc>
      </w:tr>
      <w:tr w:rsidR="00C30768" w:rsidRPr="00C30768" w14:paraId="1EE09264" w14:textId="5445A71B" w:rsidTr="00C30768">
        <w:trPr>
          <w:trHeight w:val="494"/>
          <w:jc w:val="center"/>
        </w:trPr>
        <w:tc>
          <w:tcPr>
            <w:tcW w:w="1290" w:type="dxa"/>
            <w:vMerge/>
            <w:vAlign w:val="center"/>
          </w:tcPr>
          <w:p w14:paraId="27AF987E" w14:textId="48A98A41" w:rsidR="00C30768" w:rsidRPr="00C30768" w:rsidRDefault="00C30768" w:rsidP="00C30768">
            <w:pPr>
              <w:bidi/>
              <w:spacing w:line="276" w:lineRule="auto"/>
              <w:jc w:val="center"/>
              <w:rPr>
                <w:rFonts w:ascii="Times New Roman" w:eastAsia="Calibri" w:hAnsi="Times New Roman" w:cs="Times New Roman"/>
                <w:sz w:val="20"/>
                <w:szCs w:val="20"/>
              </w:rPr>
            </w:pPr>
          </w:p>
        </w:tc>
        <w:tc>
          <w:tcPr>
            <w:tcW w:w="933" w:type="dxa"/>
            <w:vMerge/>
            <w:vAlign w:val="center"/>
          </w:tcPr>
          <w:p w14:paraId="1679F2CB" w14:textId="2B29CC69" w:rsidR="00C30768" w:rsidRPr="00C30768" w:rsidRDefault="00C30768" w:rsidP="00C30768">
            <w:pPr>
              <w:bidi/>
              <w:spacing w:line="276" w:lineRule="auto"/>
              <w:jc w:val="center"/>
              <w:rPr>
                <w:rFonts w:ascii="Times New Roman" w:eastAsia="Calibri" w:hAnsi="Times New Roman" w:cs="Times New Roman"/>
                <w:sz w:val="20"/>
                <w:szCs w:val="20"/>
              </w:rPr>
            </w:pPr>
          </w:p>
        </w:tc>
        <w:tc>
          <w:tcPr>
            <w:tcW w:w="1741" w:type="dxa"/>
            <w:vAlign w:val="center"/>
            <w:hideMark/>
          </w:tcPr>
          <w:p w14:paraId="5F640121" w14:textId="7D93A817"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Total</w:t>
            </w:r>
          </w:p>
        </w:tc>
        <w:tc>
          <w:tcPr>
            <w:tcW w:w="1206" w:type="dxa"/>
            <w:vAlign w:val="center"/>
          </w:tcPr>
          <w:p w14:paraId="1A8C2F59" w14:textId="24A4734B"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13562.50</w:t>
            </w:r>
          </w:p>
        </w:tc>
        <w:tc>
          <w:tcPr>
            <w:tcW w:w="581" w:type="dxa"/>
            <w:vAlign w:val="center"/>
          </w:tcPr>
          <w:p w14:paraId="0F013370" w14:textId="7C7CFA7F"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119</w:t>
            </w:r>
          </w:p>
        </w:tc>
        <w:tc>
          <w:tcPr>
            <w:tcW w:w="1090" w:type="dxa"/>
            <w:vAlign w:val="center"/>
          </w:tcPr>
          <w:p w14:paraId="3C1F1BD1" w14:textId="61A2C881" w:rsidR="00C30768" w:rsidRPr="00C30768" w:rsidRDefault="00C30768" w:rsidP="00C30768">
            <w:pPr>
              <w:bidi/>
              <w:spacing w:line="276" w:lineRule="auto"/>
              <w:jc w:val="center"/>
              <w:rPr>
                <w:rFonts w:ascii="Times New Roman" w:eastAsia="Calibri" w:hAnsi="Times New Roman" w:cs="Times New Roman"/>
                <w:sz w:val="20"/>
                <w:szCs w:val="20"/>
              </w:rPr>
            </w:pPr>
          </w:p>
        </w:tc>
        <w:tc>
          <w:tcPr>
            <w:tcW w:w="857" w:type="dxa"/>
            <w:vMerge/>
            <w:vAlign w:val="center"/>
          </w:tcPr>
          <w:p w14:paraId="107AE962" w14:textId="3CF2EC22" w:rsidR="00C30768" w:rsidRPr="00C30768" w:rsidRDefault="00C30768" w:rsidP="00C30768">
            <w:pPr>
              <w:bidi/>
              <w:spacing w:line="276" w:lineRule="auto"/>
              <w:jc w:val="center"/>
              <w:rPr>
                <w:rFonts w:ascii="Times New Roman" w:eastAsia="Calibri" w:hAnsi="Times New Roman" w:cs="Times New Roman"/>
                <w:sz w:val="20"/>
                <w:szCs w:val="20"/>
              </w:rPr>
            </w:pPr>
          </w:p>
        </w:tc>
        <w:tc>
          <w:tcPr>
            <w:tcW w:w="1153" w:type="dxa"/>
            <w:vMerge/>
            <w:hideMark/>
          </w:tcPr>
          <w:p w14:paraId="565820E1" w14:textId="4E59A413" w:rsidR="00C30768" w:rsidRPr="00C30768" w:rsidRDefault="00C30768" w:rsidP="00C30768">
            <w:pPr>
              <w:bidi/>
              <w:spacing w:line="276" w:lineRule="auto"/>
              <w:jc w:val="center"/>
              <w:rPr>
                <w:rFonts w:ascii="Times New Roman" w:eastAsia="Calibri" w:hAnsi="Times New Roman" w:cs="Times New Roman"/>
                <w:sz w:val="20"/>
                <w:szCs w:val="20"/>
              </w:rPr>
            </w:pPr>
          </w:p>
        </w:tc>
        <w:tc>
          <w:tcPr>
            <w:tcW w:w="1377" w:type="dxa"/>
            <w:vMerge/>
            <w:vAlign w:val="center"/>
          </w:tcPr>
          <w:p w14:paraId="0DF22E22" w14:textId="5FF850EE" w:rsidR="00C30768" w:rsidRPr="00C30768" w:rsidRDefault="00C30768" w:rsidP="00C30768">
            <w:pPr>
              <w:bidi/>
              <w:spacing w:line="276" w:lineRule="auto"/>
              <w:jc w:val="center"/>
              <w:rPr>
                <w:rFonts w:ascii="Times New Roman" w:eastAsia="Calibri" w:hAnsi="Times New Roman" w:cs="Times New Roman"/>
                <w:sz w:val="20"/>
                <w:szCs w:val="20"/>
              </w:rPr>
            </w:pPr>
          </w:p>
        </w:tc>
      </w:tr>
      <w:tr w:rsidR="00C30768" w:rsidRPr="00C30768" w14:paraId="0021861D" w14:textId="468A42C2" w:rsidTr="00C30768">
        <w:trPr>
          <w:jc w:val="center"/>
        </w:trPr>
        <w:tc>
          <w:tcPr>
            <w:tcW w:w="1290" w:type="dxa"/>
            <w:vMerge/>
          </w:tcPr>
          <w:p w14:paraId="285CB71C" w14:textId="0F289F30" w:rsidR="00C30768" w:rsidRPr="00C30768" w:rsidRDefault="00C30768" w:rsidP="00C30768">
            <w:pPr>
              <w:bidi/>
              <w:spacing w:line="276" w:lineRule="auto"/>
              <w:jc w:val="center"/>
              <w:rPr>
                <w:rFonts w:ascii="Times New Roman" w:eastAsia="Calibri" w:hAnsi="Times New Roman" w:cs="Times New Roman"/>
                <w:sz w:val="20"/>
                <w:szCs w:val="20"/>
              </w:rPr>
            </w:pPr>
          </w:p>
        </w:tc>
        <w:tc>
          <w:tcPr>
            <w:tcW w:w="933" w:type="dxa"/>
            <w:vMerge w:val="restart"/>
          </w:tcPr>
          <w:p w14:paraId="07E96A2B" w14:textId="53A0862E"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MTS.tot</w:t>
            </w:r>
            <w:r w:rsidRPr="00C30768">
              <w:rPr>
                <w:rFonts w:ascii="Times New Roman" w:eastAsia="Calibri" w:hAnsi="Times New Roman" w:cs="Times New Roman" w:hint="cs"/>
                <w:sz w:val="20"/>
                <w:szCs w:val="20"/>
                <w:rtl/>
              </w:rPr>
              <w:t xml:space="preserve"> </w:t>
            </w:r>
          </w:p>
        </w:tc>
        <w:tc>
          <w:tcPr>
            <w:tcW w:w="1741" w:type="dxa"/>
            <w:vAlign w:val="center"/>
            <w:hideMark/>
          </w:tcPr>
          <w:p w14:paraId="209AA18E" w14:textId="504865CE"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Between Groups</w:t>
            </w:r>
          </w:p>
        </w:tc>
        <w:tc>
          <w:tcPr>
            <w:tcW w:w="1206" w:type="dxa"/>
            <w:vAlign w:val="center"/>
          </w:tcPr>
          <w:p w14:paraId="67348552" w14:textId="04767A8A"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111322.62</w:t>
            </w:r>
          </w:p>
        </w:tc>
        <w:tc>
          <w:tcPr>
            <w:tcW w:w="581" w:type="dxa"/>
            <w:vAlign w:val="center"/>
          </w:tcPr>
          <w:p w14:paraId="64EB9897" w14:textId="5047A66C"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2</w:t>
            </w:r>
          </w:p>
        </w:tc>
        <w:tc>
          <w:tcPr>
            <w:tcW w:w="1090" w:type="dxa"/>
            <w:vAlign w:val="center"/>
          </w:tcPr>
          <w:p w14:paraId="3D49D816" w14:textId="67C8501A"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55661.31</w:t>
            </w:r>
          </w:p>
        </w:tc>
        <w:tc>
          <w:tcPr>
            <w:tcW w:w="857" w:type="dxa"/>
            <w:vMerge w:val="restart"/>
          </w:tcPr>
          <w:p w14:paraId="54F387CD" w14:textId="0AB5F19B"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602.93</w:t>
            </w:r>
          </w:p>
        </w:tc>
        <w:tc>
          <w:tcPr>
            <w:tcW w:w="1153" w:type="dxa"/>
            <w:vMerge w:val="restart"/>
            <w:vAlign w:val="center"/>
            <w:hideMark/>
          </w:tcPr>
          <w:p w14:paraId="1DADAC13" w14:textId="010279F7"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P &lt; 0.001</w:t>
            </w:r>
          </w:p>
        </w:tc>
        <w:tc>
          <w:tcPr>
            <w:tcW w:w="1377" w:type="dxa"/>
            <w:vMerge w:val="restart"/>
          </w:tcPr>
          <w:p w14:paraId="2AAF1E42" w14:textId="570DA41D"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Low &gt; medium &amp; High</w:t>
            </w:r>
          </w:p>
          <w:p w14:paraId="1B289D26" w14:textId="415DCCE5"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medium&gt; High</w:t>
            </w:r>
          </w:p>
        </w:tc>
      </w:tr>
      <w:tr w:rsidR="00C30768" w:rsidRPr="00C30768" w14:paraId="16521F8F" w14:textId="47E4B995" w:rsidTr="00C30768">
        <w:trPr>
          <w:trHeight w:val="489"/>
          <w:jc w:val="center"/>
        </w:trPr>
        <w:tc>
          <w:tcPr>
            <w:tcW w:w="1290" w:type="dxa"/>
            <w:vMerge/>
            <w:vAlign w:val="center"/>
          </w:tcPr>
          <w:p w14:paraId="2122A8B4" w14:textId="412FF6F3" w:rsidR="00C30768" w:rsidRPr="00C30768" w:rsidRDefault="00C30768" w:rsidP="00C30768">
            <w:pPr>
              <w:bidi/>
              <w:spacing w:line="276" w:lineRule="auto"/>
              <w:jc w:val="center"/>
              <w:rPr>
                <w:rFonts w:ascii="Times New Roman" w:eastAsia="Calibri" w:hAnsi="Times New Roman" w:cs="Times New Roman"/>
                <w:b/>
                <w:bCs/>
                <w:sz w:val="20"/>
                <w:szCs w:val="20"/>
              </w:rPr>
            </w:pPr>
          </w:p>
        </w:tc>
        <w:tc>
          <w:tcPr>
            <w:tcW w:w="933" w:type="dxa"/>
            <w:vMerge/>
            <w:vAlign w:val="center"/>
          </w:tcPr>
          <w:p w14:paraId="49AED4A3" w14:textId="6821A663" w:rsidR="00C30768" w:rsidRPr="00C30768" w:rsidRDefault="00C30768" w:rsidP="00C30768">
            <w:pPr>
              <w:bidi/>
              <w:spacing w:line="276" w:lineRule="auto"/>
              <w:jc w:val="center"/>
              <w:rPr>
                <w:rFonts w:ascii="Times New Roman" w:eastAsia="Calibri" w:hAnsi="Times New Roman" w:cs="Times New Roman"/>
                <w:b/>
                <w:bCs/>
                <w:sz w:val="20"/>
                <w:szCs w:val="20"/>
              </w:rPr>
            </w:pPr>
          </w:p>
        </w:tc>
        <w:tc>
          <w:tcPr>
            <w:tcW w:w="1741" w:type="dxa"/>
            <w:vAlign w:val="center"/>
            <w:hideMark/>
          </w:tcPr>
          <w:p w14:paraId="532051DF" w14:textId="6DF90332"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Within Groups</w:t>
            </w:r>
          </w:p>
        </w:tc>
        <w:tc>
          <w:tcPr>
            <w:tcW w:w="1206" w:type="dxa"/>
            <w:vAlign w:val="center"/>
          </w:tcPr>
          <w:p w14:paraId="19F1BDFE" w14:textId="04FC9033"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10801.18</w:t>
            </w:r>
          </w:p>
        </w:tc>
        <w:tc>
          <w:tcPr>
            <w:tcW w:w="581" w:type="dxa"/>
            <w:vAlign w:val="center"/>
          </w:tcPr>
          <w:p w14:paraId="6A1274EA" w14:textId="6834B1E4"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117</w:t>
            </w:r>
          </w:p>
        </w:tc>
        <w:tc>
          <w:tcPr>
            <w:tcW w:w="1090" w:type="dxa"/>
            <w:vAlign w:val="center"/>
          </w:tcPr>
          <w:p w14:paraId="611C2553" w14:textId="48996EF7"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92.32</w:t>
            </w:r>
          </w:p>
        </w:tc>
        <w:tc>
          <w:tcPr>
            <w:tcW w:w="857" w:type="dxa"/>
            <w:vMerge/>
            <w:vAlign w:val="center"/>
          </w:tcPr>
          <w:p w14:paraId="0FD0C5B6" w14:textId="4142CC3A" w:rsidR="00C30768" w:rsidRPr="00C30768" w:rsidRDefault="00C30768" w:rsidP="00C30768">
            <w:pPr>
              <w:rPr>
                <w:rFonts w:ascii="Times New Roman" w:eastAsia="Calibri" w:hAnsi="Times New Roman" w:cs="Times New Roman"/>
                <w:sz w:val="28"/>
                <w:szCs w:val="28"/>
                <w:lang w:bidi="ar-EG"/>
              </w:rPr>
            </w:pPr>
          </w:p>
        </w:tc>
        <w:tc>
          <w:tcPr>
            <w:tcW w:w="1153" w:type="dxa"/>
            <w:vMerge/>
            <w:vAlign w:val="center"/>
            <w:hideMark/>
          </w:tcPr>
          <w:p w14:paraId="573D8173" w14:textId="3AA1A663" w:rsidR="00C30768" w:rsidRPr="00C30768" w:rsidRDefault="00C30768" w:rsidP="00C30768">
            <w:pPr>
              <w:rPr>
                <w:rFonts w:ascii="Times New Roman" w:eastAsia="Calibri" w:hAnsi="Times New Roman" w:cs="Times New Roman"/>
                <w:sz w:val="28"/>
                <w:szCs w:val="28"/>
                <w:lang w:bidi="ar-EG"/>
              </w:rPr>
            </w:pPr>
          </w:p>
        </w:tc>
        <w:tc>
          <w:tcPr>
            <w:tcW w:w="1377" w:type="dxa"/>
            <w:vMerge/>
            <w:vAlign w:val="center"/>
          </w:tcPr>
          <w:p w14:paraId="6D9C0AAA" w14:textId="6678EB38" w:rsidR="00C30768" w:rsidRPr="00C30768" w:rsidRDefault="00C30768" w:rsidP="00C30768">
            <w:pPr>
              <w:rPr>
                <w:rFonts w:ascii="Times New Roman" w:eastAsia="Calibri" w:hAnsi="Times New Roman" w:cs="Times New Roman"/>
                <w:sz w:val="28"/>
                <w:szCs w:val="28"/>
              </w:rPr>
            </w:pPr>
          </w:p>
        </w:tc>
      </w:tr>
      <w:tr w:rsidR="00C30768" w:rsidRPr="00C30768" w14:paraId="54B10B44" w14:textId="6154AB54" w:rsidTr="00C30768">
        <w:trPr>
          <w:trHeight w:val="180"/>
          <w:jc w:val="center"/>
        </w:trPr>
        <w:tc>
          <w:tcPr>
            <w:tcW w:w="1290" w:type="dxa"/>
            <w:vMerge/>
            <w:vAlign w:val="center"/>
          </w:tcPr>
          <w:p w14:paraId="679177E7" w14:textId="2CB054BC" w:rsidR="00C30768" w:rsidRPr="00C30768" w:rsidRDefault="00C30768" w:rsidP="00C30768">
            <w:pPr>
              <w:bidi/>
              <w:spacing w:line="276" w:lineRule="auto"/>
              <w:jc w:val="center"/>
              <w:rPr>
                <w:rFonts w:ascii="Times New Roman" w:eastAsia="Calibri" w:hAnsi="Times New Roman" w:cs="Times New Roman"/>
                <w:b/>
                <w:bCs/>
                <w:sz w:val="20"/>
                <w:szCs w:val="20"/>
              </w:rPr>
            </w:pPr>
          </w:p>
        </w:tc>
        <w:tc>
          <w:tcPr>
            <w:tcW w:w="933" w:type="dxa"/>
            <w:vMerge/>
            <w:vAlign w:val="center"/>
          </w:tcPr>
          <w:p w14:paraId="52B1D9A5" w14:textId="03AF6E57" w:rsidR="00C30768" w:rsidRPr="00C30768" w:rsidRDefault="00C30768" w:rsidP="00C30768">
            <w:pPr>
              <w:bidi/>
              <w:spacing w:line="276" w:lineRule="auto"/>
              <w:jc w:val="center"/>
              <w:rPr>
                <w:rFonts w:ascii="Times New Roman" w:eastAsia="Calibri" w:hAnsi="Times New Roman" w:cs="Times New Roman"/>
                <w:b/>
                <w:bCs/>
                <w:sz w:val="20"/>
                <w:szCs w:val="20"/>
              </w:rPr>
            </w:pPr>
          </w:p>
        </w:tc>
        <w:tc>
          <w:tcPr>
            <w:tcW w:w="1741" w:type="dxa"/>
            <w:vAlign w:val="center"/>
            <w:hideMark/>
          </w:tcPr>
          <w:p w14:paraId="0BF76B08" w14:textId="7C28C25D"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Total</w:t>
            </w:r>
          </w:p>
        </w:tc>
        <w:tc>
          <w:tcPr>
            <w:tcW w:w="1206" w:type="dxa"/>
            <w:vAlign w:val="center"/>
          </w:tcPr>
          <w:p w14:paraId="2DD1CE73" w14:textId="42B563EB"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122123.79</w:t>
            </w:r>
          </w:p>
        </w:tc>
        <w:tc>
          <w:tcPr>
            <w:tcW w:w="581" w:type="dxa"/>
            <w:vAlign w:val="center"/>
          </w:tcPr>
          <w:p w14:paraId="64E9E29F" w14:textId="43C70B35"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119</w:t>
            </w:r>
          </w:p>
        </w:tc>
        <w:tc>
          <w:tcPr>
            <w:tcW w:w="1090" w:type="dxa"/>
            <w:vAlign w:val="center"/>
          </w:tcPr>
          <w:p w14:paraId="7BA7ED96" w14:textId="4605CC1E" w:rsidR="00C30768" w:rsidRPr="00C30768" w:rsidRDefault="00C30768" w:rsidP="00C30768">
            <w:pPr>
              <w:bidi/>
              <w:spacing w:line="276" w:lineRule="auto"/>
              <w:jc w:val="center"/>
              <w:rPr>
                <w:rFonts w:ascii="Times New Roman" w:eastAsia="Calibri" w:hAnsi="Times New Roman" w:cs="Times New Roman"/>
                <w:sz w:val="20"/>
                <w:szCs w:val="20"/>
              </w:rPr>
            </w:pPr>
          </w:p>
        </w:tc>
        <w:tc>
          <w:tcPr>
            <w:tcW w:w="857" w:type="dxa"/>
            <w:vMerge/>
            <w:vAlign w:val="center"/>
          </w:tcPr>
          <w:p w14:paraId="74528F0C" w14:textId="677468E6" w:rsidR="00C30768" w:rsidRPr="00C30768" w:rsidRDefault="00C30768" w:rsidP="00C30768">
            <w:pPr>
              <w:rPr>
                <w:rFonts w:ascii="Times New Roman" w:eastAsia="Calibri" w:hAnsi="Times New Roman" w:cs="Times New Roman"/>
                <w:sz w:val="28"/>
                <w:szCs w:val="28"/>
                <w:lang w:bidi="ar-EG"/>
              </w:rPr>
            </w:pPr>
          </w:p>
        </w:tc>
        <w:tc>
          <w:tcPr>
            <w:tcW w:w="1153" w:type="dxa"/>
            <w:vMerge/>
            <w:vAlign w:val="center"/>
            <w:hideMark/>
          </w:tcPr>
          <w:p w14:paraId="1E46AD6E" w14:textId="77E91CC3" w:rsidR="00C30768" w:rsidRPr="00C30768" w:rsidRDefault="00C30768" w:rsidP="00C30768">
            <w:pPr>
              <w:rPr>
                <w:rFonts w:ascii="Times New Roman" w:eastAsia="Calibri" w:hAnsi="Times New Roman" w:cs="Times New Roman"/>
                <w:sz w:val="28"/>
                <w:szCs w:val="28"/>
                <w:lang w:bidi="ar-EG"/>
              </w:rPr>
            </w:pPr>
          </w:p>
        </w:tc>
        <w:tc>
          <w:tcPr>
            <w:tcW w:w="1377" w:type="dxa"/>
            <w:vMerge/>
            <w:vAlign w:val="center"/>
          </w:tcPr>
          <w:p w14:paraId="1878285C" w14:textId="4501638B" w:rsidR="00C30768" w:rsidRPr="00C30768" w:rsidRDefault="00C30768" w:rsidP="00C30768">
            <w:pPr>
              <w:rPr>
                <w:rFonts w:ascii="Times New Roman" w:eastAsia="Calibri" w:hAnsi="Times New Roman" w:cs="Times New Roman"/>
                <w:sz w:val="28"/>
                <w:szCs w:val="28"/>
              </w:rPr>
            </w:pPr>
          </w:p>
        </w:tc>
      </w:tr>
    </w:tbl>
    <w:p w14:paraId="270A123C" w14:textId="3436BB5A" w:rsidR="00C30768" w:rsidRPr="00C30768" w:rsidRDefault="00C30768" w:rsidP="005F63C8">
      <w:pPr>
        <w:spacing w:before="240" w:line="276" w:lineRule="auto"/>
        <w:ind w:firstLine="360"/>
        <w:jc w:val="center"/>
        <w:rPr>
          <w:rFonts w:ascii="Times New Roman" w:hAnsi="Times New Roman" w:cs="Times New Roman"/>
          <w:i/>
          <w:iCs/>
          <w:color w:val="000000" w:themeColor="text1"/>
        </w:rPr>
      </w:pPr>
      <w:r w:rsidRPr="003D049A">
        <w:rPr>
          <w:rFonts w:ascii="Times New Roman" w:hAnsi="Times New Roman" w:cs="Times New Roman"/>
          <w:i/>
          <w:iCs/>
          <w:color w:val="000000" w:themeColor="text1"/>
        </w:rPr>
        <w:lastRenderedPageBreak/>
        <w:t xml:space="preserve">Table 10.  Analysis of the </w:t>
      </w:r>
      <w:r w:rsidR="005F63C8" w:rsidRPr="003D049A">
        <w:rPr>
          <w:rFonts w:ascii="Times New Roman" w:hAnsi="Times New Roman" w:cs="Times New Roman"/>
          <w:i/>
          <w:iCs/>
          <w:color w:val="000000" w:themeColor="text1"/>
        </w:rPr>
        <w:t xml:space="preserve">Differences </w:t>
      </w:r>
      <w:r w:rsidRPr="003D049A">
        <w:rPr>
          <w:rFonts w:ascii="Times New Roman" w:hAnsi="Times New Roman" w:cs="Times New Roman"/>
          <w:i/>
          <w:iCs/>
          <w:color w:val="000000" w:themeColor="text1"/>
        </w:rPr>
        <w:t xml:space="preserve">between the </w:t>
      </w:r>
      <w:r w:rsidR="005F63C8" w:rsidRPr="003D049A">
        <w:rPr>
          <w:rFonts w:ascii="Times New Roman" w:hAnsi="Times New Roman" w:cs="Times New Roman"/>
          <w:i/>
          <w:iCs/>
          <w:color w:val="000000" w:themeColor="text1"/>
        </w:rPr>
        <w:t>Metacognitive Thinking</w:t>
      </w:r>
      <w:r w:rsidR="005F63C8" w:rsidRPr="003D049A">
        <w:rPr>
          <w:rFonts w:ascii="Times New Roman" w:hAnsi="Times New Roman" w:cs="Times New Roman"/>
          <w:i/>
          <w:iCs/>
          <w:color w:val="000000" w:themeColor="text1"/>
          <w:rtl/>
        </w:rPr>
        <w:t xml:space="preserve"> </w:t>
      </w:r>
      <w:r w:rsidR="005F63C8" w:rsidRPr="003D049A">
        <w:rPr>
          <w:rFonts w:ascii="Times New Roman" w:hAnsi="Times New Roman" w:cs="Times New Roman"/>
          <w:i/>
          <w:iCs/>
          <w:color w:val="000000" w:themeColor="text1"/>
        </w:rPr>
        <w:t xml:space="preserve">Skills </w:t>
      </w:r>
      <w:r w:rsidRPr="003D049A">
        <w:rPr>
          <w:rFonts w:ascii="Times New Roman" w:hAnsi="Times New Roman" w:cs="Times New Roman"/>
          <w:i/>
          <w:iCs/>
          <w:color w:val="000000" w:themeColor="text1"/>
        </w:rPr>
        <w:t xml:space="preserve">via </w:t>
      </w:r>
      <w:r w:rsidR="005F63C8" w:rsidRPr="003D049A">
        <w:rPr>
          <w:rFonts w:ascii="Times New Roman" w:hAnsi="Times New Roman" w:cs="Times New Roman"/>
          <w:i/>
          <w:iCs/>
          <w:color w:val="000000" w:themeColor="text1"/>
        </w:rPr>
        <w:t>One</w:t>
      </w:r>
      <w:r w:rsidRPr="003D049A">
        <w:rPr>
          <w:rFonts w:ascii="Times New Roman" w:hAnsi="Times New Roman" w:cs="Times New Roman"/>
          <w:i/>
          <w:iCs/>
          <w:color w:val="000000" w:themeColor="text1"/>
        </w:rPr>
        <w:t>-</w:t>
      </w:r>
      <w:r w:rsidR="005F63C8" w:rsidRPr="003D049A">
        <w:rPr>
          <w:rFonts w:ascii="Times New Roman" w:hAnsi="Times New Roman" w:cs="Times New Roman"/>
          <w:i/>
          <w:iCs/>
          <w:color w:val="000000" w:themeColor="text1"/>
        </w:rPr>
        <w:t xml:space="preserve">Way </w:t>
      </w:r>
      <w:r w:rsidRPr="003D049A">
        <w:rPr>
          <w:rFonts w:ascii="Times New Roman" w:hAnsi="Times New Roman" w:cs="Times New Roman"/>
          <w:i/>
          <w:iCs/>
          <w:color w:val="000000" w:themeColor="text1"/>
        </w:rPr>
        <w:t xml:space="preserve">ANOVA according to </w:t>
      </w:r>
      <w:r w:rsidR="005F63C8" w:rsidRPr="003D049A">
        <w:rPr>
          <w:rFonts w:ascii="Times New Roman" w:hAnsi="Times New Roman" w:cs="Times New Roman"/>
          <w:i/>
          <w:iCs/>
          <w:color w:val="000000" w:themeColor="text1"/>
        </w:rPr>
        <w:t>Alexithymia Level</w:t>
      </w:r>
    </w:p>
    <w:tbl>
      <w:tblPr>
        <w:tblW w:w="10128"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372"/>
        <w:gridCol w:w="961"/>
        <w:gridCol w:w="1796"/>
        <w:gridCol w:w="1211"/>
        <w:gridCol w:w="568"/>
        <w:gridCol w:w="1094"/>
        <w:gridCol w:w="859"/>
        <w:gridCol w:w="1098"/>
        <w:gridCol w:w="1169"/>
      </w:tblGrid>
      <w:tr w:rsidR="00C30768" w:rsidRPr="00C30768" w14:paraId="34E8CAC4" w14:textId="32E7F156" w:rsidTr="00C30768">
        <w:trPr>
          <w:jc w:val="center"/>
        </w:trPr>
        <w:tc>
          <w:tcPr>
            <w:tcW w:w="1374" w:type="dxa"/>
            <w:vAlign w:val="center"/>
            <w:hideMark/>
          </w:tcPr>
          <w:p w14:paraId="486A5C2A" w14:textId="0754357A" w:rsidR="00C30768" w:rsidRPr="00C30768" w:rsidRDefault="00C30768" w:rsidP="00C30768">
            <w:pPr>
              <w:bidi/>
              <w:spacing w:line="276" w:lineRule="auto"/>
              <w:jc w:val="center"/>
              <w:rPr>
                <w:rFonts w:ascii="Times New Roman" w:eastAsia="Calibri" w:hAnsi="Times New Roman" w:cs="Times New Roman"/>
                <w:b/>
                <w:bCs/>
                <w:sz w:val="20"/>
                <w:szCs w:val="20"/>
              </w:rPr>
            </w:pPr>
            <w:r w:rsidRPr="00C30768">
              <w:rPr>
                <w:rFonts w:ascii="Times New Roman" w:eastAsia="Calibri" w:hAnsi="Times New Roman" w:cs="Times New Roman"/>
                <w:b/>
                <w:bCs/>
                <w:sz w:val="20"/>
                <w:szCs w:val="20"/>
              </w:rPr>
              <w:t>Alexithymia</w:t>
            </w:r>
            <w:r w:rsidRPr="00C30768">
              <w:rPr>
                <w:rFonts w:ascii="Times New Roman" w:eastAsia="Calibri" w:hAnsi="Times New Roman" w:cs="Times New Roman" w:hint="cs"/>
                <w:b/>
                <w:bCs/>
                <w:sz w:val="20"/>
                <w:szCs w:val="20"/>
                <w:rtl/>
              </w:rPr>
              <w:t xml:space="preserve"> </w:t>
            </w:r>
            <w:r w:rsidRPr="00C30768">
              <w:rPr>
                <w:rFonts w:ascii="Times New Roman" w:eastAsia="Calibri" w:hAnsi="Times New Roman" w:cs="Times New Roman"/>
                <w:b/>
                <w:bCs/>
                <w:sz w:val="20"/>
                <w:szCs w:val="20"/>
              </w:rPr>
              <w:t>Dimensions</w:t>
            </w:r>
          </w:p>
        </w:tc>
        <w:tc>
          <w:tcPr>
            <w:tcW w:w="900" w:type="dxa"/>
            <w:vAlign w:val="center"/>
            <w:hideMark/>
          </w:tcPr>
          <w:p w14:paraId="335EA554" w14:textId="44944FE7" w:rsidR="00C30768" w:rsidRPr="00C30768" w:rsidRDefault="00C30768" w:rsidP="00C30768">
            <w:pPr>
              <w:bidi/>
              <w:spacing w:line="276" w:lineRule="auto"/>
              <w:jc w:val="center"/>
              <w:rPr>
                <w:rFonts w:ascii="Times New Roman" w:eastAsia="Calibri" w:hAnsi="Times New Roman" w:cs="Times New Roman"/>
                <w:b/>
                <w:bCs/>
                <w:sz w:val="20"/>
                <w:szCs w:val="20"/>
              </w:rPr>
            </w:pPr>
            <w:r w:rsidRPr="00C30768">
              <w:rPr>
                <w:rFonts w:ascii="Times New Roman" w:eastAsia="Calibri" w:hAnsi="Times New Roman" w:cs="Times New Roman"/>
                <w:b/>
                <w:bCs/>
                <w:sz w:val="20"/>
                <w:szCs w:val="20"/>
              </w:rPr>
              <w:t>Main Variable</w:t>
            </w:r>
          </w:p>
        </w:tc>
        <w:tc>
          <w:tcPr>
            <w:tcW w:w="1823" w:type="dxa"/>
            <w:vAlign w:val="center"/>
          </w:tcPr>
          <w:p w14:paraId="50F95AD6" w14:textId="08CA2ECF" w:rsidR="00C30768" w:rsidRPr="00C30768" w:rsidRDefault="00C30768" w:rsidP="00C30768">
            <w:pPr>
              <w:bidi/>
              <w:spacing w:line="276" w:lineRule="auto"/>
              <w:jc w:val="center"/>
              <w:rPr>
                <w:rFonts w:ascii="Times New Roman" w:eastAsia="Calibri" w:hAnsi="Times New Roman" w:cs="Times New Roman"/>
                <w:b/>
                <w:bCs/>
                <w:sz w:val="20"/>
                <w:szCs w:val="20"/>
              </w:rPr>
            </w:pPr>
          </w:p>
        </w:tc>
        <w:tc>
          <w:tcPr>
            <w:tcW w:w="1215" w:type="dxa"/>
            <w:vAlign w:val="center"/>
            <w:hideMark/>
          </w:tcPr>
          <w:p w14:paraId="091E9CFC" w14:textId="4F725F2A" w:rsidR="00C30768" w:rsidRPr="00C30768" w:rsidRDefault="00C30768" w:rsidP="00C30768">
            <w:pPr>
              <w:bidi/>
              <w:spacing w:line="276" w:lineRule="auto"/>
              <w:jc w:val="center"/>
              <w:rPr>
                <w:rFonts w:ascii="Times New Roman" w:eastAsia="Calibri" w:hAnsi="Times New Roman" w:cs="Times New Roman"/>
                <w:b/>
                <w:bCs/>
                <w:sz w:val="20"/>
                <w:szCs w:val="20"/>
              </w:rPr>
            </w:pPr>
            <w:r w:rsidRPr="00C30768">
              <w:rPr>
                <w:rFonts w:ascii="Times New Roman" w:eastAsia="Calibri" w:hAnsi="Times New Roman" w:cs="Times New Roman"/>
                <w:b/>
                <w:bCs/>
                <w:sz w:val="20"/>
                <w:szCs w:val="20"/>
              </w:rPr>
              <w:t>Sum of Squares</w:t>
            </w:r>
          </w:p>
        </w:tc>
        <w:tc>
          <w:tcPr>
            <w:tcW w:w="570" w:type="dxa"/>
            <w:vAlign w:val="center"/>
            <w:hideMark/>
          </w:tcPr>
          <w:p w14:paraId="76792FD5" w14:textId="71B9AF4A" w:rsidR="00C30768" w:rsidRPr="00C30768" w:rsidRDefault="00C30768" w:rsidP="00C30768">
            <w:pPr>
              <w:bidi/>
              <w:spacing w:line="276" w:lineRule="auto"/>
              <w:jc w:val="center"/>
              <w:rPr>
                <w:rFonts w:ascii="Times New Roman" w:eastAsia="Calibri" w:hAnsi="Times New Roman" w:cs="Times New Roman"/>
                <w:b/>
                <w:bCs/>
                <w:sz w:val="20"/>
                <w:szCs w:val="20"/>
              </w:rPr>
            </w:pPr>
            <w:r w:rsidRPr="00C30768">
              <w:rPr>
                <w:rFonts w:ascii="Times New Roman" w:eastAsia="Calibri" w:hAnsi="Times New Roman" w:cs="Times New Roman"/>
                <w:b/>
                <w:bCs/>
                <w:sz w:val="20"/>
                <w:szCs w:val="20"/>
              </w:rPr>
              <w:t>df</w:t>
            </w:r>
          </w:p>
        </w:tc>
        <w:tc>
          <w:tcPr>
            <w:tcW w:w="1098" w:type="dxa"/>
            <w:vAlign w:val="center"/>
            <w:hideMark/>
          </w:tcPr>
          <w:p w14:paraId="222CF8BD" w14:textId="7B868C56" w:rsidR="00C30768" w:rsidRPr="00C30768" w:rsidRDefault="00C30768" w:rsidP="00C30768">
            <w:pPr>
              <w:bidi/>
              <w:spacing w:line="276" w:lineRule="auto"/>
              <w:jc w:val="center"/>
              <w:rPr>
                <w:rFonts w:ascii="Times New Roman" w:eastAsia="Calibri" w:hAnsi="Times New Roman" w:cs="Times New Roman"/>
                <w:b/>
                <w:bCs/>
                <w:sz w:val="20"/>
                <w:szCs w:val="20"/>
              </w:rPr>
            </w:pPr>
            <w:r w:rsidRPr="00C30768">
              <w:rPr>
                <w:rFonts w:ascii="Times New Roman" w:eastAsia="Calibri" w:hAnsi="Times New Roman" w:cs="Times New Roman"/>
                <w:b/>
                <w:bCs/>
                <w:sz w:val="20"/>
                <w:szCs w:val="20"/>
              </w:rPr>
              <w:t>Mean Square</w:t>
            </w:r>
          </w:p>
        </w:tc>
        <w:tc>
          <w:tcPr>
            <w:tcW w:w="862" w:type="dxa"/>
            <w:vAlign w:val="center"/>
            <w:hideMark/>
          </w:tcPr>
          <w:p w14:paraId="324F35F7" w14:textId="73C2B327" w:rsidR="00C30768" w:rsidRPr="00C30768" w:rsidRDefault="00C30768" w:rsidP="00C30768">
            <w:pPr>
              <w:bidi/>
              <w:spacing w:line="276" w:lineRule="auto"/>
              <w:jc w:val="center"/>
              <w:rPr>
                <w:rFonts w:ascii="Times New Roman" w:eastAsia="Calibri" w:hAnsi="Times New Roman" w:cs="Times New Roman"/>
                <w:b/>
                <w:bCs/>
                <w:sz w:val="20"/>
                <w:szCs w:val="20"/>
              </w:rPr>
            </w:pPr>
            <w:r w:rsidRPr="00C30768">
              <w:rPr>
                <w:rFonts w:ascii="Times New Roman" w:eastAsia="Calibri" w:hAnsi="Times New Roman" w:cs="Times New Roman"/>
                <w:b/>
                <w:bCs/>
                <w:sz w:val="20"/>
                <w:szCs w:val="20"/>
              </w:rPr>
              <w:t>F</w:t>
            </w:r>
          </w:p>
        </w:tc>
        <w:tc>
          <w:tcPr>
            <w:tcW w:w="1111" w:type="dxa"/>
            <w:vAlign w:val="center"/>
            <w:hideMark/>
          </w:tcPr>
          <w:p w14:paraId="23D60D43" w14:textId="0F5FDF60" w:rsidR="00C30768" w:rsidRPr="00C30768" w:rsidRDefault="00C30768" w:rsidP="00C30768">
            <w:pPr>
              <w:jc w:val="center"/>
              <w:rPr>
                <w:rFonts w:ascii="Times New Roman" w:eastAsia="Calibri" w:hAnsi="Times New Roman" w:cs="Times New Roman"/>
                <w:b/>
                <w:bCs/>
                <w:sz w:val="20"/>
                <w:szCs w:val="20"/>
              </w:rPr>
            </w:pPr>
            <w:r w:rsidRPr="00C30768">
              <w:rPr>
                <w:rFonts w:ascii="Times New Roman" w:eastAsia="Calibri" w:hAnsi="Times New Roman" w:cs="Times New Roman"/>
                <w:b/>
                <w:bCs/>
                <w:sz w:val="20"/>
                <w:szCs w:val="20"/>
              </w:rPr>
              <w:t>Sig</w:t>
            </w:r>
          </w:p>
        </w:tc>
        <w:tc>
          <w:tcPr>
            <w:tcW w:w="1175" w:type="dxa"/>
            <w:vAlign w:val="center"/>
            <w:hideMark/>
          </w:tcPr>
          <w:p w14:paraId="65C79695" w14:textId="6C091142" w:rsidR="00C30768" w:rsidRPr="00C30768" w:rsidRDefault="00C30768" w:rsidP="00C30768">
            <w:pPr>
              <w:jc w:val="center"/>
              <w:rPr>
                <w:rFonts w:ascii="Times New Roman" w:eastAsia="Calibri" w:hAnsi="Times New Roman" w:cs="Times New Roman"/>
                <w:b/>
                <w:bCs/>
                <w:sz w:val="20"/>
                <w:szCs w:val="20"/>
              </w:rPr>
            </w:pPr>
            <w:r w:rsidRPr="00C30768">
              <w:rPr>
                <w:rFonts w:ascii="Times New Roman" w:eastAsia="Calibri" w:hAnsi="Times New Roman" w:cs="Times New Roman"/>
                <w:b/>
                <w:bCs/>
                <w:sz w:val="20"/>
                <w:szCs w:val="20"/>
              </w:rPr>
              <w:t>Post hoc Scheffe test</w:t>
            </w:r>
          </w:p>
        </w:tc>
      </w:tr>
      <w:tr w:rsidR="00C30768" w:rsidRPr="00C30768" w14:paraId="5C99F389" w14:textId="40F89DBD" w:rsidTr="00C30768">
        <w:trPr>
          <w:trHeight w:val="359"/>
          <w:jc w:val="center"/>
        </w:trPr>
        <w:tc>
          <w:tcPr>
            <w:tcW w:w="1374" w:type="dxa"/>
            <w:vMerge w:val="restart"/>
            <w:hideMark/>
          </w:tcPr>
          <w:p w14:paraId="61B7859C" w14:textId="07223A80"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Alexithymia Scale as a total (AS.tot)</w:t>
            </w:r>
          </w:p>
        </w:tc>
        <w:tc>
          <w:tcPr>
            <w:tcW w:w="900" w:type="dxa"/>
            <w:vMerge w:val="restart"/>
          </w:tcPr>
          <w:p w14:paraId="588DABA7" w14:textId="472AF433"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KoC</w:t>
            </w:r>
          </w:p>
        </w:tc>
        <w:tc>
          <w:tcPr>
            <w:tcW w:w="1823" w:type="dxa"/>
            <w:vAlign w:val="center"/>
            <w:hideMark/>
          </w:tcPr>
          <w:p w14:paraId="4DFF1AC8" w14:textId="55E72F1A"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Between Groups</w:t>
            </w:r>
          </w:p>
        </w:tc>
        <w:tc>
          <w:tcPr>
            <w:tcW w:w="1215" w:type="dxa"/>
            <w:vAlign w:val="center"/>
          </w:tcPr>
          <w:p w14:paraId="4EB340D3" w14:textId="2106EBD6"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5728.67</w:t>
            </w:r>
          </w:p>
        </w:tc>
        <w:tc>
          <w:tcPr>
            <w:tcW w:w="570" w:type="dxa"/>
            <w:vAlign w:val="center"/>
          </w:tcPr>
          <w:p w14:paraId="4DCAB425" w14:textId="21924018"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2</w:t>
            </w:r>
          </w:p>
        </w:tc>
        <w:tc>
          <w:tcPr>
            <w:tcW w:w="1098" w:type="dxa"/>
            <w:vAlign w:val="center"/>
          </w:tcPr>
          <w:p w14:paraId="746DD2F1" w14:textId="02B199E9"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2864.33</w:t>
            </w:r>
          </w:p>
        </w:tc>
        <w:tc>
          <w:tcPr>
            <w:tcW w:w="862" w:type="dxa"/>
            <w:vMerge w:val="restart"/>
          </w:tcPr>
          <w:p w14:paraId="34427025" w14:textId="726A342B" w:rsidR="00C30768" w:rsidRPr="00C30768" w:rsidRDefault="00C30768" w:rsidP="00C30768">
            <w:pPr>
              <w:bidi/>
              <w:rPr>
                <w:rFonts w:ascii="Times New Roman" w:eastAsia="Calibri" w:hAnsi="Times New Roman" w:cs="Times New Roman"/>
                <w:sz w:val="20"/>
                <w:szCs w:val="20"/>
              </w:rPr>
            </w:pPr>
            <w:r w:rsidRPr="00C30768">
              <w:rPr>
                <w:rFonts w:ascii="Times New Roman" w:eastAsia="Calibri" w:hAnsi="Times New Roman" w:cs="Times New Roman"/>
                <w:sz w:val="20"/>
                <w:szCs w:val="20"/>
              </w:rPr>
              <w:t>211.08</w:t>
            </w:r>
          </w:p>
        </w:tc>
        <w:tc>
          <w:tcPr>
            <w:tcW w:w="1111" w:type="dxa"/>
            <w:vMerge w:val="restart"/>
            <w:hideMark/>
          </w:tcPr>
          <w:p w14:paraId="73D51A5F" w14:textId="6F603C1F" w:rsidR="00C30768" w:rsidRPr="00C30768" w:rsidRDefault="00C30768" w:rsidP="00C30768">
            <w:pPr>
              <w:bidi/>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P &lt; 0.001</w:t>
            </w:r>
          </w:p>
        </w:tc>
        <w:tc>
          <w:tcPr>
            <w:tcW w:w="1175" w:type="dxa"/>
            <w:vMerge w:val="restart"/>
          </w:tcPr>
          <w:p w14:paraId="5161B409" w14:textId="59EF74C2" w:rsidR="00C30768" w:rsidRPr="00C30768" w:rsidRDefault="00C30768" w:rsidP="00C30768">
            <w:pPr>
              <w:bidi/>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Low &gt; medium &amp; High</w:t>
            </w:r>
          </w:p>
          <w:p w14:paraId="2C448B1F" w14:textId="287F915E" w:rsidR="00C30768" w:rsidRPr="00C30768" w:rsidRDefault="00C30768" w:rsidP="00C30768">
            <w:pPr>
              <w:bidi/>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medium&gt; High</w:t>
            </w:r>
          </w:p>
        </w:tc>
      </w:tr>
      <w:tr w:rsidR="00C30768" w:rsidRPr="00C30768" w14:paraId="62272BA2" w14:textId="75662372" w:rsidTr="00C30768">
        <w:trPr>
          <w:trHeight w:val="528"/>
          <w:jc w:val="center"/>
        </w:trPr>
        <w:tc>
          <w:tcPr>
            <w:tcW w:w="1374" w:type="dxa"/>
            <w:vMerge/>
            <w:vAlign w:val="center"/>
            <w:hideMark/>
          </w:tcPr>
          <w:p w14:paraId="1920AF5B" w14:textId="1CC8264B" w:rsidR="00C30768" w:rsidRPr="00C30768" w:rsidRDefault="00C30768" w:rsidP="00C30768">
            <w:pPr>
              <w:bidi/>
              <w:spacing w:line="276" w:lineRule="auto"/>
              <w:jc w:val="center"/>
              <w:rPr>
                <w:rFonts w:ascii="Times New Roman" w:eastAsia="Calibri" w:hAnsi="Times New Roman" w:cs="Times New Roman"/>
                <w:sz w:val="20"/>
                <w:szCs w:val="20"/>
              </w:rPr>
            </w:pPr>
          </w:p>
        </w:tc>
        <w:tc>
          <w:tcPr>
            <w:tcW w:w="900" w:type="dxa"/>
            <w:vMerge/>
            <w:vAlign w:val="center"/>
          </w:tcPr>
          <w:p w14:paraId="15F3EEB5" w14:textId="4571BB6D" w:rsidR="00C30768" w:rsidRPr="00C30768" w:rsidRDefault="00C30768" w:rsidP="00C30768">
            <w:pPr>
              <w:bidi/>
              <w:spacing w:line="276" w:lineRule="auto"/>
              <w:jc w:val="center"/>
              <w:rPr>
                <w:rFonts w:ascii="Times New Roman" w:eastAsia="Calibri" w:hAnsi="Times New Roman" w:cs="Times New Roman"/>
                <w:sz w:val="20"/>
                <w:szCs w:val="20"/>
              </w:rPr>
            </w:pPr>
          </w:p>
        </w:tc>
        <w:tc>
          <w:tcPr>
            <w:tcW w:w="1823" w:type="dxa"/>
            <w:vAlign w:val="center"/>
            <w:hideMark/>
          </w:tcPr>
          <w:p w14:paraId="4A195585" w14:textId="37301692"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Within Groups</w:t>
            </w:r>
          </w:p>
        </w:tc>
        <w:tc>
          <w:tcPr>
            <w:tcW w:w="1215" w:type="dxa"/>
            <w:vAlign w:val="center"/>
          </w:tcPr>
          <w:p w14:paraId="48F298E5" w14:textId="4ADEADF0"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1587.66</w:t>
            </w:r>
          </w:p>
        </w:tc>
        <w:tc>
          <w:tcPr>
            <w:tcW w:w="570" w:type="dxa"/>
            <w:vAlign w:val="center"/>
          </w:tcPr>
          <w:p w14:paraId="1DE07145" w14:textId="5BC3B44A"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117</w:t>
            </w:r>
          </w:p>
        </w:tc>
        <w:tc>
          <w:tcPr>
            <w:tcW w:w="1098" w:type="dxa"/>
            <w:vAlign w:val="center"/>
          </w:tcPr>
          <w:p w14:paraId="46662302" w14:textId="7DE86E7E"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13.57</w:t>
            </w:r>
          </w:p>
        </w:tc>
        <w:tc>
          <w:tcPr>
            <w:tcW w:w="862" w:type="dxa"/>
            <w:vMerge/>
            <w:vAlign w:val="center"/>
          </w:tcPr>
          <w:p w14:paraId="5759CD61" w14:textId="58E3E264" w:rsidR="00C30768" w:rsidRPr="00C30768" w:rsidRDefault="00C30768" w:rsidP="00C30768">
            <w:pPr>
              <w:rPr>
                <w:rFonts w:ascii="Times New Roman" w:eastAsia="Calibri" w:hAnsi="Times New Roman" w:cs="Times New Roman"/>
                <w:sz w:val="20"/>
                <w:szCs w:val="20"/>
              </w:rPr>
            </w:pPr>
          </w:p>
        </w:tc>
        <w:tc>
          <w:tcPr>
            <w:tcW w:w="1111" w:type="dxa"/>
            <w:vMerge/>
            <w:vAlign w:val="center"/>
            <w:hideMark/>
          </w:tcPr>
          <w:p w14:paraId="2B28F149" w14:textId="3970F1AB" w:rsidR="00C30768" w:rsidRPr="00C30768" w:rsidRDefault="00C30768" w:rsidP="00C30768">
            <w:pPr>
              <w:bidi/>
              <w:jc w:val="center"/>
              <w:rPr>
                <w:rFonts w:ascii="Times New Roman" w:eastAsia="Calibri" w:hAnsi="Times New Roman" w:cs="Times New Roman"/>
                <w:sz w:val="20"/>
                <w:szCs w:val="20"/>
              </w:rPr>
            </w:pPr>
          </w:p>
        </w:tc>
        <w:tc>
          <w:tcPr>
            <w:tcW w:w="1175" w:type="dxa"/>
            <w:vMerge/>
            <w:vAlign w:val="center"/>
          </w:tcPr>
          <w:p w14:paraId="5CBD3856" w14:textId="3CF3F0B5" w:rsidR="00C30768" w:rsidRPr="00C30768" w:rsidRDefault="00C30768" w:rsidP="00C30768">
            <w:pPr>
              <w:rPr>
                <w:rFonts w:ascii="Times New Roman" w:eastAsia="Calibri" w:hAnsi="Times New Roman" w:cs="Times New Roman"/>
                <w:sz w:val="20"/>
                <w:szCs w:val="20"/>
              </w:rPr>
            </w:pPr>
          </w:p>
        </w:tc>
      </w:tr>
      <w:tr w:rsidR="00C30768" w:rsidRPr="00C30768" w14:paraId="5D265DAA" w14:textId="255FF376" w:rsidTr="00C30768">
        <w:trPr>
          <w:trHeight w:val="300"/>
          <w:jc w:val="center"/>
        </w:trPr>
        <w:tc>
          <w:tcPr>
            <w:tcW w:w="1374" w:type="dxa"/>
            <w:vMerge/>
            <w:vAlign w:val="center"/>
            <w:hideMark/>
          </w:tcPr>
          <w:p w14:paraId="13C1D160" w14:textId="6A6AC87E" w:rsidR="00C30768" w:rsidRPr="00C30768" w:rsidRDefault="00C30768" w:rsidP="00C30768">
            <w:pPr>
              <w:bidi/>
              <w:spacing w:line="276" w:lineRule="auto"/>
              <w:jc w:val="center"/>
              <w:rPr>
                <w:rFonts w:ascii="Times New Roman" w:eastAsia="Calibri" w:hAnsi="Times New Roman" w:cs="Times New Roman"/>
                <w:sz w:val="20"/>
                <w:szCs w:val="20"/>
              </w:rPr>
            </w:pPr>
          </w:p>
        </w:tc>
        <w:tc>
          <w:tcPr>
            <w:tcW w:w="900" w:type="dxa"/>
            <w:vMerge/>
            <w:vAlign w:val="center"/>
          </w:tcPr>
          <w:p w14:paraId="0D8A1C75" w14:textId="1D9A8230" w:rsidR="00C30768" w:rsidRPr="00C30768" w:rsidRDefault="00C30768" w:rsidP="00C30768">
            <w:pPr>
              <w:bidi/>
              <w:spacing w:line="276" w:lineRule="auto"/>
              <w:jc w:val="center"/>
              <w:rPr>
                <w:rFonts w:ascii="Times New Roman" w:eastAsia="Calibri" w:hAnsi="Times New Roman" w:cs="Times New Roman"/>
                <w:sz w:val="20"/>
                <w:szCs w:val="20"/>
              </w:rPr>
            </w:pPr>
          </w:p>
        </w:tc>
        <w:tc>
          <w:tcPr>
            <w:tcW w:w="1823" w:type="dxa"/>
            <w:vAlign w:val="center"/>
            <w:hideMark/>
          </w:tcPr>
          <w:p w14:paraId="06725A0C" w14:textId="4B811AF1"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Total</w:t>
            </w:r>
          </w:p>
        </w:tc>
        <w:tc>
          <w:tcPr>
            <w:tcW w:w="1215" w:type="dxa"/>
            <w:vAlign w:val="center"/>
          </w:tcPr>
          <w:p w14:paraId="6BF531E8" w14:textId="32F36F89"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76316.33</w:t>
            </w:r>
          </w:p>
        </w:tc>
        <w:tc>
          <w:tcPr>
            <w:tcW w:w="570" w:type="dxa"/>
            <w:vAlign w:val="center"/>
          </w:tcPr>
          <w:p w14:paraId="38889049" w14:textId="400AA865"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119</w:t>
            </w:r>
          </w:p>
        </w:tc>
        <w:tc>
          <w:tcPr>
            <w:tcW w:w="1098" w:type="dxa"/>
            <w:vAlign w:val="center"/>
          </w:tcPr>
          <w:p w14:paraId="6A1415DC" w14:textId="73EB0B6C" w:rsidR="00C30768" w:rsidRPr="00C30768" w:rsidRDefault="00C30768" w:rsidP="00C30768">
            <w:pPr>
              <w:bidi/>
              <w:spacing w:line="276" w:lineRule="auto"/>
              <w:jc w:val="center"/>
              <w:rPr>
                <w:rFonts w:ascii="Times New Roman" w:eastAsia="Calibri" w:hAnsi="Times New Roman" w:cs="Times New Roman"/>
                <w:sz w:val="20"/>
                <w:szCs w:val="20"/>
              </w:rPr>
            </w:pPr>
          </w:p>
        </w:tc>
        <w:tc>
          <w:tcPr>
            <w:tcW w:w="862" w:type="dxa"/>
            <w:vMerge/>
            <w:vAlign w:val="center"/>
          </w:tcPr>
          <w:p w14:paraId="1F9794DB" w14:textId="1B221B2F" w:rsidR="00C30768" w:rsidRPr="00C30768" w:rsidRDefault="00C30768" w:rsidP="00C30768">
            <w:pPr>
              <w:rPr>
                <w:rFonts w:ascii="Times New Roman" w:eastAsia="Calibri" w:hAnsi="Times New Roman" w:cs="Times New Roman"/>
                <w:sz w:val="20"/>
                <w:szCs w:val="20"/>
              </w:rPr>
            </w:pPr>
          </w:p>
        </w:tc>
        <w:tc>
          <w:tcPr>
            <w:tcW w:w="1111" w:type="dxa"/>
            <w:vMerge/>
            <w:vAlign w:val="center"/>
            <w:hideMark/>
          </w:tcPr>
          <w:p w14:paraId="153659AC" w14:textId="067991C0" w:rsidR="00C30768" w:rsidRPr="00C30768" w:rsidRDefault="00C30768" w:rsidP="00C30768">
            <w:pPr>
              <w:bidi/>
              <w:jc w:val="center"/>
              <w:rPr>
                <w:rFonts w:ascii="Times New Roman" w:eastAsia="Calibri" w:hAnsi="Times New Roman" w:cs="Times New Roman"/>
                <w:sz w:val="20"/>
                <w:szCs w:val="20"/>
              </w:rPr>
            </w:pPr>
          </w:p>
        </w:tc>
        <w:tc>
          <w:tcPr>
            <w:tcW w:w="1175" w:type="dxa"/>
            <w:vMerge/>
            <w:vAlign w:val="center"/>
            <w:hideMark/>
          </w:tcPr>
          <w:p w14:paraId="611AD33B" w14:textId="00D924A8" w:rsidR="00C30768" w:rsidRPr="00C30768" w:rsidRDefault="00C30768" w:rsidP="00C30768">
            <w:pPr>
              <w:rPr>
                <w:rFonts w:ascii="Times New Roman" w:eastAsia="Calibri" w:hAnsi="Times New Roman" w:cs="Times New Roman"/>
                <w:sz w:val="20"/>
                <w:szCs w:val="20"/>
              </w:rPr>
            </w:pPr>
          </w:p>
        </w:tc>
      </w:tr>
      <w:tr w:rsidR="00C30768" w:rsidRPr="00C30768" w14:paraId="4C0B4650" w14:textId="0C492BBC" w:rsidTr="00C30768">
        <w:trPr>
          <w:trHeight w:val="395"/>
          <w:jc w:val="center"/>
        </w:trPr>
        <w:tc>
          <w:tcPr>
            <w:tcW w:w="1374" w:type="dxa"/>
            <w:vMerge/>
          </w:tcPr>
          <w:p w14:paraId="23E43DCB" w14:textId="6D0BB2B5" w:rsidR="00C30768" w:rsidRPr="00C30768" w:rsidRDefault="00C30768" w:rsidP="00C30768">
            <w:pPr>
              <w:bidi/>
              <w:spacing w:line="276" w:lineRule="auto"/>
              <w:jc w:val="center"/>
              <w:rPr>
                <w:rFonts w:ascii="Times New Roman" w:eastAsia="Calibri" w:hAnsi="Times New Roman" w:cs="Times New Roman"/>
                <w:sz w:val="20"/>
                <w:szCs w:val="20"/>
              </w:rPr>
            </w:pPr>
          </w:p>
        </w:tc>
        <w:tc>
          <w:tcPr>
            <w:tcW w:w="900" w:type="dxa"/>
            <w:vMerge w:val="restart"/>
          </w:tcPr>
          <w:p w14:paraId="062351F7" w14:textId="74D3C1F9"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RoC</w:t>
            </w:r>
          </w:p>
        </w:tc>
        <w:tc>
          <w:tcPr>
            <w:tcW w:w="1823" w:type="dxa"/>
            <w:vAlign w:val="center"/>
            <w:hideMark/>
          </w:tcPr>
          <w:p w14:paraId="140C3392" w14:textId="7AC56B8F"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Between Groups</w:t>
            </w:r>
          </w:p>
        </w:tc>
        <w:tc>
          <w:tcPr>
            <w:tcW w:w="1215" w:type="dxa"/>
            <w:vAlign w:val="center"/>
          </w:tcPr>
          <w:p w14:paraId="33231C6A" w14:textId="02BC41C4"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22080.39</w:t>
            </w:r>
          </w:p>
        </w:tc>
        <w:tc>
          <w:tcPr>
            <w:tcW w:w="570" w:type="dxa"/>
            <w:vAlign w:val="center"/>
          </w:tcPr>
          <w:p w14:paraId="6505E712" w14:textId="0B33B693"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2</w:t>
            </w:r>
          </w:p>
        </w:tc>
        <w:tc>
          <w:tcPr>
            <w:tcW w:w="1098" w:type="dxa"/>
            <w:vAlign w:val="center"/>
          </w:tcPr>
          <w:p w14:paraId="2E7E9234" w14:textId="59EFEBFC"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2864.33</w:t>
            </w:r>
          </w:p>
        </w:tc>
        <w:tc>
          <w:tcPr>
            <w:tcW w:w="862" w:type="dxa"/>
            <w:vMerge w:val="restart"/>
          </w:tcPr>
          <w:p w14:paraId="48BBA79C" w14:textId="643D176C" w:rsidR="00C30768" w:rsidRPr="00C30768" w:rsidRDefault="00C30768" w:rsidP="00C30768">
            <w:pPr>
              <w:bidi/>
              <w:rPr>
                <w:rFonts w:ascii="Times New Roman" w:eastAsia="Calibri" w:hAnsi="Times New Roman" w:cs="Times New Roman"/>
                <w:sz w:val="20"/>
                <w:szCs w:val="20"/>
              </w:rPr>
            </w:pPr>
            <w:r w:rsidRPr="00C30768">
              <w:rPr>
                <w:rFonts w:ascii="Times New Roman" w:eastAsia="Calibri" w:hAnsi="Times New Roman" w:cs="Times New Roman"/>
                <w:sz w:val="20"/>
                <w:szCs w:val="20"/>
              </w:rPr>
              <w:t>660.39</w:t>
            </w:r>
          </w:p>
        </w:tc>
        <w:tc>
          <w:tcPr>
            <w:tcW w:w="1111" w:type="dxa"/>
            <w:vMerge w:val="restart"/>
            <w:hideMark/>
          </w:tcPr>
          <w:p w14:paraId="6219F9E4" w14:textId="16B888F1" w:rsidR="00C30768" w:rsidRPr="00C30768" w:rsidRDefault="00C30768" w:rsidP="00C30768">
            <w:pPr>
              <w:bidi/>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P &lt; 0.001</w:t>
            </w:r>
          </w:p>
        </w:tc>
        <w:tc>
          <w:tcPr>
            <w:tcW w:w="1175" w:type="dxa"/>
            <w:vMerge w:val="restart"/>
          </w:tcPr>
          <w:p w14:paraId="19948116" w14:textId="406A3EF2" w:rsidR="00C30768" w:rsidRPr="00C30768" w:rsidRDefault="00C30768" w:rsidP="00C30768">
            <w:pPr>
              <w:bidi/>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Low &gt; medium &amp; High</w:t>
            </w:r>
          </w:p>
          <w:p w14:paraId="7128F9FD" w14:textId="46FDA8FF" w:rsidR="00C30768" w:rsidRPr="00C30768" w:rsidRDefault="00C30768" w:rsidP="00C30768">
            <w:pPr>
              <w:bidi/>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medium&gt; High</w:t>
            </w:r>
          </w:p>
        </w:tc>
      </w:tr>
      <w:tr w:rsidR="00C30768" w:rsidRPr="00C30768" w14:paraId="5D69BFC6" w14:textId="7E96AEAA" w:rsidTr="00C30768">
        <w:trPr>
          <w:trHeight w:val="384"/>
          <w:jc w:val="center"/>
        </w:trPr>
        <w:tc>
          <w:tcPr>
            <w:tcW w:w="1374" w:type="dxa"/>
            <w:vMerge/>
            <w:vAlign w:val="center"/>
          </w:tcPr>
          <w:p w14:paraId="67953803" w14:textId="6E1F90C1" w:rsidR="00C30768" w:rsidRPr="00C30768" w:rsidRDefault="00C30768" w:rsidP="00C30768">
            <w:pPr>
              <w:bidi/>
              <w:spacing w:line="276" w:lineRule="auto"/>
              <w:jc w:val="center"/>
              <w:rPr>
                <w:rFonts w:ascii="Times New Roman" w:eastAsia="Calibri" w:hAnsi="Times New Roman" w:cs="Times New Roman"/>
                <w:sz w:val="20"/>
                <w:szCs w:val="20"/>
              </w:rPr>
            </w:pPr>
          </w:p>
        </w:tc>
        <w:tc>
          <w:tcPr>
            <w:tcW w:w="900" w:type="dxa"/>
            <w:vMerge/>
            <w:vAlign w:val="center"/>
          </w:tcPr>
          <w:p w14:paraId="6292B9D5" w14:textId="4C012490" w:rsidR="00C30768" w:rsidRPr="00C30768" w:rsidRDefault="00C30768" w:rsidP="00C30768">
            <w:pPr>
              <w:bidi/>
              <w:spacing w:line="276" w:lineRule="auto"/>
              <w:jc w:val="center"/>
              <w:rPr>
                <w:rFonts w:ascii="Times New Roman" w:eastAsia="Calibri" w:hAnsi="Times New Roman" w:cs="Times New Roman"/>
                <w:sz w:val="20"/>
                <w:szCs w:val="20"/>
              </w:rPr>
            </w:pPr>
          </w:p>
        </w:tc>
        <w:tc>
          <w:tcPr>
            <w:tcW w:w="1823" w:type="dxa"/>
            <w:vAlign w:val="center"/>
            <w:hideMark/>
          </w:tcPr>
          <w:p w14:paraId="31F00C0D" w14:textId="62E48A3E"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Within Groups</w:t>
            </w:r>
          </w:p>
        </w:tc>
        <w:tc>
          <w:tcPr>
            <w:tcW w:w="1215" w:type="dxa"/>
            <w:vAlign w:val="center"/>
          </w:tcPr>
          <w:p w14:paraId="610B293C" w14:textId="749855DF"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1955.98</w:t>
            </w:r>
          </w:p>
        </w:tc>
        <w:tc>
          <w:tcPr>
            <w:tcW w:w="570" w:type="dxa"/>
            <w:vAlign w:val="center"/>
          </w:tcPr>
          <w:p w14:paraId="0439CCD3" w14:textId="132334B1"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117</w:t>
            </w:r>
          </w:p>
        </w:tc>
        <w:tc>
          <w:tcPr>
            <w:tcW w:w="1098" w:type="dxa"/>
            <w:vAlign w:val="center"/>
          </w:tcPr>
          <w:p w14:paraId="38736EF4" w14:textId="48A91456"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16.72</w:t>
            </w:r>
          </w:p>
        </w:tc>
        <w:tc>
          <w:tcPr>
            <w:tcW w:w="862" w:type="dxa"/>
            <w:vMerge/>
            <w:vAlign w:val="center"/>
          </w:tcPr>
          <w:p w14:paraId="3F74583D" w14:textId="197DFD43" w:rsidR="00C30768" w:rsidRPr="00C30768" w:rsidRDefault="00C30768" w:rsidP="00C30768">
            <w:pPr>
              <w:rPr>
                <w:rFonts w:ascii="Times New Roman" w:eastAsia="Calibri" w:hAnsi="Times New Roman" w:cs="Times New Roman"/>
                <w:sz w:val="20"/>
                <w:szCs w:val="20"/>
              </w:rPr>
            </w:pPr>
          </w:p>
        </w:tc>
        <w:tc>
          <w:tcPr>
            <w:tcW w:w="1111" w:type="dxa"/>
            <w:vMerge/>
            <w:hideMark/>
          </w:tcPr>
          <w:p w14:paraId="6D69EE94" w14:textId="1169BAE6" w:rsidR="00C30768" w:rsidRPr="00C30768" w:rsidRDefault="00C30768" w:rsidP="00C30768">
            <w:pPr>
              <w:bidi/>
              <w:jc w:val="center"/>
              <w:rPr>
                <w:rFonts w:ascii="Times New Roman" w:eastAsia="Calibri" w:hAnsi="Times New Roman" w:cs="Times New Roman"/>
                <w:sz w:val="20"/>
                <w:szCs w:val="20"/>
              </w:rPr>
            </w:pPr>
          </w:p>
        </w:tc>
        <w:tc>
          <w:tcPr>
            <w:tcW w:w="1175" w:type="dxa"/>
            <w:vMerge/>
          </w:tcPr>
          <w:p w14:paraId="13F29C7A" w14:textId="2033CEF1" w:rsidR="00C30768" w:rsidRPr="00C30768" w:rsidRDefault="00C30768" w:rsidP="00C30768">
            <w:pPr>
              <w:rPr>
                <w:rFonts w:ascii="Times New Roman" w:eastAsia="Calibri" w:hAnsi="Times New Roman" w:cs="Times New Roman"/>
                <w:sz w:val="20"/>
                <w:szCs w:val="20"/>
              </w:rPr>
            </w:pPr>
          </w:p>
        </w:tc>
      </w:tr>
      <w:tr w:rsidR="00C30768" w:rsidRPr="00C30768" w14:paraId="6C8F0379" w14:textId="5FA69541" w:rsidTr="00C30768">
        <w:trPr>
          <w:trHeight w:val="324"/>
          <w:jc w:val="center"/>
        </w:trPr>
        <w:tc>
          <w:tcPr>
            <w:tcW w:w="1374" w:type="dxa"/>
            <w:vMerge/>
            <w:vAlign w:val="center"/>
          </w:tcPr>
          <w:p w14:paraId="3CEEE566" w14:textId="75B7BC05" w:rsidR="00C30768" w:rsidRPr="00C30768" w:rsidRDefault="00C30768" w:rsidP="00C30768">
            <w:pPr>
              <w:bidi/>
              <w:spacing w:line="276" w:lineRule="auto"/>
              <w:jc w:val="center"/>
              <w:rPr>
                <w:rFonts w:ascii="Times New Roman" w:eastAsia="Calibri" w:hAnsi="Times New Roman" w:cs="Times New Roman"/>
                <w:sz w:val="20"/>
                <w:szCs w:val="20"/>
              </w:rPr>
            </w:pPr>
          </w:p>
        </w:tc>
        <w:tc>
          <w:tcPr>
            <w:tcW w:w="900" w:type="dxa"/>
            <w:vMerge/>
            <w:vAlign w:val="center"/>
          </w:tcPr>
          <w:p w14:paraId="33E3450F" w14:textId="24B50D38" w:rsidR="00C30768" w:rsidRPr="00C30768" w:rsidRDefault="00C30768" w:rsidP="00C30768">
            <w:pPr>
              <w:bidi/>
              <w:spacing w:line="276" w:lineRule="auto"/>
              <w:jc w:val="center"/>
              <w:rPr>
                <w:rFonts w:ascii="Times New Roman" w:eastAsia="Calibri" w:hAnsi="Times New Roman" w:cs="Times New Roman"/>
                <w:sz w:val="20"/>
                <w:szCs w:val="20"/>
              </w:rPr>
            </w:pPr>
          </w:p>
        </w:tc>
        <w:tc>
          <w:tcPr>
            <w:tcW w:w="1823" w:type="dxa"/>
            <w:vAlign w:val="center"/>
            <w:hideMark/>
          </w:tcPr>
          <w:p w14:paraId="30DD2379" w14:textId="50C8EB7E"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Total</w:t>
            </w:r>
          </w:p>
        </w:tc>
        <w:tc>
          <w:tcPr>
            <w:tcW w:w="1215" w:type="dxa"/>
            <w:vAlign w:val="center"/>
          </w:tcPr>
          <w:p w14:paraId="2EA69653" w14:textId="46FF2BEC"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24036.37</w:t>
            </w:r>
          </w:p>
        </w:tc>
        <w:tc>
          <w:tcPr>
            <w:tcW w:w="570" w:type="dxa"/>
            <w:vAlign w:val="center"/>
          </w:tcPr>
          <w:p w14:paraId="47E1BEED" w14:textId="4644CCD5"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119</w:t>
            </w:r>
          </w:p>
        </w:tc>
        <w:tc>
          <w:tcPr>
            <w:tcW w:w="1098" w:type="dxa"/>
            <w:vAlign w:val="center"/>
          </w:tcPr>
          <w:p w14:paraId="3A665C98" w14:textId="5872E7E3" w:rsidR="00C30768" w:rsidRPr="00C30768" w:rsidRDefault="00C30768" w:rsidP="00C30768">
            <w:pPr>
              <w:bidi/>
              <w:spacing w:line="276" w:lineRule="auto"/>
              <w:jc w:val="center"/>
              <w:rPr>
                <w:rFonts w:ascii="Times New Roman" w:eastAsia="Calibri" w:hAnsi="Times New Roman" w:cs="Times New Roman"/>
                <w:sz w:val="20"/>
                <w:szCs w:val="20"/>
              </w:rPr>
            </w:pPr>
          </w:p>
        </w:tc>
        <w:tc>
          <w:tcPr>
            <w:tcW w:w="862" w:type="dxa"/>
            <w:vMerge/>
            <w:vAlign w:val="center"/>
          </w:tcPr>
          <w:p w14:paraId="03FB0C8A" w14:textId="4B36C781" w:rsidR="00C30768" w:rsidRPr="00C30768" w:rsidRDefault="00C30768" w:rsidP="00C30768">
            <w:pPr>
              <w:rPr>
                <w:rFonts w:ascii="Times New Roman" w:eastAsia="Calibri" w:hAnsi="Times New Roman" w:cs="Times New Roman"/>
                <w:sz w:val="20"/>
                <w:szCs w:val="20"/>
              </w:rPr>
            </w:pPr>
          </w:p>
        </w:tc>
        <w:tc>
          <w:tcPr>
            <w:tcW w:w="1111" w:type="dxa"/>
            <w:vMerge/>
            <w:hideMark/>
          </w:tcPr>
          <w:p w14:paraId="511CAB07" w14:textId="0F908A1D" w:rsidR="00C30768" w:rsidRPr="00C30768" w:rsidRDefault="00C30768" w:rsidP="00C30768">
            <w:pPr>
              <w:bidi/>
              <w:jc w:val="center"/>
              <w:rPr>
                <w:rFonts w:ascii="Times New Roman" w:eastAsia="Calibri" w:hAnsi="Times New Roman" w:cs="Times New Roman"/>
                <w:sz w:val="20"/>
                <w:szCs w:val="20"/>
              </w:rPr>
            </w:pPr>
          </w:p>
        </w:tc>
        <w:tc>
          <w:tcPr>
            <w:tcW w:w="1175" w:type="dxa"/>
            <w:vMerge/>
          </w:tcPr>
          <w:p w14:paraId="53D9FB6A" w14:textId="370F43BE" w:rsidR="00C30768" w:rsidRPr="00C30768" w:rsidRDefault="00C30768" w:rsidP="00C30768">
            <w:pPr>
              <w:rPr>
                <w:rFonts w:ascii="Times New Roman" w:eastAsia="Calibri" w:hAnsi="Times New Roman" w:cs="Times New Roman"/>
                <w:sz w:val="20"/>
                <w:szCs w:val="20"/>
              </w:rPr>
            </w:pPr>
          </w:p>
        </w:tc>
      </w:tr>
      <w:tr w:rsidR="00C30768" w:rsidRPr="00C30768" w14:paraId="4C1881BE" w14:textId="636DCBE8" w:rsidTr="00C30768">
        <w:trPr>
          <w:jc w:val="center"/>
        </w:trPr>
        <w:tc>
          <w:tcPr>
            <w:tcW w:w="1374" w:type="dxa"/>
            <w:vMerge/>
          </w:tcPr>
          <w:p w14:paraId="45851D5C" w14:textId="14B8D886" w:rsidR="00C30768" w:rsidRPr="00C30768" w:rsidRDefault="00C30768" w:rsidP="00C30768">
            <w:pPr>
              <w:bidi/>
              <w:spacing w:line="276" w:lineRule="auto"/>
              <w:jc w:val="center"/>
              <w:rPr>
                <w:rFonts w:ascii="Times New Roman" w:eastAsia="Calibri" w:hAnsi="Times New Roman" w:cs="Times New Roman"/>
                <w:sz w:val="20"/>
                <w:szCs w:val="20"/>
              </w:rPr>
            </w:pPr>
          </w:p>
        </w:tc>
        <w:tc>
          <w:tcPr>
            <w:tcW w:w="900" w:type="dxa"/>
            <w:vMerge w:val="restart"/>
          </w:tcPr>
          <w:p w14:paraId="1EC43B8C" w14:textId="3B500D28" w:rsidR="00C30768" w:rsidRPr="00C30768" w:rsidRDefault="00C30768" w:rsidP="00C30768">
            <w:pPr>
              <w:bidi/>
              <w:spacing w:line="276" w:lineRule="auto"/>
              <w:jc w:val="center"/>
              <w:rPr>
                <w:rFonts w:ascii="Times New Roman" w:eastAsia="Calibri" w:hAnsi="Times New Roman" w:cs="Times New Roman"/>
                <w:sz w:val="20"/>
                <w:szCs w:val="20"/>
                <w:rtl/>
              </w:rPr>
            </w:pPr>
            <w:r w:rsidRPr="00C30768">
              <w:rPr>
                <w:rFonts w:ascii="Times New Roman" w:eastAsia="Calibri" w:hAnsi="Times New Roman" w:cs="Times New Roman"/>
                <w:sz w:val="20"/>
                <w:szCs w:val="20"/>
              </w:rPr>
              <w:t>KP</w:t>
            </w:r>
          </w:p>
        </w:tc>
        <w:tc>
          <w:tcPr>
            <w:tcW w:w="1823" w:type="dxa"/>
            <w:vAlign w:val="center"/>
            <w:hideMark/>
          </w:tcPr>
          <w:p w14:paraId="692D3DA1" w14:textId="09158CA7"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Between Groups</w:t>
            </w:r>
          </w:p>
        </w:tc>
        <w:tc>
          <w:tcPr>
            <w:tcW w:w="1215" w:type="dxa"/>
            <w:vAlign w:val="center"/>
          </w:tcPr>
          <w:p w14:paraId="07A2262E" w14:textId="1AC1A355"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11882.95</w:t>
            </w:r>
          </w:p>
        </w:tc>
        <w:tc>
          <w:tcPr>
            <w:tcW w:w="570" w:type="dxa"/>
            <w:vAlign w:val="center"/>
          </w:tcPr>
          <w:p w14:paraId="729F5A45" w14:textId="11A3C45B"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2</w:t>
            </w:r>
          </w:p>
        </w:tc>
        <w:tc>
          <w:tcPr>
            <w:tcW w:w="1098" w:type="dxa"/>
            <w:vAlign w:val="center"/>
          </w:tcPr>
          <w:p w14:paraId="665705AC" w14:textId="52B08DAE"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5941.48</w:t>
            </w:r>
          </w:p>
        </w:tc>
        <w:tc>
          <w:tcPr>
            <w:tcW w:w="862" w:type="dxa"/>
            <w:vMerge w:val="restart"/>
          </w:tcPr>
          <w:p w14:paraId="33817406" w14:textId="5A383602" w:rsidR="00C30768" w:rsidRPr="00C30768" w:rsidRDefault="00C30768" w:rsidP="00C30768">
            <w:pPr>
              <w:bidi/>
              <w:rPr>
                <w:rFonts w:ascii="Times New Roman" w:eastAsia="Calibri" w:hAnsi="Times New Roman" w:cs="Times New Roman"/>
                <w:sz w:val="20"/>
                <w:szCs w:val="20"/>
              </w:rPr>
            </w:pPr>
            <w:r w:rsidRPr="00C30768">
              <w:rPr>
                <w:rFonts w:ascii="Times New Roman" w:eastAsia="Calibri" w:hAnsi="Times New Roman" w:cs="Times New Roman"/>
                <w:sz w:val="20"/>
                <w:szCs w:val="20"/>
              </w:rPr>
              <w:t>413.89</w:t>
            </w:r>
          </w:p>
        </w:tc>
        <w:tc>
          <w:tcPr>
            <w:tcW w:w="1111" w:type="dxa"/>
            <w:vMerge w:val="restart"/>
            <w:hideMark/>
          </w:tcPr>
          <w:p w14:paraId="084CCA2C" w14:textId="397CD6D9" w:rsidR="00C30768" w:rsidRPr="00C30768" w:rsidRDefault="00C30768" w:rsidP="00C30768">
            <w:pPr>
              <w:bidi/>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P &lt; 0.001</w:t>
            </w:r>
          </w:p>
        </w:tc>
        <w:tc>
          <w:tcPr>
            <w:tcW w:w="1175" w:type="dxa"/>
            <w:vMerge w:val="restart"/>
          </w:tcPr>
          <w:p w14:paraId="04F4B21C" w14:textId="054B20CC" w:rsidR="00C30768" w:rsidRPr="00C30768" w:rsidRDefault="00C30768" w:rsidP="00C30768">
            <w:pPr>
              <w:bidi/>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Low &gt; medium &amp; High</w:t>
            </w:r>
          </w:p>
          <w:p w14:paraId="3A619186" w14:textId="2E35DD0B" w:rsidR="00C30768" w:rsidRPr="00C30768" w:rsidRDefault="00C30768" w:rsidP="00C30768">
            <w:pPr>
              <w:bidi/>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medium&gt; High</w:t>
            </w:r>
          </w:p>
        </w:tc>
      </w:tr>
      <w:tr w:rsidR="00C30768" w:rsidRPr="00C30768" w14:paraId="2B52B96D" w14:textId="612FAE44" w:rsidTr="00C30768">
        <w:trPr>
          <w:trHeight w:val="432"/>
          <w:jc w:val="center"/>
        </w:trPr>
        <w:tc>
          <w:tcPr>
            <w:tcW w:w="1374" w:type="dxa"/>
            <w:vMerge/>
            <w:vAlign w:val="center"/>
          </w:tcPr>
          <w:p w14:paraId="63363B79" w14:textId="0634661E" w:rsidR="00C30768" w:rsidRPr="00C30768" w:rsidRDefault="00C30768" w:rsidP="00C30768">
            <w:pPr>
              <w:bidi/>
              <w:spacing w:line="276" w:lineRule="auto"/>
              <w:jc w:val="center"/>
              <w:rPr>
                <w:rFonts w:ascii="Times New Roman" w:eastAsia="Calibri" w:hAnsi="Times New Roman" w:cs="Times New Roman"/>
                <w:sz w:val="20"/>
                <w:szCs w:val="20"/>
              </w:rPr>
            </w:pPr>
          </w:p>
        </w:tc>
        <w:tc>
          <w:tcPr>
            <w:tcW w:w="900" w:type="dxa"/>
            <w:vMerge/>
            <w:vAlign w:val="center"/>
          </w:tcPr>
          <w:p w14:paraId="32948EEA" w14:textId="233E306B" w:rsidR="00C30768" w:rsidRPr="00C30768" w:rsidRDefault="00C30768" w:rsidP="00C30768">
            <w:pPr>
              <w:bidi/>
              <w:spacing w:line="276" w:lineRule="auto"/>
              <w:jc w:val="center"/>
              <w:rPr>
                <w:rFonts w:ascii="Times New Roman" w:eastAsia="Calibri" w:hAnsi="Times New Roman" w:cs="Times New Roman"/>
                <w:sz w:val="20"/>
                <w:szCs w:val="20"/>
              </w:rPr>
            </w:pPr>
          </w:p>
        </w:tc>
        <w:tc>
          <w:tcPr>
            <w:tcW w:w="1823" w:type="dxa"/>
            <w:vAlign w:val="center"/>
            <w:hideMark/>
          </w:tcPr>
          <w:p w14:paraId="083B6773" w14:textId="23D43018"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Within Groups</w:t>
            </w:r>
          </w:p>
        </w:tc>
        <w:tc>
          <w:tcPr>
            <w:tcW w:w="1215" w:type="dxa"/>
            <w:vAlign w:val="center"/>
          </w:tcPr>
          <w:p w14:paraId="69FC6258" w14:textId="1E45DD8A"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1679.55</w:t>
            </w:r>
          </w:p>
        </w:tc>
        <w:tc>
          <w:tcPr>
            <w:tcW w:w="570" w:type="dxa"/>
            <w:vAlign w:val="center"/>
          </w:tcPr>
          <w:p w14:paraId="1255B352" w14:textId="7950C248"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117</w:t>
            </w:r>
          </w:p>
        </w:tc>
        <w:tc>
          <w:tcPr>
            <w:tcW w:w="1098" w:type="dxa"/>
            <w:vAlign w:val="center"/>
          </w:tcPr>
          <w:p w14:paraId="7CCD1319" w14:textId="2A3A4B7A"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14.36</w:t>
            </w:r>
          </w:p>
        </w:tc>
        <w:tc>
          <w:tcPr>
            <w:tcW w:w="862" w:type="dxa"/>
            <w:vMerge/>
            <w:vAlign w:val="center"/>
          </w:tcPr>
          <w:p w14:paraId="62629CC4" w14:textId="196E62F6" w:rsidR="00C30768" w:rsidRPr="00C30768" w:rsidRDefault="00C30768" w:rsidP="00C30768">
            <w:pPr>
              <w:rPr>
                <w:rFonts w:ascii="Times New Roman" w:eastAsia="Calibri" w:hAnsi="Times New Roman" w:cs="Times New Roman"/>
                <w:sz w:val="20"/>
                <w:szCs w:val="20"/>
              </w:rPr>
            </w:pPr>
          </w:p>
        </w:tc>
        <w:tc>
          <w:tcPr>
            <w:tcW w:w="1111" w:type="dxa"/>
            <w:vMerge/>
            <w:hideMark/>
          </w:tcPr>
          <w:p w14:paraId="7C25009D" w14:textId="3AD73077" w:rsidR="00C30768" w:rsidRPr="00C30768" w:rsidRDefault="00C30768" w:rsidP="00C30768">
            <w:pPr>
              <w:bidi/>
              <w:jc w:val="center"/>
              <w:rPr>
                <w:rFonts w:ascii="Times New Roman" w:eastAsia="Calibri" w:hAnsi="Times New Roman" w:cs="Times New Roman"/>
                <w:sz w:val="20"/>
                <w:szCs w:val="20"/>
              </w:rPr>
            </w:pPr>
          </w:p>
        </w:tc>
        <w:tc>
          <w:tcPr>
            <w:tcW w:w="1175" w:type="dxa"/>
            <w:vMerge/>
          </w:tcPr>
          <w:p w14:paraId="32957914" w14:textId="6C6B0870" w:rsidR="00C30768" w:rsidRPr="00C30768" w:rsidRDefault="00C30768" w:rsidP="00C30768">
            <w:pPr>
              <w:bidi/>
              <w:jc w:val="center"/>
              <w:rPr>
                <w:rFonts w:ascii="Times New Roman" w:eastAsia="Calibri" w:hAnsi="Times New Roman" w:cs="Times New Roman"/>
                <w:sz w:val="20"/>
                <w:szCs w:val="20"/>
              </w:rPr>
            </w:pPr>
          </w:p>
        </w:tc>
      </w:tr>
      <w:tr w:rsidR="00C30768" w:rsidRPr="00C30768" w14:paraId="61D3F05F" w14:textId="3B9572FC" w:rsidTr="00C30768">
        <w:trPr>
          <w:trHeight w:val="485"/>
          <w:jc w:val="center"/>
        </w:trPr>
        <w:tc>
          <w:tcPr>
            <w:tcW w:w="1374" w:type="dxa"/>
            <w:vMerge/>
            <w:vAlign w:val="center"/>
          </w:tcPr>
          <w:p w14:paraId="1FA0572D" w14:textId="7D3D5106" w:rsidR="00C30768" w:rsidRPr="00C30768" w:rsidRDefault="00C30768" w:rsidP="00C30768">
            <w:pPr>
              <w:bidi/>
              <w:spacing w:line="276" w:lineRule="auto"/>
              <w:jc w:val="center"/>
              <w:rPr>
                <w:rFonts w:ascii="Times New Roman" w:eastAsia="Calibri" w:hAnsi="Times New Roman" w:cs="Times New Roman"/>
                <w:sz w:val="20"/>
                <w:szCs w:val="20"/>
              </w:rPr>
            </w:pPr>
          </w:p>
        </w:tc>
        <w:tc>
          <w:tcPr>
            <w:tcW w:w="900" w:type="dxa"/>
            <w:vMerge/>
            <w:vAlign w:val="center"/>
          </w:tcPr>
          <w:p w14:paraId="653D2540" w14:textId="345A49B8" w:rsidR="00C30768" w:rsidRPr="00C30768" w:rsidRDefault="00C30768" w:rsidP="00C30768">
            <w:pPr>
              <w:bidi/>
              <w:spacing w:line="276" w:lineRule="auto"/>
              <w:jc w:val="center"/>
              <w:rPr>
                <w:rFonts w:ascii="Times New Roman" w:eastAsia="Calibri" w:hAnsi="Times New Roman" w:cs="Times New Roman"/>
                <w:sz w:val="20"/>
                <w:szCs w:val="20"/>
              </w:rPr>
            </w:pPr>
          </w:p>
        </w:tc>
        <w:tc>
          <w:tcPr>
            <w:tcW w:w="1823" w:type="dxa"/>
            <w:vAlign w:val="center"/>
            <w:hideMark/>
          </w:tcPr>
          <w:p w14:paraId="75CAE229" w14:textId="06CAD91C"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Total</w:t>
            </w:r>
          </w:p>
        </w:tc>
        <w:tc>
          <w:tcPr>
            <w:tcW w:w="1215" w:type="dxa"/>
            <w:vAlign w:val="center"/>
          </w:tcPr>
          <w:p w14:paraId="03533DE7" w14:textId="2EF7C2AB"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13562.50</w:t>
            </w:r>
          </w:p>
        </w:tc>
        <w:tc>
          <w:tcPr>
            <w:tcW w:w="570" w:type="dxa"/>
            <w:vAlign w:val="center"/>
          </w:tcPr>
          <w:p w14:paraId="2B7A75E6" w14:textId="71F3D623"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119</w:t>
            </w:r>
          </w:p>
        </w:tc>
        <w:tc>
          <w:tcPr>
            <w:tcW w:w="1098" w:type="dxa"/>
            <w:vAlign w:val="center"/>
          </w:tcPr>
          <w:p w14:paraId="1409CE21" w14:textId="326AE983" w:rsidR="00C30768" w:rsidRPr="00C30768" w:rsidRDefault="00C30768" w:rsidP="00C30768">
            <w:pPr>
              <w:bidi/>
              <w:spacing w:line="276" w:lineRule="auto"/>
              <w:jc w:val="center"/>
              <w:rPr>
                <w:rFonts w:ascii="Times New Roman" w:eastAsia="Calibri" w:hAnsi="Times New Roman" w:cs="Times New Roman"/>
                <w:sz w:val="20"/>
                <w:szCs w:val="20"/>
              </w:rPr>
            </w:pPr>
          </w:p>
        </w:tc>
        <w:tc>
          <w:tcPr>
            <w:tcW w:w="862" w:type="dxa"/>
            <w:vMerge/>
            <w:vAlign w:val="center"/>
          </w:tcPr>
          <w:p w14:paraId="57357CBD" w14:textId="4A8D168A" w:rsidR="00C30768" w:rsidRPr="00C30768" w:rsidRDefault="00C30768" w:rsidP="00C30768">
            <w:pPr>
              <w:rPr>
                <w:rFonts w:ascii="Times New Roman" w:eastAsia="Calibri" w:hAnsi="Times New Roman" w:cs="Times New Roman"/>
                <w:sz w:val="20"/>
                <w:szCs w:val="20"/>
              </w:rPr>
            </w:pPr>
          </w:p>
        </w:tc>
        <w:tc>
          <w:tcPr>
            <w:tcW w:w="1111" w:type="dxa"/>
            <w:vMerge/>
            <w:hideMark/>
          </w:tcPr>
          <w:p w14:paraId="39FF33B4" w14:textId="21A67EB5" w:rsidR="00C30768" w:rsidRPr="00C30768" w:rsidRDefault="00C30768" w:rsidP="00C30768">
            <w:pPr>
              <w:bidi/>
              <w:jc w:val="center"/>
              <w:rPr>
                <w:rFonts w:ascii="Times New Roman" w:eastAsia="Calibri" w:hAnsi="Times New Roman" w:cs="Times New Roman"/>
                <w:sz w:val="20"/>
                <w:szCs w:val="20"/>
              </w:rPr>
            </w:pPr>
          </w:p>
        </w:tc>
        <w:tc>
          <w:tcPr>
            <w:tcW w:w="1175" w:type="dxa"/>
            <w:vMerge/>
          </w:tcPr>
          <w:p w14:paraId="0E6F6074" w14:textId="0B579FAD" w:rsidR="00C30768" w:rsidRPr="00C30768" w:rsidRDefault="00C30768" w:rsidP="00C30768">
            <w:pPr>
              <w:bidi/>
              <w:jc w:val="center"/>
              <w:rPr>
                <w:rFonts w:ascii="Times New Roman" w:eastAsia="Calibri" w:hAnsi="Times New Roman" w:cs="Times New Roman"/>
                <w:sz w:val="20"/>
                <w:szCs w:val="20"/>
              </w:rPr>
            </w:pPr>
          </w:p>
        </w:tc>
      </w:tr>
      <w:tr w:rsidR="00C30768" w:rsidRPr="00C30768" w14:paraId="7644710D" w14:textId="7F927632" w:rsidTr="00C30768">
        <w:trPr>
          <w:trHeight w:val="377"/>
          <w:jc w:val="center"/>
        </w:trPr>
        <w:tc>
          <w:tcPr>
            <w:tcW w:w="1374" w:type="dxa"/>
            <w:vMerge/>
          </w:tcPr>
          <w:p w14:paraId="1AB94920" w14:textId="6F68FDCB" w:rsidR="00C30768" w:rsidRPr="00C30768" w:rsidRDefault="00C30768" w:rsidP="00C30768">
            <w:pPr>
              <w:bidi/>
              <w:spacing w:line="276" w:lineRule="auto"/>
              <w:jc w:val="center"/>
              <w:rPr>
                <w:rFonts w:ascii="Times New Roman" w:eastAsia="Calibri" w:hAnsi="Times New Roman" w:cs="Times New Roman"/>
                <w:sz w:val="20"/>
                <w:szCs w:val="20"/>
              </w:rPr>
            </w:pPr>
          </w:p>
        </w:tc>
        <w:tc>
          <w:tcPr>
            <w:tcW w:w="900" w:type="dxa"/>
            <w:vMerge w:val="restart"/>
          </w:tcPr>
          <w:p w14:paraId="51371795" w14:textId="29DD4331"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MTS.tot</w:t>
            </w:r>
          </w:p>
        </w:tc>
        <w:tc>
          <w:tcPr>
            <w:tcW w:w="1823" w:type="dxa"/>
            <w:vAlign w:val="center"/>
            <w:hideMark/>
          </w:tcPr>
          <w:p w14:paraId="4990897E" w14:textId="28677EC0"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Between Groups</w:t>
            </w:r>
          </w:p>
        </w:tc>
        <w:tc>
          <w:tcPr>
            <w:tcW w:w="1215" w:type="dxa"/>
            <w:vAlign w:val="center"/>
          </w:tcPr>
          <w:p w14:paraId="48F782DC" w14:textId="25765E53"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110477.13</w:t>
            </w:r>
          </w:p>
        </w:tc>
        <w:tc>
          <w:tcPr>
            <w:tcW w:w="570" w:type="dxa"/>
            <w:vAlign w:val="center"/>
          </w:tcPr>
          <w:p w14:paraId="5A6414D3" w14:textId="490D5012"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2</w:t>
            </w:r>
          </w:p>
        </w:tc>
        <w:tc>
          <w:tcPr>
            <w:tcW w:w="1098" w:type="dxa"/>
            <w:vAlign w:val="center"/>
          </w:tcPr>
          <w:p w14:paraId="4C7FD9DD" w14:textId="1EC5AC0A"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55238.56</w:t>
            </w:r>
          </w:p>
        </w:tc>
        <w:tc>
          <w:tcPr>
            <w:tcW w:w="862" w:type="dxa"/>
            <w:vMerge w:val="restart"/>
          </w:tcPr>
          <w:p w14:paraId="5FD5CCBF" w14:textId="2065CBE2" w:rsidR="00C30768" w:rsidRPr="00C30768" w:rsidRDefault="00C30768" w:rsidP="00C30768">
            <w:pPr>
              <w:bidi/>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554.92</w:t>
            </w:r>
          </w:p>
        </w:tc>
        <w:tc>
          <w:tcPr>
            <w:tcW w:w="1111" w:type="dxa"/>
            <w:vMerge w:val="restart"/>
            <w:vAlign w:val="center"/>
            <w:hideMark/>
          </w:tcPr>
          <w:p w14:paraId="281CB6F2" w14:textId="7C4B652E" w:rsidR="00C30768" w:rsidRPr="00C30768" w:rsidRDefault="00C30768" w:rsidP="00C30768">
            <w:pPr>
              <w:bidi/>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P &lt; 0.001</w:t>
            </w:r>
          </w:p>
        </w:tc>
        <w:tc>
          <w:tcPr>
            <w:tcW w:w="1175" w:type="dxa"/>
            <w:vMerge w:val="restart"/>
          </w:tcPr>
          <w:p w14:paraId="70A3298B" w14:textId="73758BDF" w:rsidR="00C30768" w:rsidRPr="00C30768" w:rsidRDefault="00C30768" w:rsidP="00C30768">
            <w:pPr>
              <w:bidi/>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Low &gt; medium &amp; High</w:t>
            </w:r>
          </w:p>
          <w:p w14:paraId="3E7DAC36" w14:textId="7F83D515" w:rsidR="00C30768" w:rsidRPr="00C30768" w:rsidRDefault="00C30768" w:rsidP="00C30768">
            <w:pPr>
              <w:bidi/>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medium&gt; High</w:t>
            </w:r>
          </w:p>
        </w:tc>
      </w:tr>
      <w:tr w:rsidR="00C30768" w:rsidRPr="00C30768" w14:paraId="45D2FD9F" w14:textId="1D488D05" w:rsidTr="00C30768">
        <w:trPr>
          <w:trHeight w:val="489"/>
          <w:jc w:val="center"/>
        </w:trPr>
        <w:tc>
          <w:tcPr>
            <w:tcW w:w="1374" w:type="dxa"/>
            <w:vMerge/>
            <w:vAlign w:val="center"/>
          </w:tcPr>
          <w:p w14:paraId="3AB1ECF8" w14:textId="30CD47D6" w:rsidR="00C30768" w:rsidRPr="00C30768" w:rsidRDefault="00C30768" w:rsidP="00C30768">
            <w:pPr>
              <w:bidi/>
              <w:spacing w:line="276" w:lineRule="auto"/>
              <w:jc w:val="center"/>
              <w:rPr>
                <w:rFonts w:ascii="Times New Roman" w:eastAsia="Calibri" w:hAnsi="Times New Roman" w:cs="Times New Roman"/>
                <w:sz w:val="20"/>
                <w:szCs w:val="20"/>
              </w:rPr>
            </w:pPr>
          </w:p>
        </w:tc>
        <w:tc>
          <w:tcPr>
            <w:tcW w:w="900" w:type="dxa"/>
            <w:vMerge/>
            <w:vAlign w:val="center"/>
          </w:tcPr>
          <w:p w14:paraId="56DCB9A3" w14:textId="4E49B754" w:rsidR="00C30768" w:rsidRPr="00C30768" w:rsidRDefault="00C30768" w:rsidP="00C30768">
            <w:pPr>
              <w:bidi/>
              <w:spacing w:line="276" w:lineRule="auto"/>
              <w:jc w:val="center"/>
              <w:rPr>
                <w:rFonts w:ascii="Times New Roman" w:eastAsia="Calibri" w:hAnsi="Times New Roman" w:cs="Times New Roman"/>
                <w:sz w:val="20"/>
                <w:szCs w:val="20"/>
              </w:rPr>
            </w:pPr>
          </w:p>
        </w:tc>
        <w:tc>
          <w:tcPr>
            <w:tcW w:w="1823" w:type="dxa"/>
            <w:vAlign w:val="center"/>
            <w:hideMark/>
          </w:tcPr>
          <w:p w14:paraId="6CCA905B" w14:textId="7D0B0281"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Within Groups</w:t>
            </w:r>
          </w:p>
        </w:tc>
        <w:tc>
          <w:tcPr>
            <w:tcW w:w="1215" w:type="dxa"/>
            <w:vAlign w:val="center"/>
          </w:tcPr>
          <w:p w14:paraId="3210F3B6" w14:textId="2A6C0BC5"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11646.66</w:t>
            </w:r>
          </w:p>
        </w:tc>
        <w:tc>
          <w:tcPr>
            <w:tcW w:w="570" w:type="dxa"/>
            <w:vAlign w:val="center"/>
          </w:tcPr>
          <w:p w14:paraId="4F62624F" w14:textId="0E0C569E"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117</w:t>
            </w:r>
          </w:p>
        </w:tc>
        <w:tc>
          <w:tcPr>
            <w:tcW w:w="1098" w:type="dxa"/>
            <w:vAlign w:val="center"/>
          </w:tcPr>
          <w:p w14:paraId="0C625EB3" w14:textId="0A639AE8"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99.54</w:t>
            </w:r>
          </w:p>
        </w:tc>
        <w:tc>
          <w:tcPr>
            <w:tcW w:w="862" w:type="dxa"/>
            <w:vMerge/>
            <w:vAlign w:val="center"/>
          </w:tcPr>
          <w:p w14:paraId="34D79F04" w14:textId="2A3A6FE7" w:rsidR="00C30768" w:rsidRPr="00C30768" w:rsidRDefault="00C30768" w:rsidP="00C30768">
            <w:pPr>
              <w:rPr>
                <w:rFonts w:ascii="Times New Roman" w:eastAsia="Calibri" w:hAnsi="Times New Roman" w:cs="Times New Roman"/>
                <w:sz w:val="28"/>
                <w:szCs w:val="28"/>
                <w:lang w:bidi="ar-EG"/>
              </w:rPr>
            </w:pPr>
          </w:p>
        </w:tc>
        <w:tc>
          <w:tcPr>
            <w:tcW w:w="1111" w:type="dxa"/>
            <w:vMerge/>
            <w:vAlign w:val="center"/>
            <w:hideMark/>
          </w:tcPr>
          <w:p w14:paraId="4EFC39D0" w14:textId="1EE3BE8C" w:rsidR="00C30768" w:rsidRPr="00C30768" w:rsidRDefault="00C30768" w:rsidP="00C30768">
            <w:pPr>
              <w:rPr>
                <w:rFonts w:ascii="Times New Roman" w:eastAsia="Calibri" w:hAnsi="Times New Roman" w:cs="Times New Roman"/>
                <w:sz w:val="28"/>
                <w:szCs w:val="28"/>
                <w:lang w:bidi="ar-EG"/>
              </w:rPr>
            </w:pPr>
          </w:p>
        </w:tc>
        <w:tc>
          <w:tcPr>
            <w:tcW w:w="1175" w:type="dxa"/>
            <w:vMerge/>
            <w:vAlign w:val="center"/>
          </w:tcPr>
          <w:p w14:paraId="3D42C6D7" w14:textId="2211BB3B" w:rsidR="00C30768" w:rsidRPr="00C30768" w:rsidRDefault="00C30768" w:rsidP="00C30768">
            <w:pPr>
              <w:rPr>
                <w:rFonts w:ascii="Times New Roman" w:eastAsia="Calibri" w:hAnsi="Times New Roman" w:cs="Times New Roman"/>
                <w:sz w:val="28"/>
                <w:szCs w:val="28"/>
              </w:rPr>
            </w:pPr>
          </w:p>
        </w:tc>
      </w:tr>
      <w:tr w:rsidR="00C30768" w:rsidRPr="00C30768" w14:paraId="7F9933E7" w14:textId="28931EF9" w:rsidTr="00C30768">
        <w:trPr>
          <w:trHeight w:val="180"/>
          <w:jc w:val="center"/>
        </w:trPr>
        <w:tc>
          <w:tcPr>
            <w:tcW w:w="1374" w:type="dxa"/>
            <w:vMerge/>
            <w:vAlign w:val="center"/>
          </w:tcPr>
          <w:p w14:paraId="4A589C98" w14:textId="0356B058" w:rsidR="00C30768" w:rsidRPr="00C30768" w:rsidRDefault="00C30768" w:rsidP="00C30768">
            <w:pPr>
              <w:bidi/>
              <w:spacing w:line="276" w:lineRule="auto"/>
              <w:jc w:val="center"/>
              <w:rPr>
                <w:rFonts w:ascii="Times New Roman" w:eastAsia="Calibri" w:hAnsi="Times New Roman" w:cs="Times New Roman"/>
                <w:sz w:val="20"/>
                <w:szCs w:val="20"/>
              </w:rPr>
            </w:pPr>
          </w:p>
        </w:tc>
        <w:tc>
          <w:tcPr>
            <w:tcW w:w="900" w:type="dxa"/>
            <w:vMerge/>
            <w:vAlign w:val="center"/>
          </w:tcPr>
          <w:p w14:paraId="447C5945" w14:textId="2FB7C3F0" w:rsidR="00C30768" w:rsidRPr="00C30768" w:rsidRDefault="00C30768" w:rsidP="00C30768">
            <w:pPr>
              <w:bidi/>
              <w:spacing w:line="276" w:lineRule="auto"/>
              <w:jc w:val="center"/>
              <w:rPr>
                <w:rFonts w:ascii="Times New Roman" w:eastAsia="Calibri" w:hAnsi="Times New Roman" w:cs="Times New Roman"/>
                <w:sz w:val="20"/>
                <w:szCs w:val="20"/>
              </w:rPr>
            </w:pPr>
          </w:p>
        </w:tc>
        <w:tc>
          <w:tcPr>
            <w:tcW w:w="1823" w:type="dxa"/>
            <w:vAlign w:val="center"/>
            <w:hideMark/>
          </w:tcPr>
          <w:p w14:paraId="7179950A" w14:textId="37E488DB"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Total</w:t>
            </w:r>
          </w:p>
        </w:tc>
        <w:tc>
          <w:tcPr>
            <w:tcW w:w="1215" w:type="dxa"/>
            <w:vAlign w:val="center"/>
          </w:tcPr>
          <w:p w14:paraId="60578CD4" w14:textId="55631C03"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122123.79</w:t>
            </w:r>
          </w:p>
        </w:tc>
        <w:tc>
          <w:tcPr>
            <w:tcW w:w="570" w:type="dxa"/>
            <w:vAlign w:val="center"/>
          </w:tcPr>
          <w:p w14:paraId="19C285F2" w14:textId="563692DA" w:rsidR="00C30768" w:rsidRPr="00C30768" w:rsidRDefault="00C30768" w:rsidP="00C30768">
            <w:pPr>
              <w:bidi/>
              <w:spacing w:line="276" w:lineRule="auto"/>
              <w:jc w:val="center"/>
              <w:rPr>
                <w:rFonts w:ascii="Times New Roman" w:eastAsia="Calibri" w:hAnsi="Times New Roman" w:cs="Times New Roman"/>
                <w:sz w:val="20"/>
                <w:szCs w:val="20"/>
              </w:rPr>
            </w:pPr>
            <w:r w:rsidRPr="00C30768">
              <w:rPr>
                <w:rFonts w:ascii="Times New Roman" w:eastAsia="Calibri" w:hAnsi="Times New Roman" w:cs="Times New Roman"/>
                <w:sz w:val="20"/>
                <w:szCs w:val="20"/>
              </w:rPr>
              <w:t>119</w:t>
            </w:r>
          </w:p>
        </w:tc>
        <w:tc>
          <w:tcPr>
            <w:tcW w:w="1098" w:type="dxa"/>
            <w:vAlign w:val="center"/>
          </w:tcPr>
          <w:p w14:paraId="56996217" w14:textId="06ACA764" w:rsidR="00C30768" w:rsidRPr="00C30768" w:rsidRDefault="00C30768" w:rsidP="00C30768">
            <w:pPr>
              <w:bidi/>
              <w:spacing w:line="276" w:lineRule="auto"/>
              <w:jc w:val="center"/>
              <w:rPr>
                <w:rFonts w:ascii="Times New Roman" w:eastAsia="Calibri" w:hAnsi="Times New Roman" w:cs="Times New Roman"/>
                <w:sz w:val="20"/>
                <w:szCs w:val="20"/>
              </w:rPr>
            </w:pPr>
          </w:p>
        </w:tc>
        <w:tc>
          <w:tcPr>
            <w:tcW w:w="862" w:type="dxa"/>
            <w:vMerge/>
            <w:vAlign w:val="center"/>
          </w:tcPr>
          <w:p w14:paraId="5554E9A4" w14:textId="289E53EA" w:rsidR="00C30768" w:rsidRPr="00C30768" w:rsidRDefault="00C30768" w:rsidP="00C30768">
            <w:pPr>
              <w:rPr>
                <w:rFonts w:ascii="Times New Roman" w:eastAsia="Calibri" w:hAnsi="Times New Roman" w:cs="Times New Roman"/>
                <w:sz w:val="28"/>
                <w:szCs w:val="28"/>
                <w:lang w:bidi="ar-EG"/>
              </w:rPr>
            </w:pPr>
          </w:p>
        </w:tc>
        <w:tc>
          <w:tcPr>
            <w:tcW w:w="1111" w:type="dxa"/>
            <w:vMerge/>
            <w:vAlign w:val="center"/>
            <w:hideMark/>
          </w:tcPr>
          <w:p w14:paraId="359417E3" w14:textId="5D05EE68" w:rsidR="00C30768" w:rsidRPr="00C30768" w:rsidRDefault="00C30768" w:rsidP="00C30768">
            <w:pPr>
              <w:rPr>
                <w:rFonts w:ascii="Times New Roman" w:eastAsia="Calibri" w:hAnsi="Times New Roman" w:cs="Times New Roman"/>
                <w:sz w:val="28"/>
                <w:szCs w:val="28"/>
                <w:lang w:bidi="ar-EG"/>
              </w:rPr>
            </w:pPr>
          </w:p>
        </w:tc>
        <w:tc>
          <w:tcPr>
            <w:tcW w:w="1175" w:type="dxa"/>
            <w:vMerge/>
            <w:vAlign w:val="center"/>
          </w:tcPr>
          <w:p w14:paraId="0D653B1B" w14:textId="4797E0AD" w:rsidR="00C30768" w:rsidRPr="00C30768" w:rsidRDefault="00C30768" w:rsidP="00C30768">
            <w:pPr>
              <w:rPr>
                <w:rFonts w:ascii="Times New Roman" w:eastAsia="Calibri" w:hAnsi="Times New Roman" w:cs="Times New Roman"/>
                <w:sz w:val="28"/>
                <w:szCs w:val="28"/>
              </w:rPr>
            </w:pPr>
          </w:p>
        </w:tc>
      </w:tr>
    </w:tbl>
    <w:p w14:paraId="33690E7E" w14:textId="66A23827" w:rsidR="00C30768" w:rsidRPr="00833A3A" w:rsidRDefault="00C30768" w:rsidP="009C475C">
      <w:pPr>
        <w:spacing w:before="240"/>
        <w:jc w:val="lowKashida"/>
        <w:rPr>
          <w:rFonts w:asciiTheme="majorHAnsi" w:hAnsiTheme="majorHAnsi" w:cstheme="majorHAnsi"/>
          <w:sz w:val="22"/>
          <w:szCs w:val="22"/>
        </w:rPr>
      </w:pPr>
      <w:r w:rsidRPr="00833A3A">
        <w:rPr>
          <w:rFonts w:asciiTheme="majorHAnsi" w:hAnsiTheme="majorHAnsi" w:cstheme="majorHAnsi"/>
          <w:sz w:val="22"/>
          <w:szCs w:val="22"/>
        </w:rPr>
        <w:t>The results presented in Tables (7), (8), (9), and (10) reveal statistically significant differences (P &lt; 0.001) between the mean scores of each group of students (high–medium–low) in alexithymia with respect to metacognitive thinking skills (knowledge of cognition, regulation of cognition, and knowledge processing). To determine the extent and direction of these differences, the Scheffe test was used for multiple comparisons between the means. The results revealed that performance students with low levels of alexithymia outperformed both high- and medium- alexithymia students in terms of metacognitive thinking skills, whereas medium alexithymia students performed better than those with high alexithymia.</w:t>
      </w:r>
    </w:p>
    <w:p w14:paraId="1A0F9706" w14:textId="05B77F9A" w:rsidR="00B36EC7" w:rsidRPr="00833A3A" w:rsidRDefault="005F63C8" w:rsidP="00833A3A">
      <w:pPr>
        <w:widowControl w:val="0"/>
        <w:autoSpaceDE w:val="0"/>
        <w:autoSpaceDN w:val="0"/>
        <w:adjustRightInd w:val="0"/>
        <w:spacing w:before="120" w:after="240" w:line="276" w:lineRule="auto"/>
        <w:jc w:val="both"/>
        <w:rPr>
          <w:rFonts w:asciiTheme="majorHAnsi" w:eastAsia="Times New Roman" w:hAnsiTheme="majorHAnsi" w:cstheme="majorHAnsi"/>
          <w:b/>
          <w:sz w:val="28"/>
          <w:szCs w:val="28"/>
          <w:lang w:val="cs-CZ" w:eastAsia="cs-CZ"/>
        </w:rPr>
      </w:pPr>
      <w:r w:rsidRPr="00833A3A">
        <w:rPr>
          <w:rFonts w:asciiTheme="majorHAnsi" w:eastAsia="Times New Roman" w:hAnsiTheme="majorHAnsi" w:cstheme="majorHAnsi"/>
          <w:b/>
          <w:sz w:val="28"/>
          <w:szCs w:val="28"/>
          <w:lang w:val="cs-CZ" w:eastAsia="cs-CZ"/>
        </w:rPr>
        <w:t>Discussion</w:t>
      </w:r>
    </w:p>
    <w:p w14:paraId="09A82167" w14:textId="2B7FAF74" w:rsidR="00C30768" w:rsidRPr="00833A3A" w:rsidRDefault="00C30768" w:rsidP="00833A3A">
      <w:pPr>
        <w:widowControl w:val="0"/>
        <w:autoSpaceDE w:val="0"/>
        <w:autoSpaceDN w:val="0"/>
        <w:adjustRightInd w:val="0"/>
        <w:spacing w:before="120" w:after="240" w:line="276" w:lineRule="auto"/>
        <w:jc w:val="both"/>
        <w:rPr>
          <w:rFonts w:asciiTheme="majorHAnsi" w:eastAsia="Times New Roman" w:hAnsiTheme="majorHAnsi" w:cstheme="majorHAnsi"/>
          <w:b/>
          <w:sz w:val="28"/>
          <w:szCs w:val="28"/>
          <w:lang w:val="cs-CZ" w:eastAsia="cs-CZ"/>
        </w:rPr>
      </w:pPr>
      <w:r w:rsidRPr="00833A3A">
        <w:rPr>
          <w:rFonts w:asciiTheme="majorHAnsi" w:eastAsia="Times New Roman" w:hAnsiTheme="majorHAnsi" w:cstheme="majorHAnsi"/>
          <w:b/>
          <w:sz w:val="28"/>
          <w:szCs w:val="28"/>
          <w:lang w:val="cs-CZ" w:eastAsia="cs-CZ"/>
        </w:rPr>
        <w:t>Levels of alexithymia prevalence among university students</w:t>
      </w:r>
    </w:p>
    <w:p w14:paraId="509B7B1D" w14:textId="67D6DA2E" w:rsidR="004C7324" w:rsidRPr="00833A3A" w:rsidRDefault="004C7324" w:rsidP="009C475C">
      <w:pPr>
        <w:jc w:val="lowKashida"/>
        <w:rPr>
          <w:rFonts w:asciiTheme="majorHAnsi" w:hAnsiTheme="majorHAnsi" w:cstheme="majorHAnsi"/>
          <w:sz w:val="22"/>
          <w:szCs w:val="22"/>
        </w:rPr>
      </w:pPr>
      <w:r w:rsidRPr="00833A3A">
        <w:rPr>
          <w:rFonts w:asciiTheme="majorHAnsi" w:hAnsiTheme="majorHAnsi" w:cstheme="majorHAnsi"/>
          <w:sz w:val="22"/>
          <w:szCs w:val="22"/>
        </w:rPr>
        <w:t xml:space="preserve">The results in Table </w:t>
      </w:r>
      <w:r w:rsidRPr="00833A3A">
        <w:rPr>
          <w:rFonts w:asciiTheme="majorHAnsi" w:hAnsiTheme="majorHAnsi" w:cstheme="majorHAnsi" w:hint="cs"/>
          <w:sz w:val="22"/>
          <w:szCs w:val="22"/>
          <w:rtl/>
        </w:rPr>
        <w:t>3</w:t>
      </w:r>
      <w:r w:rsidRPr="00833A3A">
        <w:rPr>
          <w:rFonts w:asciiTheme="majorHAnsi" w:hAnsiTheme="majorHAnsi" w:cstheme="majorHAnsi"/>
          <w:sz w:val="22"/>
          <w:szCs w:val="22"/>
        </w:rPr>
        <w:t xml:space="preserve">, </w:t>
      </w:r>
      <w:r w:rsidRPr="00833A3A">
        <w:rPr>
          <w:rFonts w:asciiTheme="majorHAnsi" w:hAnsiTheme="majorHAnsi" w:cstheme="majorHAnsi" w:hint="cs"/>
          <w:sz w:val="22"/>
          <w:szCs w:val="22"/>
          <w:rtl/>
        </w:rPr>
        <w:t>4</w:t>
      </w:r>
      <w:r w:rsidRPr="00833A3A">
        <w:rPr>
          <w:rFonts w:asciiTheme="majorHAnsi" w:hAnsiTheme="majorHAnsi" w:cstheme="majorHAnsi"/>
          <w:sz w:val="22"/>
          <w:szCs w:val="22"/>
        </w:rPr>
        <w:t xml:space="preserve"> are consistent with those of Faramarzi &amp; Khafri (2017), who reported that alexithymia is widespread among university students and that the prevalence rate of alexithymia was 21.8% among students. Similarly, Mohamed &amp; Ahmed (2022) concluded that the majority of individuals with depression also experience alexithymia. It is consistent with the study of Leweke et al. (2011) which indicated that the prevalence of alexithymia is relatively high in patients with mental disorders, and that the loss of the ability to express emotions was associated with greater impairment in mental health and the incidence of mental illness.</w:t>
      </w:r>
    </w:p>
    <w:p w14:paraId="77CEF90C" w14:textId="5AC92F5D" w:rsidR="004C7324" w:rsidRPr="00833A3A" w:rsidRDefault="004C7324" w:rsidP="009C475C">
      <w:pPr>
        <w:spacing w:before="240"/>
        <w:jc w:val="lowKashida"/>
        <w:rPr>
          <w:rFonts w:asciiTheme="majorHAnsi" w:hAnsiTheme="majorHAnsi" w:cstheme="majorHAnsi"/>
          <w:sz w:val="22"/>
          <w:szCs w:val="22"/>
        </w:rPr>
      </w:pPr>
      <w:r w:rsidRPr="00833A3A">
        <w:rPr>
          <w:rFonts w:asciiTheme="majorHAnsi" w:hAnsiTheme="majorHAnsi" w:cstheme="majorHAnsi"/>
          <w:sz w:val="22"/>
          <w:szCs w:val="22"/>
        </w:rPr>
        <w:t xml:space="preserve">The results imply that university students face challenges in emotional functioning, struggling to identify and describe their internal feelings and sensations toward others. They exhibit weak imaginative abilities and a lack of internal thought processes (Mohamed &amp; Ahmed, 2022), as well as a limited capacity for emotional reflection and verbal communication regarding their internal states (Messina et al., 2014). Many students experience difficulty expressing their feelings due to an inadequate vocabulary to articulate their emotions (Noli et al., 2010), and they tend to focus more on external events than on their feelings and imaginations (Benbrika et al., 2018). Therefore, </w:t>
      </w:r>
      <w:r w:rsidRPr="00833A3A">
        <w:rPr>
          <w:rFonts w:asciiTheme="majorHAnsi" w:hAnsiTheme="majorHAnsi" w:cstheme="majorHAnsi"/>
          <w:sz w:val="22"/>
          <w:szCs w:val="22"/>
        </w:rPr>
        <w:lastRenderedPageBreak/>
        <w:t>students are expected to suffer from mental health problems (Quinto et al., 2022; Quinto et al., 2022; Leweke et al., 2011).</w:t>
      </w:r>
    </w:p>
    <w:p w14:paraId="5A3548AE" w14:textId="6379926F" w:rsidR="004C7324" w:rsidRPr="00833A3A" w:rsidRDefault="004C7324" w:rsidP="009C475C">
      <w:pPr>
        <w:spacing w:before="240"/>
        <w:jc w:val="lowKashida"/>
        <w:rPr>
          <w:rFonts w:asciiTheme="majorHAnsi" w:hAnsiTheme="majorHAnsi" w:cstheme="majorHAnsi"/>
          <w:sz w:val="22"/>
          <w:szCs w:val="22"/>
        </w:rPr>
      </w:pPr>
      <w:r w:rsidRPr="00833A3A">
        <w:rPr>
          <w:rFonts w:asciiTheme="majorHAnsi" w:hAnsiTheme="majorHAnsi" w:cstheme="majorHAnsi"/>
          <w:sz w:val="22"/>
          <w:szCs w:val="22"/>
        </w:rPr>
        <w:t>These results can be interpreted within the context of the various factors that contribute to the emergence of alexithymia among university students today. These include exposure to significant life stressors; maladaptive experiences leading to emotional deprivation; and tendencies to withdraw from social situations in favor of isolation or online gaming. Furthermore, negative coping strategies such as avoidance, stemming from a lack of knowledge, alongside increased tension, anxiety, and difficulty in making decisions, further exacerbate the situation (</w:t>
      </w:r>
      <w:r w:rsidR="00111D95" w:rsidRPr="00833A3A">
        <w:rPr>
          <w:rFonts w:asciiTheme="majorHAnsi" w:hAnsiTheme="majorHAnsi" w:cstheme="majorHAnsi"/>
          <w:sz w:val="22"/>
          <w:szCs w:val="22"/>
        </w:rPr>
        <w:t xml:space="preserve">Pape et al., 2022; </w:t>
      </w:r>
      <w:r w:rsidRPr="00833A3A">
        <w:rPr>
          <w:rFonts w:asciiTheme="majorHAnsi" w:hAnsiTheme="majorHAnsi" w:cstheme="majorHAnsi"/>
          <w:sz w:val="22"/>
          <w:szCs w:val="22"/>
        </w:rPr>
        <w:t>Besharat, 2010; Taylor, 2000; Taylor et al., 1997; Taylor &amp; Taylor, 1997). Emotional factors include dysfunction in processing emotional information</w:t>
      </w:r>
      <w:r w:rsidR="00396327" w:rsidRPr="00833A3A">
        <w:rPr>
          <w:rFonts w:asciiTheme="majorHAnsi" w:hAnsiTheme="majorHAnsi" w:cstheme="majorHAnsi"/>
          <w:sz w:val="22"/>
          <w:szCs w:val="22"/>
        </w:rPr>
        <w:t xml:space="preserve"> and </w:t>
      </w:r>
      <w:r w:rsidRPr="00833A3A">
        <w:rPr>
          <w:rFonts w:asciiTheme="majorHAnsi" w:hAnsiTheme="majorHAnsi" w:cstheme="majorHAnsi"/>
          <w:sz w:val="22"/>
          <w:szCs w:val="22"/>
        </w:rPr>
        <w:t>a lack of mental representation of emotions (</w:t>
      </w:r>
      <w:r w:rsidR="00111D95" w:rsidRPr="00833A3A">
        <w:rPr>
          <w:rFonts w:asciiTheme="majorHAnsi" w:hAnsiTheme="majorHAnsi" w:cstheme="majorHAnsi"/>
          <w:sz w:val="22"/>
          <w:szCs w:val="22"/>
        </w:rPr>
        <w:t xml:space="preserve">Pape et al., 2022; </w:t>
      </w:r>
      <w:r w:rsidRPr="00833A3A">
        <w:rPr>
          <w:rFonts w:asciiTheme="majorHAnsi" w:hAnsiTheme="majorHAnsi" w:cstheme="majorHAnsi"/>
          <w:sz w:val="22"/>
          <w:szCs w:val="22"/>
        </w:rPr>
        <w:t>Taylor &amp; Bagby, 2000).</w:t>
      </w:r>
    </w:p>
    <w:p w14:paraId="493216D9" w14:textId="2F964571" w:rsidR="004C7324" w:rsidRPr="00833A3A" w:rsidRDefault="004C7324" w:rsidP="009C475C">
      <w:pPr>
        <w:spacing w:before="240"/>
        <w:jc w:val="lowKashida"/>
        <w:rPr>
          <w:rFonts w:asciiTheme="majorHAnsi" w:hAnsiTheme="majorHAnsi" w:cstheme="majorHAnsi"/>
          <w:sz w:val="22"/>
          <w:szCs w:val="22"/>
        </w:rPr>
      </w:pPr>
      <w:r w:rsidRPr="00833A3A">
        <w:rPr>
          <w:rFonts w:asciiTheme="majorHAnsi" w:hAnsiTheme="majorHAnsi" w:cstheme="majorHAnsi"/>
          <w:sz w:val="22"/>
          <w:szCs w:val="22"/>
        </w:rPr>
        <w:t>Moreover, biological factors contribute to this issue, as many students tend to use left-brain thinking patterns, neglecting the right side, which is associated with imagination, creativity, and emotional awareness. This tendency is likely influenced by the theoretical nature of their academic courses and the underutilization of neural pathways connecting emotional and cognitive areas, leading to dysfunction in neurotransmission between these regions (</w:t>
      </w:r>
      <w:r w:rsidR="00396327" w:rsidRPr="00833A3A">
        <w:rPr>
          <w:rFonts w:asciiTheme="majorHAnsi" w:hAnsiTheme="majorHAnsi" w:cstheme="majorHAnsi"/>
          <w:sz w:val="22"/>
          <w:szCs w:val="22"/>
        </w:rPr>
        <w:t xml:space="preserve">Rösch et al., 2022; Larsen et al., 2003; </w:t>
      </w:r>
      <w:r w:rsidRPr="00833A3A">
        <w:rPr>
          <w:rFonts w:asciiTheme="majorHAnsi" w:hAnsiTheme="majorHAnsi" w:cstheme="majorHAnsi"/>
          <w:sz w:val="22"/>
          <w:szCs w:val="22"/>
        </w:rPr>
        <w:t xml:space="preserve">Sifneos, 1988). </w:t>
      </w:r>
      <w:r w:rsidR="00111D95" w:rsidRPr="00833A3A">
        <w:rPr>
          <w:rFonts w:asciiTheme="majorHAnsi" w:hAnsiTheme="majorHAnsi" w:cstheme="majorHAnsi"/>
          <w:sz w:val="22"/>
          <w:szCs w:val="22"/>
        </w:rPr>
        <w:t>Numerous studies have suggested a correlation between alexithymic traits and dysfunction in the right hemisphere of the brain or the anterior cingulate cortex (Rösch et al., 2022; Donges et al., 2014; Larsen et al., 2003; Jessimer &amp; Markham, 1997).</w:t>
      </w:r>
    </w:p>
    <w:p w14:paraId="77539488" w14:textId="0033514A" w:rsidR="00C30768" w:rsidRPr="00833A3A" w:rsidRDefault="004C7324" w:rsidP="00833A3A">
      <w:pPr>
        <w:widowControl w:val="0"/>
        <w:autoSpaceDE w:val="0"/>
        <w:autoSpaceDN w:val="0"/>
        <w:adjustRightInd w:val="0"/>
        <w:spacing w:before="120" w:after="240" w:line="276" w:lineRule="auto"/>
        <w:jc w:val="both"/>
        <w:rPr>
          <w:rFonts w:asciiTheme="majorHAnsi" w:eastAsia="Times New Roman" w:hAnsiTheme="majorHAnsi" w:cstheme="majorHAnsi"/>
          <w:b/>
          <w:sz w:val="28"/>
          <w:szCs w:val="28"/>
          <w:lang w:val="cs-CZ" w:eastAsia="cs-CZ"/>
        </w:rPr>
      </w:pPr>
      <w:r w:rsidRPr="00833A3A">
        <w:rPr>
          <w:rFonts w:asciiTheme="majorHAnsi" w:eastAsia="Times New Roman" w:hAnsiTheme="majorHAnsi" w:cstheme="majorHAnsi"/>
          <w:b/>
          <w:sz w:val="28"/>
          <w:szCs w:val="28"/>
          <w:lang w:val="cs-CZ" w:eastAsia="cs-CZ"/>
        </w:rPr>
        <w:t>The level of metacognitive thinking skills among university students</w:t>
      </w:r>
    </w:p>
    <w:p w14:paraId="4B1B8905" w14:textId="48DB414E" w:rsidR="004C7324" w:rsidRPr="00833A3A" w:rsidRDefault="004C7324" w:rsidP="009C475C">
      <w:pPr>
        <w:jc w:val="lowKashida"/>
        <w:rPr>
          <w:rFonts w:asciiTheme="majorHAnsi" w:hAnsiTheme="majorHAnsi" w:cstheme="majorHAnsi"/>
          <w:sz w:val="22"/>
          <w:szCs w:val="22"/>
        </w:rPr>
      </w:pPr>
      <w:r w:rsidRPr="00833A3A">
        <w:rPr>
          <w:rFonts w:asciiTheme="majorHAnsi" w:hAnsiTheme="majorHAnsi" w:cstheme="majorHAnsi"/>
          <w:sz w:val="22"/>
          <w:szCs w:val="22"/>
        </w:rPr>
        <w:t xml:space="preserve">The results in Table </w:t>
      </w:r>
      <w:r w:rsidRPr="00833A3A">
        <w:rPr>
          <w:rFonts w:asciiTheme="majorHAnsi" w:hAnsiTheme="majorHAnsi" w:cstheme="majorHAnsi" w:hint="cs"/>
          <w:sz w:val="22"/>
          <w:szCs w:val="22"/>
          <w:rtl/>
        </w:rPr>
        <w:t>5</w:t>
      </w:r>
      <w:r w:rsidRPr="00833A3A">
        <w:rPr>
          <w:rFonts w:asciiTheme="majorHAnsi" w:hAnsiTheme="majorHAnsi" w:cstheme="majorHAnsi"/>
          <w:sz w:val="22"/>
          <w:szCs w:val="22"/>
        </w:rPr>
        <w:t xml:space="preserve">, </w:t>
      </w:r>
      <w:r w:rsidRPr="00833A3A">
        <w:rPr>
          <w:rFonts w:asciiTheme="majorHAnsi" w:hAnsiTheme="majorHAnsi" w:cstheme="majorHAnsi" w:hint="cs"/>
          <w:sz w:val="22"/>
          <w:szCs w:val="22"/>
          <w:rtl/>
        </w:rPr>
        <w:t>6</w:t>
      </w:r>
      <w:r w:rsidRPr="00833A3A">
        <w:rPr>
          <w:rFonts w:asciiTheme="majorHAnsi" w:hAnsiTheme="majorHAnsi" w:cstheme="majorHAnsi"/>
          <w:sz w:val="22"/>
          <w:szCs w:val="22"/>
        </w:rPr>
        <w:t xml:space="preserve"> are consistent with those of Akaydin et al. (2020), who revealed that metacognitive awareness among students was high. These results can be explained in light of what university students acquired from previous experiences throughout the different educational stages that enabled them to practice planning, monitoring, and evaluation of their thinking continuously and to control their thinking processes, in addition to their use of different learning strategies and models that enhance their motivation to learn and increase their self-confidence.</w:t>
      </w:r>
    </w:p>
    <w:p w14:paraId="5101C031" w14:textId="1220A1DC" w:rsidR="00111D95" w:rsidRPr="00833A3A" w:rsidRDefault="004C7324" w:rsidP="00833A3A">
      <w:pPr>
        <w:jc w:val="lowKashida"/>
        <w:rPr>
          <w:rFonts w:asciiTheme="majorHAnsi" w:hAnsiTheme="majorHAnsi" w:cstheme="majorHAnsi"/>
          <w:sz w:val="22"/>
          <w:szCs w:val="22"/>
        </w:rPr>
      </w:pPr>
      <w:r w:rsidRPr="00833A3A">
        <w:rPr>
          <w:rFonts w:asciiTheme="majorHAnsi" w:hAnsiTheme="majorHAnsi" w:cstheme="majorHAnsi"/>
          <w:sz w:val="22"/>
          <w:szCs w:val="22"/>
        </w:rPr>
        <w:t>This result also indicates that university students have the ability to possess knowledge, awareness, and control over their cognitive activities (</w:t>
      </w:r>
      <w:r w:rsidR="0047452B" w:rsidRPr="0047452B">
        <w:rPr>
          <w:rFonts w:asciiTheme="majorHAnsi" w:hAnsiTheme="majorHAnsi" w:cstheme="majorHAnsi"/>
          <w:sz w:val="22"/>
          <w:szCs w:val="22"/>
        </w:rPr>
        <w:t>Sawhney &amp; Bansal 2015</w:t>
      </w:r>
      <w:r w:rsidR="0047452B">
        <w:rPr>
          <w:rFonts w:asciiTheme="majorHAnsi" w:hAnsiTheme="majorHAnsi" w:cstheme="majorHAnsi"/>
          <w:sz w:val="22"/>
          <w:szCs w:val="22"/>
        </w:rPr>
        <w:t xml:space="preserve">; </w:t>
      </w:r>
      <w:r w:rsidRPr="00833A3A">
        <w:rPr>
          <w:rFonts w:asciiTheme="majorHAnsi" w:hAnsiTheme="majorHAnsi" w:cstheme="majorHAnsi"/>
          <w:sz w:val="22"/>
          <w:szCs w:val="22"/>
        </w:rPr>
        <w:t>Nelson, 1990). They demonstrate the ability to engage in metacognitive practices (Schraw &amp; Dennison, 1994). Additionally, they can control and restructure their thoughts (Güss &amp; Wiley, 2007) and consciously monitor and organize cognitive phenomena (Papaleontiou-Louca, 2008). Therefore, students are expected to have high mental health (Li et al., 2023).</w:t>
      </w:r>
      <w:r w:rsidR="00111D95" w:rsidRPr="00833A3A">
        <w:rPr>
          <w:rFonts w:asciiTheme="majorHAnsi" w:hAnsiTheme="majorHAnsi" w:cstheme="majorHAnsi"/>
          <w:sz w:val="22"/>
          <w:szCs w:val="22"/>
        </w:rPr>
        <w:t xml:space="preserve"> as metacognitive thinking is responsible for changing cognitive processes and internal activities to counter behaviors that are harmful to mental health (Tomljenovic &amp; Bubic, 2021).</w:t>
      </w:r>
    </w:p>
    <w:p w14:paraId="2439E4D6" w14:textId="77777777" w:rsidR="00111D95" w:rsidRPr="00833A3A" w:rsidRDefault="00111D95" w:rsidP="00833A3A">
      <w:pPr>
        <w:jc w:val="lowKashida"/>
        <w:rPr>
          <w:rFonts w:asciiTheme="majorHAnsi" w:hAnsiTheme="majorHAnsi" w:cstheme="majorHAnsi"/>
          <w:sz w:val="22"/>
          <w:szCs w:val="22"/>
        </w:rPr>
      </w:pPr>
      <w:r w:rsidRPr="00833A3A">
        <w:rPr>
          <w:rFonts w:asciiTheme="majorHAnsi" w:hAnsiTheme="majorHAnsi" w:cstheme="majorHAnsi"/>
          <w:sz w:val="22"/>
          <w:szCs w:val="22"/>
        </w:rPr>
        <w:t>The high level of metacognitive thinking among university students can be attributed to their declarative knowledge, which forms their awareness of their thinking processes, and procedural knowledge which enhances their awareness of how to use the learning strategies. They apply knowledge organization techniques such as planning, setting goals, and identifying learning resources, which allow them to manage effectively and select the most effective strategies for processing information (Schraw &amp; Dannison, 1994).</w:t>
      </w:r>
    </w:p>
    <w:p w14:paraId="65EBAA41" w14:textId="77777777" w:rsidR="00111D95" w:rsidRPr="00833A3A" w:rsidRDefault="00111D95" w:rsidP="00833A3A">
      <w:pPr>
        <w:jc w:val="lowKashida"/>
        <w:rPr>
          <w:rFonts w:asciiTheme="majorHAnsi" w:hAnsiTheme="majorHAnsi" w:cstheme="majorHAnsi"/>
          <w:sz w:val="22"/>
          <w:szCs w:val="22"/>
        </w:rPr>
      </w:pPr>
      <w:r w:rsidRPr="00833A3A">
        <w:rPr>
          <w:rFonts w:asciiTheme="majorHAnsi" w:hAnsiTheme="majorHAnsi" w:cstheme="majorHAnsi"/>
          <w:sz w:val="22"/>
          <w:szCs w:val="22"/>
        </w:rPr>
        <w:t>Overall, these results are consistent with those of Akaydin et al. (2020), who recommended providing students with diverse opportunities to enhance metacognitive thinking skills through the use of different methods and techniques. Rivas et al. (2022) emphasized the importance of improving students’ metacognitive thinking through effective teaching strategies. Akcaoğlu et al. (2022) recommended designing training programs, curricula, and educational activities that enhance self-regulation and awareness of metacognitive thinking</w:t>
      </w:r>
      <w:r w:rsidRPr="00833A3A">
        <w:rPr>
          <w:rFonts w:asciiTheme="majorHAnsi" w:hAnsiTheme="majorHAnsi" w:cstheme="majorHAnsi"/>
          <w:sz w:val="22"/>
          <w:szCs w:val="22"/>
          <w:rtl/>
        </w:rPr>
        <w:t>.</w:t>
      </w:r>
    </w:p>
    <w:p w14:paraId="7DE6309F" w14:textId="4B36EA99" w:rsidR="004C7324" w:rsidRPr="00833A3A" w:rsidRDefault="004C7324" w:rsidP="00833A3A">
      <w:pPr>
        <w:widowControl w:val="0"/>
        <w:autoSpaceDE w:val="0"/>
        <w:autoSpaceDN w:val="0"/>
        <w:adjustRightInd w:val="0"/>
        <w:spacing w:before="120" w:after="240" w:line="276" w:lineRule="auto"/>
        <w:jc w:val="both"/>
        <w:rPr>
          <w:rFonts w:asciiTheme="majorHAnsi" w:eastAsia="Times New Roman" w:hAnsiTheme="majorHAnsi" w:cstheme="majorHAnsi"/>
          <w:b/>
          <w:sz w:val="28"/>
          <w:szCs w:val="28"/>
          <w:rtl/>
          <w:lang w:val="cs-CZ" w:eastAsia="cs-CZ"/>
        </w:rPr>
      </w:pPr>
      <w:r w:rsidRPr="00833A3A">
        <w:rPr>
          <w:rFonts w:asciiTheme="majorHAnsi" w:eastAsia="Times New Roman" w:hAnsiTheme="majorHAnsi" w:cstheme="majorHAnsi"/>
          <w:b/>
          <w:sz w:val="28"/>
          <w:szCs w:val="28"/>
          <w:lang w:val="cs-CZ" w:eastAsia="cs-CZ"/>
        </w:rPr>
        <w:t>The effect of alexithymia levels on metacognitive thinking skills</w:t>
      </w:r>
    </w:p>
    <w:p w14:paraId="0463A15E" w14:textId="65F974E9" w:rsidR="004C7324" w:rsidRPr="00833A3A" w:rsidRDefault="004C7324" w:rsidP="00833A3A">
      <w:pPr>
        <w:jc w:val="lowKashida"/>
        <w:rPr>
          <w:rFonts w:asciiTheme="majorHAnsi" w:hAnsiTheme="majorHAnsi" w:cstheme="majorHAnsi"/>
          <w:sz w:val="22"/>
          <w:szCs w:val="22"/>
          <w:rtl/>
        </w:rPr>
      </w:pPr>
      <w:r w:rsidRPr="00833A3A">
        <w:rPr>
          <w:rFonts w:asciiTheme="majorHAnsi" w:hAnsiTheme="majorHAnsi" w:cstheme="majorHAnsi"/>
          <w:sz w:val="22"/>
          <w:szCs w:val="22"/>
        </w:rPr>
        <w:lastRenderedPageBreak/>
        <w:t>In light of Tables 7,8,9,10, students with low metacognitive thinking skills show symptoms of alexithymia compared with students with high metacognitive thinking skills, who show lower symptoms of alexithymia. This result supports previous research that identified a statistically significant negative relationship between alexithymia and its dimensions (difficulty identifying feelings, difficulty describing feelings, and externally oriented thinking) and metacognitive thinking skills such as metacognitive strategies and metacognitive knowledge (Yavuz et al., 2019; Yaghoubi &amp; Salehi, 2016; Babaei et al., 2016).</w:t>
      </w:r>
    </w:p>
    <w:p w14:paraId="7D3251DC" w14:textId="2CCF98D4" w:rsidR="004C7324" w:rsidRPr="00833A3A" w:rsidRDefault="004C7324" w:rsidP="00833A3A">
      <w:pPr>
        <w:jc w:val="lowKashida"/>
        <w:rPr>
          <w:rFonts w:asciiTheme="majorHAnsi" w:hAnsiTheme="majorHAnsi" w:cstheme="majorHAnsi"/>
          <w:sz w:val="22"/>
          <w:szCs w:val="22"/>
        </w:rPr>
      </w:pPr>
      <w:r w:rsidRPr="00833A3A">
        <w:rPr>
          <w:rFonts w:asciiTheme="majorHAnsi" w:hAnsiTheme="majorHAnsi" w:cstheme="majorHAnsi"/>
          <w:sz w:val="22"/>
          <w:szCs w:val="22"/>
        </w:rPr>
        <w:t>These results can be attributed to the fact that high levels of alexithymia among students lead to a weak ability to imagine and think abstractly, causing them to focus on simple details in the learning subject and a deficit in deep cognitive processing of information, which negatively affects satisfaction, self-efficacy, and metacognitive thinking (Yaghoubi &amp; Salehi, 2016</w:t>
      </w:r>
      <w:r w:rsidR="00111D95" w:rsidRPr="00833A3A">
        <w:rPr>
          <w:rFonts w:asciiTheme="majorHAnsi" w:hAnsiTheme="majorHAnsi" w:cstheme="majorHAnsi"/>
          <w:sz w:val="22"/>
          <w:szCs w:val="22"/>
        </w:rPr>
        <w:t>; Morice-Ramat et al., 2018</w:t>
      </w:r>
      <w:r w:rsidRPr="00833A3A">
        <w:rPr>
          <w:rFonts w:asciiTheme="majorHAnsi" w:hAnsiTheme="majorHAnsi" w:cstheme="majorHAnsi"/>
          <w:sz w:val="22"/>
          <w:szCs w:val="22"/>
        </w:rPr>
        <w:t>). In addition, alexithymia is associated with academic anxiety, which affects learners’ practice of metacognitive strategies (Yaghoubi &amp; Salehi, 2016). This result is consistent with that of Pandey &amp; Jaiswal (2018), who indicated that positive metacognition and metaemotion are negatively associated with alexithymia and that positive metacognition and metaemotion give low-alexithymic students the ability to suppress ineffective thoughts and prepare them to overcome both emotional and cognitive problems, emphasizing that metacognitive thinking is an important factor in protecting them from psychological disorders (Wasmuth et al., 2015; Olstad et al., 2015).</w:t>
      </w:r>
    </w:p>
    <w:p w14:paraId="0E7B6667" w14:textId="7AFFEFF5" w:rsidR="004C7324" w:rsidRPr="00833A3A" w:rsidRDefault="004C7324" w:rsidP="00833A3A">
      <w:pPr>
        <w:jc w:val="lowKashida"/>
        <w:rPr>
          <w:rFonts w:asciiTheme="majorHAnsi" w:hAnsiTheme="majorHAnsi" w:cstheme="majorHAnsi"/>
          <w:sz w:val="22"/>
          <w:szCs w:val="22"/>
        </w:rPr>
      </w:pPr>
      <w:r w:rsidRPr="00833A3A">
        <w:rPr>
          <w:rFonts w:asciiTheme="majorHAnsi" w:hAnsiTheme="majorHAnsi" w:cstheme="majorHAnsi"/>
          <w:sz w:val="22"/>
          <w:szCs w:val="22"/>
        </w:rPr>
        <w:t>Thus, students with high metacognitive thinking have lower manifestations of alexithymia, which is characterized by difficulties in distinguishing between different emotional states, and a limited ability to think and use emotions to deal with situations (Pandey &amp; Jaiswal, 2018). This result can be explained by the fact that metacognitive thinking enhances students’ ability to control perception, knowledge, positive metacognition, and metaemotion. It also contributes to exploring many psychological phenomena and processes related to emotions and feelings and improving the understanding of others (Spicer, 2018; Pandey &amp; Jaiswal, 2018), and addressing mental health problems through self-control and self-regulation, preventing illness and maintaining the mental health of the learner (Conn et al., 2018; Hu &amp; Liang, 2002), resulting from the inability to express feelings and difficulties in regulating emotions (Dwarakanath &amp; Thangapandian, 2020; Taylor, 2004). Thus, if alexithymia has its effects on the performance and mental health of the learner (Taylor, 2004); The use of metacognitive thinking supports academic performance and mental health, and therefore studies have confirmed the importance of using metacognitive educational strategies as strategies to support students’ mental health (Weight &amp; Bond, 2022; Perfect &amp; Morris, 2011). Metacognitive thinking represents a powerful strategy to address mental health problems within learning environments (such as treating anxiety) (Hattie, 2012; Wells &amp; King, 2006), it plays a role in preparing the learner for academic success in learning environments and in life, supporting the ability to learn, the ability to plan and self-regulate, monitor and correct learning errors (Blair &amp; Diamond, 2008</w:t>
      </w:r>
      <w:r w:rsidR="003006CA" w:rsidRPr="00833A3A">
        <w:rPr>
          <w:rFonts w:asciiTheme="majorHAnsi" w:hAnsiTheme="majorHAnsi" w:cstheme="majorHAnsi"/>
          <w:sz w:val="22"/>
          <w:szCs w:val="22"/>
        </w:rPr>
        <w:t>; Bransford et al., 2004</w:t>
      </w:r>
      <w:r w:rsidRPr="00833A3A">
        <w:rPr>
          <w:rFonts w:asciiTheme="majorHAnsi" w:hAnsiTheme="majorHAnsi" w:cstheme="majorHAnsi"/>
          <w:sz w:val="22"/>
          <w:szCs w:val="22"/>
        </w:rPr>
        <w:t>), and</w:t>
      </w:r>
      <w:r w:rsidR="003006CA" w:rsidRPr="00833A3A">
        <w:rPr>
          <w:rFonts w:asciiTheme="majorHAnsi" w:hAnsiTheme="majorHAnsi" w:cstheme="majorHAnsi"/>
          <w:sz w:val="22"/>
          <w:szCs w:val="22"/>
        </w:rPr>
        <w:t xml:space="preserve"> examine and modify his thinking and beliefs (Wells &amp; King, 2006), </w:t>
      </w:r>
      <w:r w:rsidRPr="00833A3A">
        <w:rPr>
          <w:rFonts w:asciiTheme="majorHAnsi" w:hAnsiTheme="majorHAnsi" w:cstheme="majorHAnsi"/>
          <w:sz w:val="22"/>
          <w:szCs w:val="22"/>
        </w:rPr>
        <w:t>thinking about thinking, and responding to his thinking by monitoring and organizing his thoughts (Black and Wiliam, 2009</w:t>
      </w:r>
      <w:r w:rsidR="003006CA" w:rsidRPr="00833A3A">
        <w:rPr>
          <w:rFonts w:asciiTheme="majorHAnsi" w:hAnsiTheme="majorHAnsi" w:cstheme="majorHAnsi"/>
          <w:sz w:val="22"/>
          <w:szCs w:val="22"/>
        </w:rPr>
        <w:t>; Flavell, 1979</w:t>
      </w:r>
      <w:r w:rsidRPr="00833A3A">
        <w:rPr>
          <w:rFonts w:asciiTheme="majorHAnsi" w:hAnsiTheme="majorHAnsi" w:cstheme="majorHAnsi"/>
          <w:sz w:val="22"/>
          <w:szCs w:val="22"/>
        </w:rPr>
        <w:t>) and designing metacognitive strategies to monitor his cognitive progress, monitor and modify thought (Flavell, 1979), and therefore represents a strategy to support the learner's mental health as it gives him the ability to be aware of and control mental processes (Weight &amp; Bond, 2022).</w:t>
      </w:r>
    </w:p>
    <w:p w14:paraId="2F142C1A" w14:textId="150EE030" w:rsidR="004C7324" w:rsidRPr="00833A3A" w:rsidRDefault="004C7324" w:rsidP="00833A3A">
      <w:pPr>
        <w:jc w:val="lowKashida"/>
        <w:rPr>
          <w:rFonts w:asciiTheme="majorHAnsi" w:hAnsiTheme="majorHAnsi" w:cstheme="majorHAnsi"/>
          <w:sz w:val="22"/>
          <w:szCs w:val="22"/>
        </w:rPr>
      </w:pPr>
      <w:r w:rsidRPr="00833A3A">
        <w:rPr>
          <w:rFonts w:asciiTheme="majorHAnsi" w:hAnsiTheme="majorHAnsi" w:cstheme="majorHAnsi"/>
          <w:sz w:val="22"/>
          <w:szCs w:val="22"/>
        </w:rPr>
        <w:t xml:space="preserve">The results presented in Tables (7), (8), (9), and (10) can also be interpreted in light of the fact that students with high levels of alexithymia have low metacognitive thinking skills. This can be due to the emotional disorders that hinder performance and thinking processes, as well as the inability to practice abstract thinking and a lack of emotional awareness, which affects metacognitive thinking skills and related processes such as knowledge of cognition, regulation of cognition and knowledge processing; It leads to the loss of the ability to express feelings and mental health Dwarakanath &amp; Thangapandian (2020), which was confirmed by Taylor (2004) that individuals with high levels of alexithymia are at risk of poor mental health, which is an important indicator of the learner’s poor practice of metacognitive thinking skills (Ghandour et al., 2018; Stephan et al., 2015). Hamonniere &amp; Varescon (2018) study indicates that alexithymia can produce psychological disorders and exacerbate </w:t>
      </w:r>
      <w:r w:rsidRPr="00833A3A">
        <w:rPr>
          <w:rFonts w:asciiTheme="majorHAnsi" w:hAnsiTheme="majorHAnsi" w:cstheme="majorHAnsi"/>
          <w:sz w:val="22"/>
          <w:szCs w:val="22"/>
        </w:rPr>
        <w:lastRenderedPageBreak/>
        <w:t>a series of harmful behaviors, and that poor metacognitive thinking is associated with harmful behavior and poor mental health (Desender et al., 2016; Sun et al., 2017; Morales et al., 2018). The presence of mental health problems in students is due to their inability to understand their metacognitive abilities and lack of awareness of the metacognitive processes involved in organizing and evaluating thinking (Weight &amp; Bond, 2022), and studies support this as the failure to employ metacognitive thinking skills poses a threat to mental health (Wells &amp; King, 2006), which is what made Weight &amp; Bond (2022) emphasize the importance of using metacognitive thinking strategies in treating mental health problems, especially in stude</w:t>
      </w:r>
      <w:r w:rsidR="003006CA" w:rsidRPr="00833A3A">
        <w:rPr>
          <w:rFonts w:asciiTheme="majorHAnsi" w:hAnsiTheme="majorHAnsi" w:cstheme="majorHAnsi"/>
          <w:sz w:val="22"/>
          <w:szCs w:val="22"/>
        </w:rPr>
        <w:t>nts suffering from alexithymia. This aligns with Hudlicka (2005), who indicated that emotional deficits (i.e., recognizing emotions) are affected by learners’ confidence and awareness of their thinking processes, resulting in a reduced ability to process emotional information and perform metacognitive tasks.</w:t>
      </w:r>
    </w:p>
    <w:p w14:paraId="170888AD" w14:textId="1223DAFC" w:rsidR="004C7324" w:rsidRPr="00833A3A" w:rsidRDefault="004C7324" w:rsidP="00833A3A">
      <w:pPr>
        <w:jc w:val="lowKashida"/>
        <w:rPr>
          <w:rFonts w:asciiTheme="majorHAnsi" w:hAnsiTheme="majorHAnsi" w:cstheme="majorHAnsi"/>
          <w:sz w:val="22"/>
          <w:szCs w:val="22"/>
        </w:rPr>
      </w:pPr>
      <w:r w:rsidRPr="00833A3A">
        <w:rPr>
          <w:rFonts w:asciiTheme="majorHAnsi" w:hAnsiTheme="majorHAnsi" w:cstheme="majorHAnsi"/>
          <w:sz w:val="22"/>
          <w:szCs w:val="22"/>
        </w:rPr>
        <w:t xml:space="preserve">The results also indicate that students with low metacognitive thinking have symptoms of alexithymia. The dimensions of alexithymia (difficulty identifying feelings, difficulty describing feelings, and externally oriented thinking) contribute to lower awareness of thinking among these students. These factors lead to disturbances and collapse in emotional regulation, and a malfunction in the mental thinking process (Ivan et al., 2013; Faramarzi &amp; Khafri, 2017), which in turn affects various thinking processes, including metacognitive thinking (Yavuz et al., 2019).  These results support those of Kleitman and Stankov (2007), Yaghoubi &amp; Salehi (2016) and Rösch et al. (2022), who indicated that there is an effect of alexithymia levels on higher meta-cognitive processes, which in turn affect individuals’ cognitive processes. </w:t>
      </w:r>
    </w:p>
    <w:p w14:paraId="3D700B19" w14:textId="7406AB4B" w:rsidR="004C7324" w:rsidRPr="00833A3A" w:rsidRDefault="004C7324" w:rsidP="00833A3A">
      <w:pPr>
        <w:jc w:val="lowKashida"/>
        <w:rPr>
          <w:rFonts w:asciiTheme="majorHAnsi" w:hAnsiTheme="majorHAnsi" w:cstheme="majorHAnsi"/>
          <w:sz w:val="22"/>
          <w:szCs w:val="22"/>
        </w:rPr>
      </w:pPr>
      <w:r w:rsidRPr="00833A3A">
        <w:rPr>
          <w:rFonts w:asciiTheme="majorHAnsi" w:hAnsiTheme="majorHAnsi" w:cstheme="majorHAnsi"/>
          <w:sz w:val="22"/>
          <w:szCs w:val="22"/>
        </w:rPr>
        <w:t>In other words, the results show that students with high awareness of thinking processes have lower alexithymic traits. Thus, metacognitive skills (knowledge of cognition, regulation of cognition, and knowledge processing) influence alexithymic traits (difficulty identifying emotions, difficulty describing emotions, and externally oriented thinking) (Sifneos, 1973; Babaei et al., 2016), and enhances the learner’s mental health (Foumany et al., 2014), predicts depression, anxiety, and dysfunctional health-related beliefs, and plays a role in promoting mental health (Melli et al., 2016). This finding supports what Weight &amp; Bond (2022) indicated about the existence of a relationship between metacognitive thinking and its use as a strategy to support the mental health of students with mental health disorders. It also supports what Commodari et al. (2022) indicated that metacognition affects depression, stress, anxiety symptoms, and quality of life, and what Li et al. (2023) indicated about the existence of a relationship between metacognitive thinking and health-related behavior in students, and that metacognition can positively predict health-related behavior. This is consistent with Papaleontiou-Louca (2008), who indicated that metacognitive thinking includes not only "thinking about thinking" and cognitive states but also emotional states, motivations, and intentions, which support the cognitive processes of metacognitive thinking</w:t>
      </w:r>
      <w:r w:rsidR="003006CA" w:rsidRPr="00833A3A">
        <w:rPr>
          <w:rFonts w:asciiTheme="majorHAnsi" w:hAnsiTheme="majorHAnsi" w:cstheme="majorHAnsi"/>
          <w:sz w:val="22"/>
          <w:szCs w:val="22"/>
        </w:rPr>
        <w:t>.  It is also used as a monitoring system of human thinking (Li et al., 2023) responsible for the individual’s awareness of himself and his self-regulation of the cognitive and internal activities he performs (Wells &amp; King, 2006), and it is also responsible for confronting behaviors that are harmful to mental health (Tomljenovic &amp; Bubic, 2021).</w:t>
      </w:r>
    </w:p>
    <w:p w14:paraId="34A4472A" w14:textId="55780330" w:rsidR="00666A46" w:rsidRPr="00833A3A" w:rsidRDefault="00666A46" w:rsidP="00833A3A">
      <w:pPr>
        <w:widowControl w:val="0"/>
        <w:autoSpaceDE w:val="0"/>
        <w:autoSpaceDN w:val="0"/>
        <w:adjustRightInd w:val="0"/>
        <w:spacing w:before="120" w:after="240" w:line="276" w:lineRule="auto"/>
        <w:jc w:val="both"/>
        <w:rPr>
          <w:rFonts w:asciiTheme="majorHAnsi" w:eastAsia="Times New Roman" w:hAnsiTheme="majorHAnsi" w:cstheme="majorHAnsi"/>
          <w:b/>
          <w:sz w:val="28"/>
          <w:szCs w:val="28"/>
          <w:lang w:val="cs-CZ" w:eastAsia="cs-CZ"/>
        </w:rPr>
      </w:pPr>
      <w:r w:rsidRPr="00833A3A">
        <w:rPr>
          <w:rFonts w:asciiTheme="majorHAnsi" w:eastAsia="Times New Roman" w:hAnsiTheme="majorHAnsi" w:cstheme="majorHAnsi"/>
          <w:b/>
          <w:sz w:val="28"/>
          <w:szCs w:val="28"/>
          <w:lang w:val="cs-CZ" w:eastAsia="cs-CZ"/>
        </w:rPr>
        <w:t>Conclusion</w:t>
      </w:r>
    </w:p>
    <w:p w14:paraId="3AC9DDBF" w14:textId="02F1681E" w:rsidR="00666A46" w:rsidRPr="00833A3A" w:rsidRDefault="008367CF" w:rsidP="00833A3A">
      <w:pPr>
        <w:jc w:val="lowKashida"/>
        <w:rPr>
          <w:rFonts w:asciiTheme="majorHAnsi" w:hAnsiTheme="majorHAnsi" w:cstheme="majorHAnsi"/>
          <w:sz w:val="22"/>
          <w:szCs w:val="22"/>
        </w:rPr>
      </w:pPr>
      <w:r w:rsidRPr="00833A3A">
        <w:rPr>
          <w:rFonts w:asciiTheme="majorHAnsi" w:hAnsiTheme="majorHAnsi" w:cstheme="majorHAnsi"/>
          <w:sz w:val="22"/>
          <w:szCs w:val="22"/>
        </w:rPr>
        <w:t xml:space="preserve">The current study shed light on the levels of alexithymia and metacognitive thinking, and examined the impact of alexithymia levels on metacognitive thinking skills among university students. The study results revealed that students had high levels of alexithymia (difficulties identifying feelings, difficulties describing feelings, and externally oriented thinking style). Students also had high levels of metacognitive thinking and its various skills (knowledge of cognition, regulation of cognition, and knowledge processing). The results indicated that alexithymia levels affect university students' metacognitive thinking skills. Low-alexithymia students outperformed both high-alexithymia and medium-alexithymia students in metacognitive thinking skills, while medium -alexithymia students outperformed high-alexithymia students in metacognitive thinking skills. Overall, the results indicate a close relationship between metacognitive thinking and alexithymia. The more symptoms of </w:t>
      </w:r>
      <w:r w:rsidRPr="00833A3A">
        <w:rPr>
          <w:rFonts w:asciiTheme="majorHAnsi" w:hAnsiTheme="majorHAnsi" w:cstheme="majorHAnsi"/>
          <w:sz w:val="22"/>
          <w:szCs w:val="22"/>
        </w:rPr>
        <w:lastRenderedPageBreak/>
        <w:t>emotional blindness increase, the greater the learner's ability to be aware of thinking decreases, making them more vulnerable to psychological disorders, which negatively affects their knowledge of cognition, regulation of cognition, knowledge processing and mental health (Conn et al., 2018; Gong et al., 2010</w:t>
      </w:r>
      <w:r w:rsidR="003006CA" w:rsidRPr="00833A3A">
        <w:rPr>
          <w:rFonts w:asciiTheme="majorHAnsi" w:hAnsiTheme="majorHAnsi" w:cstheme="majorHAnsi"/>
          <w:sz w:val="22"/>
          <w:szCs w:val="22"/>
        </w:rPr>
        <w:t>; Hu &amp; Liang, 2002</w:t>
      </w:r>
      <w:r w:rsidRPr="00833A3A">
        <w:rPr>
          <w:rFonts w:asciiTheme="majorHAnsi" w:hAnsiTheme="majorHAnsi" w:cstheme="majorHAnsi"/>
          <w:sz w:val="22"/>
          <w:szCs w:val="22"/>
        </w:rPr>
        <w:t>); Conversely, the fewer symptoms of emotional blindness decrease, the greater the learner's ability to be aware of thinking (Wasmuth et al., 2015; Olstad et al., 2015).</w:t>
      </w:r>
    </w:p>
    <w:p w14:paraId="26D60EF6" w14:textId="77777777" w:rsidR="003006CA" w:rsidRPr="00833A3A" w:rsidRDefault="009C3FDD" w:rsidP="00833A3A">
      <w:pPr>
        <w:widowControl w:val="0"/>
        <w:autoSpaceDE w:val="0"/>
        <w:autoSpaceDN w:val="0"/>
        <w:adjustRightInd w:val="0"/>
        <w:spacing w:before="120" w:after="240" w:line="276" w:lineRule="auto"/>
        <w:jc w:val="both"/>
        <w:rPr>
          <w:rFonts w:asciiTheme="majorHAnsi" w:eastAsia="Times New Roman" w:hAnsiTheme="majorHAnsi" w:cstheme="majorHAnsi"/>
          <w:b/>
          <w:sz w:val="28"/>
          <w:szCs w:val="28"/>
          <w:lang w:val="cs-CZ" w:eastAsia="cs-CZ"/>
        </w:rPr>
      </w:pPr>
      <w:r w:rsidRPr="00833A3A">
        <w:rPr>
          <w:rFonts w:asciiTheme="majorHAnsi" w:eastAsia="Times New Roman" w:hAnsiTheme="majorHAnsi" w:cstheme="majorHAnsi"/>
          <w:b/>
          <w:sz w:val="28"/>
          <w:szCs w:val="28"/>
          <w:lang w:val="cs-CZ" w:eastAsia="cs-CZ"/>
        </w:rPr>
        <w:t>Recommendations</w:t>
      </w:r>
      <w:r w:rsidR="003006CA" w:rsidRPr="00833A3A">
        <w:rPr>
          <w:rFonts w:asciiTheme="majorHAnsi" w:eastAsia="Times New Roman" w:hAnsiTheme="majorHAnsi" w:cstheme="majorHAnsi"/>
          <w:b/>
          <w:sz w:val="28"/>
          <w:szCs w:val="28"/>
          <w:lang w:val="cs-CZ" w:eastAsia="cs-CZ"/>
        </w:rPr>
        <w:t xml:space="preserve"> and Suggestions for Further Research </w:t>
      </w:r>
    </w:p>
    <w:p w14:paraId="47B33962" w14:textId="77777777" w:rsidR="003006CA" w:rsidRPr="00833A3A" w:rsidRDefault="004C7324" w:rsidP="00833A3A">
      <w:pPr>
        <w:jc w:val="lowKashida"/>
        <w:rPr>
          <w:rFonts w:asciiTheme="majorHAnsi" w:hAnsiTheme="majorHAnsi" w:cstheme="majorHAnsi"/>
          <w:sz w:val="22"/>
          <w:szCs w:val="22"/>
        </w:rPr>
      </w:pPr>
      <w:r w:rsidRPr="00833A3A">
        <w:rPr>
          <w:rFonts w:asciiTheme="majorHAnsi" w:hAnsiTheme="majorHAnsi" w:cstheme="majorHAnsi"/>
          <w:sz w:val="22"/>
          <w:szCs w:val="22"/>
        </w:rPr>
        <w:t>The research results lead to several recommendations, emphasizing the need to develop the capabilities of university students who suffer from alexithymia by helping them articulate their feelings, practice imaginative thinking, and participate in educational activities that enhance their emotional and affective growth and mental health. University staff members should focus on both cognitive and emotional aspects in their teaching, as these significantly influence the development of metacognitive thinking skills and overall psychological well-being. Additionally, there is a need to develop intervention programs to enhance metacognitive thinking skills (knowledge of cognition, regulation of cognition, and knowledge processing) among students with alexithymia.</w:t>
      </w:r>
      <w:r w:rsidRPr="00833A3A">
        <w:rPr>
          <w:rFonts w:asciiTheme="majorHAnsi" w:hAnsiTheme="majorHAnsi" w:cstheme="majorHAnsi" w:hint="cs"/>
          <w:sz w:val="22"/>
          <w:szCs w:val="22"/>
          <w:rtl/>
        </w:rPr>
        <w:t xml:space="preserve"> </w:t>
      </w:r>
      <w:r w:rsidRPr="00833A3A">
        <w:rPr>
          <w:rFonts w:asciiTheme="majorHAnsi" w:hAnsiTheme="majorHAnsi" w:cstheme="majorHAnsi"/>
          <w:sz w:val="22"/>
          <w:szCs w:val="22"/>
        </w:rPr>
        <w:t>Exploring treatment options based on metacognitive thinking to improve mental health and reduce manifestations of alexithymia in students. Building interventions based on metacognitive thinking skills (such as cognitive behavioral therapies) for students who suffer from a lack of ability to express emotions. Also, students should be guided to adopt metacognitive strategies to overcome difficulty in identifying emotions, difficulty in describing emotions, externally oriented thinking and developing healthy behavioral habits.</w:t>
      </w:r>
    </w:p>
    <w:p w14:paraId="110BDECF" w14:textId="77777777" w:rsidR="003006CA" w:rsidRPr="00833A3A" w:rsidRDefault="003006CA" w:rsidP="00833A3A">
      <w:pPr>
        <w:jc w:val="lowKashida"/>
        <w:rPr>
          <w:rFonts w:asciiTheme="majorHAnsi" w:hAnsiTheme="majorHAnsi" w:cstheme="majorHAnsi"/>
          <w:sz w:val="22"/>
          <w:szCs w:val="22"/>
          <w:rtl/>
        </w:rPr>
      </w:pPr>
      <w:r w:rsidRPr="00833A3A">
        <w:rPr>
          <w:rFonts w:asciiTheme="majorHAnsi" w:hAnsiTheme="majorHAnsi" w:cstheme="majorHAnsi"/>
          <w:sz w:val="22"/>
          <w:szCs w:val="22"/>
        </w:rPr>
        <w:t>Future studies should explore the correlation between alexithymia and other variables, such as critical and innovative thinking and problem solving as Indicators of mental health, and examine other psychological variables related to alexithymia, such as cognitive flexibility, self-efficacy, emotional distress, and emotional dysfunction, among university students. Furthermore, we investigated the effectiveness of counseling programs in reducing symptoms of alexithymia developing metacognitive awareness and improving mental health among university students, and studying the role of metacognitive thinking in promoting mental health in students with alexithymia. Future research should seek to determine how alexithymia and metacognitive thinking affect mental health disorders, emotional and academic well-being, student quality of life, and learning ability.</w:t>
      </w:r>
    </w:p>
    <w:p w14:paraId="3BA81841" w14:textId="3CF0A44C" w:rsidR="005E3991" w:rsidRPr="00833A3A" w:rsidRDefault="005E3991" w:rsidP="00833A3A">
      <w:pPr>
        <w:widowControl w:val="0"/>
        <w:autoSpaceDE w:val="0"/>
        <w:autoSpaceDN w:val="0"/>
        <w:adjustRightInd w:val="0"/>
        <w:spacing w:before="120" w:after="240" w:line="276" w:lineRule="auto"/>
        <w:jc w:val="both"/>
        <w:rPr>
          <w:rFonts w:asciiTheme="majorHAnsi" w:eastAsia="Times New Roman" w:hAnsiTheme="majorHAnsi" w:cstheme="majorHAnsi"/>
          <w:b/>
          <w:sz w:val="28"/>
          <w:szCs w:val="28"/>
          <w:rtl/>
          <w:lang w:val="cs-CZ" w:eastAsia="cs-CZ"/>
        </w:rPr>
      </w:pPr>
      <w:r w:rsidRPr="00833A3A">
        <w:rPr>
          <w:rFonts w:asciiTheme="majorHAnsi" w:eastAsia="Times New Roman" w:hAnsiTheme="majorHAnsi" w:cstheme="majorHAnsi"/>
          <w:b/>
          <w:sz w:val="28"/>
          <w:szCs w:val="28"/>
          <w:lang w:val="cs-CZ" w:eastAsia="cs-CZ"/>
        </w:rPr>
        <w:t>Limitations</w:t>
      </w:r>
    </w:p>
    <w:p w14:paraId="3AB74CE8" w14:textId="579E3F64" w:rsidR="005E3991" w:rsidRPr="00833A3A" w:rsidRDefault="005E3991" w:rsidP="00833A3A">
      <w:pPr>
        <w:jc w:val="lowKashida"/>
        <w:rPr>
          <w:rFonts w:asciiTheme="majorHAnsi" w:hAnsiTheme="majorHAnsi" w:cstheme="majorHAnsi"/>
          <w:sz w:val="22"/>
          <w:szCs w:val="22"/>
          <w:rtl/>
        </w:rPr>
      </w:pPr>
      <w:r w:rsidRPr="00833A3A">
        <w:rPr>
          <w:rFonts w:asciiTheme="majorHAnsi" w:hAnsiTheme="majorHAnsi" w:cstheme="majorHAnsi"/>
          <w:sz w:val="22"/>
          <w:szCs w:val="22"/>
        </w:rPr>
        <w:t>There are a number of limitations to the study results; including the use of Likert-type scales as tools to assess the study variables, as other assessment tools such as observation or interview should be used. Another limitation is the descriptive approach and the comparative method, which makes the internal validity of the study weak. Qualitative research can be suggested to learn more about these variables and explore the effect of alexithymia levels on metacognitive thinking. The study was conducted on 120 students and was limited to students of the Faculty of Arts, Benha University only; therefore, similar studies should be conducted on larger groups of students in other universities. In addition, the participants were selected by convenience sampling within the target population, which may prevent the generalization of the study findings.</w:t>
      </w:r>
    </w:p>
    <w:p w14:paraId="2EF202A9" w14:textId="6CF2D0D8" w:rsidR="00DD7C37" w:rsidRPr="00833A3A" w:rsidRDefault="00DD7C37" w:rsidP="00833A3A">
      <w:pPr>
        <w:jc w:val="lowKashida"/>
        <w:rPr>
          <w:rFonts w:asciiTheme="majorHAnsi" w:hAnsiTheme="majorHAnsi" w:cstheme="majorHAnsi"/>
          <w:sz w:val="22"/>
          <w:szCs w:val="22"/>
          <w:rtl/>
        </w:rPr>
      </w:pPr>
    </w:p>
    <w:p w14:paraId="65B28DE0" w14:textId="301C643C" w:rsidR="009C3FDD" w:rsidRPr="00833A3A" w:rsidRDefault="009C3FDD" w:rsidP="00833A3A">
      <w:pPr>
        <w:spacing w:after="120" w:line="276" w:lineRule="auto"/>
        <w:jc w:val="both"/>
        <w:rPr>
          <w:rFonts w:asciiTheme="majorHAnsi" w:hAnsiTheme="majorHAnsi" w:cstheme="majorHAnsi"/>
          <w:sz w:val="22"/>
          <w:szCs w:val="22"/>
        </w:rPr>
      </w:pPr>
      <w:r w:rsidRPr="00833A3A">
        <w:rPr>
          <w:rFonts w:asciiTheme="majorHAnsi" w:hAnsiTheme="majorHAnsi" w:cstheme="majorHAnsi"/>
          <w:b/>
          <w:bCs/>
          <w:sz w:val="22"/>
          <w:szCs w:val="22"/>
        </w:rPr>
        <w:t xml:space="preserve">Funding: </w:t>
      </w:r>
      <w:r w:rsidRPr="00833A3A">
        <w:rPr>
          <w:rFonts w:asciiTheme="majorHAnsi" w:hAnsiTheme="majorHAnsi" w:cstheme="majorHAnsi"/>
          <w:sz w:val="22"/>
          <w:szCs w:val="22"/>
        </w:rPr>
        <w:t>This research received no external funding.</w:t>
      </w:r>
    </w:p>
    <w:p w14:paraId="0DF9B8AC" w14:textId="251A2CA8" w:rsidR="009C3FDD" w:rsidRPr="00833A3A" w:rsidRDefault="009C3FDD" w:rsidP="00833A3A">
      <w:pPr>
        <w:spacing w:after="120" w:line="276" w:lineRule="auto"/>
        <w:jc w:val="both"/>
        <w:rPr>
          <w:rFonts w:asciiTheme="majorHAnsi" w:hAnsiTheme="majorHAnsi" w:cstheme="majorHAnsi"/>
          <w:sz w:val="22"/>
          <w:szCs w:val="22"/>
          <w:rtl/>
        </w:rPr>
      </w:pPr>
      <w:r w:rsidRPr="00833A3A">
        <w:rPr>
          <w:rFonts w:asciiTheme="majorHAnsi" w:hAnsiTheme="majorHAnsi" w:cstheme="majorHAnsi"/>
          <w:b/>
          <w:bCs/>
          <w:sz w:val="22"/>
          <w:szCs w:val="22"/>
        </w:rPr>
        <w:t xml:space="preserve">Conflict of interest: </w:t>
      </w:r>
      <w:r w:rsidRPr="00833A3A">
        <w:rPr>
          <w:rFonts w:asciiTheme="majorHAnsi" w:hAnsiTheme="majorHAnsi" w:cstheme="majorHAnsi"/>
          <w:sz w:val="22"/>
          <w:szCs w:val="22"/>
        </w:rPr>
        <w:t>The authors acknowledge and declare that there are no potential conflicts of interest related to the authorship and publication of the current study.</w:t>
      </w:r>
    </w:p>
    <w:p w14:paraId="402E6059" w14:textId="5CB5A90A" w:rsidR="009C3FDD" w:rsidRPr="00833A3A" w:rsidRDefault="009C3FDD" w:rsidP="00833A3A">
      <w:pPr>
        <w:spacing w:after="120" w:line="276" w:lineRule="auto"/>
        <w:jc w:val="both"/>
        <w:rPr>
          <w:rFonts w:asciiTheme="majorHAnsi" w:hAnsiTheme="majorHAnsi" w:cstheme="majorHAnsi"/>
          <w:sz w:val="22"/>
          <w:szCs w:val="22"/>
        </w:rPr>
      </w:pPr>
      <w:r w:rsidRPr="00833A3A">
        <w:rPr>
          <w:rFonts w:asciiTheme="majorHAnsi" w:hAnsiTheme="majorHAnsi" w:cstheme="majorHAnsi"/>
          <w:b/>
          <w:bCs/>
          <w:sz w:val="22"/>
          <w:szCs w:val="22"/>
        </w:rPr>
        <w:t xml:space="preserve">The data availability statement: </w:t>
      </w:r>
      <w:r w:rsidRPr="00833A3A">
        <w:rPr>
          <w:rFonts w:asciiTheme="majorHAnsi" w:hAnsiTheme="majorHAnsi" w:cstheme="majorHAnsi"/>
          <w:sz w:val="22"/>
          <w:szCs w:val="22"/>
        </w:rPr>
        <w:t>Data cannot be shared openly but are available on request from the author. The data are available upon request from the authors.</w:t>
      </w:r>
    </w:p>
    <w:p w14:paraId="4E330335" w14:textId="286BEDD1" w:rsidR="009C3FDD" w:rsidRPr="00833A3A" w:rsidRDefault="005F63C8" w:rsidP="007B44B9">
      <w:pPr>
        <w:spacing w:after="120" w:line="276" w:lineRule="auto"/>
        <w:jc w:val="both"/>
        <w:rPr>
          <w:rFonts w:asciiTheme="majorHAnsi" w:hAnsiTheme="majorHAnsi" w:cstheme="majorHAnsi"/>
          <w:sz w:val="22"/>
          <w:szCs w:val="22"/>
        </w:rPr>
      </w:pPr>
      <w:r w:rsidRPr="00833A3A">
        <w:rPr>
          <w:rFonts w:asciiTheme="majorHAnsi" w:hAnsiTheme="majorHAnsi" w:cstheme="majorHAnsi"/>
          <w:b/>
          <w:bCs/>
          <w:sz w:val="22"/>
          <w:szCs w:val="22"/>
        </w:rPr>
        <w:lastRenderedPageBreak/>
        <w:t>Ethics Statement</w:t>
      </w:r>
      <w:r w:rsidR="009C3FDD" w:rsidRPr="00833A3A">
        <w:rPr>
          <w:rFonts w:asciiTheme="majorHAnsi" w:hAnsiTheme="majorHAnsi" w:cstheme="majorHAnsi"/>
          <w:sz w:val="22"/>
          <w:szCs w:val="22"/>
        </w:rPr>
        <w:t>:</w:t>
      </w:r>
      <w:r w:rsidR="007B44B9" w:rsidRPr="007B44B9">
        <w:t xml:space="preserve"> </w:t>
      </w:r>
      <w:r w:rsidR="007B44B9" w:rsidRPr="007B44B9">
        <w:rPr>
          <w:rFonts w:asciiTheme="majorHAnsi" w:hAnsiTheme="majorHAnsi" w:cstheme="majorHAnsi"/>
          <w:sz w:val="22"/>
          <w:szCs w:val="22"/>
        </w:rPr>
        <w:t xml:space="preserve">There was no approval committee or internal review board (IRB). All participants were informed that participation in this study was voluntary and that they </w:t>
      </w:r>
      <w:r w:rsidR="009C3FDD" w:rsidRPr="00833A3A">
        <w:rPr>
          <w:rFonts w:asciiTheme="majorHAnsi" w:hAnsiTheme="majorHAnsi" w:cstheme="majorHAnsi"/>
          <w:sz w:val="22"/>
          <w:szCs w:val="22"/>
        </w:rPr>
        <w:t>could decide to withdraw at any time. Furthermore, the participants were informed that their responses would only be used for a research study and that their identities would not be revealed.</w:t>
      </w:r>
      <w:r w:rsidR="003D049A" w:rsidRPr="00833A3A">
        <w:rPr>
          <w:rFonts w:asciiTheme="majorHAnsi" w:hAnsiTheme="majorHAnsi" w:cstheme="majorHAnsi"/>
          <w:sz w:val="22"/>
          <w:szCs w:val="22"/>
          <w:rtl/>
        </w:rPr>
        <w:t xml:space="preserve"> </w:t>
      </w:r>
    </w:p>
    <w:p w14:paraId="51817FE8" w14:textId="529E6B1A" w:rsidR="005F63C8" w:rsidRPr="00833A3A" w:rsidRDefault="005F63C8" w:rsidP="00833A3A">
      <w:pPr>
        <w:pStyle w:val="aa"/>
        <w:spacing w:line="276" w:lineRule="auto"/>
        <w:rPr>
          <w:rFonts w:asciiTheme="majorHAnsi" w:eastAsia="Calibri" w:hAnsiTheme="majorHAnsi" w:cstheme="majorHAnsi"/>
          <w:kern w:val="2"/>
          <w:sz w:val="22"/>
          <w:szCs w:val="22"/>
          <w:lang w:val="en-GB"/>
          <w14:ligatures w14:val="standardContextual"/>
        </w:rPr>
      </w:pPr>
      <w:r w:rsidRPr="00833A3A">
        <w:rPr>
          <w:rFonts w:asciiTheme="majorHAnsi" w:hAnsiTheme="majorHAnsi" w:cstheme="majorHAnsi"/>
          <w:b/>
          <w:bCs/>
          <w:sz w:val="22"/>
          <w:szCs w:val="22"/>
        </w:rPr>
        <w:t>Generative AI Statement:</w:t>
      </w:r>
      <w:r w:rsidRPr="00833A3A">
        <w:rPr>
          <w:rFonts w:asciiTheme="majorHAnsi" w:eastAsia="Calibri" w:hAnsiTheme="majorHAnsi" w:cstheme="majorHAnsi"/>
          <w:kern w:val="2"/>
          <w:sz w:val="22"/>
          <w:szCs w:val="22"/>
          <w:lang w:val="en-GB"/>
          <w14:ligatures w14:val="standardContextual"/>
        </w:rPr>
        <w:t>The authors declare that generative AI or AI-assisted technologies were not used in any way to prepare, write, or complete this manuscript.</w:t>
      </w:r>
    </w:p>
    <w:p w14:paraId="7902E0B9" w14:textId="26C5D2FE" w:rsidR="00054D93" w:rsidRPr="00833A3A" w:rsidRDefault="009C3FDD" w:rsidP="00833A3A">
      <w:pPr>
        <w:spacing w:before="240" w:after="120" w:line="276" w:lineRule="auto"/>
        <w:jc w:val="both"/>
        <w:rPr>
          <w:rFonts w:asciiTheme="majorHAnsi" w:hAnsiTheme="majorHAnsi" w:cstheme="majorHAnsi"/>
          <w:sz w:val="22"/>
          <w:szCs w:val="22"/>
        </w:rPr>
      </w:pPr>
      <w:r w:rsidRPr="00833A3A">
        <w:rPr>
          <w:rFonts w:asciiTheme="majorHAnsi" w:hAnsiTheme="majorHAnsi" w:cstheme="majorHAnsi"/>
          <w:b/>
          <w:bCs/>
          <w:sz w:val="22"/>
          <w:szCs w:val="22"/>
        </w:rPr>
        <w:t>Authors' contributions:</w:t>
      </w:r>
      <w:r w:rsidRPr="00833A3A">
        <w:rPr>
          <w:rFonts w:asciiTheme="majorHAnsi" w:hAnsiTheme="majorHAnsi" w:cstheme="majorHAnsi"/>
          <w:sz w:val="22"/>
          <w:szCs w:val="22"/>
        </w:rPr>
        <w:t xml:space="preserve"> All authors wrote the original draft, reviewed and edited the manuscript; supervised, analyzed data, performed statistical treatments, interpreted results and discussed, and finalized and approved the manuscript.</w:t>
      </w:r>
    </w:p>
    <w:p w14:paraId="2E1786CF" w14:textId="5530F801" w:rsidR="00B36EC7" w:rsidRPr="00833A3A" w:rsidRDefault="00226D86" w:rsidP="00833A3A">
      <w:pPr>
        <w:widowControl w:val="0"/>
        <w:autoSpaceDE w:val="0"/>
        <w:autoSpaceDN w:val="0"/>
        <w:adjustRightInd w:val="0"/>
        <w:spacing w:before="120" w:after="240" w:line="276" w:lineRule="auto"/>
        <w:jc w:val="both"/>
        <w:rPr>
          <w:rFonts w:asciiTheme="majorHAnsi" w:eastAsia="Times New Roman" w:hAnsiTheme="majorHAnsi" w:cstheme="majorHAnsi"/>
          <w:b/>
          <w:sz w:val="28"/>
          <w:szCs w:val="28"/>
          <w:lang w:val="cs-CZ" w:eastAsia="cs-CZ"/>
        </w:rPr>
      </w:pPr>
      <w:r w:rsidRPr="00833A3A">
        <w:rPr>
          <w:rFonts w:asciiTheme="majorHAnsi" w:eastAsia="Times New Roman" w:hAnsiTheme="majorHAnsi" w:cstheme="majorHAnsi"/>
          <w:b/>
          <w:sz w:val="28"/>
          <w:szCs w:val="28"/>
          <w:lang w:val="cs-CZ" w:eastAsia="cs-CZ"/>
        </w:rPr>
        <w:t>References</w:t>
      </w:r>
      <w:r w:rsidR="00CF5078" w:rsidRPr="00833A3A">
        <w:rPr>
          <w:rFonts w:asciiTheme="majorHAnsi" w:eastAsia="Times New Roman" w:hAnsiTheme="majorHAnsi" w:cstheme="majorHAnsi"/>
          <w:b/>
          <w:sz w:val="28"/>
          <w:szCs w:val="28"/>
          <w:lang w:val="cs-CZ" w:eastAsia="cs-CZ"/>
        </w:rPr>
        <w:t xml:space="preserve"> </w:t>
      </w:r>
    </w:p>
    <w:p w14:paraId="65728BBE" w14:textId="77777777" w:rsidR="00E74BCC" w:rsidRPr="00833A3A" w:rsidRDefault="00E74BCC" w:rsidP="00833A3A">
      <w:pPr>
        <w:spacing w:after="120"/>
        <w:ind w:left="426" w:hanging="426"/>
        <w:jc w:val="both"/>
        <w:rPr>
          <w:rFonts w:asciiTheme="majorHAnsi" w:hAnsiTheme="majorHAnsi" w:cstheme="majorHAnsi"/>
          <w:sz w:val="22"/>
          <w:szCs w:val="22"/>
          <w:u w:val="single"/>
        </w:rPr>
      </w:pPr>
      <w:r w:rsidRPr="00833A3A">
        <w:rPr>
          <w:rFonts w:asciiTheme="majorHAnsi" w:hAnsiTheme="majorHAnsi" w:cstheme="majorHAnsi"/>
          <w:sz w:val="22"/>
          <w:szCs w:val="22"/>
        </w:rPr>
        <w:t>Akaydın, B., Yorulmaz, A. &amp; Çokçalışkan, H. (2020). Investigation of primary school students’ metacognitive awareness and decision</w:t>
      </w:r>
      <w:r w:rsidRPr="00833A3A">
        <w:rPr>
          <w:rFonts w:asciiTheme="majorHAnsi" w:hAnsiTheme="majorHAnsi" w:cstheme="majorHAnsi"/>
          <w:sz w:val="22"/>
          <w:szCs w:val="22"/>
          <w:rtl/>
        </w:rPr>
        <w:t>-</w:t>
      </w:r>
      <w:r w:rsidRPr="00833A3A">
        <w:rPr>
          <w:rFonts w:asciiTheme="majorHAnsi" w:hAnsiTheme="majorHAnsi" w:cstheme="majorHAnsi"/>
          <w:sz w:val="22"/>
          <w:szCs w:val="22"/>
        </w:rPr>
        <w:t xml:space="preserve">making skill. </w:t>
      </w:r>
      <w:r w:rsidRPr="00833A3A">
        <w:rPr>
          <w:rFonts w:asciiTheme="majorHAnsi" w:hAnsiTheme="majorHAnsi" w:cstheme="majorHAnsi"/>
          <w:i/>
          <w:iCs/>
          <w:sz w:val="22"/>
          <w:szCs w:val="22"/>
        </w:rPr>
        <w:t>International Journal of Progressive Education, 16</w:t>
      </w:r>
      <w:r w:rsidRPr="00833A3A">
        <w:rPr>
          <w:rFonts w:asciiTheme="majorHAnsi" w:hAnsiTheme="majorHAnsi" w:cstheme="majorHAnsi"/>
          <w:sz w:val="22"/>
          <w:szCs w:val="22"/>
        </w:rPr>
        <w:t xml:space="preserve">  (4),  158- 171. </w:t>
      </w:r>
      <w:hyperlink r:id="rId9" w:history="1">
        <w:r w:rsidRPr="00833A3A">
          <w:rPr>
            <w:rStyle w:val="Hyperlink"/>
            <w:rFonts w:asciiTheme="majorHAnsi" w:hAnsiTheme="majorHAnsi" w:cstheme="majorHAnsi"/>
            <w:sz w:val="22"/>
            <w:szCs w:val="22"/>
          </w:rPr>
          <w:t>https://doi.org/10.29329/ijpe.2020.268.10</w:t>
        </w:r>
      </w:hyperlink>
    </w:p>
    <w:p w14:paraId="7667DA1A" w14:textId="77777777" w:rsidR="00E74BCC" w:rsidRPr="00833A3A" w:rsidRDefault="00E74BCC" w:rsidP="00833A3A">
      <w:pPr>
        <w:tabs>
          <w:tab w:val="right" w:pos="836"/>
        </w:tabs>
        <w:spacing w:after="200"/>
        <w:ind w:left="566" w:hanging="540"/>
        <w:jc w:val="both"/>
        <w:rPr>
          <w:rFonts w:asciiTheme="majorHAnsi" w:eastAsia="Calibri" w:hAnsiTheme="majorHAnsi" w:cstheme="majorHAnsi"/>
          <w:color w:val="000000" w:themeColor="text1"/>
          <w:sz w:val="22"/>
          <w:szCs w:val="22"/>
          <w:u w:val="single"/>
          <w:shd w:val="clear" w:color="auto" w:fill="FFFFFF"/>
        </w:rPr>
      </w:pPr>
      <w:r w:rsidRPr="00833A3A">
        <w:rPr>
          <w:rFonts w:asciiTheme="majorHAnsi" w:eastAsia="Calibri" w:hAnsiTheme="majorHAnsi" w:cstheme="majorHAnsi"/>
          <w:color w:val="000000" w:themeColor="text1"/>
          <w:sz w:val="22"/>
          <w:szCs w:val="22"/>
        </w:rPr>
        <w:t xml:space="preserve">Akcaoğlu, M.,   Dirlik, E., &amp;  Külekçi, E. (2022). The Mediating role of Metacognitive Awareness in the Relationship between Critical Thinking and Self-Regulation. </w:t>
      </w:r>
      <w:r w:rsidRPr="00833A3A">
        <w:rPr>
          <w:rFonts w:asciiTheme="majorHAnsi" w:eastAsia="Calibri" w:hAnsiTheme="majorHAnsi" w:cstheme="majorHAnsi"/>
          <w:i/>
          <w:iCs/>
          <w:color w:val="000000" w:themeColor="text1"/>
          <w:sz w:val="22"/>
          <w:szCs w:val="22"/>
        </w:rPr>
        <w:t>Thinking Skills and Creativity,</w:t>
      </w:r>
      <w:r w:rsidRPr="00833A3A">
        <w:rPr>
          <w:rFonts w:asciiTheme="majorHAnsi" w:eastAsia="Calibri" w:hAnsiTheme="majorHAnsi" w:cstheme="majorHAnsi"/>
          <w:color w:val="000000" w:themeColor="text1"/>
          <w:sz w:val="22"/>
          <w:szCs w:val="22"/>
        </w:rPr>
        <w:t xml:space="preserve"> Available online 6 November 2022, 101187.</w:t>
      </w:r>
      <w:r w:rsidRPr="00833A3A">
        <w:rPr>
          <w:rFonts w:asciiTheme="majorHAnsi" w:eastAsia="Calibri" w:hAnsiTheme="majorHAnsi" w:cstheme="majorHAnsi"/>
          <w:color w:val="000000" w:themeColor="text1"/>
          <w:sz w:val="22"/>
          <w:szCs w:val="22"/>
          <w:u w:val="single"/>
          <w:shd w:val="clear" w:color="auto" w:fill="FFFFFF"/>
        </w:rPr>
        <w:t xml:space="preserve"> </w:t>
      </w:r>
      <w:hyperlink r:id="rId10" w:tgtFrame="_blank" w:tooltip="Persistent link using digital object identifier" w:history="1">
        <w:r w:rsidRPr="00833A3A">
          <w:rPr>
            <w:rStyle w:val="Hyperlink"/>
            <w:rFonts w:asciiTheme="majorHAnsi" w:hAnsiTheme="majorHAnsi" w:cstheme="majorHAnsi"/>
            <w:sz w:val="22"/>
            <w:szCs w:val="22"/>
          </w:rPr>
          <w:t>https://doi.org/10.1016/j.tsc.2022.101187</w:t>
        </w:r>
      </w:hyperlink>
    </w:p>
    <w:p w14:paraId="09270EBC" w14:textId="77777777" w:rsidR="00E74BCC" w:rsidRPr="00833A3A" w:rsidRDefault="00E74BCC" w:rsidP="00833A3A">
      <w:pPr>
        <w:spacing w:after="120"/>
        <w:ind w:left="426" w:hanging="426"/>
        <w:jc w:val="both"/>
        <w:rPr>
          <w:rStyle w:val="Hyperlink"/>
          <w:rFonts w:asciiTheme="majorHAnsi" w:hAnsiTheme="majorHAnsi" w:cstheme="majorHAnsi"/>
          <w:sz w:val="22"/>
          <w:szCs w:val="22"/>
        </w:rPr>
      </w:pPr>
      <w:r w:rsidRPr="00833A3A">
        <w:rPr>
          <w:rFonts w:asciiTheme="majorHAnsi" w:hAnsiTheme="majorHAnsi" w:cstheme="majorHAnsi"/>
          <w:sz w:val="22"/>
          <w:szCs w:val="22"/>
        </w:rPr>
        <w:t>Aydin, F. (2011). Geography Teaching and Metacognition. </w:t>
      </w:r>
      <w:r w:rsidRPr="00833A3A">
        <w:rPr>
          <w:rFonts w:asciiTheme="majorHAnsi" w:hAnsiTheme="majorHAnsi" w:cstheme="majorHAnsi"/>
          <w:i/>
          <w:iCs/>
          <w:sz w:val="22"/>
          <w:szCs w:val="22"/>
        </w:rPr>
        <w:t>Educational Research and Reviews, 6</w:t>
      </w:r>
      <w:r w:rsidRPr="00833A3A">
        <w:rPr>
          <w:rFonts w:asciiTheme="majorHAnsi" w:hAnsiTheme="majorHAnsi" w:cstheme="majorHAnsi"/>
          <w:sz w:val="22"/>
          <w:szCs w:val="22"/>
        </w:rPr>
        <w:t xml:space="preserve">(3), 274–278. </w:t>
      </w:r>
      <w:hyperlink r:id="rId11" w:history="1">
        <w:r w:rsidRPr="00833A3A">
          <w:rPr>
            <w:rStyle w:val="Hyperlink"/>
            <w:rFonts w:asciiTheme="majorHAnsi" w:hAnsiTheme="majorHAnsi" w:cstheme="majorHAnsi"/>
            <w:sz w:val="22"/>
            <w:szCs w:val="22"/>
          </w:rPr>
          <w:t>http://www.academicjournals.org/ERR</w:t>
        </w:r>
      </w:hyperlink>
      <w:r w:rsidRPr="00833A3A">
        <w:rPr>
          <w:rStyle w:val="Hyperlink"/>
          <w:rFonts w:asciiTheme="majorHAnsi" w:hAnsiTheme="majorHAnsi" w:cstheme="majorHAnsi"/>
          <w:sz w:val="22"/>
          <w:szCs w:val="22"/>
        </w:rPr>
        <w:t>B</w:t>
      </w:r>
    </w:p>
    <w:p w14:paraId="3A6CFC5E" w14:textId="77777777" w:rsidR="00E74BCC" w:rsidRPr="00833A3A" w:rsidRDefault="00E74BCC" w:rsidP="00833A3A">
      <w:pPr>
        <w:spacing w:after="120"/>
        <w:ind w:left="426" w:hanging="426"/>
        <w:jc w:val="both"/>
        <w:rPr>
          <w:rFonts w:asciiTheme="majorHAnsi" w:hAnsiTheme="majorHAnsi" w:cstheme="majorHAnsi"/>
          <w:sz w:val="22"/>
          <w:szCs w:val="22"/>
          <w:rtl/>
          <w:lang w:bidi="ar-EG"/>
        </w:rPr>
      </w:pPr>
      <w:r w:rsidRPr="00833A3A">
        <w:rPr>
          <w:rFonts w:asciiTheme="majorHAnsi" w:hAnsiTheme="majorHAnsi" w:cstheme="majorHAnsi"/>
          <w:sz w:val="22"/>
          <w:szCs w:val="22"/>
        </w:rPr>
        <w:t xml:space="preserve">Babaei, S., Varandi S., Hatami, Z.,  &amp; Gharechahi, M. (2016). Metacognition beliefs and general health in predicting alexithymia in students. </w:t>
      </w:r>
      <w:r w:rsidRPr="00833A3A">
        <w:rPr>
          <w:rFonts w:asciiTheme="majorHAnsi" w:hAnsiTheme="majorHAnsi" w:cstheme="majorHAnsi"/>
          <w:i/>
          <w:iCs/>
          <w:sz w:val="22"/>
          <w:szCs w:val="22"/>
        </w:rPr>
        <w:t>Global Journal of Health Science; 8</w:t>
      </w:r>
      <w:r w:rsidRPr="00833A3A">
        <w:rPr>
          <w:rFonts w:asciiTheme="majorHAnsi" w:hAnsiTheme="majorHAnsi" w:cstheme="majorHAnsi"/>
          <w:sz w:val="22"/>
          <w:szCs w:val="22"/>
        </w:rPr>
        <w:t xml:space="preserve">(2), 117-125. </w:t>
      </w:r>
      <w:hyperlink r:id="rId12" w:history="1">
        <w:r w:rsidRPr="00833A3A">
          <w:rPr>
            <w:rStyle w:val="Hyperlink"/>
            <w:rFonts w:asciiTheme="majorHAnsi" w:hAnsiTheme="majorHAnsi" w:cstheme="majorHAnsi"/>
            <w:sz w:val="22"/>
            <w:szCs w:val="22"/>
          </w:rPr>
          <w:t>https://doi.org/10.5539/gjhs.v8n2p117</w:t>
        </w:r>
      </w:hyperlink>
    </w:p>
    <w:p w14:paraId="021A733A" w14:textId="77777777" w:rsidR="00E74BCC" w:rsidRPr="00833A3A" w:rsidRDefault="00E74BCC" w:rsidP="00833A3A">
      <w:pPr>
        <w:spacing w:after="120"/>
        <w:ind w:left="426" w:hanging="426"/>
        <w:jc w:val="both"/>
        <w:rPr>
          <w:rFonts w:asciiTheme="majorHAnsi" w:hAnsiTheme="majorHAnsi" w:cstheme="majorHAnsi"/>
          <w:sz w:val="22"/>
          <w:szCs w:val="22"/>
        </w:rPr>
      </w:pPr>
      <w:r w:rsidRPr="00833A3A">
        <w:rPr>
          <w:rFonts w:asciiTheme="majorHAnsi" w:hAnsiTheme="majorHAnsi" w:cstheme="majorHAnsi"/>
          <w:sz w:val="22"/>
          <w:szCs w:val="22"/>
        </w:rPr>
        <w:t xml:space="preserve">Beer, N., &amp; Moneta, G. (2010). Construct and concurrent validity of the positive -cognitions and positive meta-emotions questionnaire. </w:t>
      </w:r>
      <w:r w:rsidRPr="00833A3A">
        <w:rPr>
          <w:rFonts w:asciiTheme="majorHAnsi" w:hAnsiTheme="majorHAnsi" w:cstheme="majorHAnsi"/>
          <w:i/>
          <w:iCs/>
          <w:sz w:val="22"/>
          <w:szCs w:val="22"/>
        </w:rPr>
        <w:t>Personality and Individual Differences, 49</w:t>
      </w:r>
      <w:r w:rsidRPr="00833A3A">
        <w:rPr>
          <w:rFonts w:asciiTheme="majorHAnsi" w:hAnsiTheme="majorHAnsi" w:cstheme="majorHAnsi"/>
          <w:sz w:val="22"/>
          <w:szCs w:val="22"/>
        </w:rPr>
        <w:t xml:space="preserve">(8), 977-982. </w:t>
      </w:r>
      <w:hyperlink r:id="rId13" w:history="1">
        <w:r w:rsidRPr="00833A3A">
          <w:rPr>
            <w:rStyle w:val="Hyperlink"/>
            <w:rFonts w:asciiTheme="majorHAnsi" w:hAnsiTheme="majorHAnsi" w:cstheme="majorHAnsi"/>
            <w:sz w:val="22"/>
            <w:szCs w:val="22"/>
          </w:rPr>
          <w:t>https://doi.org/10.1016/j.paid.2010.08.008</w:t>
        </w:r>
      </w:hyperlink>
    </w:p>
    <w:p w14:paraId="4BC319B6" w14:textId="77777777" w:rsidR="00E74BCC" w:rsidRPr="00833A3A" w:rsidRDefault="00E74BCC" w:rsidP="00833A3A">
      <w:pPr>
        <w:spacing w:after="120"/>
        <w:ind w:left="426" w:hanging="426"/>
        <w:jc w:val="both"/>
        <w:rPr>
          <w:rFonts w:asciiTheme="majorHAnsi" w:hAnsiTheme="majorHAnsi" w:cstheme="majorHAnsi"/>
          <w:sz w:val="22"/>
          <w:szCs w:val="22"/>
        </w:rPr>
      </w:pPr>
      <w:r w:rsidRPr="00833A3A">
        <w:rPr>
          <w:rFonts w:asciiTheme="majorHAnsi" w:hAnsiTheme="majorHAnsi" w:cstheme="majorHAnsi"/>
          <w:sz w:val="22"/>
          <w:szCs w:val="22"/>
        </w:rPr>
        <w:t xml:space="preserve">Benbrika, S., Doidy, F., Carluer, L., Mondou, A., Buhour, M-S., Eustache, F., Viader, F. &amp; Desgranges, B. (2018). Alexithymia in amyotrophic lateral sclerosis and its neural correlates. </w:t>
      </w:r>
      <w:r w:rsidRPr="00833A3A">
        <w:rPr>
          <w:rFonts w:asciiTheme="majorHAnsi" w:hAnsiTheme="majorHAnsi" w:cstheme="majorHAnsi"/>
          <w:i/>
          <w:iCs/>
          <w:sz w:val="22"/>
          <w:szCs w:val="22"/>
        </w:rPr>
        <w:t>Frontiers in Neurology,</w:t>
      </w:r>
      <w:r w:rsidRPr="00833A3A">
        <w:rPr>
          <w:rFonts w:asciiTheme="majorHAnsi" w:hAnsiTheme="majorHAnsi" w:cstheme="majorHAnsi"/>
          <w:sz w:val="22"/>
          <w:szCs w:val="22"/>
        </w:rPr>
        <w:t xml:space="preserve"> 9:566. </w:t>
      </w:r>
      <w:hyperlink r:id="rId14" w:history="1">
        <w:r w:rsidRPr="00833A3A">
          <w:rPr>
            <w:rStyle w:val="Hyperlink"/>
            <w:rFonts w:asciiTheme="majorHAnsi" w:hAnsiTheme="majorHAnsi" w:cstheme="majorHAnsi"/>
            <w:sz w:val="22"/>
            <w:szCs w:val="22"/>
          </w:rPr>
          <w:t>https://doi.org/10.3389/fneur.2018.00566</w:t>
        </w:r>
      </w:hyperlink>
    </w:p>
    <w:p w14:paraId="16BE4A51" w14:textId="77777777" w:rsidR="00E74BCC" w:rsidRPr="00833A3A" w:rsidRDefault="00E74BCC" w:rsidP="00833A3A">
      <w:pPr>
        <w:spacing w:after="120"/>
        <w:ind w:left="426" w:hanging="426"/>
        <w:jc w:val="both"/>
        <w:rPr>
          <w:rFonts w:asciiTheme="majorHAnsi" w:hAnsiTheme="majorHAnsi" w:cstheme="majorHAnsi"/>
          <w:sz w:val="22"/>
          <w:szCs w:val="22"/>
        </w:rPr>
      </w:pPr>
      <w:r w:rsidRPr="00833A3A">
        <w:rPr>
          <w:rFonts w:asciiTheme="majorHAnsi" w:hAnsiTheme="majorHAnsi" w:cstheme="majorHAnsi"/>
          <w:sz w:val="22"/>
          <w:szCs w:val="22"/>
        </w:rPr>
        <w:t xml:space="preserve">Besharat, M. A. (2010). Relationship of alexithymia with coping styles and interpersonal problems. </w:t>
      </w:r>
      <w:r w:rsidRPr="00833A3A">
        <w:rPr>
          <w:rFonts w:asciiTheme="majorHAnsi" w:hAnsiTheme="majorHAnsi" w:cstheme="majorHAnsi"/>
          <w:i/>
          <w:iCs/>
          <w:sz w:val="22"/>
          <w:szCs w:val="22"/>
        </w:rPr>
        <w:t>Procedia-Social and Behavioral Sciences, 5,</w:t>
      </w:r>
      <w:r w:rsidRPr="00833A3A">
        <w:rPr>
          <w:rFonts w:asciiTheme="majorHAnsi" w:hAnsiTheme="majorHAnsi" w:cstheme="majorHAnsi"/>
          <w:sz w:val="22"/>
          <w:szCs w:val="22"/>
        </w:rPr>
        <w:t xml:space="preserve"> 614–618</w:t>
      </w:r>
      <w:r w:rsidRPr="00833A3A">
        <w:rPr>
          <w:rFonts w:asciiTheme="majorHAnsi" w:hAnsiTheme="majorHAnsi" w:cstheme="majorHAnsi"/>
          <w:sz w:val="22"/>
          <w:szCs w:val="22"/>
          <w:rtl/>
          <w:lang w:bidi="ar-EG"/>
        </w:rPr>
        <w:t>.</w:t>
      </w:r>
      <w:r w:rsidRPr="00833A3A">
        <w:rPr>
          <w:rFonts w:asciiTheme="majorHAnsi" w:hAnsiTheme="majorHAnsi" w:cstheme="majorHAnsi"/>
          <w:sz w:val="22"/>
          <w:szCs w:val="22"/>
        </w:rPr>
        <w:t xml:space="preserve"> </w:t>
      </w:r>
      <w:hyperlink r:id="rId15" w:history="1">
        <w:r w:rsidRPr="00833A3A">
          <w:rPr>
            <w:rStyle w:val="Hyperlink"/>
            <w:rFonts w:asciiTheme="majorHAnsi" w:hAnsiTheme="majorHAnsi" w:cstheme="majorHAnsi"/>
            <w:sz w:val="22"/>
            <w:szCs w:val="22"/>
          </w:rPr>
          <w:t>https://doi.org/10.1016/j.sbspro.2010.07.152</w:t>
        </w:r>
      </w:hyperlink>
    </w:p>
    <w:p w14:paraId="1D35BED3" w14:textId="77777777" w:rsidR="00E74BCC" w:rsidRPr="00833A3A" w:rsidRDefault="00E74BCC" w:rsidP="00833A3A">
      <w:pPr>
        <w:spacing w:after="120"/>
        <w:ind w:left="426" w:hanging="426"/>
        <w:jc w:val="both"/>
        <w:rPr>
          <w:rFonts w:asciiTheme="majorHAnsi" w:hAnsiTheme="majorHAnsi" w:cstheme="majorHAnsi"/>
          <w:sz w:val="22"/>
          <w:szCs w:val="22"/>
          <w:u w:val="single"/>
          <w:rtl/>
        </w:rPr>
      </w:pPr>
      <w:r w:rsidRPr="00833A3A">
        <w:rPr>
          <w:rFonts w:asciiTheme="majorHAnsi" w:hAnsiTheme="majorHAnsi" w:cstheme="majorHAnsi"/>
          <w:sz w:val="22"/>
          <w:szCs w:val="22"/>
        </w:rPr>
        <w:t xml:space="preserve">Black, P., &amp; Wiliam, D. (2009). Developing the theory of formative assessment. </w:t>
      </w:r>
      <w:r w:rsidRPr="00833A3A">
        <w:rPr>
          <w:rFonts w:asciiTheme="majorHAnsi" w:hAnsiTheme="majorHAnsi" w:cstheme="majorHAnsi"/>
          <w:i/>
          <w:iCs/>
          <w:sz w:val="22"/>
          <w:szCs w:val="22"/>
        </w:rPr>
        <w:t>Educational Assessment, Evaluation and Accountability (Formerly: Journal of Personnel Evaluation in Education)</w:t>
      </w:r>
      <w:r w:rsidRPr="00833A3A">
        <w:rPr>
          <w:rFonts w:asciiTheme="majorHAnsi" w:hAnsiTheme="majorHAnsi" w:cstheme="majorHAnsi"/>
          <w:sz w:val="22"/>
          <w:szCs w:val="22"/>
        </w:rPr>
        <w:t xml:space="preserve">, </w:t>
      </w:r>
      <w:r w:rsidRPr="00833A3A">
        <w:rPr>
          <w:rFonts w:asciiTheme="majorHAnsi" w:hAnsiTheme="majorHAnsi" w:cstheme="majorHAnsi"/>
          <w:i/>
          <w:iCs/>
          <w:sz w:val="22"/>
          <w:szCs w:val="22"/>
        </w:rPr>
        <w:t>21</w:t>
      </w:r>
      <w:r w:rsidRPr="00833A3A">
        <w:rPr>
          <w:rFonts w:asciiTheme="majorHAnsi" w:hAnsiTheme="majorHAnsi" w:cstheme="majorHAnsi"/>
          <w:sz w:val="22"/>
          <w:szCs w:val="22"/>
        </w:rPr>
        <w:t xml:space="preserve">(1), 5–31. </w:t>
      </w:r>
      <w:hyperlink r:id="rId16" w:history="1">
        <w:r w:rsidRPr="00833A3A">
          <w:rPr>
            <w:rStyle w:val="Hyperlink"/>
            <w:rFonts w:asciiTheme="majorHAnsi" w:hAnsiTheme="majorHAnsi" w:cstheme="majorHAnsi"/>
            <w:sz w:val="22"/>
            <w:szCs w:val="22"/>
          </w:rPr>
          <w:t>https://doi.org/10.1007/s11092-008-9068-5</w:t>
        </w:r>
      </w:hyperlink>
    </w:p>
    <w:p w14:paraId="31E65D60" w14:textId="77777777" w:rsidR="00E74BCC" w:rsidRPr="00833A3A" w:rsidRDefault="00E74BCC" w:rsidP="00833A3A">
      <w:pPr>
        <w:spacing w:after="120"/>
        <w:ind w:left="426" w:hanging="426"/>
        <w:jc w:val="both"/>
        <w:rPr>
          <w:rFonts w:asciiTheme="majorHAnsi" w:hAnsiTheme="majorHAnsi" w:cstheme="majorHAnsi"/>
          <w:sz w:val="22"/>
          <w:szCs w:val="22"/>
          <w:rtl/>
        </w:rPr>
      </w:pPr>
      <w:r w:rsidRPr="00833A3A">
        <w:rPr>
          <w:rFonts w:asciiTheme="majorHAnsi" w:hAnsiTheme="majorHAnsi" w:cstheme="majorHAnsi"/>
          <w:sz w:val="22"/>
          <w:szCs w:val="22"/>
        </w:rPr>
        <w:t>Blair, C., &amp; Diamond, A. (2008). Biological processes in prevention</w:t>
      </w:r>
      <w:r w:rsidRPr="00833A3A">
        <w:rPr>
          <w:rFonts w:asciiTheme="majorHAnsi" w:hAnsiTheme="majorHAnsi" w:cstheme="majorHAnsi"/>
          <w:sz w:val="22"/>
          <w:szCs w:val="22"/>
          <w:rtl/>
          <w:lang w:bidi="ar-EG"/>
        </w:rPr>
        <w:t xml:space="preserve"> </w:t>
      </w:r>
      <w:r w:rsidRPr="00833A3A">
        <w:rPr>
          <w:rFonts w:asciiTheme="majorHAnsi" w:hAnsiTheme="majorHAnsi" w:cstheme="majorHAnsi"/>
          <w:sz w:val="22"/>
          <w:szCs w:val="22"/>
        </w:rPr>
        <w:t>and intervention: The promotion of self-regulation</w:t>
      </w:r>
      <w:r w:rsidRPr="00833A3A">
        <w:rPr>
          <w:rFonts w:asciiTheme="majorHAnsi" w:hAnsiTheme="majorHAnsi" w:cstheme="majorHAnsi"/>
          <w:sz w:val="22"/>
          <w:szCs w:val="22"/>
          <w:rtl/>
          <w:lang w:bidi="ar-EG"/>
        </w:rPr>
        <w:t xml:space="preserve"> </w:t>
      </w:r>
      <w:r w:rsidRPr="00833A3A">
        <w:rPr>
          <w:rFonts w:asciiTheme="majorHAnsi" w:hAnsiTheme="majorHAnsi" w:cstheme="majorHAnsi"/>
          <w:sz w:val="22"/>
          <w:szCs w:val="22"/>
        </w:rPr>
        <w:t>as a means of preventing school failure.</w:t>
      </w:r>
      <w:r w:rsidRPr="00833A3A">
        <w:rPr>
          <w:rFonts w:asciiTheme="majorHAnsi" w:hAnsiTheme="majorHAnsi" w:cstheme="majorHAnsi"/>
          <w:i/>
          <w:iCs/>
          <w:sz w:val="22"/>
          <w:szCs w:val="22"/>
        </w:rPr>
        <w:t xml:space="preserve"> Development and</w:t>
      </w:r>
      <w:r w:rsidRPr="00833A3A">
        <w:rPr>
          <w:rFonts w:asciiTheme="majorHAnsi" w:hAnsiTheme="majorHAnsi" w:cstheme="majorHAnsi"/>
          <w:i/>
          <w:iCs/>
          <w:sz w:val="22"/>
          <w:szCs w:val="22"/>
          <w:rtl/>
        </w:rPr>
        <w:t xml:space="preserve"> </w:t>
      </w:r>
      <w:r w:rsidRPr="00833A3A">
        <w:rPr>
          <w:rFonts w:asciiTheme="majorHAnsi" w:hAnsiTheme="majorHAnsi" w:cstheme="majorHAnsi"/>
          <w:i/>
          <w:iCs/>
          <w:sz w:val="22"/>
          <w:szCs w:val="22"/>
        </w:rPr>
        <w:t>Psychopathology, 20</w:t>
      </w:r>
      <w:r w:rsidRPr="00833A3A">
        <w:rPr>
          <w:rFonts w:asciiTheme="majorHAnsi" w:hAnsiTheme="majorHAnsi" w:cstheme="majorHAnsi"/>
          <w:sz w:val="22"/>
          <w:szCs w:val="22"/>
        </w:rPr>
        <w:t xml:space="preserve">(3), 899–911. </w:t>
      </w:r>
      <w:hyperlink r:id="rId17" w:history="1">
        <w:r w:rsidRPr="00833A3A">
          <w:rPr>
            <w:rStyle w:val="Hyperlink"/>
            <w:rFonts w:asciiTheme="majorHAnsi" w:hAnsiTheme="majorHAnsi" w:cstheme="majorHAnsi"/>
            <w:sz w:val="22"/>
            <w:szCs w:val="22"/>
          </w:rPr>
          <w:t>https://doi.org/10.1017/S095457908000436</w:t>
        </w:r>
      </w:hyperlink>
    </w:p>
    <w:p w14:paraId="6D98F29B" w14:textId="77777777" w:rsidR="00E74BCC" w:rsidRPr="00833A3A" w:rsidRDefault="00E74BCC" w:rsidP="00833A3A">
      <w:pPr>
        <w:tabs>
          <w:tab w:val="right" w:pos="836"/>
        </w:tabs>
        <w:spacing w:after="200"/>
        <w:ind w:left="566" w:hanging="540"/>
        <w:jc w:val="both"/>
        <w:rPr>
          <w:rFonts w:asciiTheme="majorHAnsi" w:eastAsia="Calibri" w:hAnsiTheme="majorHAnsi" w:cstheme="majorHAnsi"/>
          <w:color w:val="000000" w:themeColor="text1"/>
          <w:kern w:val="2"/>
          <w:sz w:val="22"/>
          <w:szCs w:val="22"/>
          <w:rtl/>
          <w14:ligatures w14:val="standardContextual"/>
        </w:rPr>
      </w:pPr>
      <w:r w:rsidRPr="00833A3A">
        <w:rPr>
          <w:rFonts w:asciiTheme="majorHAnsi" w:eastAsia="Calibri" w:hAnsiTheme="majorHAnsi" w:cstheme="majorHAnsi"/>
          <w:color w:val="000000" w:themeColor="text1"/>
          <w:sz w:val="22"/>
          <w:szCs w:val="22"/>
        </w:rPr>
        <w:t>Bransford</w:t>
      </w:r>
      <w:r w:rsidRPr="00833A3A">
        <w:rPr>
          <w:rFonts w:asciiTheme="majorHAnsi" w:eastAsia="Calibri" w:hAnsiTheme="majorHAnsi" w:cstheme="majorHAnsi"/>
          <w:color w:val="000000" w:themeColor="text1"/>
          <w:kern w:val="2"/>
          <w:sz w:val="22"/>
          <w:szCs w:val="22"/>
          <w14:ligatures w14:val="standardContextual"/>
        </w:rPr>
        <w:t xml:space="preserve">, J. D., Brown, A. L., &amp; Cocking, R. R. (2004). </w:t>
      </w:r>
      <w:r w:rsidRPr="00833A3A">
        <w:rPr>
          <w:rFonts w:asciiTheme="majorHAnsi" w:eastAsia="Calibri" w:hAnsiTheme="majorHAnsi" w:cstheme="majorHAnsi"/>
          <w:i/>
          <w:iCs/>
          <w:color w:val="000000" w:themeColor="text1"/>
          <w:kern w:val="2"/>
          <w:sz w:val="22"/>
          <w:szCs w:val="22"/>
          <w14:ligatures w14:val="standardContextual"/>
        </w:rPr>
        <w:t>How</w:t>
      </w:r>
      <w:r w:rsidRPr="00833A3A">
        <w:rPr>
          <w:rFonts w:asciiTheme="majorHAnsi" w:eastAsia="Calibri" w:hAnsiTheme="majorHAnsi" w:cstheme="majorHAnsi"/>
          <w:i/>
          <w:iCs/>
          <w:color w:val="000000" w:themeColor="text1"/>
          <w:kern w:val="2"/>
          <w:sz w:val="22"/>
          <w:szCs w:val="22"/>
          <w:rtl/>
          <w:lang w:bidi="ar-EG"/>
          <w14:ligatures w14:val="standardContextual"/>
        </w:rPr>
        <w:t xml:space="preserve"> </w:t>
      </w:r>
      <w:r w:rsidRPr="00833A3A">
        <w:rPr>
          <w:rFonts w:asciiTheme="majorHAnsi" w:eastAsia="Calibri" w:hAnsiTheme="majorHAnsi" w:cstheme="majorHAnsi"/>
          <w:i/>
          <w:iCs/>
          <w:color w:val="000000" w:themeColor="text1"/>
          <w:kern w:val="2"/>
          <w:sz w:val="22"/>
          <w:szCs w:val="22"/>
          <w14:ligatures w14:val="standardContextual"/>
        </w:rPr>
        <w:t>people learn, 2000. Brain, mind, experience, and school</w:t>
      </w:r>
      <w:r w:rsidRPr="00833A3A">
        <w:rPr>
          <w:rFonts w:asciiTheme="majorHAnsi" w:eastAsia="Calibri" w:hAnsiTheme="majorHAnsi" w:cstheme="majorHAnsi"/>
          <w:color w:val="000000" w:themeColor="text1"/>
          <w:kern w:val="2"/>
          <w:sz w:val="22"/>
          <w:szCs w:val="22"/>
          <w14:ligatures w14:val="standardContextual"/>
        </w:rPr>
        <w:t>.</w:t>
      </w:r>
      <w:r w:rsidRPr="00833A3A">
        <w:rPr>
          <w:rFonts w:asciiTheme="majorHAnsi" w:eastAsia="Calibri" w:hAnsiTheme="majorHAnsi" w:cstheme="majorHAnsi"/>
          <w:color w:val="000000" w:themeColor="text1"/>
          <w:kern w:val="2"/>
          <w:sz w:val="22"/>
          <w:szCs w:val="22"/>
          <w:rtl/>
          <w:lang w:bidi="ar-EG"/>
          <w14:ligatures w14:val="standardContextual"/>
        </w:rPr>
        <w:t xml:space="preserve"> </w:t>
      </w:r>
      <w:r w:rsidRPr="00833A3A">
        <w:rPr>
          <w:rFonts w:asciiTheme="majorHAnsi" w:eastAsia="Calibri" w:hAnsiTheme="majorHAnsi" w:cstheme="majorHAnsi"/>
          <w:color w:val="000000" w:themeColor="text1"/>
          <w:kern w:val="2"/>
          <w:sz w:val="22"/>
          <w:szCs w:val="22"/>
          <w14:ligatures w14:val="standardContextual"/>
        </w:rPr>
        <w:t>Commission on Behavioral and Social Sciences and Education,</w:t>
      </w:r>
      <w:r w:rsidRPr="00833A3A">
        <w:rPr>
          <w:rFonts w:asciiTheme="majorHAnsi" w:eastAsia="Calibri" w:hAnsiTheme="majorHAnsi" w:cstheme="majorHAnsi"/>
          <w:color w:val="000000" w:themeColor="text1"/>
          <w:kern w:val="2"/>
          <w:sz w:val="22"/>
          <w:szCs w:val="22"/>
          <w:rtl/>
          <w14:ligatures w14:val="standardContextual"/>
        </w:rPr>
        <w:t xml:space="preserve"> </w:t>
      </w:r>
      <w:r w:rsidRPr="00833A3A">
        <w:rPr>
          <w:rFonts w:asciiTheme="majorHAnsi" w:eastAsia="Calibri" w:hAnsiTheme="majorHAnsi" w:cstheme="majorHAnsi"/>
          <w:color w:val="000000" w:themeColor="text1"/>
          <w:kern w:val="2"/>
          <w:sz w:val="22"/>
          <w:szCs w:val="22"/>
          <w14:ligatures w14:val="standardContextual"/>
        </w:rPr>
        <w:t>National Research Council.</w:t>
      </w:r>
    </w:p>
    <w:p w14:paraId="1FA01022" w14:textId="77777777" w:rsidR="00E74BCC" w:rsidRPr="00833A3A" w:rsidRDefault="00E74BCC" w:rsidP="00833A3A">
      <w:pPr>
        <w:tabs>
          <w:tab w:val="right" w:pos="836"/>
        </w:tabs>
        <w:spacing w:after="200"/>
        <w:ind w:left="566" w:hanging="540"/>
        <w:jc w:val="both"/>
        <w:rPr>
          <w:rFonts w:asciiTheme="majorHAnsi" w:eastAsia="Calibri" w:hAnsiTheme="majorHAnsi" w:cstheme="majorHAnsi"/>
          <w:color w:val="000000" w:themeColor="text1"/>
          <w:sz w:val="22"/>
          <w:szCs w:val="22"/>
          <w:rtl/>
        </w:rPr>
      </w:pPr>
      <w:r w:rsidRPr="00833A3A">
        <w:rPr>
          <w:rFonts w:asciiTheme="majorHAnsi" w:eastAsia="Calibri" w:hAnsiTheme="majorHAnsi" w:cstheme="majorHAnsi"/>
          <w:color w:val="000000" w:themeColor="text1"/>
          <w:sz w:val="22"/>
          <w:szCs w:val="22"/>
        </w:rPr>
        <w:t xml:space="preserve">Burch, J.P. (1995): </w:t>
      </w:r>
      <w:r w:rsidRPr="00833A3A">
        <w:rPr>
          <w:rFonts w:asciiTheme="majorHAnsi" w:eastAsia="Calibri" w:hAnsiTheme="majorHAnsi" w:cstheme="majorHAnsi"/>
          <w:i/>
          <w:iCs/>
          <w:color w:val="000000" w:themeColor="text1"/>
          <w:sz w:val="22"/>
          <w:szCs w:val="22"/>
        </w:rPr>
        <w:t>Alexithymia And Dissociation</w:t>
      </w:r>
      <w:r w:rsidRPr="00833A3A">
        <w:rPr>
          <w:rFonts w:asciiTheme="majorHAnsi" w:eastAsia="Calibri" w:hAnsiTheme="majorHAnsi" w:cstheme="majorHAnsi"/>
          <w:color w:val="000000" w:themeColor="text1"/>
          <w:sz w:val="22"/>
          <w:szCs w:val="22"/>
        </w:rPr>
        <w:t>. Master Thesis. Department Of Special Education and Rehabilitation. University Of Oregan.</w:t>
      </w:r>
    </w:p>
    <w:p w14:paraId="5A97AA83" w14:textId="77777777" w:rsidR="00E74BCC" w:rsidRPr="00833A3A" w:rsidRDefault="00E74BCC" w:rsidP="00833A3A">
      <w:pPr>
        <w:tabs>
          <w:tab w:val="right" w:pos="836"/>
        </w:tabs>
        <w:spacing w:after="200"/>
        <w:ind w:left="566" w:hanging="540"/>
        <w:jc w:val="both"/>
        <w:rPr>
          <w:rFonts w:asciiTheme="majorHAnsi" w:eastAsia="Calibri" w:hAnsiTheme="majorHAnsi" w:cstheme="majorHAnsi"/>
          <w:color w:val="000000" w:themeColor="text1"/>
          <w:sz w:val="22"/>
          <w:szCs w:val="22"/>
          <w:u w:val="single"/>
          <w:lang w:bidi="ar-EG"/>
        </w:rPr>
      </w:pPr>
      <w:r w:rsidRPr="00833A3A">
        <w:rPr>
          <w:rFonts w:asciiTheme="majorHAnsi" w:eastAsia="Calibri" w:hAnsiTheme="majorHAnsi" w:cstheme="majorHAnsi"/>
          <w:color w:val="000000" w:themeColor="text1"/>
          <w:sz w:val="22"/>
          <w:szCs w:val="22"/>
          <w:lang w:bidi="ar-EG"/>
        </w:rPr>
        <w:lastRenderedPageBreak/>
        <w:t xml:space="preserve">Chen, J., Xu, T., Jing, J., &amp; Chan, R.  (2011). Alexithymia and Emotional Regulation: A Cluster Analytical Approach. </w:t>
      </w:r>
      <w:r w:rsidRPr="00833A3A">
        <w:rPr>
          <w:rFonts w:asciiTheme="majorHAnsi" w:eastAsia="Calibri" w:hAnsiTheme="majorHAnsi" w:cstheme="majorHAnsi"/>
          <w:i/>
          <w:iCs/>
          <w:color w:val="000000" w:themeColor="text1"/>
          <w:sz w:val="22"/>
          <w:szCs w:val="22"/>
          <w:lang w:bidi="ar-EG"/>
        </w:rPr>
        <w:t>BMC Psychiatry, 11</w:t>
      </w:r>
      <w:r w:rsidRPr="00833A3A">
        <w:rPr>
          <w:rFonts w:asciiTheme="majorHAnsi" w:eastAsia="Calibri" w:hAnsiTheme="majorHAnsi" w:cstheme="majorHAnsi"/>
          <w:color w:val="000000" w:themeColor="text1"/>
          <w:sz w:val="22"/>
          <w:szCs w:val="22"/>
          <w:lang w:bidi="ar-EG"/>
        </w:rPr>
        <w:t xml:space="preserve"> (33), 1-6. </w:t>
      </w:r>
      <w:hyperlink r:id="rId18" w:history="1">
        <w:r w:rsidRPr="00833A3A">
          <w:rPr>
            <w:rStyle w:val="Hyperlink"/>
            <w:rFonts w:asciiTheme="majorHAnsi" w:hAnsiTheme="majorHAnsi" w:cstheme="majorHAnsi"/>
            <w:sz w:val="22"/>
            <w:szCs w:val="22"/>
          </w:rPr>
          <w:t>http://www.biomedcentral.com/1471-244X/11/33.</w:t>
        </w:r>
      </w:hyperlink>
    </w:p>
    <w:p w14:paraId="07754C58" w14:textId="77777777" w:rsidR="00E74BCC" w:rsidRPr="00833A3A" w:rsidRDefault="00E74BCC" w:rsidP="00833A3A">
      <w:pPr>
        <w:spacing w:after="120"/>
        <w:ind w:left="426" w:hanging="426"/>
        <w:jc w:val="both"/>
        <w:rPr>
          <w:rFonts w:asciiTheme="majorHAnsi" w:hAnsiTheme="majorHAnsi" w:cstheme="majorHAnsi"/>
          <w:sz w:val="22"/>
          <w:szCs w:val="22"/>
        </w:rPr>
      </w:pPr>
      <w:r w:rsidRPr="00833A3A">
        <w:rPr>
          <w:rFonts w:asciiTheme="majorHAnsi" w:hAnsiTheme="majorHAnsi" w:cstheme="majorHAnsi"/>
          <w:sz w:val="22"/>
          <w:szCs w:val="22"/>
        </w:rPr>
        <w:t xml:space="preserve">Chraw, G., &amp; Dennison, R. S. (1994). Assessing metacognitive awareness. </w:t>
      </w:r>
      <w:r w:rsidRPr="00833A3A">
        <w:rPr>
          <w:rFonts w:asciiTheme="majorHAnsi" w:hAnsiTheme="majorHAnsi" w:cstheme="majorHAnsi"/>
          <w:i/>
          <w:iCs/>
          <w:sz w:val="22"/>
          <w:szCs w:val="22"/>
        </w:rPr>
        <w:t>Contemporary Educational Psychology, 19</w:t>
      </w:r>
      <w:r w:rsidRPr="00833A3A">
        <w:rPr>
          <w:rFonts w:asciiTheme="majorHAnsi" w:hAnsiTheme="majorHAnsi" w:cstheme="majorHAnsi"/>
          <w:sz w:val="22"/>
          <w:szCs w:val="22"/>
        </w:rPr>
        <w:t xml:space="preserve">(4), 460–475. </w:t>
      </w:r>
      <w:hyperlink r:id="rId19" w:history="1">
        <w:r w:rsidRPr="00833A3A">
          <w:rPr>
            <w:rStyle w:val="Hyperlink"/>
            <w:rFonts w:asciiTheme="majorHAnsi" w:hAnsiTheme="majorHAnsi" w:cstheme="majorHAnsi"/>
            <w:sz w:val="22"/>
            <w:szCs w:val="22"/>
          </w:rPr>
          <w:t>https://doi.org/10.1006/ceps.1994.1033</w:t>
        </w:r>
      </w:hyperlink>
    </w:p>
    <w:p w14:paraId="39FE7CE6" w14:textId="77777777" w:rsidR="00E74BCC" w:rsidRPr="00833A3A" w:rsidRDefault="00E74BCC" w:rsidP="00833A3A">
      <w:pPr>
        <w:spacing w:after="120"/>
        <w:ind w:left="426" w:hanging="426"/>
        <w:jc w:val="both"/>
        <w:rPr>
          <w:rFonts w:asciiTheme="majorHAnsi" w:hAnsiTheme="majorHAnsi" w:cstheme="majorHAnsi"/>
          <w:sz w:val="22"/>
          <w:szCs w:val="22"/>
        </w:rPr>
      </w:pPr>
      <w:r w:rsidRPr="00833A3A">
        <w:rPr>
          <w:rFonts w:asciiTheme="majorHAnsi" w:hAnsiTheme="majorHAnsi" w:cstheme="majorHAnsi"/>
          <w:sz w:val="22"/>
          <w:szCs w:val="22"/>
        </w:rPr>
        <w:t xml:space="preserve">Commodari, E., Platania, S., Rosa, V., Commodari, G., Carnemolla, G. &amp; Parisi, J. (2022). Psychological well-being in  adolescence: Relationships between life skills, self-efficacy, and metacognitive skills. </w:t>
      </w:r>
      <w:r w:rsidRPr="00833A3A">
        <w:rPr>
          <w:rFonts w:asciiTheme="majorHAnsi" w:hAnsiTheme="majorHAnsi" w:cstheme="majorHAnsi"/>
          <w:i/>
          <w:iCs/>
          <w:sz w:val="22"/>
          <w:szCs w:val="22"/>
        </w:rPr>
        <w:t>Mediterranean Journal of Clinical Psychology, 10</w:t>
      </w:r>
      <w:r w:rsidRPr="00833A3A">
        <w:rPr>
          <w:rFonts w:asciiTheme="majorHAnsi" w:hAnsiTheme="majorHAnsi" w:cstheme="majorHAnsi"/>
          <w:sz w:val="22"/>
          <w:szCs w:val="22"/>
        </w:rPr>
        <w:t xml:space="preserve">(1), 1-19. </w:t>
      </w:r>
      <w:hyperlink r:id="rId20" w:history="1">
        <w:r w:rsidRPr="00833A3A">
          <w:rPr>
            <w:rStyle w:val="Hyperlink"/>
            <w:rFonts w:asciiTheme="majorHAnsi" w:hAnsiTheme="majorHAnsi" w:cstheme="majorHAnsi"/>
            <w:sz w:val="22"/>
            <w:szCs w:val="22"/>
          </w:rPr>
          <w:t>https://doi.org/10.13129/2282-1619/mjcp-3251</w:t>
        </w:r>
      </w:hyperlink>
    </w:p>
    <w:p w14:paraId="730A4E7B" w14:textId="77777777" w:rsidR="00E74BCC" w:rsidRPr="00833A3A" w:rsidRDefault="00E74BCC" w:rsidP="00833A3A">
      <w:pPr>
        <w:spacing w:after="120"/>
        <w:ind w:left="426" w:hanging="426"/>
        <w:jc w:val="both"/>
        <w:rPr>
          <w:rFonts w:asciiTheme="majorHAnsi" w:hAnsiTheme="majorHAnsi" w:cstheme="majorHAnsi"/>
          <w:sz w:val="22"/>
          <w:szCs w:val="22"/>
        </w:rPr>
      </w:pPr>
      <w:r w:rsidRPr="00833A3A">
        <w:rPr>
          <w:rFonts w:asciiTheme="majorHAnsi" w:hAnsiTheme="majorHAnsi" w:cstheme="majorHAnsi"/>
          <w:sz w:val="22"/>
          <w:szCs w:val="22"/>
        </w:rPr>
        <w:t xml:space="preserve">Conn, M.,  M’Bale, K. &amp; Josyula, D. (2018). Multi-level metacognition for adaptive behavior. </w:t>
      </w:r>
      <w:r w:rsidRPr="00833A3A">
        <w:rPr>
          <w:rFonts w:asciiTheme="majorHAnsi" w:hAnsiTheme="majorHAnsi" w:cstheme="majorHAnsi"/>
          <w:i/>
          <w:iCs/>
          <w:sz w:val="22"/>
          <w:szCs w:val="22"/>
        </w:rPr>
        <w:t>Biologically Inspired Cognitive Architectures, 26</w:t>
      </w:r>
      <w:r w:rsidRPr="00833A3A">
        <w:rPr>
          <w:rFonts w:asciiTheme="majorHAnsi" w:hAnsiTheme="majorHAnsi" w:cstheme="majorHAnsi"/>
          <w:sz w:val="22"/>
          <w:szCs w:val="22"/>
        </w:rPr>
        <w:t xml:space="preserve">, 174–183. </w:t>
      </w:r>
      <w:hyperlink r:id="rId21" w:history="1">
        <w:r w:rsidRPr="00833A3A">
          <w:rPr>
            <w:rStyle w:val="Hyperlink"/>
            <w:rFonts w:asciiTheme="majorHAnsi" w:hAnsiTheme="majorHAnsi" w:cstheme="majorHAnsi"/>
            <w:sz w:val="22"/>
            <w:szCs w:val="22"/>
          </w:rPr>
          <w:t>https://doi.org/10.1016/j.bica.2018.10.006</w:t>
        </w:r>
      </w:hyperlink>
    </w:p>
    <w:p w14:paraId="6D71B719" w14:textId="77777777" w:rsidR="00E74BCC" w:rsidRPr="00833A3A" w:rsidRDefault="00E74BCC" w:rsidP="00833A3A">
      <w:pPr>
        <w:spacing w:after="120"/>
        <w:ind w:left="426" w:hanging="426"/>
        <w:jc w:val="both"/>
        <w:rPr>
          <w:rFonts w:asciiTheme="majorHAnsi" w:hAnsiTheme="majorHAnsi" w:cstheme="majorHAnsi"/>
          <w:sz w:val="22"/>
          <w:szCs w:val="22"/>
        </w:rPr>
      </w:pPr>
      <w:r w:rsidRPr="00833A3A">
        <w:rPr>
          <w:rFonts w:asciiTheme="majorHAnsi" w:hAnsiTheme="majorHAnsi" w:cstheme="majorHAnsi"/>
          <w:sz w:val="22"/>
          <w:szCs w:val="22"/>
        </w:rPr>
        <w:t xml:space="preserve">Desender, K., Van Opstal, F., Hughes, G., &amp; Bussche, E. (2016).The temporal dynamics of metacognition: Dissociating task-related activity from later metacognitive processes. </w:t>
      </w:r>
      <w:r w:rsidRPr="00833A3A">
        <w:rPr>
          <w:rFonts w:asciiTheme="majorHAnsi" w:hAnsiTheme="majorHAnsi" w:cstheme="majorHAnsi"/>
          <w:i/>
          <w:iCs/>
          <w:sz w:val="22"/>
          <w:szCs w:val="22"/>
        </w:rPr>
        <w:t>Neuropsychologia, 82</w:t>
      </w:r>
      <w:r w:rsidRPr="00833A3A">
        <w:rPr>
          <w:rFonts w:asciiTheme="majorHAnsi" w:hAnsiTheme="majorHAnsi" w:cstheme="majorHAnsi"/>
          <w:sz w:val="22"/>
          <w:szCs w:val="22"/>
        </w:rPr>
        <w:t xml:space="preserve">, 54–64. </w:t>
      </w:r>
      <w:hyperlink r:id="rId22" w:history="1">
        <w:r w:rsidRPr="00833A3A">
          <w:rPr>
            <w:rStyle w:val="Hyperlink"/>
            <w:rFonts w:asciiTheme="majorHAnsi" w:hAnsiTheme="majorHAnsi" w:cstheme="majorHAnsi"/>
            <w:sz w:val="22"/>
            <w:szCs w:val="22"/>
          </w:rPr>
          <w:t>https://doi.org/10.1016/j.neuropsychologia.2016.01.003</w:t>
        </w:r>
      </w:hyperlink>
    </w:p>
    <w:p w14:paraId="3E8A2202" w14:textId="77777777" w:rsidR="00E74BCC" w:rsidRPr="00833A3A" w:rsidRDefault="00E74BCC" w:rsidP="00833A3A">
      <w:pPr>
        <w:tabs>
          <w:tab w:val="right" w:pos="836"/>
        </w:tabs>
        <w:spacing w:after="200"/>
        <w:ind w:left="566" w:hanging="540"/>
        <w:jc w:val="both"/>
        <w:rPr>
          <w:rStyle w:val="Hyperlink"/>
          <w:rFonts w:asciiTheme="majorHAnsi" w:hAnsiTheme="majorHAnsi" w:cstheme="majorHAnsi"/>
          <w:sz w:val="22"/>
          <w:szCs w:val="22"/>
        </w:rPr>
      </w:pPr>
      <w:r w:rsidRPr="00833A3A">
        <w:rPr>
          <w:rFonts w:asciiTheme="majorHAnsi" w:eastAsia="Calibri" w:hAnsiTheme="majorHAnsi" w:cstheme="majorHAnsi"/>
          <w:color w:val="000000" w:themeColor="text1"/>
          <w:sz w:val="22"/>
          <w:szCs w:val="22"/>
          <w:lang w:bidi="ar-EG"/>
        </w:rPr>
        <w:t>Donges, U. -S., Kersting, A., &amp; Suslow, T. (2014). Alexithymia and Perception of Emotional Information: A Review of Experimental Psychological Findings. </w:t>
      </w:r>
      <w:r w:rsidRPr="00833A3A">
        <w:rPr>
          <w:rFonts w:asciiTheme="majorHAnsi" w:eastAsia="Calibri" w:hAnsiTheme="majorHAnsi" w:cstheme="majorHAnsi"/>
          <w:i/>
          <w:iCs/>
          <w:color w:val="000000" w:themeColor="text1"/>
          <w:sz w:val="22"/>
          <w:szCs w:val="22"/>
          <w:lang w:bidi="ar-EG"/>
        </w:rPr>
        <w:t xml:space="preserve">Universitas Psychologica, 13 </w:t>
      </w:r>
      <w:r w:rsidRPr="00833A3A">
        <w:rPr>
          <w:rFonts w:asciiTheme="majorHAnsi" w:eastAsia="Calibri" w:hAnsiTheme="majorHAnsi" w:cstheme="majorHAnsi"/>
          <w:color w:val="000000" w:themeColor="text1"/>
          <w:sz w:val="22"/>
          <w:szCs w:val="22"/>
          <w:lang w:bidi="ar-EG"/>
        </w:rPr>
        <w:t>(2), 745-756. </w:t>
      </w:r>
      <w:hyperlink r:id="rId23" w:history="1">
        <w:r w:rsidRPr="00833A3A">
          <w:rPr>
            <w:rStyle w:val="Hyperlink"/>
            <w:rFonts w:asciiTheme="majorHAnsi" w:hAnsiTheme="majorHAnsi" w:cstheme="majorHAnsi"/>
            <w:sz w:val="22"/>
            <w:szCs w:val="22"/>
          </w:rPr>
          <w:t>http://dx.doi.org/10.11144/Javeriana</w:t>
        </w:r>
      </w:hyperlink>
    </w:p>
    <w:p w14:paraId="54477E2B" w14:textId="77777777" w:rsidR="00E74BCC" w:rsidRPr="00833A3A" w:rsidRDefault="00E74BCC" w:rsidP="00833A3A">
      <w:pPr>
        <w:spacing w:after="120"/>
        <w:ind w:left="426" w:hanging="426"/>
        <w:jc w:val="both"/>
        <w:rPr>
          <w:rFonts w:asciiTheme="majorHAnsi" w:hAnsiTheme="majorHAnsi" w:cstheme="majorHAnsi"/>
          <w:sz w:val="22"/>
          <w:szCs w:val="22"/>
          <w:rtl/>
        </w:rPr>
      </w:pPr>
      <w:r w:rsidRPr="00833A3A">
        <w:rPr>
          <w:rFonts w:asciiTheme="majorHAnsi" w:hAnsiTheme="majorHAnsi" w:cstheme="majorHAnsi"/>
          <w:sz w:val="22"/>
          <w:szCs w:val="22"/>
        </w:rPr>
        <w:t xml:space="preserve">Dwarakanath, N. &amp; Thangapandian, R. (2020). Alexithymia and mental health: a study among college students. </w:t>
      </w:r>
      <w:r w:rsidRPr="00833A3A">
        <w:rPr>
          <w:rFonts w:asciiTheme="majorHAnsi" w:hAnsiTheme="majorHAnsi" w:cstheme="majorHAnsi"/>
          <w:i/>
          <w:iCs/>
          <w:sz w:val="22"/>
          <w:szCs w:val="22"/>
        </w:rPr>
        <w:t>International Journal of Indian Psychology</w:t>
      </w:r>
      <w:r w:rsidRPr="00833A3A">
        <w:rPr>
          <w:rFonts w:asciiTheme="majorHAnsi" w:hAnsiTheme="majorHAnsi" w:cstheme="majorHAnsi"/>
          <w:sz w:val="22"/>
          <w:szCs w:val="22"/>
        </w:rPr>
        <w:t xml:space="preserve">, </w:t>
      </w:r>
      <w:r w:rsidRPr="00833A3A">
        <w:rPr>
          <w:rFonts w:asciiTheme="majorHAnsi" w:hAnsiTheme="majorHAnsi" w:cstheme="majorHAnsi"/>
          <w:i/>
          <w:iCs/>
          <w:sz w:val="22"/>
          <w:szCs w:val="22"/>
        </w:rPr>
        <w:t>8</w:t>
      </w:r>
      <w:r w:rsidRPr="00833A3A">
        <w:rPr>
          <w:rFonts w:asciiTheme="majorHAnsi" w:hAnsiTheme="majorHAnsi" w:cstheme="majorHAnsi"/>
          <w:sz w:val="22"/>
          <w:szCs w:val="22"/>
        </w:rPr>
        <w:t xml:space="preserve">(2), 159-164. DIP:18.01.298/20200802, </w:t>
      </w:r>
      <w:hyperlink r:id="rId24" w:history="1">
        <w:r w:rsidRPr="00833A3A">
          <w:rPr>
            <w:rStyle w:val="Hyperlink"/>
            <w:rFonts w:asciiTheme="majorHAnsi" w:hAnsiTheme="majorHAnsi" w:cstheme="majorHAnsi"/>
            <w:sz w:val="22"/>
            <w:szCs w:val="22"/>
          </w:rPr>
          <w:t>https://doi.org/10.25215/0802.298</w:t>
        </w:r>
      </w:hyperlink>
    </w:p>
    <w:p w14:paraId="55C0107C" w14:textId="77777777" w:rsidR="00E74BCC" w:rsidRPr="00833A3A" w:rsidRDefault="00E74BCC" w:rsidP="00833A3A">
      <w:pPr>
        <w:spacing w:after="120"/>
        <w:ind w:left="426" w:hanging="426"/>
        <w:jc w:val="both"/>
        <w:rPr>
          <w:rFonts w:asciiTheme="majorHAnsi" w:hAnsiTheme="majorHAnsi" w:cstheme="majorHAnsi"/>
          <w:sz w:val="22"/>
          <w:szCs w:val="22"/>
          <w:u w:val="single"/>
        </w:rPr>
      </w:pPr>
      <w:r w:rsidRPr="00833A3A">
        <w:rPr>
          <w:rFonts w:asciiTheme="majorHAnsi" w:hAnsiTheme="majorHAnsi" w:cstheme="majorHAnsi"/>
          <w:sz w:val="22"/>
          <w:szCs w:val="22"/>
        </w:rPr>
        <w:t xml:space="preserve">Faramarzi, M. &amp; Khafri, S. (2017). Role of alexithymia, anxiety, and depression in predicting self-efficacy in Academic Students. </w:t>
      </w:r>
      <w:r w:rsidRPr="00833A3A">
        <w:rPr>
          <w:rFonts w:asciiTheme="majorHAnsi" w:hAnsiTheme="majorHAnsi" w:cstheme="majorHAnsi"/>
          <w:i/>
          <w:iCs/>
          <w:sz w:val="22"/>
          <w:szCs w:val="22"/>
        </w:rPr>
        <w:t>Scientific World Journal,</w:t>
      </w:r>
      <w:r w:rsidRPr="00833A3A">
        <w:rPr>
          <w:rFonts w:asciiTheme="majorHAnsi" w:hAnsiTheme="majorHAnsi" w:cstheme="majorHAnsi"/>
          <w:sz w:val="22"/>
          <w:szCs w:val="22"/>
        </w:rPr>
        <w:t xml:space="preserve"> Article ID 5798372, 7 pages</w:t>
      </w:r>
      <w:r w:rsidRPr="00833A3A">
        <w:rPr>
          <w:rFonts w:asciiTheme="majorHAnsi" w:hAnsiTheme="majorHAnsi" w:cstheme="majorHAnsi"/>
          <w:sz w:val="22"/>
          <w:szCs w:val="22"/>
          <w:u w:val="single"/>
        </w:rPr>
        <w:t xml:space="preserve">. </w:t>
      </w:r>
      <w:hyperlink r:id="rId25" w:history="1">
        <w:r w:rsidRPr="00833A3A">
          <w:rPr>
            <w:rStyle w:val="Hyperlink"/>
            <w:rFonts w:asciiTheme="majorHAnsi" w:hAnsiTheme="majorHAnsi" w:cstheme="majorHAnsi"/>
            <w:sz w:val="22"/>
            <w:szCs w:val="22"/>
          </w:rPr>
          <w:t>https://doi.org/10.1155/2017/5798372</w:t>
        </w:r>
      </w:hyperlink>
      <w:r w:rsidRPr="00833A3A">
        <w:rPr>
          <w:rFonts w:asciiTheme="majorHAnsi" w:hAnsiTheme="majorHAnsi" w:cstheme="majorHAnsi"/>
          <w:sz w:val="22"/>
          <w:szCs w:val="22"/>
          <w:u w:val="single"/>
        </w:rPr>
        <w:t>.</w:t>
      </w:r>
    </w:p>
    <w:p w14:paraId="44454F38" w14:textId="77777777" w:rsidR="00E74BCC" w:rsidRPr="00833A3A" w:rsidRDefault="00E74BCC" w:rsidP="00833A3A">
      <w:pPr>
        <w:spacing w:after="120"/>
        <w:ind w:left="426" w:hanging="426"/>
        <w:jc w:val="both"/>
        <w:rPr>
          <w:rFonts w:asciiTheme="majorHAnsi" w:hAnsiTheme="majorHAnsi" w:cstheme="majorHAnsi"/>
          <w:sz w:val="22"/>
          <w:szCs w:val="22"/>
        </w:rPr>
      </w:pPr>
      <w:r w:rsidRPr="00833A3A">
        <w:rPr>
          <w:rFonts w:asciiTheme="majorHAnsi" w:hAnsiTheme="majorHAnsi" w:cstheme="majorHAnsi"/>
          <w:sz w:val="22"/>
          <w:szCs w:val="22"/>
        </w:rPr>
        <w:t xml:space="preserve">Finn, B. (2008). Framing effects on metacognitive monitoring and control. </w:t>
      </w:r>
      <w:r w:rsidRPr="00833A3A">
        <w:rPr>
          <w:rFonts w:asciiTheme="majorHAnsi" w:hAnsiTheme="majorHAnsi" w:cstheme="majorHAnsi"/>
          <w:i/>
          <w:iCs/>
          <w:sz w:val="22"/>
          <w:szCs w:val="22"/>
        </w:rPr>
        <w:t>Memory &amp; Cognition, 36</w:t>
      </w:r>
      <w:r w:rsidRPr="00833A3A">
        <w:rPr>
          <w:rFonts w:asciiTheme="majorHAnsi" w:hAnsiTheme="majorHAnsi" w:cstheme="majorHAnsi"/>
          <w:sz w:val="22"/>
          <w:szCs w:val="22"/>
        </w:rPr>
        <w:t xml:space="preserve">(4), 813-821. </w:t>
      </w:r>
      <w:hyperlink r:id="rId26" w:history="1">
        <w:r w:rsidRPr="00833A3A">
          <w:rPr>
            <w:rStyle w:val="Hyperlink"/>
            <w:rFonts w:asciiTheme="majorHAnsi" w:hAnsiTheme="majorHAnsi" w:cstheme="majorHAnsi"/>
            <w:sz w:val="22"/>
            <w:szCs w:val="22"/>
          </w:rPr>
          <w:t>http://dx.doi.org/10.3758/MC.36.4.813</w:t>
        </w:r>
      </w:hyperlink>
    </w:p>
    <w:p w14:paraId="31FCFFF2" w14:textId="77777777" w:rsidR="00E74BCC" w:rsidRPr="00833A3A" w:rsidRDefault="00E74BCC" w:rsidP="00833A3A">
      <w:pPr>
        <w:spacing w:after="120"/>
        <w:ind w:left="426" w:hanging="426"/>
        <w:jc w:val="both"/>
        <w:rPr>
          <w:rFonts w:asciiTheme="majorHAnsi" w:hAnsiTheme="majorHAnsi" w:cstheme="majorHAnsi"/>
          <w:sz w:val="22"/>
          <w:szCs w:val="22"/>
        </w:rPr>
      </w:pPr>
      <w:r w:rsidRPr="00833A3A">
        <w:rPr>
          <w:rFonts w:asciiTheme="majorHAnsi" w:hAnsiTheme="majorHAnsi" w:cstheme="majorHAnsi"/>
          <w:sz w:val="22"/>
          <w:szCs w:val="22"/>
        </w:rPr>
        <w:t xml:space="preserve">Fisher, M., Schneider, M., Pegler, C., and Napolitano, B. (1991). Eating attitudes, health-risk behaviors, self-esteem, and anxiety among adolescent females in a suburban high-school. </w:t>
      </w:r>
      <w:r w:rsidRPr="00833A3A">
        <w:rPr>
          <w:rFonts w:asciiTheme="majorHAnsi" w:hAnsiTheme="majorHAnsi" w:cstheme="majorHAnsi"/>
          <w:i/>
          <w:iCs/>
          <w:sz w:val="22"/>
          <w:szCs w:val="22"/>
        </w:rPr>
        <w:t>Journal of Adolescent Health, 12</w:t>
      </w:r>
      <w:r w:rsidRPr="00833A3A">
        <w:rPr>
          <w:rFonts w:asciiTheme="majorHAnsi" w:hAnsiTheme="majorHAnsi" w:cstheme="majorHAnsi"/>
          <w:sz w:val="22"/>
          <w:szCs w:val="22"/>
        </w:rPr>
        <w:t xml:space="preserve">(5), 377–384. </w:t>
      </w:r>
      <w:hyperlink r:id="rId27" w:history="1">
        <w:r w:rsidRPr="00833A3A">
          <w:rPr>
            <w:rStyle w:val="Hyperlink"/>
            <w:rFonts w:asciiTheme="majorHAnsi" w:hAnsiTheme="majorHAnsi" w:cstheme="majorHAnsi"/>
            <w:sz w:val="22"/>
            <w:szCs w:val="22"/>
          </w:rPr>
          <w:t>https://doi.org/10.1016/0197-0070(91)90051-M</w:t>
        </w:r>
      </w:hyperlink>
    </w:p>
    <w:p w14:paraId="51F3B045" w14:textId="77777777" w:rsidR="00E74BCC" w:rsidRPr="00833A3A" w:rsidRDefault="00E74BCC" w:rsidP="00833A3A">
      <w:pPr>
        <w:spacing w:after="120"/>
        <w:ind w:left="426" w:hanging="426"/>
        <w:jc w:val="both"/>
        <w:rPr>
          <w:rFonts w:asciiTheme="majorHAnsi" w:hAnsiTheme="majorHAnsi" w:cstheme="majorHAnsi"/>
          <w:sz w:val="22"/>
          <w:szCs w:val="22"/>
        </w:rPr>
      </w:pPr>
      <w:r w:rsidRPr="00833A3A">
        <w:rPr>
          <w:rFonts w:asciiTheme="majorHAnsi" w:hAnsiTheme="majorHAnsi" w:cstheme="majorHAnsi"/>
          <w:sz w:val="22"/>
          <w:szCs w:val="22"/>
        </w:rPr>
        <w:t>Flavell, J. H. (1979). Metacognition and cognitive monitoring: A New area of cognitive–developmental inquiry. </w:t>
      </w:r>
      <w:r w:rsidRPr="00833A3A">
        <w:rPr>
          <w:rFonts w:asciiTheme="majorHAnsi" w:hAnsiTheme="majorHAnsi" w:cstheme="majorHAnsi"/>
          <w:i/>
          <w:iCs/>
          <w:sz w:val="22"/>
          <w:szCs w:val="22"/>
        </w:rPr>
        <w:t>American Psychologist, 34</w:t>
      </w:r>
      <w:r w:rsidRPr="00833A3A">
        <w:rPr>
          <w:rFonts w:asciiTheme="majorHAnsi" w:hAnsiTheme="majorHAnsi" w:cstheme="majorHAnsi"/>
          <w:sz w:val="22"/>
          <w:szCs w:val="22"/>
        </w:rPr>
        <w:t>(10), 906–911.</w:t>
      </w:r>
      <w:r w:rsidRPr="00833A3A">
        <w:rPr>
          <w:rFonts w:asciiTheme="majorHAnsi" w:hAnsiTheme="majorHAnsi" w:cstheme="majorHAnsi"/>
          <w:sz w:val="22"/>
          <w:szCs w:val="22"/>
          <w:u w:val="single"/>
        </w:rPr>
        <w:t> </w:t>
      </w:r>
      <w:hyperlink r:id="rId28" w:tgtFrame="_blank" w:history="1">
        <w:r w:rsidRPr="00833A3A">
          <w:rPr>
            <w:rStyle w:val="Hyperlink"/>
            <w:rFonts w:asciiTheme="majorHAnsi" w:hAnsiTheme="majorHAnsi" w:cstheme="majorHAnsi"/>
            <w:sz w:val="22"/>
            <w:szCs w:val="22"/>
          </w:rPr>
          <w:t>https://doi.org/10.1037/0003-066X.34.10.906</w:t>
        </w:r>
      </w:hyperlink>
      <w:r w:rsidRPr="00833A3A">
        <w:rPr>
          <w:rFonts w:asciiTheme="majorHAnsi" w:hAnsiTheme="majorHAnsi" w:cstheme="majorHAnsi"/>
          <w:sz w:val="22"/>
          <w:szCs w:val="22"/>
        </w:rPr>
        <w:t xml:space="preserve"> </w:t>
      </w:r>
    </w:p>
    <w:p w14:paraId="0CBE1A3E" w14:textId="77777777" w:rsidR="00E74BCC" w:rsidRPr="00833A3A" w:rsidRDefault="00E74BCC" w:rsidP="00833A3A">
      <w:pPr>
        <w:spacing w:after="120"/>
        <w:ind w:left="426" w:hanging="426"/>
        <w:jc w:val="both"/>
        <w:rPr>
          <w:rFonts w:asciiTheme="majorHAnsi" w:hAnsiTheme="majorHAnsi" w:cstheme="majorHAnsi"/>
          <w:sz w:val="22"/>
          <w:szCs w:val="22"/>
        </w:rPr>
      </w:pPr>
      <w:r w:rsidRPr="00833A3A">
        <w:rPr>
          <w:rFonts w:asciiTheme="majorHAnsi" w:eastAsia="Calibri" w:hAnsiTheme="majorHAnsi" w:cstheme="majorHAnsi"/>
          <w:kern w:val="2"/>
          <w:sz w:val="22"/>
          <w:szCs w:val="22"/>
          <w14:ligatures w14:val="standardContextual"/>
        </w:rPr>
        <w:t>Foumany</w:t>
      </w:r>
      <w:r w:rsidRPr="00833A3A">
        <w:rPr>
          <w:rFonts w:asciiTheme="majorHAnsi" w:hAnsiTheme="majorHAnsi" w:cstheme="majorHAnsi"/>
          <w:sz w:val="22"/>
          <w:szCs w:val="22"/>
        </w:rPr>
        <w:t xml:space="preserve">, G., Salehi, J., &amp; Ifaei, F. (2014). The relationship between metacognition, mental health and self-esteem in students. </w:t>
      </w:r>
      <w:r w:rsidRPr="00833A3A">
        <w:rPr>
          <w:rFonts w:asciiTheme="majorHAnsi" w:hAnsiTheme="majorHAnsi" w:cstheme="majorHAnsi"/>
          <w:i/>
          <w:iCs/>
          <w:sz w:val="22"/>
          <w:szCs w:val="22"/>
        </w:rPr>
        <w:t>Journal of Applied Environmental and Biological Sciences</w:t>
      </w:r>
      <w:r w:rsidRPr="00833A3A">
        <w:rPr>
          <w:rFonts w:asciiTheme="majorHAnsi" w:hAnsiTheme="majorHAnsi" w:cstheme="majorHAnsi"/>
          <w:sz w:val="22"/>
          <w:szCs w:val="22"/>
        </w:rPr>
        <w:t xml:space="preserve">, </w:t>
      </w:r>
      <w:r w:rsidRPr="00833A3A">
        <w:rPr>
          <w:rFonts w:asciiTheme="majorHAnsi" w:hAnsiTheme="majorHAnsi" w:cstheme="majorHAnsi"/>
          <w:i/>
          <w:iCs/>
          <w:sz w:val="22"/>
          <w:szCs w:val="22"/>
        </w:rPr>
        <w:t>4</w:t>
      </w:r>
      <w:r w:rsidRPr="00833A3A">
        <w:rPr>
          <w:rFonts w:asciiTheme="majorHAnsi" w:hAnsiTheme="majorHAnsi" w:cstheme="majorHAnsi"/>
          <w:sz w:val="22"/>
          <w:szCs w:val="22"/>
        </w:rPr>
        <w:t>(3), 61–67.</w:t>
      </w:r>
    </w:p>
    <w:p w14:paraId="74016176" w14:textId="77777777" w:rsidR="00E74BCC" w:rsidRPr="00833A3A" w:rsidRDefault="00E74BCC" w:rsidP="00833A3A">
      <w:pPr>
        <w:spacing w:after="120"/>
        <w:ind w:left="426" w:hanging="426"/>
        <w:jc w:val="both"/>
        <w:rPr>
          <w:rFonts w:asciiTheme="majorHAnsi" w:eastAsia="Calibri" w:hAnsiTheme="majorHAnsi" w:cstheme="majorHAnsi"/>
          <w:color w:val="0563C1"/>
          <w:kern w:val="2"/>
          <w:sz w:val="22"/>
          <w:szCs w:val="22"/>
          <w:u w:val="single"/>
          <w14:ligatures w14:val="standardContextual"/>
        </w:rPr>
      </w:pPr>
      <w:r w:rsidRPr="00833A3A">
        <w:rPr>
          <w:rFonts w:asciiTheme="majorHAnsi" w:eastAsia="Calibri" w:hAnsiTheme="majorHAnsi" w:cstheme="majorHAnsi"/>
          <w:kern w:val="2"/>
          <w:sz w:val="22"/>
          <w:szCs w:val="22"/>
          <w:lang w:bidi="ar-EG"/>
          <w14:ligatures w14:val="standardContextual"/>
        </w:rPr>
        <w:t>Ghandour, R. M., Sherman, L. J., Vladutiu, C. J., Ali, M. M., Lynch, S. E., Bitsko, R. H., &amp; Blumberg, S. J. (2018). Prevalence and treatment of depression, anxiety, and conduct problems in U.S. children. The Journal of Pediatrics, 206, 256–267.</w:t>
      </w:r>
      <w:r w:rsidRPr="00833A3A">
        <w:rPr>
          <w:rFonts w:asciiTheme="majorHAnsi" w:eastAsia="Calibri" w:hAnsiTheme="majorHAnsi" w:cstheme="majorHAnsi"/>
          <w:color w:val="0563C1"/>
          <w:kern w:val="2"/>
          <w:sz w:val="22"/>
          <w:szCs w:val="22"/>
          <w:u w:val="single"/>
          <w14:ligatures w14:val="standardContextual"/>
        </w:rPr>
        <w:t xml:space="preserve"> </w:t>
      </w:r>
      <w:hyperlink r:id="rId29" w:history="1">
        <w:r w:rsidRPr="00833A3A">
          <w:rPr>
            <w:rStyle w:val="Hyperlink"/>
            <w:rFonts w:asciiTheme="majorHAnsi" w:eastAsia="Calibri" w:hAnsiTheme="majorHAnsi" w:cstheme="majorHAnsi"/>
            <w:kern w:val="2"/>
            <w:sz w:val="22"/>
            <w:szCs w:val="22"/>
            <w14:ligatures w14:val="standardContextual"/>
          </w:rPr>
          <w:t>https://doi.org/10.1016/j.jpeds.2018.09.021</w:t>
        </w:r>
      </w:hyperlink>
    </w:p>
    <w:p w14:paraId="7404DAC2" w14:textId="77777777" w:rsidR="00E74BCC" w:rsidRPr="00833A3A" w:rsidRDefault="00E74BCC" w:rsidP="00833A3A">
      <w:pPr>
        <w:spacing w:after="120"/>
        <w:ind w:left="426" w:hanging="426"/>
        <w:jc w:val="both"/>
        <w:rPr>
          <w:rFonts w:asciiTheme="majorHAnsi" w:hAnsiTheme="majorHAnsi" w:cstheme="majorHAnsi"/>
          <w:sz w:val="22"/>
          <w:szCs w:val="22"/>
        </w:rPr>
      </w:pPr>
      <w:r w:rsidRPr="00833A3A">
        <w:rPr>
          <w:rFonts w:asciiTheme="majorHAnsi" w:hAnsiTheme="majorHAnsi" w:cstheme="majorHAnsi"/>
          <w:sz w:val="22"/>
          <w:szCs w:val="22"/>
        </w:rPr>
        <w:t xml:space="preserve">Gong, X., Xie, X., Xu, R., &amp; Luo, J. (2010). Psychometric properties of the Chinese versions of DASS-21 in Chinese college students. </w:t>
      </w:r>
      <w:r w:rsidRPr="00833A3A">
        <w:rPr>
          <w:rFonts w:asciiTheme="majorHAnsi" w:hAnsiTheme="majorHAnsi" w:cstheme="majorHAnsi"/>
          <w:i/>
          <w:iCs/>
          <w:sz w:val="22"/>
          <w:szCs w:val="22"/>
        </w:rPr>
        <w:t>Chinese Journal of Clinical Psychology, 4</w:t>
      </w:r>
      <w:r w:rsidRPr="00833A3A">
        <w:rPr>
          <w:rFonts w:asciiTheme="majorHAnsi" w:hAnsiTheme="majorHAnsi" w:cstheme="majorHAnsi"/>
          <w:sz w:val="22"/>
          <w:szCs w:val="22"/>
        </w:rPr>
        <w:t>(4), 443–446.</w:t>
      </w:r>
    </w:p>
    <w:p w14:paraId="79493E15" w14:textId="77777777" w:rsidR="00E74BCC" w:rsidRPr="00833A3A" w:rsidRDefault="00E74BCC" w:rsidP="00833A3A">
      <w:pPr>
        <w:spacing w:after="120"/>
        <w:ind w:left="426" w:hanging="426"/>
        <w:jc w:val="both"/>
        <w:rPr>
          <w:rFonts w:asciiTheme="majorHAnsi" w:hAnsiTheme="majorHAnsi" w:cstheme="majorHAnsi"/>
          <w:sz w:val="22"/>
          <w:szCs w:val="22"/>
        </w:rPr>
      </w:pPr>
      <w:r w:rsidRPr="00833A3A">
        <w:rPr>
          <w:rFonts w:asciiTheme="majorHAnsi" w:hAnsiTheme="majorHAnsi" w:cstheme="majorHAnsi"/>
          <w:sz w:val="22"/>
          <w:szCs w:val="22"/>
        </w:rPr>
        <w:t xml:space="preserve">Gunstone, R. F. (1995). The Importance of specific science content in the enhancement of metacognition. In P. J. Fensham, R. F. Gunstone, &amp; R. T. White (Eds.), </w:t>
      </w:r>
      <w:r w:rsidRPr="00833A3A">
        <w:rPr>
          <w:rFonts w:asciiTheme="majorHAnsi" w:hAnsiTheme="majorHAnsi" w:cstheme="majorHAnsi"/>
          <w:i/>
          <w:iCs/>
          <w:sz w:val="22"/>
          <w:szCs w:val="22"/>
        </w:rPr>
        <w:t>The content of science: A Constructivism approach to its teaching and learning</w:t>
      </w:r>
      <w:r w:rsidRPr="00833A3A">
        <w:rPr>
          <w:rFonts w:asciiTheme="majorHAnsi" w:hAnsiTheme="majorHAnsi" w:cstheme="majorHAnsi"/>
          <w:sz w:val="22"/>
          <w:szCs w:val="22"/>
        </w:rPr>
        <w:t xml:space="preserve"> (pp. 131-146). The Falmer Press.</w:t>
      </w:r>
    </w:p>
    <w:p w14:paraId="09DFA458" w14:textId="77777777" w:rsidR="00E74BCC" w:rsidRPr="00833A3A" w:rsidRDefault="00E74BCC" w:rsidP="00833A3A">
      <w:pPr>
        <w:spacing w:after="120"/>
        <w:ind w:left="426" w:hanging="426"/>
        <w:jc w:val="both"/>
        <w:rPr>
          <w:rFonts w:asciiTheme="majorHAnsi" w:hAnsiTheme="majorHAnsi" w:cstheme="majorHAnsi"/>
          <w:sz w:val="22"/>
          <w:szCs w:val="22"/>
          <w:u w:val="single"/>
        </w:rPr>
      </w:pPr>
      <w:r w:rsidRPr="00833A3A">
        <w:rPr>
          <w:rFonts w:asciiTheme="majorHAnsi" w:hAnsiTheme="majorHAnsi" w:cstheme="majorHAnsi"/>
          <w:sz w:val="22"/>
          <w:szCs w:val="22"/>
        </w:rPr>
        <w:t>Güss, C. D., &amp; Wiley, B. (2007). Metacognition of problem-solving strategies in Brazil, India, and the united states. </w:t>
      </w:r>
      <w:r w:rsidRPr="00833A3A">
        <w:rPr>
          <w:rFonts w:asciiTheme="majorHAnsi" w:hAnsiTheme="majorHAnsi" w:cstheme="majorHAnsi"/>
          <w:i/>
          <w:iCs/>
          <w:sz w:val="22"/>
          <w:szCs w:val="22"/>
        </w:rPr>
        <w:t>Journal of Cognition and Culture, 7</w:t>
      </w:r>
      <w:r w:rsidRPr="00833A3A">
        <w:rPr>
          <w:rFonts w:asciiTheme="majorHAnsi" w:hAnsiTheme="majorHAnsi" w:cstheme="majorHAnsi"/>
          <w:sz w:val="22"/>
          <w:szCs w:val="22"/>
        </w:rPr>
        <w:t>(1-2), 1–25.</w:t>
      </w:r>
      <w:r w:rsidRPr="00833A3A">
        <w:rPr>
          <w:rFonts w:asciiTheme="majorHAnsi" w:hAnsiTheme="majorHAnsi" w:cstheme="majorHAnsi"/>
          <w:sz w:val="22"/>
          <w:szCs w:val="22"/>
          <w:u w:val="single"/>
        </w:rPr>
        <w:t> </w:t>
      </w:r>
      <w:hyperlink r:id="rId30" w:tgtFrame="_blank" w:history="1">
        <w:r w:rsidRPr="00833A3A">
          <w:rPr>
            <w:rStyle w:val="Hyperlink"/>
            <w:rFonts w:asciiTheme="majorHAnsi" w:hAnsiTheme="majorHAnsi" w:cstheme="majorHAnsi"/>
            <w:sz w:val="22"/>
            <w:szCs w:val="22"/>
          </w:rPr>
          <w:t>https://doi.org/10.1163/156853707X171793</w:t>
        </w:r>
      </w:hyperlink>
    </w:p>
    <w:p w14:paraId="63B0690E" w14:textId="77777777" w:rsidR="00E74BCC" w:rsidRPr="00833A3A" w:rsidRDefault="00E74BCC" w:rsidP="00833A3A">
      <w:pPr>
        <w:spacing w:after="120"/>
        <w:ind w:left="426" w:hanging="426"/>
        <w:jc w:val="both"/>
        <w:rPr>
          <w:rFonts w:asciiTheme="majorHAnsi" w:hAnsiTheme="majorHAnsi" w:cstheme="majorHAnsi"/>
          <w:sz w:val="22"/>
          <w:szCs w:val="22"/>
        </w:rPr>
      </w:pPr>
      <w:r w:rsidRPr="00833A3A">
        <w:rPr>
          <w:rFonts w:asciiTheme="majorHAnsi" w:eastAsia="Calibri" w:hAnsiTheme="majorHAnsi" w:cstheme="majorHAnsi"/>
          <w:kern w:val="2"/>
          <w:sz w:val="22"/>
          <w:szCs w:val="22"/>
          <w14:ligatures w14:val="standardContextual"/>
        </w:rPr>
        <w:lastRenderedPageBreak/>
        <w:t>Hamonniere</w:t>
      </w:r>
      <w:r w:rsidRPr="00833A3A">
        <w:rPr>
          <w:rFonts w:asciiTheme="majorHAnsi" w:hAnsiTheme="majorHAnsi" w:cstheme="majorHAnsi"/>
          <w:sz w:val="22"/>
          <w:szCs w:val="22"/>
        </w:rPr>
        <w:t xml:space="preserve">, T., &amp; Varescon, I. (2018). Metacognitive beliefs in addictive behaviours: a systematic review. </w:t>
      </w:r>
      <w:r w:rsidRPr="00833A3A">
        <w:rPr>
          <w:rFonts w:asciiTheme="majorHAnsi" w:hAnsiTheme="majorHAnsi" w:cstheme="majorHAnsi"/>
          <w:i/>
          <w:iCs/>
          <w:sz w:val="22"/>
          <w:szCs w:val="22"/>
        </w:rPr>
        <w:t>Addictive Behaviors, 85</w:t>
      </w:r>
      <w:r w:rsidRPr="00833A3A">
        <w:rPr>
          <w:rFonts w:asciiTheme="majorHAnsi" w:hAnsiTheme="majorHAnsi" w:cstheme="majorHAnsi"/>
          <w:sz w:val="22"/>
          <w:szCs w:val="22"/>
        </w:rPr>
        <w:t xml:space="preserve">, 51–63. </w:t>
      </w:r>
      <w:hyperlink r:id="rId31" w:history="1">
        <w:r w:rsidRPr="00833A3A">
          <w:rPr>
            <w:rStyle w:val="Hyperlink"/>
            <w:rFonts w:asciiTheme="majorHAnsi" w:hAnsiTheme="majorHAnsi" w:cstheme="majorHAnsi"/>
            <w:sz w:val="22"/>
            <w:szCs w:val="22"/>
          </w:rPr>
          <w:t>https://doi.org/10.1016/j.addbeh.2018.05.018</w:t>
        </w:r>
      </w:hyperlink>
    </w:p>
    <w:p w14:paraId="01BB3AEC" w14:textId="77777777" w:rsidR="00E74BCC" w:rsidRPr="00833A3A" w:rsidRDefault="00E74BCC" w:rsidP="00833A3A">
      <w:pPr>
        <w:spacing w:after="120"/>
        <w:ind w:left="426" w:hanging="426"/>
        <w:jc w:val="both"/>
        <w:rPr>
          <w:rFonts w:asciiTheme="majorHAnsi" w:hAnsiTheme="majorHAnsi" w:cstheme="majorHAnsi"/>
          <w:sz w:val="22"/>
          <w:szCs w:val="22"/>
        </w:rPr>
      </w:pPr>
      <w:r w:rsidRPr="00833A3A">
        <w:rPr>
          <w:rFonts w:asciiTheme="majorHAnsi" w:hAnsiTheme="majorHAnsi" w:cstheme="majorHAnsi"/>
          <w:sz w:val="22"/>
          <w:szCs w:val="22"/>
        </w:rPr>
        <w:t xml:space="preserve">Hattie, J. (2012). </w:t>
      </w:r>
      <w:r w:rsidRPr="00833A3A">
        <w:rPr>
          <w:rFonts w:asciiTheme="majorHAnsi" w:hAnsiTheme="majorHAnsi" w:cstheme="majorHAnsi"/>
          <w:i/>
          <w:iCs/>
          <w:sz w:val="22"/>
          <w:szCs w:val="22"/>
        </w:rPr>
        <w:t>Visible learning for teachers: Maximizing impact</w:t>
      </w:r>
      <w:r w:rsidRPr="00833A3A">
        <w:rPr>
          <w:rFonts w:asciiTheme="majorHAnsi" w:hAnsiTheme="majorHAnsi" w:cstheme="majorHAnsi"/>
          <w:i/>
          <w:iCs/>
          <w:sz w:val="22"/>
          <w:szCs w:val="22"/>
          <w:rtl/>
          <w:lang w:bidi="ar-EG"/>
        </w:rPr>
        <w:t xml:space="preserve"> </w:t>
      </w:r>
      <w:r w:rsidRPr="00833A3A">
        <w:rPr>
          <w:rFonts w:asciiTheme="majorHAnsi" w:hAnsiTheme="majorHAnsi" w:cstheme="majorHAnsi"/>
          <w:i/>
          <w:iCs/>
          <w:sz w:val="22"/>
          <w:szCs w:val="22"/>
        </w:rPr>
        <w:t>on learning</w:t>
      </w:r>
      <w:r w:rsidRPr="00833A3A">
        <w:rPr>
          <w:rFonts w:asciiTheme="majorHAnsi" w:hAnsiTheme="majorHAnsi" w:cstheme="majorHAnsi"/>
          <w:sz w:val="22"/>
          <w:szCs w:val="22"/>
        </w:rPr>
        <w:t>. Routledge.</w:t>
      </w:r>
    </w:p>
    <w:p w14:paraId="06D01461" w14:textId="77777777" w:rsidR="00E74BCC" w:rsidRPr="00833A3A" w:rsidRDefault="00E74BCC" w:rsidP="00833A3A">
      <w:pPr>
        <w:spacing w:after="120"/>
        <w:ind w:left="426" w:hanging="426"/>
        <w:jc w:val="both"/>
        <w:rPr>
          <w:rFonts w:asciiTheme="majorHAnsi" w:hAnsiTheme="majorHAnsi" w:cstheme="majorHAnsi"/>
          <w:sz w:val="22"/>
          <w:szCs w:val="22"/>
          <w:rtl/>
        </w:rPr>
      </w:pPr>
      <w:r w:rsidRPr="00833A3A">
        <w:rPr>
          <w:rFonts w:asciiTheme="majorHAnsi" w:eastAsia="Calibri" w:hAnsiTheme="majorHAnsi" w:cstheme="majorHAnsi"/>
          <w:kern w:val="2"/>
          <w:sz w:val="22"/>
          <w:szCs w:val="22"/>
          <w14:ligatures w14:val="standardContextual"/>
        </w:rPr>
        <w:t>Hu</w:t>
      </w:r>
      <w:r w:rsidRPr="00833A3A">
        <w:rPr>
          <w:rFonts w:asciiTheme="majorHAnsi" w:hAnsiTheme="majorHAnsi" w:cstheme="majorHAnsi"/>
          <w:sz w:val="22"/>
          <w:szCs w:val="22"/>
        </w:rPr>
        <w:t xml:space="preserve">, Z.,  &amp; Liang, N. (2002). A study on the relationship between College Students’ metacognitive characteristics and non intellectual factors. </w:t>
      </w:r>
      <w:r w:rsidRPr="00833A3A">
        <w:rPr>
          <w:rFonts w:asciiTheme="majorHAnsi" w:hAnsiTheme="majorHAnsi" w:cstheme="majorHAnsi"/>
          <w:i/>
          <w:iCs/>
          <w:sz w:val="22"/>
          <w:szCs w:val="22"/>
        </w:rPr>
        <w:t>Psychological Science, 25</w:t>
      </w:r>
      <w:r w:rsidRPr="00833A3A">
        <w:rPr>
          <w:rFonts w:asciiTheme="majorHAnsi" w:hAnsiTheme="majorHAnsi" w:cstheme="majorHAnsi"/>
          <w:sz w:val="22"/>
          <w:szCs w:val="22"/>
        </w:rPr>
        <w:t>(4), 435–438.</w:t>
      </w:r>
    </w:p>
    <w:p w14:paraId="77AA79E5" w14:textId="77777777" w:rsidR="00E74BCC" w:rsidRPr="00833A3A" w:rsidRDefault="003211EB" w:rsidP="00833A3A">
      <w:pPr>
        <w:tabs>
          <w:tab w:val="right" w:pos="836"/>
        </w:tabs>
        <w:spacing w:after="200"/>
        <w:ind w:left="566" w:hanging="540"/>
        <w:jc w:val="both"/>
        <w:rPr>
          <w:rFonts w:asciiTheme="majorHAnsi" w:eastAsia="Calibri" w:hAnsiTheme="majorHAnsi" w:cstheme="majorHAnsi"/>
          <w:color w:val="000000" w:themeColor="text1"/>
          <w:sz w:val="22"/>
          <w:szCs w:val="22"/>
          <w:rtl/>
        </w:rPr>
      </w:pPr>
      <w:hyperlink r:id="rId32" w:history="1"/>
      <w:r w:rsidR="00E74BCC" w:rsidRPr="00833A3A">
        <w:rPr>
          <w:rFonts w:asciiTheme="majorHAnsi" w:eastAsia="Calibri" w:hAnsiTheme="majorHAnsi" w:cstheme="majorHAnsi"/>
          <w:color w:val="000000" w:themeColor="text1"/>
          <w:sz w:val="22"/>
          <w:szCs w:val="22"/>
          <w:lang w:bidi="ar-EG"/>
        </w:rPr>
        <w:t>Hudlicka</w:t>
      </w:r>
      <w:r w:rsidR="00E74BCC" w:rsidRPr="00833A3A">
        <w:rPr>
          <w:rFonts w:asciiTheme="majorHAnsi" w:eastAsia="Calibri" w:hAnsiTheme="majorHAnsi" w:cstheme="majorHAnsi"/>
          <w:color w:val="000000" w:themeColor="text1"/>
          <w:sz w:val="22"/>
          <w:szCs w:val="22"/>
        </w:rPr>
        <w:t xml:space="preserve">, E. (2005). Modeling Interactions between Metacognition and Emotion in a Cognitive Architecture. </w:t>
      </w:r>
      <w:r w:rsidR="00E74BCC" w:rsidRPr="00833A3A">
        <w:rPr>
          <w:rFonts w:asciiTheme="majorHAnsi" w:eastAsia="Calibri" w:hAnsiTheme="majorHAnsi" w:cstheme="majorHAnsi"/>
          <w:i/>
          <w:iCs/>
          <w:color w:val="000000" w:themeColor="text1"/>
          <w:sz w:val="22"/>
          <w:szCs w:val="22"/>
        </w:rPr>
        <w:t>AAAI Spring Symposium: Metacognition in Computation,</w:t>
      </w:r>
      <w:r w:rsidR="00E74BCC" w:rsidRPr="00833A3A">
        <w:rPr>
          <w:rFonts w:asciiTheme="majorHAnsi" w:eastAsia="Calibri" w:hAnsiTheme="majorHAnsi" w:cstheme="majorHAnsi"/>
          <w:color w:val="000000" w:themeColor="text1"/>
          <w:sz w:val="22"/>
          <w:szCs w:val="22"/>
        </w:rPr>
        <w:t xml:space="preserve"> 55-61</w:t>
      </w:r>
    </w:p>
    <w:p w14:paraId="621340EA" w14:textId="77777777" w:rsidR="00E74BCC" w:rsidRPr="00833A3A" w:rsidRDefault="00E74BCC" w:rsidP="00833A3A">
      <w:pPr>
        <w:spacing w:after="120"/>
        <w:ind w:left="426" w:hanging="426"/>
        <w:jc w:val="both"/>
        <w:rPr>
          <w:rFonts w:asciiTheme="majorHAnsi" w:eastAsia="Calibri" w:hAnsiTheme="majorHAnsi" w:cstheme="majorHAnsi"/>
          <w:kern w:val="2"/>
          <w:sz w:val="22"/>
          <w:szCs w:val="22"/>
          <w:lang w:bidi="ar-EG"/>
          <w14:ligatures w14:val="standardContextual"/>
        </w:rPr>
      </w:pPr>
      <w:r w:rsidRPr="00833A3A">
        <w:rPr>
          <w:rFonts w:asciiTheme="majorHAnsi" w:eastAsia="Calibri" w:hAnsiTheme="majorHAnsi" w:cstheme="majorHAnsi"/>
          <w:kern w:val="2"/>
          <w:sz w:val="22"/>
          <w:szCs w:val="22"/>
          <w14:ligatures w14:val="standardContextual"/>
        </w:rPr>
        <w:t xml:space="preserve">Innamorati, M., Quinto, R.M., Lester, D., Iani, L., Graceffa, D., &amp; Bonifati, C. (2018). Cognitive impairment in patients with psoriasis: A matched case-control study. </w:t>
      </w:r>
      <w:r w:rsidRPr="00833A3A">
        <w:rPr>
          <w:rFonts w:asciiTheme="majorHAnsi" w:eastAsia="Calibri" w:hAnsiTheme="majorHAnsi" w:cstheme="majorHAnsi"/>
          <w:i/>
          <w:iCs/>
          <w:kern w:val="2"/>
          <w:sz w:val="22"/>
          <w:szCs w:val="22"/>
          <w14:ligatures w14:val="standardContextual"/>
        </w:rPr>
        <w:t>Journal of Psychosomatic Research, 105</w:t>
      </w:r>
      <w:r w:rsidRPr="00833A3A">
        <w:rPr>
          <w:rFonts w:asciiTheme="majorHAnsi" w:eastAsia="Calibri" w:hAnsiTheme="majorHAnsi" w:cstheme="majorHAnsi"/>
          <w:kern w:val="2"/>
          <w:sz w:val="22"/>
          <w:szCs w:val="22"/>
          <w14:ligatures w14:val="standardContextual"/>
        </w:rPr>
        <w:t xml:space="preserve">, 99–105. </w:t>
      </w:r>
      <w:r w:rsidRPr="00833A3A">
        <w:rPr>
          <w:rFonts w:asciiTheme="majorHAnsi" w:hAnsiTheme="majorHAnsi" w:cstheme="majorHAnsi"/>
          <w:sz w:val="22"/>
          <w:szCs w:val="22"/>
        </w:rPr>
        <w:t xml:space="preserve"> </w:t>
      </w:r>
      <w:hyperlink r:id="rId33" w:history="1">
        <w:r w:rsidRPr="00833A3A">
          <w:rPr>
            <w:rStyle w:val="Hyperlink"/>
            <w:rFonts w:asciiTheme="majorHAnsi" w:eastAsia="Calibri" w:hAnsiTheme="majorHAnsi" w:cstheme="majorHAnsi"/>
            <w:kern w:val="2"/>
            <w:sz w:val="22"/>
            <w:szCs w:val="22"/>
            <w:lang w:bidi="ar-EG"/>
            <w14:ligatures w14:val="standardContextual"/>
          </w:rPr>
          <w:t>https://doi.org/10.1016/j.jpsychores.2017.12.011</w:t>
        </w:r>
      </w:hyperlink>
    </w:p>
    <w:p w14:paraId="17AE2FF2" w14:textId="77777777" w:rsidR="00E74BCC" w:rsidRPr="00833A3A" w:rsidRDefault="00E74BCC" w:rsidP="00833A3A">
      <w:pPr>
        <w:spacing w:after="120"/>
        <w:ind w:left="426" w:hanging="426"/>
        <w:jc w:val="both"/>
        <w:rPr>
          <w:rFonts w:asciiTheme="majorHAnsi" w:hAnsiTheme="majorHAnsi" w:cstheme="majorHAnsi"/>
          <w:sz w:val="22"/>
          <w:szCs w:val="22"/>
          <w:rtl/>
          <w:lang w:bidi="ar-EG"/>
        </w:rPr>
      </w:pPr>
      <w:r w:rsidRPr="00833A3A">
        <w:rPr>
          <w:rFonts w:asciiTheme="majorHAnsi" w:hAnsiTheme="majorHAnsi" w:cstheme="majorHAnsi"/>
          <w:sz w:val="22"/>
          <w:szCs w:val="22"/>
        </w:rPr>
        <w:t xml:space="preserve">Ivan, F., Federica, B., &amp; Antonella, T. (2013). The Association between alexithymia and impoverishment of dreaming: An empirical research among undergraduate students. </w:t>
      </w:r>
      <w:r w:rsidRPr="00833A3A">
        <w:rPr>
          <w:rFonts w:asciiTheme="majorHAnsi" w:hAnsiTheme="majorHAnsi" w:cstheme="majorHAnsi"/>
          <w:i/>
          <w:iCs/>
          <w:sz w:val="22"/>
          <w:szCs w:val="22"/>
        </w:rPr>
        <w:t>Mediterranean Journal of Clinical Psychology, 1</w:t>
      </w:r>
      <w:r w:rsidRPr="00833A3A">
        <w:rPr>
          <w:rFonts w:asciiTheme="majorHAnsi" w:hAnsiTheme="majorHAnsi" w:cstheme="majorHAnsi"/>
          <w:sz w:val="22"/>
          <w:szCs w:val="22"/>
        </w:rPr>
        <w:t xml:space="preserve">(2), 1-13. </w:t>
      </w:r>
      <w:hyperlink r:id="rId34" w:history="1">
        <w:r w:rsidRPr="00833A3A">
          <w:rPr>
            <w:rStyle w:val="Hyperlink"/>
            <w:rFonts w:asciiTheme="majorHAnsi" w:hAnsiTheme="majorHAnsi" w:cstheme="majorHAnsi"/>
            <w:sz w:val="22"/>
            <w:szCs w:val="22"/>
          </w:rPr>
          <w:t>https://doi.org/10.6092/2282-1619/2013.2.919</w:t>
        </w:r>
      </w:hyperlink>
    </w:p>
    <w:p w14:paraId="10720FB7" w14:textId="77777777" w:rsidR="00E74BCC" w:rsidRPr="00833A3A" w:rsidRDefault="00E74BCC" w:rsidP="00833A3A">
      <w:pPr>
        <w:spacing w:after="120"/>
        <w:ind w:left="426" w:hanging="426"/>
        <w:jc w:val="both"/>
        <w:rPr>
          <w:rFonts w:asciiTheme="majorHAnsi" w:hAnsiTheme="majorHAnsi" w:cstheme="majorHAnsi"/>
          <w:sz w:val="22"/>
          <w:szCs w:val="22"/>
          <w:u w:val="single"/>
        </w:rPr>
      </w:pPr>
      <w:r w:rsidRPr="00833A3A">
        <w:rPr>
          <w:rFonts w:asciiTheme="majorHAnsi" w:hAnsiTheme="majorHAnsi" w:cstheme="majorHAnsi"/>
          <w:sz w:val="22"/>
          <w:szCs w:val="22"/>
        </w:rPr>
        <w:t xml:space="preserve">Jacobs, J. E., &amp; Paris, S. G. (1987). Children’s metacognition about reading: Issues in definition, measurement, and instruction. </w:t>
      </w:r>
      <w:r w:rsidRPr="00833A3A">
        <w:rPr>
          <w:rFonts w:asciiTheme="majorHAnsi" w:hAnsiTheme="majorHAnsi" w:cstheme="majorHAnsi"/>
          <w:i/>
          <w:iCs/>
          <w:sz w:val="22"/>
          <w:szCs w:val="22"/>
        </w:rPr>
        <w:t>Educational Psychologist, 22</w:t>
      </w:r>
      <w:r w:rsidRPr="00833A3A">
        <w:rPr>
          <w:rFonts w:asciiTheme="majorHAnsi" w:hAnsiTheme="majorHAnsi" w:cstheme="majorHAnsi"/>
          <w:sz w:val="22"/>
          <w:szCs w:val="22"/>
        </w:rPr>
        <w:t xml:space="preserve">(4), 225-278. </w:t>
      </w:r>
      <w:hyperlink r:id="rId35" w:history="1">
        <w:r w:rsidRPr="00833A3A">
          <w:rPr>
            <w:rStyle w:val="Hyperlink"/>
            <w:rFonts w:asciiTheme="majorHAnsi" w:hAnsiTheme="majorHAnsi" w:cstheme="majorHAnsi"/>
            <w:sz w:val="22"/>
            <w:szCs w:val="22"/>
          </w:rPr>
          <w:t>https://doi.org/10.1080/00461520.1987.9653052</w:t>
        </w:r>
      </w:hyperlink>
    </w:p>
    <w:p w14:paraId="02D186D2" w14:textId="77777777" w:rsidR="00E74BCC" w:rsidRPr="00833A3A" w:rsidRDefault="00E74BCC" w:rsidP="00833A3A">
      <w:pPr>
        <w:tabs>
          <w:tab w:val="right" w:pos="836"/>
        </w:tabs>
        <w:spacing w:after="200"/>
        <w:ind w:left="566" w:hanging="540"/>
        <w:jc w:val="both"/>
        <w:rPr>
          <w:rFonts w:asciiTheme="majorHAnsi" w:eastAsia="Calibri" w:hAnsiTheme="majorHAnsi" w:cstheme="majorHAnsi"/>
          <w:color w:val="000000" w:themeColor="text1"/>
          <w:sz w:val="22"/>
          <w:szCs w:val="22"/>
          <w:u w:val="single"/>
          <w:rtl/>
        </w:rPr>
      </w:pPr>
      <w:r w:rsidRPr="00833A3A">
        <w:rPr>
          <w:rFonts w:asciiTheme="majorHAnsi" w:eastAsia="Calibri" w:hAnsiTheme="majorHAnsi" w:cstheme="majorHAnsi"/>
          <w:color w:val="000000" w:themeColor="text1"/>
          <w:sz w:val="22"/>
          <w:szCs w:val="22"/>
          <w:lang w:bidi="ar-EG"/>
        </w:rPr>
        <w:t xml:space="preserve">Jessimer, M. &amp; Markham, R. (1997). Alexithymia: A Right Hemisphere Dysfunction Specific to the Recognition of Certain Facial Expressions?. </w:t>
      </w:r>
      <w:r w:rsidRPr="00833A3A">
        <w:rPr>
          <w:rFonts w:asciiTheme="majorHAnsi" w:eastAsia="Calibri" w:hAnsiTheme="majorHAnsi" w:cstheme="majorHAnsi"/>
          <w:i/>
          <w:iCs/>
          <w:color w:val="000000" w:themeColor="text1"/>
          <w:sz w:val="22"/>
          <w:szCs w:val="22"/>
          <w:lang w:bidi="ar-EG"/>
        </w:rPr>
        <w:t xml:space="preserve">Brain and Cognition, 34 </w:t>
      </w:r>
      <w:r w:rsidRPr="00833A3A">
        <w:rPr>
          <w:rFonts w:asciiTheme="majorHAnsi" w:eastAsia="Calibri" w:hAnsiTheme="majorHAnsi" w:cstheme="majorHAnsi"/>
          <w:color w:val="000000" w:themeColor="text1"/>
          <w:sz w:val="22"/>
          <w:szCs w:val="22"/>
          <w:lang w:bidi="ar-EG"/>
        </w:rPr>
        <w:t>(2), 246-258</w:t>
      </w:r>
      <w:r w:rsidRPr="00833A3A">
        <w:rPr>
          <w:rStyle w:val="Hyperlink"/>
          <w:rFonts w:asciiTheme="majorHAnsi" w:hAnsiTheme="majorHAnsi" w:cstheme="majorHAnsi"/>
          <w:sz w:val="22"/>
          <w:szCs w:val="22"/>
        </w:rPr>
        <w:t xml:space="preserve">. </w:t>
      </w:r>
      <w:hyperlink r:id="rId36" w:tgtFrame="_blank" w:tooltip="Persistent link using digital object identifier" w:history="1">
        <w:r w:rsidRPr="00833A3A">
          <w:rPr>
            <w:rStyle w:val="Hyperlink"/>
            <w:rFonts w:asciiTheme="majorHAnsi" w:hAnsiTheme="majorHAnsi" w:cstheme="majorHAnsi"/>
            <w:sz w:val="22"/>
            <w:szCs w:val="22"/>
          </w:rPr>
          <w:t>https://doi.org/10.1006/brcg.1997.0900</w:t>
        </w:r>
      </w:hyperlink>
    </w:p>
    <w:p w14:paraId="3B2DE7A1" w14:textId="77777777" w:rsidR="00E74BCC" w:rsidRPr="00833A3A" w:rsidRDefault="00E74BCC" w:rsidP="00833A3A">
      <w:pPr>
        <w:spacing w:after="120"/>
        <w:ind w:left="426" w:hanging="426"/>
        <w:jc w:val="both"/>
        <w:rPr>
          <w:rFonts w:asciiTheme="majorHAnsi" w:hAnsiTheme="majorHAnsi" w:cstheme="majorHAnsi"/>
          <w:sz w:val="22"/>
          <w:szCs w:val="22"/>
          <w:rtl/>
          <w:lang w:bidi="ar-EG"/>
        </w:rPr>
      </w:pPr>
      <w:r w:rsidRPr="00833A3A">
        <w:rPr>
          <w:rFonts w:asciiTheme="majorHAnsi" w:hAnsiTheme="majorHAnsi" w:cstheme="majorHAnsi"/>
          <w:sz w:val="22"/>
          <w:szCs w:val="22"/>
        </w:rPr>
        <w:t xml:space="preserve">Karbasdehi, E., Abolghasem, A. &amp; karbasdehi,F.(2018).Alexithymia and Personality Factors Among Students With and Without Autism Spectrum Disorder. </w:t>
      </w:r>
      <w:r w:rsidRPr="00833A3A">
        <w:rPr>
          <w:rFonts w:asciiTheme="majorHAnsi" w:hAnsiTheme="majorHAnsi" w:cstheme="majorHAnsi"/>
          <w:i/>
          <w:iCs/>
          <w:sz w:val="22"/>
          <w:szCs w:val="22"/>
        </w:rPr>
        <w:t>Iranian Rehabilitation Journal, 16</w:t>
      </w:r>
      <w:r w:rsidRPr="00833A3A">
        <w:rPr>
          <w:rFonts w:asciiTheme="majorHAnsi" w:hAnsiTheme="majorHAnsi" w:cstheme="majorHAnsi"/>
          <w:sz w:val="22"/>
          <w:szCs w:val="22"/>
        </w:rPr>
        <w:t xml:space="preserve">(1), 77-82. </w:t>
      </w:r>
      <w:hyperlink r:id="rId37" w:history="1">
        <w:r w:rsidRPr="00833A3A">
          <w:rPr>
            <w:rStyle w:val="Hyperlink"/>
            <w:rFonts w:asciiTheme="majorHAnsi" w:hAnsiTheme="majorHAnsi" w:cstheme="majorHAnsi"/>
            <w:sz w:val="22"/>
            <w:szCs w:val="22"/>
          </w:rPr>
          <w:t>https://doi.org/10.29252/nrip.irj.16.1.77</w:t>
        </w:r>
      </w:hyperlink>
    </w:p>
    <w:p w14:paraId="6B1BCDF3" w14:textId="77777777" w:rsidR="00E74BCC" w:rsidRPr="00833A3A" w:rsidRDefault="00E74BCC" w:rsidP="00833A3A">
      <w:pPr>
        <w:spacing w:after="120"/>
        <w:ind w:left="426" w:hanging="426"/>
        <w:jc w:val="both"/>
        <w:rPr>
          <w:rFonts w:asciiTheme="majorHAnsi" w:hAnsiTheme="majorHAnsi" w:cstheme="majorHAnsi"/>
          <w:sz w:val="22"/>
          <w:szCs w:val="22"/>
        </w:rPr>
      </w:pPr>
      <w:r w:rsidRPr="00833A3A">
        <w:rPr>
          <w:rFonts w:asciiTheme="majorHAnsi" w:hAnsiTheme="majorHAnsi" w:cstheme="majorHAnsi"/>
          <w:sz w:val="22"/>
          <w:szCs w:val="22"/>
        </w:rPr>
        <w:t xml:space="preserve">Kleitman, S., &amp; Stankov, L. (2007). Self-confidence and metacognitive processes. </w:t>
      </w:r>
      <w:r w:rsidRPr="00833A3A">
        <w:rPr>
          <w:rFonts w:asciiTheme="majorHAnsi" w:hAnsiTheme="majorHAnsi" w:cstheme="majorHAnsi"/>
          <w:i/>
          <w:iCs/>
          <w:sz w:val="22"/>
          <w:szCs w:val="22"/>
        </w:rPr>
        <w:t>Learning and Individual Differences, 17</w:t>
      </w:r>
      <w:r w:rsidRPr="00833A3A">
        <w:rPr>
          <w:rFonts w:asciiTheme="majorHAnsi" w:hAnsiTheme="majorHAnsi" w:cstheme="majorHAnsi"/>
          <w:sz w:val="22"/>
          <w:szCs w:val="22"/>
        </w:rPr>
        <w:t xml:space="preserve">, 161-173. </w:t>
      </w:r>
      <w:hyperlink r:id="rId38" w:history="1">
        <w:r w:rsidRPr="00833A3A">
          <w:rPr>
            <w:rStyle w:val="Hyperlink"/>
            <w:rFonts w:asciiTheme="majorHAnsi" w:hAnsiTheme="majorHAnsi" w:cstheme="majorHAnsi"/>
            <w:sz w:val="22"/>
            <w:szCs w:val="22"/>
          </w:rPr>
          <w:t>https://doi.org/10.1016/j.lindif.2007.03.004</w:t>
        </w:r>
      </w:hyperlink>
    </w:p>
    <w:p w14:paraId="24B8D88B" w14:textId="77777777" w:rsidR="00E74BCC" w:rsidRPr="00833A3A" w:rsidRDefault="00E74BCC" w:rsidP="00833A3A">
      <w:pPr>
        <w:spacing w:after="120"/>
        <w:ind w:left="426" w:hanging="426"/>
        <w:jc w:val="both"/>
        <w:rPr>
          <w:rFonts w:asciiTheme="majorHAnsi" w:hAnsiTheme="majorHAnsi" w:cstheme="majorHAnsi"/>
          <w:sz w:val="22"/>
          <w:szCs w:val="22"/>
          <w:rtl/>
          <w:lang w:bidi="ar-EG"/>
        </w:rPr>
      </w:pPr>
      <w:r w:rsidRPr="00833A3A">
        <w:rPr>
          <w:rFonts w:asciiTheme="majorHAnsi" w:hAnsiTheme="majorHAnsi" w:cstheme="majorHAnsi"/>
          <w:sz w:val="22"/>
          <w:szCs w:val="22"/>
        </w:rPr>
        <w:t xml:space="preserve">Koulianou, M., &amp; Samartzi, S. (2018). Greek teachers’ metacognitive awareness on reading strategies. </w:t>
      </w:r>
      <w:r w:rsidRPr="00833A3A">
        <w:rPr>
          <w:rFonts w:asciiTheme="majorHAnsi" w:hAnsiTheme="majorHAnsi" w:cstheme="majorHAnsi"/>
          <w:i/>
          <w:iCs/>
          <w:sz w:val="22"/>
          <w:szCs w:val="22"/>
        </w:rPr>
        <w:t>New Trends and Issues Proceedings on Humanities and Social Sciences, 5</w:t>
      </w:r>
      <w:r w:rsidRPr="00833A3A">
        <w:rPr>
          <w:rFonts w:asciiTheme="majorHAnsi" w:hAnsiTheme="majorHAnsi" w:cstheme="majorHAnsi"/>
          <w:sz w:val="22"/>
          <w:szCs w:val="22"/>
        </w:rPr>
        <w:t xml:space="preserve">(1), 68– 74. </w:t>
      </w:r>
      <w:hyperlink r:id="rId39" w:history="1">
        <w:r w:rsidRPr="00833A3A">
          <w:rPr>
            <w:rStyle w:val="Hyperlink"/>
            <w:rFonts w:asciiTheme="majorHAnsi" w:hAnsiTheme="majorHAnsi" w:cstheme="majorHAnsi"/>
            <w:sz w:val="22"/>
            <w:szCs w:val="22"/>
          </w:rPr>
          <w:t>https://doi.org/10.18844/prosoc.v5i1.3384</w:t>
        </w:r>
      </w:hyperlink>
    </w:p>
    <w:p w14:paraId="62580A4F" w14:textId="77777777" w:rsidR="00E74BCC" w:rsidRPr="00833A3A" w:rsidRDefault="00E74BCC" w:rsidP="00833A3A">
      <w:pPr>
        <w:spacing w:after="120"/>
        <w:ind w:left="426" w:hanging="426"/>
        <w:jc w:val="both"/>
        <w:rPr>
          <w:rFonts w:asciiTheme="majorHAnsi" w:hAnsiTheme="majorHAnsi" w:cstheme="majorHAnsi"/>
          <w:sz w:val="22"/>
          <w:szCs w:val="22"/>
          <w:u w:val="single"/>
        </w:rPr>
      </w:pPr>
      <w:r w:rsidRPr="00833A3A">
        <w:rPr>
          <w:rFonts w:asciiTheme="majorHAnsi" w:hAnsiTheme="majorHAnsi" w:cstheme="majorHAnsi"/>
          <w:sz w:val="22"/>
          <w:szCs w:val="22"/>
        </w:rPr>
        <w:t xml:space="preserve">Larsen, J., Brand, N., Bermond, B., &amp; Hijman, R. (2003). Cognitive and emotional characteristics of alexithymia: A review of neurobiological studies. </w:t>
      </w:r>
      <w:r w:rsidRPr="00833A3A">
        <w:rPr>
          <w:rFonts w:asciiTheme="majorHAnsi" w:hAnsiTheme="majorHAnsi" w:cstheme="majorHAnsi"/>
          <w:i/>
          <w:iCs/>
          <w:sz w:val="22"/>
          <w:szCs w:val="22"/>
        </w:rPr>
        <w:t>Journal of Psychosomatic Research, 54</w:t>
      </w:r>
      <w:r w:rsidRPr="00833A3A">
        <w:rPr>
          <w:rFonts w:asciiTheme="majorHAnsi" w:hAnsiTheme="majorHAnsi" w:cstheme="majorHAnsi"/>
          <w:sz w:val="22"/>
          <w:szCs w:val="22"/>
        </w:rPr>
        <w:t xml:space="preserve">(6), 533-541. </w:t>
      </w:r>
      <w:hyperlink r:id="rId40" w:history="1">
        <w:r w:rsidRPr="00833A3A">
          <w:rPr>
            <w:rStyle w:val="Hyperlink"/>
            <w:rFonts w:asciiTheme="majorHAnsi" w:hAnsiTheme="majorHAnsi" w:cstheme="majorHAnsi"/>
            <w:sz w:val="22"/>
            <w:szCs w:val="22"/>
          </w:rPr>
          <w:t>https://doi.org/10.1016/S0022-3999(02)00466-X</w:t>
        </w:r>
      </w:hyperlink>
    </w:p>
    <w:p w14:paraId="66907348" w14:textId="77777777" w:rsidR="00E74BCC" w:rsidRPr="00833A3A" w:rsidRDefault="00E74BCC" w:rsidP="00833A3A">
      <w:pPr>
        <w:spacing w:after="120"/>
        <w:ind w:left="426" w:hanging="426"/>
        <w:jc w:val="both"/>
        <w:rPr>
          <w:rFonts w:asciiTheme="majorHAnsi" w:eastAsia="Calibri" w:hAnsiTheme="majorHAnsi" w:cstheme="majorHAnsi"/>
          <w:sz w:val="22"/>
          <w:szCs w:val="22"/>
        </w:rPr>
      </w:pPr>
      <w:r w:rsidRPr="00833A3A">
        <w:rPr>
          <w:rFonts w:asciiTheme="majorHAnsi" w:eastAsia="Calibri" w:hAnsiTheme="majorHAnsi" w:cstheme="majorHAnsi"/>
          <w:kern w:val="2"/>
          <w:sz w:val="22"/>
          <w:szCs w:val="22"/>
          <w14:ligatures w14:val="standardContextual"/>
        </w:rPr>
        <w:t xml:space="preserve">Leweke, F., Leichsenring, F., Kruse, J. &amp; Hermes, S. (2011). Is Alexithymia Associated with Specific Mental Disorders. </w:t>
      </w:r>
      <w:r w:rsidRPr="00833A3A">
        <w:rPr>
          <w:rFonts w:asciiTheme="majorHAnsi" w:eastAsia="Calibri" w:hAnsiTheme="majorHAnsi" w:cstheme="majorHAnsi"/>
          <w:i/>
          <w:iCs/>
          <w:kern w:val="2"/>
          <w:sz w:val="22"/>
          <w:szCs w:val="22"/>
          <w14:ligatures w14:val="standardContextual"/>
        </w:rPr>
        <w:t>Psychopathology, 45</w:t>
      </w:r>
      <w:r w:rsidRPr="00833A3A">
        <w:rPr>
          <w:rFonts w:asciiTheme="majorHAnsi" w:eastAsia="Calibri" w:hAnsiTheme="majorHAnsi" w:cstheme="majorHAnsi"/>
          <w:kern w:val="2"/>
          <w:sz w:val="22"/>
          <w:szCs w:val="22"/>
          <w14:ligatures w14:val="standardContextual"/>
        </w:rPr>
        <w:t xml:space="preserve">(1): 22–28. </w:t>
      </w:r>
      <w:hyperlink r:id="rId41" w:history="1">
        <w:r w:rsidRPr="00833A3A">
          <w:rPr>
            <w:rFonts w:asciiTheme="majorHAnsi" w:eastAsia="Calibri" w:hAnsiTheme="majorHAnsi" w:cstheme="majorHAnsi"/>
            <w:color w:val="0563C1"/>
            <w:kern w:val="2"/>
            <w:sz w:val="22"/>
            <w:szCs w:val="22"/>
            <w:u w:val="single"/>
            <w14:ligatures w14:val="standardContextual"/>
          </w:rPr>
          <w:t>https://doi.org/10.1159/000325170</w:t>
        </w:r>
      </w:hyperlink>
    </w:p>
    <w:p w14:paraId="4EA3714A" w14:textId="77777777" w:rsidR="00E74BCC" w:rsidRPr="00833A3A" w:rsidRDefault="00E74BCC" w:rsidP="00833A3A">
      <w:pPr>
        <w:spacing w:after="120"/>
        <w:ind w:left="426" w:hanging="426"/>
        <w:jc w:val="both"/>
        <w:rPr>
          <w:rFonts w:asciiTheme="majorHAnsi" w:eastAsia="Calibri" w:hAnsiTheme="majorHAnsi" w:cstheme="majorHAnsi"/>
          <w:kern w:val="2"/>
          <w:sz w:val="22"/>
          <w:szCs w:val="22"/>
          <w:lang w:bidi="ar-EG"/>
          <w14:ligatures w14:val="standardContextual"/>
        </w:rPr>
      </w:pPr>
      <w:r w:rsidRPr="00833A3A">
        <w:rPr>
          <w:rFonts w:asciiTheme="majorHAnsi" w:eastAsia="Calibri" w:hAnsiTheme="majorHAnsi" w:cstheme="majorHAnsi"/>
          <w:kern w:val="2"/>
          <w:sz w:val="22"/>
          <w:szCs w:val="22"/>
          <w:lang w:bidi="ar-EG"/>
          <w14:ligatures w14:val="standardContextual"/>
        </w:rPr>
        <w:t>Li ,Y., Tang ,J.,  Ma , X.,  Zhang , X.,  Xue ,Y., &amp; Zhao, X. (2023). Impact of Metacognition on Health-Related Behavior: A Mediation Model Study.</w:t>
      </w:r>
      <w:r w:rsidRPr="00833A3A">
        <w:rPr>
          <w:rFonts w:asciiTheme="majorHAnsi" w:eastAsia="Calibri" w:hAnsiTheme="majorHAnsi" w:cstheme="majorHAnsi"/>
          <w:i/>
          <w:iCs/>
          <w:kern w:val="2"/>
          <w:sz w:val="22"/>
          <w:szCs w:val="22"/>
          <w:lang w:bidi="ar-EG"/>
          <w14:ligatures w14:val="standardContextual"/>
        </w:rPr>
        <w:t xml:space="preserve"> Journal of Environmental and Public Health, Volume 2023</w:t>
      </w:r>
      <w:r w:rsidRPr="00833A3A">
        <w:rPr>
          <w:rFonts w:asciiTheme="majorHAnsi" w:eastAsia="Calibri" w:hAnsiTheme="majorHAnsi" w:cstheme="majorHAnsi"/>
          <w:kern w:val="2"/>
          <w:sz w:val="22"/>
          <w:szCs w:val="22"/>
          <w:lang w:bidi="ar-EG"/>
          <w14:ligatures w14:val="standardContextual"/>
        </w:rPr>
        <w:t xml:space="preserve">, Article ID 6547804, 8 pages. </w:t>
      </w:r>
      <w:hyperlink r:id="rId42" w:history="1">
        <w:r w:rsidRPr="00833A3A">
          <w:rPr>
            <w:rStyle w:val="Hyperlink"/>
            <w:rFonts w:asciiTheme="majorHAnsi" w:eastAsia="Calibri" w:hAnsiTheme="majorHAnsi" w:cstheme="majorHAnsi"/>
            <w:kern w:val="2"/>
            <w:sz w:val="22"/>
            <w:szCs w:val="22"/>
            <w:lang w:bidi="ar-EG"/>
            <w14:ligatures w14:val="standardContextual"/>
          </w:rPr>
          <w:t>https://doi.org/10.1155/2023/6547804</w:t>
        </w:r>
      </w:hyperlink>
    </w:p>
    <w:p w14:paraId="6F3DFF71" w14:textId="77777777" w:rsidR="00E74BCC" w:rsidRPr="00833A3A" w:rsidRDefault="00E74BCC" w:rsidP="00833A3A">
      <w:pPr>
        <w:spacing w:after="120"/>
        <w:ind w:left="426" w:hanging="426"/>
        <w:jc w:val="both"/>
        <w:rPr>
          <w:rFonts w:asciiTheme="majorHAnsi" w:hAnsiTheme="majorHAnsi" w:cstheme="majorHAnsi"/>
          <w:sz w:val="22"/>
          <w:szCs w:val="22"/>
          <w:u w:val="single"/>
        </w:rPr>
      </w:pPr>
      <w:r w:rsidRPr="00833A3A">
        <w:rPr>
          <w:rFonts w:asciiTheme="majorHAnsi" w:hAnsiTheme="majorHAnsi" w:cstheme="majorHAnsi"/>
          <w:sz w:val="22"/>
          <w:szCs w:val="22"/>
        </w:rPr>
        <w:t xml:space="preserve">Luo, H., Zhao, Y., Hong, J., Wang, H., Zhang, X. &amp; Tan, S. (2022). Effect of alexithymia on internet addiction among College Students: The mediating role of metacognition beliefs. </w:t>
      </w:r>
      <w:r w:rsidRPr="00833A3A">
        <w:rPr>
          <w:rFonts w:asciiTheme="majorHAnsi" w:hAnsiTheme="majorHAnsi" w:cstheme="majorHAnsi"/>
          <w:i/>
          <w:iCs/>
          <w:sz w:val="22"/>
          <w:szCs w:val="22"/>
        </w:rPr>
        <w:t>Frontiers in Psychology, 12,</w:t>
      </w:r>
      <w:r w:rsidRPr="00833A3A">
        <w:rPr>
          <w:rFonts w:asciiTheme="majorHAnsi" w:hAnsiTheme="majorHAnsi" w:cstheme="majorHAnsi"/>
          <w:sz w:val="22"/>
          <w:szCs w:val="22"/>
        </w:rPr>
        <w:t xml:space="preserve"> Article 788458. </w:t>
      </w:r>
      <w:hyperlink r:id="rId43" w:history="1">
        <w:r w:rsidRPr="00833A3A">
          <w:rPr>
            <w:rStyle w:val="Hyperlink"/>
            <w:rFonts w:asciiTheme="majorHAnsi" w:hAnsiTheme="majorHAnsi" w:cstheme="majorHAnsi"/>
            <w:sz w:val="22"/>
            <w:szCs w:val="22"/>
          </w:rPr>
          <w:t>https://doi.org/10.3389/fpsyg.2021.788458</w:t>
        </w:r>
      </w:hyperlink>
    </w:p>
    <w:p w14:paraId="387D90E8" w14:textId="77777777" w:rsidR="00E74BCC" w:rsidRPr="00833A3A" w:rsidRDefault="00E74BCC" w:rsidP="00833A3A">
      <w:pPr>
        <w:spacing w:after="120"/>
        <w:ind w:left="426" w:hanging="426"/>
        <w:jc w:val="both"/>
        <w:rPr>
          <w:rFonts w:asciiTheme="majorHAnsi" w:hAnsiTheme="majorHAnsi" w:cstheme="majorHAnsi"/>
          <w:sz w:val="22"/>
          <w:szCs w:val="22"/>
          <w:u w:val="single"/>
          <w:rtl/>
          <w:lang w:bidi="ar-EG"/>
        </w:rPr>
      </w:pPr>
      <w:r w:rsidRPr="00833A3A">
        <w:rPr>
          <w:rFonts w:asciiTheme="majorHAnsi" w:hAnsiTheme="majorHAnsi" w:cstheme="majorHAnsi"/>
          <w:sz w:val="22"/>
          <w:szCs w:val="22"/>
        </w:rPr>
        <w:t xml:space="preserve">Mahasneh, A. M. (2014). Investigating the relationship between emotional intelligence and meta-cognition among Hashemite University students. </w:t>
      </w:r>
      <w:r w:rsidRPr="00833A3A">
        <w:rPr>
          <w:rFonts w:asciiTheme="majorHAnsi" w:hAnsiTheme="majorHAnsi" w:cstheme="majorHAnsi"/>
          <w:i/>
          <w:iCs/>
          <w:sz w:val="22"/>
          <w:szCs w:val="22"/>
        </w:rPr>
        <w:t>Review of European Studies, 6</w:t>
      </w:r>
      <w:r w:rsidRPr="00833A3A">
        <w:rPr>
          <w:rFonts w:asciiTheme="majorHAnsi" w:hAnsiTheme="majorHAnsi" w:cstheme="majorHAnsi"/>
          <w:sz w:val="22"/>
          <w:szCs w:val="22"/>
        </w:rPr>
        <w:t>(4), Article 201</w:t>
      </w:r>
      <w:r w:rsidRPr="00833A3A">
        <w:rPr>
          <w:rFonts w:asciiTheme="majorHAnsi" w:hAnsiTheme="majorHAnsi" w:cstheme="majorHAnsi"/>
          <w:sz w:val="22"/>
          <w:szCs w:val="22"/>
          <w:u w:val="single"/>
        </w:rPr>
        <w:t xml:space="preserve">. </w:t>
      </w:r>
      <w:hyperlink r:id="rId44" w:history="1">
        <w:r w:rsidRPr="00833A3A">
          <w:rPr>
            <w:rStyle w:val="Hyperlink"/>
            <w:rFonts w:asciiTheme="majorHAnsi" w:hAnsiTheme="majorHAnsi" w:cstheme="majorHAnsi"/>
            <w:sz w:val="22"/>
            <w:szCs w:val="22"/>
          </w:rPr>
          <w:t>http://dx.doi.org/10.5539/res.v6n4p201</w:t>
        </w:r>
      </w:hyperlink>
    </w:p>
    <w:p w14:paraId="442CDBB0" w14:textId="77777777" w:rsidR="00E74BCC" w:rsidRPr="00833A3A" w:rsidRDefault="00E74BCC" w:rsidP="00833A3A">
      <w:pPr>
        <w:spacing w:after="120"/>
        <w:ind w:left="426" w:hanging="426"/>
        <w:jc w:val="both"/>
        <w:rPr>
          <w:rFonts w:asciiTheme="majorHAnsi" w:hAnsiTheme="majorHAnsi" w:cstheme="majorHAnsi"/>
          <w:sz w:val="22"/>
          <w:szCs w:val="22"/>
        </w:rPr>
      </w:pPr>
      <w:r w:rsidRPr="00833A3A">
        <w:rPr>
          <w:rFonts w:asciiTheme="majorHAnsi" w:hAnsiTheme="majorHAnsi" w:cstheme="majorHAnsi"/>
          <w:sz w:val="22"/>
          <w:szCs w:val="22"/>
        </w:rPr>
        <w:t xml:space="preserve">Melli,G., Carraresi, C., Poli, A. &amp; Bailey, R. (2016). The role of  metacognitive beliefs in health anxiety. </w:t>
      </w:r>
      <w:r w:rsidRPr="00833A3A">
        <w:rPr>
          <w:rFonts w:asciiTheme="majorHAnsi" w:hAnsiTheme="majorHAnsi" w:cstheme="majorHAnsi"/>
          <w:i/>
          <w:iCs/>
          <w:sz w:val="22"/>
          <w:szCs w:val="22"/>
        </w:rPr>
        <w:t>Personality and Individual Differences, 89</w:t>
      </w:r>
      <w:r w:rsidRPr="00833A3A">
        <w:rPr>
          <w:rFonts w:asciiTheme="majorHAnsi" w:hAnsiTheme="majorHAnsi" w:cstheme="majorHAnsi"/>
          <w:sz w:val="22"/>
          <w:szCs w:val="22"/>
        </w:rPr>
        <w:t xml:space="preserve">, 80–85. </w:t>
      </w:r>
      <w:hyperlink r:id="rId45" w:history="1">
        <w:r w:rsidRPr="00833A3A">
          <w:rPr>
            <w:rStyle w:val="Hyperlink"/>
            <w:rFonts w:asciiTheme="majorHAnsi" w:hAnsiTheme="majorHAnsi" w:cstheme="majorHAnsi"/>
            <w:sz w:val="22"/>
            <w:szCs w:val="22"/>
          </w:rPr>
          <w:t>https://doi.org/10.1016/j.paid.2015.10.006</w:t>
        </w:r>
      </w:hyperlink>
    </w:p>
    <w:p w14:paraId="07F4CCC0" w14:textId="77777777" w:rsidR="00E74BCC" w:rsidRPr="00833A3A" w:rsidRDefault="00E74BCC" w:rsidP="00833A3A">
      <w:pPr>
        <w:spacing w:after="120"/>
        <w:ind w:left="426" w:hanging="426"/>
        <w:jc w:val="both"/>
        <w:rPr>
          <w:rFonts w:asciiTheme="majorHAnsi" w:hAnsiTheme="majorHAnsi" w:cstheme="majorHAnsi"/>
          <w:sz w:val="22"/>
          <w:szCs w:val="22"/>
        </w:rPr>
      </w:pPr>
      <w:r w:rsidRPr="00833A3A">
        <w:rPr>
          <w:rFonts w:asciiTheme="majorHAnsi" w:hAnsiTheme="majorHAnsi" w:cstheme="majorHAnsi"/>
          <w:sz w:val="22"/>
          <w:szCs w:val="22"/>
        </w:rPr>
        <w:lastRenderedPageBreak/>
        <w:t xml:space="preserve">Messina, A., Beadle, J. &amp; Paradiso, S. (2014). Toward a classification of alexithymia: Primary, secondary and organic. </w:t>
      </w:r>
      <w:r w:rsidRPr="00833A3A">
        <w:rPr>
          <w:rFonts w:asciiTheme="majorHAnsi" w:hAnsiTheme="majorHAnsi" w:cstheme="majorHAnsi"/>
          <w:i/>
          <w:iCs/>
          <w:sz w:val="22"/>
          <w:szCs w:val="22"/>
        </w:rPr>
        <w:t>Journal of Psychopathology, 20</w:t>
      </w:r>
      <w:r w:rsidRPr="00833A3A">
        <w:rPr>
          <w:rFonts w:asciiTheme="majorHAnsi" w:hAnsiTheme="majorHAnsi" w:cstheme="majorHAnsi"/>
          <w:sz w:val="22"/>
          <w:szCs w:val="22"/>
        </w:rPr>
        <w:t>, 38-49.</w:t>
      </w:r>
    </w:p>
    <w:p w14:paraId="555FA51C" w14:textId="77777777" w:rsidR="00E74BCC" w:rsidRPr="00833A3A" w:rsidRDefault="00E74BCC" w:rsidP="00833A3A">
      <w:pPr>
        <w:spacing w:after="120"/>
        <w:ind w:left="426" w:hanging="426"/>
        <w:jc w:val="both"/>
        <w:rPr>
          <w:rFonts w:asciiTheme="majorHAnsi" w:hAnsiTheme="majorHAnsi" w:cstheme="majorHAnsi"/>
          <w:sz w:val="22"/>
          <w:szCs w:val="22"/>
        </w:rPr>
      </w:pPr>
      <w:r w:rsidRPr="00833A3A">
        <w:rPr>
          <w:rFonts w:asciiTheme="majorHAnsi" w:hAnsiTheme="majorHAnsi" w:cstheme="majorHAnsi"/>
          <w:sz w:val="22"/>
          <w:szCs w:val="22"/>
        </w:rPr>
        <w:t xml:space="preserve">Mohamed, B. &amp; Ahmed, M. (2022). Emotional intelligence, alexithymia and ideation among depressive patients. </w:t>
      </w:r>
      <w:r w:rsidRPr="00833A3A">
        <w:rPr>
          <w:rFonts w:asciiTheme="majorHAnsi" w:hAnsiTheme="majorHAnsi" w:cstheme="majorHAnsi"/>
          <w:i/>
          <w:iCs/>
          <w:sz w:val="22"/>
          <w:szCs w:val="22"/>
        </w:rPr>
        <w:t>Archives of Psychiatric Nursing, 37</w:t>
      </w:r>
      <w:r w:rsidRPr="00833A3A">
        <w:rPr>
          <w:rFonts w:asciiTheme="majorHAnsi" w:hAnsiTheme="majorHAnsi" w:cstheme="majorHAnsi"/>
          <w:sz w:val="22"/>
          <w:szCs w:val="22"/>
        </w:rPr>
        <w:t xml:space="preserve">, 33-38. </w:t>
      </w:r>
      <w:hyperlink r:id="rId46" w:history="1">
        <w:r w:rsidRPr="00833A3A">
          <w:rPr>
            <w:rStyle w:val="Hyperlink"/>
            <w:rFonts w:asciiTheme="majorHAnsi" w:hAnsiTheme="majorHAnsi" w:cstheme="majorHAnsi"/>
            <w:sz w:val="22"/>
            <w:szCs w:val="22"/>
          </w:rPr>
          <w:t>https://doi.org/10.1016/j.apnu.2021.12.002</w:t>
        </w:r>
      </w:hyperlink>
      <w:r w:rsidRPr="00833A3A">
        <w:rPr>
          <w:rFonts w:asciiTheme="majorHAnsi" w:hAnsiTheme="majorHAnsi" w:cstheme="majorHAnsi"/>
          <w:sz w:val="22"/>
          <w:szCs w:val="22"/>
          <w:u w:val="single"/>
        </w:rPr>
        <w:t>.</w:t>
      </w:r>
    </w:p>
    <w:p w14:paraId="514E0853" w14:textId="77777777" w:rsidR="00E74BCC" w:rsidRPr="00833A3A" w:rsidRDefault="00E74BCC" w:rsidP="00833A3A">
      <w:pPr>
        <w:spacing w:after="120"/>
        <w:ind w:left="426" w:hanging="426"/>
        <w:jc w:val="both"/>
        <w:rPr>
          <w:rFonts w:asciiTheme="majorHAnsi" w:hAnsiTheme="majorHAnsi" w:cstheme="majorHAnsi"/>
          <w:sz w:val="22"/>
          <w:szCs w:val="22"/>
        </w:rPr>
      </w:pPr>
      <w:r w:rsidRPr="00833A3A">
        <w:rPr>
          <w:rFonts w:asciiTheme="majorHAnsi" w:hAnsiTheme="majorHAnsi" w:cstheme="majorHAnsi"/>
          <w:sz w:val="22"/>
          <w:szCs w:val="22"/>
        </w:rPr>
        <w:t xml:space="preserve">Mokhtari, J., Dimitrov, D., &amp; Reichard, C. (2018). Revising the metacognitive awareness of reading strategies inventory (MARSI) and testing for factorial invariance. </w:t>
      </w:r>
      <w:r w:rsidRPr="00833A3A">
        <w:rPr>
          <w:rFonts w:asciiTheme="majorHAnsi" w:hAnsiTheme="majorHAnsi" w:cstheme="majorHAnsi"/>
          <w:i/>
          <w:iCs/>
          <w:sz w:val="22"/>
          <w:szCs w:val="22"/>
        </w:rPr>
        <w:t>SSLLT 8</w:t>
      </w:r>
      <w:r w:rsidRPr="00833A3A">
        <w:rPr>
          <w:rFonts w:asciiTheme="majorHAnsi" w:hAnsiTheme="majorHAnsi" w:cstheme="majorHAnsi"/>
          <w:sz w:val="22"/>
          <w:szCs w:val="22"/>
        </w:rPr>
        <w:t xml:space="preserve">(2), 219-246. Available Online at: </w:t>
      </w:r>
      <w:hyperlink r:id="rId47" w:history="1">
        <w:r w:rsidRPr="00833A3A">
          <w:rPr>
            <w:rStyle w:val="Hyperlink"/>
            <w:rFonts w:asciiTheme="majorHAnsi" w:hAnsiTheme="majorHAnsi" w:cstheme="majorHAnsi"/>
            <w:sz w:val="22"/>
            <w:szCs w:val="22"/>
          </w:rPr>
          <w:t>http://pressto.amu.edu.pl/index.php/ssllt</w:t>
        </w:r>
      </w:hyperlink>
      <w:r w:rsidRPr="00833A3A">
        <w:rPr>
          <w:rFonts w:asciiTheme="majorHAnsi" w:hAnsiTheme="majorHAnsi" w:cstheme="majorHAnsi"/>
          <w:sz w:val="22"/>
          <w:szCs w:val="22"/>
        </w:rPr>
        <w:t>.</w:t>
      </w:r>
    </w:p>
    <w:p w14:paraId="39A23A3C" w14:textId="77777777" w:rsidR="00E74BCC" w:rsidRPr="00833A3A" w:rsidRDefault="00E74BCC" w:rsidP="00833A3A">
      <w:pPr>
        <w:spacing w:after="120"/>
        <w:ind w:left="426" w:hanging="426"/>
        <w:jc w:val="both"/>
        <w:rPr>
          <w:rFonts w:asciiTheme="majorHAnsi" w:hAnsiTheme="majorHAnsi" w:cstheme="majorHAnsi"/>
          <w:sz w:val="22"/>
          <w:szCs w:val="22"/>
        </w:rPr>
      </w:pPr>
      <w:r w:rsidRPr="00833A3A">
        <w:rPr>
          <w:rFonts w:asciiTheme="majorHAnsi" w:eastAsia="Calibri" w:hAnsiTheme="majorHAnsi" w:cstheme="majorHAnsi"/>
          <w:kern w:val="2"/>
          <w:sz w:val="22"/>
          <w:szCs w:val="22"/>
          <w14:ligatures w14:val="standardContextual"/>
        </w:rPr>
        <w:t>Morales</w:t>
      </w:r>
      <w:r w:rsidRPr="00833A3A">
        <w:rPr>
          <w:rFonts w:asciiTheme="majorHAnsi" w:hAnsiTheme="majorHAnsi" w:cstheme="majorHAnsi"/>
          <w:sz w:val="22"/>
          <w:szCs w:val="22"/>
        </w:rPr>
        <w:t xml:space="preserve">, J., Lau, H., &amp; Fleming, S.M. (2018). Domain-general and domain-specific patterns of activity supporting metacognition in human prefrontal cortex. </w:t>
      </w:r>
      <w:r w:rsidRPr="00833A3A">
        <w:rPr>
          <w:rFonts w:asciiTheme="majorHAnsi" w:hAnsiTheme="majorHAnsi" w:cstheme="majorHAnsi"/>
          <w:i/>
          <w:iCs/>
          <w:sz w:val="22"/>
          <w:szCs w:val="22"/>
        </w:rPr>
        <w:t xml:space="preserve">Journal of Neuroscience,38(14), </w:t>
      </w:r>
      <w:r w:rsidRPr="00833A3A">
        <w:rPr>
          <w:rFonts w:asciiTheme="majorHAnsi" w:hAnsiTheme="majorHAnsi" w:cstheme="majorHAnsi"/>
          <w:sz w:val="22"/>
          <w:szCs w:val="22"/>
        </w:rPr>
        <w:t xml:space="preserve">3534–3546. </w:t>
      </w:r>
      <w:hyperlink r:id="rId48" w:history="1">
        <w:r w:rsidRPr="00833A3A">
          <w:rPr>
            <w:rStyle w:val="Hyperlink"/>
            <w:rFonts w:asciiTheme="majorHAnsi" w:hAnsiTheme="majorHAnsi" w:cstheme="majorHAnsi"/>
            <w:sz w:val="22"/>
            <w:szCs w:val="22"/>
          </w:rPr>
          <w:t>https://doi.org/10.1523/JNEUROSCI.2360-17.2018</w:t>
        </w:r>
      </w:hyperlink>
    </w:p>
    <w:p w14:paraId="1FA0E0B9" w14:textId="77777777" w:rsidR="00E74BCC" w:rsidRPr="00833A3A" w:rsidRDefault="00E74BCC" w:rsidP="00833A3A">
      <w:pPr>
        <w:tabs>
          <w:tab w:val="right" w:pos="836"/>
        </w:tabs>
        <w:spacing w:after="200"/>
        <w:ind w:left="566" w:hanging="540"/>
        <w:jc w:val="both"/>
        <w:rPr>
          <w:rStyle w:val="Hyperlink"/>
          <w:rFonts w:asciiTheme="majorHAnsi" w:hAnsiTheme="majorHAnsi" w:cstheme="majorHAnsi"/>
          <w:sz w:val="22"/>
          <w:szCs w:val="22"/>
        </w:rPr>
      </w:pPr>
      <w:r w:rsidRPr="00833A3A">
        <w:rPr>
          <w:rFonts w:asciiTheme="majorHAnsi" w:eastAsia="Calibri" w:hAnsiTheme="majorHAnsi" w:cstheme="majorHAnsi"/>
          <w:color w:val="000000" w:themeColor="text1"/>
          <w:sz w:val="22"/>
          <w:szCs w:val="22"/>
          <w:lang w:bidi="ar-EG"/>
        </w:rPr>
        <w:t xml:space="preserve">Morice-Ramat, A., Goronflot, L., &amp; Guihard, G. (2018). Are Alexithymia and Empathy Predicting Factors of the Resilience of Medical Residents in France?. </w:t>
      </w:r>
      <w:r w:rsidRPr="00833A3A">
        <w:rPr>
          <w:rFonts w:asciiTheme="majorHAnsi" w:eastAsia="Calibri" w:hAnsiTheme="majorHAnsi" w:cstheme="majorHAnsi"/>
          <w:i/>
          <w:iCs/>
          <w:color w:val="000000" w:themeColor="text1"/>
          <w:sz w:val="22"/>
          <w:szCs w:val="22"/>
          <w:lang w:bidi="ar-EG"/>
        </w:rPr>
        <w:t>International Journal of Medical Education, 9</w:t>
      </w:r>
      <w:r w:rsidRPr="00833A3A">
        <w:rPr>
          <w:rFonts w:asciiTheme="majorHAnsi" w:eastAsia="Calibri" w:hAnsiTheme="majorHAnsi" w:cstheme="majorHAnsi"/>
          <w:color w:val="000000" w:themeColor="text1"/>
          <w:sz w:val="22"/>
          <w:szCs w:val="22"/>
          <w:lang w:bidi="ar-EG"/>
        </w:rPr>
        <w:t xml:space="preserve">:122–8. </w:t>
      </w:r>
      <w:hyperlink r:id="rId49" w:history="1">
        <w:r w:rsidRPr="00833A3A">
          <w:rPr>
            <w:rStyle w:val="Hyperlink"/>
            <w:rFonts w:asciiTheme="majorHAnsi" w:hAnsiTheme="majorHAnsi" w:cstheme="majorHAnsi"/>
            <w:sz w:val="22"/>
            <w:szCs w:val="22"/>
          </w:rPr>
          <w:t>http://creativecommons.org/licenses/by/3.0</w:t>
        </w:r>
      </w:hyperlink>
    </w:p>
    <w:p w14:paraId="79D9D346" w14:textId="77777777" w:rsidR="00E74BCC" w:rsidRPr="00833A3A" w:rsidRDefault="00E74BCC" w:rsidP="00833A3A">
      <w:pPr>
        <w:spacing w:after="120"/>
        <w:ind w:left="426" w:hanging="426"/>
        <w:jc w:val="both"/>
        <w:rPr>
          <w:rFonts w:asciiTheme="majorHAnsi" w:hAnsiTheme="majorHAnsi" w:cstheme="majorHAnsi"/>
          <w:sz w:val="22"/>
          <w:szCs w:val="22"/>
          <w:u w:val="single"/>
        </w:rPr>
      </w:pPr>
      <w:r w:rsidRPr="00833A3A">
        <w:rPr>
          <w:rFonts w:asciiTheme="majorHAnsi" w:hAnsiTheme="majorHAnsi" w:cstheme="majorHAnsi"/>
          <w:sz w:val="22"/>
          <w:szCs w:val="22"/>
        </w:rPr>
        <w:t xml:space="preserve">Nahar, R. &amp; Kakulte, A. (2022). Relationship between alexithymia, difficulties in emotion regulation, mental health &amp; internet Addiction in young adults. </w:t>
      </w:r>
      <w:r w:rsidRPr="00833A3A">
        <w:rPr>
          <w:rFonts w:asciiTheme="majorHAnsi" w:hAnsiTheme="majorHAnsi" w:cstheme="majorHAnsi"/>
          <w:i/>
          <w:iCs/>
          <w:sz w:val="22"/>
          <w:szCs w:val="22"/>
        </w:rPr>
        <w:t>Mind and Society, 11</w:t>
      </w:r>
      <w:r w:rsidRPr="00833A3A">
        <w:rPr>
          <w:rFonts w:asciiTheme="majorHAnsi" w:hAnsiTheme="majorHAnsi" w:cstheme="majorHAnsi"/>
          <w:sz w:val="22"/>
          <w:szCs w:val="22"/>
        </w:rPr>
        <w:t xml:space="preserve">(11), 50-80. </w:t>
      </w:r>
      <w:hyperlink r:id="rId50" w:history="1">
        <w:r w:rsidRPr="00833A3A">
          <w:rPr>
            <w:rStyle w:val="Hyperlink"/>
            <w:rFonts w:asciiTheme="majorHAnsi" w:hAnsiTheme="majorHAnsi" w:cstheme="majorHAnsi"/>
            <w:sz w:val="22"/>
            <w:szCs w:val="22"/>
          </w:rPr>
          <w:t>https://doi.org/10.56011/mind-mri-112-20225</w:t>
        </w:r>
      </w:hyperlink>
      <w:r w:rsidRPr="00833A3A">
        <w:rPr>
          <w:rFonts w:asciiTheme="majorHAnsi" w:hAnsiTheme="majorHAnsi" w:cstheme="majorHAnsi"/>
          <w:sz w:val="22"/>
          <w:szCs w:val="22"/>
          <w:u w:val="single"/>
        </w:rPr>
        <w:t>.</w:t>
      </w:r>
    </w:p>
    <w:p w14:paraId="348B1BDE" w14:textId="77777777" w:rsidR="00E74BCC" w:rsidRPr="00833A3A" w:rsidRDefault="00E74BCC" w:rsidP="00833A3A">
      <w:pPr>
        <w:spacing w:after="120"/>
        <w:ind w:left="426" w:hanging="426"/>
        <w:jc w:val="both"/>
        <w:rPr>
          <w:rFonts w:asciiTheme="majorHAnsi" w:hAnsiTheme="majorHAnsi" w:cstheme="majorHAnsi"/>
          <w:sz w:val="22"/>
          <w:szCs w:val="22"/>
          <w:rtl/>
        </w:rPr>
      </w:pPr>
      <w:r w:rsidRPr="00833A3A">
        <w:rPr>
          <w:rFonts w:asciiTheme="majorHAnsi" w:hAnsiTheme="majorHAnsi" w:cstheme="majorHAnsi"/>
          <w:sz w:val="22"/>
          <w:szCs w:val="22"/>
        </w:rPr>
        <w:t>Nelson T. O. (1990). Metamemory: a theoretical framework and new findings. </w:t>
      </w:r>
      <w:r w:rsidRPr="00833A3A">
        <w:rPr>
          <w:rFonts w:asciiTheme="majorHAnsi" w:hAnsiTheme="majorHAnsi" w:cstheme="majorHAnsi"/>
          <w:i/>
          <w:iCs/>
          <w:sz w:val="22"/>
          <w:szCs w:val="22"/>
        </w:rPr>
        <w:t>Psychology of Learning and Motivation,</w:t>
      </w:r>
      <w:r w:rsidRPr="00833A3A">
        <w:rPr>
          <w:rFonts w:asciiTheme="majorHAnsi" w:hAnsiTheme="majorHAnsi" w:cstheme="majorHAnsi"/>
          <w:sz w:val="22"/>
          <w:szCs w:val="22"/>
        </w:rPr>
        <w:t> 26, 125–173.</w:t>
      </w:r>
    </w:p>
    <w:p w14:paraId="57B8DBCE" w14:textId="77777777" w:rsidR="00E74BCC" w:rsidRPr="00833A3A" w:rsidRDefault="00E74BCC" w:rsidP="00833A3A">
      <w:pPr>
        <w:spacing w:after="120"/>
        <w:ind w:left="426" w:hanging="426"/>
        <w:jc w:val="both"/>
        <w:rPr>
          <w:rFonts w:asciiTheme="majorHAnsi" w:hAnsiTheme="majorHAnsi" w:cstheme="majorHAnsi"/>
          <w:sz w:val="22"/>
          <w:szCs w:val="22"/>
          <w:u w:val="single"/>
          <w:rtl/>
          <w:lang w:bidi="ar-EG"/>
        </w:rPr>
      </w:pPr>
      <w:r w:rsidRPr="00833A3A">
        <w:rPr>
          <w:rFonts w:asciiTheme="majorHAnsi" w:hAnsiTheme="majorHAnsi" w:cstheme="majorHAnsi"/>
          <w:sz w:val="22"/>
          <w:szCs w:val="22"/>
        </w:rPr>
        <w:t xml:space="preserve">Noli, T., Mqrinqiri. M., Wcopinalo, N., &amp; Adami, G. (2010). Alexithymia and eating behavior in severely obsess patients. </w:t>
      </w:r>
      <w:r w:rsidRPr="00833A3A">
        <w:rPr>
          <w:rFonts w:asciiTheme="majorHAnsi" w:hAnsiTheme="majorHAnsi" w:cstheme="majorHAnsi"/>
          <w:i/>
          <w:iCs/>
          <w:sz w:val="22"/>
          <w:szCs w:val="22"/>
        </w:rPr>
        <w:t>Journal Compilation the British Dietetic Association, 23</w:t>
      </w:r>
      <w:r w:rsidRPr="00833A3A">
        <w:rPr>
          <w:rFonts w:asciiTheme="majorHAnsi" w:hAnsiTheme="majorHAnsi" w:cstheme="majorHAnsi"/>
          <w:sz w:val="22"/>
          <w:szCs w:val="22"/>
        </w:rPr>
        <w:t xml:space="preserve">(6), 616 -639. </w:t>
      </w:r>
      <w:hyperlink r:id="rId51" w:history="1">
        <w:r w:rsidRPr="00833A3A">
          <w:rPr>
            <w:rStyle w:val="Hyperlink"/>
            <w:rFonts w:asciiTheme="majorHAnsi" w:hAnsiTheme="majorHAnsi" w:cstheme="majorHAnsi"/>
            <w:sz w:val="22"/>
            <w:szCs w:val="22"/>
          </w:rPr>
          <w:t>https://doi.org/10.1111/j.1365-277X.2010.01079.x</w:t>
        </w:r>
      </w:hyperlink>
    </w:p>
    <w:p w14:paraId="69D5449A" w14:textId="77777777" w:rsidR="00E74BCC" w:rsidRPr="00833A3A" w:rsidRDefault="00E74BCC" w:rsidP="00833A3A">
      <w:pPr>
        <w:spacing w:after="120"/>
        <w:ind w:left="426" w:hanging="426"/>
        <w:jc w:val="both"/>
        <w:rPr>
          <w:rFonts w:asciiTheme="majorHAnsi" w:hAnsiTheme="majorHAnsi" w:cstheme="majorHAnsi"/>
          <w:sz w:val="22"/>
          <w:szCs w:val="22"/>
          <w:rtl/>
        </w:rPr>
      </w:pPr>
      <w:r w:rsidRPr="00833A3A">
        <w:rPr>
          <w:rFonts w:asciiTheme="majorHAnsi" w:hAnsiTheme="majorHAnsi" w:cstheme="majorHAnsi"/>
          <w:sz w:val="22"/>
          <w:szCs w:val="22"/>
        </w:rPr>
        <w:t xml:space="preserve">Nordin, S., &amp; Yunus, K. (2020). Exploring metacognitive awareness among teachers. </w:t>
      </w:r>
      <w:r w:rsidRPr="00833A3A">
        <w:rPr>
          <w:rFonts w:asciiTheme="majorHAnsi" w:hAnsiTheme="majorHAnsi" w:cstheme="majorHAnsi"/>
          <w:i/>
          <w:iCs/>
          <w:sz w:val="22"/>
          <w:szCs w:val="22"/>
        </w:rPr>
        <w:t>International Journal of Academic Research in Progressive Education and Development, 9</w:t>
      </w:r>
      <w:r w:rsidRPr="00833A3A">
        <w:rPr>
          <w:rFonts w:asciiTheme="majorHAnsi" w:hAnsiTheme="majorHAnsi" w:cstheme="majorHAnsi"/>
          <w:sz w:val="22"/>
          <w:szCs w:val="22"/>
        </w:rPr>
        <w:t xml:space="preserve">(2), 462–472. </w:t>
      </w:r>
      <w:hyperlink r:id="rId52" w:history="1">
        <w:r w:rsidRPr="00833A3A">
          <w:rPr>
            <w:rStyle w:val="Hyperlink"/>
            <w:rFonts w:asciiTheme="majorHAnsi" w:hAnsiTheme="majorHAnsi" w:cstheme="majorHAnsi"/>
            <w:sz w:val="22"/>
            <w:szCs w:val="22"/>
          </w:rPr>
          <w:t>http://dx.doi.org/10.6007/IJARPED/v9-i2/7490</w:t>
        </w:r>
      </w:hyperlink>
    </w:p>
    <w:p w14:paraId="35B5AED3" w14:textId="77777777" w:rsidR="00E74BCC" w:rsidRPr="00833A3A" w:rsidRDefault="00E74BCC" w:rsidP="00833A3A">
      <w:pPr>
        <w:spacing w:after="120"/>
        <w:ind w:left="426" w:hanging="426"/>
        <w:jc w:val="both"/>
        <w:rPr>
          <w:rFonts w:asciiTheme="majorHAnsi" w:hAnsiTheme="majorHAnsi" w:cstheme="majorHAnsi"/>
          <w:sz w:val="22"/>
          <w:szCs w:val="22"/>
        </w:rPr>
      </w:pPr>
      <w:r w:rsidRPr="00833A3A">
        <w:rPr>
          <w:rFonts w:asciiTheme="majorHAnsi" w:hAnsiTheme="majorHAnsi" w:cstheme="majorHAnsi"/>
          <w:sz w:val="22"/>
          <w:szCs w:val="22"/>
        </w:rPr>
        <w:t xml:space="preserve">Olstad, S., Solem, S., Hjemdal, O., &amp; Hagen, R. (2015). Metacognition in eating disorders: Comparison of women with eating disorders, self-reported history of eating disorders or psychiatric problems, and healthy controls. </w:t>
      </w:r>
      <w:r w:rsidRPr="00833A3A">
        <w:rPr>
          <w:rFonts w:asciiTheme="majorHAnsi" w:hAnsiTheme="majorHAnsi" w:cstheme="majorHAnsi"/>
          <w:i/>
          <w:iCs/>
          <w:sz w:val="22"/>
          <w:szCs w:val="22"/>
        </w:rPr>
        <w:t>Eating Behaviors, 16</w:t>
      </w:r>
      <w:r w:rsidRPr="00833A3A">
        <w:rPr>
          <w:rFonts w:asciiTheme="majorHAnsi" w:hAnsiTheme="majorHAnsi" w:cstheme="majorHAnsi"/>
          <w:sz w:val="22"/>
          <w:szCs w:val="22"/>
        </w:rPr>
        <w:t xml:space="preserve">, 17-22. </w:t>
      </w:r>
      <w:hyperlink r:id="rId53" w:history="1">
        <w:r w:rsidRPr="00833A3A">
          <w:rPr>
            <w:rStyle w:val="Hyperlink"/>
            <w:rFonts w:asciiTheme="majorHAnsi" w:hAnsiTheme="majorHAnsi" w:cstheme="majorHAnsi"/>
            <w:sz w:val="22"/>
            <w:szCs w:val="22"/>
          </w:rPr>
          <w:t>http://dx.doi.org/10.1016/j.eatbeh.2014.10.019</w:t>
        </w:r>
      </w:hyperlink>
    </w:p>
    <w:p w14:paraId="16009731" w14:textId="77777777" w:rsidR="00E74BCC" w:rsidRPr="00833A3A" w:rsidRDefault="00E74BCC" w:rsidP="00833A3A">
      <w:pPr>
        <w:spacing w:after="120"/>
        <w:ind w:left="426" w:hanging="426"/>
        <w:jc w:val="both"/>
        <w:rPr>
          <w:rFonts w:asciiTheme="majorHAnsi" w:hAnsiTheme="majorHAnsi" w:cstheme="majorHAnsi"/>
          <w:sz w:val="22"/>
          <w:szCs w:val="22"/>
          <w:u w:val="single"/>
        </w:rPr>
      </w:pPr>
      <w:r w:rsidRPr="00833A3A">
        <w:rPr>
          <w:rFonts w:asciiTheme="majorHAnsi" w:hAnsiTheme="majorHAnsi" w:cstheme="majorHAnsi"/>
          <w:sz w:val="22"/>
          <w:szCs w:val="22"/>
        </w:rPr>
        <w:t xml:space="preserve">Omprakash, A., Kumar, A. P., Kuppusamy, M., Sathiyasekaran, B. W. C., Ravinder, T., &amp; Ramaswamy, P. (2021). Validation of metacognitive awareness inventory from a private medical university in India. </w:t>
      </w:r>
      <w:r w:rsidRPr="00833A3A">
        <w:rPr>
          <w:rFonts w:asciiTheme="majorHAnsi" w:hAnsiTheme="majorHAnsi" w:cstheme="majorHAnsi"/>
          <w:i/>
          <w:iCs/>
          <w:sz w:val="22"/>
          <w:szCs w:val="22"/>
        </w:rPr>
        <w:t>Journal of Education and Health Promotion, 10</w:t>
      </w:r>
      <w:r w:rsidRPr="00833A3A">
        <w:rPr>
          <w:rFonts w:asciiTheme="majorHAnsi" w:hAnsiTheme="majorHAnsi" w:cstheme="majorHAnsi"/>
          <w:sz w:val="22"/>
          <w:szCs w:val="22"/>
        </w:rPr>
        <w:t>(324), 1-6</w:t>
      </w:r>
      <w:r w:rsidRPr="00833A3A">
        <w:rPr>
          <w:rFonts w:asciiTheme="majorHAnsi" w:hAnsiTheme="majorHAnsi" w:cstheme="majorHAnsi"/>
          <w:sz w:val="22"/>
          <w:szCs w:val="22"/>
          <w:u w:val="single"/>
          <w:rtl/>
        </w:rPr>
        <w:t>.</w:t>
      </w:r>
      <w:r w:rsidRPr="00833A3A">
        <w:rPr>
          <w:rFonts w:asciiTheme="majorHAnsi" w:hAnsiTheme="majorHAnsi" w:cstheme="majorHAnsi"/>
          <w:sz w:val="22"/>
          <w:szCs w:val="22"/>
          <w:u w:val="single"/>
        </w:rPr>
        <w:t xml:space="preserve"> https://doi: 10.4103/jehp.jehp_39_21.</w:t>
      </w:r>
    </w:p>
    <w:p w14:paraId="2FB4F1AB" w14:textId="77777777" w:rsidR="00E74BCC" w:rsidRPr="00833A3A" w:rsidRDefault="00E74BCC" w:rsidP="00833A3A">
      <w:pPr>
        <w:spacing w:after="120"/>
        <w:ind w:left="426" w:hanging="426"/>
        <w:jc w:val="both"/>
        <w:rPr>
          <w:rFonts w:asciiTheme="majorHAnsi" w:hAnsiTheme="majorHAnsi" w:cstheme="majorHAnsi"/>
          <w:sz w:val="22"/>
          <w:szCs w:val="22"/>
        </w:rPr>
      </w:pPr>
      <w:r w:rsidRPr="00833A3A">
        <w:rPr>
          <w:rFonts w:asciiTheme="majorHAnsi" w:hAnsiTheme="majorHAnsi" w:cstheme="majorHAnsi"/>
          <w:sz w:val="22"/>
          <w:szCs w:val="22"/>
        </w:rPr>
        <w:t>O'Neil, H. F., Jr., &amp; Abedi, J. (1996). Reliability and validity of a state metacognitive inventory: Potential for alternative assessment. </w:t>
      </w:r>
      <w:r w:rsidRPr="00833A3A">
        <w:rPr>
          <w:rFonts w:asciiTheme="majorHAnsi" w:hAnsiTheme="majorHAnsi" w:cstheme="majorHAnsi"/>
          <w:i/>
          <w:iCs/>
          <w:sz w:val="22"/>
          <w:szCs w:val="22"/>
        </w:rPr>
        <w:t>The Journal of Educational Research, 89</w:t>
      </w:r>
      <w:r w:rsidRPr="00833A3A">
        <w:rPr>
          <w:rFonts w:asciiTheme="majorHAnsi" w:hAnsiTheme="majorHAnsi" w:cstheme="majorHAnsi"/>
          <w:sz w:val="22"/>
          <w:szCs w:val="22"/>
        </w:rPr>
        <w:t xml:space="preserve">(4), 234–245. </w:t>
      </w:r>
      <w:hyperlink r:id="rId54" w:tgtFrame="_blank" w:history="1">
        <w:r w:rsidRPr="00833A3A">
          <w:rPr>
            <w:rStyle w:val="Hyperlink"/>
            <w:rFonts w:asciiTheme="majorHAnsi" w:hAnsiTheme="majorHAnsi" w:cstheme="majorHAnsi"/>
            <w:sz w:val="22"/>
            <w:szCs w:val="22"/>
          </w:rPr>
          <w:t>https://doi.org/10.1080/00220671.1996.9941208</w:t>
        </w:r>
      </w:hyperlink>
    </w:p>
    <w:p w14:paraId="4BA7EFCF" w14:textId="77777777" w:rsidR="00E74BCC" w:rsidRPr="00833A3A" w:rsidRDefault="00E74BCC" w:rsidP="00833A3A">
      <w:pPr>
        <w:spacing w:after="120"/>
        <w:ind w:left="426" w:hanging="426"/>
        <w:jc w:val="both"/>
        <w:rPr>
          <w:rFonts w:asciiTheme="majorHAnsi" w:hAnsiTheme="majorHAnsi" w:cstheme="majorHAnsi"/>
          <w:sz w:val="22"/>
          <w:szCs w:val="22"/>
        </w:rPr>
      </w:pPr>
      <w:r w:rsidRPr="00833A3A">
        <w:rPr>
          <w:rFonts w:asciiTheme="majorHAnsi" w:hAnsiTheme="majorHAnsi" w:cstheme="majorHAnsi"/>
          <w:sz w:val="22"/>
          <w:szCs w:val="22"/>
        </w:rPr>
        <w:t xml:space="preserve">Pandey, D. &amp; Jaiswal, K. (2018). Role of positive metacognitions and meta-emotions in predicting alexithymia. </w:t>
      </w:r>
      <w:r w:rsidRPr="00833A3A">
        <w:rPr>
          <w:rFonts w:asciiTheme="majorHAnsi" w:hAnsiTheme="majorHAnsi" w:cstheme="majorHAnsi"/>
          <w:i/>
          <w:iCs/>
          <w:sz w:val="22"/>
          <w:szCs w:val="22"/>
        </w:rPr>
        <w:t>International Journal of Scientific Research and Reviews, 7</w:t>
      </w:r>
      <w:r w:rsidRPr="00833A3A">
        <w:rPr>
          <w:rFonts w:asciiTheme="majorHAnsi" w:hAnsiTheme="majorHAnsi" w:cstheme="majorHAnsi"/>
          <w:sz w:val="22"/>
          <w:szCs w:val="22"/>
        </w:rPr>
        <w:t>(3), 487-498.</w:t>
      </w:r>
    </w:p>
    <w:p w14:paraId="04A7A501" w14:textId="77777777" w:rsidR="00E74BCC" w:rsidRPr="00833A3A" w:rsidRDefault="00E74BCC" w:rsidP="00833A3A">
      <w:pPr>
        <w:spacing w:after="120"/>
        <w:ind w:left="426" w:hanging="426"/>
        <w:jc w:val="both"/>
        <w:rPr>
          <w:rFonts w:asciiTheme="majorHAnsi" w:hAnsiTheme="majorHAnsi" w:cstheme="majorHAnsi"/>
          <w:sz w:val="22"/>
          <w:szCs w:val="22"/>
        </w:rPr>
      </w:pPr>
      <w:r w:rsidRPr="00833A3A">
        <w:rPr>
          <w:rFonts w:asciiTheme="majorHAnsi" w:hAnsiTheme="majorHAnsi" w:cstheme="majorHAnsi"/>
          <w:sz w:val="22"/>
          <w:szCs w:val="22"/>
        </w:rPr>
        <w:t xml:space="preserve">Papaleontiou-Louca, E. (2008). </w:t>
      </w:r>
      <w:r w:rsidRPr="00833A3A">
        <w:rPr>
          <w:rFonts w:asciiTheme="majorHAnsi" w:hAnsiTheme="majorHAnsi" w:cstheme="majorHAnsi"/>
          <w:i/>
          <w:iCs/>
          <w:sz w:val="22"/>
          <w:szCs w:val="22"/>
        </w:rPr>
        <w:t>Metacognition and theory of mind</w:t>
      </w:r>
      <w:r w:rsidRPr="00833A3A">
        <w:rPr>
          <w:rFonts w:asciiTheme="majorHAnsi" w:hAnsiTheme="majorHAnsi" w:cstheme="majorHAnsi"/>
          <w:sz w:val="22"/>
          <w:szCs w:val="22"/>
        </w:rPr>
        <w:t>. New Castle upon Tyne, England: Cambridge Scholars Press.</w:t>
      </w:r>
    </w:p>
    <w:p w14:paraId="2E71D1CF" w14:textId="77777777" w:rsidR="00E74BCC" w:rsidRPr="00833A3A" w:rsidRDefault="00E74BCC" w:rsidP="00833A3A">
      <w:pPr>
        <w:tabs>
          <w:tab w:val="right" w:pos="836"/>
        </w:tabs>
        <w:spacing w:after="200"/>
        <w:ind w:left="566" w:hanging="540"/>
        <w:jc w:val="both"/>
        <w:rPr>
          <w:rStyle w:val="Hyperlink"/>
          <w:rFonts w:asciiTheme="majorHAnsi" w:hAnsiTheme="majorHAnsi" w:cstheme="majorHAnsi"/>
          <w:sz w:val="22"/>
          <w:szCs w:val="22"/>
          <w:rtl/>
        </w:rPr>
      </w:pPr>
      <w:r w:rsidRPr="00833A3A">
        <w:rPr>
          <w:rFonts w:asciiTheme="majorHAnsi" w:eastAsia="Calibri" w:hAnsiTheme="majorHAnsi" w:cstheme="majorHAnsi"/>
          <w:color w:val="000000" w:themeColor="text1"/>
          <w:sz w:val="22"/>
          <w:szCs w:val="22"/>
          <w:lang w:bidi="ar-EG"/>
        </w:rPr>
        <w:t xml:space="preserve">Pape, M., Reichrath, B., Bottel, L., Herpertz, S., Kessler, H. &amp; Dieris-Hirche, J. (2022). Alexithymia and internet Gaming Disorder in the Light of Depression: A Cross-Sectional Clinical Study. </w:t>
      </w:r>
      <w:r w:rsidRPr="00833A3A">
        <w:rPr>
          <w:rFonts w:asciiTheme="majorHAnsi" w:eastAsia="Calibri" w:hAnsiTheme="majorHAnsi" w:cstheme="majorHAnsi"/>
          <w:i/>
          <w:iCs/>
          <w:color w:val="000000" w:themeColor="text1"/>
          <w:sz w:val="22"/>
          <w:szCs w:val="22"/>
          <w:lang w:bidi="ar-EG"/>
        </w:rPr>
        <w:t>Acta Psychologica, (229),</w:t>
      </w:r>
      <w:r w:rsidRPr="00833A3A">
        <w:rPr>
          <w:rFonts w:asciiTheme="majorHAnsi" w:eastAsia="Calibri" w:hAnsiTheme="majorHAnsi" w:cstheme="majorHAnsi"/>
          <w:color w:val="000000" w:themeColor="text1"/>
          <w:sz w:val="22"/>
          <w:szCs w:val="22"/>
        </w:rPr>
        <w:t xml:space="preserve"> September 2022, 103698, 1-7. </w:t>
      </w:r>
      <w:hyperlink r:id="rId55" w:history="1">
        <w:r w:rsidRPr="00833A3A">
          <w:rPr>
            <w:rStyle w:val="Hyperlink"/>
            <w:rFonts w:asciiTheme="majorHAnsi" w:hAnsiTheme="majorHAnsi" w:cstheme="majorHAnsi"/>
            <w:sz w:val="22"/>
            <w:szCs w:val="22"/>
          </w:rPr>
          <w:t>https://doi.org/10.1016/j.actpsy.2022.103698</w:t>
        </w:r>
      </w:hyperlink>
      <w:r w:rsidRPr="00833A3A">
        <w:rPr>
          <w:rStyle w:val="Hyperlink"/>
          <w:rFonts w:asciiTheme="majorHAnsi" w:hAnsiTheme="majorHAnsi" w:cstheme="majorHAnsi"/>
          <w:sz w:val="22"/>
          <w:szCs w:val="22"/>
        </w:rPr>
        <w:t>.</w:t>
      </w:r>
    </w:p>
    <w:p w14:paraId="5F8ABFC0" w14:textId="77777777" w:rsidR="00E74BCC" w:rsidRPr="00833A3A" w:rsidRDefault="00E74BCC" w:rsidP="00833A3A">
      <w:pPr>
        <w:tabs>
          <w:tab w:val="right" w:pos="836"/>
        </w:tabs>
        <w:spacing w:after="200"/>
        <w:ind w:left="566" w:hanging="540"/>
        <w:jc w:val="both"/>
        <w:rPr>
          <w:rFonts w:asciiTheme="majorHAnsi" w:eastAsia="Calibri" w:hAnsiTheme="majorHAnsi" w:cstheme="majorHAnsi"/>
          <w:color w:val="000000" w:themeColor="text1"/>
          <w:sz w:val="22"/>
          <w:szCs w:val="22"/>
          <w:lang w:bidi="ar-EG"/>
        </w:rPr>
      </w:pPr>
      <w:r w:rsidRPr="00833A3A">
        <w:rPr>
          <w:rFonts w:asciiTheme="majorHAnsi" w:eastAsia="Calibri" w:hAnsiTheme="majorHAnsi" w:cstheme="majorHAnsi"/>
          <w:color w:val="000000" w:themeColor="text1"/>
          <w:sz w:val="22"/>
          <w:szCs w:val="22"/>
          <w:lang w:bidi="ar-EG"/>
        </w:rPr>
        <w:lastRenderedPageBreak/>
        <w:t xml:space="preserve">Paul, S. (2017). Relations between emotional Eating, Alexithymia, Mindfulness, and Coping Self-Efficacy. </w:t>
      </w:r>
      <w:r w:rsidRPr="00833A3A">
        <w:rPr>
          <w:rFonts w:asciiTheme="majorHAnsi" w:eastAsia="Calibri" w:hAnsiTheme="majorHAnsi" w:cstheme="majorHAnsi"/>
          <w:i/>
          <w:iCs/>
          <w:color w:val="000000" w:themeColor="text1"/>
          <w:sz w:val="22"/>
          <w:szCs w:val="22"/>
          <w:lang w:bidi="ar-EG"/>
        </w:rPr>
        <w:t>Ph.D., Faculty of Carlow University</w:t>
      </w:r>
      <w:r w:rsidRPr="00833A3A">
        <w:rPr>
          <w:rFonts w:asciiTheme="majorHAnsi" w:eastAsia="Calibri" w:hAnsiTheme="majorHAnsi" w:cstheme="majorHAnsi"/>
          <w:color w:val="000000" w:themeColor="text1"/>
          <w:sz w:val="22"/>
          <w:szCs w:val="22"/>
          <w:lang w:bidi="ar-EG"/>
        </w:rPr>
        <w:t>.</w:t>
      </w:r>
    </w:p>
    <w:p w14:paraId="68EB0283" w14:textId="77777777" w:rsidR="00E74BCC" w:rsidRPr="00833A3A" w:rsidRDefault="00E74BCC" w:rsidP="00833A3A">
      <w:pPr>
        <w:tabs>
          <w:tab w:val="right" w:pos="836"/>
        </w:tabs>
        <w:spacing w:after="200"/>
        <w:ind w:left="566" w:hanging="540"/>
        <w:jc w:val="both"/>
        <w:rPr>
          <w:rStyle w:val="Hyperlink"/>
          <w:rFonts w:asciiTheme="majorHAnsi" w:hAnsiTheme="majorHAnsi" w:cstheme="majorHAnsi"/>
          <w:sz w:val="22"/>
          <w:szCs w:val="22"/>
        </w:rPr>
      </w:pPr>
      <w:r w:rsidRPr="00833A3A">
        <w:rPr>
          <w:rFonts w:asciiTheme="majorHAnsi" w:eastAsia="Calibri" w:hAnsiTheme="majorHAnsi" w:cstheme="majorHAnsi"/>
          <w:color w:val="000000" w:themeColor="text1"/>
          <w:sz w:val="22"/>
          <w:szCs w:val="22"/>
        </w:rPr>
        <w:t xml:space="preserve">Preece, D., Becerra, R.., Allan, A., Robinson, K., &amp; Dandy, J., (2017). Establishing the Theoretical Components of Alexithymia via Factor Analysis: Introduction and Validation of the Attention-Appraisal Model of Alexithymia. </w:t>
      </w:r>
      <w:r w:rsidRPr="00833A3A">
        <w:rPr>
          <w:rFonts w:asciiTheme="majorHAnsi" w:eastAsia="Calibri" w:hAnsiTheme="majorHAnsi" w:cstheme="majorHAnsi"/>
          <w:i/>
          <w:iCs/>
          <w:color w:val="000000" w:themeColor="text1"/>
          <w:sz w:val="22"/>
          <w:szCs w:val="22"/>
        </w:rPr>
        <w:t>Personality and Individual Differences, 119</w:t>
      </w:r>
      <w:r w:rsidRPr="00833A3A">
        <w:rPr>
          <w:rFonts w:asciiTheme="majorHAnsi" w:eastAsia="Calibri" w:hAnsiTheme="majorHAnsi" w:cstheme="majorHAnsi"/>
          <w:color w:val="000000" w:themeColor="text1"/>
          <w:sz w:val="22"/>
          <w:szCs w:val="22"/>
        </w:rPr>
        <w:t xml:space="preserve">, 341–352. </w:t>
      </w:r>
      <w:hyperlink r:id="rId56" w:history="1">
        <w:r w:rsidRPr="00833A3A">
          <w:rPr>
            <w:rStyle w:val="Hyperlink"/>
            <w:rFonts w:asciiTheme="majorHAnsi" w:hAnsiTheme="majorHAnsi" w:cstheme="majorHAnsi"/>
            <w:sz w:val="22"/>
            <w:szCs w:val="22"/>
          </w:rPr>
          <w:t xml:space="preserve"> https://doi.org/10.1016/j.paid.2017.08.003</w:t>
        </w:r>
      </w:hyperlink>
    </w:p>
    <w:p w14:paraId="1ACC4CA9" w14:textId="77777777" w:rsidR="00E74BCC" w:rsidRPr="00833A3A" w:rsidRDefault="00E74BCC" w:rsidP="00833A3A">
      <w:pPr>
        <w:tabs>
          <w:tab w:val="right" w:pos="836"/>
        </w:tabs>
        <w:spacing w:after="200"/>
        <w:ind w:left="566" w:hanging="540"/>
        <w:jc w:val="both"/>
        <w:rPr>
          <w:rFonts w:asciiTheme="majorHAnsi" w:eastAsia="Calibri" w:hAnsiTheme="majorHAnsi" w:cstheme="majorHAnsi"/>
          <w:color w:val="000000" w:themeColor="text1"/>
          <w:sz w:val="22"/>
          <w:szCs w:val="22"/>
          <w:rtl/>
        </w:rPr>
      </w:pPr>
      <w:r w:rsidRPr="00833A3A">
        <w:rPr>
          <w:rFonts w:asciiTheme="majorHAnsi" w:eastAsia="Calibri" w:hAnsiTheme="majorHAnsi" w:cstheme="majorHAnsi"/>
          <w:color w:val="000000" w:themeColor="text1"/>
          <w:sz w:val="22"/>
          <w:szCs w:val="22"/>
        </w:rPr>
        <w:t xml:space="preserve">Qhavechi, F., &amp; Mohammadkhani, S. (2012). The Correlation between Metacognitive Beliefs, Coping Strategies, and Negative Emotions with Students' Smoking. </w:t>
      </w:r>
      <w:r w:rsidRPr="00833A3A">
        <w:rPr>
          <w:rFonts w:asciiTheme="majorHAnsi" w:eastAsia="Calibri" w:hAnsiTheme="majorHAnsi" w:cstheme="majorHAnsi"/>
          <w:i/>
          <w:iCs/>
          <w:color w:val="000000" w:themeColor="text1"/>
          <w:sz w:val="22"/>
          <w:szCs w:val="22"/>
        </w:rPr>
        <w:t xml:space="preserve">ZUMS Journal, 20 </w:t>
      </w:r>
      <w:r w:rsidRPr="00833A3A">
        <w:rPr>
          <w:rFonts w:asciiTheme="majorHAnsi" w:eastAsia="Calibri" w:hAnsiTheme="majorHAnsi" w:cstheme="majorHAnsi"/>
          <w:color w:val="000000" w:themeColor="text1"/>
          <w:sz w:val="22"/>
          <w:szCs w:val="22"/>
        </w:rPr>
        <w:t>(81), 93-102.</w:t>
      </w:r>
    </w:p>
    <w:p w14:paraId="2AA5A68B" w14:textId="77777777" w:rsidR="00E74BCC" w:rsidRPr="00833A3A" w:rsidRDefault="00E74BCC" w:rsidP="00833A3A">
      <w:pPr>
        <w:spacing w:after="120"/>
        <w:ind w:left="426" w:hanging="426"/>
        <w:jc w:val="both"/>
        <w:rPr>
          <w:rFonts w:asciiTheme="majorHAnsi" w:hAnsiTheme="majorHAnsi" w:cstheme="majorHAnsi"/>
          <w:sz w:val="22"/>
          <w:szCs w:val="22"/>
        </w:rPr>
      </w:pPr>
      <w:r w:rsidRPr="00833A3A">
        <w:rPr>
          <w:rFonts w:asciiTheme="majorHAnsi" w:hAnsiTheme="majorHAnsi" w:cstheme="majorHAnsi"/>
          <w:sz w:val="22"/>
          <w:szCs w:val="22"/>
        </w:rPr>
        <w:t xml:space="preserve">Quinto, R.M.; De Vincenzo, F.; Graceffa, D.; Bonifati, C.; Innamorati, M.; Iani, L. (2022). The Relationship between alexithymia and mental health is fully mediated by anxiety and depression in patients with psoriasis. </w:t>
      </w:r>
      <w:r w:rsidRPr="00833A3A">
        <w:rPr>
          <w:rFonts w:asciiTheme="majorHAnsi" w:hAnsiTheme="majorHAnsi" w:cstheme="majorHAnsi"/>
          <w:i/>
          <w:iCs/>
          <w:sz w:val="22"/>
          <w:szCs w:val="22"/>
        </w:rPr>
        <w:t>International Journal of Environmental Research and Public Health, 19(6):3649</w:t>
      </w:r>
      <w:r w:rsidRPr="00833A3A">
        <w:rPr>
          <w:rFonts w:asciiTheme="majorHAnsi" w:hAnsiTheme="majorHAnsi" w:cstheme="majorHAnsi"/>
          <w:sz w:val="22"/>
          <w:szCs w:val="22"/>
        </w:rPr>
        <w:t xml:space="preserve">. </w:t>
      </w:r>
      <w:hyperlink r:id="rId57" w:history="1">
        <w:r w:rsidRPr="00833A3A">
          <w:rPr>
            <w:rStyle w:val="Hyperlink"/>
            <w:rFonts w:asciiTheme="majorHAnsi" w:hAnsiTheme="majorHAnsi" w:cstheme="majorHAnsi"/>
            <w:sz w:val="22"/>
            <w:szCs w:val="22"/>
          </w:rPr>
          <w:t>https://doi.org/10.3390/ijerph19063649</w:t>
        </w:r>
      </w:hyperlink>
    </w:p>
    <w:p w14:paraId="2FF2F059" w14:textId="77777777" w:rsidR="00E74BCC" w:rsidRPr="00833A3A" w:rsidRDefault="00E74BCC" w:rsidP="00833A3A">
      <w:pPr>
        <w:tabs>
          <w:tab w:val="right" w:pos="836"/>
        </w:tabs>
        <w:spacing w:before="240" w:after="200"/>
        <w:ind w:left="566" w:hanging="540"/>
        <w:jc w:val="both"/>
        <w:rPr>
          <w:rStyle w:val="Hyperlink"/>
          <w:rFonts w:asciiTheme="majorHAnsi" w:hAnsiTheme="majorHAnsi" w:cstheme="majorHAnsi"/>
          <w:sz w:val="22"/>
          <w:szCs w:val="22"/>
        </w:rPr>
      </w:pPr>
      <w:r w:rsidRPr="00833A3A">
        <w:rPr>
          <w:rFonts w:asciiTheme="majorHAnsi" w:eastAsia="Calibri" w:hAnsiTheme="majorHAnsi" w:cstheme="majorHAnsi"/>
          <w:color w:val="000000" w:themeColor="text1"/>
          <w:sz w:val="22"/>
          <w:szCs w:val="22"/>
        </w:rPr>
        <w:t xml:space="preserve">Rivas, S.F., Saiz, C. &amp; Ossa, C. (2022). Metacognitive Strategies and Development of Critical Thinking in Higher Education. </w:t>
      </w:r>
      <w:r w:rsidRPr="00833A3A">
        <w:rPr>
          <w:rFonts w:asciiTheme="majorHAnsi" w:eastAsia="Calibri" w:hAnsiTheme="majorHAnsi" w:cstheme="majorHAnsi"/>
          <w:i/>
          <w:iCs/>
          <w:color w:val="000000" w:themeColor="text1"/>
          <w:sz w:val="22"/>
          <w:szCs w:val="22"/>
        </w:rPr>
        <w:t>Frontiers in Psychology,</w:t>
      </w:r>
      <w:r w:rsidRPr="00833A3A">
        <w:rPr>
          <w:rFonts w:asciiTheme="majorHAnsi" w:eastAsia="Calibri" w:hAnsiTheme="majorHAnsi" w:cstheme="majorHAnsi"/>
          <w:color w:val="000000" w:themeColor="text1"/>
          <w:sz w:val="22"/>
          <w:szCs w:val="22"/>
        </w:rPr>
        <w:t xml:space="preserve"> 13:913219. </w:t>
      </w:r>
      <w:hyperlink r:id="rId58" w:history="1">
        <w:r w:rsidRPr="00833A3A">
          <w:rPr>
            <w:rStyle w:val="Hyperlink"/>
            <w:rFonts w:asciiTheme="majorHAnsi" w:hAnsiTheme="majorHAnsi" w:cstheme="majorHAnsi"/>
            <w:sz w:val="22"/>
            <w:szCs w:val="22"/>
          </w:rPr>
          <w:t>https://doi.org/10.3389/fpsyg.2022.913219</w:t>
        </w:r>
      </w:hyperlink>
    </w:p>
    <w:p w14:paraId="15FB559C" w14:textId="77777777" w:rsidR="00E74BCC" w:rsidRPr="00833A3A" w:rsidRDefault="00E74BCC" w:rsidP="00833A3A">
      <w:pPr>
        <w:spacing w:after="120"/>
        <w:ind w:left="426" w:hanging="426"/>
        <w:jc w:val="both"/>
        <w:rPr>
          <w:rFonts w:asciiTheme="majorHAnsi" w:hAnsiTheme="majorHAnsi" w:cstheme="majorHAnsi"/>
          <w:sz w:val="22"/>
          <w:szCs w:val="22"/>
          <w:u w:val="single"/>
        </w:rPr>
      </w:pPr>
      <w:r w:rsidRPr="00833A3A">
        <w:rPr>
          <w:rFonts w:asciiTheme="majorHAnsi" w:hAnsiTheme="majorHAnsi" w:cstheme="majorHAnsi"/>
          <w:sz w:val="22"/>
          <w:szCs w:val="22"/>
        </w:rPr>
        <w:t xml:space="preserve">Rösch, S., Puhlmann, L., &amp;  Preckel, K. (2022). A Cross-Modal component of alexithymia and its relationship with performance in a social cognition task battery. </w:t>
      </w:r>
      <w:r w:rsidRPr="00833A3A">
        <w:rPr>
          <w:rFonts w:asciiTheme="majorHAnsi" w:hAnsiTheme="majorHAnsi" w:cstheme="majorHAnsi"/>
          <w:i/>
          <w:iCs/>
          <w:sz w:val="22"/>
          <w:szCs w:val="22"/>
        </w:rPr>
        <w:t>Journal of Affective Disorders, 298</w:t>
      </w:r>
      <w:r w:rsidRPr="00833A3A">
        <w:rPr>
          <w:rFonts w:asciiTheme="majorHAnsi" w:hAnsiTheme="majorHAnsi" w:cstheme="majorHAnsi"/>
          <w:sz w:val="22"/>
          <w:szCs w:val="22"/>
        </w:rPr>
        <w:t xml:space="preserve"> (Part 1), 625-633.  </w:t>
      </w:r>
      <w:hyperlink r:id="rId59" w:history="1">
        <w:r w:rsidRPr="00833A3A">
          <w:rPr>
            <w:rStyle w:val="Hyperlink"/>
            <w:rFonts w:asciiTheme="majorHAnsi" w:hAnsiTheme="majorHAnsi" w:cstheme="majorHAnsi"/>
            <w:sz w:val="22"/>
            <w:szCs w:val="22"/>
          </w:rPr>
          <w:t>https://doi.org/10.1016/j.jad.2021.11.012</w:t>
        </w:r>
      </w:hyperlink>
      <w:r w:rsidRPr="00833A3A">
        <w:rPr>
          <w:rFonts w:asciiTheme="majorHAnsi" w:hAnsiTheme="majorHAnsi" w:cstheme="majorHAnsi"/>
          <w:sz w:val="22"/>
          <w:szCs w:val="22"/>
          <w:u w:val="single"/>
        </w:rPr>
        <w:t>.</w:t>
      </w:r>
    </w:p>
    <w:p w14:paraId="660FFBE4" w14:textId="77777777" w:rsidR="00E74BCC" w:rsidRPr="00833A3A" w:rsidRDefault="00E74BCC" w:rsidP="00833A3A">
      <w:pPr>
        <w:spacing w:after="120"/>
        <w:ind w:left="426" w:hanging="426"/>
        <w:jc w:val="both"/>
        <w:rPr>
          <w:rFonts w:asciiTheme="majorHAnsi" w:hAnsiTheme="majorHAnsi" w:cstheme="majorHAnsi"/>
          <w:i/>
          <w:iCs/>
          <w:sz w:val="22"/>
          <w:szCs w:val="22"/>
        </w:rPr>
      </w:pPr>
      <w:r w:rsidRPr="00833A3A">
        <w:rPr>
          <w:rFonts w:asciiTheme="majorHAnsi" w:hAnsiTheme="majorHAnsi" w:cstheme="majorHAnsi"/>
          <w:sz w:val="22"/>
          <w:szCs w:val="22"/>
        </w:rPr>
        <w:t xml:space="preserve">Saghaei, s. (2009). Investigate the relationship between alexithymia and educational purpose with anxiety in high school students. </w:t>
      </w:r>
      <w:r w:rsidRPr="00833A3A">
        <w:rPr>
          <w:rFonts w:asciiTheme="majorHAnsi" w:hAnsiTheme="majorHAnsi" w:cstheme="majorHAnsi"/>
          <w:i/>
          <w:iCs/>
          <w:sz w:val="22"/>
          <w:szCs w:val="22"/>
        </w:rPr>
        <w:t>Master's thesis. Allameh Tabatabaei University.</w:t>
      </w:r>
    </w:p>
    <w:p w14:paraId="0E3F38D7" w14:textId="77777777" w:rsidR="00E74BCC" w:rsidRPr="00833A3A" w:rsidRDefault="00E74BCC" w:rsidP="00833A3A">
      <w:pPr>
        <w:spacing w:after="120"/>
        <w:ind w:left="426" w:hanging="426"/>
        <w:jc w:val="both"/>
        <w:rPr>
          <w:rFonts w:asciiTheme="majorHAnsi" w:hAnsiTheme="majorHAnsi" w:cstheme="majorHAnsi"/>
          <w:sz w:val="22"/>
          <w:szCs w:val="22"/>
          <w:u w:val="single"/>
        </w:rPr>
      </w:pPr>
      <w:r w:rsidRPr="00833A3A">
        <w:rPr>
          <w:rFonts w:asciiTheme="majorHAnsi" w:hAnsiTheme="majorHAnsi" w:cstheme="majorHAnsi"/>
          <w:sz w:val="22"/>
          <w:szCs w:val="22"/>
        </w:rPr>
        <w:t xml:space="preserve">Sawhney, N., &amp; Bansal, S. (2015). Metacognitive awareness of undergraduate students in relation to their academic achievement. </w:t>
      </w:r>
      <w:r w:rsidRPr="00833A3A">
        <w:rPr>
          <w:rFonts w:asciiTheme="majorHAnsi" w:hAnsiTheme="majorHAnsi" w:cstheme="majorHAnsi"/>
          <w:i/>
          <w:iCs/>
          <w:sz w:val="22"/>
          <w:szCs w:val="22"/>
        </w:rPr>
        <w:t>The International Journal of Indian Psychology, 3</w:t>
      </w:r>
      <w:r w:rsidRPr="00833A3A">
        <w:rPr>
          <w:rFonts w:asciiTheme="majorHAnsi" w:hAnsiTheme="majorHAnsi" w:cstheme="majorHAnsi"/>
          <w:sz w:val="22"/>
          <w:szCs w:val="22"/>
        </w:rPr>
        <w:t>(1), 107-114.</w:t>
      </w:r>
      <w:hyperlink r:id="rId60" w:history="1">
        <w:r w:rsidRPr="00833A3A">
          <w:rPr>
            <w:rStyle w:val="Hyperlink"/>
            <w:rFonts w:asciiTheme="majorHAnsi" w:hAnsiTheme="majorHAnsi" w:cstheme="majorHAnsi"/>
            <w:sz w:val="22"/>
            <w:szCs w:val="22"/>
          </w:rPr>
          <w:t xml:space="preserve"> https://doi.org/10.25215/0301.136</w:t>
        </w:r>
      </w:hyperlink>
    </w:p>
    <w:p w14:paraId="2A744FDF" w14:textId="77777777" w:rsidR="00E74BCC" w:rsidRPr="00833A3A" w:rsidRDefault="00E74BCC" w:rsidP="00833A3A">
      <w:pPr>
        <w:spacing w:after="120"/>
        <w:ind w:left="426" w:hanging="426"/>
        <w:jc w:val="both"/>
        <w:rPr>
          <w:rFonts w:asciiTheme="majorHAnsi" w:hAnsiTheme="majorHAnsi" w:cstheme="majorHAnsi"/>
          <w:sz w:val="22"/>
          <w:szCs w:val="22"/>
        </w:rPr>
      </w:pPr>
      <w:r w:rsidRPr="00833A3A">
        <w:rPr>
          <w:rFonts w:asciiTheme="majorHAnsi" w:hAnsiTheme="majorHAnsi" w:cstheme="majorHAnsi"/>
          <w:sz w:val="22"/>
          <w:szCs w:val="22"/>
        </w:rPr>
        <w:t xml:space="preserve">Schraw, G. &amp; Dannison, R. (1994). Assessing metacognitive awareness.  </w:t>
      </w:r>
      <w:r w:rsidRPr="00833A3A">
        <w:rPr>
          <w:rFonts w:asciiTheme="majorHAnsi" w:hAnsiTheme="majorHAnsi" w:cstheme="majorHAnsi"/>
          <w:i/>
          <w:iCs/>
          <w:sz w:val="22"/>
          <w:szCs w:val="22"/>
        </w:rPr>
        <w:t>Contemporary Educational Psychology, 19</w:t>
      </w:r>
      <w:r w:rsidRPr="00833A3A">
        <w:rPr>
          <w:rFonts w:asciiTheme="majorHAnsi" w:hAnsiTheme="majorHAnsi" w:cstheme="majorHAnsi"/>
          <w:sz w:val="22"/>
          <w:szCs w:val="22"/>
        </w:rPr>
        <w:t xml:space="preserve">(4),460-475. </w:t>
      </w:r>
      <w:hyperlink r:id="rId61" w:history="1">
        <w:r w:rsidRPr="00833A3A">
          <w:rPr>
            <w:rStyle w:val="Hyperlink"/>
            <w:rFonts w:asciiTheme="majorHAnsi" w:hAnsiTheme="majorHAnsi" w:cstheme="majorHAnsi"/>
            <w:sz w:val="22"/>
            <w:szCs w:val="22"/>
          </w:rPr>
          <w:t>https://doi.org/10.1006/ceps.1994.1033</w:t>
        </w:r>
      </w:hyperlink>
    </w:p>
    <w:p w14:paraId="4B28E797" w14:textId="77777777" w:rsidR="00E74BCC" w:rsidRPr="00833A3A" w:rsidRDefault="00E74BCC" w:rsidP="00833A3A">
      <w:pPr>
        <w:spacing w:after="120"/>
        <w:ind w:left="426" w:hanging="426"/>
        <w:jc w:val="both"/>
        <w:rPr>
          <w:rFonts w:asciiTheme="majorHAnsi" w:hAnsiTheme="majorHAnsi" w:cstheme="majorHAnsi"/>
          <w:i/>
          <w:iCs/>
          <w:sz w:val="22"/>
          <w:szCs w:val="22"/>
        </w:rPr>
      </w:pPr>
      <w:r w:rsidRPr="00833A3A">
        <w:rPr>
          <w:rFonts w:asciiTheme="majorHAnsi" w:hAnsiTheme="majorHAnsi" w:cstheme="majorHAnsi"/>
          <w:sz w:val="22"/>
          <w:szCs w:val="22"/>
        </w:rPr>
        <w:t xml:space="preserve">Schurz, M., Radua, J., Tholen, M.G., Maliske, L., Margulies, D.S., Mars, R.B., Sallet, J., &amp; Kanske, P., (2020). Toward a hierarchical model of social cognition: A Neuroimaging meta-analysis and integrative review of empathy and theory of mind. </w:t>
      </w:r>
      <w:r w:rsidRPr="00833A3A">
        <w:rPr>
          <w:rFonts w:asciiTheme="majorHAnsi" w:hAnsiTheme="majorHAnsi" w:cstheme="majorHAnsi"/>
          <w:i/>
          <w:iCs/>
          <w:sz w:val="22"/>
          <w:szCs w:val="22"/>
        </w:rPr>
        <w:t>Psychological Bulletin, 147</w:t>
      </w:r>
      <w:r w:rsidRPr="00833A3A">
        <w:rPr>
          <w:rFonts w:asciiTheme="majorHAnsi" w:hAnsiTheme="majorHAnsi" w:cstheme="majorHAnsi"/>
          <w:sz w:val="22"/>
          <w:szCs w:val="22"/>
        </w:rPr>
        <w:t xml:space="preserve">(3), 293-327. </w:t>
      </w:r>
      <w:hyperlink r:id="rId62" w:history="1">
        <w:r w:rsidRPr="00833A3A">
          <w:rPr>
            <w:rStyle w:val="Hyperlink"/>
            <w:rFonts w:asciiTheme="majorHAnsi" w:hAnsiTheme="majorHAnsi" w:cstheme="majorHAnsi"/>
            <w:sz w:val="22"/>
            <w:szCs w:val="22"/>
          </w:rPr>
          <w:t>https://doi:10.1037/bul0000303</w:t>
        </w:r>
      </w:hyperlink>
    </w:p>
    <w:p w14:paraId="7B4973ED" w14:textId="77777777" w:rsidR="00E74BCC" w:rsidRPr="00833A3A" w:rsidRDefault="00E74BCC" w:rsidP="00833A3A">
      <w:pPr>
        <w:spacing w:after="120"/>
        <w:ind w:left="426" w:hanging="426"/>
        <w:jc w:val="both"/>
        <w:rPr>
          <w:rFonts w:asciiTheme="majorHAnsi" w:hAnsiTheme="majorHAnsi" w:cstheme="majorHAnsi"/>
          <w:sz w:val="22"/>
          <w:szCs w:val="22"/>
          <w:u w:val="single"/>
        </w:rPr>
      </w:pPr>
      <w:r w:rsidRPr="00833A3A">
        <w:rPr>
          <w:rFonts w:asciiTheme="majorHAnsi" w:hAnsiTheme="majorHAnsi" w:cstheme="majorHAnsi"/>
          <w:sz w:val="22"/>
          <w:szCs w:val="22"/>
        </w:rPr>
        <w:t xml:space="preserve">Sifneos, P. E. (1973). The prevalence of ‘alexithymic’ characteristics in psychosomatic patients. </w:t>
      </w:r>
      <w:r w:rsidRPr="00833A3A">
        <w:rPr>
          <w:rFonts w:asciiTheme="majorHAnsi" w:hAnsiTheme="majorHAnsi" w:cstheme="majorHAnsi"/>
          <w:i/>
          <w:iCs/>
          <w:sz w:val="22"/>
          <w:szCs w:val="22"/>
        </w:rPr>
        <w:t>Psychotherapy and Psychosomatics, 22</w:t>
      </w:r>
      <w:r w:rsidRPr="00833A3A">
        <w:rPr>
          <w:rFonts w:asciiTheme="majorHAnsi" w:hAnsiTheme="majorHAnsi" w:cstheme="majorHAnsi"/>
          <w:sz w:val="22"/>
          <w:szCs w:val="22"/>
        </w:rPr>
        <w:t xml:space="preserve">(2-6), 255-262. </w:t>
      </w:r>
      <w:hyperlink r:id="rId63" w:history="1">
        <w:r w:rsidRPr="00833A3A">
          <w:rPr>
            <w:rStyle w:val="Hyperlink"/>
            <w:rFonts w:asciiTheme="majorHAnsi" w:hAnsiTheme="majorHAnsi" w:cstheme="majorHAnsi"/>
            <w:sz w:val="22"/>
            <w:szCs w:val="22"/>
          </w:rPr>
          <w:t>http://dx.doi.org/10.1159/000286529</w:t>
        </w:r>
      </w:hyperlink>
      <w:r w:rsidRPr="00833A3A">
        <w:rPr>
          <w:rFonts w:asciiTheme="majorHAnsi" w:hAnsiTheme="majorHAnsi" w:cstheme="majorHAnsi"/>
          <w:sz w:val="22"/>
          <w:szCs w:val="22"/>
          <w:u w:val="single"/>
        </w:rPr>
        <w:t>.</w:t>
      </w:r>
    </w:p>
    <w:p w14:paraId="4BF156C3" w14:textId="77777777" w:rsidR="00E74BCC" w:rsidRPr="00833A3A" w:rsidRDefault="00E74BCC" w:rsidP="00833A3A">
      <w:pPr>
        <w:spacing w:after="120"/>
        <w:ind w:left="426" w:hanging="426"/>
        <w:jc w:val="both"/>
        <w:rPr>
          <w:rFonts w:asciiTheme="majorHAnsi" w:hAnsiTheme="majorHAnsi" w:cstheme="majorHAnsi"/>
          <w:sz w:val="22"/>
          <w:szCs w:val="22"/>
          <w:u w:val="single"/>
        </w:rPr>
      </w:pPr>
      <w:r w:rsidRPr="00833A3A">
        <w:rPr>
          <w:rFonts w:asciiTheme="majorHAnsi" w:hAnsiTheme="majorHAnsi" w:cstheme="majorHAnsi"/>
          <w:sz w:val="22"/>
          <w:szCs w:val="22"/>
        </w:rPr>
        <w:t xml:space="preserve">Sifneos, P.E. (1988). Alexithymia and its relationship to hemispheric specialization, affect, and creativity. </w:t>
      </w:r>
      <w:r w:rsidRPr="00833A3A">
        <w:rPr>
          <w:rFonts w:asciiTheme="majorHAnsi" w:hAnsiTheme="majorHAnsi" w:cstheme="majorHAnsi"/>
          <w:i/>
          <w:iCs/>
          <w:sz w:val="22"/>
          <w:szCs w:val="22"/>
        </w:rPr>
        <w:t>American Journal of Clinical Psychology, 11</w:t>
      </w:r>
      <w:r w:rsidRPr="00833A3A">
        <w:rPr>
          <w:rFonts w:asciiTheme="majorHAnsi" w:hAnsiTheme="majorHAnsi" w:cstheme="majorHAnsi"/>
          <w:sz w:val="22"/>
          <w:szCs w:val="22"/>
        </w:rPr>
        <w:t xml:space="preserve">, 287-292. </w:t>
      </w:r>
      <w:hyperlink r:id="rId64" w:tgtFrame="_blank" w:tooltip="Persistent link using digital object identifier" w:history="1">
        <w:r w:rsidRPr="00833A3A">
          <w:rPr>
            <w:rStyle w:val="Hyperlink"/>
            <w:rFonts w:asciiTheme="majorHAnsi" w:hAnsiTheme="majorHAnsi" w:cstheme="majorHAnsi"/>
            <w:sz w:val="22"/>
            <w:szCs w:val="22"/>
          </w:rPr>
          <w:t>https://doi.org/10.1016/S0193-953X(18)30480-5</w:t>
        </w:r>
      </w:hyperlink>
    </w:p>
    <w:p w14:paraId="049A66DD" w14:textId="77777777" w:rsidR="00E74BCC" w:rsidRPr="00833A3A" w:rsidRDefault="00E74BCC" w:rsidP="00833A3A">
      <w:pPr>
        <w:spacing w:after="120"/>
        <w:ind w:left="426" w:hanging="426"/>
        <w:jc w:val="both"/>
        <w:rPr>
          <w:rFonts w:asciiTheme="majorHAnsi" w:hAnsiTheme="majorHAnsi" w:cstheme="majorHAnsi"/>
          <w:i/>
          <w:iCs/>
          <w:sz w:val="22"/>
          <w:szCs w:val="22"/>
        </w:rPr>
      </w:pPr>
      <w:r w:rsidRPr="00833A3A">
        <w:rPr>
          <w:rFonts w:asciiTheme="majorHAnsi" w:hAnsiTheme="majorHAnsi" w:cstheme="majorHAnsi"/>
          <w:sz w:val="22"/>
          <w:szCs w:val="22"/>
        </w:rPr>
        <w:t xml:space="preserve">Spicer, L. (2018). Exploring the relationship between alexithymia and empathy: The role of emotion recognition and metacognitive ability. </w:t>
      </w:r>
      <w:r w:rsidRPr="00833A3A">
        <w:rPr>
          <w:rFonts w:asciiTheme="majorHAnsi" w:hAnsiTheme="majorHAnsi" w:cstheme="majorHAnsi"/>
          <w:i/>
          <w:iCs/>
          <w:sz w:val="22"/>
          <w:szCs w:val="22"/>
        </w:rPr>
        <w:t>Report submitted as a partial requirement Bachelor of Psychological Science with Honors degree in Psychology at the University of Tasmania.</w:t>
      </w:r>
    </w:p>
    <w:p w14:paraId="3268CE9A" w14:textId="77777777" w:rsidR="00E74BCC" w:rsidRPr="00833A3A" w:rsidRDefault="00E74BCC" w:rsidP="00833A3A">
      <w:pPr>
        <w:spacing w:after="120"/>
        <w:ind w:left="426" w:hanging="426"/>
        <w:jc w:val="both"/>
        <w:rPr>
          <w:rFonts w:asciiTheme="majorHAnsi" w:hAnsiTheme="majorHAnsi" w:cstheme="majorHAnsi"/>
          <w:sz w:val="22"/>
          <w:szCs w:val="22"/>
          <w:rtl/>
        </w:rPr>
      </w:pPr>
      <w:r w:rsidRPr="00833A3A">
        <w:rPr>
          <w:rFonts w:asciiTheme="majorHAnsi" w:hAnsiTheme="majorHAnsi" w:cstheme="majorHAnsi"/>
          <w:sz w:val="22"/>
          <w:szCs w:val="22"/>
        </w:rPr>
        <w:t xml:space="preserve">Taylor, G, J., Bagby, R. M. &amp; Parker, J. D. (1997), </w:t>
      </w:r>
      <w:r w:rsidRPr="00833A3A">
        <w:rPr>
          <w:rFonts w:asciiTheme="majorHAnsi" w:hAnsiTheme="majorHAnsi" w:cstheme="majorHAnsi"/>
          <w:i/>
          <w:iCs/>
          <w:sz w:val="22"/>
          <w:szCs w:val="22"/>
        </w:rPr>
        <w:t>Disorders of affect regulation, alexithymia in medical and psychiatric illness</w:t>
      </w:r>
      <w:r w:rsidRPr="00833A3A">
        <w:rPr>
          <w:rFonts w:asciiTheme="majorHAnsi" w:hAnsiTheme="majorHAnsi" w:cstheme="majorHAnsi"/>
          <w:sz w:val="22"/>
          <w:szCs w:val="22"/>
        </w:rPr>
        <w:t>. Cambridge University Press, New York.</w:t>
      </w:r>
    </w:p>
    <w:p w14:paraId="79CACB20" w14:textId="77777777" w:rsidR="00E74BCC" w:rsidRPr="00833A3A" w:rsidRDefault="00E74BCC" w:rsidP="00833A3A">
      <w:pPr>
        <w:spacing w:after="120"/>
        <w:ind w:left="426" w:hanging="426"/>
        <w:jc w:val="both"/>
        <w:rPr>
          <w:rFonts w:asciiTheme="majorHAnsi" w:hAnsiTheme="majorHAnsi" w:cstheme="majorHAnsi"/>
          <w:sz w:val="22"/>
          <w:szCs w:val="22"/>
          <w:u w:val="single"/>
        </w:rPr>
      </w:pPr>
      <w:r w:rsidRPr="00833A3A">
        <w:rPr>
          <w:rFonts w:asciiTheme="majorHAnsi" w:hAnsiTheme="majorHAnsi" w:cstheme="majorHAnsi"/>
          <w:sz w:val="22"/>
          <w:szCs w:val="22"/>
        </w:rPr>
        <w:t xml:space="preserve">Taylor, G. J. (2000). Recent developments in alexithymia theory and research. </w:t>
      </w:r>
      <w:r w:rsidRPr="00833A3A">
        <w:rPr>
          <w:rFonts w:asciiTheme="majorHAnsi" w:hAnsiTheme="majorHAnsi" w:cstheme="majorHAnsi"/>
          <w:i/>
          <w:iCs/>
          <w:sz w:val="22"/>
          <w:szCs w:val="22"/>
        </w:rPr>
        <w:t>Canadian Journal of Psychiatry, 45</w:t>
      </w:r>
      <w:r w:rsidRPr="00833A3A">
        <w:rPr>
          <w:rFonts w:asciiTheme="majorHAnsi" w:hAnsiTheme="majorHAnsi" w:cstheme="majorHAnsi"/>
          <w:i/>
          <w:iCs/>
          <w:sz w:val="22"/>
          <w:szCs w:val="22"/>
          <w:highlight w:val="yellow"/>
        </w:rPr>
        <w:t>,</w:t>
      </w:r>
      <w:r w:rsidRPr="00833A3A">
        <w:rPr>
          <w:rFonts w:asciiTheme="majorHAnsi" w:hAnsiTheme="majorHAnsi" w:cstheme="majorHAnsi"/>
          <w:sz w:val="22"/>
          <w:szCs w:val="22"/>
        </w:rPr>
        <w:t xml:space="preserve">134-142. </w:t>
      </w:r>
      <w:hyperlink r:id="rId65" w:history="1">
        <w:r w:rsidRPr="00833A3A">
          <w:rPr>
            <w:rStyle w:val="Hyperlink"/>
            <w:rFonts w:asciiTheme="majorHAnsi" w:hAnsiTheme="majorHAnsi" w:cstheme="majorHAnsi"/>
            <w:sz w:val="22"/>
            <w:szCs w:val="22"/>
          </w:rPr>
          <w:t>https://doi.org/10.1177/07067437000450</w:t>
        </w:r>
      </w:hyperlink>
    </w:p>
    <w:p w14:paraId="73DF7B04" w14:textId="77777777" w:rsidR="00E74BCC" w:rsidRPr="00833A3A" w:rsidRDefault="00E74BCC" w:rsidP="00833A3A">
      <w:pPr>
        <w:spacing w:after="120"/>
        <w:ind w:left="426" w:hanging="426"/>
        <w:jc w:val="both"/>
        <w:rPr>
          <w:rFonts w:asciiTheme="majorHAnsi" w:hAnsiTheme="majorHAnsi" w:cstheme="majorHAnsi"/>
          <w:sz w:val="22"/>
          <w:szCs w:val="22"/>
          <w:rtl/>
        </w:rPr>
      </w:pPr>
      <w:r w:rsidRPr="00833A3A">
        <w:rPr>
          <w:rFonts w:asciiTheme="majorHAnsi" w:hAnsiTheme="majorHAnsi" w:cstheme="majorHAnsi"/>
          <w:sz w:val="22"/>
          <w:szCs w:val="22"/>
        </w:rPr>
        <w:t xml:space="preserve">Taylor, G. J.&amp; Taylor, H.S. (1997). Alexithithmia. In: M. McCallum&amp; W.E Piper (Eds.). </w:t>
      </w:r>
      <w:r w:rsidRPr="00833A3A">
        <w:rPr>
          <w:rFonts w:asciiTheme="majorHAnsi" w:hAnsiTheme="majorHAnsi" w:cstheme="majorHAnsi"/>
          <w:i/>
          <w:iCs/>
          <w:sz w:val="22"/>
          <w:szCs w:val="22"/>
        </w:rPr>
        <w:t>Psychological mindedness: A contemporary understanding.</w:t>
      </w:r>
      <w:r w:rsidRPr="00833A3A">
        <w:rPr>
          <w:rFonts w:asciiTheme="majorHAnsi" w:hAnsiTheme="majorHAnsi" w:cstheme="majorHAnsi"/>
          <w:sz w:val="22"/>
          <w:szCs w:val="22"/>
        </w:rPr>
        <w:t xml:space="preserve">  Lawrence Erlbaum Associate’s .</w:t>
      </w:r>
    </w:p>
    <w:p w14:paraId="5F7F33F9" w14:textId="77777777" w:rsidR="00E74BCC" w:rsidRPr="00833A3A" w:rsidRDefault="00E74BCC" w:rsidP="00833A3A">
      <w:pPr>
        <w:spacing w:after="120"/>
        <w:ind w:left="426" w:hanging="426"/>
        <w:jc w:val="both"/>
        <w:rPr>
          <w:rFonts w:asciiTheme="majorHAnsi" w:hAnsiTheme="majorHAnsi" w:cstheme="majorHAnsi"/>
          <w:sz w:val="22"/>
          <w:szCs w:val="22"/>
        </w:rPr>
      </w:pPr>
      <w:r w:rsidRPr="00833A3A">
        <w:rPr>
          <w:rFonts w:asciiTheme="majorHAnsi" w:hAnsiTheme="majorHAnsi" w:cstheme="majorHAnsi"/>
          <w:sz w:val="22"/>
          <w:szCs w:val="22"/>
        </w:rPr>
        <w:lastRenderedPageBreak/>
        <w:t xml:space="preserve">Taylor, G. J., &amp; Bagby R. M. (2000): An Overview of the Alexithymia Construct. In: R. Bar-on &amp; J. D. A. Parker, (Ed). </w:t>
      </w:r>
      <w:r w:rsidRPr="00833A3A">
        <w:rPr>
          <w:rFonts w:asciiTheme="majorHAnsi" w:hAnsiTheme="majorHAnsi" w:cstheme="majorHAnsi"/>
          <w:i/>
          <w:iCs/>
          <w:sz w:val="22"/>
          <w:szCs w:val="22"/>
        </w:rPr>
        <w:t>The Handbook of Emotional Intelligence,</w:t>
      </w:r>
      <w:r w:rsidRPr="00833A3A">
        <w:rPr>
          <w:rFonts w:asciiTheme="majorHAnsi" w:hAnsiTheme="majorHAnsi" w:cstheme="majorHAnsi"/>
          <w:sz w:val="22"/>
          <w:szCs w:val="22"/>
        </w:rPr>
        <w:t xml:space="preserve"> San Francisco: jossey-vol 3, p 41-67.</w:t>
      </w:r>
    </w:p>
    <w:p w14:paraId="2DF9CA79" w14:textId="77777777" w:rsidR="00E74BCC" w:rsidRPr="00833A3A" w:rsidRDefault="00E74BCC" w:rsidP="00833A3A">
      <w:pPr>
        <w:spacing w:after="120"/>
        <w:ind w:left="426" w:hanging="426"/>
        <w:jc w:val="both"/>
        <w:rPr>
          <w:rStyle w:val="Hyperlink"/>
          <w:rFonts w:asciiTheme="majorHAnsi" w:hAnsiTheme="majorHAnsi" w:cstheme="majorHAnsi"/>
          <w:sz w:val="22"/>
          <w:szCs w:val="22"/>
        </w:rPr>
      </w:pPr>
      <w:r w:rsidRPr="00833A3A">
        <w:rPr>
          <w:rFonts w:asciiTheme="majorHAnsi" w:eastAsia="Calibri" w:hAnsiTheme="majorHAnsi" w:cstheme="majorHAnsi"/>
          <w:kern w:val="2"/>
          <w:sz w:val="22"/>
          <w:szCs w:val="22"/>
          <w14:ligatures w14:val="standardContextual"/>
        </w:rPr>
        <w:t>Tomljenovic</w:t>
      </w:r>
      <w:r w:rsidRPr="00833A3A">
        <w:rPr>
          <w:rFonts w:asciiTheme="majorHAnsi" w:eastAsia="Calibri" w:hAnsiTheme="majorHAnsi" w:cstheme="majorHAnsi"/>
          <w:kern w:val="2"/>
          <w:sz w:val="22"/>
          <w:szCs w:val="22"/>
          <w:lang w:bidi="ar-EG"/>
          <w14:ligatures w14:val="standardContextual"/>
        </w:rPr>
        <w:t xml:space="preserve">, H., &amp;  Bubic, A. (2021). Cognitive and emotional factors in health behaviour: dual-process reasoning, cognitive styles and optimism as predictors of healthy lifestyle, healthy behaviours and medical adherence. </w:t>
      </w:r>
      <w:r w:rsidRPr="00833A3A">
        <w:rPr>
          <w:rFonts w:asciiTheme="majorHAnsi" w:eastAsia="Calibri" w:hAnsiTheme="majorHAnsi" w:cstheme="majorHAnsi"/>
          <w:i/>
          <w:iCs/>
          <w:kern w:val="2"/>
          <w:sz w:val="22"/>
          <w:szCs w:val="22"/>
          <w:lang w:bidi="ar-EG"/>
          <w14:ligatures w14:val="standardContextual"/>
        </w:rPr>
        <w:t>Current Psychology, 40</w:t>
      </w:r>
      <w:r w:rsidRPr="00833A3A">
        <w:rPr>
          <w:rFonts w:asciiTheme="majorHAnsi" w:eastAsia="Calibri" w:hAnsiTheme="majorHAnsi" w:cstheme="majorHAnsi"/>
          <w:kern w:val="2"/>
          <w:sz w:val="22"/>
          <w:szCs w:val="22"/>
          <w:lang w:bidi="ar-EG"/>
          <w14:ligatures w14:val="standardContextual"/>
        </w:rPr>
        <w:t xml:space="preserve">(7), 3256–3264. </w:t>
      </w:r>
      <w:r w:rsidRPr="00833A3A">
        <w:rPr>
          <w:rStyle w:val="Hyperlink"/>
          <w:rFonts w:asciiTheme="majorHAnsi" w:hAnsiTheme="majorHAnsi" w:cstheme="majorHAnsi"/>
          <w:sz w:val="22"/>
          <w:szCs w:val="22"/>
        </w:rPr>
        <w:t>https://doi.org/10.1007/s12144-019</w:t>
      </w:r>
    </w:p>
    <w:p w14:paraId="62D956D3" w14:textId="77777777" w:rsidR="00E74BCC" w:rsidRPr="00833A3A" w:rsidRDefault="00E74BCC" w:rsidP="00833A3A">
      <w:pPr>
        <w:spacing w:after="120"/>
        <w:ind w:left="426" w:hanging="426"/>
        <w:jc w:val="both"/>
        <w:rPr>
          <w:rFonts w:asciiTheme="majorHAnsi" w:hAnsiTheme="majorHAnsi" w:cstheme="majorHAnsi"/>
          <w:sz w:val="22"/>
          <w:szCs w:val="22"/>
        </w:rPr>
      </w:pPr>
      <w:r w:rsidRPr="00833A3A">
        <w:rPr>
          <w:rFonts w:asciiTheme="majorHAnsi" w:hAnsiTheme="majorHAnsi" w:cstheme="majorHAnsi"/>
          <w:sz w:val="22"/>
          <w:szCs w:val="22"/>
        </w:rPr>
        <w:t xml:space="preserve">Ucok, D. (2023). The relationship between alexithymia and counterproductive behaviors in the workplace. </w:t>
      </w:r>
      <w:r w:rsidRPr="00833A3A">
        <w:rPr>
          <w:rFonts w:asciiTheme="majorHAnsi" w:hAnsiTheme="majorHAnsi" w:cstheme="majorHAnsi"/>
          <w:i/>
          <w:iCs/>
          <w:sz w:val="22"/>
          <w:szCs w:val="22"/>
        </w:rPr>
        <w:t>Organizational Psychology, 13</w:t>
      </w:r>
      <w:r w:rsidRPr="00833A3A">
        <w:rPr>
          <w:rFonts w:asciiTheme="majorHAnsi" w:hAnsiTheme="majorHAnsi" w:cstheme="majorHAnsi"/>
          <w:sz w:val="22"/>
          <w:szCs w:val="22"/>
        </w:rPr>
        <w:t xml:space="preserve">(2), 37–52. </w:t>
      </w:r>
      <w:hyperlink r:id="rId66" w:history="1">
        <w:r w:rsidRPr="00833A3A">
          <w:rPr>
            <w:rStyle w:val="Hyperlink"/>
            <w:rFonts w:asciiTheme="majorHAnsi" w:hAnsiTheme="majorHAnsi" w:cstheme="majorHAnsi"/>
            <w:sz w:val="22"/>
            <w:szCs w:val="22"/>
          </w:rPr>
          <w:t>https://doi.org/10.17323/2312-5942-2023-13-2-37-52</w:t>
        </w:r>
      </w:hyperlink>
      <w:r w:rsidRPr="00833A3A">
        <w:rPr>
          <w:rFonts w:asciiTheme="majorHAnsi" w:hAnsiTheme="majorHAnsi" w:cstheme="majorHAnsi"/>
          <w:sz w:val="22"/>
          <w:szCs w:val="22"/>
        </w:rPr>
        <w:t>.</w:t>
      </w:r>
    </w:p>
    <w:p w14:paraId="46E4D8CF" w14:textId="77777777" w:rsidR="00E74BCC" w:rsidRPr="00833A3A" w:rsidRDefault="00E74BCC" w:rsidP="00833A3A">
      <w:pPr>
        <w:spacing w:after="120"/>
        <w:ind w:left="426" w:hanging="426"/>
        <w:jc w:val="both"/>
        <w:rPr>
          <w:rFonts w:asciiTheme="majorHAnsi" w:hAnsiTheme="majorHAnsi" w:cstheme="majorHAnsi"/>
          <w:sz w:val="22"/>
          <w:szCs w:val="22"/>
        </w:rPr>
      </w:pPr>
      <w:r w:rsidRPr="00833A3A">
        <w:rPr>
          <w:rFonts w:asciiTheme="majorHAnsi" w:hAnsiTheme="majorHAnsi" w:cstheme="majorHAnsi"/>
          <w:sz w:val="22"/>
          <w:szCs w:val="22"/>
        </w:rPr>
        <w:t xml:space="preserve">Wasmuth, S.L., Outcalt, J., Buck, K., Leonhardt, B.L., Vohs, J., Lysaker, P. (2015). Metacognition in persons with substance abuse: Findings and implications for occupational therapists. </w:t>
      </w:r>
      <w:r w:rsidRPr="00833A3A">
        <w:rPr>
          <w:rFonts w:asciiTheme="majorHAnsi" w:hAnsiTheme="majorHAnsi" w:cstheme="majorHAnsi"/>
          <w:i/>
          <w:iCs/>
          <w:sz w:val="22"/>
          <w:szCs w:val="22"/>
        </w:rPr>
        <w:t>Canadian Journal of Occupational Therapy, 82</w:t>
      </w:r>
      <w:r w:rsidRPr="00833A3A">
        <w:rPr>
          <w:rFonts w:asciiTheme="majorHAnsi" w:hAnsiTheme="majorHAnsi" w:cstheme="majorHAnsi"/>
          <w:sz w:val="22"/>
          <w:szCs w:val="22"/>
        </w:rPr>
        <w:t xml:space="preserve">(3), 150-159. </w:t>
      </w:r>
      <w:hyperlink r:id="rId67" w:history="1">
        <w:r w:rsidRPr="00833A3A">
          <w:rPr>
            <w:rStyle w:val="Hyperlink"/>
            <w:rFonts w:asciiTheme="majorHAnsi" w:hAnsiTheme="majorHAnsi" w:cstheme="majorHAnsi"/>
            <w:sz w:val="22"/>
            <w:szCs w:val="22"/>
          </w:rPr>
          <w:t>http://dx.doi.org/10.1177/0008417414564865</w:t>
        </w:r>
      </w:hyperlink>
    </w:p>
    <w:p w14:paraId="545E5637" w14:textId="77777777" w:rsidR="00E74BCC" w:rsidRPr="00833A3A" w:rsidRDefault="00E74BCC" w:rsidP="00833A3A">
      <w:pPr>
        <w:spacing w:after="120"/>
        <w:ind w:left="426" w:hanging="426"/>
        <w:jc w:val="both"/>
        <w:rPr>
          <w:rStyle w:val="Hyperlink"/>
          <w:rFonts w:asciiTheme="majorHAnsi" w:eastAsia="Calibri" w:hAnsiTheme="majorHAnsi" w:cstheme="majorHAnsi"/>
          <w:kern w:val="2"/>
          <w:sz w:val="22"/>
          <w:szCs w:val="22"/>
          <w14:ligatures w14:val="standardContextual"/>
        </w:rPr>
      </w:pPr>
      <w:r w:rsidRPr="00833A3A">
        <w:rPr>
          <w:rFonts w:asciiTheme="majorHAnsi" w:hAnsiTheme="majorHAnsi" w:cstheme="majorHAnsi"/>
          <w:b/>
          <w:sz w:val="22"/>
          <w:szCs w:val="22"/>
        </w:rPr>
        <w:t xml:space="preserve"> </w:t>
      </w:r>
      <w:r w:rsidRPr="00833A3A">
        <w:rPr>
          <w:rFonts w:asciiTheme="majorHAnsi" w:hAnsiTheme="majorHAnsi" w:cstheme="majorHAnsi"/>
          <w:bCs/>
          <w:sz w:val="22"/>
          <w:szCs w:val="22"/>
        </w:rPr>
        <w:t xml:space="preserve">Weight, k.  &amp; Bond, J. (2022).  Metacognition as a Mental Health Support  Strategy for Students With Anxiety. </w:t>
      </w:r>
      <w:r w:rsidRPr="00833A3A">
        <w:rPr>
          <w:rFonts w:asciiTheme="majorHAnsi" w:hAnsiTheme="majorHAnsi" w:cstheme="majorHAnsi"/>
          <w:bCs/>
          <w:i/>
          <w:iCs/>
          <w:sz w:val="22"/>
          <w:szCs w:val="22"/>
        </w:rPr>
        <w:t>Journal of Education, 202</w:t>
      </w:r>
      <w:r w:rsidRPr="00833A3A">
        <w:rPr>
          <w:rFonts w:asciiTheme="majorHAnsi" w:hAnsiTheme="majorHAnsi" w:cstheme="majorHAnsi"/>
          <w:bCs/>
          <w:sz w:val="22"/>
          <w:szCs w:val="22"/>
        </w:rPr>
        <w:t>(4), 452-462.</w:t>
      </w:r>
      <w:r w:rsidRPr="00833A3A">
        <w:rPr>
          <w:rFonts w:asciiTheme="majorHAnsi" w:hAnsiTheme="majorHAnsi" w:cstheme="majorHAnsi"/>
          <w:b/>
          <w:sz w:val="22"/>
          <w:szCs w:val="22"/>
        </w:rPr>
        <w:t xml:space="preserve"> </w:t>
      </w:r>
      <w:hyperlink r:id="rId68" w:history="1">
        <w:r w:rsidRPr="00833A3A">
          <w:rPr>
            <w:rStyle w:val="Hyperlink"/>
            <w:rFonts w:asciiTheme="majorHAnsi" w:eastAsia="Calibri" w:hAnsiTheme="majorHAnsi" w:cstheme="majorHAnsi"/>
            <w:kern w:val="2"/>
            <w:sz w:val="22"/>
            <w:szCs w:val="22"/>
            <w14:ligatures w14:val="standardContextual"/>
          </w:rPr>
          <w:t>https://doi.org/10.1177/0022057421996242</w:t>
        </w:r>
      </w:hyperlink>
    </w:p>
    <w:p w14:paraId="421E4DBA" w14:textId="77777777" w:rsidR="00E74BCC" w:rsidRPr="00833A3A" w:rsidRDefault="00E74BCC" w:rsidP="00833A3A">
      <w:pPr>
        <w:spacing w:after="120"/>
        <w:ind w:left="426" w:hanging="426"/>
        <w:jc w:val="both"/>
        <w:rPr>
          <w:rFonts w:asciiTheme="majorHAnsi" w:hAnsiTheme="majorHAnsi" w:cstheme="majorHAnsi"/>
          <w:sz w:val="22"/>
          <w:szCs w:val="22"/>
        </w:rPr>
      </w:pPr>
      <w:r w:rsidRPr="00833A3A">
        <w:rPr>
          <w:rFonts w:asciiTheme="majorHAnsi" w:hAnsiTheme="majorHAnsi" w:cstheme="majorHAnsi"/>
          <w:sz w:val="22"/>
          <w:szCs w:val="22"/>
        </w:rPr>
        <w:t xml:space="preserve">Wells, A., &amp; King, P. (2006). Metacognitive therapy for generalized anxiety disorder: An open trial. Journal of Behavior Therapy and Experimental Psychiatry, 37(3), 206-212. </w:t>
      </w:r>
      <w:hyperlink r:id="rId69" w:history="1">
        <w:r w:rsidRPr="00833A3A">
          <w:rPr>
            <w:rStyle w:val="Hyperlink"/>
            <w:rFonts w:asciiTheme="majorHAnsi" w:hAnsiTheme="majorHAnsi" w:cstheme="majorHAnsi"/>
            <w:sz w:val="22"/>
            <w:szCs w:val="22"/>
          </w:rPr>
          <w:t>http://dx.doi.org/10.1016/j.jbtep.2005.07.002</w:t>
        </w:r>
      </w:hyperlink>
    </w:p>
    <w:p w14:paraId="1F98B8EE" w14:textId="77777777" w:rsidR="00E74BCC" w:rsidRPr="00833A3A" w:rsidRDefault="00E74BCC" w:rsidP="00833A3A">
      <w:pPr>
        <w:spacing w:after="120"/>
        <w:ind w:left="426" w:hanging="426"/>
        <w:jc w:val="both"/>
        <w:rPr>
          <w:rFonts w:asciiTheme="majorHAnsi" w:hAnsiTheme="majorHAnsi" w:cstheme="majorHAnsi"/>
          <w:sz w:val="22"/>
          <w:szCs w:val="22"/>
        </w:rPr>
      </w:pPr>
      <w:r w:rsidRPr="00833A3A">
        <w:rPr>
          <w:rFonts w:asciiTheme="majorHAnsi" w:hAnsiTheme="majorHAnsi" w:cstheme="majorHAnsi"/>
          <w:sz w:val="22"/>
          <w:szCs w:val="22"/>
        </w:rPr>
        <w:t xml:space="preserve">Yaghoubi, D. &amp; Salehi, M. (2016). The relationship between meta cognitions strategies and alexithymia with academic anxiety of students disorder learning. </w:t>
      </w:r>
      <w:r w:rsidRPr="00833A3A">
        <w:rPr>
          <w:rFonts w:asciiTheme="majorHAnsi" w:hAnsiTheme="majorHAnsi" w:cstheme="majorHAnsi"/>
          <w:i/>
          <w:iCs/>
          <w:sz w:val="22"/>
          <w:szCs w:val="22"/>
        </w:rPr>
        <w:t>International Journal of Social Science and Psychology, 1</w:t>
      </w:r>
      <w:r w:rsidRPr="00833A3A">
        <w:rPr>
          <w:rFonts w:asciiTheme="majorHAnsi" w:hAnsiTheme="majorHAnsi" w:cstheme="majorHAnsi"/>
          <w:sz w:val="22"/>
          <w:szCs w:val="22"/>
        </w:rPr>
        <w:t>(3), 125-133</w:t>
      </w:r>
      <w:r w:rsidRPr="00833A3A">
        <w:rPr>
          <w:rFonts w:asciiTheme="majorHAnsi" w:hAnsiTheme="majorHAnsi" w:cstheme="majorHAnsi"/>
          <w:sz w:val="22"/>
          <w:szCs w:val="22"/>
          <w:rtl/>
          <w:lang w:bidi="ar-EG"/>
        </w:rPr>
        <w:t>.</w:t>
      </w:r>
    </w:p>
    <w:p w14:paraId="479C43D6" w14:textId="52F56B65" w:rsidR="009130A9" w:rsidRPr="009C3FDD" w:rsidRDefault="00E74BCC" w:rsidP="00833A3A">
      <w:pPr>
        <w:spacing w:after="120"/>
        <w:ind w:left="426" w:hanging="426"/>
        <w:jc w:val="both"/>
        <w:rPr>
          <w:rFonts w:ascii="Times New Roman" w:hAnsi="Times New Roman" w:cs="Times New Roman"/>
          <w:rtl/>
        </w:rPr>
      </w:pPr>
      <w:r w:rsidRPr="00833A3A">
        <w:rPr>
          <w:rFonts w:asciiTheme="majorHAnsi" w:hAnsiTheme="majorHAnsi" w:cstheme="majorHAnsi"/>
          <w:sz w:val="22"/>
          <w:szCs w:val="22"/>
        </w:rPr>
        <w:t>Yavuz, M., Altan, B., Bayrak, B., Gündüz, M., &amp; Bolat, N. (2019)</w:t>
      </w:r>
      <w:r w:rsidRPr="00833A3A">
        <w:rPr>
          <w:rFonts w:asciiTheme="majorHAnsi" w:hAnsiTheme="majorHAnsi" w:cstheme="majorHAnsi"/>
          <w:sz w:val="22"/>
          <w:szCs w:val="22"/>
          <w:highlight w:val="yellow"/>
        </w:rPr>
        <w:t>.</w:t>
      </w:r>
      <w:r w:rsidRPr="00833A3A">
        <w:rPr>
          <w:rFonts w:asciiTheme="majorHAnsi" w:hAnsiTheme="majorHAnsi" w:cstheme="majorHAnsi"/>
          <w:sz w:val="22"/>
          <w:szCs w:val="22"/>
        </w:rPr>
        <w:t xml:space="preserve"> The relationships between nomophobia, alexithymia and metacognitive problems in an adolescent population. </w:t>
      </w:r>
      <w:r w:rsidRPr="00833A3A">
        <w:rPr>
          <w:rFonts w:asciiTheme="majorHAnsi" w:hAnsiTheme="majorHAnsi" w:cstheme="majorHAnsi"/>
          <w:i/>
          <w:iCs/>
          <w:sz w:val="22"/>
          <w:szCs w:val="22"/>
        </w:rPr>
        <w:t>The Turkish Journal of Pediatrics, 61</w:t>
      </w:r>
      <w:r w:rsidRPr="00833A3A">
        <w:rPr>
          <w:rFonts w:asciiTheme="majorHAnsi" w:hAnsiTheme="majorHAnsi" w:cstheme="majorHAnsi"/>
          <w:sz w:val="22"/>
          <w:szCs w:val="22"/>
        </w:rPr>
        <w:t xml:space="preserve">: 345-351. </w:t>
      </w:r>
      <w:hyperlink r:id="rId70" w:history="1">
        <w:r w:rsidRPr="00833A3A">
          <w:rPr>
            <w:rStyle w:val="Hyperlink"/>
            <w:rFonts w:asciiTheme="majorHAnsi" w:hAnsiTheme="majorHAnsi" w:cstheme="majorHAnsi"/>
            <w:sz w:val="22"/>
            <w:szCs w:val="22"/>
          </w:rPr>
          <w:t>https://doi.org/10.24953/turkjped.2019.03.005</w:t>
        </w:r>
      </w:hyperlink>
    </w:p>
    <w:sectPr w:rsidR="009130A9" w:rsidRPr="009C3FDD" w:rsidSect="0011736E">
      <w:footnotePr>
        <w:numFmt w:val="chicago"/>
      </w:footnotePr>
      <w:pgSz w:w="11901" w:h="16840"/>
      <w:pgMar w:top="1417" w:right="1417" w:bottom="1417" w:left="1417"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B17920" w15:done="0"/>
  <w15:commentEx w15:paraId="5BEB189C" w15:done="0"/>
  <w15:commentEx w15:paraId="50199F86" w15:done="0"/>
  <w15:commentEx w15:paraId="7DEC356E" w15:done="0"/>
  <w15:commentEx w15:paraId="28C2A598" w15:done="0"/>
  <w15:commentEx w15:paraId="506CE08B" w15:done="0"/>
  <w15:commentEx w15:paraId="4951D3AE" w15:done="0"/>
  <w15:commentEx w15:paraId="20663F23" w15:done="0"/>
  <w15:commentEx w15:paraId="212262BC" w15:done="0"/>
  <w15:commentEx w15:paraId="790194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08BF9BF" w16cex:dateUtc="2025-03-10T13:50:00Z"/>
  <w16cex:commentExtensible w16cex:durableId="718528BA" w16cex:dateUtc="2025-03-10T13:50:00Z"/>
  <w16cex:commentExtensible w16cex:durableId="73F3CEB5" w16cex:dateUtc="2025-03-10T13:47:00Z"/>
  <w16cex:commentExtensible w16cex:durableId="58503E2F" w16cex:dateUtc="2025-03-10T13:45:00Z"/>
  <w16cex:commentExtensible w16cex:durableId="2EB8BBEA" w16cex:dateUtc="2025-03-10T13:46:00Z"/>
  <w16cex:commentExtensible w16cex:durableId="07A34C71" w16cex:dateUtc="2025-03-10T13:46:00Z"/>
  <w16cex:commentExtensible w16cex:durableId="5BB7EB98" w16cex:dateUtc="2025-03-10T13:52:00Z"/>
  <w16cex:commentExtensible w16cex:durableId="1AB5C8C2" w16cex:dateUtc="2025-03-10T13:54:00Z"/>
  <w16cex:commentExtensible w16cex:durableId="57780759" w16cex:dateUtc="2025-03-10T13:56:00Z"/>
  <w16cex:commentExtensible w16cex:durableId="33D2CAFA" w16cex:dateUtc="2025-03-10T1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B17920" w16cid:durableId="408BF9BF"/>
  <w16cid:commentId w16cid:paraId="5BEB189C" w16cid:durableId="718528BA"/>
  <w16cid:commentId w16cid:paraId="50199F86" w16cid:durableId="73F3CEB5"/>
  <w16cid:commentId w16cid:paraId="7DEC356E" w16cid:durableId="58503E2F"/>
  <w16cid:commentId w16cid:paraId="28C2A598" w16cid:durableId="2EB8BBEA"/>
  <w16cid:commentId w16cid:paraId="506CE08B" w16cid:durableId="07A34C71"/>
  <w16cid:commentId w16cid:paraId="4951D3AE" w16cid:durableId="5BB7EB98"/>
  <w16cid:commentId w16cid:paraId="20663F23" w16cid:durableId="1AB5C8C2"/>
  <w16cid:commentId w16cid:paraId="212262BC" w16cid:durableId="57780759"/>
  <w16cid:commentId w16cid:paraId="7901946C" w16cid:durableId="33D2CAF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B7DE0B" w14:textId="77777777" w:rsidR="003211EB" w:rsidRDefault="003211EB" w:rsidP="002E250E">
      <w:r>
        <w:separator/>
      </w:r>
    </w:p>
  </w:endnote>
  <w:endnote w:type="continuationSeparator" w:id="0">
    <w:p w14:paraId="10C5A000" w14:textId="77777777" w:rsidR="003211EB" w:rsidRDefault="003211EB" w:rsidP="002E2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244BBE" w14:textId="77777777" w:rsidR="003211EB" w:rsidRDefault="003211EB" w:rsidP="002E250E">
      <w:r>
        <w:separator/>
      </w:r>
    </w:p>
  </w:footnote>
  <w:footnote w:type="continuationSeparator" w:id="0">
    <w:p w14:paraId="25DC6F44" w14:textId="77777777" w:rsidR="003211EB" w:rsidRDefault="003211EB" w:rsidP="002E25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322F0"/>
    <w:multiLevelType w:val="hybridMultilevel"/>
    <w:tmpl w:val="FBEC22C4"/>
    <w:lvl w:ilvl="0" w:tplc="D65C0BCA">
      <w:start w:val="1"/>
      <w:numFmt w:val="decimal"/>
      <w:lvlText w:val="%1."/>
      <w:lvlJc w:val="left"/>
      <w:pPr>
        <w:ind w:left="720" w:hanging="360"/>
      </w:pPr>
      <w:rPr>
        <w:rFonts w:hint="default"/>
      </w:rPr>
    </w:lvl>
    <w:lvl w:ilvl="1" w:tplc="8C3A0B82" w:tentative="1">
      <w:start w:val="1"/>
      <w:numFmt w:val="bullet"/>
      <w:lvlText w:val="o"/>
      <w:lvlJc w:val="left"/>
      <w:pPr>
        <w:ind w:left="1440" w:hanging="360"/>
      </w:pPr>
      <w:rPr>
        <w:rFonts w:ascii="Courier New" w:hAnsi="Courier New" w:cs="Courier New" w:hint="default"/>
      </w:rPr>
    </w:lvl>
    <w:lvl w:ilvl="2" w:tplc="D6B21E20" w:tentative="1">
      <w:start w:val="1"/>
      <w:numFmt w:val="bullet"/>
      <w:lvlText w:val=""/>
      <w:lvlJc w:val="left"/>
      <w:pPr>
        <w:ind w:left="2160" w:hanging="360"/>
      </w:pPr>
      <w:rPr>
        <w:rFonts w:ascii="Wingdings" w:hAnsi="Wingdings" w:hint="default"/>
      </w:rPr>
    </w:lvl>
    <w:lvl w:ilvl="3" w:tplc="08B424FA" w:tentative="1">
      <w:start w:val="1"/>
      <w:numFmt w:val="bullet"/>
      <w:lvlText w:val=""/>
      <w:lvlJc w:val="left"/>
      <w:pPr>
        <w:ind w:left="2880" w:hanging="360"/>
      </w:pPr>
      <w:rPr>
        <w:rFonts w:ascii="Symbol" w:hAnsi="Symbol" w:hint="default"/>
      </w:rPr>
    </w:lvl>
    <w:lvl w:ilvl="4" w:tplc="DE527342" w:tentative="1">
      <w:start w:val="1"/>
      <w:numFmt w:val="bullet"/>
      <w:lvlText w:val="o"/>
      <w:lvlJc w:val="left"/>
      <w:pPr>
        <w:ind w:left="3600" w:hanging="360"/>
      </w:pPr>
      <w:rPr>
        <w:rFonts w:ascii="Courier New" w:hAnsi="Courier New" w:cs="Courier New" w:hint="default"/>
      </w:rPr>
    </w:lvl>
    <w:lvl w:ilvl="5" w:tplc="3D4AB9A2" w:tentative="1">
      <w:start w:val="1"/>
      <w:numFmt w:val="bullet"/>
      <w:lvlText w:val=""/>
      <w:lvlJc w:val="left"/>
      <w:pPr>
        <w:ind w:left="4320" w:hanging="360"/>
      </w:pPr>
      <w:rPr>
        <w:rFonts w:ascii="Wingdings" w:hAnsi="Wingdings" w:hint="default"/>
      </w:rPr>
    </w:lvl>
    <w:lvl w:ilvl="6" w:tplc="0B94A266" w:tentative="1">
      <w:start w:val="1"/>
      <w:numFmt w:val="bullet"/>
      <w:lvlText w:val=""/>
      <w:lvlJc w:val="left"/>
      <w:pPr>
        <w:ind w:left="5040" w:hanging="360"/>
      </w:pPr>
      <w:rPr>
        <w:rFonts w:ascii="Symbol" w:hAnsi="Symbol" w:hint="default"/>
      </w:rPr>
    </w:lvl>
    <w:lvl w:ilvl="7" w:tplc="BE10E8CA" w:tentative="1">
      <w:start w:val="1"/>
      <w:numFmt w:val="bullet"/>
      <w:lvlText w:val="o"/>
      <w:lvlJc w:val="left"/>
      <w:pPr>
        <w:ind w:left="5760" w:hanging="360"/>
      </w:pPr>
      <w:rPr>
        <w:rFonts w:ascii="Courier New" w:hAnsi="Courier New" w:cs="Courier New" w:hint="default"/>
      </w:rPr>
    </w:lvl>
    <w:lvl w:ilvl="8" w:tplc="3B6292EE" w:tentative="1">
      <w:start w:val="1"/>
      <w:numFmt w:val="bullet"/>
      <w:lvlText w:val=""/>
      <w:lvlJc w:val="left"/>
      <w:pPr>
        <w:ind w:left="6480" w:hanging="360"/>
      </w:pPr>
      <w:rPr>
        <w:rFonts w:ascii="Wingdings" w:hAnsi="Wingdings" w:hint="default"/>
      </w:rPr>
    </w:lvl>
  </w:abstractNum>
  <w:abstractNum w:abstractNumId="1">
    <w:nsid w:val="248823F1"/>
    <w:multiLevelType w:val="hybridMultilevel"/>
    <w:tmpl w:val="16C28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8D77D17"/>
    <w:multiLevelType w:val="hybridMultilevel"/>
    <w:tmpl w:val="E848BCF2"/>
    <w:lvl w:ilvl="0" w:tplc="66AE881E">
      <w:start w:val="1"/>
      <w:numFmt w:val="decimal"/>
      <w:lvlText w:val="%1."/>
      <w:lvlJc w:val="left"/>
      <w:pPr>
        <w:ind w:left="720" w:hanging="360"/>
      </w:pPr>
      <w:rPr>
        <w:rFonts w:hint="default"/>
      </w:rPr>
    </w:lvl>
    <w:lvl w:ilvl="1" w:tplc="4CA248CA" w:tentative="1">
      <w:start w:val="1"/>
      <w:numFmt w:val="lowerLetter"/>
      <w:lvlText w:val="%2."/>
      <w:lvlJc w:val="left"/>
      <w:pPr>
        <w:ind w:left="1440" w:hanging="360"/>
      </w:pPr>
    </w:lvl>
    <w:lvl w:ilvl="2" w:tplc="D4D46754" w:tentative="1">
      <w:start w:val="1"/>
      <w:numFmt w:val="lowerRoman"/>
      <w:lvlText w:val="%3."/>
      <w:lvlJc w:val="right"/>
      <w:pPr>
        <w:ind w:left="2160" w:hanging="180"/>
      </w:pPr>
    </w:lvl>
    <w:lvl w:ilvl="3" w:tplc="8E76ECB4" w:tentative="1">
      <w:start w:val="1"/>
      <w:numFmt w:val="decimal"/>
      <w:lvlText w:val="%4."/>
      <w:lvlJc w:val="left"/>
      <w:pPr>
        <w:ind w:left="2880" w:hanging="360"/>
      </w:pPr>
    </w:lvl>
    <w:lvl w:ilvl="4" w:tplc="7C82051E" w:tentative="1">
      <w:start w:val="1"/>
      <w:numFmt w:val="lowerLetter"/>
      <w:lvlText w:val="%5."/>
      <w:lvlJc w:val="left"/>
      <w:pPr>
        <w:ind w:left="3600" w:hanging="360"/>
      </w:pPr>
    </w:lvl>
    <w:lvl w:ilvl="5" w:tplc="C5248DB8" w:tentative="1">
      <w:start w:val="1"/>
      <w:numFmt w:val="lowerRoman"/>
      <w:lvlText w:val="%6."/>
      <w:lvlJc w:val="right"/>
      <w:pPr>
        <w:ind w:left="4320" w:hanging="180"/>
      </w:pPr>
    </w:lvl>
    <w:lvl w:ilvl="6" w:tplc="3F48F812" w:tentative="1">
      <w:start w:val="1"/>
      <w:numFmt w:val="decimal"/>
      <w:lvlText w:val="%7."/>
      <w:lvlJc w:val="left"/>
      <w:pPr>
        <w:ind w:left="5040" w:hanging="360"/>
      </w:pPr>
    </w:lvl>
    <w:lvl w:ilvl="7" w:tplc="7BCCAA4A" w:tentative="1">
      <w:start w:val="1"/>
      <w:numFmt w:val="lowerLetter"/>
      <w:lvlText w:val="%8."/>
      <w:lvlJc w:val="left"/>
      <w:pPr>
        <w:ind w:left="5760" w:hanging="360"/>
      </w:pPr>
    </w:lvl>
    <w:lvl w:ilvl="8" w:tplc="520636A0" w:tentative="1">
      <w:start w:val="1"/>
      <w:numFmt w:val="lowerRoman"/>
      <w:lvlText w:val="%9."/>
      <w:lvlJc w:val="right"/>
      <w:pPr>
        <w:ind w:left="6480" w:hanging="180"/>
      </w:pPr>
    </w:lvl>
  </w:abstractNum>
  <w:abstractNum w:abstractNumId="3">
    <w:nsid w:val="2AE83507"/>
    <w:multiLevelType w:val="hybridMultilevel"/>
    <w:tmpl w:val="1C7AC368"/>
    <w:lvl w:ilvl="0" w:tplc="0809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nsid w:val="49451D43"/>
    <w:multiLevelType w:val="hybridMultilevel"/>
    <w:tmpl w:val="92BE1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C400B5"/>
    <w:multiLevelType w:val="hybridMultilevel"/>
    <w:tmpl w:val="A2A40AF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AD734ED"/>
    <w:multiLevelType w:val="hybridMultilevel"/>
    <w:tmpl w:val="71A2E0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0C46E92"/>
    <w:multiLevelType w:val="hybridMultilevel"/>
    <w:tmpl w:val="5DEA6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1E7C43"/>
    <w:multiLevelType w:val="hybridMultilevel"/>
    <w:tmpl w:val="F3D492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8"/>
  </w:num>
  <w:num w:numId="5">
    <w:abstractNumId w:val="3"/>
  </w:num>
  <w:num w:numId="6">
    <w:abstractNumId w:val="5"/>
  </w:num>
  <w:num w:numId="7">
    <w:abstractNumId w:val="6"/>
  </w:num>
  <w:num w:numId="8">
    <w:abstractNumId w:val="0"/>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evenAndOddHeaders/>
  <w:drawingGridHorizontalSpacing w:val="120"/>
  <w:displayHorizontalDrawingGridEvery w:val="2"/>
  <w:characterSpacingControl w:val="doNotCompress"/>
  <w:hdrShapeDefaults>
    <o:shapedefaults v:ext="edit" spidmax="2049"/>
  </w:hdrShapeDefaults>
  <w:footnotePr>
    <w:numFmt w:val="chicago"/>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50E"/>
    <w:rsid w:val="00000127"/>
    <w:rsid w:val="000006A5"/>
    <w:rsid w:val="0000175E"/>
    <w:rsid w:val="00001968"/>
    <w:rsid w:val="00003A9F"/>
    <w:rsid w:val="0000624A"/>
    <w:rsid w:val="00015219"/>
    <w:rsid w:val="000267F1"/>
    <w:rsid w:val="00033ECA"/>
    <w:rsid w:val="00054D93"/>
    <w:rsid w:val="0007421E"/>
    <w:rsid w:val="000851E9"/>
    <w:rsid w:val="000A11A7"/>
    <w:rsid w:val="000A1E55"/>
    <w:rsid w:val="000B2DF3"/>
    <w:rsid w:val="000B454E"/>
    <w:rsid w:val="000D07DE"/>
    <w:rsid w:val="000D6412"/>
    <w:rsid w:val="000E32C1"/>
    <w:rsid w:val="000E7E44"/>
    <w:rsid w:val="000F3F5D"/>
    <w:rsid w:val="00111D95"/>
    <w:rsid w:val="0011736E"/>
    <w:rsid w:val="001229CF"/>
    <w:rsid w:val="00130C32"/>
    <w:rsid w:val="00161F93"/>
    <w:rsid w:val="001625D9"/>
    <w:rsid w:val="001634D9"/>
    <w:rsid w:val="00177BF8"/>
    <w:rsid w:val="00187E49"/>
    <w:rsid w:val="001B000B"/>
    <w:rsid w:val="001B5712"/>
    <w:rsid w:val="001D5A64"/>
    <w:rsid w:val="001F03E5"/>
    <w:rsid w:val="00205873"/>
    <w:rsid w:val="00213164"/>
    <w:rsid w:val="00226D86"/>
    <w:rsid w:val="00232761"/>
    <w:rsid w:val="00233911"/>
    <w:rsid w:val="002478D3"/>
    <w:rsid w:val="00253313"/>
    <w:rsid w:val="002A798F"/>
    <w:rsid w:val="002A7CBC"/>
    <w:rsid w:val="002C2337"/>
    <w:rsid w:val="002C48D1"/>
    <w:rsid w:val="002D5A67"/>
    <w:rsid w:val="002E250E"/>
    <w:rsid w:val="002E35B0"/>
    <w:rsid w:val="002F1F33"/>
    <w:rsid w:val="002F1F57"/>
    <w:rsid w:val="002F2FA2"/>
    <w:rsid w:val="003006CA"/>
    <w:rsid w:val="00303596"/>
    <w:rsid w:val="003211EB"/>
    <w:rsid w:val="00323A64"/>
    <w:rsid w:val="00327DA9"/>
    <w:rsid w:val="00330BEE"/>
    <w:rsid w:val="00332E2A"/>
    <w:rsid w:val="00354CB6"/>
    <w:rsid w:val="00396327"/>
    <w:rsid w:val="003D049A"/>
    <w:rsid w:val="003F4B86"/>
    <w:rsid w:val="00424205"/>
    <w:rsid w:val="0042697B"/>
    <w:rsid w:val="00435EA6"/>
    <w:rsid w:val="00441322"/>
    <w:rsid w:val="00446130"/>
    <w:rsid w:val="0047452B"/>
    <w:rsid w:val="004960D3"/>
    <w:rsid w:val="004C7324"/>
    <w:rsid w:val="004D2866"/>
    <w:rsid w:val="004D3E5B"/>
    <w:rsid w:val="004E46CB"/>
    <w:rsid w:val="004F4800"/>
    <w:rsid w:val="004F52E2"/>
    <w:rsid w:val="00507B17"/>
    <w:rsid w:val="00517BC3"/>
    <w:rsid w:val="00535919"/>
    <w:rsid w:val="00553241"/>
    <w:rsid w:val="00556BE6"/>
    <w:rsid w:val="005720C9"/>
    <w:rsid w:val="00587ECC"/>
    <w:rsid w:val="00593D43"/>
    <w:rsid w:val="005D7D4E"/>
    <w:rsid w:val="005E0235"/>
    <w:rsid w:val="005E3991"/>
    <w:rsid w:val="005E41B0"/>
    <w:rsid w:val="005E5239"/>
    <w:rsid w:val="005F63C8"/>
    <w:rsid w:val="00612BEF"/>
    <w:rsid w:val="00616245"/>
    <w:rsid w:val="00641090"/>
    <w:rsid w:val="00657978"/>
    <w:rsid w:val="006643D2"/>
    <w:rsid w:val="00666A46"/>
    <w:rsid w:val="00673789"/>
    <w:rsid w:val="00674C61"/>
    <w:rsid w:val="00697AD2"/>
    <w:rsid w:val="006A053C"/>
    <w:rsid w:val="006A2FB9"/>
    <w:rsid w:val="006B78ED"/>
    <w:rsid w:val="006C57C7"/>
    <w:rsid w:val="006D6D7F"/>
    <w:rsid w:val="006D7A94"/>
    <w:rsid w:val="00732C49"/>
    <w:rsid w:val="007344B6"/>
    <w:rsid w:val="007363C5"/>
    <w:rsid w:val="00740C68"/>
    <w:rsid w:val="007438D2"/>
    <w:rsid w:val="007461C3"/>
    <w:rsid w:val="0076129B"/>
    <w:rsid w:val="00763D8E"/>
    <w:rsid w:val="00776AA9"/>
    <w:rsid w:val="0079459D"/>
    <w:rsid w:val="007A2DC2"/>
    <w:rsid w:val="007A5A76"/>
    <w:rsid w:val="007A67F6"/>
    <w:rsid w:val="007A6D70"/>
    <w:rsid w:val="007B44B9"/>
    <w:rsid w:val="007B62AC"/>
    <w:rsid w:val="007D3603"/>
    <w:rsid w:val="007D62FA"/>
    <w:rsid w:val="007E229B"/>
    <w:rsid w:val="008066AE"/>
    <w:rsid w:val="00833A3A"/>
    <w:rsid w:val="0083475A"/>
    <w:rsid w:val="0083657B"/>
    <w:rsid w:val="008367CF"/>
    <w:rsid w:val="00855327"/>
    <w:rsid w:val="00862D78"/>
    <w:rsid w:val="00870F11"/>
    <w:rsid w:val="008775F6"/>
    <w:rsid w:val="00887206"/>
    <w:rsid w:val="0089594E"/>
    <w:rsid w:val="008C2B29"/>
    <w:rsid w:val="00903029"/>
    <w:rsid w:val="00905B2A"/>
    <w:rsid w:val="009130A9"/>
    <w:rsid w:val="0091547C"/>
    <w:rsid w:val="0092512D"/>
    <w:rsid w:val="00935437"/>
    <w:rsid w:val="00947765"/>
    <w:rsid w:val="00964613"/>
    <w:rsid w:val="00976FDA"/>
    <w:rsid w:val="009843C5"/>
    <w:rsid w:val="009A278B"/>
    <w:rsid w:val="009A3B47"/>
    <w:rsid w:val="009A5BDB"/>
    <w:rsid w:val="009A7EEC"/>
    <w:rsid w:val="009C3FDD"/>
    <w:rsid w:val="009C475C"/>
    <w:rsid w:val="009C6654"/>
    <w:rsid w:val="009E3A62"/>
    <w:rsid w:val="00A03718"/>
    <w:rsid w:val="00A27C88"/>
    <w:rsid w:val="00A33C38"/>
    <w:rsid w:val="00A36E39"/>
    <w:rsid w:val="00A4710B"/>
    <w:rsid w:val="00A47D10"/>
    <w:rsid w:val="00A5536B"/>
    <w:rsid w:val="00A809A4"/>
    <w:rsid w:val="00AA690F"/>
    <w:rsid w:val="00AB078C"/>
    <w:rsid w:val="00AB3231"/>
    <w:rsid w:val="00AB68CE"/>
    <w:rsid w:val="00AB6BD1"/>
    <w:rsid w:val="00AB7011"/>
    <w:rsid w:val="00AC08EF"/>
    <w:rsid w:val="00AD23C1"/>
    <w:rsid w:val="00AD4307"/>
    <w:rsid w:val="00AE19FC"/>
    <w:rsid w:val="00AE5515"/>
    <w:rsid w:val="00AF2AD5"/>
    <w:rsid w:val="00B17846"/>
    <w:rsid w:val="00B21D1A"/>
    <w:rsid w:val="00B36EC7"/>
    <w:rsid w:val="00B44131"/>
    <w:rsid w:val="00B4732B"/>
    <w:rsid w:val="00B60DFB"/>
    <w:rsid w:val="00B72140"/>
    <w:rsid w:val="00B7215E"/>
    <w:rsid w:val="00B92D25"/>
    <w:rsid w:val="00BB572C"/>
    <w:rsid w:val="00BC4346"/>
    <w:rsid w:val="00BC5DD9"/>
    <w:rsid w:val="00BE5087"/>
    <w:rsid w:val="00BF49DE"/>
    <w:rsid w:val="00C02518"/>
    <w:rsid w:val="00C0522E"/>
    <w:rsid w:val="00C130B4"/>
    <w:rsid w:val="00C1533F"/>
    <w:rsid w:val="00C30768"/>
    <w:rsid w:val="00C43BAE"/>
    <w:rsid w:val="00C90C63"/>
    <w:rsid w:val="00CA6DD9"/>
    <w:rsid w:val="00CE5AD7"/>
    <w:rsid w:val="00CF00BB"/>
    <w:rsid w:val="00CF5078"/>
    <w:rsid w:val="00D0501E"/>
    <w:rsid w:val="00D16C93"/>
    <w:rsid w:val="00D460F6"/>
    <w:rsid w:val="00D61E6B"/>
    <w:rsid w:val="00D679A2"/>
    <w:rsid w:val="00D84803"/>
    <w:rsid w:val="00DA331A"/>
    <w:rsid w:val="00DD7A24"/>
    <w:rsid w:val="00DD7C37"/>
    <w:rsid w:val="00DE3CB6"/>
    <w:rsid w:val="00DE7556"/>
    <w:rsid w:val="00E13D50"/>
    <w:rsid w:val="00E1577F"/>
    <w:rsid w:val="00E36515"/>
    <w:rsid w:val="00E524C9"/>
    <w:rsid w:val="00E5483B"/>
    <w:rsid w:val="00E55AC3"/>
    <w:rsid w:val="00E7267E"/>
    <w:rsid w:val="00E74BCC"/>
    <w:rsid w:val="00E831F2"/>
    <w:rsid w:val="00E95771"/>
    <w:rsid w:val="00EB1060"/>
    <w:rsid w:val="00EB45F6"/>
    <w:rsid w:val="00EC2DEA"/>
    <w:rsid w:val="00EE7838"/>
    <w:rsid w:val="00F00756"/>
    <w:rsid w:val="00F11D03"/>
    <w:rsid w:val="00F22656"/>
    <w:rsid w:val="00F3508F"/>
    <w:rsid w:val="00F40D25"/>
    <w:rsid w:val="00F511E0"/>
    <w:rsid w:val="00F523BC"/>
    <w:rsid w:val="00F54D11"/>
    <w:rsid w:val="00F57930"/>
    <w:rsid w:val="00F60E6C"/>
    <w:rsid w:val="00F82AAC"/>
    <w:rsid w:val="00FA1A0B"/>
    <w:rsid w:val="00FA69C7"/>
    <w:rsid w:val="00FB2AFE"/>
    <w:rsid w:val="00FC1BA6"/>
    <w:rsid w:val="00FD0AEF"/>
    <w:rsid w:val="00FF5684"/>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FED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50E"/>
  </w:style>
  <w:style w:type="paragraph" w:styleId="1">
    <w:name w:val="heading 1"/>
    <w:basedOn w:val="a"/>
    <w:next w:val="a"/>
    <w:link w:val="1Char"/>
    <w:qFormat/>
    <w:rsid w:val="009C475C"/>
    <w:pPr>
      <w:keepNext/>
      <w:autoSpaceDE w:val="0"/>
      <w:autoSpaceDN w:val="0"/>
      <w:spacing w:before="360" w:after="120"/>
      <w:jc w:val="both"/>
      <w:outlineLvl w:val="0"/>
    </w:pPr>
    <w:rPr>
      <w:rFonts w:ascii="Times New Roman" w:eastAsia="Times New Roman" w:hAnsi="Times New Roman" w:cs="Times New Roman"/>
      <w:b/>
      <w:bCs/>
      <w:kern w:val="28"/>
      <w:sz w:val="28"/>
      <w:szCs w:val="30"/>
      <w:lang w:eastAsia="cs-C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25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2E250E"/>
    <w:pPr>
      <w:tabs>
        <w:tab w:val="center" w:pos="4320"/>
        <w:tab w:val="right" w:pos="8640"/>
      </w:tabs>
    </w:pPr>
  </w:style>
  <w:style w:type="character" w:customStyle="1" w:styleId="Char">
    <w:name w:val="رأس الصفحة Char"/>
    <w:basedOn w:val="a0"/>
    <w:link w:val="a4"/>
    <w:uiPriority w:val="99"/>
    <w:rsid w:val="002E250E"/>
  </w:style>
  <w:style w:type="table" w:styleId="-1">
    <w:name w:val="Light Shading Accent 1"/>
    <w:basedOn w:val="a1"/>
    <w:uiPriority w:val="60"/>
    <w:rsid w:val="002E250E"/>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5">
    <w:name w:val="List Paragraph"/>
    <w:basedOn w:val="a"/>
    <w:uiPriority w:val="34"/>
    <w:qFormat/>
    <w:rsid w:val="002E250E"/>
    <w:pPr>
      <w:ind w:left="720"/>
      <w:contextualSpacing/>
    </w:pPr>
  </w:style>
  <w:style w:type="table" w:styleId="a6">
    <w:name w:val="Light Shading"/>
    <w:basedOn w:val="a1"/>
    <w:uiPriority w:val="60"/>
    <w:rsid w:val="002E250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7">
    <w:name w:val="footer"/>
    <w:basedOn w:val="a"/>
    <w:link w:val="Char0"/>
    <w:uiPriority w:val="99"/>
    <w:unhideWhenUsed/>
    <w:rsid w:val="002E250E"/>
    <w:pPr>
      <w:tabs>
        <w:tab w:val="center" w:pos="4320"/>
        <w:tab w:val="right" w:pos="8640"/>
      </w:tabs>
    </w:pPr>
  </w:style>
  <w:style w:type="character" w:customStyle="1" w:styleId="Char0">
    <w:name w:val="تذييل الصفحة Char"/>
    <w:basedOn w:val="a0"/>
    <w:link w:val="a7"/>
    <w:uiPriority w:val="99"/>
    <w:rsid w:val="002E250E"/>
  </w:style>
  <w:style w:type="paragraph" w:styleId="a8">
    <w:name w:val="Balloon Text"/>
    <w:basedOn w:val="a"/>
    <w:link w:val="Char1"/>
    <w:uiPriority w:val="99"/>
    <w:semiHidden/>
    <w:unhideWhenUsed/>
    <w:rsid w:val="00F511E0"/>
    <w:rPr>
      <w:rFonts w:ascii="Lucida Grande" w:hAnsi="Lucida Grande" w:cs="Lucida Grande"/>
      <w:sz w:val="18"/>
      <w:szCs w:val="18"/>
    </w:rPr>
  </w:style>
  <w:style w:type="character" w:customStyle="1" w:styleId="Char1">
    <w:name w:val="نص في بالون Char"/>
    <w:basedOn w:val="a0"/>
    <w:link w:val="a8"/>
    <w:uiPriority w:val="99"/>
    <w:semiHidden/>
    <w:rsid w:val="00F511E0"/>
    <w:rPr>
      <w:rFonts w:ascii="Lucida Grande" w:hAnsi="Lucida Grande" w:cs="Lucida Grande"/>
      <w:sz w:val="18"/>
      <w:szCs w:val="18"/>
    </w:rPr>
  </w:style>
  <w:style w:type="character" w:styleId="a9">
    <w:name w:val="annotation reference"/>
    <w:basedOn w:val="a0"/>
    <w:uiPriority w:val="99"/>
    <w:semiHidden/>
    <w:unhideWhenUsed/>
    <w:rsid w:val="00DD7A24"/>
    <w:rPr>
      <w:sz w:val="18"/>
      <w:szCs w:val="18"/>
    </w:rPr>
  </w:style>
  <w:style w:type="paragraph" w:styleId="aa">
    <w:name w:val="annotation text"/>
    <w:basedOn w:val="a"/>
    <w:link w:val="Char2"/>
    <w:uiPriority w:val="99"/>
    <w:unhideWhenUsed/>
    <w:rsid w:val="00DD7A24"/>
  </w:style>
  <w:style w:type="character" w:customStyle="1" w:styleId="Char2">
    <w:name w:val="نص تعليق Char"/>
    <w:basedOn w:val="a0"/>
    <w:link w:val="aa"/>
    <w:uiPriority w:val="99"/>
    <w:rsid w:val="00DD7A24"/>
  </w:style>
  <w:style w:type="paragraph" w:styleId="ab">
    <w:name w:val="annotation subject"/>
    <w:basedOn w:val="aa"/>
    <w:next w:val="aa"/>
    <w:link w:val="Char3"/>
    <w:uiPriority w:val="99"/>
    <w:semiHidden/>
    <w:unhideWhenUsed/>
    <w:rsid w:val="00DD7A24"/>
    <w:rPr>
      <w:b/>
      <w:bCs/>
      <w:sz w:val="20"/>
      <w:szCs w:val="20"/>
    </w:rPr>
  </w:style>
  <w:style w:type="character" w:customStyle="1" w:styleId="Char3">
    <w:name w:val="موضوع تعليق Char"/>
    <w:basedOn w:val="Char2"/>
    <w:link w:val="ab"/>
    <w:uiPriority w:val="99"/>
    <w:semiHidden/>
    <w:rsid w:val="00DD7A24"/>
    <w:rPr>
      <w:b/>
      <w:bCs/>
      <w:sz w:val="20"/>
      <w:szCs w:val="20"/>
    </w:rPr>
  </w:style>
  <w:style w:type="paragraph" w:styleId="ac">
    <w:name w:val="footnote text"/>
    <w:basedOn w:val="a"/>
    <w:link w:val="Char4"/>
    <w:uiPriority w:val="99"/>
    <w:semiHidden/>
    <w:unhideWhenUsed/>
    <w:rsid w:val="002D5A67"/>
    <w:rPr>
      <w:sz w:val="20"/>
      <w:szCs w:val="20"/>
    </w:rPr>
  </w:style>
  <w:style w:type="character" w:customStyle="1" w:styleId="Char4">
    <w:name w:val="نص حاشية سفلية Char"/>
    <w:basedOn w:val="a0"/>
    <w:link w:val="ac"/>
    <w:uiPriority w:val="99"/>
    <w:semiHidden/>
    <w:rsid w:val="002D5A67"/>
    <w:rPr>
      <w:sz w:val="20"/>
      <w:szCs w:val="20"/>
    </w:rPr>
  </w:style>
  <w:style w:type="character" w:styleId="ad">
    <w:name w:val="footnote reference"/>
    <w:basedOn w:val="a0"/>
    <w:uiPriority w:val="99"/>
    <w:semiHidden/>
    <w:unhideWhenUsed/>
    <w:rsid w:val="002D5A67"/>
    <w:rPr>
      <w:vertAlign w:val="superscript"/>
    </w:rPr>
  </w:style>
  <w:style w:type="character" w:styleId="Hyperlink">
    <w:name w:val="Hyperlink"/>
    <w:basedOn w:val="a0"/>
    <w:uiPriority w:val="99"/>
    <w:unhideWhenUsed/>
    <w:rsid w:val="00AA690F"/>
    <w:rPr>
      <w:color w:val="0000FF" w:themeColor="hyperlink"/>
      <w:u w:val="single"/>
    </w:rPr>
  </w:style>
  <w:style w:type="character" w:customStyle="1" w:styleId="UnresolvedMention1">
    <w:name w:val="Unresolved Mention1"/>
    <w:basedOn w:val="a0"/>
    <w:uiPriority w:val="99"/>
    <w:semiHidden/>
    <w:unhideWhenUsed/>
    <w:rsid w:val="00D0501E"/>
    <w:rPr>
      <w:color w:val="605E5C"/>
      <w:shd w:val="clear" w:color="auto" w:fill="E1DFDD"/>
    </w:rPr>
  </w:style>
  <w:style w:type="table" w:customStyle="1" w:styleId="2">
    <w:name w:val="شبكة جدول2"/>
    <w:basedOn w:val="a1"/>
    <w:next w:val="a3"/>
    <w:uiPriority w:val="59"/>
    <w:rsid w:val="00553241"/>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شبكة جدول1"/>
    <w:basedOn w:val="a1"/>
    <w:next w:val="a3"/>
    <w:uiPriority w:val="59"/>
    <w:rsid w:val="00F40D25"/>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شبكة جدول3"/>
    <w:basedOn w:val="a1"/>
    <w:next w:val="a3"/>
    <w:uiPriority w:val="59"/>
    <w:rsid w:val="00C30768"/>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Revision"/>
    <w:hidden/>
    <w:uiPriority w:val="99"/>
    <w:semiHidden/>
    <w:rsid w:val="00DD7C37"/>
  </w:style>
  <w:style w:type="character" w:styleId="af">
    <w:name w:val="FollowedHyperlink"/>
    <w:basedOn w:val="a0"/>
    <w:uiPriority w:val="99"/>
    <w:semiHidden/>
    <w:unhideWhenUsed/>
    <w:rsid w:val="000B2DF3"/>
    <w:rPr>
      <w:color w:val="800080" w:themeColor="followedHyperlink"/>
      <w:u w:val="single"/>
    </w:rPr>
  </w:style>
  <w:style w:type="character" w:customStyle="1" w:styleId="UnresolvedMention">
    <w:name w:val="Unresolved Mention"/>
    <w:basedOn w:val="a0"/>
    <w:uiPriority w:val="99"/>
    <w:semiHidden/>
    <w:unhideWhenUsed/>
    <w:rsid w:val="000B2DF3"/>
    <w:rPr>
      <w:color w:val="605E5C"/>
      <w:shd w:val="clear" w:color="auto" w:fill="E1DFDD"/>
    </w:rPr>
  </w:style>
  <w:style w:type="character" w:customStyle="1" w:styleId="1Char">
    <w:name w:val="عنوان 1 Char"/>
    <w:basedOn w:val="a0"/>
    <w:link w:val="1"/>
    <w:rsid w:val="009C475C"/>
    <w:rPr>
      <w:rFonts w:ascii="Times New Roman" w:eastAsia="Times New Roman" w:hAnsi="Times New Roman" w:cs="Times New Roman"/>
      <w:b/>
      <w:bCs/>
      <w:kern w:val="28"/>
      <w:sz w:val="28"/>
      <w:szCs w:val="3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50E"/>
  </w:style>
  <w:style w:type="paragraph" w:styleId="1">
    <w:name w:val="heading 1"/>
    <w:basedOn w:val="a"/>
    <w:next w:val="a"/>
    <w:link w:val="1Char"/>
    <w:qFormat/>
    <w:rsid w:val="009C475C"/>
    <w:pPr>
      <w:keepNext/>
      <w:autoSpaceDE w:val="0"/>
      <w:autoSpaceDN w:val="0"/>
      <w:spacing w:before="360" w:after="120"/>
      <w:jc w:val="both"/>
      <w:outlineLvl w:val="0"/>
    </w:pPr>
    <w:rPr>
      <w:rFonts w:ascii="Times New Roman" w:eastAsia="Times New Roman" w:hAnsi="Times New Roman" w:cs="Times New Roman"/>
      <w:b/>
      <w:bCs/>
      <w:kern w:val="28"/>
      <w:sz w:val="28"/>
      <w:szCs w:val="30"/>
      <w:lang w:eastAsia="cs-C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25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2E250E"/>
    <w:pPr>
      <w:tabs>
        <w:tab w:val="center" w:pos="4320"/>
        <w:tab w:val="right" w:pos="8640"/>
      </w:tabs>
    </w:pPr>
  </w:style>
  <w:style w:type="character" w:customStyle="1" w:styleId="Char">
    <w:name w:val="رأس الصفحة Char"/>
    <w:basedOn w:val="a0"/>
    <w:link w:val="a4"/>
    <w:uiPriority w:val="99"/>
    <w:rsid w:val="002E250E"/>
  </w:style>
  <w:style w:type="table" w:styleId="-1">
    <w:name w:val="Light Shading Accent 1"/>
    <w:basedOn w:val="a1"/>
    <w:uiPriority w:val="60"/>
    <w:rsid w:val="002E250E"/>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5">
    <w:name w:val="List Paragraph"/>
    <w:basedOn w:val="a"/>
    <w:uiPriority w:val="34"/>
    <w:qFormat/>
    <w:rsid w:val="002E250E"/>
    <w:pPr>
      <w:ind w:left="720"/>
      <w:contextualSpacing/>
    </w:pPr>
  </w:style>
  <w:style w:type="table" w:styleId="a6">
    <w:name w:val="Light Shading"/>
    <w:basedOn w:val="a1"/>
    <w:uiPriority w:val="60"/>
    <w:rsid w:val="002E250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7">
    <w:name w:val="footer"/>
    <w:basedOn w:val="a"/>
    <w:link w:val="Char0"/>
    <w:uiPriority w:val="99"/>
    <w:unhideWhenUsed/>
    <w:rsid w:val="002E250E"/>
    <w:pPr>
      <w:tabs>
        <w:tab w:val="center" w:pos="4320"/>
        <w:tab w:val="right" w:pos="8640"/>
      </w:tabs>
    </w:pPr>
  </w:style>
  <w:style w:type="character" w:customStyle="1" w:styleId="Char0">
    <w:name w:val="تذييل الصفحة Char"/>
    <w:basedOn w:val="a0"/>
    <w:link w:val="a7"/>
    <w:uiPriority w:val="99"/>
    <w:rsid w:val="002E250E"/>
  </w:style>
  <w:style w:type="paragraph" w:styleId="a8">
    <w:name w:val="Balloon Text"/>
    <w:basedOn w:val="a"/>
    <w:link w:val="Char1"/>
    <w:uiPriority w:val="99"/>
    <w:semiHidden/>
    <w:unhideWhenUsed/>
    <w:rsid w:val="00F511E0"/>
    <w:rPr>
      <w:rFonts w:ascii="Lucida Grande" w:hAnsi="Lucida Grande" w:cs="Lucida Grande"/>
      <w:sz w:val="18"/>
      <w:szCs w:val="18"/>
    </w:rPr>
  </w:style>
  <w:style w:type="character" w:customStyle="1" w:styleId="Char1">
    <w:name w:val="نص في بالون Char"/>
    <w:basedOn w:val="a0"/>
    <w:link w:val="a8"/>
    <w:uiPriority w:val="99"/>
    <w:semiHidden/>
    <w:rsid w:val="00F511E0"/>
    <w:rPr>
      <w:rFonts w:ascii="Lucida Grande" w:hAnsi="Lucida Grande" w:cs="Lucida Grande"/>
      <w:sz w:val="18"/>
      <w:szCs w:val="18"/>
    </w:rPr>
  </w:style>
  <w:style w:type="character" w:styleId="a9">
    <w:name w:val="annotation reference"/>
    <w:basedOn w:val="a0"/>
    <w:uiPriority w:val="99"/>
    <w:semiHidden/>
    <w:unhideWhenUsed/>
    <w:rsid w:val="00DD7A24"/>
    <w:rPr>
      <w:sz w:val="18"/>
      <w:szCs w:val="18"/>
    </w:rPr>
  </w:style>
  <w:style w:type="paragraph" w:styleId="aa">
    <w:name w:val="annotation text"/>
    <w:basedOn w:val="a"/>
    <w:link w:val="Char2"/>
    <w:uiPriority w:val="99"/>
    <w:unhideWhenUsed/>
    <w:rsid w:val="00DD7A24"/>
  </w:style>
  <w:style w:type="character" w:customStyle="1" w:styleId="Char2">
    <w:name w:val="نص تعليق Char"/>
    <w:basedOn w:val="a0"/>
    <w:link w:val="aa"/>
    <w:uiPriority w:val="99"/>
    <w:rsid w:val="00DD7A24"/>
  </w:style>
  <w:style w:type="paragraph" w:styleId="ab">
    <w:name w:val="annotation subject"/>
    <w:basedOn w:val="aa"/>
    <w:next w:val="aa"/>
    <w:link w:val="Char3"/>
    <w:uiPriority w:val="99"/>
    <w:semiHidden/>
    <w:unhideWhenUsed/>
    <w:rsid w:val="00DD7A24"/>
    <w:rPr>
      <w:b/>
      <w:bCs/>
      <w:sz w:val="20"/>
      <w:szCs w:val="20"/>
    </w:rPr>
  </w:style>
  <w:style w:type="character" w:customStyle="1" w:styleId="Char3">
    <w:name w:val="موضوع تعليق Char"/>
    <w:basedOn w:val="Char2"/>
    <w:link w:val="ab"/>
    <w:uiPriority w:val="99"/>
    <w:semiHidden/>
    <w:rsid w:val="00DD7A24"/>
    <w:rPr>
      <w:b/>
      <w:bCs/>
      <w:sz w:val="20"/>
      <w:szCs w:val="20"/>
    </w:rPr>
  </w:style>
  <w:style w:type="paragraph" w:styleId="ac">
    <w:name w:val="footnote text"/>
    <w:basedOn w:val="a"/>
    <w:link w:val="Char4"/>
    <w:uiPriority w:val="99"/>
    <w:semiHidden/>
    <w:unhideWhenUsed/>
    <w:rsid w:val="002D5A67"/>
    <w:rPr>
      <w:sz w:val="20"/>
      <w:szCs w:val="20"/>
    </w:rPr>
  </w:style>
  <w:style w:type="character" w:customStyle="1" w:styleId="Char4">
    <w:name w:val="نص حاشية سفلية Char"/>
    <w:basedOn w:val="a0"/>
    <w:link w:val="ac"/>
    <w:uiPriority w:val="99"/>
    <w:semiHidden/>
    <w:rsid w:val="002D5A67"/>
    <w:rPr>
      <w:sz w:val="20"/>
      <w:szCs w:val="20"/>
    </w:rPr>
  </w:style>
  <w:style w:type="character" w:styleId="ad">
    <w:name w:val="footnote reference"/>
    <w:basedOn w:val="a0"/>
    <w:uiPriority w:val="99"/>
    <w:semiHidden/>
    <w:unhideWhenUsed/>
    <w:rsid w:val="002D5A67"/>
    <w:rPr>
      <w:vertAlign w:val="superscript"/>
    </w:rPr>
  </w:style>
  <w:style w:type="character" w:styleId="Hyperlink">
    <w:name w:val="Hyperlink"/>
    <w:basedOn w:val="a0"/>
    <w:uiPriority w:val="99"/>
    <w:unhideWhenUsed/>
    <w:rsid w:val="00AA690F"/>
    <w:rPr>
      <w:color w:val="0000FF" w:themeColor="hyperlink"/>
      <w:u w:val="single"/>
    </w:rPr>
  </w:style>
  <w:style w:type="character" w:customStyle="1" w:styleId="UnresolvedMention1">
    <w:name w:val="Unresolved Mention1"/>
    <w:basedOn w:val="a0"/>
    <w:uiPriority w:val="99"/>
    <w:semiHidden/>
    <w:unhideWhenUsed/>
    <w:rsid w:val="00D0501E"/>
    <w:rPr>
      <w:color w:val="605E5C"/>
      <w:shd w:val="clear" w:color="auto" w:fill="E1DFDD"/>
    </w:rPr>
  </w:style>
  <w:style w:type="table" w:customStyle="1" w:styleId="2">
    <w:name w:val="شبكة جدول2"/>
    <w:basedOn w:val="a1"/>
    <w:next w:val="a3"/>
    <w:uiPriority w:val="59"/>
    <w:rsid w:val="00553241"/>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شبكة جدول1"/>
    <w:basedOn w:val="a1"/>
    <w:next w:val="a3"/>
    <w:uiPriority w:val="59"/>
    <w:rsid w:val="00F40D25"/>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شبكة جدول3"/>
    <w:basedOn w:val="a1"/>
    <w:next w:val="a3"/>
    <w:uiPriority w:val="59"/>
    <w:rsid w:val="00C30768"/>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Revision"/>
    <w:hidden/>
    <w:uiPriority w:val="99"/>
    <w:semiHidden/>
    <w:rsid w:val="00DD7C37"/>
  </w:style>
  <w:style w:type="character" w:styleId="af">
    <w:name w:val="FollowedHyperlink"/>
    <w:basedOn w:val="a0"/>
    <w:uiPriority w:val="99"/>
    <w:semiHidden/>
    <w:unhideWhenUsed/>
    <w:rsid w:val="000B2DF3"/>
    <w:rPr>
      <w:color w:val="800080" w:themeColor="followedHyperlink"/>
      <w:u w:val="single"/>
    </w:rPr>
  </w:style>
  <w:style w:type="character" w:customStyle="1" w:styleId="UnresolvedMention">
    <w:name w:val="Unresolved Mention"/>
    <w:basedOn w:val="a0"/>
    <w:uiPriority w:val="99"/>
    <w:semiHidden/>
    <w:unhideWhenUsed/>
    <w:rsid w:val="000B2DF3"/>
    <w:rPr>
      <w:color w:val="605E5C"/>
      <w:shd w:val="clear" w:color="auto" w:fill="E1DFDD"/>
    </w:rPr>
  </w:style>
  <w:style w:type="character" w:customStyle="1" w:styleId="1Char">
    <w:name w:val="عنوان 1 Char"/>
    <w:basedOn w:val="a0"/>
    <w:link w:val="1"/>
    <w:rsid w:val="009C475C"/>
    <w:rPr>
      <w:rFonts w:ascii="Times New Roman" w:eastAsia="Times New Roman" w:hAnsi="Times New Roman" w:cs="Times New Roman"/>
      <w:b/>
      <w:bCs/>
      <w:kern w:val="28"/>
      <w:sz w:val="28"/>
      <w:szCs w:val="3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51103">
      <w:bodyDiv w:val="1"/>
      <w:marLeft w:val="0"/>
      <w:marRight w:val="0"/>
      <w:marTop w:val="0"/>
      <w:marBottom w:val="0"/>
      <w:divBdr>
        <w:top w:val="none" w:sz="0" w:space="0" w:color="auto"/>
        <w:left w:val="none" w:sz="0" w:space="0" w:color="auto"/>
        <w:bottom w:val="none" w:sz="0" w:space="0" w:color="auto"/>
        <w:right w:val="none" w:sz="0" w:space="0" w:color="auto"/>
      </w:divBdr>
    </w:div>
    <w:div w:id="260182760">
      <w:bodyDiv w:val="1"/>
      <w:marLeft w:val="0"/>
      <w:marRight w:val="0"/>
      <w:marTop w:val="0"/>
      <w:marBottom w:val="0"/>
      <w:divBdr>
        <w:top w:val="none" w:sz="0" w:space="0" w:color="auto"/>
        <w:left w:val="none" w:sz="0" w:space="0" w:color="auto"/>
        <w:bottom w:val="none" w:sz="0" w:space="0" w:color="auto"/>
        <w:right w:val="none" w:sz="0" w:space="0" w:color="auto"/>
      </w:divBdr>
    </w:div>
    <w:div w:id="279799734">
      <w:bodyDiv w:val="1"/>
      <w:marLeft w:val="0"/>
      <w:marRight w:val="0"/>
      <w:marTop w:val="0"/>
      <w:marBottom w:val="0"/>
      <w:divBdr>
        <w:top w:val="none" w:sz="0" w:space="0" w:color="auto"/>
        <w:left w:val="none" w:sz="0" w:space="0" w:color="auto"/>
        <w:bottom w:val="none" w:sz="0" w:space="0" w:color="auto"/>
        <w:right w:val="none" w:sz="0" w:space="0" w:color="auto"/>
      </w:divBdr>
    </w:div>
    <w:div w:id="315302585">
      <w:bodyDiv w:val="1"/>
      <w:marLeft w:val="0"/>
      <w:marRight w:val="0"/>
      <w:marTop w:val="0"/>
      <w:marBottom w:val="0"/>
      <w:divBdr>
        <w:top w:val="none" w:sz="0" w:space="0" w:color="auto"/>
        <w:left w:val="none" w:sz="0" w:space="0" w:color="auto"/>
        <w:bottom w:val="none" w:sz="0" w:space="0" w:color="auto"/>
        <w:right w:val="none" w:sz="0" w:space="0" w:color="auto"/>
      </w:divBdr>
    </w:div>
    <w:div w:id="429082425">
      <w:bodyDiv w:val="1"/>
      <w:marLeft w:val="0"/>
      <w:marRight w:val="0"/>
      <w:marTop w:val="0"/>
      <w:marBottom w:val="0"/>
      <w:divBdr>
        <w:top w:val="none" w:sz="0" w:space="0" w:color="auto"/>
        <w:left w:val="none" w:sz="0" w:space="0" w:color="auto"/>
        <w:bottom w:val="none" w:sz="0" w:space="0" w:color="auto"/>
        <w:right w:val="none" w:sz="0" w:space="0" w:color="auto"/>
      </w:divBdr>
    </w:div>
    <w:div w:id="531000689">
      <w:bodyDiv w:val="1"/>
      <w:marLeft w:val="0"/>
      <w:marRight w:val="0"/>
      <w:marTop w:val="0"/>
      <w:marBottom w:val="0"/>
      <w:divBdr>
        <w:top w:val="none" w:sz="0" w:space="0" w:color="auto"/>
        <w:left w:val="none" w:sz="0" w:space="0" w:color="auto"/>
        <w:bottom w:val="none" w:sz="0" w:space="0" w:color="auto"/>
        <w:right w:val="none" w:sz="0" w:space="0" w:color="auto"/>
      </w:divBdr>
    </w:div>
    <w:div w:id="865950850">
      <w:bodyDiv w:val="1"/>
      <w:marLeft w:val="0"/>
      <w:marRight w:val="0"/>
      <w:marTop w:val="0"/>
      <w:marBottom w:val="0"/>
      <w:divBdr>
        <w:top w:val="none" w:sz="0" w:space="0" w:color="auto"/>
        <w:left w:val="none" w:sz="0" w:space="0" w:color="auto"/>
        <w:bottom w:val="none" w:sz="0" w:space="0" w:color="auto"/>
        <w:right w:val="none" w:sz="0" w:space="0" w:color="auto"/>
      </w:divBdr>
    </w:div>
    <w:div w:id="936182600">
      <w:bodyDiv w:val="1"/>
      <w:marLeft w:val="0"/>
      <w:marRight w:val="0"/>
      <w:marTop w:val="0"/>
      <w:marBottom w:val="0"/>
      <w:divBdr>
        <w:top w:val="none" w:sz="0" w:space="0" w:color="auto"/>
        <w:left w:val="none" w:sz="0" w:space="0" w:color="auto"/>
        <w:bottom w:val="none" w:sz="0" w:space="0" w:color="auto"/>
        <w:right w:val="none" w:sz="0" w:space="0" w:color="auto"/>
      </w:divBdr>
    </w:div>
    <w:div w:id="991176113">
      <w:bodyDiv w:val="1"/>
      <w:marLeft w:val="0"/>
      <w:marRight w:val="0"/>
      <w:marTop w:val="0"/>
      <w:marBottom w:val="0"/>
      <w:divBdr>
        <w:top w:val="none" w:sz="0" w:space="0" w:color="auto"/>
        <w:left w:val="none" w:sz="0" w:space="0" w:color="auto"/>
        <w:bottom w:val="none" w:sz="0" w:space="0" w:color="auto"/>
        <w:right w:val="none" w:sz="0" w:space="0" w:color="auto"/>
      </w:divBdr>
    </w:div>
    <w:div w:id="1187403336">
      <w:bodyDiv w:val="1"/>
      <w:marLeft w:val="0"/>
      <w:marRight w:val="0"/>
      <w:marTop w:val="0"/>
      <w:marBottom w:val="0"/>
      <w:divBdr>
        <w:top w:val="none" w:sz="0" w:space="0" w:color="auto"/>
        <w:left w:val="none" w:sz="0" w:space="0" w:color="auto"/>
        <w:bottom w:val="none" w:sz="0" w:space="0" w:color="auto"/>
        <w:right w:val="none" w:sz="0" w:space="0" w:color="auto"/>
      </w:divBdr>
    </w:div>
    <w:div w:id="1314872186">
      <w:bodyDiv w:val="1"/>
      <w:marLeft w:val="0"/>
      <w:marRight w:val="0"/>
      <w:marTop w:val="0"/>
      <w:marBottom w:val="0"/>
      <w:divBdr>
        <w:top w:val="none" w:sz="0" w:space="0" w:color="auto"/>
        <w:left w:val="none" w:sz="0" w:space="0" w:color="auto"/>
        <w:bottom w:val="none" w:sz="0" w:space="0" w:color="auto"/>
        <w:right w:val="none" w:sz="0" w:space="0" w:color="auto"/>
      </w:divBdr>
    </w:div>
    <w:div w:id="1625695948">
      <w:bodyDiv w:val="1"/>
      <w:marLeft w:val="0"/>
      <w:marRight w:val="0"/>
      <w:marTop w:val="0"/>
      <w:marBottom w:val="0"/>
      <w:divBdr>
        <w:top w:val="none" w:sz="0" w:space="0" w:color="auto"/>
        <w:left w:val="none" w:sz="0" w:space="0" w:color="auto"/>
        <w:bottom w:val="none" w:sz="0" w:space="0" w:color="auto"/>
        <w:right w:val="none" w:sz="0" w:space="0" w:color="auto"/>
      </w:divBdr>
    </w:div>
    <w:div w:id="1779527169">
      <w:bodyDiv w:val="1"/>
      <w:marLeft w:val="0"/>
      <w:marRight w:val="0"/>
      <w:marTop w:val="0"/>
      <w:marBottom w:val="0"/>
      <w:divBdr>
        <w:top w:val="none" w:sz="0" w:space="0" w:color="auto"/>
        <w:left w:val="none" w:sz="0" w:space="0" w:color="auto"/>
        <w:bottom w:val="none" w:sz="0" w:space="0" w:color="auto"/>
        <w:right w:val="none" w:sz="0" w:space="0" w:color="auto"/>
      </w:divBdr>
    </w:div>
    <w:div w:id="1958029024">
      <w:bodyDiv w:val="1"/>
      <w:marLeft w:val="0"/>
      <w:marRight w:val="0"/>
      <w:marTop w:val="0"/>
      <w:marBottom w:val="0"/>
      <w:divBdr>
        <w:top w:val="none" w:sz="0" w:space="0" w:color="auto"/>
        <w:left w:val="none" w:sz="0" w:space="0" w:color="auto"/>
        <w:bottom w:val="none" w:sz="0" w:space="0" w:color="auto"/>
        <w:right w:val="none" w:sz="0" w:space="0" w:color="auto"/>
      </w:divBdr>
    </w:div>
    <w:div w:id="1999575612">
      <w:bodyDiv w:val="1"/>
      <w:marLeft w:val="0"/>
      <w:marRight w:val="0"/>
      <w:marTop w:val="0"/>
      <w:marBottom w:val="0"/>
      <w:divBdr>
        <w:top w:val="none" w:sz="0" w:space="0" w:color="auto"/>
        <w:left w:val="none" w:sz="0" w:space="0" w:color="auto"/>
        <w:bottom w:val="none" w:sz="0" w:space="0" w:color="auto"/>
        <w:right w:val="none" w:sz="0" w:space="0" w:color="auto"/>
      </w:divBdr>
    </w:div>
    <w:div w:id="2012678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paid.2010.08.008" TargetMode="External"/><Relationship Id="rId18" Type="http://schemas.openxmlformats.org/officeDocument/2006/relationships/hyperlink" Target="http://www.biomedcentral.com/1471-244X/11/33." TargetMode="External"/><Relationship Id="rId26" Type="http://schemas.openxmlformats.org/officeDocument/2006/relationships/hyperlink" Target="http://dx.doi.org/10.3758/MC.36.4.813" TargetMode="External"/><Relationship Id="rId39" Type="http://schemas.openxmlformats.org/officeDocument/2006/relationships/hyperlink" Target="https://doi.org/10.18844/prosoc.v5i1.3384" TargetMode="External"/><Relationship Id="rId21" Type="http://schemas.openxmlformats.org/officeDocument/2006/relationships/hyperlink" Target="https://doi.org/10.1016/j.bica.2018.10.006" TargetMode="External"/><Relationship Id="rId34" Type="http://schemas.openxmlformats.org/officeDocument/2006/relationships/hyperlink" Target="https://doi.org/10.6092/2282-1619/2013.2.919" TargetMode="External"/><Relationship Id="rId42" Type="http://schemas.openxmlformats.org/officeDocument/2006/relationships/hyperlink" Target="https://doi.org/10.1155/2023/6547804" TargetMode="External"/><Relationship Id="rId47" Type="http://schemas.openxmlformats.org/officeDocument/2006/relationships/hyperlink" Target="http://pressto.amu.edu.pl/index.php/ssllt" TargetMode="External"/><Relationship Id="rId50" Type="http://schemas.openxmlformats.org/officeDocument/2006/relationships/hyperlink" Target="https://doi.org/10.56011/mind-mri-112-20225" TargetMode="External"/><Relationship Id="rId55" Type="http://schemas.openxmlformats.org/officeDocument/2006/relationships/hyperlink" Target="https://doi.org/10.1016/j.actpsy.2022.103698" TargetMode="External"/><Relationship Id="rId63" Type="http://schemas.openxmlformats.org/officeDocument/2006/relationships/hyperlink" Target="http://dx.doi.org/10.1159/000286529" TargetMode="External"/><Relationship Id="rId68" Type="http://schemas.openxmlformats.org/officeDocument/2006/relationships/hyperlink" Target="https://doi.org/10.1177/0022057421996242" TargetMode="Externa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7/s11092-008-9068-5" TargetMode="External"/><Relationship Id="rId29" Type="http://schemas.openxmlformats.org/officeDocument/2006/relationships/hyperlink" Target="https://doi.org/10.1016/j.jpeds.2018.09.021" TargetMode="External"/><Relationship Id="rId11" Type="http://schemas.openxmlformats.org/officeDocument/2006/relationships/hyperlink" Target="http://www.academicjournals.org/ERR" TargetMode="External"/><Relationship Id="rId24" Type="http://schemas.openxmlformats.org/officeDocument/2006/relationships/hyperlink" Target="https://doi.org/10.25215/0802.298" TargetMode="External"/><Relationship Id="rId32" Type="http://schemas.openxmlformats.org/officeDocument/2006/relationships/hyperlink" Target="https://doi.org/10.1016/j.sbspro.2010.07.152" TargetMode="External"/><Relationship Id="rId37" Type="http://schemas.openxmlformats.org/officeDocument/2006/relationships/hyperlink" Target="https://doi.org/10.29252/nrip.irj.16.1.77" TargetMode="External"/><Relationship Id="rId40" Type="http://schemas.openxmlformats.org/officeDocument/2006/relationships/hyperlink" Target="https://doi.org/10.1016/S0022-3999(02)00466-X" TargetMode="External"/><Relationship Id="rId45" Type="http://schemas.openxmlformats.org/officeDocument/2006/relationships/hyperlink" Target="https://doi.org/10.1016/j.paid.2015.10.006" TargetMode="External"/><Relationship Id="rId53" Type="http://schemas.openxmlformats.org/officeDocument/2006/relationships/hyperlink" Target="http://dx.doi.org/10.1016/j.eatbeh.2014.10.019" TargetMode="External"/><Relationship Id="rId58" Type="http://schemas.openxmlformats.org/officeDocument/2006/relationships/hyperlink" Target="https://doi.org/10.3389/fpsyg.2022.913219" TargetMode="External"/><Relationship Id="rId66" Type="http://schemas.openxmlformats.org/officeDocument/2006/relationships/hyperlink" Target="https://doi.org/10.17323/2312-5942-2023-13-2-37-52" TargetMode="External"/><Relationship Id="rId79"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yperlink" Target="https://doi.org/10.1016/j.sbspro.2010.07.152" TargetMode="External"/><Relationship Id="rId23" Type="http://schemas.openxmlformats.org/officeDocument/2006/relationships/hyperlink" Target="http://dx.doi.org/10.11144/Javeriana" TargetMode="External"/><Relationship Id="rId28" Type="http://schemas.openxmlformats.org/officeDocument/2006/relationships/hyperlink" Target="https://psycnet.apa.org/doi/10.1037/0003-066X.34.10.906" TargetMode="External"/><Relationship Id="rId36" Type="http://schemas.openxmlformats.org/officeDocument/2006/relationships/hyperlink" Target="https://doi.org/10.1006/brcg.1997.0900" TargetMode="External"/><Relationship Id="rId49" Type="http://schemas.openxmlformats.org/officeDocument/2006/relationships/hyperlink" Target="http://creativecommons.org/licenses/by/3.0" TargetMode="External"/><Relationship Id="rId57" Type="http://schemas.openxmlformats.org/officeDocument/2006/relationships/hyperlink" Target="https://doi.org/10.3390/ijerph19063649" TargetMode="External"/><Relationship Id="rId61" Type="http://schemas.openxmlformats.org/officeDocument/2006/relationships/hyperlink" Target="https://doi.org/10.1006/ceps.1994.1033" TargetMode="External"/><Relationship Id="rId10" Type="http://schemas.openxmlformats.org/officeDocument/2006/relationships/hyperlink" Target="https://doi.org/10.1016/j.tsc.2022.101187" TargetMode="External"/><Relationship Id="rId19" Type="http://schemas.openxmlformats.org/officeDocument/2006/relationships/hyperlink" Target="https://doi.org/10.1006/ceps.1994.1033" TargetMode="External"/><Relationship Id="rId31" Type="http://schemas.openxmlformats.org/officeDocument/2006/relationships/hyperlink" Target="https://doi.org/10.1016/j.addbeh.2018.05.018" TargetMode="External"/><Relationship Id="rId44" Type="http://schemas.openxmlformats.org/officeDocument/2006/relationships/hyperlink" Target="http://dx.doi.org/10.5539/res.v6n4p201" TargetMode="External"/><Relationship Id="rId52" Type="http://schemas.openxmlformats.org/officeDocument/2006/relationships/hyperlink" Target="http://dx.doi.org/10.6007/IJARPED/v9-i2/7490" TargetMode="External"/><Relationship Id="rId60" Type="http://schemas.openxmlformats.org/officeDocument/2006/relationships/hyperlink" Target="%20https://doi.org/10.25215/0301.136" TargetMode="External"/><Relationship Id="rId65" Type="http://schemas.openxmlformats.org/officeDocument/2006/relationships/hyperlink" Target="https://doi.org/10.1177/07067437000450" TargetMode="External"/><Relationship Id="rId78" Type="http://schemas.microsoft.com/office/2011/relationships/people" Target="people.xml"/><Relationship Id="rId81"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https://doi.org/10.29329/ijpe.2020.268.10" TargetMode="External"/><Relationship Id="rId14" Type="http://schemas.openxmlformats.org/officeDocument/2006/relationships/hyperlink" Target="https://doi.org/10.3389/fneur.2018.00566" TargetMode="External"/><Relationship Id="rId22" Type="http://schemas.openxmlformats.org/officeDocument/2006/relationships/hyperlink" Target="https://doi.org/10.1016/j.neuropsychologia.2016.01.003" TargetMode="External"/><Relationship Id="rId27" Type="http://schemas.openxmlformats.org/officeDocument/2006/relationships/hyperlink" Target="https://doi.org/10.1016/0197-0070(91)90051-M" TargetMode="External"/><Relationship Id="rId30" Type="http://schemas.openxmlformats.org/officeDocument/2006/relationships/hyperlink" Target="https://psycnet.apa.org/doi/10.1163/156853707X171793" TargetMode="External"/><Relationship Id="rId35" Type="http://schemas.openxmlformats.org/officeDocument/2006/relationships/hyperlink" Target="https://doi.org/10.1080/00461520.1987.9653052" TargetMode="External"/><Relationship Id="rId43" Type="http://schemas.openxmlformats.org/officeDocument/2006/relationships/hyperlink" Target="https://doi.org/10.3389/fpsyg.2021.788458" TargetMode="External"/><Relationship Id="rId48" Type="http://schemas.openxmlformats.org/officeDocument/2006/relationships/hyperlink" Target="https://doi.org/10.1523/JNEUROSCI.2360-17.2018" TargetMode="External"/><Relationship Id="rId56" Type="http://schemas.openxmlformats.org/officeDocument/2006/relationships/hyperlink" Target="https://doi.org/10.1016/j.paid.2017.08.003" TargetMode="External"/><Relationship Id="rId64" Type="http://schemas.openxmlformats.org/officeDocument/2006/relationships/hyperlink" Target="https://doi.org/10.1016/S0193-953X(18)30480-5" TargetMode="External"/><Relationship Id="rId69" Type="http://schemas.openxmlformats.org/officeDocument/2006/relationships/hyperlink" Target="http://dx.doi.org/10.1016/j.jbtep.2005.07.002" TargetMode="External"/><Relationship Id="rId8" Type="http://schemas.openxmlformats.org/officeDocument/2006/relationships/endnotes" Target="endnotes.xml"/><Relationship Id="rId51" Type="http://schemas.openxmlformats.org/officeDocument/2006/relationships/hyperlink" Target="https://doi.org/10.1111/j.1365-277X.2010.01079.x" TargetMode="External"/><Relationship Id="rId72" Type="http://schemas.openxmlformats.org/officeDocument/2006/relationships/theme" Target="theme/theme1.xml"/><Relationship Id="rId80" Type="http://schemas.microsoft.com/office/2011/relationships/commentsExtended" Target="commentsExtended.xml"/><Relationship Id="rId3" Type="http://schemas.openxmlformats.org/officeDocument/2006/relationships/styles" Target="styles.xml"/><Relationship Id="rId12" Type="http://schemas.openxmlformats.org/officeDocument/2006/relationships/hyperlink" Target="https://doi.org/10.5539/gjhs.v8n2p117" TargetMode="External"/><Relationship Id="rId17" Type="http://schemas.openxmlformats.org/officeDocument/2006/relationships/hyperlink" Target="https://doi.org/10.1017/S095457908000436" TargetMode="External"/><Relationship Id="rId25" Type="http://schemas.openxmlformats.org/officeDocument/2006/relationships/hyperlink" Target="https://doi.org/10.1155/2017/5798372" TargetMode="External"/><Relationship Id="rId33" Type="http://schemas.openxmlformats.org/officeDocument/2006/relationships/hyperlink" Target="https://doi.org/10.1016/j.jpsychores.2017.12.011" TargetMode="External"/><Relationship Id="rId38" Type="http://schemas.openxmlformats.org/officeDocument/2006/relationships/hyperlink" Target="https://doi.org/10.1016/j.lindif.2007.03.004" TargetMode="External"/><Relationship Id="rId46" Type="http://schemas.openxmlformats.org/officeDocument/2006/relationships/hyperlink" Target="https://doi.org/10.1016/j.apnu.2021.12.002" TargetMode="External"/><Relationship Id="rId59" Type="http://schemas.openxmlformats.org/officeDocument/2006/relationships/hyperlink" Target="https://doi.org/10.1016/j.jad.2021.11.012" TargetMode="External"/><Relationship Id="rId67" Type="http://schemas.openxmlformats.org/officeDocument/2006/relationships/hyperlink" Target="http://dx.doi.org/10.1177/0008417414564865" TargetMode="External"/><Relationship Id="rId20" Type="http://schemas.openxmlformats.org/officeDocument/2006/relationships/hyperlink" Target="https://doi.org/10.13129/2282-1619/mjcp-3251" TargetMode="External"/><Relationship Id="rId41" Type="http://schemas.openxmlformats.org/officeDocument/2006/relationships/hyperlink" Target="https://doi.org/10.1159/000325170" TargetMode="External"/><Relationship Id="rId54" Type="http://schemas.openxmlformats.org/officeDocument/2006/relationships/hyperlink" Target="https://psycnet.apa.org/doi/10.1080/00220671.1996.9941208" TargetMode="External"/><Relationship Id="rId62" Type="http://schemas.openxmlformats.org/officeDocument/2006/relationships/hyperlink" Target="https://doi:10.1037/bul0000303" TargetMode="External"/><Relationship Id="rId70" Type="http://schemas.openxmlformats.org/officeDocument/2006/relationships/hyperlink" Target="https://doi.org/10.24953/turkjped.2019.03.005"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035E0-02D2-4321-ABC1-9A34480FD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23</Pages>
  <Words>12466</Words>
  <Characters>71059</Characters>
  <Application>Microsoft Office Word</Application>
  <DocSecurity>0</DocSecurity>
  <Lines>592</Lines>
  <Paragraphs>166</Paragraphs>
  <ScaleCrop>false</ScaleCrop>
  <HeadingPairs>
    <vt:vector size="6" baseType="variant">
      <vt:variant>
        <vt:lpstr>العنوان</vt:lpstr>
      </vt:variant>
      <vt:variant>
        <vt:i4>1</vt:i4>
      </vt:variant>
      <vt:variant>
        <vt:lpstr>Title</vt:lpstr>
      </vt:variant>
      <vt:variant>
        <vt:i4>1</vt:i4>
      </vt:variant>
      <vt:variant>
        <vt:lpstr>Konu Başlığı</vt:lpstr>
      </vt:variant>
      <vt:variant>
        <vt:i4>1</vt:i4>
      </vt:variant>
    </vt:vector>
  </HeadingPairs>
  <TitlesOfParts>
    <vt:vector size="3" baseType="lpstr">
      <vt:lpstr/>
      <vt:lpstr/>
      <vt:lpstr/>
    </vt:vector>
  </TitlesOfParts>
  <Company>SilentAll Team</Company>
  <LinksUpToDate>false</LinksUpToDate>
  <CharactersWithSpaces>83359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zirve</dc:creator>
  <cp:lastModifiedBy>HP</cp:lastModifiedBy>
  <cp:revision>52</cp:revision>
  <cp:lastPrinted>2015-03-02T20:27:00Z</cp:lastPrinted>
  <dcterms:created xsi:type="dcterms:W3CDTF">2023-10-27T08:06:00Z</dcterms:created>
  <dcterms:modified xsi:type="dcterms:W3CDTF">2025-07-11T08:35:00Z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6e34dc95326b651e88a361454cea61bb1edae8cc403c817a139daaac945f8c6a</vt:lpwstr>
  </property>
</Properties>
</file>