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b w:val="1"/>
          <w:sz w:val="36"/>
          <w:szCs w:val="36"/>
          <w:rtl w:val="0"/>
        </w:rPr>
        <w:t xml:space="preserve">Relationship between academic stress and eating habits in law students in Trujillo, 2025</w:t>
      </w:r>
      <w:r w:rsidDel="00000000" w:rsidR="00000000" w:rsidRPr="00000000">
        <w:rPr>
          <w:rtl w:val="0"/>
        </w:rPr>
      </w:r>
    </w:p>
    <w:p w:rsidR="00000000" w:rsidDel="00000000" w:rsidP="00000000" w:rsidRDefault="00000000" w:rsidRPr="00000000" w14:paraId="00000002">
      <w:pPr>
        <w:pageBreakBefore w:val="0"/>
        <w:spacing w:line="360" w:lineRule="auto"/>
        <w:rPr>
          <w:b w:val="1"/>
        </w:rPr>
      </w:pPr>
      <w:r w:rsidDel="00000000" w:rsidR="00000000" w:rsidRPr="00000000">
        <w:rPr>
          <w:rtl w:val="0"/>
        </w:rPr>
      </w:r>
    </w:p>
    <w:p w:rsidR="00000000" w:rsidDel="00000000" w:rsidP="00000000" w:rsidRDefault="00000000" w:rsidRPr="00000000" w14:paraId="00000003">
      <w:pPr>
        <w:pageBreakBefore w:val="0"/>
        <w:spacing w:line="360" w:lineRule="auto"/>
        <w:rPr>
          <w:i w:val="1"/>
          <w:sz w:val="28"/>
          <w:szCs w:val="28"/>
        </w:rPr>
      </w:pPr>
      <w:r w:rsidDel="00000000" w:rsidR="00000000" w:rsidRPr="00000000">
        <w:rPr>
          <w:rtl w:val="0"/>
        </w:rPr>
      </w:r>
    </w:p>
    <w:p w:rsidR="00000000" w:rsidDel="00000000" w:rsidP="00000000" w:rsidRDefault="00000000" w:rsidRPr="00000000" w14:paraId="00000004">
      <w:pPr>
        <w:pageBreakBefore w:val="0"/>
        <w:spacing w:line="360" w:lineRule="auto"/>
        <w:rPr>
          <w:rFonts w:ascii="Times" w:cs="Times" w:eastAsia="Times" w:hAnsi="Times"/>
          <w:i w:val="1"/>
          <w:sz w:val="28"/>
          <w:szCs w:val="28"/>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97600" cy="50800"/>
                <wp:effectExtent b="0" l="0" r="0" t="0"/>
                <wp:wrapNone/>
                <wp:docPr id="27" name=""/>
                <a:graphic>
                  <a:graphicData uri="http://schemas.microsoft.com/office/word/2010/wordprocessingShape">
                    <wps:wsp>
                      <wps:cNvCnPr/>
                      <wps:spPr>
                        <a:xfrm>
                          <a:off x="2259900" y="3780000"/>
                          <a:ext cx="6172200" cy="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97600" cy="50800"/>
                <wp:effectExtent b="0" l="0" r="0" t="0"/>
                <wp:wrapNone/>
                <wp:docPr id="2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197600" cy="50800"/>
                        </a:xfrm>
                        <a:prstGeom prst="rect"/>
                        <a:ln/>
                      </pic:spPr>
                    </pic:pic>
                  </a:graphicData>
                </a:graphic>
              </wp:anchor>
            </w:drawing>
          </mc:Fallback>
        </mc:AlternateContent>
      </w:r>
    </w:p>
    <w:p w:rsidR="00000000" w:rsidDel="00000000" w:rsidP="00000000" w:rsidRDefault="00000000" w:rsidRPr="00000000" w14:paraId="00000005">
      <w:pPr>
        <w:pageBreakBefore w:val="0"/>
        <w:spacing w:line="360" w:lineRule="auto"/>
        <w:rPr>
          <w:b w:val="1"/>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Abstract</w:t>
      </w:r>
    </w:p>
    <w:p w:rsidR="00000000" w:rsidDel="00000000" w:rsidP="00000000" w:rsidRDefault="00000000" w:rsidRPr="00000000" w14:paraId="00000007">
      <w:pPr>
        <w:pageBreakBefore w:val="0"/>
        <w:spacing w:line="360" w:lineRule="auto"/>
        <w:jc w:val="both"/>
        <w:rPr>
          <w:sz w:val="20"/>
          <w:szCs w:val="20"/>
        </w:rPr>
      </w:pPr>
      <w:r w:rsidDel="00000000" w:rsidR="00000000" w:rsidRPr="00000000">
        <w:rPr>
          <w:sz w:val="20"/>
          <w:szCs w:val="20"/>
          <w:rtl w:val="0"/>
        </w:rPr>
        <w:t xml:space="preserve">This research was conducted within the framework of Sustainable Development Goal (SDG) 3, which seeks to ensure healthy lives and promote well-being for all. The main objective of this study was to determine the relationship between academic stress levels and eating habits among law students at a private university in Trujillo in 2025. The study used a quantitative approach, with a non-experimental, correlational, and cross-sectional design. The study involved a sample of 161 students selected through simple random sampling. Two instruments were used for data collection: the SISCO SV-21 Inventory to measure academic stress and the Eating Habits Questionnaire. The results revealed that 76.4% of the students had a medium level of stress and 91.3% maintained unhealthy eating habits. The statistical analysis showed an inverse, negative, and weak classification between the two variables, concluding that academic stress and eating habits are related, but with low explanatory power.</w:t>
      </w:r>
    </w:p>
    <w:p w:rsidR="00000000" w:rsidDel="00000000" w:rsidP="00000000" w:rsidRDefault="00000000" w:rsidRPr="00000000" w14:paraId="00000008">
      <w:pPr>
        <w:pageBreakBefore w:val="0"/>
        <w:spacing w:line="360" w:lineRule="auto"/>
        <w:rPr>
          <w:sz w:val="20"/>
          <w:szCs w:val="20"/>
        </w:rPr>
      </w:pPr>
      <w:r w:rsidDel="00000000" w:rsidR="00000000" w:rsidRPr="00000000">
        <w:rPr>
          <w:rtl w:val="0"/>
        </w:rPr>
      </w:r>
    </w:p>
    <w:p w:rsidR="00000000" w:rsidDel="00000000" w:rsidP="00000000" w:rsidRDefault="00000000" w:rsidRPr="00000000" w14:paraId="00000009">
      <w:pPr>
        <w:pageBreakBefore w:val="0"/>
        <w:spacing w:line="360" w:lineRule="auto"/>
        <w:rPr>
          <w:b w:val="1"/>
          <w:sz w:val="20"/>
          <w:szCs w:val="20"/>
        </w:rPr>
      </w:pPr>
      <w:r w:rsidDel="00000000" w:rsidR="00000000" w:rsidRPr="00000000">
        <w:rPr>
          <w:b w:val="1"/>
          <w:sz w:val="20"/>
          <w:szCs w:val="20"/>
          <w:rtl w:val="0"/>
        </w:rPr>
        <w:t xml:space="preserve">Keywords</w:t>
      </w:r>
    </w:p>
    <w:p w:rsidR="00000000" w:rsidDel="00000000" w:rsidP="00000000" w:rsidRDefault="00000000" w:rsidRPr="00000000" w14:paraId="0000000A">
      <w:pPr>
        <w:pageBreakBefore w:val="0"/>
        <w:spacing w:line="360" w:lineRule="auto"/>
        <w:jc w:val="both"/>
        <w:rPr>
          <w:sz w:val="20"/>
          <w:szCs w:val="20"/>
        </w:rPr>
      </w:pPr>
      <w:r w:rsidDel="00000000" w:rsidR="00000000" w:rsidRPr="00000000">
        <w:rPr>
          <w:sz w:val="20"/>
          <w:szCs w:val="20"/>
          <w:rtl w:val="0"/>
        </w:rPr>
        <w:t xml:space="preserve">Academic stress, eating habits, college students, holistic health, well-being.</w:t>
      </w:r>
    </w:p>
    <w:p w:rsidR="00000000" w:rsidDel="00000000" w:rsidP="00000000" w:rsidRDefault="00000000" w:rsidRPr="00000000" w14:paraId="0000000B">
      <w:pPr>
        <w:pageBreakBefore w:val="0"/>
        <w:spacing w:line="360" w:lineRule="auto"/>
        <w:jc w:val="both"/>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Resumen</w:t>
      </w:r>
    </w:p>
    <w:p w:rsidR="00000000" w:rsidDel="00000000" w:rsidP="00000000" w:rsidRDefault="00000000" w:rsidRPr="00000000" w14:paraId="0000000D">
      <w:pPr>
        <w:pageBreakBefore w:val="0"/>
        <w:spacing w:line="360" w:lineRule="auto"/>
        <w:jc w:val="both"/>
        <w:rPr>
          <w:sz w:val="20"/>
          <w:szCs w:val="20"/>
        </w:rPr>
      </w:pPr>
      <w:r w:rsidDel="00000000" w:rsidR="00000000" w:rsidRPr="00000000">
        <w:rPr>
          <w:sz w:val="20"/>
          <w:szCs w:val="20"/>
          <w:rtl w:val="0"/>
        </w:rPr>
        <w:t xml:space="preserve">La presente investigación se efectuó en el marco del Objetivo de Desarrollo Sostenible (ODS) 3, que busca garantizar una vida sana y promover el bienestar para todos. El objetivo principal de esta investigación fue determinar la relación entre el nivel de estrés académico y los hábitos alimenticios en estudiantes universitarios de Derecho de una universidad privada de Trujillo en 2025. El estudio empleó un enfoque cuantitativo, con diseño no experimental, de tipo correlacional y corte transversal. Se trabajó con una muestra de 161 estudiantes seleccionados mediante muestreo aleatorio simple. Para la recolección de datos se utilizaron dos instrumentos, el Inventario SISCO SV-21 para medir el estrés académico y el Cuestionario de Hábitos Alimentarios. Los resultados revelaron que el 76.4% de los estudiantes presenta un nivel medio de estrés y el 91.3% mantiene hábitos alimenticios poco saludables. El análisis estadístico arrojó una correlación inversa, negativa y débil entre ambas variables, infiriendo que, el estrés académico y los hábitos alimenticios están relacionados, pero con baja fuerza explicativa.</w:t>
      </w:r>
    </w:p>
    <w:p w:rsidR="00000000" w:rsidDel="00000000" w:rsidP="00000000" w:rsidRDefault="00000000" w:rsidRPr="00000000" w14:paraId="0000000E">
      <w:pPr>
        <w:pageBreakBefore w:val="0"/>
        <w:spacing w:line="360" w:lineRule="auto"/>
        <w:rPr>
          <w:sz w:val="20"/>
          <w:szCs w:val="20"/>
        </w:rPr>
      </w:pPr>
      <w:r w:rsidDel="00000000" w:rsidR="00000000" w:rsidRPr="00000000">
        <w:rPr>
          <w:rtl w:val="0"/>
        </w:rPr>
      </w:r>
    </w:p>
    <w:p w:rsidR="00000000" w:rsidDel="00000000" w:rsidP="00000000" w:rsidRDefault="00000000" w:rsidRPr="00000000" w14:paraId="0000000F">
      <w:pPr>
        <w:pageBreakBefore w:val="0"/>
        <w:spacing w:line="360" w:lineRule="auto"/>
        <w:jc w:val="both"/>
        <w:rPr>
          <w:b w:val="1"/>
          <w:sz w:val="20"/>
          <w:szCs w:val="20"/>
        </w:rPr>
      </w:pPr>
      <w:r w:rsidDel="00000000" w:rsidR="00000000" w:rsidRPr="00000000">
        <w:rPr>
          <w:b w:val="1"/>
          <w:sz w:val="20"/>
          <w:szCs w:val="20"/>
          <w:rtl w:val="0"/>
        </w:rPr>
        <w:t xml:space="preserve">Palabras clave</w:t>
      </w:r>
    </w:p>
    <w:p w:rsidR="00000000" w:rsidDel="00000000" w:rsidP="00000000" w:rsidRDefault="00000000" w:rsidRPr="00000000" w14:paraId="00000010">
      <w:pPr>
        <w:pageBreakBefore w:val="0"/>
        <w:spacing w:line="360" w:lineRule="auto"/>
        <w:jc w:val="both"/>
        <w:rPr>
          <w:sz w:val="20"/>
          <w:szCs w:val="20"/>
        </w:rPr>
      </w:pPr>
      <w:r w:rsidDel="00000000" w:rsidR="00000000" w:rsidRPr="00000000">
        <w:rPr>
          <w:sz w:val="20"/>
          <w:szCs w:val="20"/>
          <w:rtl w:val="0"/>
        </w:rPr>
        <w:t xml:space="preserve">Estrés académico, hábitos alimenticios, estudiantes universitarios, salud integral, bienestar.</w:t>
      </w:r>
      <w:r w:rsidDel="00000000" w:rsidR="00000000" w:rsidRPr="00000000">
        <w:drawing>
          <wp:anchor allowOverlap="1" behindDoc="0" distB="0" distT="0" distL="114300" distR="114300" hidden="0" layoutInCell="1" locked="0" relativeHeight="0" simplePos="0">
            <wp:simplePos x="0" y="0"/>
            <wp:positionH relativeFrom="column">
              <wp:posOffset>5400675</wp:posOffset>
            </wp:positionH>
            <wp:positionV relativeFrom="paragraph">
              <wp:posOffset>0</wp:posOffset>
            </wp:positionV>
            <wp:extent cx="396000" cy="259200"/>
            <wp:effectExtent b="0" l="0" r="0" t="0"/>
            <wp:wrapNone/>
            <wp:docPr id="2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96000" cy="259200"/>
                    </a:xfrm>
                    <a:prstGeom prst="rect"/>
                    <a:ln/>
                  </pic:spPr>
                </pic:pic>
              </a:graphicData>
            </a:graphic>
          </wp:anchor>
        </w:drawing>
      </w:r>
    </w:p>
    <w:p w:rsidR="00000000" w:rsidDel="00000000" w:rsidP="00000000" w:rsidRDefault="00000000" w:rsidRPr="00000000" w14:paraId="00000011">
      <w:pPr>
        <w:pageBreakBefore w:val="0"/>
        <w:spacing w:line="360" w:lineRule="auto"/>
        <w:rPr>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pPr>
      <w:r w:rsidDel="00000000" w:rsidR="00000000" w:rsidRPr="00000000">
        <w:br w:type="page"/>
      </w:r>
      <w:r w:rsidDel="00000000" w:rsidR="00000000" w:rsidRPr="00000000">
        <w:rPr>
          <w:rtl w:val="0"/>
        </w:rPr>
        <w:t xml:space="preserve">Relación entre estrés académico y hábitos alimenticios en estudiantes universitarios de Derecho en Trujillo, 2025</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Introducción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A lo largo del tiempo, los hábitos alimenticios eran una constante prioridad en los jóvenes estudiantes, otorgando vitalidad y beneficios íntegros a su salud en su cotidianidad académica, sin embargo, se han transformado en un fenómeno acuciante, puesto que, las exigencias académicas se han antepuesto a los hábitos alimentarios; y en su mayor agravante, como un estilo de vida universitario en dichos jóvenes discentes (Peñarrieta et al., 2025). Es así que, esta problemática se vinculó con el ODS 3, en el cual, se alineó a la meta 3.d, que busca garantizar una vida sana y promover el bienestar para todos en todas las edades.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Actualmente, a nivel internacional, un estudio en México, evidenció que, el 92.2% de los estudiantes, manifestaron preocupación y nerviosismo por la sobrecarga académica, además de cambios en su alimentación relacionados con fatiga, tristeza y depresión (González et al., 2024). Por su parte, en el contexto nacional, a través de una investigación en Lima, se observó un consumo frecuente de frituras y azúcares, así como una relación entre el estrés académico y la baja ingesta de frutas y verduras (Tutaya, 2021). Mientras que, a nivel local, en la ciudad de Trujillo, un estudio realizado con 174 estudiantes reveló que, durante la pandemia, el 43.1% presentaban hábitos alimenticios inadecuados acompañados de un nivel elevado de estrés (Bautista &amp; Florián, 2021).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Por tal motivo, el estudio se focalizó en educandos cursantes de la carrera de Derecho de una universidad de Trujillo, dado que, dichos jóvenes presentaron indicadores altos de estrés académico y hábitos alimenticios inadecuados, que afectan a su bienestar integral y a su rendimiento estudiantil.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En ese contexto, Pérez et al. (2021), realizaron un estudio abordando los factores que desencadenan el estrés académico; en el cual evidenciaron que, las causas de esta problemática, residen en la carga de trabajos y actividades estudiantiles, inapropiada gestión del tiempo y en la presión para obtener calificaciones sobresalientes. Así como, el inicio del ciclo escolar, la preparación para los exámenes y la competitividad académica. De igual forma, Maza et al. (2022), en su investigación enfocada en los aspectos vinculados a la inadecuada alimentación de los estudiantes universitarios, precisaron que, las causas se ven influenciadas por el horario de clases, escasez de tiempo, falta de conocimiento nutricional, consumo de alcohol, condición financiera y una deficiente organización que conlleva a la elección de comidas rápidas y poco saludables (González et al., 2024).</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En consecuencia, el estrés académico repercute en los cambios de humor, el incremento de irritabilidad, disminución de autoestima por bajas calificaciones, fatiga, insomnio, inadecuados hábitos alimenticios y desmotivación, posibilitando el abandono de estudios superiores o el desarrollo de enfermedades asociadas (Restrepo et al., 2020). En simultáneo, los hábitos alimenticios inadecuados, ocasionan cambios drásticos en el peso corporal, siendo en aumento o pérdida excesiva, el funcionamiento cognitivo, la falta de nutrientes esenciales y el desencadenamiento de problemas en la concentración, baja memoria y lentitud en el procesamiento de información, impactando negativamente en las distintas áreas que se desenvuelven (Robles, 2022).</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Por tal motivo, el estudio optó por dilucidar dichas variables, tomando los aportes de los autores Cassaretto et.al. (2021), quienes conceptualizan al estrés académico como aquel proceso donde el estudiante comienza a percibir las demandas del contexto educativo como amenazantes, provocando sensaciones desagradables, bajo rendimiento y disminución de la motivación, manifestándose a través de una serie de síntomas del desequilibrio, forzando al estudiante a tomar medidas para afrontar su estrés (Soto et.al, 2021). Mientras que, Maza et al. (2022), definen los hábitos alimenticios como aquel conjunto de conductas vinculadas a la selección, preparación y consumo de alimentos cumpliendo un valor nutricional, esenciales para el aporte de energía al organismo, donde estos suelen verse influenciados por factores geográficos, socioeconómicos y socioculturales.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Por tanto, con base en la investigación antedicha, se formuló la siguiente pregunta investigativa, ¿cuál es la relación entre el nivel de estrés académico y los hábitos alimenticios de los estudiantes universitarios de derecho en Trujillo?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Por consiguiente, se efectuaron las siguientes preguntas específicas para el desarrollo del estudio; entre ellas, ¿cuál es el nivel más frecuente de estrés académico que poseen los estudiantes universitarios de Derecho en Trujillo en el 2025? ¿cuáles son los hábitos alimenticios que mantienen los estudiantes universitarios de Derecho en Trujillo en el 2025? ¿cuáles son los factores vinculados al estrés y hábitos alimenticios de los estudiantes universitarios de Derecho en Trujillo en el 2025?</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En ese sentido, la investigación se justificó según los criterios de Hernández y Mendoza (2018), por poseer una relevancia teórica, puesto que, la información adquirida propició la expansión de los conocimientos sobre la relación que existe entre el estrés académico y los hábitos alimenticios, posibilitando un mejor entendimiento sobre esta problemática. A su vez, presentó una relevancia social, puesto que, dicha compilación secundó a la concientización en la sociedad, dado que, el inadecuado manejo del estrés es un problema que aqueja a los hitos de bienestar saludable y hábitos alimentarios eficientes de los universitarios. Por último, por su utilidad metodológica, ya que se plasmaron diversos instrumentos para la recolección de datos y la aplicación para el correcto procesamiento.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Por consiguiente, se planteó el siguiente objetivo general, determinar la relación entre el nivel de estrés académico y los hábitos alimenticios de los estudiantes universitarios de derecho en Trujillo en el 2025, con relación a la ODS 3 Salud y Bienestar. Además, se plantearon los siguientes objetivos específicos; determinar el nivel y dimensión más frecuente de estrés en los estudiantes universitarios de Derecho en Trujillo en el 2025; reconocer los hábitos alimenticios y las dimensiones que llevan los educandos; delimitar la población de género que tenga mayor predominancia de estrés académico e inadecuados hábitos alimenticios; finalmente, determinar el nivel socioeconómico de los estudiantes que presentan mayor estrés académicos y hábitos alimenticios poco saludables.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En este contexto, se evaluaron diversas investigaciones que estudiaron previamente las variables del informe. Ante ello Peñarrieta et al. (2024) realizaron un estudio de tipo descriptivo, longitudinal y de tendencia, que incluyó a 491 estudiantes. Donde se evidenció que el estrés académico está ampliamente presente en los estudiantes, lo que lo convierte en un factor de riesgo significativo para su salud mental, manifestándose a través de diversas fuentes de presión, síntomas emocionales y físicos, así como de las formas en que intentan enfrentarlo.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Asimismo, en Chile, San Martín et al. (2024), realizaron una investigación a través de un estudio transversal con 802 estudiantes universitarios, donde se aplicó una encuesta validada sobre hábitos alimenticios y la escala DASS-21, para medir los niveles de ansiedad, depresión y estrés. Encontrando que, el no consumir verduras y la omisión del desayuno, se relacionaron con mayores niveles de depresión y ansiedad, respectivamente; mientras que, el consumo frecuente de snacks se asoció con niveles más altos de estrés, evidenciando cómo el estado emocional puede influir negativamente en los hábitos alimentarios de los universitarios.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Adicionalmente, la investigación de Cruz (2024) llevada a cabo en México, de tipo cuantitativo y diseño descriptivo, aplicó un cuestionario a una muestra por conveniencia de 926 universitarios, revelando que, el 84% presentaba altos niveles de estrés que afectan negativamente sus hábitos alimenticios y su rendimiento académico, especialmente en mujeres. Además, se identificó una asociación entre el estrés, la mala alimentación y el deterioro de la salud física y mental, destacando la obesidad y la diabetes como problemas frecuentes en la población universitaria.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Del mismo modo, en México, el estudio realizado por Gonzáles et al. (2024) en 117 estudiantes de medicina, mediante un muestreo aleatorio simple con un diseño mixto, descriptivo, comparativo y transversal; haciendo uso del instrumento SISCO de estrés académico y el cuestionario de Índice de Alimentación Saludable, lograron obtener como resultado que el 38.5% de las mujeres que sufren estrés, tienden a llevar una alimentación desequilibrada, resaltando que quienes tienen edades entre 21 y 43 años son más vulnerables debido a responsabilidades familiares o económicas.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Por último, Alzahrani et al. (2020) en su investigación con estudiantes de medicina de una universidad en Arabia Saudita, tomaron una muestra de 378 estudiantes. Se llevó a cabo un estudio transversal con el objetivo de identificar patrones de hábitos alimenticios e investigar su relación con factores socioeconómicos, sociodemográficos y psicológicos, haciendo uso de un cuestionario autoadministrado con preguntas sobre sociodemografía, hábitos alimentarios y factores psicológicos. Obteniendo como resultado una puntuación baja en hábitos alimenticios en estudiantes que vivían solos y presentaban niveles altos de estrés, lo que evidenció una asociación entre dichas condiciones y los patrones de alimentación que llevan, concluyendo que la mayoría de ellos mantenían hábitos poco saludables influenciados significativamente por factores psicológicos y socioeconómicos.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Por otro lado, a nivel nacional, en Lima, Flores y Maravi (2020), realizaron un estudio de enfoque cuantitativo, con un diseño metodológico, de corte transversal, investigación no experimental, descriptiva, observacional, correlacional y retrospectiva; en la cual, se desarrolló con estudiantes de la Universidad María Auxiliadora, con el objetivo principal, de determinar la relación entre las variables de estrés académico y los hábitos alimenticios, empleándose una muestra de 42 universitarios. Para ello, se utilizaron instrumentos como el inventario de SISCO SV-19, y el cuestionario de Tamizaje por Block. Al respecto, se evidenció que, no existe un nexo estadísticamente significativo entre las variables.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Mientras que, Arpi et al. (2024), analizaron cómo el estrés y los hábitos alimentarios afectan a estudiantes universitarios. Con una muestra por conveniencia de 926 alumnos, se aplicó un cuestionario y se realizaron análisis estadísticos para identificar diferencias. El 84% reportó niveles altos de estrés que impactaron negativamente sus hábitos alimentarios y rendimiento académico, especialmente en mujeres, concluyendo que el estrés provocó cambios emocionales, alimentarios y académicos, y que aún persisten efectos de la pandemia, agravados por altos niveles de depresión, ansiedad, obesidad y diabetes.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Del mismo modo, Ramírez et.al. (2023), a través de su investigación basada en la relación entre estrés académico y los hábitos alimenticios en universitarios de la UNMSM de Lima, llevando a cabo un estudio de perspectiva cuantitativa, de diseño no experimental y correlacional, haciendo uso del instrumento Sisco y el Cuestionario para  evaluar  conductas y hábitos alimentarios en estudiantes de educación superior, en una muestra de 712 estudiantes del semestre 2023-II encontrando relación entre ambas variables de estudio, obteniendo una proporción similar de estudiantes con hábitos deficientes y estrés académico.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A su vez, se evaluaron teorías que respaldan la comprensión de las variables involucradas, destacando la teoría del estrés académico expuesta por Cayllahua (2020) desde la perspectiva del Dr. Arturo Barraza Macías, quien propuso el modelo sistémico cognoscitivista, que parte de dos supuestos clave: el primero, de carácter sistémico, concibe al ser humano como un sistema abierto que interactúa constantemente con su entorno, procesando información para mantener su equilibrio interno, lo que explica cómo los estudiantes reaccionan ante estímulos externos como las exigencias escolares. El segundo, de naturaleza cognoscitiva, se basa en el modelo transaccional del estrés, afirmando que la relación entre el estudiante y su entorno está mediada por un proceso de valoración cognitiva, mediante el cual evalúa las demandas académicas y sus propios recursos para enfrentarlas; si percibe que estas demandas superan sus capacidades, es probable que experimente estrés (Cayllahua, 2020).</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Para comprender cómo las demandas del entorno influyen en los hábitos alimenticios de los estudiantes, se recurre a la Teoría Ecológica del Desarrollo Humano de Bronfenbrenner, la cual, plantea que estos hábitos son producto de múltiples influencias ambientales interconectadas, organizadas en sistemas ecológicos concéntricos: el microsistema está conformado por el entorno más cercano al individuo; el mesosistema enlaza las relaciones entre los múltiples microsistemas; el exosistema, aunque no involucra la participación directa del estudiante, ejerce una influencia significativamente sobre él; y el macrosistema representa el marco sociocultural que incide ampliamente en todos los ecosistemas. Cada uno de ellos, distribuidos de una menor a una mayor globalidad respectivamente (Parra &amp; Rubio, 2017; citado en Santa Cruz, 2021).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Por lo anteriormente mencionado, se postuló la siguiente hipótesis de investigación, en la cual, se plantea que, a mayor nivel de estrés académico, mayor es la probabilidad de desarrollar hábitos alimenticios inadecuados en estudiantes universitarios de Derecho en Trujillo en el 2025.</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Método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Participantes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La población, se define como un grupo de elementos o individuos que tienen en común una serie de características en relación al estudio planteado, y en el cual, se pretende hacer una generalización de los resultados obtenidos en base a sus rasgos únicos (Fuentes et al., 2020). Por lo tanto, esta investigación cuenta con una población total de 607 estudiantes de la carrera profesional de Derecho en una universidad privada de Trujillo.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Asìmismo, para el desarrollo del presente estudio, se establecieron criterios de inclusión y exclusión con el propósito de delimitar adecuadamente la población objetivo y asegurar la validez de los resultados, es por ello que se incluyeron estudiantes universitarios que se encuentren matriculados en la carrera de Derecho en una universidad particular de Trujillo durante el año académico 2024 - 1. Además, se consideró necesario que los participantes estén cursando el tercer ciclo de estudios, con la finalidad de garantizar que ya estén familiarizados con las exigencias del entorno académico universitario, también se estableció como requisito que los estudiantes tengan entre 18 y 30 años de edad, correspondiente al rango etario más frecuente dentro de la población universitaria, finalmente, se incluyeron aquellos estudiantes que aceptaron participar de manera voluntaria en la investigación, a través del consentimiento informado correspondiente.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En ese sentido, se excluyeron de la investigación aquellos estudiantes que registraron un porcentaje de inasistencias superior al 50% en el ciclo académico en curso, ya que ello podría afectar la regularidad de su experiencia académica, asimismo, no se consideraron los estudiantes que, al momento de la recolección de datos, se encontraban en condición de reserva de matrícula, retiro temporal o con trámites administrativos que interfirieran con su continuidad académica, también quedaron excluidos quienes presentaron  dificultades de comunicación oral o escrita que impidieron una adecuada comprensión o respuesta a los instrumentos de recolección de datos.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En lo concerniente a la muestra, estuvo conformada por unidades estadísticas provenientes de una parte de la población o universo establecido, esto, a través de un muestreo probabilístico que determinará la forma en que estas unidades serán elegidas entre la población (Klinger, 2024). De igual manera, esta muestra debe poseer un número propicio de las unidades estudiadas, de tal manera que, la información extraída de este conjunto, sea lo suficientemente grande como para describir a la población de estudio (Pereyra &amp; Vaira, 2021).</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Por consiguiente, la muestra estimada para el estudio de la relación entre estrés académico y hábitos alimenticios en estudiantes universitarios, se dispuso de un nivel de confianza del 90% y un margen de error del 5%, obteniendo un resultado de 161.21, traducido en una muestra de 161 estudiantes de nivel superior.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Diseño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En el presente estudio, se postuló determinar la relación entre el nivel de estrés académico, siendo establecida como la denominación de variable independiente; y los niveles de hábitos alimenticios en universitarios, considerados como la variable dependiente. Al respecto, dicha investigación es básica con un diseño no experimental, transversal, puesto que, se refiere a un tipo de investigación realizada en un entorno del mundo real con el objetivo de abordar un problema o pregunta específica en un contexto práctico (Arispe et al., 2020).</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La presente investigación se orientó dentro del enfoque cuantitativo, ya que se basó en la recolección y análisis de datos numéricos para establecer relaciones entre variables previamente definidas, como lo son el nivel de estrés académico y los hábitos alimenticios. Según Vizcaíno et al. (2023), dicho enfoque permite una medición objetiva y precisa de los fenómenos estudiados, apoyándose en instrumentos estandarizados y validados.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En cuanto al tipo de investigación, esta fue de carácter descriptiva, con un diseño metodológico, y de tipo no experimental, puesto que, no se manipularon deliberadamente las variables, sino que se observan tal como ocurren en el contexto natural de los participantes (Arias &amp; Covinos, 2021).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Asimismo, presentó un diseño transversal, puesto que los datos se recopilaron en un solo momento del tiempo, específicamente durante el año 2025. De acuerdo a Haro et al. (2024) esto permite conocer la situación actual de los estudiantes en relación con las variables estudiadas. Dentro del diseño no experimental, se clasifica además como correlacional, dado que pretende identificar el grado de asociación existente entre el nivel de estrés académico y los hábitos alimenticios de los estudiantes.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De igual forma, en cuanto al alcance de la investigación, esta tuvo un alcance correlacional, por lo que, no se limitó a describir las variables por separado, sino que pretende establecer la relación entre ambas, no se buscó explicar las causas del fenómeno, sino determinar si existe una conexión estadísticamente significativa entre el estrés académico y los hábitos alimenticios, contribuyendo así a una comprensión más profunda del bienestar integral del estudiante universitario (Ramos, 2020).</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Materiales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En lo que atañe a la técnica de muestreo, esta se alineó a aplicar de tipo probabilístico, aleatorio simple, donde la variable fueron los estudiantes universitarios del tercer ciclo de la carrera mencionada, por lo que, con el fin de seleccionar la muestra, esta selección nos permite obtener la división de la muestra en distintos grupos grupos aleatorios de la población, entre los que se escogerá a las personas a entrevistar. En simultáneo, se consignó este tipo de continuación, donde se irá sumando a razón de 1 sucesivamente, hasta alcanzar los 161 individuos de la muestra antedicha.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Para esta investigación, la técnica de recolección de datos que se usó, tanto para la variable de hábitos alimenticios y estrés académico, fue la encuesta, con el fin de recaudar la información necesaria para cumplir con el objetivo planteado.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Se hizo uso del Cuestionario de Hábitos Alimentarios, elaborado por Jacqueline Sayán Brito en el año 2017. Este cuestionario evalúa los hábitos alimenticios, por lo que, consta de dos dimensiones, conducta alimentaria y consumo de alimentos. Así mismo, el presente instrumento fue validado por Baras et al,. (2017).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Para evaluar la variable de estrés académico se utilizó el Inventario Sistémico Cognoscitivista para el Estudio del Estrés Académico (SISCO SV-21), desarrollado por Barraza en 2018. Este instrumento permite identificar el nivel y características del estrés académico en estudiantes universitarios mediante tres dimensiones: estresores académicos, síntomas del estrés y estrategias de afrontamiento (Guzmán et al., 2022). Por consiguiente, Gonzáles (2024) realizó una validación mediante la adaptación del inventario para un estudio, en el cual se demostró una validez de contenido adecuada, con coeficientes de concordancia V de Aiken superiores a 0.85.</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Procedimientos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Análisis de los datos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sdt>
        <w:sdtPr>
          <w:id w:val="-468789251"/>
          <w:tag w:val="goog_rdk_0"/>
        </w:sdtPr>
        <w:sdtContent>
          <w:r w:rsidDel="00000000" w:rsidR="00000000" w:rsidRPr="00000000">
            <w:rPr>
              <w:rFonts w:ascii="Gungsuh" w:cs="Gungsuh" w:eastAsia="Gungsuh" w:hAnsi="Gungsuh"/>
              <w:rtl w:val="0"/>
            </w:rPr>
            <w:t xml:space="preserve">Para la realización y procesamiento de los resultados, se emplearon los aplicativos de Microsoft Excel, Google Sheets, Google Forms y programas de carácter estadístico SPSS, versión v25; donde se utilizó la prueba de normalidad  Kolmogorov-Smirnov debido a que la muestra es ≥ a 50, obteniendo la estadística inferencial en tablas, figuras y estadígrafos consignados en cada variable.</w:t>
          </w:r>
        </w:sdtContent>
      </w:sdt>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Consideraciones éticas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Finalmente, en la investigación, se establecieron los principios éticos de objetividad e imparcialidad, en la cual asegura la ejecución propiamente académica, y manteniendo rectitud en las interacciones frente a otros investigadores; asimismo de transparencia, asegurando veracidad y sin conflictos de interés en su desarrollo. Del mismo modo, de rigurosidad, puesto que, destaca la calidad investigativa y su aporte a la ciencia. Así como, de respeto, por lo que, acentúa la deferencia a la integridad humana, la propiedad informativa e intelectual propuesta por otros investigadores. Por último, relacionado al principio de responsabilidad, donde se distinguió al asumir las acciones realizadas en el proceso y término de la investigación.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Asimismo, se realzaron los aspectos éticos en los cuales se sustentó dicho estudio, con el objetivo de acreditar la integridad, validez y responsabilidad social. Se han considerado los lineamientos del Código de Ética de la Universidad César Vallejo (2022), donde se especifica en el artículo 3, denominado "Principios de integridad científica", que la investigación fue realizada con integridad, puesto que, se garantiza que cada acción tomada en la investigación responda a criterios de honestidad, coherencia y respeto por la verdad científica, evitando cualquier tipo de sesgo o manipulación intencional, la validez, por su parte, no solo se refiere a la precisión de los instrumentos y métodos, sino también a que los resultados representen adecuadamente la realidad que se estudia, permitiendo generar conocimiento riguroso y útil y por último la responsabilidad social que implica que el conocimiento generado contribuya al desarrollo humano, a la mejora de la calidad de vida y al respeto de los derechos fundamentales, promoviendo un impacto positivo y éticamente responsable en la sociedad en nivel intelectual, ético, imparcial y de forma justa.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En ese contexto, todos los datos obtenidos se usaron de manera transparente, ya que, el manejo de la información permite que tanto los participantes como la comunidad científica puedan comprender con claridad los procedimientos y decisiones tomadas durante la investigación, lo cual incrementa la confianza y facilita la replicabilidad del estudio, también se hizo uso de la confidencialidad, puesto que, protege los datos personales y emocionales de los participantes, garantizando su privacidad, su dignidad y su libertad de participación respetando la autonomía e integridad del sujeto.</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br w:type="page"/>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Resultados</w:t>
      </w:r>
      <w:r w:rsidDel="00000000" w:rsidR="00000000" w:rsidRPr="00000000">
        <w:rPr>
          <w:rtl w:val="0"/>
        </w:rPr>
      </w:r>
    </w:p>
    <w:tbl>
      <w:tblPr>
        <w:tblStyle w:val="Table1"/>
        <w:tblW w:w="9389.031156990543" w:type="dxa"/>
        <w:jc w:val="left"/>
        <w:tblInd w:w="-8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139.2105263157894"/>
        <w:gridCol w:w="1065.5023923444976"/>
        <w:gridCol w:w="920.8851674641148"/>
        <w:gridCol w:w="782.9291338582677"/>
        <w:gridCol w:w="782.9291338582677"/>
        <w:gridCol w:w="782.9291338582677"/>
        <w:gridCol w:w="782.9291338582677"/>
        <w:gridCol w:w="782.9291338582677"/>
        <w:gridCol w:w="782.9291338582677"/>
        <w:gridCol w:w="782.9291338582677"/>
        <w:gridCol w:w="782.9291338582677"/>
        <w:tblGridChange w:id="0">
          <w:tblGrid>
            <w:gridCol w:w="1139.2105263157894"/>
            <w:gridCol w:w="1065.5023923444976"/>
            <w:gridCol w:w="920.8851674641148"/>
            <w:gridCol w:w="782.9291338582677"/>
            <w:gridCol w:w="782.9291338582677"/>
            <w:gridCol w:w="782.9291338582677"/>
            <w:gridCol w:w="782.9291338582677"/>
            <w:gridCol w:w="782.9291338582677"/>
            <w:gridCol w:w="782.9291338582677"/>
            <w:gridCol w:w="782.9291338582677"/>
            <w:gridCol w:w="782.9291338582677"/>
          </w:tblGrid>
        </w:tblGridChange>
      </w:tblGrid>
      <w:tr>
        <w:trPr>
          <w:cantSplit w:val="0"/>
          <w:trHeight w:val="222" w:hRule="atLeast"/>
          <w:tblHeader w:val="0"/>
        </w:trPr>
        <w:tc>
          <w:tcPr>
            <w:gridSpan w:val="10"/>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4C">
            <w:pPr>
              <w:keepNext w:val="1"/>
              <w:spacing w:line="360" w:lineRule="auto"/>
              <w:rPr>
                <w:i w:val="1"/>
                <w:color w:val="44546a"/>
                <w:u w:val="none"/>
              </w:rPr>
            </w:pPr>
            <w:r w:rsidDel="00000000" w:rsidR="00000000" w:rsidRPr="00000000">
              <w:rPr>
                <w:color w:val="00000a"/>
                <w:rtl w:val="0"/>
              </w:rPr>
              <w:t xml:space="preserve">Tabla</w:t>
            </w:r>
            <w:r w:rsidDel="00000000" w:rsidR="00000000" w:rsidRPr="00000000">
              <w:rPr>
                <w:color w:val="00000a"/>
                <w:u w:val="none"/>
                <w:rtl w:val="0"/>
              </w:rPr>
              <w:t xml:space="preserve"> 1</w:t>
            </w:r>
            <w:r w:rsidDel="00000000" w:rsidR="00000000" w:rsidRPr="00000000">
              <w:rPr>
                <w:rFonts w:ascii="Arimo" w:cs="Arimo" w:eastAsia="Arimo" w:hAnsi="Arimo"/>
                <w:color w:val="00000a"/>
                <w:u w:val="none"/>
                <w:rtl w:val="0"/>
              </w:rPr>
              <w:br w:type="textWrapping"/>
            </w:r>
            <w:r w:rsidDel="00000000" w:rsidR="00000000" w:rsidRPr="00000000">
              <w:rPr>
                <w:i w:val="1"/>
                <w:color w:val="00000a"/>
                <w:rtl w:val="0"/>
              </w:rPr>
              <w:t xml:space="preserve">Niveles de estrés académico y sus dimensiones de estudiantes universitarios.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1"/>
                <w:color w:val="44546a"/>
                <w:u w:val="none"/>
              </w:rPr>
            </w:pPr>
            <w:r w:rsidDel="00000000" w:rsidR="00000000" w:rsidRPr="00000000">
              <w:rPr>
                <w:rtl w:val="0"/>
              </w:rPr>
            </w:r>
          </w:p>
        </w:tc>
      </w:tr>
      <w:tr>
        <w:trPr>
          <w:cantSplit w:val="0"/>
          <w:trHeight w:val="360" w:hRule="atLeast"/>
          <w:tblHeader w:val="0"/>
        </w:trPr>
        <w:tc>
          <w:tcPr>
            <w:gridSpan w:val="3"/>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57">
            <w:pPr>
              <w:spacing w:line="360" w:lineRule="auto"/>
              <w:rPr/>
            </w:pPr>
            <w:r w:rsidDel="00000000" w:rsidR="00000000" w:rsidRPr="00000000">
              <w:rPr>
                <w:rtl w:val="0"/>
              </w:rPr>
            </w:r>
          </w:p>
        </w:tc>
        <w:tc>
          <w:tcPr>
            <w:gridSpan w:val="2"/>
            <w:tcBorders>
              <w:top w:color="000000" w:space="0" w:sz="6" w:val="single"/>
              <w:left w:color="ffffff" w:space="0" w:sz="6" w:val="single"/>
              <w:bottom w:color="000000"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A">
            <w:pPr>
              <w:widowControl w:val="0"/>
              <w:spacing w:line="360" w:lineRule="auto"/>
              <w:jc w:val="center"/>
              <w:rPr>
                <w:rFonts w:ascii="Arial" w:cs="Arial" w:eastAsia="Arial" w:hAnsi="Arial"/>
              </w:rPr>
            </w:pPr>
            <w:r w:rsidDel="00000000" w:rsidR="00000000" w:rsidRPr="00000000">
              <w:rPr>
                <w:rtl w:val="0"/>
              </w:rPr>
              <w:t xml:space="preserve">Estresores</w:t>
            </w:r>
            <w:r w:rsidDel="00000000" w:rsidR="00000000" w:rsidRPr="00000000">
              <w:rPr>
                <w:rtl w:val="0"/>
              </w:rPr>
            </w:r>
          </w:p>
        </w:tc>
        <w:tc>
          <w:tcPr>
            <w:gridSpan w:val="2"/>
            <w:tcBorders>
              <w:top w:color="000000" w:space="0" w:sz="6" w:val="single"/>
              <w:left w:color="ffffff" w:space="0" w:sz="6" w:val="single"/>
              <w:bottom w:color="000000"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C">
            <w:pPr>
              <w:widowControl w:val="0"/>
              <w:spacing w:line="360" w:lineRule="auto"/>
              <w:jc w:val="center"/>
              <w:rPr>
                <w:rFonts w:ascii="Arial" w:cs="Arial" w:eastAsia="Arial" w:hAnsi="Arial"/>
              </w:rPr>
            </w:pPr>
            <w:r w:rsidDel="00000000" w:rsidR="00000000" w:rsidRPr="00000000">
              <w:rPr>
                <w:rtl w:val="0"/>
              </w:rPr>
              <w:t xml:space="preserve">Síntomas</w:t>
            </w:r>
            <w:r w:rsidDel="00000000" w:rsidR="00000000" w:rsidRPr="00000000">
              <w:rPr>
                <w:rtl w:val="0"/>
              </w:rPr>
            </w:r>
          </w:p>
        </w:tc>
        <w:tc>
          <w:tcPr>
            <w:gridSpan w:val="2"/>
            <w:tcBorders>
              <w:top w:color="000000" w:space="0" w:sz="6" w:val="single"/>
              <w:left w:color="ffffff" w:space="0" w:sz="6" w:val="single"/>
              <w:bottom w:color="000000"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E">
            <w:pPr>
              <w:widowControl w:val="0"/>
              <w:spacing w:line="360" w:lineRule="auto"/>
              <w:jc w:val="center"/>
              <w:rPr>
                <w:rFonts w:ascii="Arial" w:cs="Arial" w:eastAsia="Arial" w:hAnsi="Arial"/>
              </w:rPr>
            </w:pPr>
            <w:r w:rsidDel="00000000" w:rsidR="00000000" w:rsidRPr="00000000">
              <w:rPr>
                <w:rtl w:val="0"/>
              </w:rPr>
              <w:t xml:space="preserve">Estrategias</w:t>
            </w:r>
            <w:r w:rsidDel="00000000" w:rsidR="00000000" w:rsidRPr="00000000">
              <w:rPr>
                <w:rtl w:val="0"/>
              </w:rPr>
            </w:r>
          </w:p>
        </w:tc>
        <w:tc>
          <w:tcPr>
            <w:gridSpan w:val="2"/>
            <w:tcBorders>
              <w:top w:color="000000" w:space="0" w:sz="6" w:val="single"/>
              <w:left w:color="ffffff" w:space="0" w:sz="6" w:val="single"/>
              <w:bottom w:color="000000"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0">
            <w:pPr>
              <w:widowControl w:val="0"/>
              <w:spacing w:line="360" w:lineRule="auto"/>
              <w:jc w:val="center"/>
              <w:rPr>
                <w:rFonts w:ascii="Arial" w:cs="Arial" w:eastAsia="Arial" w:hAnsi="Arial"/>
              </w:rPr>
            </w:pPr>
            <w:r w:rsidDel="00000000" w:rsidR="00000000" w:rsidRPr="00000000">
              <w:rPr>
                <w:rtl w:val="0"/>
              </w:rPr>
              <w:t xml:space="preserve">Estrés académico</w:t>
            </w:r>
            <w:r w:rsidDel="00000000" w:rsidR="00000000" w:rsidRPr="00000000">
              <w:rPr>
                <w:rtl w:val="0"/>
              </w:rPr>
            </w:r>
          </w:p>
        </w:tc>
      </w:tr>
      <w:tr>
        <w:trPr>
          <w:cantSplit w:val="0"/>
          <w:trHeight w:val="217" w:hRule="atLeast"/>
          <w:tblHeader w:val="0"/>
        </w:trPr>
        <w:tc>
          <w:tcPr>
            <w:gridSpan w:val="3"/>
            <w:tcBorders>
              <w:top w:color="000000" w:space="0" w:sz="0" w:val="nil"/>
              <w:left w:color="000000" w:space="0" w:sz="0" w:val="nil"/>
              <w:bottom w:color="000000" w:space="0" w:sz="8"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62">
            <w:pPr>
              <w:spacing w:line="360" w:lineRule="auto"/>
              <w:rPr>
                <w:color w:val="000000"/>
                <w:u w:val="none"/>
              </w:rPr>
            </w:pP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65">
            <w:pPr>
              <w:spacing w:line="360" w:lineRule="auto"/>
              <w:jc w:val="center"/>
              <w:rPr>
                <w:color w:val="000000"/>
                <w:u w:val="none"/>
              </w:rPr>
            </w:pPr>
            <w:r w:rsidDel="00000000" w:rsidR="00000000" w:rsidRPr="00000000">
              <w:rPr>
                <w:rtl w:val="0"/>
              </w:rPr>
              <w:t xml:space="preserve">fi</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66">
            <w:pPr>
              <w:spacing w:line="360" w:lineRule="auto"/>
              <w:jc w:val="center"/>
              <w:rPr>
                <w:color w:val="000000"/>
                <w:u w:val="none"/>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67">
            <w:pPr>
              <w:spacing w:line="360" w:lineRule="auto"/>
              <w:jc w:val="center"/>
              <w:rPr/>
            </w:pPr>
            <w:r w:rsidDel="00000000" w:rsidR="00000000" w:rsidRPr="00000000">
              <w:rPr>
                <w:rtl w:val="0"/>
              </w:rPr>
              <w:t xml:space="preserve">fi</w:t>
            </w:r>
          </w:p>
        </w:tc>
        <w:tc>
          <w:tcPr>
            <w:tcBorders>
              <w:top w:color="000000" w:space="0" w:sz="4" w:val="single"/>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68">
            <w:pPr>
              <w:spacing w:line="360" w:lineRule="auto"/>
              <w:jc w:val="center"/>
              <w:rPr/>
            </w:pPr>
            <w:r w:rsidDel="00000000" w:rsidR="00000000" w:rsidRPr="00000000">
              <w:rPr>
                <w:rtl w:val="0"/>
              </w:rPr>
              <w:t xml:space="preserve">%</w:t>
            </w:r>
          </w:p>
        </w:tc>
        <w:tc>
          <w:tcPr>
            <w:tcBorders>
              <w:top w:color="000000" w:space="0" w:sz="4" w:val="single"/>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69">
            <w:pPr>
              <w:spacing w:line="360" w:lineRule="auto"/>
              <w:jc w:val="center"/>
              <w:rPr/>
            </w:pPr>
            <w:r w:rsidDel="00000000" w:rsidR="00000000" w:rsidRPr="00000000">
              <w:rPr>
                <w:rtl w:val="0"/>
              </w:rPr>
              <w:t xml:space="preserve">fi</w:t>
            </w:r>
          </w:p>
        </w:tc>
        <w:tc>
          <w:tcPr>
            <w:tcBorders>
              <w:top w:color="000000" w:space="0" w:sz="4" w:val="single"/>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6A">
            <w:pPr>
              <w:spacing w:line="360" w:lineRule="auto"/>
              <w:jc w:val="center"/>
              <w:rPr/>
            </w:pPr>
            <w:r w:rsidDel="00000000" w:rsidR="00000000" w:rsidRPr="00000000">
              <w:rPr>
                <w:rtl w:val="0"/>
              </w:rPr>
              <w:t xml:space="preserve">%</w:t>
            </w:r>
          </w:p>
        </w:tc>
        <w:tc>
          <w:tcPr>
            <w:tcBorders>
              <w:top w:color="000000" w:space="0" w:sz="4" w:val="single"/>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6B">
            <w:pPr>
              <w:spacing w:line="360" w:lineRule="auto"/>
              <w:jc w:val="center"/>
              <w:rPr/>
            </w:pPr>
            <w:r w:rsidDel="00000000" w:rsidR="00000000" w:rsidRPr="00000000">
              <w:rPr>
                <w:rtl w:val="0"/>
              </w:rPr>
              <w:t xml:space="preserve">fi</w:t>
            </w:r>
          </w:p>
        </w:tc>
        <w:tc>
          <w:tcPr>
            <w:tcBorders>
              <w:top w:color="000000" w:space="0" w:sz="4" w:val="single"/>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6C">
            <w:pPr>
              <w:spacing w:line="360" w:lineRule="auto"/>
              <w:jc w:val="center"/>
              <w:rPr/>
            </w:pPr>
            <w:r w:rsidDel="00000000" w:rsidR="00000000" w:rsidRPr="00000000">
              <w:rPr>
                <w:rtl w:val="0"/>
              </w:rPr>
              <w:t xml:space="preserve">%</w:t>
            </w:r>
          </w:p>
        </w:tc>
      </w:tr>
      <w:tr>
        <w:trPr>
          <w:cantSplit w:val="0"/>
          <w:trHeight w:val="212" w:hRule="atLeast"/>
          <w:tblHeader w:val="0"/>
        </w:trPr>
        <w:tc>
          <w:tcPr>
            <w:gridSpan w:val="3"/>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6D">
            <w:pPr>
              <w:spacing w:line="360" w:lineRule="auto"/>
              <w:rPr>
                <w:color w:val="000000"/>
                <w:u w:val="none"/>
              </w:rPr>
            </w:pPr>
            <w:r w:rsidDel="00000000" w:rsidR="00000000" w:rsidRPr="00000000">
              <w:rPr>
                <w:rtl w:val="0"/>
              </w:rPr>
              <w:t xml:space="preserve">Alto</w:t>
            </w: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70">
            <w:pPr>
              <w:spacing w:line="360" w:lineRule="auto"/>
              <w:jc w:val="center"/>
              <w:rPr/>
            </w:pPr>
            <w:r w:rsidDel="00000000" w:rsidR="00000000" w:rsidRPr="00000000">
              <w:rPr>
                <w:rtl w:val="0"/>
              </w:rPr>
              <w:t xml:space="preserve">31</w:t>
            </w:r>
          </w:p>
        </w:tc>
        <w:tc>
          <w:tcPr>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71">
            <w:pPr>
              <w:spacing w:line="360" w:lineRule="auto"/>
              <w:jc w:val="center"/>
              <w:rPr/>
            </w:pPr>
            <w:r w:rsidDel="00000000" w:rsidR="00000000" w:rsidRPr="00000000">
              <w:rPr>
                <w:rtl w:val="0"/>
              </w:rPr>
              <w:t xml:space="preserve">19,30%</w:t>
            </w:r>
          </w:p>
        </w:tc>
        <w:tc>
          <w:tcPr>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72">
            <w:pPr>
              <w:spacing w:line="360" w:lineRule="auto"/>
              <w:jc w:val="center"/>
              <w:rPr>
                <w:color w:val="000000"/>
                <w:u w:val="none"/>
              </w:rPr>
            </w:pPr>
            <w:r w:rsidDel="00000000" w:rsidR="00000000" w:rsidRPr="00000000">
              <w:rPr>
                <w:rtl w:val="0"/>
              </w:rPr>
              <w:t xml:space="preserve">32</w:t>
            </w: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73">
            <w:pPr>
              <w:spacing w:line="360" w:lineRule="auto"/>
              <w:jc w:val="center"/>
              <w:rPr>
                <w:color w:val="000000"/>
                <w:u w:val="none"/>
              </w:rPr>
            </w:pPr>
            <w:r w:rsidDel="00000000" w:rsidR="00000000" w:rsidRPr="00000000">
              <w:rPr>
                <w:rtl w:val="0"/>
              </w:rPr>
              <w:t xml:space="preserve">19,90%</w:t>
            </w: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74">
            <w:pPr>
              <w:spacing w:line="360" w:lineRule="auto"/>
              <w:jc w:val="center"/>
              <w:rPr/>
            </w:pPr>
            <w:r w:rsidDel="00000000" w:rsidR="00000000" w:rsidRPr="00000000">
              <w:rPr>
                <w:rtl w:val="0"/>
              </w:rPr>
              <w:t xml:space="preserve">32</w:t>
            </w:r>
          </w:p>
        </w:tc>
        <w:tc>
          <w:tcPr>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75">
            <w:pPr>
              <w:spacing w:line="360" w:lineRule="auto"/>
              <w:jc w:val="center"/>
              <w:rPr/>
            </w:pPr>
            <w:r w:rsidDel="00000000" w:rsidR="00000000" w:rsidRPr="00000000">
              <w:rPr>
                <w:rtl w:val="0"/>
              </w:rPr>
              <w:t xml:space="preserve">19,90%</w:t>
            </w:r>
          </w:p>
        </w:tc>
        <w:tc>
          <w:tcPr>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76">
            <w:pPr>
              <w:spacing w:line="360" w:lineRule="auto"/>
              <w:jc w:val="center"/>
              <w:rPr>
                <w:color w:val="000000"/>
                <w:u w:val="none"/>
              </w:rPr>
            </w:pPr>
            <w:r w:rsidDel="00000000" w:rsidR="00000000" w:rsidRPr="00000000">
              <w:rPr>
                <w:rtl w:val="0"/>
              </w:rPr>
              <w:t xml:space="preserve">22</w:t>
            </w: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77">
            <w:pPr>
              <w:spacing w:line="360" w:lineRule="auto"/>
              <w:jc w:val="center"/>
              <w:rPr>
                <w:color w:val="000000"/>
                <w:u w:val="none"/>
              </w:rPr>
            </w:pPr>
            <w:r w:rsidDel="00000000" w:rsidR="00000000" w:rsidRPr="00000000">
              <w:rPr>
                <w:rtl w:val="0"/>
              </w:rPr>
              <w:t xml:space="preserve">13,70%</w:t>
            </w:r>
            <w:r w:rsidDel="00000000" w:rsidR="00000000" w:rsidRPr="00000000">
              <w:rPr>
                <w:rtl w:val="0"/>
              </w:rPr>
            </w:r>
          </w:p>
        </w:tc>
      </w:tr>
      <w:tr>
        <w:trPr>
          <w:cantSplit w:val="0"/>
          <w:trHeight w:val="217" w:hRule="atLeast"/>
          <w:tblHeader w:val="0"/>
        </w:trPr>
        <w:tc>
          <w:tcPr>
            <w:gridSpan w:val="3"/>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78">
            <w:pPr>
              <w:spacing w:line="360" w:lineRule="auto"/>
              <w:rPr>
                <w:color w:val="000000"/>
                <w:u w:val="none"/>
              </w:rPr>
            </w:pPr>
            <w:r w:rsidDel="00000000" w:rsidR="00000000" w:rsidRPr="00000000">
              <w:rPr>
                <w:rtl w:val="0"/>
              </w:rPr>
              <w:t xml:space="preserve">Medio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7B">
            <w:pPr>
              <w:spacing w:line="360" w:lineRule="auto"/>
              <w:jc w:val="center"/>
              <w:rPr>
                <w:color w:val="000000"/>
                <w:u w:val="none"/>
              </w:rPr>
            </w:pPr>
            <w:r w:rsidDel="00000000" w:rsidR="00000000" w:rsidRPr="00000000">
              <w:rPr>
                <w:rtl w:val="0"/>
              </w:rPr>
              <w:t xml:space="preserve">110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7C">
            <w:pPr>
              <w:spacing w:line="360" w:lineRule="auto"/>
              <w:jc w:val="center"/>
              <w:rPr>
                <w:color w:val="000000"/>
                <w:u w:val="none"/>
              </w:rPr>
            </w:pPr>
            <w:r w:rsidDel="00000000" w:rsidR="00000000" w:rsidRPr="00000000">
              <w:rPr>
                <w:rtl w:val="0"/>
              </w:rPr>
              <w:t xml:space="preserve">68,30%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7D">
            <w:pPr>
              <w:spacing w:line="360" w:lineRule="auto"/>
              <w:jc w:val="center"/>
              <w:rPr>
                <w:color w:val="000000"/>
                <w:u w:val="none"/>
              </w:rPr>
            </w:pPr>
            <w:r w:rsidDel="00000000" w:rsidR="00000000" w:rsidRPr="00000000">
              <w:rPr>
                <w:rtl w:val="0"/>
              </w:rPr>
              <w:t xml:space="preserve">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7E">
            <w:pPr>
              <w:spacing w:line="360" w:lineRule="auto"/>
              <w:jc w:val="center"/>
              <w:rPr>
                <w:color w:val="000000"/>
                <w:u w:val="none"/>
              </w:rPr>
            </w:pPr>
            <w:r w:rsidDel="00000000" w:rsidR="00000000" w:rsidRPr="00000000">
              <w:rPr>
                <w:rtl w:val="0"/>
              </w:rPr>
              <w:t xml:space="preserve">57,10%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7F">
            <w:pPr>
              <w:spacing w:line="360" w:lineRule="auto"/>
              <w:jc w:val="center"/>
              <w:rPr>
                <w:color w:val="000000"/>
                <w:u w:val="none"/>
              </w:rPr>
            </w:pPr>
            <w:r w:rsidDel="00000000" w:rsidR="00000000" w:rsidRPr="00000000">
              <w:rPr>
                <w:rtl w:val="0"/>
              </w:rPr>
              <w:t xml:space="preserve">115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80">
            <w:pPr>
              <w:spacing w:line="360" w:lineRule="auto"/>
              <w:jc w:val="center"/>
              <w:rPr>
                <w:color w:val="000000"/>
                <w:u w:val="none"/>
              </w:rPr>
            </w:pPr>
            <w:r w:rsidDel="00000000" w:rsidR="00000000" w:rsidRPr="00000000">
              <w:rPr>
                <w:rtl w:val="0"/>
              </w:rPr>
              <w:t xml:space="preserve">71,40%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81">
            <w:pPr>
              <w:spacing w:line="360" w:lineRule="auto"/>
              <w:jc w:val="center"/>
              <w:rPr>
                <w:color w:val="000000"/>
                <w:u w:val="none"/>
              </w:rPr>
            </w:pPr>
            <w:r w:rsidDel="00000000" w:rsidR="00000000" w:rsidRPr="00000000">
              <w:rPr>
                <w:rtl w:val="0"/>
              </w:rPr>
              <w:t xml:space="preserve">123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82">
            <w:pPr>
              <w:spacing w:line="360" w:lineRule="auto"/>
              <w:jc w:val="center"/>
              <w:rPr>
                <w:color w:val="000000"/>
                <w:u w:val="none"/>
              </w:rPr>
            </w:pPr>
            <w:r w:rsidDel="00000000" w:rsidR="00000000" w:rsidRPr="00000000">
              <w:rPr>
                <w:rtl w:val="0"/>
              </w:rPr>
              <w:t xml:space="preserve">76,40%</w:t>
            </w:r>
            <w:r w:rsidDel="00000000" w:rsidR="00000000" w:rsidRPr="00000000">
              <w:rPr>
                <w:rtl w:val="0"/>
              </w:rPr>
            </w:r>
          </w:p>
        </w:tc>
      </w:tr>
      <w:tr>
        <w:trPr>
          <w:cantSplit w:val="0"/>
          <w:trHeight w:val="217" w:hRule="atLeast"/>
          <w:tblHeader w:val="0"/>
        </w:trPr>
        <w:tc>
          <w:tcPr>
            <w:gridSpan w:val="3"/>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83">
            <w:pPr>
              <w:spacing w:line="360" w:lineRule="auto"/>
              <w:rPr>
                <w:color w:val="000000"/>
                <w:u w:val="none"/>
              </w:rPr>
            </w:pPr>
            <w:r w:rsidDel="00000000" w:rsidR="00000000" w:rsidRPr="00000000">
              <w:rPr>
                <w:rtl w:val="0"/>
              </w:rPr>
              <w:t xml:space="preserve">Bajo</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86">
            <w:pPr>
              <w:spacing w:line="360" w:lineRule="auto"/>
              <w:jc w:val="center"/>
              <w:rPr>
                <w:color w:val="000000"/>
                <w:u w:val="none"/>
              </w:rPr>
            </w:pPr>
            <w:r w:rsidDel="00000000" w:rsidR="00000000" w:rsidRPr="00000000">
              <w:rPr>
                <w:rtl w:val="0"/>
              </w:rPr>
              <w:t xml:space="preserve">20</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87">
            <w:pPr>
              <w:spacing w:line="360" w:lineRule="auto"/>
              <w:jc w:val="center"/>
              <w:rPr>
                <w:color w:val="000000"/>
                <w:u w:val="none"/>
              </w:rPr>
            </w:pPr>
            <w:r w:rsidDel="00000000" w:rsidR="00000000" w:rsidRPr="00000000">
              <w:rPr>
                <w:rtl w:val="0"/>
              </w:rPr>
              <w:t xml:space="preserve">12,40%</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88">
            <w:pPr>
              <w:spacing w:line="360" w:lineRule="auto"/>
              <w:jc w:val="center"/>
              <w:rPr>
                <w:color w:val="000000"/>
                <w:u w:val="none"/>
              </w:rPr>
            </w:pPr>
            <w:r w:rsidDel="00000000" w:rsidR="00000000" w:rsidRPr="00000000">
              <w:rPr>
                <w:rtl w:val="0"/>
              </w:rPr>
              <w:t xml:space="preserve">37</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89">
            <w:pPr>
              <w:spacing w:line="360" w:lineRule="auto"/>
              <w:jc w:val="center"/>
              <w:rPr>
                <w:color w:val="000000"/>
                <w:u w:val="none"/>
              </w:rPr>
            </w:pPr>
            <w:r w:rsidDel="00000000" w:rsidR="00000000" w:rsidRPr="00000000">
              <w:rPr>
                <w:rtl w:val="0"/>
              </w:rPr>
              <w:t xml:space="preserve">23,00%</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8A">
            <w:pPr>
              <w:spacing w:line="360" w:lineRule="auto"/>
              <w:jc w:val="center"/>
              <w:rPr>
                <w:color w:val="000000"/>
                <w:u w:val="none"/>
              </w:rPr>
            </w:pPr>
            <w:r w:rsidDel="00000000" w:rsidR="00000000" w:rsidRPr="00000000">
              <w:rPr>
                <w:rtl w:val="0"/>
              </w:rPr>
              <w:t xml:space="preserve">14</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8B">
            <w:pPr>
              <w:spacing w:line="360" w:lineRule="auto"/>
              <w:jc w:val="center"/>
              <w:rPr>
                <w:color w:val="000000"/>
                <w:u w:val="none"/>
              </w:rPr>
            </w:pPr>
            <w:r w:rsidDel="00000000" w:rsidR="00000000" w:rsidRPr="00000000">
              <w:rPr>
                <w:rtl w:val="0"/>
              </w:rPr>
              <w:t xml:space="preserve">8,70%</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8C">
            <w:pPr>
              <w:spacing w:line="360" w:lineRule="auto"/>
              <w:jc w:val="center"/>
              <w:rPr>
                <w:color w:val="000000"/>
                <w:u w:val="none"/>
              </w:rPr>
            </w:pPr>
            <w:r w:rsidDel="00000000" w:rsidR="00000000" w:rsidRPr="00000000">
              <w:rPr>
                <w:rtl w:val="0"/>
              </w:rPr>
              <w:t xml:space="preserve">16</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8D">
            <w:pPr>
              <w:spacing w:line="360" w:lineRule="auto"/>
              <w:jc w:val="center"/>
              <w:rPr>
                <w:color w:val="000000"/>
                <w:u w:val="none"/>
              </w:rPr>
            </w:pPr>
            <w:r w:rsidDel="00000000" w:rsidR="00000000" w:rsidRPr="00000000">
              <w:rPr>
                <w:rtl w:val="0"/>
              </w:rPr>
              <w:t xml:space="preserve">9,90%</w:t>
            </w:r>
            <w:r w:rsidDel="00000000" w:rsidR="00000000" w:rsidRPr="00000000">
              <w:rPr>
                <w:rtl w:val="0"/>
              </w:rPr>
            </w:r>
          </w:p>
        </w:tc>
      </w:tr>
      <w:tr>
        <w:trPr>
          <w:cantSplit w:val="0"/>
          <w:trHeight w:val="360" w:hRule="atLeast"/>
          <w:tblHeader w:val="0"/>
        </w:trPr>
        <w:tc>
          <w:tcPr>
            <w:gridSpan w:val="10"/>
            <w:tcBorders>
              <w:top w:color="000000" w:space="0" w:sz="4" w:val="single"/>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8E">
            <w:pPr>
              <w:spacing w:line="360" w:lineRule="auto"/>
              <w:rPr>
                <w:color w:val="000000"/>
                <w:u w:val="none"/>
              </w:rPr>
            </w:pPr>
            <w:r w:rsidDel="00000000" w:rsidR="00000000" w:rsidRPr="00000000">
              <w:rPr>
                <w:rtl w:val="0"/>
              </w:rPr>
              <w:t xml:space="preserve">Nota: fi = frecuencia absoluta</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tc>
      </w:tr>
    </w:tbl>
    <w:p w:rsidR="00000000" w:rsidDel="00000000" w:rsidP="00000000" w:rsidRDefault="00000000" w:rsidRPr="00000000" w14:paraId="00000099">
      <w:pPr>
        <w:spacing w:line="360" w:lineRule="auto"/>
        <w:ind w:firstLine="708"/>
        <w:jc w:val="both"/>
        <w:rPr/>
      </w:pPr>
      <w:r w:rsidDel="00000000" w:rsidR="00000000" w:rsidRPr="00000000">
        <w:rPr>
          <w:rtl w:val="0"/>
        </w:rPr>
        <w:t xml:space="preserve">E</w:t>
      </w:r>
      <w:r w:rsidDel="00000000" w:rsidR="00000000" w:rsidRPr="00000000">
        <w:rPr>
          <w:rtl w:val="0"/>
        </w:rPr>
        <w:t xml:space="preserve">n la tabla 01, se observó que, de la variable estrés académico; el 76.40% de estudiantes presenta un nivel medio, seguido de un nivel alto con 13.70%, y un bajo con 9.90%. Asimismo, de las dimensiones de dicha variable, siendo, estresores con 68.3%, síntomas con 57.1%, y estrategias 71.4%, manifestando que el nivel de estrés que predomina en todas la dimensiones anteriormente mencionadas es el medio y que la dimensión que se presenta con mayor frecuencia en los estudiantes es estrategias.</w:t>
      </w:r>
    </w:p>
    <w:p w:rsidR="00000000" w:rsidDel="00000000" w:rsidP="00000000" w:rsidRDefault="00000000" w:rsidRPr="00000000" w14:paraId="0000009A">
      <w:pPr>
        <w:spacing w:line="360" w:lineRule="auto"/>
        <w:ind w:firstLine="708"/>
        <w:jc w:val="both"/>
        <w:rPr/>
      </w:pPr>
      <w:r w:rsidDel="00000000" w:rsidR="00000000" w:rsidRPr="00000000">
        <w:rPr>
          <w:rtl w:val="0"/>
        </w:rPr>
      </w:r>
    </w:p>
    <w:sdt>
      <w:sdtPr>
        <w:lock w:val="contentLocked"/>
        <w:id w:val="1741376533"/>
        <w:tag w:val="goog_rdk_1"/>
      </w:sdtPr>
      <w:sdtContent>
        <w:tbl>
          <w:tblPr>
            <w:tblStyle w:val="Table2"/>
            <w:tblW w:w="9315.0" w:type="dxa"/>
            <w:jc w:val="left"/>
            <w:tblInd w:w="-79.93700787401575"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0"/>
            <w:gridCol w:w="675"/>
            <w:gridCol w:w="1020"/>
            <w:gridCol w:w="1020"/>
            <w:gridCol w:w="1020"/>
            <w:gridCol w:w="1020"/>
            <w:gridCol w:w="1020"/>
            <w:gridCol w:w="1140"/>
            <w:tblGridChange w:id="0">
              <w:tblGrid>
                <w:gridCol w:w="2400"/>
                <w:gridCol w:w="675"/>
                <w:gridCol w:w="1020"/>
                <w:gridCol w:w="1020"/>
                <w:gridCol w:w="1020"/>
                <w:gridCol w:w="1020"/>
                <w:gridCol w:w="1020"/>
                <w:gridCol w:w="1140"/>
              </w:tblGrid>
            </w:tblGridChange>
          </w:tblGrid>
          <w:tr>
            <w:trPr>
              <w:cantSplit w:val="0"/>
              <w:trHeight w:val="481.88976377952764" w:hRule="atLeast"/>
              <w:tblHeader w:val="0"/>
            </w:trPr>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09B">
                <w:pPr>
                  <w:widowControl w:val="0"/>
                  <w:spacing w:line="360" w:lineRule="auto"/>
                  <w:rPr>
                    <w:sz w:val="20"/>
                    <w:szCs w:val="20"/>
                  </w:rPr>
                </w:pPr>
                <w:r w:rsidDel="00000000" w:rsidR="00000000" w:rsidRPr="00000000">
                  <w:rPr>
                    <w:sz w:val="20"/>
                    <w:szCs w:val="20"/>
                    <w:rtl w:val="0"/>
                  </w:rPr>
                  <w:t xml:space="preserve">Tabla 2</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09C">
                <w:pPr>
                  <w:widowControl w:val="0"/>
                  <w:spacing w:line="360" w:lineRule="auto"/>
                  <w:rPr>
                    <w:sz w:val="20"/>
                    <w:szCs w:val="20"/>
                  </w:rPr>
                </w:pPr>
                <w:r w:rsidDel="00000000" w:rsidR="00000000" w:rsidRPr="00000000">
                  <w:rPr>
                    <w:rtl w:val="0"/>
                  </w:rPr>
                </w:r>
              </w:p>
            </w:tc>
            <w:tc>
              <w:tcPr>
                <w:gridSpan w:val="2"/>
                <w:tcBorders>
                  <w:left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09D">
                <w:pPr>
                  <w:widowControl w:val="0"/>
                  <w:spacing w:line="360" w:lineRule="auto"/>
                  <w:jc w:val="center"/>
                  <w:rPr>
                    <w:sz w:val="20"/>
                    <w:szCs w:val="20"/>
                  </w:rPr>
                </w:pPr>
                <w:r w:rsidDel="00000000" w:rsidR="00000000" w:rsidRPr="00000000">
                  <w:rPr>
                    <w:rtl w:val="0"/>
                  </w:rPr>
                </w:r>
              </w:p>
            </w:tc>
            <w:tc>
              <w:tcPr>
                <w:gridSpan w:val="2"/>
                <w:tcBorders>
                  <w:left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09F">
                <w:pPr>
                  <w:widowControl w:val="0"/>
                  <w:spacing w:line="360" w:lineRule="auto"/>
                  <w:jc w:val="center"/>
                  <w:rPr>
                    <w:sz w:val="20"/>
                    <w:szCs w:val="20"/>
                  </w:rPr>
                </w:pPr>
                <w:r w:rsidDel="00000000" w:rsidR="00000000" w:rsidRPr="00000000">
                  <w:rPr>
                    <w:rtl w:val="0"/>
                  </w:rPr>
                </w:r>
              </w:p>
            </w:tc>
            <w:tc>
              <w:tcPr>
                <w:gridSpan w:val="2"/>
                <w:tcBorders>
                  <w:left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0A1">
                <w:pPr>
                  <w:widowControl w:val="0"/>
                  <w:spacing w:line="360" w:lineRule="auto"/>
                  <w:jc w:val="center"/>
                  <w:rPr>
                    <w:sz w:val="20"/>
                    <w:szCs w:val="20"/>
                  </w:rPr>
                </w:pPr>
                <w:r w:rsidDel="00000000" w:rsidR="00000000" w:rsidRPr="00000000">
                  <w:rPr>
                    <w:rtl w:val="0"/>
                  </w:rPr>
                </w:r>
              </w:p>
            </w:tc>
          </w:tr>
          <w:tr>
            <w:trPr>
              <w:cantSplit w:val="0"/>
              <w:trHeight w:val="465" w:hRule="atLeast"/>
              <w:tblHeader w:val="0"/>
            </w:trPr>
            <w:tc>
              <w:tcPr>
                <w:gridSpan w:val="8"/>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center"/>
              </w:tcPr>
              <w:p w:rsidR="00000000" w:rsidDel="00000000" w:rsidP="00000000" w:rsidRDefault="00000000" w:rsidRPr="00000000" w14:paraId="000000A3">
                <w:pPr>
                  <w:widowControl w:val="0"/>
                  <w:spacing w:line="360" w:lineRule="auto"/>
                  <w:rPr>
                    <w:i w:val="1"/>
                    <w:sz w:val="20"/>
                    <w:szCs w:val="20"/>
                  </w:rPr>
                </w:pPr>
                <w:r w:rsidDel="00000000" w:rsidR="00000000" w:rsidRPr="00000000">
                  <w:rPr>
                    <w:i w:val="1"/>
                    <w:sz w:val="20"/>
                    <w:szCs w:val="20"/>
                    <w:rtl w:val="0"/>
                  </w:rPr>
                  <w:t xml:space="preserve">Niveles de hábitos alimenticios y sus dimensiones de estudiantes universitarios.</w:t>
                </w:r>
              </w:p>
            </w:tc>
          </w:tr>
          <w:tr>
            <w:trPr>
              <w:cantSplit w:val="0"/>
              <w:trHeight w:val="585" w:hRule="atLeast"/>
              <w:tblHeader w:val="0"/>
            </w:trPr>
            <w:tc>
              <w:tcPr>
                <w:tcBorders>
                  <w:top w:color="000000" w:space="0" w:sz="0" w:val="nil"/>
                  <w:left w:color="ffffff"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AB">
                <w:pPr>
                  <w:widowControl w:val="0"/>
                  <w:spacing w:line="360" w:lineRule="auto"/>
                  <w:rPr>
                    <w:rFonts w:ascii="Arial" w:cs="Arial" w:eastAsia="Arial" w:hAnsi="Arial"/>
                    <w:sz w:val="20"/>
                    <w:szCs w:val="20"/>
                  </w:rPr>
                </w:pPr>
                <w:r w:rsidDel="00000000" w:rsidR="00000000" w:rsidRPr="00000000">
                  <w:rPr>
                    <w:rtl w:val="0"/>
                  </w:rPr>
                </w:r>
              </w:p>
            </w:tc>
            <w:tc>
              <w:tcPr>
                <w:tcBorders>
                  <w:top w:color="000000" w:space="0" w:sz="0" w:val="nil"/>
                  <w:left w:color="ffffff"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AC">
                <w:pPr>
                  <w:widowControl w:val="0"/>
                  <w:spacing w:line="360" w:lineRule="auto"/>
                  <w:rPr>
                    <w:rFonts w:ascii="Arial" w:cs="Arial" w:eastAsia="Arial" w:hAnsi="Arial"/>
                    <w:sz w:val="20"/>
                    <w:szCs w:val="20"/>
                  </w:rPr>
                </w:pPr>
                <w:r w:rsidDel="00000000" w:rsidR="00000000" w:rsidRPr="00000000">
                  <w:rPr>
                    <w:rtl w:val="0"/>
                  </w:rPr>
                </w:r>
              </w:p>
            </w:tc>
            <w:tc>
              <w:tcPr>
                <w:gridSpan w:val="2"/>
                <w:tcBorders>
                  <w:top w:color="000000" w:space="0" w:sz="8" w:val="single"/>
                  <w:left w:color="ffffff" w:space="0" w:sz="6" w:val="single"/>
                  <w:bottom w:color="000000"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AD">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Consumo de alimentos</w:t>
                </w:r>
                <w:r w:rsidDel="00000000" w:rsidR="00000000" w:rsidRPr="00000000">
                  <w:rPr>
                    <w:rtl w:val="0"/>
                  </w:rPr>
                </w:r>
              </w:p>
            </w:tc>
            <w:tc>
              <w:tcPr>
                <w:gridSpan w:val="2"/>
                <w:tcBorders>
                  <w:top w:color="000000" w:space="0" w:sz="8" w:val="single"/>
                  <w:left w:color="ffffff" w:space="0" w:sz="6" w:val="single"/>
                  <w:bottom w:color="000000"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AF">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Conducta alimentaria</w:t>
                </w:r>
                <w:r w:rsidDel="00000000" w:rsidR="00000000" w:rsidRPr="00000000">
                  <w:rPr>
                    <w:rtl w:val="0"/>
                  </w:rPr>
                </w:r>
              </w:p>
            </w:tc>
            <w:tc>
              <w:tcPr>
                <w:gridSpan w:val="2"/>
                <w:tcBorders>
                  <w:top w:color="000000" w:space="0" w:sz="8" w:val="single"/>
                  <w:left w:color="ffffff" w:space="0" w:sz="6" w:val="single"/>
                  <w:bottom w:color="000000"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1">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Hábitos Alimenticios</w:t>
                </w:r>
                <w:r w:rsidDel="00000000" w:rsidR="00000000" w:rsidRPr="00000000">
                  <w:rPr>
                    <w:rtl w:val="0"/>
                  </w:rPr>
                </w:r>
              </w:p>
            </w:tc>
          </w:tr>
          <w:tr>
            <w:trPr>
              <w:cantSplit w:val="0"/>
              <w:trHeight w:val="481.88976377952764" w:hRule="atLeast"/>
              <w:tblHeader w:val="0"/>
            </w:trPr>
            <w:tc>
              <w:tcPr>
                <w:tcBorders>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3">
                <w:pPr>
                  <w:widowControl w:val="0"/>
                  <w:spacing w:line="360" w:lineRule="auto"/>
                  <w:jc w:val="center"/>
                  <w:rPr>
                    <w:rFonts w:ascii="Arial" w:cs="Arial" w:eastAsia="Arial" w:hAnsi="Arial"/>
                    <w:sz w:val="20"/>
                    <w:szCs w:val="20"/>
                  </w:rPr>
                </w:pPr>
                <w:r w:rsidDel="00000000" w:rsidR="00000000" w:rsidRPr="00000000">
                  <w:rPr>
                    <w:rtl w:val="0"/>
                  </w:rPr>
                </w:r>
              </w:p>
            </w:tc>
            <w:tc>
              <w:tcPr>
                <w:tcBorders>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4">
                <w:pPr>
                  <w:widowControl w:val="0"/>
                  <w:spacing w:line="360" w:lineRule="auto"/>
                  <w:jc w:val="center"/>
                  <w:rPr>
                    <w:sz w:val="20"/>
                    <w:szCs w:val="20"/>
                  </w:rPr>
                </w:pP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5">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fi</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6">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7">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fi</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8">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9">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fi</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A">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w:t>
                </w:r>
                <w:r w:rsidDel="00000000" w:rsidR="00000000" w:rsidRPr="00000000">
                  <w:rPr>
                    <w:rtl w:val="0"/>
                  </w:rPr>
                </w:r>
              </w:p>
            </w:tc>
          </w:tr>
          <w:tr>
            <w:trPr>
              <w:cantSplit w:val="0"/>
              <w:trHeight w:val="481.88976377952764" w:hRule="atLeast"/>
              <w:tblHeader w:val="0"/>
            </w:trPr>
            <w:tc>
              <w:tcPr>
                <w:tcBorders>
                  <w:top w:color="000000" w:space="0" w:sz="6" w:val="single"/>
                  <w:left w:color="ffffff"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B">
                <w:pPr>
                  <w:widowControl w:val="0"/>
                  <w:spacing w:line="360" w:lineRule="auto"/>
                  <w:rPr>
                    <w:rFonts w:ascii="Arial" w:cs="Arial" w:eastAsia="Arial" w:hAnsi="Arial"/>
                    <w:sz w:val="20"/>
                    <w:szCs w:val="20"/>
                  </w:rPr>
                </w:pPr>
                <w:r w:rsidDel="00000000" w:rsidR="00000000" w:rsidRPr="00000000">
                  <w:rPr>
                    <w:sz w:val="20"/>
                    <w:szCs w:val="20"/>
                    <w:rtl w:val="0"/>
                  </w:rPr>
                  <w:t xml:space="preserve">Saludable</w:t>
                </w:r>
                <w:r w:rsidDel="00000000" w:rsidR="00000000" w:rsidRPr="00000000">
                  <w:rPr>
                    <w:rtl w:val="0"/>
                  </w:rPr>
                </w:r>
              </w:p>
            </w:tc>
            <w:tc>
              <w:tcPr>
                <w:tcBorders>
                  <w:top w:color="000000" w:space="0" w:sz="6" w:val="single"/>
                  <w:left w:color="ffffff"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C">
                <w:pPr>
                  <w:widowControl w:val="0"/>
                  <w:spacing w:line="360" w:lineRule="auto"/>
                  <w:jc w:val="center"/>
                  <w:rPr>
                    <w:sz w:val="20"/>
                    <w:szCs w:val="20"/>
                  </w:rPr>
                </w:pPr>
                <w:r w:rsidDel="00000000" w:rsidR="00000000" w:rsidRPr="00000000">
                  <w:rPr>
                    <w:rtl w:val="0"/>
                  </w:rPr>
                </w:r>
              </w:p>
            </w:tc>
            <w:tc>
              <w:tcPr>
                <w:tcBorders>
                  <w:top w:color="000000" w:space="0" w:sz="6" w:val="single"/>
                  <w:left w:color="ffffff"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D">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5</w:t>
                </w:r>
                <w:r w:rsidDel="00000000" w:rsidR="00000000" w:rsidRPr="00000000">
                  <w:rPr>
                    <w:rtl w:val="0"/>
                  </w:rPr>
                </w:r>
              </w:p>
            </w:tc>
            <w:tc>
              <w:tcPr>
                <w:tcBorders>
                  <w:top w:color="000000" w:space="0" w:sz="6" w:val="single"/>
                  <w:left w:color="ffffff"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E">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3,10%</w:t>
                </w:r>
                <w:r w:rsidDel="00000000" w:rsidR="00000000" w:rsidRPr="00000000">
                  <w:rPr>
                    <w:rtl w:val="0"/>
                  </w:rPr>
                </w:r>
              </w:p>
            </w:tc>
            <w:tc>
              <w:tcPr>
                <w:tcBorders>
                  <w:top w:color="000000" w:space="0" w:sz="6" w:val="single"/>
                  <w:left w:color="ffffff"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F">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0</w:t>
                </w:r>
                <w:r w:rsidDel="00000000" w:rsidR="00000000" w:rsidRPr="00000000">
                  <w:rPr>
                    <w:rtl w:val="0"/>
                  </w:rPr>
                </w:r>
              </w:p>
            </w:tc>
            <w:tc>
              <w:tcPr>
                <w:tcBorders>
                  <w:top w:color="000000" w:space="0" w:sz="6" w:val="single"/>
                  <w:left w:color="ffffff"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0">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0,00%</w:t>
                </w:r>
                <w:r w:rsidDel="00000000" w:rsidR="00000000" w:rsidRPr="00000000">
                  <w:rPr>
                    <w:rtl w:val="0"/>
                  </w:rPr>
                </w:r>
              </w:p>
            </w:tc>
            <w:tc>
              <w:tcPr>
                <w:tcBorders>
                  <w:top w:color="000000" w:space="0" w:sz="6" w:val="single"/>
                  <w:left w:color="ffffff"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1">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14</w:t>
                </w:r>
                <w:r w:rsidDel="00000000" w:rsidR="00000000" w:rsidRPr="00000000">
                  <w:rPr>
                    <w:rtl w:val="0"/>
                  </w:rPr>
                </w:r>
              </w:p>
            </w:tc>
            <w:tc>
              <w:tcPr>
                <w:tcBorders>
                  <w:top w:color="000000" w:space="0" w:sz="6" w:val="single"/>
                  <w:left w:color="ffffff"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2">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8,70%</w:t>
                </w:r>
                <w:r w:rsidDel="00000000" w:rsidR="00000000" w:rsidRPr="00000000">
                  <w:rPr>
                    <w:rtl w:val="0"/>
                  </w:rPr>
                </w:r>
              </w:p>
            </w:tc>
          </w:tr>
          <w:tr>
            <w:trPr>
              <w:cantSplit w:val="0"/>
              <w:trHeight w:val="481.88976377952764" w:hRule="atLeast"/>
              <w:tblHeader w:val="0"/>
            </w:trPr>
            <w:tc>
              <w:tcPr>
                <w:tcBorders>
                  <w:left w:color="ffffff"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3">
                <w:pPr>
                  <w:widowControl w:val="0"/>
                  <w:spacing w:line="360" w:lineRule="auto"/>
                  <w:rPr>
                    <w:rFonts w:ascii="Arial" w:cs="Arial" w:eastAsia="Arial" w:hAnsi="Arial"/>
                    <w:sz w:val="20"/>
                    <w:szCs w:val="20"/>
                  </w:rPr>
                </w:pPr>
                <w:r w:rsidDel="00000000" w:rsidR="00000000" w:rsidRPr="00000000">
                  <w:rPr>
                    <w:sz w:val="20"/>
                    <w:szCs w:val="20"/>
                    <w:rtl w:val="0"/>
                  </w:rPr>
                  <w:t xml:space="preserve">Poco saludable</w:t>
                </w:r>
                <w:r w:rsidDel="00000000" w:rsidR="00000000" w:rsidRPr="00000000">
                  <w:rPr>
                    <w:rtl w:val="0"/>
                  </w:rPr>
                </w:r>
              </w:p>
            </w:tc>
            <w:tc>
              <w:tcPr>
                <w:tcBorders>
                  <w:left w:color="ffffff"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4">
                <w:pPr>
                  <w:widowControl w:val="0"/>
                  <w:spacing w:line="360" w:lineRule="auto"/>
                  <w:jc w:val="center"/>
                  <w:rPr>
                    <w:sz w:val="20"/>
                    <w:szCs w:val="20"/>
                  </w:rPr>
                </w:pPr>
                <w:r w:rsidDel="00000000" w:rsidR="00000000" w:rsidRPr="00000000">
                  <w:rPr>
                    <w:rtl w:val="0"/>
                  </w:rPr>
                </w:r>
              </w:p>
            </w:tc>
            <w:tc>
              <w:tcPr>
                <w:tcBorders>
                  <w:left w:color="ffffff"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5">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153</w:t>
                </w:r>
                <w:r w:rsidDel="00000000" w:rsidR="00000000" w:rsidRPr="00000000">
                  <w:rPr>
                    <w:rtl w:val="0"/>
                  </w:rPr>
                </w:r>
              </w:p>
            </w:tc>
            <w:tc>
              <w:tcPr>
                <w:tcBorders>
                  <w:left w:color="ffffff"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6">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95,00%</w:t>
                </w:r>
                <w:r w:rsidDel="00000000" w:rsidR="00000000" w:rsidRPr="00000000">
                  <w:rPr>
                    <w:rtl w:val="0"/>
                  </w:rPr>
                </w:r>
              </w:p>
            </w:tc>
            <w:tc>
              <w:tcPr>
                <w:tcBorders>
                  <w:left w:color="ffffff"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7">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73</w:t>
                </w:r>
                <w:r w:rsidDel="00000000" w:rsidR="00000000" w:rsidRPr="00000000">
                  <w:rPr>
                    <w:rtl w:val="0"/>
                  </w:rPr>
                </w:r>
              </w:p>
            </w:tc>
            <w:tc>
              <w:tcPr>
                <w:tcBorders>
                  <w:left w:color="ffffff"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8">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45,30%</w:t>
                </w:r>
                <w:r w:rsidDel="00000000" w:rsidR="00000000" w:rsidRPr="00000000">
                  <w:rPr>
                    <w:rtl w:val="0"/>
                  </w:rPr>
                </w:r>
              </w:p>
            </w:tc>
            <w:tc>
              <w:tcPr>
                <w:tcBorders>
                  <w:left w:color="ffffff"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9">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147</w:t>
                </w:r>
                <w:r w:rsidDel="00000000" w:rsidR="00000000" w:rsidRPr="00000000">
                  <w:rPr>
                    <w:rtl w:val="0"/>
                  </w:rPr>
                </w:r>
              </w:p>
            </w:tc>
            <w:tc>
              <w:tcPr>
                <w:tcBorders>
                  <w:left w:color="ffffff"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A">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91,30%</w:t>
                </w:r>
                <w:r w:rsidDel="00000000" w:rsidR="00000000" w:rsidRPr="00000000">
                  <w:rPr>
                    <w:rtl w:val="0"/>
                  </w:rPr>
                </w:r>
              </w:p>
            </w:tc>
          </w:tr>
          <w:tr>
            <w:trPr>
              <w:cantSplit w:val="0"/>
              <w:trHeight w:val="481.88976377952764" w:hRule="atLeast"/>
              <w:tblHeader w:val="0"/>
            </w:trPr>
            <w:tc>
              <w:tcPr>
                <w:tcBorders>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B">
                <w:pPr>
                  <w:widowControl w:val="0"/>
                  <w:spacing w:line="360" w:lineRule="auto"/>
                  <w:rPr>
                    <w:rFonts w:ascii="Arial" w:cs="Arial" w:eastAsia="Arial" w:hAnsi="Arial"/>
                    <w:sz w:val="20"/>
                    <w:szCs w:val="20"/>
                  </w:rPr>
                </w:pPr>
                <w:r w:rsidDel="00000000" w:rsidR="00000000" w:rsidRPr="00000000">
                  <w:rPr>
                    <w:sz w:val="20"/>
                    <w:szCs w:val="20"/>
                    <w:rtl w:val="0"/>
                  </w:rPr>
                  <w:t xml:space="preserve">No saludable</w:t>
                </w:r>
                <w:r w:rsidDel="00000000" w:rsidR="00000000" w:rsidRPr="00000000">
                  <w:rPr>
                    <w:rtl w:val="0"/>
                  </w:rPr>
                </w:r>
              </w:p>
            </w:tc>
            <w:tc>
              <w:tcPr>
                <w:tcBorders>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C">
                <w:pPr>
                  <w:widowControl w:val="0"/>
                  <w:spacing w:line="360" w:lineRule="auto"/>
                  <w:jc w:val="center"/>
                  <w:rPr>
                    <w:sz w:val="20"/>
                    <w:szCs w:val="20"/>
                  </w:rPr>
                </w:pPr>
                <w:r w:rsidDel="00000000" w:rsidR="00000000" w:rsidRPr="00000000">
                  <w:rPr>
                    <w:rtl w:val="0"/>
                  </w:rPr>
                </w:r>
              </w:p>
            </w:tc>
            <w:tc>
              <w:tcPr>
                <w:tcBorders>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D">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3</w:t>
                </w:r>
                <w:r w:rsidDel="00000000" w:rsidR="00000000" w:rsidRPr="00000000">
                  <w:rPr>
                    <w:rtl w:val="0"/>
                  </w:rPr>
                </w:r>
              </w:p>
            </w:tc>
            <w:tc>
              <w:tcPr>
                <w:tcBorders>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E">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1,90%</w:t>
                </w:r>
                <w:r w:rsidDel="00000000" w:rsidR="00000000" w:rsidRPr="00000000">
                  <w:rPr>
                    <w:rtl w:val="0"/>
                  </w:rPr>
                </w:r>
              </w:p>
            </w:tc>
            <w:tc>
              <w:tcPr>
                <w:tcBorders>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F">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88</w:t>
                </w:r>
                <w:r w:rsidDel="00000000" w:rsidR="00000000" w:rsidRPr="00000000">
                  <w:rPr>
                    <w:rtl w:val="0"/>
                  </w:rPr>
                </w:r>
              </w:p>
            </w:tc>
            <w:tc>
              <w:tcPr>
                <w:tcBorders>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D0">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54,70%</w:t>
                </w:r>
                <w:r w:rsidDel="00000000" w:rsidR="00000000" w:rsidRPr="00000000">
                  <w:rPr>
                    <w:rtl w:val="0"/>
                  </w:rPr>
                </w:r>
              </w:p>
            </w:tc>
            <w:tc>
              <w:tcPr>
                <w:tcBorders>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D1">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0</w:t>
                </w:r>
                <w:r w:rsidDel="00000000" w:rsidR="00000000" w:rsidRPr="00000000">
                  <w:rPr>
                    <w:rtl w:val="0"/>
                  </w:rPr>
                </w:r>
              </w:p>
            </w:tc>
            <w:tc>
              <w:tcPr>
                <w:tcBorders>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D2">
                <w:pPr>
                  <w:widowControl w:val="0"/>
                  <w:spacing w:line="360" w:lineRule="auto"/>
                  <w:jc w:val="center"/>
                  <w:rPr>
                    <w:rFonts w:ascii="Arial" w:cs="Arial" w:eastAsia="Arial" w:hAnsi="Arial"/>
                    <w:sz w:val="20"/>
                    <w:szCs w:val="20"/>
                  </w:rPr>
                </w:pPr>
                <w:r w:rsidDel="00000000" w:rsidR="00000000" w:rsidRPr="00000000">
                  <w:rPr>
                    <w:sz w:val="20"/>
                    <w:szCs w:val="20"/>
                    <w:rtl w:val="0"/>
                  </w:rPr>
                  <w:t xml:space="preserve">0,00%</w:t>
                </w:r>
                <w:r w:rsidDel="00000000" w:rsidR="00000000" w:rsidRPr="00000000">
                  <w:rPr>
                    <w:rtl w:val="0"/>
                  </w:rPr>
                </w:r>
              </w:p>
            </w:tc>
          </w:tr>
          <w:tr>
            <w:trPr>
              <w:cantSplit w:val="0"/>
              <w:trHeight w:val="360.00000000000006" w:hRule="atLeast"/>
              <w:tblHeader w:val="0"/>
            </w:trPr>
            <w:tc>
              <w:tcPr>
                <w:gridSpan w:val="8"/>
                <w:tcBorders>
                  <w:top w:color="000000" w:space="0" w:sz="6" w:val="single"/>
                  <w:left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3">
                <w:pPr>
                  <w:spacing w:line="360" w:lineRule="auto"/>
                  <w:rPr>
                    <w:sz w:val="20"/>
                    <w:szCs w:val="20"/>
                  </w:rPr>
                </w:pPr>
                <w:r w:rsidDel="00000000" w:rsidR="00000000" w:rsidRPr="00000000">
                  <w:rPr>
                    <w:sz w:val="20"/>
                    <w:szCs w:val="20"/>
                    <w:rtl w:val="0"/>
                  </w:rPr>
                  <w:t xml:space="preserve">Nota: fi = frecuencia absoluta</w:t>
                </w:r>
              </w:p>
            </w:tc>
          </w:tr>
        </w:tbl>
      </w:sdtContent>
    </w:sdt>
    <w:p w:rsidR="00000000" w:rsidDel="00000000" w:rsidP="00000000" w:rsidRDefault="00000000" w:rsidRPr="00000000" w14:paraId="000000DB">
      <w:pPr>
        <w:widowControl w:val="0"/>
        <w:spacing w:after="200" w:line="360" w:lineRule="auto"/>
        <w:ind w:firstLine="720"/>
        <w:jc w:val="both"/>
        <w:rPr/>
      </w:pPr>
      <w:r w:rsidDel="00000000" w:rsidR="00000000" w:rsidRPr="00000000">
        <w:rPr>
          <w:rtl w:val="0"/>
        </w:rPr>
        <w:t xml:space="preserve">En la tabla 02, se denotó que, de la variable hábitos alimenticios; el 91.3% de estudiantes manifiestaron dichos hábitos poco saludables, seguidamente, un nivel saludable con 8.7%, y no saludable con 0%. En relación a sus dimensiones, siendo, consumo de alimentos, y conducta alimentaria, presentaron un nivel poco saludable; con 95.0% y 45.3%, respectivamente. Así como también, se evidenció un nivel no saludable con 1.9%, y 54.7%, en las dimensiones correspondientes. Mostrando que gran parte de los estudiantes llevan hábitos poco saludables y en su mayoría estos se ven relacionados con el consumo de alimentos.</w:t>
      </w:r>
      <w:r w:rsidDel="00000000" w:rsidR="00000000" w:rsidRPr="00000000">
        <w:rPr>
          <w:rtl w:val="0"/>
        </w:rPr>
      </w:r>
    </w:p>
    <w:p w:rsidR="00000000" w:rsidDel="00000000" w:rsidP="00000000" w:rsidRDefault="00000000" w:rsidRPr="00000000" w14:paraId="000000DC">
      <w:pPr>
        <w:spacing w:line="360" w:lineRule="auto"/>
        <w:ind w:firstLine="708"/>
        <w:jc w:val="both"/>
        <w:rPr/>
      </w:pPr>
      <w:r w:rsidDel="00000000" w:rsidR="00000000" w:rsidRPr="00000000">
        <w:rPr>
          <w:rtl w:val="0"/>
        </w:rPr>
      </w:r>
    </w:p>
    <w:tbl>
      <w:tblPr>
        <w:tblStyle w:val="Table3"/>
        <w:tblW w:w="9375.0" w:type="dxa"/>
        <w:jc w:val="left"/>
        <w:tblInd w:w="-9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190"/>
        <w:gridCol w:w="105"/>
        <w:gridCol w:w="1065"/>
        <w:gridCol w:w="1500"/>
        <w:gridCol w:w="1305"/>
        <w:gridCol w:w="1185"/>
        <w:gridCol w:w="960"/>
        <w:gridCol w:w="1065"/>
        <w:tblGridChange w:id="0">
          <w:tblGrid>
            <w:gridCol w:w="2190"/>
            <w:gridCol w:w="105"/>
            <w:gridCol w:w="1065"/>
            <w:gridCol w:w="1500"/>
            <w:gridCol w:w="1305"/>
            <w:gridCol w:w="1185"/>
            <w:gridCol w:w="960"/>
            <w:gridCol w:w="1065"/>
          </w:tblGrid>
        </w:tblGridChange>
      </w:tblGrid>
      <w:tr>
        <w:trPr>
          <w:cantSplit w:val="0"/>
          <w:trHeight w:val="592.4560546874999" w:hRule="atLeast"/>
          <w:tblHeader w:val="0"/>
        </w:trPr>
        <w:tc>
          <w:tcPr>
            <w:gridSpan w:val="8"/>
            <w:vMerge w:val="restart"/>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DD">
            <w:pPr>
              <w:keepNext w:val="1"/>
              <w:spacing w:line="360" w:lineRule="auto"/>
              <w:jc w:val="both"/>
              <w:rPr>
                <w:i w:val="1"/>
                <w:color w:val="44546a"/>
              </w:rPr>
            </w:pPr>
            <w:r w:rsidDel="00000000" w:rsidR="00000000" w:rsidRPr="00000000">
              <w:rPr>
                <w:color w:val="00000a"/>
                <w:rtl w:val="0"/>
              </w:rPr>
              <w:t xml:space="preserve">Tabla 3</w:t>
            </w:r>
            <w:r w:rsidDel="00000000" w:rsidR="00000000" w:rsidRPr="00000000">
              <w:rPr>
                <w:rFonts w:ascii="Arimo" w:cs="Arimo" w:eastAsia="Arimo" w:hAnsi="Arimo"/>
                <w:color w:val="00000a"/>
                <w:rtl w:val="0"/>
              </w:rPr>
              <w:br w:type="textWrapping"/>
            </w:r>
            <w:r w:rsidDel="00000000" w:rsidR="00000000" w:rsidRPr="00000000">
              <w:rPr>
                <w:i w:val="1"/>
                <w:color w:val="00000a"/>
                <w:rtl w:val="0"/>
              </w:rPr>
              <w:t xml:space="preserve">Frecuencia de los niveles de Estrés Académico y Hábitos Alimenticios en relación al género de la población universitaria.</w:t>
            </w:r>
            <w:r w:rsidDel="00000000" w:rsidR="00000000" w:rsidRPr="00000000">
              <w:rPr>
                <w:rtl w:val="0"/>
              </w:rPr>
            </w:r>
          </w:p>
        </w:tc>
      </w:tr>
      <w:tr>
        <w:trPr>
          <w:cantSplit w:val="0"/>
          <w:trHeight w:val="509.9121093749998" w:hRule="atLeast"/>
          <w:tblHeader w:val="0"/>
        </w:trPr>
        <w:tc>
          <w:tcPr>
            <w:gridSpan w:val="8"/>
            <w:vMerge w:val="continue"/>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E5">
            <w:pPr>
              <w:keepNext w:val="1"/>
              <w:spacing w:after="0" w:before="0" w:line="360" w:lineRule="auto"/>
              <w:ind w:left="0" w:firstLine="0"/>
              <w:jc w:val="both"/>
              <w:rPr>
                <w:color w:val="00000a"/>
              </w:rPr>
            </w:pPr>
            <w:r w:rsidDel="00000000" w:rsidR="00000000" w:rsidRPr="00000000">
              <w:rPr>
                <w:rtl w:val="0"/>
              </w:rPr>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ED">
            <w:pPr>
              <w:spacing w:line="360" w:lineRule="auto"/>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EE">
            <w:pPr>
              <w:spacing w:line="360" w:lineRule="auto"/>
              <w:rPr/>
            </w:pPr>
            <w:r w:rsidDel="00000000" w:rsidR="00000000" w:rsidRPr="00000000">
              <w:rPr>
                <w:rtl w:val="0"/>
              </w:rPr>
            </w:r>
          </w:p>
        </w:tc>
        <w:tc>
          <w:tcPr>
            <w:gridSpan w:val="4"/>
            <w:tcBorders>
              <w:top w:color="000000" w:space="0" w:sz="6" w:val="single"/>
              <w:left w:color="ffffff" w:space="0" w:sz="6" w:val="single"/>
              <w:bottom w:color="000000"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F1">
            <w:pPr>
              <w:widowControl w:val="0"/>
              <w:spacing w:line="360" w:lineRule="auto"/>
              <w:jc w:val="center"/>
              <w:rPr/>
            </w:pPr>
            <w:r w:rsidDel="00000000" w:rsidR="00000000" w:rsidRPr="00000000">
              <w:rPr>
                <w:rtl w:val="0"/>
              </w:rPr>
              <w:t xml:space="preserve">Género</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F5">
            <w:pPr>
              <w:spacing w:line="360" w:lineRule="auto"/>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F6">
            <w:pPr>
              <w:spacing w:line="360" w:lineRule="auto"/>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F9">
            <w:pPr>
              <w:spacing w:line="360" w:lineRule="auto"/>
              <w:jc w:val="center"/>
              <w:rPr/>
            </w:pPr>
            <w:r w:rsidDel="00000000" w:rsidR="00000000" w:rsidRPr="00000000">
              <w:rPr>
                <w:rtl w:val="0"/>
              </w:rPr>
              <w:t xml:space="preserve">Femenino</w:t>
            </w:r>
          </w:p>
        </w:tc>
        <w:tc>
          <w:tcPr>
            <w:gridSpan w:val="2"/>
            <w:tcBorders>
              <w:top w:color="000000" w:space="0" w:sz="4" w:val="single"/>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FB">
            <w:pPr>
              <w:spacing w:line="360" w:lineRule="auto"/>
              <w:jc w:val="center"/>
              <w:rPr/>
            </w:pPr>
            <w:r w:rsidDel="00000000" w:rsidR="00000000" w:rsidRPr="00000000">
              <w:rPr>
                <w:rtl w:val="0"/>
              </w:rPr>
              <w:t xml:space="preserve">Masculino</w:t>
            </w:r>
          </w:p>
        </w:tc>
      </w:tr>
      <w:tr>
        <w:trPr>
          <w:cantSplit w:val="0"/>
          <w:trHeight w:val="217" w:hRule="atLeast"/>
          <w:tblHeader w:val="0"/>
        </w:trPr>
        <w:tc>
          <w:tcPr>
            <w:tcBorders>
              <w:top w:color="000000" w:space="0" w:sz="0" w:val="nil"/>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FD">
            <w:pPr>
              <w:spacing w:line="360" w:lineRule="auto"/>
              <w:rPr/>
            </w:pPr>
            <w:r w:rsidDel="00000000" w:rsidR="00000000" w:rsidRPr="00000000">
              <w:rPr>
                <w:rtl w:val="0"/>
              </w:rPr>
            </w:r>
          </w:p>
        </w:tc>
        <w:tc>
          <w:tcPr>
            <w:gridSpan w:val="3"/>
            <w:tcBorders>
              <w:top w:color="000000" w:space="0" w:sz="0" w:val="nil"/>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FE">
            <w:pPr>
              <w:spacing w:line="360" w:lineRule="auto"/>
              <w:rPr/>
            </w:pP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01">
            <w:pPr>
              <w:spacing w:line="360" w:lineRule="auto"/>
              <w:jc w:val="center"/>
              <w:rPr/>
            </w:pPr>
            <w:r w:rsidDel="00000000" w:rsidR="00000000" w:rsidRPr="00000000">
              <w:rPr>
                <w:rtl w:val="0"/>
              </w:rPr>
              <w:t xml:space="preserve">fi</w:t>
            </w:r>
          </w:p>
        </w:tc>
        <w:tc>
          <w:tcPr>
            <w:tcBorders>
              <w:top w:color="000000" w:space="0" w:sz="4" w:val="single"/>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02">
            <w:pPr>
              <w:spacing w:line="360" w:lineRule="auto"/>
              <w:jc w:val="center"/>
              <w:rPr/>
            </w:pPr>
            <w:r w:rsidDel="00000000" w:rsidR="00000000" w:rsidRPr="00000000">
              <w:rPr>
                <w:rtl w:val="0"/>
              </w:rPr>
              <w:t xml:space="preserve">%</w:t>
            </w:r>
          </w:p>
        </w:tc>
        <w:tc>
          <w:tcPr>
            <w:tcBorders>
              <w:top w:color="000000" w:space="0" w:sz="4" w:val="single"/>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03">
            <w:pPr>
              <w:spacing w:line="360" w:lineRule="auto"/>
              <w:jc w:val="center"/>
              <w:rPr/>
            </w:pPr>
            <w:r w:rsidDel="00000000" w:rsidR="00000000" w:rsidRPr="00000000">
              <w:rPr>
                <w:rtl w:val="0"/>
              </w:rPr>
              <w:t xml:space="preserve">fi</w:t>
            </w:r>
          </w:p>
        </w:tc>
        <w:tc>
          <w:tcPr>
            <w:tcBorders>
              <w:top w:color="000000" w:space="0" w:sz="4" w:val="single"/>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04">
            <w:pPr>
              <w:spacing w:line="360" w:lineRule="auto"/>
              <w:jc w:val="center"/>
              <w:rPr/>
            </w:pPr>
            <w:r w:rsidDel="00000000" w:rsidR="00000000" w:rsidRPr="00000000">
              <w:rPr>
                <w:rtl w:val="0"/>
              </w:rPr>
              <w:t xml:space="preserve">%</w:t>
            </w:r>
          </w:p>
        </w:tc>
      </w:tr>
      <w:tr>
        <w:trPr>
          <w:cantSplit w:val="0"/>
          <w:trHeight w:val="499.97070312500006" w:hRule="atLeast"/>
          <w:tblHeader w:val="0"/>
        </w:trPr>
        <w:tc>
          <w:tcPr>
            <w:vMerge w:val="restart"/>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05">
            <w:pPr>
              <w:spacing w:line="360" w:lineRule="auto"/>
              <w:rPr/>
            </w:pPr>
            <w:r w:rsidDel="00000000" w:rsidR="00000000" w:rsidRPr="00000000">
              <w:rPr>
                <w:rtl w:val="0"/>
              </w:rPr>
              <w:t xml:space="preserve">Estrés</w:t>
            </w:r>
          </w:p>
        </w:tc>
        <w:tc>
          <w:tcPr>
            <w:gridSpan w:val="3"/>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06">
            <w:pPr>
              <w:spacing w:line="360" w:lineRule="auto"/>
              <w:rPr/>
            </w:pPr>
            <w:r w:rsidDel="00000000" w:rsidR="00000000" w:rsidRPr="00000000">
              <w:rPr>
                <w:rtl w:val="0"/>
              </w:rPr>
              <w:t xml:space="preserve">Alto</w:t>
            </w:r>
          </w:p>
        </w:tc>
        <w:tc>
          <w:tcPr>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09">
            <w:pPr>
              <w:spacing w:line="360" w:lineRule="auto"/>
              <w:jc w:val="center"/>
              <w:rPr/>
            </w:pPr>
            <w:r w:rsidDel="00000000" w:rsidR="00000000" w:rsidRPr="00000000">
              <w:rPr>
                <w:rtl w:val="0"/>
              </w:rPr>
              <w:t xml:space="preserve">15</w:t>
            </w:r>
          </w:p>
        </w:tc>
        <w:tc>
          <w:tcPr>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0A">
            <w:pPr>
              <w:spacing w:line="360" w:lineRule="auto"/>
              <w:jc w:val="center"/>
              <w:rPr/>
            </w:pPr>
            <w:r w:rsidDel="00000000" w:rsidR="00000000" w:rsidRPr="00000000">
              <w:rPr>
                <w:rtl w:val="0"/>
              </w:rPr>
              <w:t xml:space="preserve">17,00%</w:t>
            </w:r>
          </w:p>
        </w:tc>
        <w:tc>
          <w:tcPr>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0B">
            <w:pPr>
              <w:spacing w:line="360" w:lineRule="auto"/>
              <w:jc w:val="center"/>
              <w:rPr/>
            </w:pPr>
            <w:r w:rsidDel="00000000" w:rsidR="00000000" w:rsidRPr="00000000">
              <w:rPr>
                <w:rtl w:val="0"/>
              </w:rPr>
              <w:t xml:space="preserve">7</w:t>
            </w:r>
          </w:p>
        </w:tc>
        <w:tc>
          <w:tcPr>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0C">
            <w:pPr>
              <w:spacing w:line="360" w:lineRule="auto"/>
              <w:jc w:val="center"/>
              <w:rPr/>
            </w:pPr>
            <w:r w:rsidDel="00000000" w:rsidR="00000000" w:rsidRPr="00000000">
              <w:rPr>
                <w:rtl w:val="0"/>
              </w:rPr>
              <w:t xml:space="preserve">9,50%</w:t>
            </w:r>
          </w:p>
        </w:tc>
      </w:tr>
      <w:tr>
        <w:trPr>
          <w:cantSplit w:val="0"/>
          <w:trHeight w:val="499.97070312500006"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0D">
            <w:pPr>
              <w:spacing w:after="0" w:before="0" w:line="360" w:lineRule="auto"/>
              <w:ind w:left="0" w:firstLine="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0E">
            <w:pPr>
              <w:spacing w:line="360" w:lineRule="auto"/>
              <w:rPr/>
            </w:pPr>
            <w:r w:rsidDel="00000000" w:rsidR="00000000" w:rsidRPr="00000000">
              <w:rPr>
                <w:rtl w:val="0"/>
              </w:rPr>
              <w:t xml:space="preserve">Medio</w:t>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11">
            <w:pPr>
              <w:spacing w:line="360" w:lineRule="auto"/>
              <w:jc w:val="center"/>
              <w:rPr/>
            </w:pPr>
            <w:r w:rsidDel="00000000" w:rsidR="00000000" w:rsidRPr="00000000">
              <w:rPr>
                <w:rtl w:val="0"/>
              </w:rPr>
              <w:t xml:space="preserve">67</w:t>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12">
            <w:pPr>
              <w:spacing w:line="360" w:lineRule="auto"/>
              <w:jc w:val="center"/>
              <w:rPr/>
            </w:pPr>
            <w:r w:rsidDel="00000000" w:rsidR="00000000" w:rsidRPr="00000000">
              <w:rPr>
                <w:rtl w:val="0"/>
              </w:rPr>
              <w:t xml:space="preserve">76,10%</w:t>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13">
            <w:pPr>
              <w:spacing w:line="360" w:lineRule="auto"/>
              <w:jc w:val="center"/>
              <w:rPr/>
            </w:pPr>
            <w:r w:rsidDel="00000000" w:rsidR="00000000" w:rsidRPr="00000000">
              <w:rPr>
                <w:rtl w:val="0"/>
              </w:rPr>
              <w:t xml:space="preserve">57</w:t>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14">
            <w:pPr>
              <w:spacing w:line="360" w:lineRule="auto"/>
              <w:jc w:val="center"/>
              <w:rPr/>
            </w:pPr>
            <w:r w:rsidDel="00000000" w:rsidR="00000000" w:rsidRPr="00000000">
              <w:rPr>
                <w:rtl w:val="0"/>
              </w:rPr>
              <w:t xml:space="preserve">77,00%</w:t>
            </w:r>
          </w:p>
        </w:tc>
      </w:tr>
      <w:tr>
        <w:trPr>
          <w:cantSplit w:val="0"/>
          <w:trHeight w:val="499.97070312500006"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15">
            <w:pPr>
              <w:spacing w:after="0" w:before="0" w:line="360" w:lineRule="auto"/>
              <w:ind w:left="0" w:firstLine="0"/>
              <w:rPr/>
            </w:pPr>
            <w:r w:rsidDel="00000000" w:rsidR="00000000" w:rsidRPr="00000000">
              <w:rPr>
                <w:rtl w:val="0"/>
              </w:rPr>
            </w:r>
          </w:p>
        </w:tc>
        <w:tc>
          <w:tcPr>
            <w:gridSpan w:val="3"/>
            <w:tcBorders>
              <w:top w:color="000000" w:space="0" w:sz="0" w:val="nil"/>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16">
            <w:pPr>
              <w:spacing w:line="360" w:lineRule="auto"/>
              <w:rPr/>
            </w:pPr>
            <w:r w:rsidDel="00000000" w:rsidR="00000000" w:rsidRPr="00000000">
              <w:rPr>
                <w:rtl w:val="0"/>
              </w:rPr>
              <w:t xml:space="preserve">Bajo</w:t>
            </w:r>
          </w:p>
        </w:tc>
        <w:tc>
          <w:tcPr>
            <w:tcBorders>
              <w:top w:color="000000" w:space="0" w:sz="0" w:val="nil"/>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19">
            <w:pPr>
              <w:spacing w:line="360" w:lineRule="auto"/>
              <w:jc w:val="center"/>
              <w:rPr/>
            </w:pPr>
            <w:r w:rsidDel="00000000" w:rsidR="00000000" w:rsidRPr="00000000">
              <w:rPr>
                <w:rtl w:val="0"/>
              </w:rPr>
              <w:t xml:space="preserve">6</w:t>
            </w:r>
          </w:p>
        </w:tc>
        <w:tc>
          <w:tcPr>
            <w:tcBorders>
              <w:top w:color="000000" w:space="0" w:sz="0" w:val="nil"/>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1A">
            <w:pPr>
              <w:spacing w:line="360" w:lineRule="auto"/>
              <w:jc w:val="center"/>
              <w:rPr/>
            </w:pPr>
            <w:r w:rsidDel="00000000" w:rsidR="00000000" w:rsidRPr="00000000">
              <w:rPr>
                <w:rtl w:val="0"/>
              </w:rPr>
              <w:t xml:space="preserve">6,80%</w:t>
            </w:r>
          </w:p>
        </w:tc>
        <w:tc>
          <w:tcPr>
            <w:tcBorders>
              <w:top w:color="000000" w:space="0" w:sz="0" w:val="nil"/>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1B">
            <w:pPr>
              <w:spacing w:line="360" w:lineRule="auto"/>
              <w:jc w:val="center"/>
              <w:rPr/>
            </w:pPr>
            <w:r w:rsidDel="00000000" w:rsidR="00000000" w:rsidRPr="00000000">
              <w:rPr>
                <w:rtl w:val="0"/>
              </w:rPr>
              <w:t xml:space="preserve">10</w:t>
            </w:r>
          </w:p>
        </w:tc>
        <w:tc>
          <w:tcPr>
            <w:tcBorders>
              <w:top w:color="000000" w:space="0" w:sz="0" w:val="nil"/>
              <w:left w:color="000000" w:space="0" w:sz="0" w:val="nil"/>
              <w:bottom w:color="000000" w:space="0" w:sz="8"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1C">
            <w:pPr>
              <w:spacing w:line="360" w:lineRule="auto"/>
              <w:jc w:val="center"/>
              <w:rPr/>
            </w:pPr>
            <w:r w:rsidDel="00000000" w:rsidR="00000000" w:rsidRPr="00000000">
              <w:rPr>
                <w:rtl w:val="0"/>
              </w:rPr>
              <w:t xml:space="preserve">13,50%</w:t>
            </w:r>
          </w:p>
        </w:tc>
      </w:tr>
      <w:tr>
        <w:trPr>
          <w:cantSplit w:val="0"/>
          <w:trHeight w:val="499.97070312500006" w:hRule="atLeast"/>
          <w:tblHeader w:val="0"/>
        </w:trPr>
        <w:tc>
          <w:tcPr>
            <w:vMerge w:val="restart"/>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1D">
            <w:pPr>
              <w:spacing w:line="360" w:lineRule="auto"/>
              <w:rPr/>
            </w:pPr>
            <w:r w:rsidDel="00000000" w:rsidR="00000000" w:rsidRPr="00000000">
              <w:rPr>
                <w:rtl w:val="0"/>
              </w:rPr>
              <w:t xml:space="preserve">Hábitos Alimenticios</w:t>
            </w:r>
          </w:p>
        </w:tc>
        <w:tc>
          <w:tcPr>
            <w:gridSpan w:val="3"/>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1E">
            <w:pPr>
              <w:spacing w:line="360" w:lineRule="auto"/>
              <w:rPr/>
            </w:pPr>
            <w:r w:rsidDel="00000000" w:rsidR="00000000" w:rsidRPr="00000000">
              <w:rPr>
                <w:rtl w:val="0"/>
              </w:rPr>
              <w:t xml:space="preserve">Saludable</w:t>
            </w:r>
          </w:p>
        </w:tc>
        <w:tc>
          <w:tcPr>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1">
            <w:pPr>
              <w:spacing w:line="360" w:lineRule="auto"/>
              <w:jc w:val="center"/>
              <w:rPr/>
            </w:pPr>
            <w:r w:rsidDel="00000000" w:rsidR="00000000" w:rsidRPr="00000000">
              <w:rPr>
                <w:rtl w:val="0"/>
              </w:rPr>
              <w:t xml:space="preserve">5</w:t>
            </w:r>
          </w:p>
        </w:tc>
        <w:tc>
          <w:tcPr>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2">
            <w:pPr>
              <w:spacing w:line="360" w:lineRule="auto"/>
              <w:jc w:val="center"/>
              <w:rPr/>
            </w:pPr>
            <w:r w:rsidDel="00000000" w:rsidR="00000000" w:rsidRPr="00000000">
              <w:rPr>
                <w:rtl w:val="0"/>
              </w:rPr>
              <w:t xml:space="preserve">5,70%</w:t>
            </w:r>
          </w:p>
        </w:tc>
        <w:tc>
          <w:tcPr>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3">
            <w:pPr>
              <w:spacing w:line="360" w:lineRule="auto"/>
              <w:jc w:val="center"/>
              <w:rPr/>
            </w:pPr>
            <w:r w:rsidDel="00000000" w:rsidR="00000000" w:rsidRPr="00000000">
              <w:rPr>
                <w:rtl w:val="0"/>
              </w:rPr>
              <w:t xml:space="preserve">9</w:t>
            </w:r>
          </w:p>
        </w:tc>
        <w:tc>
          <w:tcPr>
            <w:tcBorders>
              <w:top w:color="000000"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4">
            <w:pPr>
              <w:spacing w:line="360" w:lineRule="auto"/>
              <w:jc w:val="center"/>
              <w:rPr/>
            </w:pPr>
            <w:r w:rsidDel="00000000" w:rsidR="00000000" w:rsidRPr="00000000">
              <w:rPr>
                <w:rtl w:val="0"/>
              </w:rPr>
              <w:t xml:space="preserve">12,20%</w:t>
            </w:r>
          </w:p>
        </w:tc>
      </w:tr>
      <w:tr>
        <w:trPr>
          <w:cantSplit w:val="0"/>
          <w:trHeight w:val="499.97070312500006"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5">
            <w:pPr>
              <w:spacing w:after="0" w:before="0" w:line="360" w:lineRule="auto"/>
              <w:ind w:left="0" w:firstLine="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6">
            <w:pPr>
              <w:spacing w:line="360" w:lineRule="auto"/>
              <w:rPr/>
            </w:pPr>
            <w:r w:rsidDel="00000000" w:rsidR="00000000" w:rsidRPr="00000000">
              <w:rPr>
                <w:rtl w:val="0"/>
              </w:rPr>
              <w:t xml:space="preserve">Poco saludable</w:t>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9">
            <w:pPr>
              <w:spacing w:line="360" w:lineRule="auto"/>
              <w:jc w:val="center"/>
              <w:rPr/>
            </w:pPr>
            <w:r w:rsidDel="00000000" w:rsidR="00000000" w:rsidRPr="00000000">
              <w:rPr>
                <w:rtl w:val="0"/>
              </w:rPr>
              <w:t xml:space="preserve">83</w:t>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A">
            <w:pPr>
              <w:spacing w:line="360" w:lineRule="auto"/>
              <w:jc w:val="center"/>
              <w:rPr/>
            </w:pPr>
            <w:r w:rsidDel="00000000" w:rsidR="00000000" w:rsidRPr="00000000">
              <w:rPr>
                <w:rtl w:val="0"/>
              </w:rPr>
              <w:t xml:space="preserve">94,30%</w:t>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B">
            <w:pPr>
              <w:spacing w:line="360" w:lineRule="auto"/>
              <w:jc w:val="center"/>
              <w:rPr/>
            </w:pPr>
            <w:r w:rsidDel="00000000" w:rsidR="00000000" w:rsidRPr="00000000">
              <w:rPr>
                <w:rtl w:val="0"/>
              </w:rPr>
              <w:t xml:space="preserve">65</w:t>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C">
            <w:pPr>
              <w:spacing w:line="360" w:lineRule="auto"/>
              <w:jc w:val="center"/>
              <w:rPr/>
            </w:pPr>
            <w:r w:rsidDel="00000000" w:rsidR="00000000" w:rsidRPr="00000000">
              <w:rPr>
                <w:rtl w:val="0"/>
              </w:rPr>
              <w:t xml:space="preserve">87,80%</w:t>
            </w:r>
          </w:p>
        </w:tc>
      </w:tr>
      <w:tr>
        <w:trPr>
          <w:cantSplit w:val="0"/>
          <w:trHeight w:val="499.97070312500006"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D">
            <w:pPr>
              <w:spacing w:after="0" w:before="0" w:line="360" w:lineRule="auto"/>
              <w:ind w:left="0" w:firstLine="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E">
            <w:pPr>
              <w:spacing w:line="360" w:lineRule="auto"/>
              <w:rPr/>
            </w:pPr>
            <w:r w:rsidDel="00000000" w:rsidR="00000000" w:rsidRPr="00000000">
              <w:rPr>
                <w:rtl w:val="0"/>
              </w:rPr>
              <w:t xml:space="preserve">No saludable</w:t>
            </w:r>
          </w:p>
        </w:tc>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31">
            <w:pPr>
              <w:spacing w:line="360" w:lineRule="auto"/>
              <w:jc w:val="center"/>
              <w:rPr/>
            </w:pPr>
            <w:r w:rsidDel="00000000" w:rsidR="00000000" w:rsidRPr="00000000">
              <w:rPr>
                <w:rtl w:val="0"/>
              </w:rPr>
              <w:t xml:space="preserve">0</w:t>
            </w:r>
          </w:p>
        </w:tc>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32">
            <w:pPr>
              <w:spacing w:line="360" w:lineRule="auto"/>
              <w:jc w:val="center"/>
              <w:rPr/>
            </w:pPr>
            <w:r w:rsidDel="00000000" w:rsidR="00000000" w:rsidRPr="00000000">
              <w:rPr>
                <w:rtl w:val="0"/>
              </w:rPr>
              <w:t xml:space="preserve">0,00%</w:t>
            </w:r>
          </w:p>
        </w:tc>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33">
            <w:pPr>
              <w:spacing w:line="360" w:lineRule="auto"/>
              <w:jc w:val="center"/>
              <w:rPr/>
            </w:pPr>
            <w:r w:rsidDel="00000000" w:rsidR="00000000" w:rsidRPr="00000000">
              <w:rPr>
                <w:rtl w:val="0"/>
              </w:rPr>
              <w:t xml:space="preserve">0</w:t>
            </w:r>
          </w:p>
        </w:tc>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34">
            <w:pPr>
              <w:spacing w:line="360" w:lineRule="auto"/>
              <w:jc w:val="center"/>
              <w:rPr/>
            </w:pPr>
            <w:r w:rsidDel="00000000" w:rsidR="00000000" w:rsidRPr="00000000">
              <w:rPr>
                <w:rtl w:val="0"/>
              </w:rPr>
              <w:t xml:space="preserve">0,00%</w:t>
            </w:r>
          </w:p>
        </w:tc>
      </w:tr>
      <w:tr>
        <w:trPr>
          <w:cantSplit w:val="0"/>
          <w:trHeight w:val="360" w:hRule="atLeast"/>
          <w:tblHeader w:val="0"/>
        </w:trPr>
        <w:tc>
          <w:tcPr>
            <w:gridSpan w:val="8"/>
            <w:tcBorders>
              <w:top w:color="000000" w:space="0" w:sz="4" w:val="single"/>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135">
            <w:pPr>
              <w:spacing w:line="360" w:lineRule="auto"/>
              <w:rPr/>
            </w:pPr>
            <w:r w:rsidDel="00000000" w:rsidR="00000000" w:rsidRPr="00000000">
              <w:rPr>
                <w:rtl w:val="0"/>
              </w:rPr>
              <w:t xml:space="preserve">Nota: fi = frecuencia absoluta</w:t>
            </w:r>
          </w:p>
        </w:tc>
      </w:tr>
    </w:tbl>
    <w:p w:rsidR="00000000" w:rsidDel="00000000" w:rsidP="00000000" w:rsidRDefault="00000000" w:rsidRPr="00000000" w14:paraId="0000013D">
      <w:pPr>
        <w:widowControl w:val="0"/>
        <w:spacing w:after="200" w:line="360" w:lineRule="auto"/>
        <w:ind w:firstLine="720"/>
        <w:jc w:val="both"/>
        <w:rPr/>
      </w:pPr>
      <w:r w:rsidDel="00000000" w:rsidR="00000000" w:rsidRPr="00000000">
        <w:rPr>
          <w:rtl w:val="0"/>
        </w:rPr>
        <w:t xml:space="preserve">En la tabla 03, se observó que, el género femenino percibe un nivel más elevado de estrés, en comparación al masculino, puesto que, estas alcanzan un nivel alto con el 17%, mientras que, estos puntúan un 9,5% en la misma línea. No obstante, los hombres mantienen un nivel medio de estrés con el 77%, en contraste con las mujeres que, ocupan un 76,1% en la categoría antedicha. Por otro lado, el género femenino presentó hábitos alimenticios pocos saludables con el 94,3%, mientras que, el masculino alcanza un 87,8%; demostrando que, las mujeres se alimentan ínfimamente de forma saludable.</w:t>
      </w:r>
    </w:p>
    <w:p w:rsidR="00000000" w:rsidDel="00000000" w:rsidP="00000000" w:rsidRDefault="00000000" w:rsidRPr="00000000" w14:paraId="0000013E">
      <w:pPr>
        <w:spacing w:line="360" w:lineRule="auto"/>
        <w:ind w:left="0" w:firstLine="0"/>
        <w:jc w:val="both"/>
        <w:rPr/>
      </w:pPr>
      <w:r w:rsidDel="00000000" w:rsidR="00000000" w:rsidRPr="00000000">
        <w:rPr>
          <w:rtl w:val="0"/>
        </w:rPr>
      </w:r>
    </w:p>
    <w:p w:rsidR="00000000" w:rsidDel="00000000" w:rsidP="00000000" w:rsidRDefault="00000000" w:rsidRPr="00000000" w14:paraId="0000013F">
      <w:pPr>
        <w:spacing w:line="360" w:lineRule="auto"/>
        <w:ind w:left="0" w:firstLine="0"/>
        <w:jc w:val="both"/>
        <w:rPr/>
      </w:pPr>
      <w:r w:rsidDel="00000000" w:rsidR="00000000" w:rsidRPr="00000000">
        <w:rPr>
          <w:rtl w:val="0"/>
        </w:rPr>
      </w:r>
    </w:p>
    <w:p w:rsidR="00000000" w:rsidDel="00000000" w:rsidP="00000000" w:rsidRDefault="00000000" w:rsidRPr="00000000" w14:paraId="00000140">
      <w:pPr>
        <w:spacing w:line="360" w:lineRule="auto"/>
        <w:ind w:left="0" w:firstLine="0"/>
        <w:jc w:val="both"/>
        <w:rPr/>
      </w:pPr>
      <w:r w:rsidDel="00000000" w:rsidR="00000000" w:rsidRPr="00000000">
        <w:rPr>
          <w:rtl w:val="0"/>
        </w:rPr>
      </w:r>
    </w:p>
    <w:p w:rsidR="00000000" w:rsidDel="00000000" w:rsidP="00000000" w:rsidRDefault="00000000" w:rsidRPr="00000000" w14:paraId="00000141">
      <w:pPr>
        <w:spacing w:line="360" w:lineRule="auto"/>
        <w:ind w:left="0" w:firstLine="0"/>
        <w:jc w:val="both"/>
        <w:rPr/>
      </w:pPr>
      <w:r w:rsidDel="00000000" w:rsidR="00000000" w:rsidRPr="00000000">
        <w:rPr>
          <w:rtl w:val="0"/>
        </w:rPr>
      </w:r>
    </w:p>
    <w:p w:rsidR="00000000" w:rsidDel="00000000" w:rsidP="00000000" w:rsidRDefault="00000000" w:rsidRPr="00000000" w14:paraId="00000142">
      <w:pPr>
        <w:spacing w:line="360" w:lineRule="auto"/>
        <w:ind w:left="0" w:firstLine="0"/>
        <w:jc w:val="both"/>
        <w:rPr/>
      </w:pPr>
      <w:r w:rsidDel="00000000" w:rsidR="00000000" w:rsidRPr="00000000">
        <w:rPr>
          <w:rtl w:val="0"/>
        </w:rPr>
      </w:r>
    </w:p>
    <w:p w:rsidR="00000000" w:rsidDel="00000000" w:rsidP="00000000" w:rsidRDefault="00000000" w:rsidRPr="00000000" w14:paraId="00000143">
      <w:pPr>
        <w:spacing w:line="360" w:lineRule="auto"/>
        <w:ind w:left="0" w:firstLine="0"/>
        <w:jc w:val="both"/>
        <w:rPr/>
      </w:pPr>
      <w:r w:rsidDel="00000000" w:rsidR="00000000" w:rsidRPr="00000000">
        <w:rPr>
          <w:rtl w:val="0"/>
        </w:rPr>
      </w:r>
    </w:p>
    <w:p w:rsidR="00000000" w:rsidDel="00000000" w:rsidP="00000000" w:rsidRDefault="00000000" w:rsidRPr="00000000" w14:paraId="00000144">
      <w:pPr>
        <w:spacing w:line="360" w:lineRule="auto"/>
        <w:ind w:left="0" w:firstLine="0"/>
        <w:jc w:val="both"/>
        <w:rPr/>
      </w:pPr>
      <w:r w:rsidDel="00000000" w:rsidR="00000000" w:rsidRPr="00000000">
        <w:rPr>
          <w:rtl w:val="0"/>
        </w:rPr>
      </w:r>
    </w:p>
    <w:p w:rsidR="00000000" w:rsidDel="00000000" w:rsidP="00000000" w:rsidRDefault="00000000" w:rsidRPr="00000000" w14:paraId="00000145">
      <w:pPr>
        <w:spacing w:line="360" w:lineRule="auto"/>
        <w:ind w:left="0" w:firstLine="0"/>
        <w:jc w:val="both"/>
        <w:rPr/>
      </w:pPr>
      <w:r w:rsidDel="00000000" w:rsidR="00000000" w:rsidRPr="00000000">
        <w:rPr>
          <w:rtl w:val="0"/>
        </w:rPr>
      </w:r>
    </w:p>
    <w:sdt>
      <w:sdtPr>
        <w:lock w:val="contentLocked"/>
        <w:id w:val="-2106982685"/>
        <w:tag w:val="goog_rdk_2"/>
      </w:sdtPr>
      <w:sdtContent>
        <w:tbl>
          <w:tblPr>
            <w:tblStyle w:val="Table4"/>
            <w:tblW w:w="933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2535"/>
            <w:gridCol w:w="900"/>
            <w:gridCol w:w="900"/>
            <w:gridCol w:w="900"/>
            <w:gridCol w:w="900"/>
            <w:gridCol w:w="900"/>
            <w:gridCol w:w="900"/>
            <w:tblGridChange w:id="0">
              <w:tblGrid>
                <w:gridCol w:w="1395"/>
                <w:gridCol w:w="2535"/>
                <w:gridCol w:w="900"/>
                <w:gridCol w:w="900"/>
                <w:gridCol w:w="900"/>
                <w:gridCol w:w="900"/>
                <w:gridCol w:w="900"/>
                <w:gridCol w:w="900"/>
              </w:tblGrid>
            </w:tblGridChange>
          </w:tblGrid>
          <w:tr>
            <w:trPr>
              <w:cantSplit w:val="0"/>
              <w:trHeight w:val="400" w:hRule="atLeast"/>
              <w:tblHeader w:val="0"/>
            </w:trPr>
            <w:tc>
              <w:tcPr>
                <w:gridSpan w:val="8"/>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Tabla 4</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1"/>
                    <w:sz w:val="20"/>
                    <w:szCs w:val="20"/>
                  </w:rPr>
                </w:pPr>
                <w:r w:rsidDel="00000000" w:rsidR="00000000" w:rsidRPr="00000000">
                  <w:rPr>
                    <w:i w:val="1"/>
                    <w:sz w:val="20"/>
                    <w:szCs w:val="20"/>
                    <w:rtl w:val="0"/>
                  </w:rPr>
                  <w:t xml:space="preserve">Frecuencia de los niveles de Estrés Académico y Hábitos Alimenticios en relación al nivel Socioeconómico de los estudiantes universitarios.</w:t>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Alto</w:t>
                </w:r>
              </w:p>
            </w:tc>
            <w:tc>
              <w:tcPr>
                <w:gridSpan w:val="2"/>
                <w:tcBorders>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Medio</w:t>
                </w:r>
              </w:p>
            </w:tc>
            <w:tc>
              <w:tcPr>
                <w:gridSpan w:val="2"/>
                <w:tcBorders>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Bajo</w:t>
                </w:r>
              </w:p>
            </w:tc>
          </w:tr>
          <w:tr>
            <w:trPr>
              <w:cantSplit w:val="0"/>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fi</w:t>
                </w:r>
              </w:p>
            </w:tc>
            <w:tc>
              <w:tcPr>
                <w:tcBorders>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w:t>
                </w:r>
              </w:p>
            </w:tc>
            <w:tc>
              <w:tcPr>
                <w:tcBorders>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B">
                <w:pPr>
                  <w:widowControl w:val="0"/>
                  <w:spacing w:line="360" w:lineRule="auto"/>
                  <w:jc w:val="center"/>
                  <w:rPr>
                    <w:sz w:val="20"/>
                    <w:szCs w:val="20"/>
                  </w:rPr>
                </w:pPr>
                <w:r w:rsidDel="00000000" w:rsidR="00000000" w:rsidRPr="00000000">
                  <w:rPr>
                    <w:sz w:val="20"/>
                    <w:szCs w:val="20"/>
                    <w:rtl w:val="0"/>
                  </w:rPr>
                  <w:t xml:space="preserve">fi</w:t>
                </w:r>
              </w:p>
            </w:tc>
            <w:tc>
              <w:tcPr>
                <w:tcBorders>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C">
                <w:pPr>
                  <w:widowControl w:val="0"/>
                  <w:spacing w:line="360" w:lineRule="auto"/>
                  <w:jc w:val="center"/>
                  <w:rPr>
                    <w:sz w:val="20"/>
                    <w:szCs w:val="20"/>
                  </w:rPr>
                </w:pPr>
                <w:r w:rsidDel="00000000" w:rsidR="00000000" w:rsidRPr="00000000">
                  <w:rPr>
                    <w:sz w:val="20"/>
                    <w:szCs w:val="20"/>
                    <w:rtl w:val="0"/>
                  </w:rPr>
                  <w:t xml:space="preserve">%</w:t>
                </w:r>
              </w:p>
            </w:tc>
            <w:tc>
              <w:tcPr>
                <w:tcBorders>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D">
                <w:pPr>
                  <w:widowControl w:val="0"/>
                  <w:spacing w:line="360" w:lineRule="auto"/>
                  <w:jc w:val="center"/>
                  <w:rPr>
                    <w:sz w:val="20"/>
                    <w:szCs w:val="20"/>
                  </w:rPr>
                </w:pPr>
                <w:r w:rsidDel="00000000" w:rsidR="00000000" w:rsidRPr="00000000">
                  <w:rPr>
                    <w:sz w:val="20"/>
                    <w:szCs w:val="20"/>
                    <w:rtl w:val="0"/>
                  </w:rPr>
                  <w:t xml:space="preserve">fi</w:t>
                </w:r>
              </w:p>
            </w:tc>
            <w:tc>
              <w:tcPr>
                <w:tcBorders>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E">
                <w:pPr>
                  <w:widowControl w:val="0"/>
                  <w:spacing w:line="360" w:lineRule="auto"/>
                  <w:jc w:val="center"/>
                  <w:rPr>
                    <w:sz w:val="20"/>
                    <w:szCs w:val="20"/>
                  </w:rPr>
                </w:pPr>
                <w:r w:rsidDel="00000000" w:rsidR="00000000" w:rsidRPr="00000000">
                  <w:rPr>
                    <w:sz w:val="20"/>
                    <w:szCs w:val="20"/>
                    <w:rtl w:val="0"/>
                  </w:rPr>
                  <w:t xml:space="preserve">%</w:t>
                </w:r>
              </w:p>
            </w:tc>
          </w:tr>
          <w:tr>
            <w:trPr>
              <w:cantSplit w:val="0"/>
              <w:trHeight w:val="400" w:hRule="atLeast"/>
              <w:tblHeader w:val="0"/>
            </w:trPr>
            <w:tc>
              <w:tcPr>
                <w:vMerge w:val="restart"/>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Estrés académico</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Alto</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1</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6,30%</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16</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13,70%</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5</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17,20%</w:t>
                </w:r>
              </w:p>
            </w:tc>
          </w:tr>
          <w:tr>
            <w:trPr>
              <w:cantSplit w:val="0"/>
              <w:trHeight w:val="4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Medio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62,50%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76,90%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24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82,80%</w:t>
                </w:r>
              </w:p>
            </w:tc>
          </w:tr>
          <w:tr>
            <w:trPr>
              <w:cantSplit w:val="0"/>
              <w:trHeight w:val="424.98046875" w:hRule="atLeast"/>
              <w:tblHeader w:val="0"/>
            </w:trPr>
            <w:tc>
              <w:tcPr>
                <w:vMerge w:val="continue"/>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Bajo</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5</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31,30%</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11</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9,40%</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0,00%</w:t>
                </w:r>
              </w:p>
            </w:tc>
          </w:tr>
          <w:tr>
            <w:trPr>
              <w:cantSplit w:val="0"/>
              <w:trHeight w:val="400" w:hRule="atLeast"/>
              <w:tblHeader w:val="0"/>
            </w:trPr>
            <w:tc>
              <w:tcPr>
                <w:vMerge w:val="restart"/>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Hábitos Alimenticios</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Saludable</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1</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6,30%</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11</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9,40%</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2</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6,90%</w:t>
                </w:r>
              </w:p>
            </w:tc>
          </w:tr>
          <w:tr>
            <w:trPr>
              <w:cantSplit w:val="0"/>
              <w:trHeight w:val="4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Poco saludable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93,80%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106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90,60%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27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93,10%</w:t>
                </w:r>
              </w:p>
            </w:tc>
          </w:tr>
          <w:tr>
            <w:trPr>
              <w:cantSplit w:val="0"/>
              <w:trHeight w:val="400" w:hRule="atLeast"/>
              <w:tblHeader w:val="0"/>
            </w:trPr>
            <w:tc>
              <w:tcPr>
                <w:vMerge w:val="continue"/>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No saludable</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9">
                <w:pPr>
                  <w:widowControl w:val="0"/>
                  <w:spacing w:line="360" w:lineRule="auto"/>
                  <w:jc w:val="center"/>
                  <w:rPr>
                    <w:sz w:val="20"/>
                    <w:szCs w:val="20"/>
                  </w:rPr>
                </w:pPr>
                <w:r w:rsidDel="00000000" w:rsidR="00000000" w:rsidRPr="00000000">
                  <w:rPr>
                    <w:sz w:val="20"/>
                    <w:szCs w:val="20"/>
                    <w:rtl w:val="0"/>
                  </w:rPr>
                  <w:t xml:space="preserve">0</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A">
                <w:pPr>
                  <w:widowControl w:val="0"/>
                  <w:spacing w:line="360" w:lineRule="auto"/>
                  <w:jc w:val="center"/>
                  <w:rPr>
                    <w:sz w:val="20"/>
                    <w:szCs w:val="20"/>
                  </w:rPr>
                </w:pPr>
                <w:r w:rsidDel="00000000" w:rsidR="00000000" w:rsidRPr="00000000">
                  <w:rPr>
                    <w:sz w:val="20"/>
                    <w:szCs w:val="20"/>
                    <w:rtl w:val="0"/>
                  </w:rPr>
                  <w:t xml:space="preserve">0,00%</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B">
                <w:pPr>
                  <w:widowControl w:val="0"/>
                  <w:spacing w:line="360" w:lineRule="auto"/>
                  <w:jc w:val="center"/>
                  <w:rPr>
                    <w:sz w:val="20"/>
                    <w:szCs w:val="20"/>
                  </w:rPr>
                </w:pPr>
                <w:r w:rsidDel="00000000" w:rsidR="00000000" w:rsidRPr="00000000">
                  <w:rPr>
                    <w:sz w:val="20"/>
                    <w:szCs w:val="20"/>
                    <w:rtl w:val="0"/>
                  </w:rPr>
                  <w:t xml:space="preserve">0</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C">
                <w:pPr>
                  <w:widowControl w:val="0"/>
                  <w:spacing w:line="360" w:lineRule="auto"/>
                  <w:jc w:val="center"/>
                  <w:rPr>
                    <w:sz w:val="20"/>
                    <w:szCs w:val="20"/>
                  </w:rPr>
                </w:pPr>
                <w:r w:rsidDel="00000000" w:rsidR="00000000" w:rsidRPr="00000000">
                  <w:rPr>
                    <w:sz w:val="20"/>
                    <w:szCs w:val="20"/>
                    <w:rtl w:val="0"/>
                  </w:rPr>
                  <w:t xml:space="preserve">0,00%</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D">
                <w:pPr>
                  <w:widowControl w:val="0"/>
                  <w:spacing w:line="360" w:lineRule="auto"/>
                  <w:jc w:val="center"/>
                  <w:rPr>
                    <w:sz w:val="20"/>
                    <w:szCs w:val="20"/>
                  </w:rPr>
                </w:pPr>
                <w:r w:rsidDel="00000000" w:rsidR="00000000" w:rsidRPr="00000000">
                  <w:rPr>
                    <w:sz w:val="20"/>
                    <w:szCs w:val="20"/>
                    <w:rtl w:val="0"/>
                  </w:rPr>
                  <w:t xml:space="preserve">0</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E">
                <w:pPr>
                  <w:widowControl w:val="0"/>
                  <w:spacing w:line="360" w:lineRule="auto"/>
                  <w:jc w:val="center"/>
                  <w:rPr>
                    <w:sz w:val="20"/>
                    <w:szCs w:val="20"/>
                  </w:rPr>
                </w:pPr>
                <w:r w:rsidDel="00000000" w:rsidR="00000000" w:rsidRPr="00000000">
                  <w:rPr>
                    <w:sz w:val="20"/>
                    <w:szCs w:val="20"/>
                    <w:rtl w:val="0"/>
                  </w:rPr>
                  <w:t xml:space="preserve">0,00%</w:t>
                </w:r>
              </w:p>
            </w:tc>
          </w:tr>
          <w:tr>
            <w:trPr>
              <w:cantSplit w:val="0"/>
              <w:trHeight w:val="400" w:hRule="atLeast"/>
              <w:tblHeader w:val="0"/>
            </w:trPr>
            <w:tc>
              <w:tcPr>
                <w:gridSpan w:val="8"/>
                <w:tcBorders>
                  <w:top w:color="000000" w:space="0" w:sz="4" w:val="single"/>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18F">
                <w:pPr>
                  <w:spacing w:line="360" w:lineRule="auto"/>
                  <w:rPr>
                    <w:sz w:val="20"/>
                    <w:szCs w:val="20"/>
                  </w:rPr>
                </w:pPr>
                <w:r w:rsidDel="00000000" w:rsidR="00000000" w:rsidRPr="00000000">
                  <w:rPr>
                    <w:sz w:val="20"/>
                    <w:szCs w:val="20"/>
                    <w:rtl w:val="0"/>
                  </w:rPr>
                  <w:t xml:space="preserve">Nota: fi = frecuencia absoluta</w:t>
                </w:r>
              </w:p>
            </w:tc>
          </w:tr>
        </w:tbl>
      </w:sdtContent>
    </w:sdt>
    <w:p w:rsidR="00000000" w:rsidDel="00000000" w:rsidP="00000000" w:rsidRDefault="00000000" w:rsidRPr="00000000" w14:paraId="00000197">
      <w:pPr>
        <w:spacing w:line="360" w:lineRule="auto"/>
        <w:ind w:firstLine="708"/>
        <w:jc w:val="both"/>
        <w:rPr/>
      </w:pPr>
      <w:r w:rsidDel="00000000" w:rsidR="00000000" w:rsidRPr="00000000">
        <w:rPr>
          <w:rtl w:val="0"/>
        </w:rPr>
        <w:t xml:space="preserve">En la tabla 04, se denotó que, aquellos estudiantes que manifiestan un nivel socioeconómico alto, presentan un estrés medio y hábitos alimenticios poco saludables, representando un 62,5% y 93,8%, respectivamente. Asimismo, los estudiantes con un nivel socioeconómico medio, mantienen un nivel de estrés medio, y hábitos alimenticios pocos saludables, reflejando un 76,9% y 90,6%, respectivamente. Por último, aquellos que, se encuentran en un nivel socioeconómico bajo, manifiestan un nivel de estrés medio, y hábitos poco saludables, con un 82,8% y 93,1%.</w:t>
      </w:r>
    </w:p>
    <w:p w:rsidR="00000000" w:rsidDel="00000000" w:rsidP="00000000" w:rsidRDefault="00000000" w:rsidRPr="00000000" w14:paraId="00000198">
      <w:pPr>
        <w:spacing w:line="360" w:lineRule="auto"/>
        <w:ind w:left="0" w:firstLine="0"/>
        <w:jc w:val="both"/>
        <w:rPr/>
      </w:pPr>
      <w:r w:rsidDel="00000000" w:rsidR="00000000" w:rsidRPr="00000000">
        <w:rPr>
          <w:rtl w:val="0"/>
        </w:rPr>
      </w:r>
    </w:p>
    <w:p w:rsidR="00000000" w:rsidDel="00000000" w:rsidP="00000000" w:rsidRDefault="00000000" w:rsidRPr="00000000" w14:paraId="00000199">
      <w:pPr>
        <w:spacing w:line="360" w:lineRule="auto"/>
        <w:ind w:left="0" w:firstLine="0"/>
        <w:jc w:val="both"/>
        <w:rPr/>
      </w:pPr>
      <w:r w:rsidDel="00000000" w:rsidR="00000000" w:rsidRPr="00000000">
        <w:rPr>
          <w:rtl w:val="0"/>
        </w:rPr>
      </w:r>
    </w:p>
    <w:p w:rsidR="00000000" w:rsidDel="00000000" w:rsidP="00000000" w:rsidRDefault="00000000" w:rsidRPr="00000000" w14:paraId="0000019A">
      <w:pPr>
        <w:spacing w:line="360" w:lineRule="auto"/>
        <w:ind w:left="0" w:firstLine="0"/>
        <w:jc w:val="both"/>
        <w:rPr/>
      </w:pPr>
      <w:r w:rsidDel="00000000" w:rsidR="00000000" w:rsidRPr="00000000">
        <w:rPr>
          <w:rtl w:val="0"/>
        </w:rPr>
      </w:r>
    </w:p>
    <w:p w:rsidR="00000000" w:rsidDel="00000000" w:rsidP="00000000" w:rsidRDefault="00000000" w:rsidRPr="00000000" w14:paraId="0000019B">
      <w:pPr>
        <w:spacing w:line="360" w:lineRule="auto"/>
        <w:ind w:left="0" w:firstLine="0"/>
        <w:jc w:val="both"/>
        <w:rPr/>
      </w:pPr>
      <w:r w:rsidDel="00000000" w:rsidR="00000000" w:rsidRPr="00000000">
        <w:rPr>
          <w:rtl w:val="0"/>
        </w:rPr>
      </w:r>
    </w:p>
    <w:p w:rsidR="00000000" w:rsidDel="00000000" w:rsidP="00000000" w:rsidRDefault="00000000" w:rsidRPr="00000000" w14:paraId="0000019C">
      <w:pPr>
        <w:spacing w:line="360" w:lineRule="auto"/>
        <w:ind w:left="0" w:firstLine="0"/>
        <w:jc w:val="both"/>
        <w:rPr/>
      </w:pPr>
      <w:r w:rsidDel="00000000" w:rsidR="00000000" w:rsidRPr="00000000">
        <w:rPr>
          <w:rtl w:val="0"/>
        </w:rPr>
      </w:r>
    </w:p>
    <w:p w:rsidR="00000000" w:rsidDel="00000000" w:rsidP="00000000" w:rsidRDefault="00000000" w:rsidRPr="00000000" w14:paraId="0000019D">
      <w:pPr>
        <w:spacing w:line="360" w:lineRule="auto"/>
        <w:ind w:left="0" w:firstLine="0"/>
        <w:jc w:val="both"/>
        <w:rPr/>
      </w:pPr>
      <w:r w:rsidDel="00000000" w:rsidR="00000000" w:rsidRPr="00000000">
        <w:rPr>
          <w:rtl w:val="0"/>
        </w:rPr>
      </w:r>
    </w:p>
    <w:p w:rsidR="00000000" w:rsidDel="00000000" w:rsidP="00000000" w:rsidRDefault="00000000" w:rsidRPr="00000000" w14:paraId="0000019E">
      <w:pPr>
        <w:spacing w:line="360" w:lineRule="auto"/>
        <w:ind w:left="0" w:firstLine="0"/>
        <w:jc w:val="both"/>
        <w:rPr/>
      </w:pPr>
      <w:r w:rsidDel="00000000" w:rsidR="00000000" w:rsidRPr="00000000">
        <w:rPr>
          <w:rtl w:val="0"/>
        </w:rPr>
      </w:r>
    </w:p>
    <w:p w:rsidR="00000000" w:rsidDel="00000000" w:rsidP="00000000" w:rsidRDefault="00000000" w:rsidRPr="00000000" w14:paraId="0000019F">
      <w:pPr>
        <w:spacing w:line="360" w:lineRule="auto"/>
        <w:ind w:left="0" w:firstLine="0"/>
        <w:jc w:val="both"/>
        <w:rPr/>
      </w:pPr>
      <w:r w:rsidDel="00000000" w:rsidR="00000000" w:rsidRPr="00000000">
        <w:rPr>
          <w:rtl w:val="0"/>
        </w:rPr>
      </w:r>
    </w:p>
    <w:p w:rsidR="00000000" w:rsidDel="00000000" w:rsidP="00000000" w:rsidRDefault="00000000" w:rsidRPr="00000000" w14:paraId="000001A0">
      <w:pPr>
        <w:spacing w:line="360" w:lineRule="auto"/>
        <w:ind w:left="0" w:firstLine="0"/>
        <w:jc w:val="both"/>
        <w:rPr/>
      </w:pPr>
      <w:r w:rsidDel="00000000" w:rsidR="00000000" w:rsidRPr="00000000">
        <w:rPr>
          <w:rtl w:val="0"/>
        </w:rPr>
      </w:r>
    </w:p>
    <w:p w:rsidR="00000000" w:rsidDel="00000000" w:rsidP="00000000" w:rsidRDefault="00000000" w:rsidRPr="00000000" w14:paraId="000001A1">
      <w:pPr>
        <w:spacing w:line="360" w:lineRule="auto"/>
        <w:ind w:left="0" w:firstLine="0"/>
        <w:jc w:val="both"/>
        <w:rPr/>
      </w:pPr>
      <w:r w:rsidDel="00000000" w:rsidR="00000000" w:rsidRPr="00000000">
        <w:rPr>
          <w:rtl w:val="0"/>
        </w:rPr>
      </w:r>
    </w:p>
    <w:p w:rsidR="00000000" w:rsidDel="00000000" w:rsidP="00000000" w:rsidRDefault="00000000" w:rsidRPr="00000000" w14:paraId="000001A2">
      <w:pPr>
        <w:spacing w:line="360" w:lineRule="auto"/>
        <w:ind w:left="0" w:firstLine="0"/>
        <w:jc w:val="both"/>
        <w:rPr/>
      </w:pPr>
      <w:r w:rsidDel="00000000" w:rsidR="00000000" w:rsidRPr="00000000">
        <w:rPr>
          <w:rtl w:val="0"/>
        </w:rPr>
      </w:r>
    </w:p>
    <w:sdt>
      <w:sdtPr>
        <w:lock w:val="contentLocked"/>
        <w:id w:val="330047106"/>
        <w:tag w:val="goog_rdk_3"/>
      </w:sdtPr>
      <w:sdtContent>
        <w:tbl>
          <w:tblPr>
            <w:tblStyle w:val="Table5"/>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2115"/>
            <w:gridCol w:w="1830"/>
            <w:gridCol w:w="1755"/>
            <w:tblGridChange w:id="0">
              <w:tblGrid>
                <w:gridCol w:w="1800"/>
                <w:gridCol w:w="1800"/>
                <w:gridCol w:w="2115"/>
                <w:gridCol w:w="1830"/>
                <w:gridCol w:w="1755"/>
              </w:tblGrid>
            </w:tblGridChange>
          </w:tblGrid>
          <w:tr>
            <w:trPr>
              <w:cantSplit w:val="0"/>
              <w:trHeight w:val="400" w:hRule="atLeast"/>
              <w:tblHeader w:val="0"/>
            </w:trPr>
            <w:tc>
              <w:tcPr>
                <w:gridSpan w:val="5"/>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Tabla 5</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1"/>
                    <w:sz w:val="20"/>
                    <w:szCs w:val="20"/>
                  </w:rPr>
                </w:pPr>
                <w:r w:rsidDel="00000000" w:rsidR="00000000" w:rsidRPr="00000000">
                  <w:rPr>
                    <w:i w:val="1"/>
                    <w:sz w:val="20"/>
                    <w:szCs w:val="20"/>
                    <w:rtl w:val="0"/>
                  </w:rPr>
                  <w:t xml:space="preserve">Relación de estrés académico y hábitos alimenticios en estudiantes universitarios.</w:t>
                </w:r>
              </w:p>
            </w:tc>
          </w:tr>
          <w:tr>
            <w:trPr>
              <w:cantSplit w:val="0"/>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Estrés académico</w:t>
                </w:r>
              </w:p>
            </w:tc>
            <w:tc>
              <w:tcPr>
                <w:tcBorders>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Hábitos alimenticios</w:t>
                </w:r>
              </w:p>
            </w:tc>
          </w:tr>
          <w:tr>
            <w:trPr>
              <w:cantSplit w:val="0"/>
              <w:trHeight w:val="440" w:hRule="atLeast"/>
              <w:tblHeader w:val="0"/>
            </w:trPr>
            <w:tc>
              <w:tcPr>
                <w:vMerge w:val="restart"/>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Rho de Spearman</w:t>
                </w:r>
              </w:p>
            </w:tc>
            <w:tc>
              <w:tcPr>
                <w:vMerge w:val="restart"/>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Estrés académico</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Coeficiente de correlación</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1</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-,196*</w:t>
                </w:r>
              </w:p>
            </w:tc>
          </w:tr>
          <w:tr>
            <w:trPr>
              <w:cantSplit w:val="0"/>
              <w:trHeight w:val="44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Sig. (bilateral)</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0,013</w:t>
                </w:r>
              </w:p>
            </w:tc>
          </w:tr>
          <w:tr>
            <w:trPr>
              <w:cantSplit w:val="0"/>
              <w:trHeight w:val="44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tc>
            <w:tc>
              <w:tcPr>
                <w:vMerge w:val="continue"/>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N</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161</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161</w:t>
                </w:r>
              </w:p>
            </w:tc>
          </w:tr>
          <w:tr>
            <w:trPr>
              <w:cantSplit w:val="0"/>
              <w:trHeight w:val="44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tc>
            <w:tc>
              <w:tcPr>
                <w:vMerge w:val="restart"/>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Hábitos alimenticios</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F">
                <w:pPr>
                  <w:widowControl w:val="0"/>
                  <w:spacing w:line="360" w:lineRule="auto"/>
                  <w:rPr>
                    <w:sz w:val="20"/>
                    <w:szCs w:val="20"/>
                  </w:rPr>
                </w:pPr>
                <w:r w:rsidDel="00000000" w:rsidR="00000000" w:rsidRPr="00000000">
                  <w:rPr>
                    <w:sz w:val="20"/>
                    <w:szCs w:val="20"/>
                    <w:rtl w:val="0"/>
                  </w:rPr>
                  <w:t xml:space="preserve">Coeficiente de correlación</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0">
                <w:pPr>
                  <w:widowControl w:val="0"/>
                  <w:spacing w:line="360" w:lineRule="auto"/>
                  <w:jc w:val="center"/>
                  <w:rPr>
                    <w:sz w:val="20"/>
                    <w:szCs w:val="20"/>
                  </w:rPr>
                </w:pPr>
                <w:r w:rsidDel="00000000" w:rsidR="00000000" w:rsidRPr="00000000">
                  <w:rPr>
                    <w:sz w:val="20"/>
                    <w:szCs w:val="20"/>
                    <w:rtl w:val="0"/>
                  </w:rPr>
                  <w:t xml:space="preserve">-,196*</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1">
                <w:pPr>
                  <w:widowControl w:val="0"/>
                  <w:spacing w:line="360" w:lineRule="auto"/>
                  <w:jc w:val="center"/>
                  <w:rPr>
                    <w:sz w:val="20"/>
                    <w:szCs w:val="20"/>
                  </w:rPr>
                </w:pPr>
                <w:r w:rsidDel="00000000" w:rsidR="00000000" w:rsidRPr="00000000">
                  <w:rPr>
                    <w:sz w:val="20"/>
                    <w:szCs w:val="20"/>
                    <w:rtl w:val="0"/>
                  </w:rPr>
                  <w:t xml:space="preserve">1</w:t>
                </w:r>
              </w:p>
            </w:tc>
          </w:tr>
          <w:tr>
            <w:trPr>
              <w:cantSplit w:val="0"/>
              <w:trHeight w:val="44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4">
                <w:pPr>
                  <w:widowControl w:val="0"/>
                  <w:spacing w:line="360" w:lineRule="auto"/>
                  <w:rPr>
                    <w:sz w:val="20"/>
                    <w:szCs w:val="20"/>
                  </w:rPr>
                </w:pPr>
                <w:r w:rsidDel="00000000" w:rsidR="00000000" w:rsidRPr="00000000">
                  <w:rPr>
                    <w:sz w:val="20"/>
                    <w:szCs w:val="20"/>
                    <w:rtl w:val="0"/>
                  </w:rPr>
                  <w:t xml:space="preserve">Sig. (bilateral)</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5">
                <w:pPr>
                  <w:widowControl w:val="0"/>
                  <w:spacing w:line="360" w:lineRule="auto"/>
                  <w:jc w:val="center"/>
                  <w:rPr>
                    <w:sz w:val="20"/>
                    <w:szCs w:val="20"/>
                  </w:rPr>
                </w:pPr>
                <w:r w:rsidDel="00000000" w:rsidR="00000000" w:rsidRPr="00000000">
                  <w:rPr>
                    <w:sz w:val="20"/>
                    <w:szCs w:val="20"/>
                    <w:rtl w:val="0"/>
                  </w:rPr>
                  <w:t xml:space="preserve">0,013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6">
                <w:pPr>
                  <w:widowControl w:val="0"/>
                  <w:spacing w:line="360" w:lineRule="auto"/>
                  <w:jc w:val="center"/>
                  <w:rPr>
                    <w:sz w:val="20"/>
                    <w:szCs w:val="20"/>
                  </w:rPr>
                </w:pPr>
                <w:r w:rsidDel="00000000" w:rsidR="00000000" w:rsidRPr="00000000">
                  <w:rPr>
                    <w:sz w:val="20"/>
                    <w:szCs w:val="20"/>
                    <w:rtl w:val="0"/>
                  </w:rPr>
                  <w:t xml:space="preserve">.</w:t>
                </w:r>
              </w:p>
            </w:tc>
          </w:tr>
          <w:tr>
            <w:trPr>
              <w:cantSplit w:val="0"/>
              <w:trHeight w:val="440" w:hRule="atLeast"/>
              <w:tblHeader w:val="0"/>
            </w:trPr>
            <w:tc>
              <w:tcPr>
                <w:vMerge w:val="continue"/>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tc>
            <w:tc>
              <w:tcPr>
                <w:vMerge w:val="continue"/>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9">
                <w:pPr>
                  <w:widowControl w:val="0"/>
                  <w:spacing w:line="360" w:lineRule="auto"/>
                  <w:rPr>
                    <w:sz w:val="20"/>
                    <w:szCs w:val="20"/>
                  </w:rPr>
                </w:pPr>
                <w:r w:rsidDel="00000000" w:rsidR="00000000" w:rsidRPr="00000000">
                  <w:rPr>
                    <w:sz w:val="20"/>
                    <w:szCs w:val="20"/>
                    <w:rtl w:val="0"/>
                  </w:rPr>
                  <w:t xml:space="preserve">N</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A">
                <w:pPr>
                  <w:widowControl w:val="0"/>
                  <w:spacing w:line="360" w:lineRule="auto"/>
                  <w:jc w:val="center"/>
                  <w:rPr>
                    <w:sz w:val="20"/>
                    <w:szCs w:val="20"/>
                  </w:rPr>
                </w:pPr>
                <w:r w:rsidDel="00000000" w:rsidR="00000000" w:rsidRPr="00000000">
                  <w:rPr>
                    <w:sz w:val="20"/>
                    <w:szCs w:val="20"/>
                    <w:rtl w:val="0"/>
                  </w:rPr>
                  <w:t xml:space="preserve">161</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B">
                <w:pPr>
                  <w:widowControl w:val="0"/>
                  <w:spacing w:line="360" w:lineRule="auto"/>
                  <w:jc w:val="center"/>
                  <w:rPr>
                    <w:sz w:val="20"/>
                    <w:szCs w:val="20"/>
                  </w:rPr>
                </w:pPr>
                <w:r w:rsidDel="00000000" w:rsidR="00000000" w:rsidRPr="00000000">
                  <w:rPr>
                    <w:sz w:val="20"/>
                    <w:szCs w:val="20"/>
                    <w:rtl w:val="0"/>
                  </w:rPr>
                  <w:t xml:space="preserve">161</w:t>
                </w:r>
              </w:p>
            </w:tc>
          </w:tr>
          <w:tr>
            <w:trPr>
              <w:cantSplit w:val="0"/>
              <w:trHeight w:val="440" w:hRule="atLeast"/>
              <w:tblHeader w:val="0"/>
            </w:trPr>
            <w:tc>
              <w:tcPr>
                <w:gridSpan w:val="5"/>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Nota: * La correlación es significativa en el nivel 0,05 (bilateral).</w:t>
                </w:r>
              </w:p>
            </w:tc>
          </w:tr>
        </w:tbl>
      </w:sdtContent>
    </w:sdt>
    <w:p w:rsidR="00000000" w:rsidDel="00000000" w:rsidP="00000000" w:rsidRDefault="00000000" w:rsidRPr="00000000" w14:paraId="000001D1">
      <w:pPr>
        <w:spacing w:line="360" w:lineRule="auto"/>
        <w:ind w:firstLine="708"/>
        <w:jc w:val="both"/>
        <w:rPr/>
      </w:pPr>
      <w:r w:rsidDel="00000000" w:rsidR="00000000" w:rsidRPr="00000000">
        <w:rPr>
          <w:rtl w:val="0"/>
        </w:rPr>
        <w:t xml:space="preserve">Al 5% de significancia, se pudo afirmar que sí existe relación entre las variables de estrés académico y hábitos alimenticios. Así mismo, mediante el coeficiente de correlación se puede determinar que la relación entre estas, es débil negativa e inversa.</w:t>
      </w:r>
      <w:r w:rsidDel="00000000" w:rsidR="00000000" w:rsidRPr="00000000">
        <w:rPr>
          <w:rtl w:val="0"/>
        </w:rPr>
      </w:r>
    </w:p>
    <w:p w:rsidR="00000000" w:rsidDel="00000000" w:rsidP="00000000" w:rsidRDefault="00000000" w:rsidRPr="00000000" w14:paraId="000001D2">
      <w:pPr>
        <w:spacing w:line="360" w:lineRule="auto"/>
        <w:ind w:firstLine="708"/>
        <w:jc w:val="both"/>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Discusión</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En la presente investigación, el primer objetivo específico planteado, fue determinar el nivel y dimensión más frecuente de estrés en los estudiantes universitarios de Derecho; esto con base en las investigaciones realizadas por Fernández et al. (2022), donde destacan que, el estrés se propicia en niveles elevados en estudiantes universitarios, afectando negativamente su desarrollo en diversas áreas. Por tanto, de acuerdo con los resultados obtenidos, y el análisis de la información recolectada, se evidenció que, los discentes de dicha índole, manifiestan un nivel medio referente a la variable de estrés académico, donde la dimensión con mayor alcance, es la de estresores; debido a que, estos estímulos provocan un desequilibrio en el ambiente que se desenvuelven, otorgándole síntomas que alteran su tranquilidad percibida inicialmente, en la que, los estudiantes se esfuerzan por contrarrestar el desbalance presentado, mediante técnicas o métodos exhaustivos. Ahora bien, dichos resultados coinciden con los datos obtenidos por Peñarrieta et al. (2025), donde destacaron que, el estrés académico es un factor con alta repercusión y asiduidad en la aparición de afecciones a la salud mental de dichos estudiantes, encontrando niveles de alta prevalencia en esta población. Cabe recalcar que, ambas investigaciones comparten un enfoque metodológico de tipo descriptivo y además se utilizaron estudiantes de la carrera de derecho, lo cual permite establecer un punto de comparación directo y fortalecer la validez de los hallazgos en contextos similares. No obstante, realzaron las demandas académicas como aquella dimensión principal que, acrecienta el estrés de forma continua respecto a las formas evaluativas y tareas excesivas.</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Por consiguiente, en el segundo objetivo específico, se estableció el reconocer los hábitos alimenticios y las dimensiones que conllevan a los educandos a estas conductas; puesto que, según la investigación realizada por Sandoval y Torres (2018), precisan que, el consumo de alimentos altos en grasa y el desbalance alimentario que existe en los hábitos de alimentación de estudiantes universitarios, son ocasionados por periodos donde fluctúan mayores índices de estrés. En ese sentido, en relación a los resultados encontrados, se halló que, los estudiantes de la carrera de Derecho, mantienen hábitos alimenticios poco saludables, donde evidencian conductas alimentarias inapropiadas y un consumo de alimentos desproporcionado, propiciando desbalances nutritivos en los educandos, siendo motivados por el estrés causado en ellos. Al respecto, dichos resultados guardan congruencia con los datos consignados por Martín et al. (2024), en la cual, denotaron que, los hábitos alimentarios se muestran alterados por un gran índice de estrés, donde las dimensiones que, prevalecen dichos comportamientos, se deben al consumo de comida rápida y dulces, y conductas como el saltarse las comidas y el snacking, donde se realzan los alimentos envasados, el evadir el desayuno y otras comidas, al igual que, la alimentación producida por snacks pocos saludables que, se ven influenciados por el factor de estrés en altos niveles. Ambos estudios coinciden también en su diseño metodológico, al ser investigaciones de tipo transversal, de nivel descriptivo, con una población conformada por estudiantes universitarios. Este consumo de alimentos poco saludables está vinculado al estrés académico, ya que los estudiantes recurren a opciones rápidas y con bajo valor nutricional por la falta de tiempo, el cansancio mental y la necesidad de gratificación inmediata ante exigencias académicas constantes.</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Por otra parte, en el tercer objetivo específico, se postuló delimitar la población de género que tenga mayor predominancia de estrés académico e inadecuados hábitos alimenticios, debido a que, según el estudio efectuado por Cruz (2024), menciona que, especialmente en mujeres, el estrés afecta negativamente los hábitos alimenticios y el rendimiento académico, viéndose involucrados la mala alimentación y el deterioro de la salud física y mental, destacando la obesidad y la diabetes como problemas frecuentes en ellas. Es así que, de acuerdo a los resultados obtenidos, se evidenció que, el género femenino percibe un nivel más elevado de estrés, en comparación al masculino, y en simultáneo, mantienen hábitos alimenticios pocos saludables, demostrando que, las mujeres se alimentan ínfimamente de forma saludable. Ante ello, dichos datos obtenidos, coinciden con los resultados conseguidos por González et al. (2024), donde denotaron que, las mujeres que sufren estrés, tienden a llevar una alimentación desequilibrada, siendo más prevalente en quienes presentan edades entre 21 y 43 años, dado que, son más vulnerables debido a responsabilidades familiares o económicas en el contexto en el que se desarrollan. Ambos estudios coinciden, puesto que, tienen características sociodemográficas comunes, así mismo, son de tipo descriptivo y diseño transversal, enfocadas en población universitaria, y en ambos casos se utilizó el inventario SISCO para medir el nivel de estrés académico, lo cual fortalece la validez comparativa de los resultados obtenidos. Se observa que las mujeres presentan niveles más altos de estrés y hábitos alimenticios menos saludables, debido a una carga emocional y social adicional, como responsabilidades familiares y presiones sociales, que se suman a las exigencias académicas.</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Por otro lado, en el último objetivo específico, se planteó determinar el nivel socioeconómico de los estudiantes que presentan mayor estrés académico y hábitos alimenticios poco saludables; con base en el estudio ejecutado por Gellisch et al. (2024), en donde señalan que, los educandos que tienden a mantener un nivel elevado de estrés académico, al igual que, hábitos alimenticios inapropiados, se presentan con mayor frecuencia en estudiantes de un nivel socioeconómico bajo, de modo que, se ven influenciados por la presión financiera y los escasos recursos económicos que los preceden. Por tal razón, de acuerdo a los resultados obtenidos en esta investigación, se demuestra que, aquellos estudiantes que manifiestan un nivel socioeconómico alto, presentan un estrés medio y hábitos alimenticios poco saludables, representando un 62,5% y 93,8%, respectivamente. Así pues, estos resultados, son congruentes con los datos obtenidos por Alzahrani et al. (2020), en la cual, evidencian que, los educandos con un bajo nivel socioeconómico, manifiestan hábitos alimenticios menos saludables, dándose mediante el consumo de alimentos poco nutritivos y una ínfima ingesta de este tipo de alimentos. Asimismo, los exiguos recursos económicos y la educación nutricional deficiente, son factores que influyen en la repetición de estas conductas inadecuadas. A su vez, tienden a presentar índices elevados de estrés en diversos contextos, siendo más propensos a mantener síntomas relacionados a la preocupación y frustración constante. Además, ambos comparten un diseño metodológico de tipo transversal y se desarrollaron en contextos universitarios, lo que permite establecer una base comparativa sólida respecto a la influencia del nivel socioeconómico en el estrés académico y los hábitos alimenticios de los estudiantes. Se observa que, tanto estudiantes de nivel socioeconómico bajo como alto presentan hábitos alimenticios poco saludables, aunque por razones distintas, los estudiantes de nivel bajo lo hacen por falta de recursos y educación nutricional, mientras que los de nivel alto, pese a contar con medios, también presentan estrés y alimentación inadecuada posiblemente por malos hábitos adquiridos o estilo de vida desorganizado.</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Finalmente, el presente estudio, tuvo como objetivo general, determinar la relación entre el nivel de estrés académico y los hábitos alimenticios de los estudiantes universitarios de derecho; esto con base en la investigación realizada por Rahal et al. (2023), en donde mencionan que, el estrés académico se encuentra relacionado a los hábitos alimenticios, puesto que, los discentes que se ven expuestos ante altos niveles de estrés, recurren a alimentos poco saludables como un método de afrontamiento. Por ello, de acuerdo a los resultados obtenidos y el análisis de los datos logrados, se afirmó que, sí existe relación entre las variables de estrés académico y hábitos alimenticios, no obstante, evidencian que, la relación entre estas, es débil negativa e inversa. Al respecto, autores como Ramírez et al. (2023), destacan que, existe un vínculo entre los hábitos alimentarios y el estrés en el contexto académico, denotando que, persisten dichas conductas inadecuadas producto de índices exacerbados de estrés. Por último, se relaciona con los aportes de Flores y Maravi (2020), donde demuestran que, no existe un nexo estadísticamente significativo entre las variables, sin embargo, mantienen una relación entre los factores estresantes y las conductas de consumo inapropiadas, afectando en su desarrollo saludable a nivel psicológico y fisiológico. Estos estudios coinciden con la presente investigación por su diseño metodológico,  puesto que tiene resultados cuantitativos, es no experimental, descriptiva, de corte transversal y  correlacional. Así mismo se observa que esta relación débil negativa entre estrés académico y hábitos alimenticios sugiere que, aunque no se establece un vínculo fuerte, sí existe una tendencia en la cual a mayor estrés, se adoptan comportamientos alimentarios menos saludables, reflejando un patrón de afrontamiento emocional disfuncional ante la sobrecarga académica.</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Es así que, todos los objetivos propuestos, se relacionaron con las investigaciones realizadas con anterioridad, </w:t>
      </w:r>
      <w:r w:rsidDel="00000000" w:rsidR="00000000" w:rsidRPr="00000000">
        <w:rPr>
          <w:rtl w:val="0"/>
        </w:rPr>
        <w:t xml:space="preserve">realzando</w:t>
      </w:r>
      <w:r w:rsidDel="00000000" w:rsidR="00000000" w:rsidRPr="00000000">
        <w:rPr>
          <w:rtl w:val="0"/>
        </w:rPr>
        <w:t xml:space="preserve"> y respaldando los resultados obtenidos en la presente investigación; de modo que, presentan un vínculo entre ambas variables estudiadas.</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Referencias</w:t>
      </w:r>
    </w:p>
    <w:p w:rsidR="00000000" w:rsidDel="00000000" w:rsidP="00000000" w:rsidRDefault="00000000" w:rsidRPr="00000000" w14:paraId="000001DC">
      <w:pPr>
        <w:pageBreakBefore w:val="0"/>
        <w:spacing w:line="360" w:lineRule="auto"/>
        <w:ind w:left="720" w:hanging="720"/>
        <w:jc w:val="both"/>
        <w:rPr/>
      </w:pPr>
      <w:r w:rsidDel="00000000" w:rsidR="00000000" w:rsidRPr="00000000">
        <w:rPr>
          <w:rtl w:val="0"/>
        </w:rPr>
        <w:t xml:space="preserve">Alcala, K., &amp; Balvin, B. (2024). </w:t>
      </w:r>
      <w:r w:rsidDel="00000000" w:rsidR="00000000" w:rsidRPr="00000000">
        <w:rPr>
          <w:i w:val="1"/>
          <w:rtl w:val="0"/>
        </w:rPr>
        <w:t xml:space="preserve">Hábitos alimentarios y estado nutricional según índice de masa corporal en adolescentes de un colegio público de Chupaca, Huancayo - 2024. </w:t>
      </w:r>
      <w:r w:rsidDel="00000000" w:rsidR="00000000" w:rsidRPr="00000000">
        <w:rPr>
          <w:rtl w:val="0"/>
        </w:rPr>
        <w:t xml:space="preserve">[Tesis de licenciatura, Universidad Peruana Los Andes]. Repositorio Institucional de la Universidad Peruana Los Andes. </w:t>
      </w:r>
      <w:hyperlink r:id="rId9">
        <w:r w:rsidDel="00000000" w:rsidR="00000000" w:rsidRPr="00000000">
          <w:rPr>
            <w:color w:val="1155cc"/>
            <w:u w:val="single"/>
            <w:rtl w:val="0"/>
          </w:rPr>
          <w:t xml:space="preserve">https://repositorio.upla.edu.pe/bitstream/handle/20.500.12848/8972/T037_47181602_70306162_T.pdf?sequence=1&amp;isAllowed=y</w:t>
        </w:r>
      </w:hyperlink>
      <w:r w:rsidDel="00000000" w:rsidR="00000000" w:rsidRPr="00000000">
        <w:rPr>
          <w:rtl w:val="0"/>
        </w:rPr>
      </w:r>
    </w:p>
    <w:p w:rsidR="00000000" w:rsidDel="00000000" w:rsidP="00000000" w:rsidRDefault="00000000" w:rsidRPr="00000000" w14:paraId="000001DD">
      <w:pPr>
        <w:pageBreakBefore w:val="0"/>
        <w:spacing w:line="360" w:lineRule="auto"/>
        <w:ind w:left="720" w:hanging="720"/>
        <w:jc w:val="both"/>
        <w:rPr/>
      </w:pPr>
      <w:r w:rsidDel="00000000" w:rsidR="00000000" w:rsidRPr="00000000">
        <w:rPr>
          <w:rtl w:val="0"/>
        </w:rPr>
        <w:t xml:space="preserve">Alzahrani S, Saeedi A, Baamer M, Shalabi A, &amp; Alzahrani A. (2020) Hábitos alimenticios entre los estudiantes de medicina de la Universidad Rey Abdulaziz, Jeddah, Arabia Saudita. </w:t>
      </w:r>
      <w:r w:rsidDel="00000000" w:rsidR="00000000" w:rsidRPr="00000000">
        <w:rPr>
          <w:i w:val="1"/>
          <w:rtl w:val="0"/>
        </w:rPr>
        <w:t xml:space="preserve">International Journal of General Medicine, 13</w:t>
      </w:r>
      <w:r w:rsidDel="00000000" w:rsidR="00000000" w:rsidRPr="00000000">
        <w:rPr>
          <w:rtl w:val="0"/>
        </w:rPr>
        <w:t xml:space="preserve">, 77-88 </w:t>
      </w:r>
      <w:hyperlink r:id="rId10">
        <w:r w:rsidDel="00000000" w:rsidR="00000000" w:rsidRPr="00000000">
          <w:rPr>
            <w:color w:val="1155cc"/>
            <w:u w:val="single"/>
            <w:rtl w:val="0"/>
          </w:rPr>
          <w:t xml:space="preserve">https://doi.org/10.2147/IJGM.S246296</w:t>
        </w:r>
      </w:hyperlink>
      <w:r w:rsidDel="00000000" w:rsidR="00000000" w:rsidRPr="00000000">
        <w:rPr>
          <w:rtl w:val="0"/>
        </w:rPr>
      </w:r>
    </w:p>
    <w:p w:rsidR="00000000" w:rsidDel="00000000" w:rsidP="00000000" w:rsidRDefault="00000000" w:rsidRPr="00000000" w14:paraId="000001DE">
      <w:pPr>
        <w:pageBreakBefore w:val="0"/>
        <w:spacing w:line="360" w:lineRule="auto"/>
        <w:ind w:left="720" w:hanging="720"/>
        <w:jc w:val="both"/>
        <w:rPr/>
      </w:pPr>
      <w:r w:rsidDel="00000000" w:rsidR="00000000" w:rsidRPr="00000000">
        <w:rPr>
          <w:rtl w:val="0"/>
        </w:rPr>
        <w:t xml:space="preserve">Arias, J. &amp; Covinos, M. (2021). </w:t>
      </w:r>
      <w:r w:rsidDel="00000000" w:rsidR="00000000" w:rsidRPr="00000000">
        <w:rPr>
          <w:i w:val="1"/>
          <w:rtl w:val="0"/>
        </w:rPr>
        <w:t xml:space="preserve">Diseño y metodología de la investigación.</w:t>
      </w:r>
      <w:r w:rsidDel="00000000" w:rsidR="00000000" w:rsidRPr="00000000">
        <w:rPr>
          <w:rtl w:val="0"/>
        </w:rPr>
        <w:t xml:space="preserve"> Enfoques Consulting EIRL. </w:t>
      </w:r>
      <w:hyperlink r:id="rId11">
        <w:r w:rsidDel="00000000" w:rsidR="00000000" w:rsidRPr="00000000">
          <w:rPr>
            <w:color w:val="1155cc"/>
            <w:u w:val="single"/>
            <w:rtl w:val="0"/>
          </w:rPr>
          <w:t xml:space="preserve">https://dev2-repositorio.concytec.gob.pe/entities/publication/8f0f281c-5531-410e-94dd-efb7c82c6a57</w:t>
        </w:r>
      </w:hyperlink>
      <w:r w:rsidDel="00000000" w:rsidR="00000000" w:rsidRPr="00000000">
        <w:rPr>
          <w:rtl w:val="0"/>
        </w:rPr>
      </w:r>
    </w:p>
    <w:p w:rsidR="00000000" w:rsidDel="00000000" w:rsidP="00000000" w:rsidRDefault="00000000" w:rsidRPr="00000000" w14:paraId="000001DF">
      <w:pPr>
        <w:pageBreakBefore w:val="0"/>
        <w:spacing w:line="360" w:lineRule="auto"/>
        <w:ind w:left="720" w:hanging="720"/>
        <w:jc w:val="both"/>
        <w:rPr/>
      </w:pPr>
      <w:r w:rsidDel="00000000" w:rsidR="00000000" w:rsidRPr="00000000">
        <w:rPr>
          <w:rtl w:val="0"/>
        </w:rPr>
        <w:t xml:space="preserve">Arispe, C., Yangali, J., Guerrero, M., Lozada, O., Acuña, L. &amp; Arellano, C. (2020). </w:t>
      </w:r>
      <w:r w:rsidDel="00000000" w:rsidR="00000000" w:rsidRPr="00000000">
        <w:rPr>
          <w:i w:val="1"/>
          <w:rtl w:val="0"/>
        </w:rPr>
        <w:t xml:space="preserve">La investigación científica. Una aproximación para los estudios de posgrado.</w:t>
      </w:r>
      <w:r w:rsidDel="00000000" w:rsidR="00000000" w:rsidRPr="00000000">
        <w:rPr>
          <w:rtl w:val="0"/>
        </w:rPr>
        <w:t xml:space="preserve"> Universidad Internacional del Ecuador. </w:t>
      </w:r>
      <w:hyperlink r:id="rId12">
        <w:r w:rsidDel="00000000" w:rsidR="00000000" w:rsidRPr="00000000">
          <w:rPr>
            <w:color w:val="1155cc"/>
            <w:u w:val="single"/>
            <w:rtl w:val="0"/>
          </w:rPr>
          <w:t xml:space="preserve">https://repositorio.uide.edu.ec/handle/37000/4310</w:t>
        </w:r>
      </w:hyperlink>
      <w:r w:rsidDel="00000000" w:rsidR="00000000" w:rsidRPr="00000000">
        <w:rPr>
          <w:rtl w:val="0"/>
        </w:rPr>
      </w:r>
    </w:p>
    <w:p w:rsidR="00000000" w:rsidDel="00000000" w:rsidP="00000000" w:rsidRDefault="00000000" w:rsidRPr="00000000" w14:paraId="000001E0">
      <w:pPr>
        <w:pageBreakBefore w:val="0"/>
        <w:spacing w:line="360" w:lineRule="auto"/>
        <w:ind w:left="720" w:hanging="720"/>
        <w:jc w:val="both"/>
        <w:rPr/>
      </w:pPr>
      <w:r w:rsidDel="00000000" w:rsidR="00000000" w:rsidRPr="00000000">
        <w:rPr>
          <w:rtl w:val="0"/>
        </w:rPr>
        <w:t xml:space="preserve">Arrué, L. (2021). </w:t>
      </w:r>
      <w:r w:rsidDel="00000000" w:rsidR="00000000" w:rsidRPr="00000000">
        <w:rPr>
          <w:i w:val="1"/>
          <w:rtl w:val="0"/>
        </w:rPr>
        <w:t xml:space="preserve">Estrés académico y hábitos alimenticios en estudiantes de una universidad privada de Chiclayo. 2020-2021</w:t>
      </w:r>
      <w:r w:rsidDel="00000000" w:rsidR="00000000" w:rsidRPr="00000000">
        <w:rPr>
          <w:rtl w:val="0"/>
        </w:rPr>
        <w:t xml:space="preserve"> [Tesis de Licenciatura, Universidad Señor de Sipán]. Repositorio Institucional de la Universidad Señor de Sipán. </w:t>
      </w:r>
      <w:hyperlink r:id="rId13">
        <w:r w:rsidDel="00000000" w:rsidR="00000000" w:rsidRPr="00000000">
          <w:rPr>
            <w:color w:val="1155cc"/>
            <w:u w:val="single"/>
            <w:rtl w:val="0"/>
          </w:rPr>
          <w:t xml:space="preserve">https://repositorio.uss.edu.pe/handle/20.500.12802/9533?show=full</w:t>
        </w:r>
      </w:hyperlink>
      <w:r w:rsidDel="00000000" w:rsidR="00000000" w:rsidRPr="00000000">
        <w:rPr>
          <w:rtl w:val="0"/>
        </w:rPr>
      </w:r>
    </w:p>
    <w:p w:rsidR="00000000" w:rsidDel="00000000" w:rsidP="00000000" w:rsidRDefault="00000000" w:rsidRPr="00000000" w14:paraId="000001E1">
      <w:pPr>
        <w:pageBreakBefore w:val="0"/>
        <w:spacing w:line="360" w:lineRule="auto"/>
        <w:ind w:left="720" w:hanging="720"/>
        <w:jc w:val="both"/>
        <w:rPr/>
      </w:pPr>
      <w:r w:rsidDel="00000000" w:rsidR="00000000" w:rsidRPr="00000000">
        <w:rPr>
          <w:rtl w:val="0"/>
        </w:rPr>
        <w:t xml:space="preserve">Arpi, E., Geronimo, A., Huertas, G., Torres, N. y Guerrero, J. (2024). Estrés académico en la conducta de salud en estudiantes universitarios de Lima Metropolitana. </w:t>
      </w:r>
      <w:r w:rsidDel="00000000" w:rsidR="00000000" w:rsidRPr="00000000">
        <w:rPr>
          <w:i w:val="1"/>
          <w:rtl w:val="0"/>
        </w:rPr>
        <w:t xml:space="preserve">Revista San Gregorio, 1</w:t>
      </w:r>
      <w:r w:rsidDel="00000000" w:rsidR="00000000" w:rsidRPr="00000000">
        <w:rPr>
          <w:rtl w:val="0"/>
        </w:rPr>
        <w:t xml:space="preserve">(58), 78-86. </w:t>
      </w:r>
      <w:hyperlink r:id="rId14">
        <w:r w:rsidDel="00000000" w:rsidR="00000000" w:rsidRPr="00000000">
          <w:rPr>
            <w:color w:val="1155cc"/>
            <w:u w:val="single"/>
            <w:rtl w:val="0"/>
          </w:rPr>
          <w:t xml:space="preserve">http://dx.doi.org/10.36097/rsan.v1i58.2508</w:t>
        </w:r>
      </w:hyperlink>
      <w:r w:rsidDel="00000000" w:rsidR="00000000" w:rsidRPr="00000000">
        <w:rPr>
          <w:rtl w:val="0"/>
        </w:rPr>
      </w:r>
    </w:p>
    <w:p w:rsidR="00000000" w:rsidDel="00000000" w:rsidP="00000000" w:rsidRDefault="00000000" w:rsidRPr="00000000" w14:paraId="000001E2">
      <w:pPr>
        <w:pageBreakBefore w:val="0"/>
        <w:spacing w:line="360" w:lineRule="auto"/>
        <w:ind w:left="720" w:hanging="720"/>
        <w:jc w:val="both"/>
        <w:rPr/>
      </w:pPr>
      <w:r w:rsidDel="00000000" w:rsidR="00000000" w:rsidRPr="00000000">
        <w:rPr>
          <w:rtl w:val="0"/>
        </w:rPr>
        <w:t xml:space="preserve">Avalos, B., Salazar, L., Matveev, V., &amp; Miranda, F. (2020). Comercialización, consumo y valor nutricional de la comida rápida, en los estudiantes universitarios, caso: carrera de agroindustria de la facultad de ciencias pecuarias/Marketing, consumption and nutritional value of rapid food, in university students. </w:t>
      </w:r>
      <w:r w:rsidDel="00000000" w:rsidR="00000000" w:rsidRPr="00000000">
        <w:rPr>
          <w:i w:val="1"/>
          <w:rtl w:val="0"/>
        </w:rPr>
        <w:t xml:space="preserve">KnE Engineering, 5</w:t>
      </w:r>
      <w:r w:rsidDel="00000000" w:rsidR="00000000" w:rsidRPr="00000000">
        <w:rPr>
          <w:rtl w:val="0"/>
        </w:rPr>
        <w:t xml:space="preserve">(2),</w:t>
      </w:r>
      <w:r w:rsidDel="00000000" w:rsidR="00000000" w:rsidRPr="00000000">
        <w:rPr>
          <w:rtl w:val="0"/>
        </w:rPr>
        <w:t xml:space="preserve"> 94-106. </w:t>
      </w:r>
      <w:hyperlink r:id="rId15">
        <w:r w:rsidDel="00000000" w:rsidR="00000000" w:rsidRPr="00000000">
          <w:rPr>
            <w:color w:val="1155cc"/>
            <w:u w:val="single"/>
            <w:rtl w:val="0"/>
          </w:rPr>
          <w:t xml:space="preserve">https://doi.org/10.18502/keg.v5i2.6225</w:t>
        </w:r>
      </w:hyperlink>
      <w:r w:rsidDel="00000000" w:rsidR="00000000" w:rsidRPr="00000000">
        <w:rPr>
          <w:rtl w:val="0"/>
        </w:rPr>
        <w:t xml:space="preserve"> </w:t>
      </w:r>
    </w:p>
    <w:p w:rsidR="00000000" w:rsidDel="00000000" w:rsidP="00000000" w:rsidRDefault="00000000" w:rsidRPr="00000000" w14:paraId="000001E3">
      <w:pPr>
        <w:pageBreakBefore w:val="0"/>
        <w:spacing w:line="360" w:lineRule="auto"/>
        <w:ind w:left="720" w:hanging="720"/>
        <w:jc w:val="both"/>
        <w:rPr/>
      </w:pPr>
      <w:r w:rsidDel="00000000" w:rsidR="00000000" w:rsidRPr="00000000">
        <w:rPr>
          <w:rtl w:val="0"/>
        </w:rPr>
        <w:t xml:space="preserve">Barraza, A. (2018). INVENTARIO SISCO SV-21. </w:t>
      </w:r>
      <w:r w:rsidDel="00000000" w:rsidR="00000000" w:rsidRPr="00000000">
        <w:rPr>
          <w:i w:val="1"/>
          <w:rtl w:val="0"/>
        </w:rPr>
        <w:t xml:space="preserve">Inventario SIStémico COgnoscitivista para el estudio del estrés académico. Segunda versión de 21 ítems.</w:t>
      </w:r>
      <w:r w:rsidDel="00000000" w:rsidR="00000000" w:rsidRPr="00000000">
        <w:rPr>
          <w:rtl w:val="0"/>
        </w:rPr>
        <w:t xml:space="preserve"> México: ECORFAN. </w:t>
      </w:r>
      <w:hyperlink r:id="rId16">
        <w:r w:rsidDel="00000000" w:rsidR="00000000" w:rsidRPr="00000000">
          <w:rPr>
            <w:color w:val="1155cc"/>
            <w:u w:val="single"/>
            <w:rtl w:val="0"/>
          </w:rPr>
          <w:t xml:space="preserve">http://www.ecorfan.org/libros/Inventario_SISCO_SV-21/Inventario_sist%C3%A9mico_cognoscitivista_para_el_estudio_del_estr%C3%A9s.pdf</w:t>
        </w:r>
      </w:hyperlink>
      <w:r w:rsidDel="00000000" w:rsidR="00000000" w:rsidRPr="00000000">
        <w:rPr>
          <w:rtl w:val="0"/>
        </w:rPr>
      </w:r>
    </w:p>
    <w:p w:rsidR="00000000" w:rsidDel="00000000" w:rsidP="00000000" w:rsidRDefault="00000000" w:rsidRPr="00000000" w14:paraId="000001E4">
      <w:pPr>
        <w:pageBreakBefore w:val="0"/>
        <w:spacing w:line="360" w:lineRule="auto"/>
        <w:ind w:left="720" w:hanging="720"/>
        <w:jc w:val="both"/>
        <w:rPr/>
      </w:pPr>
      <w:r w:rsidDel="00000000" w:rsidR="00000000" w:rsidRPr="00000000">
        <w:rPr>
          <w:rtl w:val="0"/>
        </w:rPr>
        <w:t xml:space="preserve">Bautista, L. &amp; Florián, J. (2021). </w:t>
      </w:r>
      <w:r w:rsidDel="00000000" w:rsidR="00000000" w:rsidRPr="00000000">
        <w:rPr>
          <w:i w:val="1"/>
          <w:rtl w:val="0"/>
        </w:rPr>
        <w:t xml:space="preserve">Relación de actividad física y hábitos alimentarios con el estrés académico en pandemia por COVID-19.</w:t>
      </w:r>
      <w:r w:rsidDel="00000000" w:rsidR="00000000" w:rsidRPr="00000000">
        <w:rPr>
          <w:rtl w:val="0"/>
        </w:rPr>
        <w:t xml:space="preserve"> [Tesis de Licenciatura, Universidad Nacional de Trujillo]. Repositorio Institucional de la Universidad Nacional de Trujillo. </w:t>
      </w:r>
      <w:hyperlink r:id="rId17">
        <w:r w:rsidDel="00000000" w:rsidR="00000000" w:rsidRPr="00000000">
          <w:rPr>
            <w:color w:val="1155cc"/>
            <w:u w:val="single"/>
            <w:rtl w:val="0"/>
          </w:rPr>
          <w:t xml:space="preserve">https://dspace.unitru.edu.pe/server/api/core/bitstreams/cd912f39-561e-45fd-83ff-13169abe0c95/content</w:t>
        </w:r>
      </w:hyperlink>
      <w:r w:rsidDel="00000000" w:rsidR="00000000" w:rsidRPr="00000000">
        <w:rPr>
          <w:rtl w:val="0"/>
        </w:rPr>
      </w:r>
    </w:p>
    <w:p w:rsidR="00000000" w:rsidDel="00000000" w:rsidP="00000000" w:rsidRDefault="00000000" w:rsidRPr="00000000" w14:paraId="000001E5">
      <w:pPr>
        <w:pageBreakBefore w:val="0"/>
        <w:spacing w:line="360" w:lineRule="auto"/>
        <w:ind w:left="720" w:hanging="720"/>
        <w:jc w:val="both"/>
        <w:rPr/>
      </w:pPr>
      <w:r w:rsidDel="00000000" w:rsidR="00000000" w:rsidRPr="00000000">
        <w:rPr>
          <w:rtl w:val="0"/>
        </w:rPr>
        <w:t xml:space="preserve">Bronfenbrenner, U. (1987). </w:t>
      </w:r>
      <w:r w:rsidDel="00000000" w:rsidR="00000000" w:rsidRPr="00000000">
        <w:rPr>
          <w:i w:val="1"/>
          <w:rtl w:val="0"/>
        </w:rPr>
        <w:t xml:space="preserve">La Ecología del Desarrollo Humano.</w:t>
      </w:r>
      <w:r w:rsidDel="00000000" w:rsidR="00000000" w:rsidRPr="00000000">
        <w:rPr>
          <w:rtl w:val="0"/>
        </w:rPr>
        <w:t xml:space="preserve"> Paidós Ibérica. </w:t>
      </w:r>
      <w:hyperlink r:id="rId18">
        <w:r w:rsidDel="00000000" w:rsidR="00000000" w:rsidRPr="00000000">
          <w:rPr>
            <w:color w:val="1155cc"/>
            <w:u w:val="single"/>
            <w:rtl w:val="0"/>
          </w:rPr>
          <w:t xml:space="preserve">https://bibliotecadigital.mineduc.cl/handle/20.500.12365/18032</w:t>
        </w:r>
      </w:hyperlink>
      <w:r w:rsidDel="00000000" w:rsidR="00000000" w:rsidRPr="00000000">
        <w:rPr>
          <w:rtl w:val="0"/>
        </w:rPr>
      </w:r>
    </w:p>
    <w:p w:rsidR="00000000" w:rsidDel="00000000" w:rsidP="00000000" w:rsidRDefault="00000000" w:rsidRPr="00000000" w14:paraId="000001E6">
      <w:pPr>
        <w:pageBreakBefore w:val="0"/>
        <w:spacing w:line="360" w:lineRule="auto"/>
        <w:ind w:left="720" w:hanging="720"/>
        <w:jc w:val="both"/>
        <w:rPr/>
      </w:pPr>
      <w:r w:rsidDel="00000000" w:rsidR="00000000" w:rsidRPr="00000000">
        <w:rPr>
          <w:rtl w:val="0"/>
        </w:rPr>
        <w:t xml:space="preserve">Camacho C., &amp; Barraza Macías, A. (2020). </w:t>
      </w:r>
      <w:r w:rsidDel="00000000" w:rsidR="00000000" w:rsidRPr="00000000">
        <w:rPr>
          <w:i w:val="1"/>
          <w:rtl w:val="0"/>
        </w:rPr>
        <w:t xml:space="preserve">Validación del Inventario SISCO SV-21 en estudiantes universitarios españoles.</w:t>
      </w:r>
      <w:r w:rsidDel="00000000" w:rsidR="00000000" w:rsidRPr="00000000">
        <w:rPr>
          <w:rtl w:val="0"/>
        </w:rPr>
        <w:t xml:space="preserve"> Centro de Estudios Clínica e Investigación Psicoanalítica SC. </w:t>
      </w:r>
      <w:hyperlink r:id="rId19">
        <w:r w:rsidDel="00000000" w:rsidR="00000000" w:rsidRPr="00000000">
          <w:rPr>
            <w:color w:val="1155cc"/>
            <w:u w:val="single"/>
            <w:rtl w:val="0"/>
          </w:rPr>
          <w:t xml:space="preserve">http://www.upd.edu.mx/PDF/Libros/SISCO.pdf</w:t>
        </w:r>
      </w:hyperlink>
      <w:r w:rsidDel="00000000" w:rsidR="00000000" w:rsidRPr="00000000">
        <w:rPr>
          <w:rtl w:val="0"/>
        </w:rPr>
        <w:t xml:space="preserve"> </w:t>
      </w:r>
    </w:p>
    <w:p w:rsidR="00000000" w:rsidDel="00000000" w:rsidP="00000000" w:rsidRDefault="00000000" w:rsidRPr="00000000" w14:paraId="000001E7">
      <w:pPr>
        <w:pageBreakBefore w:val="0"/>
        <w:spacing w:line="360" w:lineRule="auto"/>
        <w:ind w:left="720" w:hanging="720"/>
        <w:jc w:val="both"/>
        <w:rPr/>
      </w:pPr>
      <w:r w:rsidDel="00000000" w:rsidR="00000000" w:rsidRPr="00000000">
        <w:rPr>
          <w:rtl w:val="0"/>
        </w:rPr>
        <w:t xml:space="preserve">Cassaretto, M., Vilela, P., &amp; Gamarra, L. (2021). Estrés académico en universitarios peruanos: importancia de las conductas de salud, características sociodemográficas y académicas.</w:t>
      </w:r>
      <w:r w:rsidDel="00000000" w:rsidR="00000000" w:rsidRPr="00000000">
        <w:rPr>
          <w:i w:val="1"/>
          <w:rtl w:val="0"/>
        </w:rPr>
        <w:t xml:space="preserve"> Liberabit, 27</w:t>
      </w:r>
      <w:r w:rsidDel="00000000" w:rsidR="00000000" w:rsidRPr="00000000">
        <w:rPr>
          <w:rtl w:val="0"/>
        </w:rPr>
        <w:t xml:space="preserve">(2), 1-18. </w:t>
      </w:r>
      <w:hyperlink r:id="rId20">
        <w:r w:rsidDel="00000000" w:rsidR="00000000" w:rsidRPr="00000000">
          <w:rPr>
            <w:color w:val="1155cc"/>
            <w:u w:val="single"/>
            <w:rtl w:val="0"/>
          </w:rPr>
          <w:t xml:space="preserve">https://doi.org/10.24265/liberabit.2021.v27n2.07</w:t>
        </w:r>
      </w:hyperlink>
      <w:r w:rsidDel="00000000" w:rsidR="00000000" w:rsidRPr="00000000">
        <w:rPr>
          <w:rtl w:val="0"/>
        </w:rPr>
      </w:r>
    </w:p>
    <w:p w:rsidR="00000000" w:rsidDel="00000000" w:rsidP="00000000" w:rsidRDefault="00000000" w:rsidRPr="00000000" w14:paraId="000001E8">
      <w:pPr>
        <w:pageBreakBefore w:val="0"/>
        <w:spacing w:line="360" w:lineRule="auto"/>
        <w:ind w:left="720" w:hanging="720"/>
        <w:jc w:val="both"/>
        <w:rPr/>
      </w:pPr>
      <w:r w:rsidDel="00000000" w:rsidR="00000000" w:rsidRPr="00000000">
        <w:rPr>
          <w:rtl w:val="0"/>
        </w:rPr>
        <w:t xml:space="preserve">Castillo, J., Guzmán, A., Bustos, C., Zavala, W., &amp; Vicente, B. (2020). Propiedades Psicométricas del Inventario SISCO-II de Estrés Académico. </w:t>
      </w:r>
      <w:r w:rsidDel="00000000" w:rsidR="00000000" w:rsidRPr="00000000">
        <w:rPr>
          <w:i w:val="1"/>
          <w:rtl w:val="0"/>
        </w:rPr>
        <w:t xml:space="preserve">Revista Iberoamericana de Diagnóstico y Evaluación, 3</w:t>
      </w:r>
      <w:r w:rsidDel="00000000" w:rsidR="00000000" w:rsidRPr="00000000">
        <w:rPr>
          <w:rtl w:val="0"/>
        </w:rPr>
        <w:t xml:space="preserve">(56), 101-116. </w:t>
      </w:r>
      <w:hyperlink r:id="rId21">
        <w:r w:rsidDel="00000000" w:rsidR="00000000" w:rsidRPr="00000000">
          <w:rPr>
            <w:color w:val="1155cc"/>
            <w:u w:val="single"/>
            <w:rtl w:val="0"/>
          </w:rPr>
          <w:t xml:space="preserve">https://doi.org/10.21865/RIDEP56.3.08</w:t>
        </w:r>
      </w:hyperlink>
      <w:r w:rsidDel="00000000" w:rsidR="00000000" w:rsidRPr="00000000">
        <w:rPr>
          <w:rtl w:val="0"/>
        </w:rPr>
      </w:r>
    </w:p>
    <w:p w:rsidR="00000000" w:rsidDel="00000000" w:rsidP="00000000" w:rsidRDefault="00000000" w:rsidRPr="00000000" w14:paraId="000001E9">
      <w:pPr>
        <w:pageBreakBefore w:val="0"/>
        <w:spacing w:line="360" w:lineRule="auto"/>
        <w:ind w:left="720" w:hanging="720"/>
        <w:jc w:val="both"/>
        <w:rPr/>
      </w:pPr>
      <w:r w:rsidDel="00000000" w:rsidR="00000000" w:rsidRPr="00000000">
        <w:rPr>
          <w:rtl w:val="0"/>
        </w:rPr>
        <w:t xml:space="preserve">Cayllahua, Y. (2020). </w:t>
      </w:r>
      <w:r w:rsidDel="00000000" w:rsidR="00000000" w:rsidRPr="00000000">
        <w:rPr>
          <w:i w:val="1"/>
          <w:rtl w:val="0"/>
        </w:rPr>
        <w:t xml:space="preserve">Estrés académico en estudiantes universitarios: una aproximación teórica.</w:t>
      </w:r>
      <w:r w:rsidDel="00000000" w:rsidR="00000000" w:rsidRPr="00000000">
        <w:rPr>
          <w:rtl w:val="0"/>
        </w:rPr>
        <w:t xml:space="preserve"> [Tesis de Bachillerato, Universidad San Martín de Porres] Repositorio Institucional de la Universidad San Martín de Porres. </w:t>
      </w:r>
      <w:hyperlink r:id="rId22">
        <w:r w:rsidDel="00000000" w:rsidR="00000000" w:rsidRPr="00000000">
          <w:rPr>
            <w:color w:val="1155cc"/>
            <w:u w:val="single"/>
            <w:rtl w:val="0"/>
          </w:rPr>
          <w:t xml:space="preserve">https://repositorio.usmp.edu.pe/bitstream/handle/20.500.12727/8660/CAYLLAHUA_QN.pdf?sequence=1</w:t>
        </w:r>
      </w:hyperlink>
      <w:r w:rsidDel="00000000" w:rsidR="00000000" w:rsidRPr="00000000">
        <w:rPr>
          <w:rtl w:val="0"/>
        </w:rPr>
      </w:r>
    </w:p>
    <w:p w:rsidR="00000000" w:rsidDel="00000000" w:rsidP="00000000" w:rsidRDefault="00000000" w:rsidRPr="00000000" w14:paraId="000001EA">
      <w:pPr>
        <w:pageBreakBefore w:val="0"/>
        <w:spacing w:line="360" w:lineRule="auto"/>
        <w:ind w:left="720" w:hanging="720"/>
        <w:jc w:val="both"/>
        <w:rPr/>
      </w:pPr>
      <w:r w:rsidDel="00000000" w:rsidR="00000000" w:rsidRPr="00000000">
        <w:rPr>
          <w:rtl w:val="0"/>
        </w:rPr>
        <w:t xml:space="preserve">Chavez J., &amp; Peralta R. (2019). Estrés académico y autoestima en estudiantes de enfermería, Arequipa-Perú. </w:t>
      </w:r>
      <w:r w:rsidDel="00000000" w:rsidR="00000000" w:rsidRPr="00000000">
        <w:rPr>
          <w:i w:val="1"/>
          <w:rtl w:val="0"/>
        </w:rPr>
        <w:t xml:space="preserve">Revista de ciencias sociales, 25</w:t>
      </w:r>
      <w:r w:rsidDel="00000000" w:rsidR="00000000" w:rsidRPr="00000000">
        <w:rPr>
          <w:rtl w:val="0"/>
        </w:rPr>
        <w:t xml:space="preserve">(1), 384-399. </w:t>
      </w:r>
      <w:hyperlink r:id="rId23">
        <w:r w:rsidDel="00000000" w:rsidR="00000000" w:rsidRPr="00000000">
          <w:rPr>
            <w:color w:val="1155cc"/>
            <w:u w:val="single"/>
            <w:rtl w:val="0"/>
          </w:rPr>
          <w:t xml:space="preserve">https://dialnet.unirioja.es/servlet/articulo?codigo=7113737</w:t>
        </w:r>
      </w:hyperlink>
      <w:r w:rsidDel="00000000" w:rsidR="00000000" w:rsidRPr="00000000">
        <w:rPr>
          <w:rtl w:val="0"/>
        </w:rPr>
      </w:r>
    </w:p>
    <w:p w:rsidR="00000000" w:rsidDel="00000000" w:rsidP="00000000" w:rsidRDefault="00000000" w:rsidRPr="00000000" w14:paraId="000001EB">
      <w:pPr>
        <w:pageBreakBefore w:val="0"/>
        <w:spacing w:line="360" w:lineRule="auto"/>
        <w:ind w:left="720" w:hanging="720"/>
        <w:jc w:val="both"/>
        <w:rPr/>
      </w:pPr>
      <w:r w:rsidDel="00000000" w:rsidR="00000000" w:rsidRPr="00000000">
        <w:rPr>
          <w:rtl w:val="0"/>
        </w:rPr>
        <w:t xml:space="preserve">Cruz, E. (2024). El estrés y los hábitos alimenticios: una evidencia empírica de estudiantes universitarios en México. </w:t>
      </w:r>
      <w:r w:rsidDel="00000000" w:rsidR="00000000" w:rsidRPr="00000000">
        <w:rPr>
          <w:i w:val="1"/>
          <w:rtl w:val="0"/>
        </w:rPr>
        <w:t xml:space="preserve">Revista peruana de investigación e innovación educativa, 4</w:t>
      </w:r>
      <w:r w:rsidDel="00000000" w:rsidR="00000000" w:rsidRPr="00000000">
        <w:rPr>
          <w:rtl w:val="0"/>
        </w:rPr>
        <w:t xml:space="preserve">(3), 1-12. </w:t>
      </w:r>
      <w:hyperlink r:id="rId24">
        <w:r w:rsidDel="00000000" w:rsidR="00000000" w:rsidRPr="00000000">
          <w:rPr>
            <w:color w:val="1155cc"/>
            <w:u w:val="single"/>
            <w:rtl w:val="0"/>
          </w:rPr>
          <w:t xml:space="preserve">https://shorturl.at/slsF2</w:t>
        </w:r>
      </w:hyperlink>
      <w:r w:rsidDel="00000000" w:rsidR="00000000" w:rsidRPr="00000000">
        <w:rPr>
          <w:rtl w:val="0"/>
        </w:rPr>
      </w:r>
    </w:p>
    <w:p w:rsidR="00000000" w:rsidDel="00000000" w:rsidP="00000000" w:rsidRDefault="00000000" w:rsidRPr="00000000" w14:paraId="000001EC">
      <w:pPr>
        <w:pageBreakBefore w:val="0"/>
        <w:spacing w:line="360" w:lineRule="auto"/>
        <w:ind w:left="720" w:hanging="720"/>
        <w:jc w:val="both"/>
        <w:rPr/>
      </w:pPr>
      <w:r w:rsidDel="00000000" w:rsidR="00000000" w:rsidRPr="00000000">
        <w:rPr>
          <w:rtl w:val="0"/>
        </w:rPr>
        <w:t xml:space="preserve">Estrada, G. (2024). Burnout académico y hábitos alimentarios en estudiantes universitarios: Un estudio transversal. </w:t>
      </w:r>
      <w:r w:rsidDel="00000000" w:rsidR="00000000" w:rsidRPr="00000000">
        <w:rPr>
          <w:i w:val="1"/>
          <w:rtl w:val="0"/>
        </w:rPr>
        <w:t xml:space="preserve">Gaceta Médica de Caracas, 132</w:t>
      </w:r>
      <w:r w:rsidDel="00000000" w:rsidR="00000000" w:rsidRPr="00000000">
        <w:rPr>
          <w:rtl w:val="0"/>
        </w:rPr>
        <w:t xml:space="preserve">(3), 599-608. </w:t>
      </w:r>
      <w:hyperlink r:id="rId25">
        <w:r w:rsidDel="00000000" w:rsidR="00000000" w:rsidRPr="00000000">
          <w:rPr>
            <w:color w:val="1155cc"/>
            <w:u w:val="single"/>
            <w:rtl w:val="0"/>
          </w:rPr>
          <w:t xml:space="preserve">http://saber.ucv.ve/ojs/index.php/rev_gmc/article/view/29253/144814494712</w:t>
        </w:r>
      </w:hyperlink>
      <w:r w:rsidDel="00000000" w:rsidR="00000000" w:rsidRPr="00000000">
        <w:rPr>
          <w:rtl w:val="0"/>
        </w:rPr>
      </w:r>
    </w:p>
    <w:p w:rsidR="00000000" w:rsidDel="00000000" w:rsidP="00000000" w:rsidRDefault="00000000" w:rsidRPr="00000000" w14:paraId="000001ED">
      <w:pPr>
        <w:pageBreakBefore w:val="0"/>
        <w:spacing w:line="360" w:lineRule="auto"/>
        <w:ind w:left="720" w:hanging="720"/>
        <w:jc w:val="both"/>
        <w:rPr/>
      </w:pPr>
      <w:r w:rsidDel="00000000" w:rsidR="00000000" w:rsidRPr="00000000">
        <w:rPr>
          <w:rtl w:val="0"/>
        </w:rPr>
        <w:t xml:space="preserve">Estrada, G., Farfán, M., Lavilla, G., Quispe, J., Lavilla, L., &amp; Mamani, M. (2024). Estrés académico y cansancio emocional en estudiantes universitarios: un estudio transversal. </w:t>
      </w:r>
      <w:r w:rsidDel="00000000" w:rsidR="00000000" w:rsidRPr="00000000">
        <w:rPr>
          <w:i w:val="1"/>
          <w:rtl w:val="0"/>
        </w:rPr>
        <w:t xml:space="preserve">Gaceta Médica de Caracas, 132</w:t>
      </w:r>
      <w:r w:rsidDel="00000000" w:rsidR="00000000" w:rsidRPr="00000000">
        <w:rPr>
          <w:rtl w:val="0"/>
        </w:rPr>
        <w:t xml:space="preserve">(1), 57-67. </w:t>
      </w:r>
      <w:hyperlink r:id="rId26">
        <w:r w:rsidDel="00000000" w:rsidR="00000000" w:rsidRPr="00000000">
          <w:rPr>
            <w:color w:val="1155cc"/>
            <w:u w:val="single"/>
            <w:rtl w:val="0"/>
          </w:rPr>
          <w:t xml:space="preserve">https://archive.org/details/estrada-araoz-et-al.-2024-estres-academico-y-cansancio-emocional/mode/2up</w:t>
        </w:r>
      </w:hyperlink>
      <w:r w:rsidDel="00000000" w:rsidR="00000000" w:rsidRPr="00000000">
        <w:rPr>
          <w:rtl w:val="0"/>
        </w:rPr>
      </w:r>
    </w:p>
    <w:p w:rsidR="00000000" w:rsidDel="00000000" w:rsidP="00000000" w:rsidRDefault="00000000" w:rsidRPr="00000000" w14:paraId="000001EE">
      <w:pPr>
        <w:pageBreakBefore w:val="0"/>
        <w:spacing w:line="360" w:lineRule="auto"/>
        <w:ind w:left="720" w:hanging="720"/>
        <w:jc w:val="both"/>
        <w:rPr/>
      </w:pPr>
      <w:r w:rsidDel="00000000" w:rsidR="00000000" w:rsidRPr="00000000">
        <w:rPr>
          <w:rtl w:val="0"/>
        </w:rPr>
        <w:t xml:space="preserve">Fernandez, D., Barrios, L., Viveros, G., Espinola, R., Gonzalez, G., Martínez, G., &amp; Méndez, J. (2022). Hábitos alimentarios y estrés académico en estudiantes universitarios durante la pandemia del COVID-19, Paraguay 2021. </w:t>
      </w:r>
      <w:r w:rsidDel="00000000" w:rsidR="00000000" w:rsidRPr="00000000">
        <w:rPr>
          <w:i w:val="1"/>
          <w:rtl w:val="0"/>
        </w:rPr>
        <w:t xml:space="preserve">Revista chilena de nutrición, 49</w:t>
      </w:r>
      <w:r w:rsidDel="00000000" w:rsidR="00000000" w:rsidRPr="00000000">
        <w:rPr>
          <w:rtl w:val="0"/>
        </w:rPr>
        <w:t xml:space="preserve">(5), 616-624. </w:t>
      </w:r>
      <w:hyperlink r:id="rId27">
        <w:r w:rsidDel="00000000" w:rsidR="00000000" w:rsidRPr="00000000">
          <w:rPr>
            <w:color w:val="1155cc"/>
            <w:u w:val="single"/>
            <w:rtl w:val="0"/>
          </w:rPr>
          <w:t xml:space="preserve">https://www.scielo.cl/pdf/rchnut/v49n5/0717-7518-rchnut-49-05-0616.pdf</w:t>
        </w:r>
      </w:hyperlink>
      <w:r w:rsidDel="00000000" w:rsidR="00000000" w:rsidRPr="00000000">
        <w:rPr>
          <w:rtl w:val="0"/>
        </w:rPr>
      </w:r>
    </w:p>
    <w:p w:rsidR="00000000" w:rsidDel="00000000" w:rsidP="00000000" w:rsidRDefault="00000000" w:rsidRPr="00000000" w14:paraId="000001EF">
      <w:pPr>
        <w:pageBreakBefore w:val="0"/>
        <w:spacing w:line="360" w:lineRule="auto"/>
        <w:ind w:left="720" w:hanging="720"/>
        <w:jc w:val="both"/>
        <w:rPr/>
      </w:pPr>
      <w:r w:rsidDel="00000000" w:rsidR="00000000" w:rsidRPr="00000000">
        <w:rPr>
          <w:rtl w:val="0"/>
        </w:rPr>
        <w:t xml:space="preserve">Flores, S. &amp; Maravi, Y. (2021). </w:t>
      </w:r>
      <w:r w:rsidDel="00000000" w:rsidR="00000000" w:rsidRPr="00000000">
        <w:rPr>
          <w:i w:val="1"/>
          <w:rtl w:val="0"/>
        </w:rPr>
        <w:t xml:space="preserve">Estrés académico y hábitos alimentarios de estudiantes de la carrera de nutrición y dietética de la Universidad María Auxiliadora, 2020.</w:t>
      </w:r>
      <w:r w:rsidDel="00000000" w:rsidR="00000000" w:rsidRPr="00000000">
        <w:rPr>
          <w:rtl w:val="0"/>
        </w:rPr>
        <w:t xml:space="preserve"> [Tesis de Licenciatura, Universidad María Auxiliadora]. Repositorio de la Universidad María Auxiliadora. </w:t>
      </w:r>
      <w:hyperlink r:id="rId28">
        <w:r w:rsidDel="00000000" w:rsidR="00000000" w:rsidRPr="00000000">
          <w:rPr>
            <w:color w:val="1155cc"/>
            <w:u w:val="single"/>
            <w:rtl w:val="0"/>
          </w:rPr>
          <w:t xml:space="preserve">https://hdl.handle.net/20.500.12970/464</w:t>
        </w:r>
      </w:hyperlink>
      <w:r w:rsidDel="00000000" w:rsidR="00000000" w:rsidRPr="00000000">
        <w:rPr>
          <w:rtl w:val="0"/>
        </w:rPr>
      </w:r>
    </w:p>
    <w:p w:rsidR="00000000" w:rsidDel="00000000" w:rsidP="00000000" w:rsidRDefault="00000000" w:rsidRPr="00000000" w14:paraId="000001F0">
      <w:pPr>
        <w:pageBreakBefore w:val="0"/>
        <w:spacing w:line="360" w:lineRule="auto"/>
        <w:ind w:left="720" w:hanging="720"/>
        <w:jc w:val="both"/>
        <w:rPr/>
      </w:pPr>
      <w:r w:rsidDel="00000000" w:rsidR="00000000" w:rsidRPr="00000000">
        <w:rPr>
          <w:rtl w:val="0"/>
        </w:rPr>
        <w:t xml:space="preserve">Fuentes, D., Toscano, A., Malvaceda, E., Díaz, J., &amp; Díaz, L. (2020). </w:t>
      </w:r>
      <w:r w:rsidDel="00000000" w:rsidR="00000000" w:rsidRPr="00000000">
        <w:rPr>
          <w:i w:val="1"/>
          <w:rtl w:val="0"/>
        </w:rPr>
        <w:t xml:space="preserve">Metodología de la investigación: conceptos, herramientas y ejercicios prácticos en las ciencias administrativas y contables.</w:t>
      </w:r>
      <w:r w:rsidDel="00000000" w:rsidR="00000000" w:rsidRPr="00000000">
        <w:rPr>
          <w:rtl w:val="0"/>
        </w:rPr>
        <w:t xml:space="preserve"> Editorial Universidad Pontificia Bolivariana. </w:t>
      </w:r>
      <w:hyperlink r:id="rId29">
        <w:r w:rsidDel="00000000" w:rsidR="00000000" w:rsidRPr="00000000">
          <w:rPr>
            <w:color w:val="1155cc"/>
            <w:u w:val="single"/>
            <w:rtl w:val="0"/>
          </w:rPr>
          <w:t xml:space="preserve">https://www.ispsn.org/sites/default/files/documentos-virtuais/pdf/metodologia_de_la_investigacion_-_deivi_david_fuentes-doria_2020.pdf</w:t>
        </w:r>
      </w:hyperlink>
      <w:r w:rsidDel="00000000" w:rsidR="00000000" w:rsidRPr="00000000">
        <w:rPr>
          <w:rtl w:val="0"/>
        </w:rPr>
      </w:r>
    </w:p>
    <w:p w:rsidR="00000000" w:rsidDel="00000000" w:rsidP="00000000" w:rsidRDefault="00000000" w:rsidRPr="00000000" w14:paraId="000001F1">
      <w:pPr>
        <w:pageBreakBefore w:val="0"/>
        <w:spacing w:line="360" w:lineRule="auto"/>
        <w:ind w:left="720" w:hanging="720"/>
        <w:jc w:val="both"/>
        <w:rPr/>
      </w:pPr>
      <w:r w:rsidDel="00000000" w:rsidR="00000000" w:rsidRPr="00000000">
        <w:rPr>
          <w:rtl w:val="0"/>
        </w:rPr>
        <w:t xml:space="preserve">García, G., Monterrubio, E., Ramírez, I., Aburto, C., Pedraza, S., &amp; Rivera, J. (2020). Contribución de los alimentos a la ingesta total de energía en la dieta de los mexicanos mayores de cinco años. </w:t>
      </w:r>
      <w:r w:rsidDel="00000000" w:rsidR="00000000" w:rsidRPr="00000000">
        <w:rPr>
          <w:i w:val="1"/>
          <w:rtl w:val="0"/>
        </w:rPr>
        <w:t xml:space="preserve">Salud pública de méxico, 62</w:t>
      </w:r>
      <w:r w:rsidDel="00000000" w:rsidR="00000000" w:rsidRPr="00000000">
        <w:rPr>
          <w:rtl w:val="0"/>
        </w:rPr>
        <w:t xml:space="preserve">(2), 166-180. </w:t>
      </w:r>
      <w:hyperlink r:id="rId30">
        <w:r w:rsidDel="00000000" w:rsidR="00000000" w:rsidRPr="00000000">
          <w:rPr>
            <w:color w:val="1155cc"/>
            <w:u w:val="single"/>
            <w:rtl w:val="0"/>
          </w:rPr>
          <w:t xml:space="preserve">https://www.medigraphic.com/pdfs/salpubmex/sal-2020/sal202g.pdf</w:t>
        </w:r>
      </w:hyperlink>
      <w:r w:rsidDel="00000000" w:rsidR="00000000" w:rsidRPr="00000000">
        <w:rPr>
          <w:rtl w:val="0"/>
        </w:rPr>
      </w:r>
    </w:p>
    <w:p w:rsidR="00000000" w:rsidDel="00000000" w:rsidP="00000000" w:rsidRDefault="00000000" w:rsidRPr="00000000" w14:paraId="000001F2">
      <w:pPr>
        <w:pageBreakBefore w:val="0"/>
        <w:spacing w:line="360" w:lineRule="auto"/>
        <w:ind w:left="720" w:hanging="720"/>
        <w:jc w:val="both"/>
        <w:rPr/>
      </w:pPr>
      <w:r w:rsidDel="00000000" w:rsidR="00000000" w:rsidRPr="00000000">
        <w:rPr>
          <w:rtl w:val="0"/>
        </w:rPr>
        <w:t xml:space="preserve">Gellisch, M., Bablok, M., Brand-Saberi, B., &amp; Schäfer, T. (2024). Social Diversity in Focus: Assessing the Impact of Socioeconomic Backgrounds and Work Experience on Psychological Well-Being and Academic Confidence Among German First-Year Medical Students. </w:t>
      </w:r>
      <w:r w:rsidDel="00000000" w:rsidR="00000000" w:rsidRPr="00000000">
        <w:rPr>
          <w:i w:val="1"/>
          <w:rtl w:val="0"/>
        </w:rPr>
        <w:t xml:space="preserve">Education Sciences, 14</w:t>
      </w:r>
      <w:r w:rsidDel="00000000" w:rsidR="00000000" w:rsidRPr="00000000">
        <w:rPr>
          <w:rtl w:val="0"/>
        </w:rPr>
        <w:t xml:space="preserve">(11), 1173.  </w:t>
      </w:r>
      <w:hyperlink r:id="rId31">
        <w:r w:rsidDel="00000000" w:rsidR="00000000" w:rsidRPr="00000000">
          <w:rPr>
            <w:color w:val="1155cc"/>
            <w:u w:val="single"/>
            <w:rtl w:val="0"/>
          </w:rPr>
          <w:t xml:space="preserve">https://www.scopus.com/pages/publications/85210162934</w:t>
        </w:r>
      </w:hyperlink>
      <w:r w:rsidDel="00000000" w:rsidR="00000000" w:rsidRPr="00000000">
        <w:rPr>
          <w:rtl w:val="0"/>
        </w:rPr>
      </w:r>
    </w:p>
    <w:p w:rsidR="00000000" w:rsidDel="00000000" w:rsidP="00000000" w:rsidRDefault="00000000" w:rsidRPr="00000000" w14:paraId="000001F3">
      <w:pPr>
        <w:pageBreakBefore w:val="0"/>
        <w:spacing w:line="360" w:lineRule="auto"/>
        <w:ind w:left="720" w:hanging="720"/>
        <w:jc w:val="both"/>
        <w:rPr/>
      </w:pPr>
      <w:r w:rsidDel="00000000" w:rsidR="00000000" w:rsidRPr="00000000">
        <w:rPr>
          <w:rtl w:val="0"/>
        </w:rPr>
        <w:t xml:space="preserve">Gonzales, M., Mendoza, D., Barrio, G. &amp; Rivas, F. (2024). Relación entre ingesta alimenticia y estrés académico reacciones físicas, psicológicas y comportamentales en estudiantes de la Universidad Autónoma de Chihuahua, México. </w:t>
      </w:r>
      <w:r w:rsidDel="00000000" w:rsidR="00000000" w:rsidRPr="00000000">
        <w:rPr>
          <w:i w:val="1"/>
          <w:rtl w:val="0"/>
        </w:rPr>
        <w:t xml:space="preserve">Actualización en Nutrición. 25</w:t>
      </w:r>
      <w:r w:rsidDel="00000000" w:rsidR="00000000" w:rsidRPr="00000000">
        <w:rPr>
          <w:rtl w:val="0"/>
        </w:rPr>
        <w:t xml:space="preserve">(2), 89-96. </w:t>
      </w:r>
      <w:hyperlink r:id="rId32">
        <w:r w:rsidDel="00000000" w:rsidR="00000000" w:rsidRPr="00000000">
          <w:rPr>
            <w:color w:val="1155cc"/>
            <w:u w:val="single"/>
            <w:rtl w:val="0"/>
          </w:rPr>
          <w:t xml:space="preserve">https://www.revistasan.org.ar/pdf_files/trabajos/vol_25/num_2/RSAN_25_2_89.pdf</w:t>
        </w:r>
      </w:hyperlink>
      <w:r w:rsidDel="00000000" w:rsidR="00000000" w:rsidRPr="00000000">
        <w:rPr>
          <w:rtl w:val="0"/>
        </w:rPr>
      </w:r>
    </w:p>
    <w:p w:rsidR="00000000" w:rsidDel="00000000" w:rsidP="00000000" w:rsidRDefault="00000000" w:rsidRPr="00000000" w14:paraId="000001F4">
      <w:pPr>
        <w:pageBreakBefore w:val="0"/>
        <w:spacing w:line="360" w:lineRule="auto"/>
        <w:ind w:left="720" w:hanging="720"/>
        <w:jc w:val="both"/>
        <w:rPr/>
      </w:pPr>
      <w:r w:rsidDel="00000000" w:rsidR="00000000" w:rsidRPr="00000000">
        <w:rPr>
          <w:rtl w:val="0"/>
        </w:rPr>
        <w:t xml:space="preserve">Gonzáles, K. (2024). </w:t>
      </w:r>
      <w:r w:rsidDel="00000000" w:rsidR="00000000" w:rsidRPr="00000000">
        <w:rPr>
          <w:i w:val="1"/>
          <w:rtl w:val="0"/>
        </w:rPr>
        <w:t xml:space="preserve">Adaptación del inventario Sisco SV 21 en la post pandemia en estudiantes de una Universidad Pública Cajamarca 2023.</w:t>
      </w:r>
      <w:r w:rsidDel="00000000" w:rsidR="00000000" w:rsidRPr="00000000">
        <w:rPr>
          <w:rtl w:val="0"/>
        </w:rPr>
        <w:t xml:space="preserve"> [Tesis de Maestría, Universidad Católica de Trujillo - Benedicto XVI]. Repositorio Universidad Católica de Trujillo. </w:t>
      </w:r>
      <w:hyperlink r:id="rId33">
        <w:r w:rsidDel="00000000" w:rsidR="00000000" w:rsidRPr="00000000">
          <w:rPr>
            <w:color w:val="1155cc"/>
            <w:u w:val="single"/>
            <w:rtl w:val="0"/>
          </w:rPr>
          <w:t xml:space="preserve">https://hdl.handle.net/20.500.14520/7045</w:t>
        </w:r>
      </w:hyperlink>
      <w:r w:rsidDel="00000000" w:rsidR="00000000" w:rsidRPr="00000000">
        <w:rPr>
          <w:rtl w:val="0"/>
        </w:rPr>
      </w:r>
    </w:p>
    <w:p w:rsidR="00000000" w:rsidDel="00000000" w:rsidP="00000000" w:rsidRDefault="00000000" w:rsidRPr="00000000" w14:paraId="000001F5">
      <w:pPr>
        <w:pageBreakBefore w:val="0"/>
        <w:spacing w:line="360" w:lineRule="auto"/>
        <w:ind w:left="720" w:hanging="720"/>
        <w:jc w:val="both"/>
        <w:rPr/>
      </w:pPr>
      <w:r w:rsidDel="00000000" w:rsidR="00000000" w:rsidRPr="00000000">
        <w:rPr>
          <w:rtl w:val="0"/>
        </w:rPr>
        <w:t xml:space="preserve">Gomez, J. (2022). Conducta Alimentaria de riesgo: definiciones, DDHH y de Salud Mental. </w:t>
      </w:r>
      <w:r w:rsidDel="00000000" w:rsidR="00000000" w:rsidRPr="00000000">
        <w:rPr>
          <w:i w:val="1"/>
          <w:rtl w:val="0"/>
        </w:rPr>
        <w:t xml:space="preserve">In XIV Congreso Internacional de Investigación y Práctica Profesional en Psicología. XXIX Jornadas de Investigación. XVIII Encuentro de Investigadores en Psicología del MERCOSUR. IV Encuentro de Investigación de Terapia Ocupacional. IV Encuentro de Musicoterapia. Facultad de Psicología-Universidad de Buenos Aires.</w:t>
      </w:r>
      <w:r w:rsidDel="00000000" w:rsidR="00000000" w:rsidRPr="00000000">
        <w:rPr>
          <w:rtl w:val="0"/>
        </w:rPr>
        <w:t xml:space="preserve"> </w:t>
      </w:r>
      <w:hyperlink r:id="rId34">
        <w:r w:rsidDel="00000000" w:rsidR="00000000" w:rsidRPr="00000000">
          <w:rPr>
            <w:color w:val="1155cc"/>
            <w:u w:val="single"/>
            <w:rtl w:val="0"/>
          </w:rPr>
          <w:t xml:space="preserve">https://www.aacademica.org/000-084/935</w:t>
        </w:r>
      </w:hyperlink>
      <w:r w:rsidDel="00000000" w:rsidR="00000000" w:rsidRPr="00000000">
        <w:rPr>
          <w:rtl w:val="0"/>
        </w:rPr>
      </w:r>
    </w:p>
    <w:p w:rsidR="00000000" w:rsidDel="00000000" w:rsidP="00000000" w:rsidRDefault="00000000" w:rsidRPr="00000000" w14:paraId="000001F6">
      <w:pPr>
        <w:pageBreakBefore w:val="0"/>
        <w:spacing w:line="360" w:lineRule="auto"/>
        <w:ind w:left="720" w:hanging="720"/>
        <w:jc w:val="both"/>
        <w:rPr/>
      </w:pPr>
      <w:r w:rsidDel="00000000" w:rsidR="00000000" w:rsidRPr="00000000">
        <w:rPr>
          <w:rtl w:val="0"/>
        </w:rPr>
        <w:t xml:space="preserve">Guzmán, A., Bustos, C., Zavala, W., &amp; Castillo, L. (2022). Inventario SISCO del estrés académico: revisión de sus propiedades psicométricas en estudiantes universitarios. </w:t>
      </w:r>
      <w:r w:rsidDel="00000000" w:rsidR="00000000" w:rsidRPr="00000000">
        <w:rPr>
          <w:i w:val="1"/>
          <w:rtl w:val="0"/>
        </w:rPr>
        <w:t xml:space="preserve">Terapia psicológica, 40</w:t>
      </w:r>
      <w:r w:rsidDel="00000000" w:rsidR="00000000" w:rsidRPr="00000000">
        <w:rPr>
          <w:rtl w:val="0"/>
        </w:rPr>
        <w:t xml:space="preserve">(2), 197-211. </w:t>
      </w:r>
      <w:hyperlink r:id="rId35">
        <w:r w:rsidDel="00000000" w:rsidR="00000000" w:rsidRPr="00000000">
          <w:rPr>
            <w:color w:val="1155cc"/>
            <w:u w:val="single"/>
            <w:rtl w:val="0"/>
          </w:rPr>
          <w:t xml:space="preserve">https://dx.doi.org/10.4067/S0718-48082022000200197</w:t>
        </w:r>
      </w:hyperlink>
      <w:r w:rsidDel="00000000" w:rsidR="00000000" w:rsidRPr="00000000">
        <w:rPr>
          <w:rtl w:val="0"/>
        </w:rPr>
      </w:r>
    </w:p>
    <w:p w:rsidR="00000000" w:rsidDel="00000000" w:rsidP="00000000" w:rsidRDefault="00000000" w:rsidRPr="00000000" w14:paraId="000001F7">
      <w:pPr>
        <w:pageBreakBefore w:val="0"/>
        <w:spacing w:line="360" w:lineRule="auto"/>
        <w:ind w:left="720" w:hanging="720"/>
        <w:jc w:val="both"/>
        <w:rPr/>
      </w:pPr>
      <w:r w:rsidDel="00000000" w:rsidR="00000000" w:rsidRPr="00000000">
        <w:rPr>
          <w:rtl w:val="0"/>
        </w:rPr>
        <w:t xml:space="preserve">Haro, A., Chisag, E., Ruiz, J. &amp; Caicedo, J. (2024). Tipos y clasificación de las investigaciones.</w:t>
      </w:r>
      <w:r w:rsidDel="00000000" w:rsidR="00000000" w:rsidRPr="00000000">
        <w:rPr>
          <w:i w:val="1"/>
          <w:rtl w:val="0"/>
        </w:rPr>
        <w:t xml:space="preserve"> Revista Latinoamericana de Ciencias Sociales y Humanidades, 5</w:t>
      </w:r>
      <w:r w:rsidDel="00000000" w:rsidR="00000000" w:rsidRPr="00000000">
        <w:rPr>
          <w:rtl w:val="0"/>
        </w:rPr>
        <w:t xml:space="preserve">(2), 956-966. </w:t>
      </w:r>
      <w:hyperlink r:id="rId36">
        <w:r w:rsidDel="00000000" w:rsidR="00000000" w:rsidRPr="00000000">
          <w:rPr>
            <w:color w:val="1155cc"/>
            <w:u w:val="single"/>
            <w:rtl w:val="0"/>
          </w:rPr>
          <w:t xml:space="preserve">https://doi.org/10.56712/latam.v5i2.1927</w:t>
        </w:r>
      </w:hyperlink>
      <w:r w:rsidDel="00000000" w:rsidR="00000000" w:rsidRPr="00000000">
        <w:rPr>
          <w:rtl w:val="0"/>
        </w:rPr>
      </w:r>
    </w:p>
    <w:p w:rsidR="00000000" w:rsidDel="00000000" w:rsidP="00000000" w:rsidRDefault="00000000" w:rsidRPr="00000000" w14:paraId="000001F8">
      <w:pPr>
        <w:pageBreakBefore w:val="0"/>
        <w:spacing w:line="360" w:lineRule="auto"/>
        <w:ind w:left="720" w:hanging="720"/>
        <w:jc w:val="both"/>
        <w:rPr/>
      </w:pPr>
      <w:r w:rsidDel="00000000" w:rsidR="00000000" w:rsidRPr="00000000">
        <w:rPr>
          <w:rtl w:val="0"/>
        </w:rPr>
        <w:t xml:space="preserve">Klinger, R. (2024). </w:t>
      </w:r>
      <w:r w:rsidDel="00000000" w:rsidR="00000000" w:rsidRPr="00000000">
        <w:rPr>
          <w:i w:val="1"/>
          <w:rtl w:val="0"/>
        </w:rPr>
        <w:t xml:space="preserve">Muestreo estadístico: métodos básicos.</w:t>
      </w:r>
      <w:r w:rsidDel="00000000" w:rsidR="00000000" w:rsidRPr="00000000">
        <w:rPr>
          <w:rtl w:val="0"/>
        </w:rPr>
        <w:t xml:space="preserve"> Programa Editorial Universidad del Valle. </w:t>
      </w:r>
      <w:hyperlink r:id="rId37">
        <w:r w:rsidDel="00000000" w:rsidR="00000000" w:rsidRPr="00000000">
          <w:rPr>
            <w:color w:val="1155cc"/>
            <w:u w:val="single"/>
            <w:rtl w:val="0"/>
          </w:rPr>
          <w:t xml:space="preserve">https://books.google.es/books?id=LCEdEQAAQBAJ&amp;printsec=frontcover&amp;hl=es#v=onepage&amp;q&amp;f=false</w:t>
        </w:r>
      </w:hyperlink>
      <w:r w:rsidDel="00000000" w:rsidR="00000000" w:rsidRPr="00000000">
        <w:rPr>
          <w:rtl w:val="0"/>
        </w:rPr>
      </w:r>
    </w:p>
    <w:p w:rsidR="00000000" w:rsidDel="00000000" w:rsidP="00000000" w:rsidRDefault="00000000" w:rsidRPr="00000000" w14:paraId="000001F9">
      <w:pPr>
        <w:pageBreakBefore w:val="0"/>
        <w:spacing w:line="360" w:lineRule="auto"/>
        <w:ind w:left="720" w:hanging="720"/>
        <w:jc w:val="both"/>
        <w:rPr/>
      </w:pPr>
      <w:r w:rsidDel="00000000" w:rsidR="00000000" w:rsidRPr="00000000">
        <w:rPr>
          <w:rtl w:val="0"/>
        </w:rPr>
        <w:t xml:space="preserve">Maza, F., Caneda, M., &amp; Vivas, A. (2022). Hábitos alimenticios y sus efectos en la salud de los estudiantes universitarios. Una revisión sistemática de la literatura. </w:t>
      </w:r>
      <w:r w:rsidDel="00000000" w:rsidR="00000000" w:rsidRPr="00000000">
        <w:rPr>
          <w:i w:val="1"/>
          <w:rtl w:val="0"/>
        </w:rPr>
        <w:t xml:space="preserve">Psicogente, 25</w:t>
      </w:r>
      <w:r w:rsidDel="00000000" w:rsidR="00000000" w:rsidRPr="00000000">
        <w:rPr>
          <w:rtl w:val="0"/>
        </w:rPr>
        <w:t xml:space="preserve">(47), 110-140. </w:t>
      </w:r>
      <w:hyperlink r:id="rId38">
        <w:r w:rsidDel="00000000" w:rsidR="00000000" w:rsidRPr="00000000">
          <w:rPr>
            <w:color w:val="1155cc"/>
            <w:u w:val="single"/>
            <w:rtl w:val="0"/>
          </w:rPr>
          <w:t xml:space="preserve">https://doi.org/10.17081/psico.25.47.4861</w:t>
        </w:r>
      </w:hyperlink>
      <w:r w:rsidDel="00000000" w:rsidR="00000000" w:rsidRPr="00000000">
        <w:rPr>
          <w:rtl w:val="0"/>
        </w:rPr>
      </w:r>
    </w:p>
    <w:p w:rsidR="00000000" w:rsidDel="00000000" w:rsidP="00000000" w:rsidRDefault="00000000" w:rsidRPr="00000000" w14:paraId="000001FA">
      <w:pPr>
        <w:pageBreakBefore w:val="0"/>
        <w:spacing w:line="360" w:lineRule="auto"/>
        <w:ind w:left="720" w:hanging="720"/>
        <w:jc w:val="both"/>
        <w:rPr/>
      </w:pPr>
      <w:r w:rsidDel="00000000" w:rsidR="00000000" w:rsidRPr="00000000">
        <w:rPr>
          <w:rtl w:val="0"/>
        </w:rPr>
        <w:t xml:space="preserve">Núñez, L. (2021). </w:t>
      </w:r>
      <w:r w:rsidDel="00000000" w:rsidR="00000000" w:rsidRPr="00000000">
        <w:rPr>
          <w:i w:val="1"/>
          <w:rtl w:val="0"/>
        </w:rPr>
        <w:t xml:space="preserve">Conducta alimentaria y su relación con el estado nutricional de los estudiantes de enfermería técnica del Instituto Superior Tecnológico Honorio Delgado Espinoza. Arequipa, 2019.</w:t>
      </w:r>
      <w:r w:rsidDel="00000000" w:rsidR="00000000" w:rsidRPr="00000000">
        <w:rPr>
          <w:rtl w:val="0"/>
        </w:rPr>
        <w:t xml:space="preserve"> [Tesis de Licenciatura, Universidad Católica de Santa María]. Repositorio Institucional UCSM. </w:t>
      </w:r>
      <w:hyperlink r:id="rId39">
        <w:r w:rsidDel="00000000" w:rsidR="00000000" w:rsidRPr="00000000">
          <w:rPr>
            <w:color w:val="1155cc"/>
            <w:u w:val="single"/>
            <w:rtl w:val="0"/>
          </w:rPr>
          <w:t xml:space="preserve">https://repositorio.ucsm.edu.pe/server/api/core/bitstreams/cf887635-89ce-4e46-a589-3349785d42d2/content</w:t>
        </w:r>
      </w:hyperlink>
      <w:r w:rsidDel="00000000" w:rsidR="00000000" w:rsidRPr="00000000">
        <w:rPr>
          <w:rtl w:val="0"/>
        </w:rPr>
      </w:r>
    </w:p>
    <w:p w:rsidR="00000000" w:rsidDel="00000000" w:rsidP="00000000" w:rsidRDefault="00000000" w:rsidRPr="00000000" w14:paraId="000001FB">
      <w:pPr>
        <w:pageBreakBefore w:val="0"/>
        <w:spacing w:line="360" w:lineRule="auto"/>
        <w:ind w:left="720" w:hanging="720"/>
        <w:jc w:val="both"/>
        <w:rPr/>
      </w:pPr>
      <w:r w:rsidDel="00000000" w:rsidR="00000000" w:rsidRPr="00000000">
        <w:rPr>
          <w:rtl w:val="0"/>
        </w:rPr>
        <w:t xml:space="preserve">Olivas, L., Morales, S., &amp; Solano, M. (2021). Evidencias psicométricas de Inventario SISCO SV-21 para el estudio del estrés académico en universitarios peruanos. </w:t>
      </w:r>
      <w:r w:rsidDel="00000000" w:rsidR="00000000" w:rsidRPr="00000000">
        <w:rPr>
          <w:i w:val="1"/>
          <w:rtl w:val="0"/>
        </w:rPr>
        <w:t xml:space="preserve">Propósitos Y Representaciones, 9</w:t>
      </w:r>
      <w:r w:rsidDel="00000000" w:rsidR="00000000" w:rsidRPr="00000000">
        <w:rPr>
          <w:rtl w:val="0"/>
        </w:rPr>
        <w:t xml:space="preserve">(2), 647. </w:t>
      </w:r>
      <w:hyperlink r:id="rId40">
        <w:r w:rsidDel="00000000" w:rsidR="00000000" w:rsidRPr="00000000">
          <w:rPr>
            <w:color w:val="1155cc"/>
            <w:u w:val="single"/>
            <w:rtl w:val="0"/>
          </w:rPr>
          <w:t xml:space="preserve">https://doi.org/10.20511/pyr2021.v9n2.647</w:t>
        </w:r>
      </w:hyperlink>
      <w:r w:rsidDel="00000000" w:rsidR="00000000" w:rsidRPr="00000000">
        <w:rPr>
          <w:rtl w:val="0"/>
        </w:rPr>
      </w:r>
    </w:p>
    <w:p w:rsidR="00000000" w:rsidDel="00000000" w:rsidP="00000000" w:rsidRDefault="00000000" w:rsidRPr="00000000" w14:paraId="000001FC">
      <w:pPr>
        <w:pageBreakBefore w:val="0"/>
        <w:spacing w:line="360" w:lineRule="auto"/>
        <w:ind w:left="720" w:hanging="720"/>
        <w:jc w:val="both"/>
        <w:rPr/>
      </w:pPr>
      <w:r w:rsidDel="00000000" w:rsidR="00000000" w:rsidRPr="00000000">
        <w:rPr>
          <w:rtl w:val="0"/>
        </w:rPr>
        <w:t xml:space="preserve">Peñarrieta, L., Pineda, J., Quintanilla, M., &amp; Rodriguez, L. (2025). Estrés académico como factor de riesgo en la salud mental de estudiantes de Derecho en zonas altoandinas. </w:t>
      </w:r>
      <w:r w:rsidDel="00000000" w:rsidR="00000000" w:rsidRPr="00000000">
        <w:rPr>
          <w:i w:val="1"/>
          <w:rtl w:val="0"/>
        </w:rPr>
        <w:t xml:space="preserve">European Public &amp; Social Innovation Review, 10</w:t>
      </w:r>
      <w:r w:rsidDel="00000000" w:rsidR="00000000" w:rsidRPr="00000000">
        <w:rPr>
          <w:rtl w:val="0"/>
        </w:rPr>
        <w:t xml:space="preserve">, 1–17. </w:t>
      </w:r>
      <w:hyperlink r:id="rId41">
        <w:r w:rsidDel="00000000" w:rsidR="00000000" w:rsidRPr="00000000">
          <w:rPr>
            <w:color w:val="1155cc"/>
            <w:u w:val="single"/>
            <w:rtl w:val="0"/>
          </w:rPr>
          <w:t xml:space="preserve">https://doi.org/10.31637/epsir-2025-1445</w:t>
        </w:r>
      </w:hyperlink>
      <w:r w:rsidDel="00000000" w:rsidR="00000000" w:rsidRPr="00000000">
        <w:rPr>
          <w:rtl w:val="0"/>
        </w:rPr>
      </w:r>
    </w:p>
    <w:p w:rsidR="00000000" w:rsidDel="00000000" w:rsidP="00000000" w:rsidRDefault="00000000" w:rsidRPr="00000000" w14:paraId="000001FD">
      <w:pPr>
        <w:pageBreakBefore w:val="0"/>
        <w:spacing w:line="360" w:lineRule="auto"/>
        <w:ind w:left="720" w:hanging="720"/>
        <w:jc w:val="both"/>
        <w:rPr/>
      </w:pPr>
      <w:r w:rsidDel="00000000" w:rsidR="00000000" w:rsidRPr="00000000">
        <w:rPr>
          <w:rtl w:val="0"/>
        </w:rPr>
        <w:t xml:space="preserve">Pereyra, L., &amp; Vaira, M. (2021). </w:t>
      </w:r>
      <w:r w:rsidDel="00000000" w:rsidR="00000000" w:rsidRPr="00000000">
        <w:rPr>
          <w:i w:val="1"/>
          <w:rtl w:val="0"/>
        </w:rPr>
        <w:t xml:space="preserve">Diseño de Muestreo.</w:t>
      </w:r>
      <w:r w:rsidDel="00000000" w:rsidR="00000000" w:rsidRPr="00000000">
        <w:rPr>
          <w:rtl w:val="0"/>
        </w:rPr>
        <w:t xml:space="preserve"> Universidad Nacional de Jujuy. </w:t>
      </w:r>
      <w:hyperlink r:id="rId42">
        <w:r w:rsidDel="00000000" w:rsidR="00000000" w:rsidRPr="00000000">
          <w:rPr>
            <w:color w:val="1155cc"/>
            <w:u w:val="single"/>
            <w:rtl w:val="0"/>
          </w:rPr>
          <w:t xml:space="preserve">http://hdl.handle.net/11336/156720</w:t>
        </w:r>
      </w:hyperlink>
      <w:r w:rsidDel="00000000" w:rsidR="00000000" w:rsidRPr="00000000">
        <w:rPr>
          <w:rtl w:val="0"/>
        </w:rPr>
      </w:r>
    </w:p>
    <w:p w:rsidR="00000000" w:rsidDel="00000000" w:rsidP="00000000" w:rsidRDefault="00000000" w:rsidRPr="00000000" w14:paraId="000001FE">
      <w:pPr>
        <w:pageBreakBefore w:val="0"/>
        <w:spacing w:line="360" w:lineRule="auto"/>
        <w:ind w:left="720" w:hanging="720"/>
        <w:jc w:val="both"/>
        <w:rPr/>
      </w:pPr>
      <w:r w:rsidDel="00000000" w:rsidR="00000000" w:rsidRPr="00000000">
        <w:rPr>
          <w:rtl w:val="0"/>
        </w:rPr>
        <w:t xml:space="preserve">Pérez, S. (2020). </w:t>
      </w:r>
      <w:r w:rsidDel="00000000" w:rsidR="00000000" w:rsidRPr="00000000">
        <w:rPr>
          <w:i w:val="1"/>
          <w:rtl w:val="0"/>
        </w:rPr>
        <w:t xml:space="preserve">Estrés en universitarios. Casos en México, Argentina, Costa Rica y Chile.</w:t>
      </w:r>
      <w:r w:rsidDel="00000000" w:rsidR="00000000" w:rsidRPr="00000000">
        <w:rPr>
          <w:rtl w:val="0"/>
        </w:rPr>
        <w:t xml:space="preserve"> Repositorio Institucional de la Universidad de Colima.  </w:t>
      </w:r>
      <w:hyperlink r:id="rId43">
        <w:r w:rsidDel="00000000" w:rsidR="00000000" w:rsidRPr="00000000">
          <w:rPr>
            <w:color w:val="1155cc"/>
            <w:u w:val="single"/>
            <w:rtl w:val="0"/>
          </w:rPr>
          <w:t xml:space="preserve">https://cathi.uacj.mx/bitstream/handle/20.500.11961/17421/2020%20Cap%20libro%20Coautor.pdf?sequence=1</w:t>
        </w:r>
      </w:hyperlink>
      <w:r w:rsidDel="00000000" w:rsidR="00000000" w:rsidRPr="00000000">
        <w:rPr>
          <w:rtl w:val="0"/>
        </w:rPr>
      </w:r>
    </w:p>
    <w:p w:rsidR="00000000" w:rsidDel="00000000" w:rsidP="00000000" w:rsidRDefault="00000000" w:rsidRPr="00000000" w14:paraId="000001FF">
      <w:pPr>
        <w:pageBreakBefore w:val="0"/>
        <w:spacing w:line="360" w:lineRule="auto"/>
        <w:ind w:left="720" w:hanging="720"/>
        <w:jc w:val="both"/>
        <w:rPr/>
      </w:pPr>
      <w:r w:rsidDel="00000000" w:rsidR="00000000" w:rsidRPr="00000000">
        <w:rPr>
          <w:rtl w:val="0"/>
        </w:rPr>
        <w:t xml:space="preserve">Rahal, D., Chiang, J., Huynh, V., Bower, J., McCreath, H., &amp; Fuligni, A. (2023). Low subjective social status is associated with daily selection of fewer healthy foods and more high-fat/high sugar foods. </w:t>
      </w:r>
      <w:r w:rsidDel="00000000" w:rsidR="00000000" w:rsidRPr="00000000">
        <w:rPr>
          <w:i w:val="1"/>
          <w:rtl w:val="0"/>
        </w:rPr>
        <w:t xml:space="preserve">Appetite, 180</w:t>
      </w:r>
      <w:r w:rsidDel="00000000" w:rsidR="00000000" w:rsidRPr="00000000">
        <w:rPr>
          <w:rtl w:val="0"/>
        </w:rPr>
        <w:t xml:space="preserve">, 1-9. </w:t>
      </w:r>
      <w:hyperlink r:id="rId44">
        <w:r w:rsidDel="00000000" w:rsidR="00000000" w:rsidRPr="00000000">
          <w:rPr>
            <w:color w:val="1155cc"/>
            <w:u w:val="single"/>
            <w:rtl w:val="0"/>
          </w:rPr>
          <w:t xml:space="preserve">https://doi.org/10.1016/j.appet.2022.106338</w:t>
        </w:r>
      </w:hyperlink>
      <w:r w:rsidDel="00000000" w:rsidR="00000000" w:rsidRPr="00000000">
        <w:rPr>
          <w:rtl w:val="0"/>
        </w:rPr>
      </w:r>
    </w:p>
    <w:p w:rsidR="00000000" w:rsidDel="00000000" w:rsidP="00000000" w:rsidRDefault="00000000" w:rsidRPr="00000000" w14:paraId="00000200">
      <w:pPr>
        <w:pageBreakBefore w:val="0"/>
        <w:spacing w:line="360" w:lineRule="auto"/>
        <w:ind w:left="720" w:hanging="720"/>
        <w:jc w:val="both"/>
        <w:rPr/>
      </w:pPr>
      <w:r w:rsidDel="00000000" w:rsidR="00000000" w:rsidRPr="00000000">
        <w:rPr>
          <w:rtl w:val="0"/>
        </w:rPr>
        <w:t xml:space="preserve">Ramírez, J., Ancalla, S., Erazo, L., Quispe, M., Rodríguez, J, &amp; Sánchez, M. (2023). Estrés académico y su relación con los hábitos alimenticios en universitarios de estudios generales de la Facultad de Medicina, 2023-II. </w:t>
      </w:r>
      <w:r w:rsidDel="00000000" w:rsidR="00000000" w:rsidRPr="00000000">
        <w:rPr>
          <w:i w:val="1"/>
          <w:rtl w:val="0"/>
        </w:rPr>
        <w:t xml:space="preserve">Revista Científica En Ciencias De La Salud, 2</w:t>
      </w:r>
      <w:r w:rsidDel="00000000" w:rsidR="00000000" w:rsidRPr="00000000">
        <w:rPr>
          <w:rtl w:val="0"/>
        </w:rPr>
        <w:t xml:space="preserve">(4), 317–320. </w:t>
      </w:r>
      <w:hyperlink r:id="rId45">
        <w:r w:rsidDel="00000000" w:rsidR="00000000" w:rsidRPr="00000000">
          <w:rPr>
            <w:color w:val="1155cc"/>
            <w:u w:val="single"/>
            <w:rtl w:val="0"/>
          </w:rPr>
          <w:t xml:space="preserve">https://csalud.unat.edu.pe/index.php/RDE/article/view/48</w:t>
        </w:r>
      </w:hyperlink>
      <w:r w:rsidDel="00000000" w:rsidR="00000000" w:rsidRPr="00000000">
        <w:rPr>
          <w:rtl w:val="0"/>
        </w:rPr>
      </w:r>
    </w:p>
    <w:p w:rsidR="00000000" w:rsidDel="00000000" w:rsidP="00000000" w:rsidRDefault="00000000" w:rsidRPr="00000000" w14:paraId="00000201">
      <w:pPr>
        <w:pageBreakBefore w:val="0"/>
        <w:spacing w:line="360" w:lineRule="auto"/>
        <w:ind w:left="720" w:hanging="720"/>
        <w:jc w:val="both"/>
        <w:rPr/>
      </w:pPr>
      <w:r w:rsidDel="00000000" w:rsidR="00000000" w:rsidRPr="00000000">
        <w:rPr>
          <w:rtl w:val="0"/>
        </w:rPr>
        <w:t xml:space="preserve">Ramos, C. (2020). Los alcances de una investigación. </w:t>
      </w:r>
      <w:r w:rsidDel="00000000" w:rsidR="00000000" w:rsidRPr="00000000">
        <w:rPr>
          <w:i w:val="1"/>
          <w:rtl w:val="0"/>
        </w:rPr>
        <w:t xml:space="preserve">CienciAmerica, 9</w:t>
      </w:r>
      <w:r w:rsidDel="00000000" w:rsidR="00000000" w:rsidRPr="00000000">
        <w:rPr>
          <w:rtl w:val="0"/>
        </w:rPr>
        <w:t xml:space="preserve">(3), 1-6. </w:t>
      </w:r>
      <w:hyperlink r:id="rId46">
        <w:r w:rsidDel="00000000" w:rsidR="00000000" w:rsidRPr="00000000">
          <w:rPr>
            <w:color w:val="1155cc"/>
            <w:u w:val="single"/>
            <w:rtl w:val="0"/>
          </w:rPr>
          <w:t xml:space="preserve">http://dx.doi.org/10.33210/ca.v9i3.336 </w:t>
        </w:r>
      </w:hyperlink>
      <w:r w:rsidDel="00000000" w:rsidR="00000000" w:rsidRPr="00000000">
        <w:rPr>
          <w:rtl w:val="0"/>
        </w:rPr>
      </w:r>
    </w:p>
    <w:p w:rsidR="00000000" w:rsidDel="00000000" w:rsidP="00000000" w:rsidRDefault="00000000" w:rsidRPr="00000000" w14:paraId="00000202">
      <w:pPr>
        <w:pageBreakBefore w:val="0"/>
        <w:spacing w:line="360" w:lineRule="auto"/>
        <w:ind w:left="720" w:hanging="720"/>
        <w:jc w:val="both"/>
        <w:rPr/>
      </w:pPr>
      <w:r w:rsidDel="00000000" w:rsidR="00000000" w:rsidRPr="00000000">
        <w:rPr>
          <w:rtl w:val="0"/>
        </w:rPr>
        <w:t xml:space="preserve">Restrepo, E., Sánchez, A., &amp; Castañeda, T. (2020). Estrés académico en estudiantes universitarios. </w:t>
      </w:r>
      <w:r w:rsidDel="00000000" w:rsidR="00000000" w:rsidRPr="00000000">
        <w:rPr>
          <w:i w:val="1"/>
          <w:rtl w:val="0"/>
        </w:rPr>
        <w:t xml:space="preserve">Psicoespacios, 14</w:t>
      </w:r>
      <w:r w:rsidDel="00000000" w:rsidR="00000000" w:rsidRPr="00000000">
        <w:rPr>
          <w:rtl w:val="0"/>
        </w:rPr>
        <w:t xml:space="preserve">(24), 23-47.</w:t>
      </w:r>
      <w:hyperlink r:id="rId47">
        <w:r w:rsidDel="00000000" w:rsidR="00000000" w:rsidRPr="00000000">
          <w:rPr>
            <w:color w:val="1155cc"/>
            <w:rtl w:val="0"/>
          </w:rPr>
          <w:t xml:space="preserve"> </w:t>
        </w:r>
      </w:hyperlink>
      <w:hyperlink r:id="rId48">
        <w:r w:rsidDel="00000000" w:rsidR="00000000" w:rsidRPr="00000000">
          <w:rPr>
            <w:color w:val="1155cc"/>
            <w:u w:val="single"/>
            <w:rtl w:val="0"/>
          </w:rPr>
          <w:t xml:space="preserve">https://doi.org/10.25057/21452776.1331 </w:t>
        </w:r>
      </w:hyperlink>
      <w:r w:rsidDel="00000000" w:rsidR="00000000" w:rsidRPr="00000000">
        <w:rPr>
          <w:rtl w:val="0"/>
        </w:rPr>
      </w:r>
    </w:p>
    <w:p w:rsidR="00000000" w:rsidDel="00000000" w:rsidP="00000000" w:rsidRDefault="00000000" w:rsidRPr="00000000" w14:paraId="00000203">
      <w:pPr>
        <w:pageBreakBefore w:val="0"/>
        <w:spacing w:line="360" w:lineRule="auto"/>
        <w:ind w:left="720" w:hanging="720"/>
        <w:jc w:val="both"/>
        <w:rPr/>
      </w:pPr>
      <w:r w:rsidDel="00000000" w:rsidR="00000000" w:rsidRPr="00000000">
        <w:rPr>
          <w:rtl w:val="0"/>
        </w:rPr>
        <w:t xml:space="preserve">Romero, M., Serna, S., Ferreira, M., Cabral, M., Figueroa, D., &amp; Almirón, L. (2023). Estado nutricional y estrés académico en jóvenes universitarios de la Facultad de Medicina - UNNE. </w:t>
      </w:r>
      <w:r w:rsidDel="00000000" w:rsidR="00000000" w:rsidRPr="00000000">
        <w:rPr>
          <w:i w:val="1"/>
          <w:rtl w:val="0"/>
        </w:rPr>
        <w:t xml:space="preserve">Revista de Investigación Científica y Tecnológica, 7</w:t>
      </w:r>
      <w:r w:rsidDel="00000000" w:rsidR="00000000" w:rsidRPr="00000000">
        <w:rPr>
          <w:rtl w:val="0"/>
        </w:rPr>
        <w:t xml:space="preserve">(1), 103-118. </w:t>
      </w:r>
      <w:hyperlink r:id="rId49">
        <w:r w:rsidDel="00000000" w:rsidR="00000000" w:rsidRPr="00000000">
          <w:rPr>
            <w:color w:val="1155cc"/>
            <w:u w:val="single"/>
            <w:rtl w:val="0"/>
          </w:rPr>
          <w:t xml:space="preserve">https://doi.org/10.36003/Rev.investig.cient.tecnol.V7N1(2023)8 </w:t>
        </w:r>
      </w:hyperlink>
      <w:r w:rsidDel="00000000" w:rsidR="00000000" w:rsidRPr="00000000">
        <w:rPr>
          <w:rtl w:val="0"/>
        </w:rPr>
      </w:r>
    </w:p>
    <w:p w:rsidR="00000000" w:rsidDel="00000000" w:rsidP="00000000" w:rsidRDefault="00000000" w:rsidRPr="00000000" w14:paraId="00000204">
      <w:pPr>
        <w:pageBreakBefore w:val="0"/>
        <w:spacing w:line="360" w:lineRule="auto"/>
        <w:ind w:left="720" w:hanging="720"/>
        <w:jc w:val="both"/>
        <w:rPr/>
      </w:pPr>
      <w:r w:rsidDel="00000000" w:rsidR="00000000" w:rsidRPr="00000000">
        <w:rPr>
          <w:rtl w:val="0"/>
        </w:rPr>
        <w:t xml:space="preserve">Sandoval, D., &amp; Torres, C. (2018). </w:t>
      </w:r>
      <w:r w:rsidDel="00000000" w:rsidR="00000000" w:rsidRPr="00000000">
        <w:rPr>
          <w:i w:val="1"/>
          <w:rtl w:val="0"/>
        </w:rPr>
        <w:t xml:space="preserve">Relación entre el estrés académico y los hábitos alimentarios de los alumnos de la carrera de Nutrición y Dietética de la Universidad del Desarrollo, 2018 </w:t>
      </w:r>
      <w:r w:rsidDel="00000000" w:rsidR="00000000" w:rsidRPr="00000000">
        <w:rPr>
          <w:rtl w:val="0"/>
        </w:rPr>
        <w:t xml:space="preserve">[Tesis de Licenciatura, </w:t>
      </w:r>
      <w:r w:rsidDel="00000000" w:rsidR="00000000" w:rsidRPr="00000000">
        <w:rPr>
          <w:rtl w:val="0"/>
        </w:rPr>
        <w:t xml:space="preserve">Universidad del Desarrollo]. Biblioteca UUD. </w:t>
      </w:r>
      <w:hyperlink r:id="rId50">
        <w:r w:rsidDel="00000000" w:rsidR="00000000" w:rsidRPr="00000000">
          <w:rPr>
            <w:color w:val="1155cc"/>
            <w:u w:val="single"/>
            <w:rtl w:val="0"/>
          </w:rPr>
          <w:t xml:space="preserve">http://hdl.handle.net/11447/2344</w:t>
        </w:r>
      </w:hyperlink>
      <w:r w:rsidDel="00000000" w:rsidR="00000000" w:rsidRPr="00000000">
        <w:rPr>
          <w:rtl w:val="0"/>
        </w:rPr>
        <w:t xml:space="preserve"> </w:t>
      </w:r>
    </w:p>
    <w:p w:rsidR="00000000" w:rsidDel="00000000" w:rsidP="00000000" w:rsidRDefault="00000000" w:rsidRPr="00000000" w14:paraId="00000205">
      <w:pPr>
        <w:pageBreakBefore w:val="0"/>
        <w:spacing w:line="360" w:lineRule="auto"/>
        <w:ind w:left="720" w:hanging="720"/>
        <w:jc w:val="both"/>
        <w:rPr/>
      </w:pPr>
      <w:r w:rsidDel="00000000" w:rsidR="00000000" w:rsidRPr="00000000">
        <w:rPr>
          <w:rtl w:val="0"/>
        </w:rPr>
        <w:t xml:space="preserve">San Martin, R., Trunce, S., Villarroel, G., Troncoso, A. &amp; Batista, L. (2024). Associations between eating behavior and mental health symptoms in university students: a cross-sectional study. </w:t>
      </w:r>
      <w:r w:rsidDel="00000000" w:rsidR="00000000" w:rsidRPr="00000000">
        <w:rPr>
          <w:i w:val="1"/>
          <w:rtl w:val="0"/>
        </w:rPr>
        <w:t xml:space="preserve">Revista chilena de nutrición, 51</w:t>
      </w:r>
      <w:r w:rsidDel="00000000" w:rsidR="00000000" w:rsidRPr="00000000">
        <w:rPr>
          <w:rtl w:val="0"/>
        </w:rPr>
        <w:t xml:space="preserve">(6), 459-467. </w:t>
      </w:r>
      <w:hyperlink r:id="rId51">
        <w:r w:rsidDel="00000000" w:rsidR="00000000" w:rsidRPr="00000000">
          <w:rPr>
            <w:color w:val="1155cc"/>
            <w:u w:val="single"/>
            <w:rtl w:val="0"/>
          </w:rPr>
          <w:t xml:space="preserve">http://dx.doi.org/10.4067/s0717-75182024000600459 </w:t>
        </w:r>
      </w:hyperlink>
      <w:r w:rsidDel="00000000" w:rsidR="00000000" w:rsidRPr="00000000">
        <w:rPr>
          <w:rtl w:val="0"/>
        </w:rPr>
      </w:r>
    </w:p>
    <w:p w:rsidR="00000000" w:rsidDel="00000000" w:rsidP="00000000" w:rsidRDefault="00000000" w:rsidRPr="00000000" w14:paraId="00000206">
      <w:pPr>
        <w:pageBreakBefore w:val="0"/>
        <w:spacing w:line="360" w:lineRule="auto"/>
        <w:ind w:left="720" w:hanging="720"/>
        <w:jc w:val="both"/>
        <w:rPr/>
      </w:pPr>
      <w:r w:rsidDel="00000000" w:rsidR="00000000" w:rsidRPr="00000000">
        <w:rPr>
          <w:rtl w:val="0"/>
        </w:rPr>
        <w:t xml:space="preserve">Santa Cruz, S. (2021). </w:t>
      </w:r>
      <w:r w:rsidDel="00000000" w:rsidR="00000000" w:rsidRPr="00000000">
        <w:rPr>
          <w:i w:val="1"/>
          <w:rtl w:val="0"/>
        </w:rPr>
        <w:t xml:space="preserve">Programa Educativo para mejorar la práctica de hábitos alimenticios y actividad física de las estudiantes del I Ciclo de la Escuela Profesional de Obstetricia de la Universidad Particular de Chiclayo- Lambayeque, 2017.</w:t>
      </w:r>
      <w:r w:rsidDel="00000000" w:rsidR="00000000" w:rsidRPr="00000000">
        <w:rPr>
          <w:rtl w:val="0"/>
        </w:rPr>
        <w:t xml:space="preserve"> [Tesis de Maestría, Universidad Nacional Pedro Ruiz Gallo]. Repositorio Institucional Universidad Nacional Pedro Ruiz Gallo. </w:t>
      </w:r>
      <w:hyperlink r:id="rId52">
        <w:r w:rsidDel="00000000" w:rsidR="00000000" w:rsidRPr="00000000">
          <w:rPr>
            <w:color w:val="1155cc"/>
            <w:u w:val="single"/>
            <w:rtl w:val="0"/>
          </w:rPr>
          <w:t xml:space="preserve">https://repositorio.unprg.edu.pe/handle/20.500.12893/11633</w:t>
        </w:r>
      </w:hyperlink>
      <w:r w:rsidDel="00000000" w:rsidR="00000000" w:rsidRPr="00000000">
        <w:rPr>
          <w:rtl w:val="0"/>
        </w:rPr>
      </w:r>
    </w:p>
    <w:p w:rsidR="00000000" w:rsidDel="00000000" w:rsidP="00000000" w:rsidRDefault="00000000" w:rsidRPr="00000000" w14:paraId="00000207">
      <w:pPr>
        <w:pageBreakBefore w:val="0"/>
        <w:spacing w:line="360" w:lineRule="auto"/>
        <w:ind w:left="720" w:hanging="720"/>
        <w:jc w:val="both"/>
        <w:rPr/>
      </w:pPr>
      <w:r w:rsidDel="00000000" w:rsidR="00000000" w:rsidRPr="00000000">
        <w:rPr>
          <w:rtl w:val="0"/>
        </w:rPr>
        <w:t xml:space="preserve">Santos, I., &amp; Gruezo, L. (2023). Hábitos alimentarios y su relación con la erosión dental: una revisión sistemática. </w:t>
      </w:r>
      <w:r w:rsidDel="00000000" w:rsidR="00000000" w:rsidRPr="00000000">
        <w:rPr>
          <w:i w:val="1"/>
          <w:rtl w:val="0"/>
        </w:rPr>
        <w:t xml:space="preserve">Revista San Gregorio, 1</w:t>
      </w:r>
      <w:r w:rsidDel="00000000" w:rsidR="00000000" w:rsidRPr="00000000">
        <w:rPr>
          <w:rtl w:val="0"/>
        </w:rPr>
        <w:t xml:space="preserve">(55), 181-201. </w:t>
      </w:r>
      <w:hyperlink r:id="rId53">
        <w:r w:rsidDel="00000000" w:rsidR="00000000" w:rsidRPr="00000000">
          <w:rPr>
            <w:color w:val="1155cc"/>
            <w:u w:val="single"/>
            <w:rtl w:val="0"/>
          </w:rPr>
          <w:t xml:space="preserve">http://scielo.senescyt.gob.ec/pdf/rsan/v1n55/2528-7907-rsan-1-55-00181.pdf </w:t>
        </w:r>
      </w:hyperlink>
      <w:r w:rsidDel="00000000" w:rsidR="00000000" w:rsidRPr="00000000">
        <w:rPr>
          <w:rtl w:val="0"/>
        </w:rPr>
        <w:t xml:space="preserve"> </w:t>
      </w:r>
    </w:p>
    <w:p w:rsidR="00000000" w:rsidDel="00000000" w:rsidP="00000000" w:rsidRDefault="00000000" w:rsidRPr="00000000" w14:paraId="00000208">
      <w:pPr>
        <w:pageBreakBefore w:val="0"/>
        <w:spacing w:line="360" w:lineRule="auto"/>
        <w:ind w:left="720" w:hanging="720"/>
        <w:jc w:val="both"/>
        <w:rPr/>
      </w:pPr>
      <w:r w:rsidDel="00000000" w:rsidR="00000000" w:rsidRPr="00000000">
        <w:rPr>
          <w:rtl w:val="0"/>
        </w:rPr>
        <w:t xml:space="preserve">Sayán, J. (2018). </w:t>
      </w:r>
      <w:r w:rsidDel="00000000" w:rsidR="00000000" w:rsidRPr="00000000">
        <w:rPr>
          <w:i w:val="1"/>
          <w:rtl w:val="0"/>
        </w:rPr>
        <w:t xml:space="preserve">Hábitos alimentarios y rendimiento académico en estudiantes del I.E.P Franklin D. Roosevelt, Comas, 2017</w:t>
      </w:r>
      <w:r w:rsidDel="00000000" w:rsidR="00000000" w:rsidRPr="00000000">
        <w:rPr>
          <w:rtl w:val="0"/>
        </w:rPr>
        <w:t xml:space="preserve"> [Tesis de Maestría, Universidad César Vallejo]. Repositorio Institucional Digital Universidad César Vallejo. </w:t>
      </w:r>
      <w:hyperlink r:id="rId54">
        <w:r w:rsidDel="00000000" w:rsidR="00000000" w:rsidRPr="00000000">
          <w:rPr>
            <w:color w:val="1155cc"/>
            <w:u w:val="single"/>
            <w:rtl w:val="0"/>
          </w:rPr>
          <w:t xml:space="preserve">https://repositorio.ucv.edu.pe/bitstream/handle/20.500.12692/14150/Sayán_BJS.pdf?sequence=1&amp;isAllowed=y </w:t>
        </w:r>
      </w:hyperlink>
      <w:r w:rsidDel="00000000" w:rsidR="00000000" w:rsidRPr="00000000">
        <w:rPr>
          <w:rtl w:val="0"/>
        </w:rPr>
      </w:r>
    </w:p>
    <w:p w:rsidR="00000000" w:rsidDel="00000000" w:rsidP="00000000" w:rsidRDefault="00000000" w:rsidRPr="00000000" w14:paraId="00000209">
      <w:pPr>
        <w:pageBreakBefore w:val="0"/>
        <w:spacing w:line="360" w:lineRule="auto"/>
        <w:ind w:left="720" w:hanging="720"/>
        <w:jc w:val="both"/>
        <w:rPr/>
      </w:pPr>
      <w:r w:rsidDel="00000000" w:rsidR="00000000" w:rsidRPr="00000000">
        <w:rPr>
          <w:rtl w:val="0"/>
        </w:rPr>
        <w:t xml:space="preserve">Teque, M., Diaz, N., &amp; Mechán, D. (2020). Estrés académico en estudiantes de enfermería de universidad peruana. </w:t>
      </w:r>
      <w:r w:rsidDel="00000000" w:rsidR="00000000" w:rsidRPr="00000000">
        <w:rPr>
          <w:i w:val="1"/>
          <w:rtl w:val="0"/>
        </w:rPr>
        <w:t xml:space="preserve">Medicina naturista, 14</w:t>
      </w:r>
      <w:r w:rsidDel="00000000" w:rsidR="00000000" w:rsidRPr="00000000">
        <w:rPr>
          <w:rtl w:val="0"/>
        </w:rPr>
        <w:t xml:space="preserve">(2), 43-48. </w:t>
      </w:r>
      <w:hyperlink r:id="rId55">
        <w:r w:rsidDel="00000000" w:rsidR="00000000" w:rsidRPr="00000000">
          <w:rPr>
            <w:color w:val="1155cc"/>
            <w:u w:val="single"/>
            <w:rtl w:val="0"/>
          </w:rPr>
          <w:t xml:space="preserve">https://dialnet.unirioja.es/servlet/articulo?codigo=7512760</w:t>
        </w:r>
      </w:hyperlink>
      <w:r w:rsidDel="00000000" w:rsidR="00000000" w:rsidRPr="00000000">
        <w:rPr>
          <w:rtl w:val="0"/>
        </w:rPr>
      </w:r>
    </w:p>
    <w:p w:rsidR="00000000" w:rsidDel="00000000" w:rsidP="00000000" w:rsidRDefault="00000000" w:rsidRPr="00000000" w14:paraId="0000020A">
      <w:pPr>
        <w:pageBreakBefore w:val="0"/>
        <w:spacing w:line="360" w:lineRule="auto"/>
        <w:ind w:left="720" w:hanging="720"/>
        <w:jc w:val="both"/>
        <w:rPr/>
      </w:pPr>
      <w:r w:rsidDel="00000000" w:rsidR="00000000" w:rsidRPr="00000000">
        <w:rPr>
          <w:rtl w:val="0"/>
        </w:rPr>
        <w:t xml:space="preserve">Torres, A., Cisneros, J., &amp; Guzmán, G. (2022). Comportamiento alimentario: Revisión conceptual. </w:t>
      </w:r>
      <w:r w:rsidDel="00000000" w:rsidR="00000000" w:rsidRPr="00000000">
        <w:rPr>
          <w:i w:val="1"/>
          <w:rtl w:val="0"/>
        </w:rPr>
        <w:t xml:space="preserve">Boletín Científico De La Escuela Superior Atotonilco De Tula, 9</w:t>
      </w:r>
      <w:r w:rsidDel="00000000" w:rsidR="00000000" w:rsidRPr="00000000">
        <w:rPr>
          <w:rtl w:val="0"/>
        </w:rPr>
        <w:t xml:space="preserve">(17), 38-44. </w:t>
      </w:r>
      <w:hyperlink r:id="rId56">
        <w:r w:rsidDel="00000000" w:rsidR="00000000" w:rsidRPr="00000000">
          <w:rPr>
            <w:color w:val="1155cc"/>
            <w:u w:val="single"/>
            <w:rtl w:val="0"/>
          </w:rPr>
          <w:t xml:space="preserve">https://doi.org/10.29057/esat.v9i17.8154 </w:t>
        </w:r>
      </w:hyperlink>
      <w:r w:rsidDel="00000000" w:rsidR="00000000" w:rsidRPr="00000000">
        <w:rPr>
          <w:rtl w:val="0"/>
        </w:rPr>
      </w:r>
    </w:p>
    <w:p w:rsidR="00000000" w:rsidDel="00000000" w:rsidP="00000000" w:rsidRDefault="00000000" w:rsidRPr="00000000" w14:paraId="0000020B">
      <w:pPr>
        <w:pageBreakBefore w:val="0"/>
        <w:spacing w:line="360" w:lineRule="auto"/>
        <w:ind w:left="720" w:hanging="720"/>
        <w:jc w:val="both"/>
        <w:rPr/>
      </w:pPr>
      <w:r w:rsidDel="00000000" w:rsidR="00000000" w:rsidRPr="00000000">
        <w:rPr>
          <w:rtl w:val="0"/>
        </w:rPr>
        <w:t xml:space="preserve">Tutaya, F. (2021).</w:t>
      </w:r>
      <w:r w:rsidDel="00000000" w:rsidR="00000000" w:rsidRPr="00000000">
        <w:rPr>
          <w:i w:val="1"/>
          <w:rtl w:val="0"/>
        </w:rPr>
        <w:t xml:space="preserve"> Hábitos alimenticios y estrés académico en estudiantes universitarios de Lima</w:t>
      </w:r>
      <w:r w:rsidDel="00000000" w:rsidR="00000000" w:rsidRPr="00000000">
        <w:rPr>
          <w:rtl w:val="0"/>
        </w:rPr>
        <w:t xml:space="preserve"> [Tesis de Licenciatura, Pontificia Universidad Católica del Perú]. Repositorio Institucional de la Pontificia Universidad Católica del Perú. </w:t>
      </w:r>
      <w:hyperlink r:id="rId57">
        <w:r w:rsidDel="00000000" w:rsidR="00000000" w:rsidRPr="00000000">
          <w:rPr>
            <w:color w:val="1155cc"/>
            <w:u w:val="single"/>
            <w:rtl w:val="0"/>
          </w:rPr>
          <w:t xml:space="preserve">https://repositorio.pucp.edu.pe/items/28142ccf-53a5-47bb-8763-47aeab1ac0d9</w:t>
        </w:r>
      </w:hyperlink>
      <w:r w:rsidDel="00000000" w:rsidR="00000000" w:rsidRPr="00000000">
        <w:rPr>
          <w:rtl w:val="0"/>
        </w:rPr>
      </w:r>
    </w:p>
    <w:p w:rsidR="00000000" w:rsidDel="00000000" w:rsidP="00000000" w:rsidRDefault="00000000" w:rsidRPr="00000000" w14:paraId="0000020C">
      <w:pPr>
        <w:pageBreakBefore w:val="0"/>
        <w:spacing w:line="360" w:lineRule="auto"/>
        <w:ind w:left="720" w:hanging="720"/>
        <w:jc w:val="both"/>
        <w:rPr/>
      </w:pPr>
      <w:r w:rsidDel="00000000" w:rsidR="00000000" w:rsidRPr="00000000">
        <w:rPr>
          <w:rtl w:val="0"/>
        </w:rPr>
        <w:t xml:space="preserve">Vizcaíno, P., Cedeño, R. &amp; Maldonado, I. (2023). Metodología de la investigación científica: guía práctica. </w:t>
      </w:r>
      <w:r w:rsidDel="00000000" w:rsidR="00000000" w:rsidRPr="00000000">
        <w:rPr>
          <w:i w:val="1"/>
          <w:rtl w:val="0"/>
        </w:rPr>
        <w:t xml:space="preserve">Ciencia Latina Revista Científica Multidisciplinar, 7</w:t>
      </w:r>
      <w:r w:rsidDel="00000000" w:rsidR="00000000" w:rsidRPr="00000000">
        <w:rPr>
          <w:rtl w:val="0"/>
        </w:rPr>
        <w:t xml:space="preserve">(4), 9723-9762. </w:t>
      </w:r>
      <w:hyperlink r:id="rId58">
        <w:r w:rsidDel="00000000" w:rsidR="00000000" w:rsidRPr="00000000">
          <w:rPr>
            <w:color w:val="1155cc"/>
            <w:u w:val="single"/>
            <w:rtl w:val="0"/>
          </w:rPr>
          <w:t xml:space="preserve">https://doi.org/10.37811/cl_rcm.v7i4.7658 </w:t>
        </w:r>
      </w:hyperlink>
      <w:r w:rsidDel="00000000" w:rsidR="00000000" w:rsidRPr="00000000">
        <w:rPr>
          <w:rtl w:val="0"/>
        </w:rPr>
      </w:r>
    </w:p>
    <w:p w:rsidR="00000000" w:rsidDel="00000000" w:rsidP="00000000" w:rsidRDefault="00000000" w:rsidRPr="00000000" w14:paraId="0000020D">
      <w:pPr>
        <w:pageBreakBefore w:val="0"/>
        <w:spacing w:line="360" w:lineRule="auto"/>
        <w:ind w:left="720" w:hanging="720"/>
        <w:jc w:val="both"/>
        <w:rPr/>
      </w:pPr>
      <w:r w:rsidDel="00000000" w:rsidR="00000000" w:rsidRPr="00000000">
        <w:rPr>
          <w:rtl w:val="0"/>
        </w:rPr>
        <w:t xml:space="preserve">Zamora, I., &amp; Barboza, Y. (2020). Consumo de alimentos funcionales por estudiantes universitarios Ecuatorianos. </w:t>
      </w:r>
      <w:r w:rsidDel="00000000" w:rsidR="00000000" w:rsidRPr="00000000">
        <w:rPr>
          <w:i w:val="1"/>
          <w:rtl w:val="0"/>
        </w:rPr>
        <w:t xml:space="preserve">Anales Venezolanos de Nutrición, 33</w:t>
      </w:r>
      <w:r w:rsidDel="00000000" w:rsidR="00000000" w:rsidRPr="00000000">
        <w:rPr>
          <w:rtl w:val="0"/>
        </w:rPr>
        <w:t xml:space="preserve">(1), 14-23.  </w:t>
      </w:r>
      <w:hyperlink r:id="rId59">
        <w:r w:rsidDel="00000000" w:rsidR="00000000" w:rsidRPr="00000000">
          <w:rPr>
            <w:color w:val="1155cc"/>
            <w:u w:val="single"/>
            <w:rtl w:val="0"/>
          </w:rPr>
          <w:t xml:space="preserve">https://ve.scielo.org/scielo.php?pid=S0798-07522020000100014&amp;script=sci_arttext</w:t>
        </w:r>
      </w:hyperlink>
      <w:r w:rsidDel="00000000" w:rsidR="00000000" w:rsidRPr="00000000">
        <w:rPr>
          <w:rtl w:val="0"/>
        </w:rPr>
      </w:r>
    </w:p>
    <w:p w:rsidR="00000000" w:rsidDel="00000000" w:rsidP="00000000" w:rsidRDefault="00000000" w:rsidRPr="00000000" w14:paraId="0000020E">
      <w:pPr>
        <w:pageBreakBefore w:val="0"/>
        <w:spacing w:line="360" w:lineRule="auto"/>
        <w:ind w:left="720" w:hanging="720"/>
        <w:jc w:val="both"/>
        <w:rPr/>
      </w:pPr>
      <w:r w:rsidDel="00000000" w:rsidR="00000000" w:rsidRPr="00000000">
        <w:rPr>
          <w:rtl w:val="0"/>
        </w:rPr>
      </w:r>
    </w:p>
    <w:p w:rsidR="00000000" w:rsidDel="00000000" w:rsidP="00000000" w:rsidRDefault="00000000" w:rsidRPr="00000000" w14:paraId="0000020F">
      <w:pPr>
        <w:pageBreakBefore w:val="0"/>
        <w:spacing w:line="360" w:lineRule="auto"/>
        <w:ind w:left="720" w:hanging="720"/>
        <w:jc w:val="both"/>
        <w:rPr/>
      </w:pPr>
      <w:r w:rsidDel="00000000" w:rsidR="00000000" w:rsidRPr="00000000">
        <w:br w:type="page"/>
      </w:r>
      <w:r w:rsidDel="00000000" w:rsidR="00000000" w:rsidRPr="00000000">
        <w:rPr>
          <w:rtl w:val="0"/>
        </w:rPr>
      </w:r>
    </w:p>
    <w:p w:rsidR="00000000" w:rsidDel="00000000" w:rsidP="00000000" w:rsidRDefault="00000000" w:rsidRPr="00000000" w14:paraId="00000210">
      <w:pPr>
        <w:pageBreakBefore w:val="0"/>
        <w:shd w:fill="ffffff" w:val="clear"/>
        <w:spacing w:line="360" w:lineRule="auto"/>
        <w:jc w:val="right"/>
        <w:rPr>
          <w:i w:val="1"/>
          <w:sz w:val="20"/>
          <w:szCs w:val="20"/>
        </w:rPr>
      </w:pPr>
      <w:r w:rsidDel="00000000" w:rsidR="00000000" w:rsidRPr="00000000">
        <w:rPr>
          <w:i w:val="1"/>
          <w:sz w:val="20"/>
          <w:szCs w:val="20"/>
          <w:rtl w:val="0"/>
        </w:rPr>
        <w:t xml:space="preserve">Received: </w:t>
      </w:r>
    </w:p>
    <w:p w:rsidR="00000000" w:rsidDel="00000000" w:rsidP="00000000" w:rsidRDefault="00000000" w:rsidRPr="00000000" w14:paraId="00000211">
      <w:pPr>
        <w:pageBreakBefore w:val="0"/>
        <w:shd w:fill="ffffff" w:val="clear"/>
        <w:spacing w:line="360" w:lineRule="auto"/>
        <w:jc w:val="right"/>
        <w:rPr>
          <w:i w:val="1"/>
          <w:sz w:val="28"/>
          <w:szCs w:val="28"/>
        </w:rPr>
      </w:pPr>
      <w:r w:rsidDel="00000000" w:rsidR="00000000" w:rsidRPr="00000000">
        <w:rPr>
          <w:i w:val="1"/>
          <w:sz w:val="20"/>
          <w:szCs w:val="20"/>
          <w:rtl w:val="0"/>
        </w:rPr>
        <w:t xml:space="preserve">Accepted:</w:t>
      </w: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Apéndice A</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Consejos adicionales de escritura al estilo de la APA</w:t>
      </w:r>
    </w:p>
    <w:p w:rsidR="00000000" w:rsidDel="00000000" w:rsidP="00000000" w:rsidRDefault="00000000" w:rsidRPr="00000000" w14:paraId="000002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Papel A4</w:t>
      </w:r>
    </w:p>
    <w:p w:rsidR="00000000" w:rsidDel="00000000" w:rsidP="00000000" w:rsidRDefault="00000000" w:rsidRPr="00000000" w14:paraId="000002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Usar márgenes de 2,5 cm</w:t>
      </w:r>
    </w:p>
    <w:p w:rsidR="00000000" w:rsidDel="00000000" w:rsidP="00000000" w:rsidRDefault="00000000" w:rsidRPr="00000000" w14:paraId="000002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Todo el texto a un espacio de 1,5</w:t>
      </w:r>
    </w:p>
    <w:p w:rsidR="00000000" w:rsidDel="00000000" w:rsidP="00000000" w:rsidRDefault="00000000" w:rsidRPr="00000000" w14:paraId="000002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Iniciar Referencias en nueva página</w:t>
      </w:r>
    </w:p>
    <w:p w:rsidR="00000000" w:rsidDel="00000000" w:rsidP="00000000" w:rsidRDefault="00000000" w:rsidRPr="00000000" w14:paraId="000002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Justificación del margen izquierdo del cuerpo del texto</w:t>
      </w:r>
    </w:p>
    <w:p w:rsidR="00000000" w:rsidDel="00000000" w:rsidP="00000000" w:rsidRDefault="00000000" w:rsidRPr="00000000" w14:paraId="000002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Presentar correctamente las cifras, incluida la copia estadística</w:t>
      </w:r>
    </w:p>
    <w:p w:rsidR="00000000" w:rsidDel="00000000" w:rsidP="00000000" w:rsidRDefault="00000000" w:rsidRPr="00000000" w14:paraId="000002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Usar el sistema métrico para todas las mediciones</w:t>
      </w:r>
    </w:p>
    <w:p w:rsidR="00000000" w:rsidDel="00000000" w:rsidP="00000000" w:rsidRDefault="00000000" w:rsidRPr="00000000" w14:paraId="000002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el tiempo pasado para describir aspectos del estudio</w:t>
      </w:r>
    </w:p>
    <w:p w:rsidR="00000000" w:rsidDel="00000000" w:rsidP="00000000" w:rsidRDefault="00000000" w:rsidRPr="00000000" w14:paraId="000002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Evite el lenguaje sexista</w:t>
      </w:r>
    </w:p>
    <w:p w:rsidR="00000000" w:rsidDel="00000000" w:rsidP="00000000" w:rsidRDefault="00000000" w:rsidRPr="00000000" w14:paraId="000002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Revisa la ortografía de tu trabajo</w:t>
      </w:r>
    </w:p>
    <w:sectPr>
      <w:headerReference r:id="rId60" w:type="default"/>
      <w:headerReference r:id="rId61" w:type="even"/>
      <w:footerReference r:id="rId62" w:type="default"/>
      <w:footerReference r:id="rId63" w:type="even"/>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960" w:right="0" w:firstLine="39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Revista Interamericana de Psicología/Interamerican Journal of Psychology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64657</wp:posOffset>
          </wp:positionH>
          <wp:positionV relativeFrom="paragraph">
            <wp:posOffset>-253535</wp:posOffset>
          </wp:positionV>
          <wp:extent cx="681164" cy="628073"/>
          <wp:effectExtent b="0" l="0" r="0" t="0"/>
          <wp:wrapNone/>
          <wp:docPr id="29" name="image2.jpg"/>
          <a:graphic>
            <a:graphicData uri="http://schemas.openxmlformats.org/drawingml/2006/picture">
              <pic:pic>
                <pic:nvPicPr>
                  <pic:cNvPr id="0" name="image2.jpg"/>
                  <pic:cNvPicPr preferRelativeResize="0"/>
                </pic:nvPicPr>
                <pic:blipFill>
                  <a:blip r:embed="rId1"/>
                  <a:srcRect b="0" l="18661" r="0" t="0"/>
                  <a:stretch>
                    <a:fillRect/>
                  </a:stretch>
                </pic:blipFill>
                <pic:spPr>
                  <a:xfrm>
                    <a:off x="0" y="0"/>
                    <a:ext cx="681164" cy="628073"/>
                  </a:xfrm>
                  <a:prstGeom prst="rect"/>
                  <a:ln/>
                </pic:spPr>
              </pic:pic>
            </a:graphicData>
          </a:graphic>
        </wp:anchor>
      </w:drawing>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Modelo de Envío de Manuscrito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w:cs="Times" w:eastAsia="Times" w:hAnsi="Times"/>
        <w:b w:val="0"/>
        <w:i w:val="0"/>
        <w:smallCaps w:val="1"/>
        <w:strike w:val="0"/>
        <w:color w:val="000000"/>
        <w:sz w:val="20"/>
        <w:szCs w:val="20"/>
        <w:u w:val="none"/>
        <w:shd w:fill="auto" w:val="clear"/>
        <w:vertAlign w:val="baseline"/>
      </w:rPr>
    </w:pPr>
    <w:r w:rsidDel="00000000" w:rsidR="00000000" w:rsidRPr="00000000">
      <w:rPr>
        <w:rFonts w:ascii="Times" w:cs="Times" w:eastAsia="Times" w:hAnsi="Times"/>
        <w:b w:val="0"/>
        <w:i w:val="0"/>
        <w:smallCaps w:val="1"/>
        <w:strike w:val="0"/>
        <w:color w:val="000000"/>
        <w:sz w:val="20"/>
        <w:szCs w:val="20"/>
        <w:u w:val="none"/>
        <w:shd w:fill="auto" w:val="clear"/>
        <w:vertAlign w:val="baseline"/>
        <w:rtl w:val="0"/>
      </w:rPr>
      <w:t xml:space="preserve">Modelo de Envío de Manuscrito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C413D4"/>
    <w:pPr>
      <w:tabs>
        <w:tab w:val="center" w:pos="4680"/>
        <w:tab w:val="right" w:pos="9360"/>
      </w:tabs>
    </w:pPr>
    <w:rPr>
      <w:rFonts w:asciiTheme="minorHAnsi" w:cstheme="minorBidi" w:eastAsiaTheme="minorHAnsi" w:hAnsiTheme="minorHAnsi"/>
      <w:lang w:eastAsia="en-US" w:val="en-US"/>
    </w:rPr>
  </w:style>
  <w:style w:type="character" w:styleId="EncabezadoCar" w:customStyle="1">
    <w:name w:val="Encabezado Car"/>
    <w:basedOn w:val="Fuentedeprrafopredeter"/>
    <w:link w:val="Encabezado"/>
    <w:uiPriority w:val="99"/>
    <w:rsid w:val="00C413D4"/>
  </w:style>
  <w:style w:type="paragraph" w:styleId="Piedepgina">
    <w:name w:val="footer"/>
    <w:basedOn w:val="Normal"/>
    <w:link w:val="PiedepginaCar"/>
    <w:uiPriority w:val="99"/>
    <w:unhideWhenUsed w:val="1"/>
    <w:rsid w:val="00C413D4"/>
    <w:pPr>
      <w:tabs>
        <w:tab w:val="center" w:pos="4680"/>
        <w:tab w:val="right" w:pos="9360"/>
      </w:tabs>
    </w:pPr>
    <w:rPr>
      <w:rFonts w:asciiTheme="minorHAnsi" w:cstheme="minorBidi" w:eastAsiaTheme="minorHAnsi" w:hAnsiTheme="minorHAnsi"/>
      <w:lang w:eastAsia="en-US" w:val="en-US"/>
    </w:rPr>
  </w:style>
  <w:style w:type="character" w:styleId="PiedepginaCar" w:customStyle="1">
    <w:name w:val="Pie de página Car"/>
    <w:basedOn w:val="Fuentedeprrafopredeter"/>
    <w:link w:val="Piedepgina"/>
    <w:uiPriority w:val="99"/>
    <w:rsid w:val="00C413D4"/>
  </w:style>
  <w:style w:type="character" w:styleId="label3" w:customStyle="1">
    <w:name w:val="label3"/>
    <w:basedOn w:val="Fuentedeprrafopredeter"/>
    <w:rsid w:val="00C413D4"/>
  </w:style>
  <w:style w:type="paragraph" w:styleId="Textonotapie">
    <w:name w:val="footnote text"/>
    <w:basedOn w:val="Normal"/>
    <w:link w:val="TextonotapieCar"/>
    <w:uiPriority w:val="99"/>
    <w:semiHidden w:val="1"/>
    <w:unhideWhenUsed w:val="1"/>
    <w:rsid w:val="00C413D4"/>
    <w:rPr>
      <w:sz w:val="20"/>
      <w:szCs w:val="20"/>
    </w:rPr>
  </w:style>
  <w:style w:type="character" w:styleId="TextonotapieCar" w:customStyle="1">
    <w:name w:val="Texto nota pie Car"/>
    <w:basedOn w:val="Fuentedeprrafopredeter"/>
    <w:link w:val="Textonotapie"/>
    <w:uiPriority w:val="99"/>
    <w:semiHidden w:val="1"/>
    <w:rsid w:val="00C413D4"/>
    <w:rPr>
      <w:rFonts w:ascii="Times New Roman" w:cs="Times New Roman" w:eastAsia="Times New Roman" w:hAnsi="Times New Roman"/>
      <w:sz w:val="20"/>
      <w:szCs w:val="20"/>
      <w:lang w:eastAsia="es-ES_tradnl" w:val="es-ES_tradnl"/>
    </w:rPr>
  </w:style>
  <w:style w:type="character" w:styleId="Refdenotaalpie">
    <w:name w:val="footnote reference"/>
    <w:basedOn w:val="Fuentedeprrafopredeter"/>
    <w:uiPriority w:val="99"/>
    <w:semiHidden w:val="1"/>
    <w:unhideWhenUsed w:val="1"/>
    <w:rsid w:val="00C413D4"/>
    <w:rPr>
      <w:vertAlign w:val="superscript"/>
    </w:rPr>
  </w:style>
  <w:style w:type="character" w:styleId="Nmerodepgina">
    <w:name w:val="page number"/>
    <w:basedOn w:val="Fuentedeprrafopredeter"/>
    <w:uiPriority w:val="99"/>
    <w:semiHidden w:val="1"/>
    <w:unhideWhenUsed w:val="1"/>
    <w:rsid w:val="00C413D4"/>
  </w:style>
  <w:style w:type="paragraph" w:styleId="Textoindependiente">
    <w:name w:val="Body Text"/>
    <w:basedOn w:val="Normal"/>
    <w:link w:val="TextoindependienteCar"/>
    <w:rsid w:val="006F7E7E"/>
    <w:pPr>
      <w:spacing w:line="480" w:lineRule="auto"/>
      <w:ind w:firstLine="540"/>
    </w:pPr>
    <w:rPr>
      <w:szCs w:val="20"/>
      <w:lang w:eastAsia="en-US" w:val="en-US"/>
    </w:rPr>
  </w:style>
  <w:style w:type="character" w:styleId="TextoindependienteCar" w:customStyle="1">
    <w:name w:val="Texto independiente Car"/>
    <w:basedOn w:val="Fuentedeprrafopredeter"/>
    <w:link w:val="Textoindependiente"/>
    <w:rsid w:val="006F7E7E"/>
    <w:rPr>
      <w:rFonts w:ascii="Times New Roman" w:cs="Times New Roman" w:eastAsia="Times New Roman" w:hAnsi="Times New Roman"/>
      <w:szCs w:val="20"/>
    </w:rPr>
  </w:style>
  <w:style w:type="paragraph" w:styleId="EndNoteBibliography" w:customStyle="1">
    <w:name w:val="EndNote Bibliography"/>
    <w:basedOn w:val="Normal"/>
    <w:rsid w:val="006F7E7E"/>
    <w:pPr>
      <w:spacing w:after="200"/>
    </w:pPr>
    <w:rPr>
      <w:rFonts w:ascii="Calibri" w:hAnsi="Calibri"/>
      <w:sz w:val="22"/>
      <w:szCs w:val="22"/>
      <w:lang w:eastAsia="es-ES" w:val="es-ES"/>
    </w:rPr>
  </w:style>
  <w:style w:type="paragraph" w:styleId="Textonotaalfinal">
    <w:name w:val="endnote text"/>
    <w:basedOn w:val="Normal"/>
    <w:link w:val="TextonotaalfinalCar"/>
    <w:uiPriority w:val="99"/>
    <w:semiHidden w:val="1"/>
    <w:unhideWhenUsed w:val="1"/>
    <w:rsid w:val="007A7C7C"/>
    <w:rPr>
      <w:sz w:val="20"/>
      <w:szCs w:val="20"/>
    </w:rPr>
  </w:style>
  <w:style w:type="character" w:styleId="TextonotaalfinalCar" w:customStyle="1">
    <w:name w:val="Texto nota al final Car"/>
    <w:basedOn w:val="Fuentedeprrafopredeter"/>
    <w:link w:val="Textonotaalfinal"/>
    <w:uiPriority w:val="99"/>
    <w:semiHidden w:val="1"/>
    <w:rsid w:val="007A7C7C"/>
    <w:rPr>
      <w:rFonts w:ascii="Times New Roman" w:cs="Times New Roman" w:eastAsia="Times New Roman" w:hAnsi="Times New Roman"/>
      <w:sz w:val="20"/>
      <w:szCs w:val="20"/>
      <w:lang w:eastAsia="es-ES_tradnl" w:val="es-ES_tradnl"/>
    </w:rPr>
  </w:style>
  <w:style w:type="character" w:styleId="Refdenotaalfinal">
    <w:name w:val="endnote reference"/>
    <w:basedOn w:val="Fuentedeprrafopredeter"/>
    <w:uiPriority w:val="99"/>
    <w:semiHidden w:val="1"/>
    <w:unhideWhenUsed w:val="1"/>
    <w:rsid w:val="007A7C7C"/>
    <w:rPr>
      <w:vertAlign w:val="superscript"/>
    </w:rPr>
  </w:style>
  <w:style w:type="character" w:styleId="Hipervnculo">
    <w:name w:val="Hyperlink"/>
    <w:basedOn w:val="Fuentedeprrafopredeter"/>
    <w:uiPriority w:val="99"/>
    <w:unhideWhenUsed w:val="1"/>
    <w:rsid w:val="00B6522A"/>
    <w:rPr>
      <w:color w:val="0000ff"/>
      <w:u w:val="single"/>
    </w:rPr>
  </w:style>
  <w:style w:type="paragraph" w:styleId="Textodeglobo">
    <w:name w:val="Balloon Text"/>
    <w:basedOn w:val="Normal"/>
    <w:link w:val="TextodegloboCar"/>
    <w:uiPriority w:val="99"/>
    <w:semiHidden w:val="1"/>
    <w:unhideWhenUsed w:val="1"/>
    <w:rsid w:val="00FB0419"/>
    <w:rPr>
      <w:sz w:val="18"/>
      <w:szCs w:val="18"/>
    </w:rPr>
  </w:style>
  <w:style w:type="character" w:styleId="TextodegloboCar" w:customStyle="1">
    <w:name w:val="Texto de globo Car"/>
    <w:basedOn w:val="Fuentedeprrafopredeter"/>
    <w:link w:val="Textodeglobo"/>
    <w:uiPriority w:val="99"/>
    <w:semiHidden w:val="1"/>
    <w:rsid w:val="00FB0419"/>
    <w:rPr>
      <w:rFonts w:ascii="Times New Roman" w:cs="Times New Roman" w:eastAsia="Times New Roman" w:hAnsi="Times New Roman"/>
      <w:sz w:val="18"/>
      <w:szCs w:val="18"/>
      <w:lang w:eastAsia="es-ES_tradnl" w:val="es-ES_tradnl"/>
    </w:rPr>
  </w:style>
  <w:style w:type="table" w:styleId="Tablaconcuadrcula">
    <w:name w:val="Table Grid"/>
    <w:basedOn w:val="Tablanormal"/>
    <w:uiPriority w:val="39"/>
    <w:rsid w:val="00CE7D65"/>
    <w:rPr>
      <w:sz w:val="22"/>
      <w:szCs w:val="22"/>
      <w:lang w:val="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ferencias" w:customStyle="1">
    <w:name w:val="Referencias"/>
    <w:basedOn w:val="Normal"/>
    <w:qFormat w:val="1"/>
    <w:rsid w:val="00CE7D65"/>
    <w:pPr>
      <w:ind w:left="720" w:hanging="720"/>
      <w:jc w:val="both"/>
    </w:pPr>
    <w:rPr>
      <w:lang w:val="en-US"/>
    </w:rPr>
  </w:style>
  <w:style w:type="paragraph" w:styleId="Prrafocomn" w:customStyle="1">
    <w:name w:val="Párrafo común"/>
    <w:basedOn w:val="Normal"/>
    <w:qFormat w:val="1"/>
    <w:rsid w:val="00CE7D65"/>
    <w:pPr>
      <w:spacing w:line="360" w:lineRule="auto"/>
      <w:ind w:firstLine="708"/>
      <w:contextualSpacing w:val="1"/>
      <w:jc w:val="both"/>
    </w:pPr>
    <w:rPr>
      <w:lang w:val="en-US"/>
    </w:rPr>
  </w:style>
  <w:style w:type="paragraph" w:styleId="Ttulosinternos" w:customStyle="1">
    <w:name w:val="Títulos internos"/>
    <w:basedOn w:val="Normal"/>
    <w:link w:val="TtulosinternosCar"/>
    <w:autoRedefine w:val="1"/>
    <w:qFormat w:val="1"/>
    <w:rsid w:val="001516ED"/>
    <w:pPr>
      <w:spacing w:after="100" w:afterAutospacing="1" w:before="100" w:beforeAutospacing="1"/>
      <w:jc w:val="center"/>
      <w:outlineLvl w:val="0"/>
    </w:pPr>
    <w:rPr>
      <w:b w:val="1"/>
      <w:lang w:eastAsia="en-US" w:val="en-US"/>
    </w:rPr>
  </w:style>
  <w:style w:type="paragraph" w:styleId="SubtituloInterno" w:customStyle="1">
    <w:name w:val="Subtitulo Interno"/>
    <w:basedOn w:val="Normal"/>
    <w:autoRedefine w:val="1"/>
    <w:qFormat w:val="1"/>
    <w:rsid w:val="007E3B8D"/>
    <w:pPr>
      <w:spacing w:after="100" w:afterAutospacing="1" w:before="100" w:beforeAutospacing="1" w:line="360" w:lineRule="auto"/>
      <w:contextualSpacing w:val="1"/>
      <w:jc w:val="both"/>
      <w:outlineLvl w:val="1"/>
    </w:pPr>
    <w:rPr>
      <w:b w:val="1"/>
      <w:i w:val="1"/>
      <w:lang w:val="en-US"/>
    </w:rPr>
  </w:style>
  <w:style w:type="paragraph" w:styleId="TtuloResumen" w:customStyle="1">
    <w:name w:val="Título Resumen"/>
    <w:basedOn w:val="Normal"/>
    <w:link w:val="TtuloResumenCar"/>
    <w:autoRedefine w:val="1"/>
    <w:qFormat w:val="1"/>
    <w:rsid w:val="00C43335"/>
    <w:pPr>
      <w:spacing w:after="120"/>
      <w:jc w:val="center"/>
      <w:outlineLvl w:val="0"/>
    </w:pPr>
    <w:rPr>
      <w:b w:val="1"/>
      <w:smallCaps w:val="1"/>
      <w:sz w:val="20"/>
      <w:szCs w:val="20"/>
      <w:lang w:val="pt-BR"/>
    </w:rPr>
  </w:style>
  <w:style w:type="paragraph" w:styleId="Resumen" w:customStyle="1">
    <w:name w:val="Resumen"/>
    <w:basedOn w:val="Normal"/>
    <w:autoRedefine w:val="1"/>
    <w:qFormat w:val="1"/>
    <w:rsid w:val="007E3B8D"/>
    <w:pPr>
      <w:jc w:val="both"/>
    </w:pPr>
    <w:rPr>
      <w:sz w:val="20"/>
      <w:szCs w:val="20"/>
      <w:lang w:val="pt-BR"/>
    </w:rPr>
  </w:style>
  <w:style w:type="paragraph" w:styleId="Ttulodepalabrasclave" w:customStyle="1">
    <w:name w:val="Título de palabras clave"/>
    <w:basedOn w:val="Normal"/>
    <w:qFormat w:val="1"/>
    <w:rsid w:val="00CE7D65"/>
    <w:rPr>
      <w:b w:val="1"/>
      <w:sz w:val="20"/>
      <w:szCs w:val="20"/>
      <w:lang w:val="en-US"/>
    </w:rPr>
  </w:style>
  <w:style w:type="paragraph" w:styleId="Palabrasclave" w:customStyle="1">
    <w:name w:val="Palabras clave"/>
    <w:basedOn w:val="Normal"/>
    <w:qFormat w:val="1"/>
    <w:rsid w:val="00CE7D65"/>
    <w:pPr>
      <w:jc w:val="both"/>
    </w:pPr>
    <w:rPr>
      <w:bCs w:val="1"/>
      <w:sz w:val="20"/>
      <w:szCs w:val="20"/>
    </w:rPr>
  </w:style>
  <w:style w:type="paragraph" w:styleId="Notaalpie1erapgina" w:customStyle="1">
    <w:name w:val="Nota al pie 1era página"/>
    <w:basedOn w:val="Normal"/>
    <w:qFormat w:val="1"/>
    <w:rsid w:val="00CE7D65"/>
    <w:rPr>
      <w:rFonts w:ascii="Times" w:hAnsi="Times"/>
      <w:sz w:val="16"/>
      <w:szCs w:val="16"/>
      <w:lang w:val="pt-BR"/>
    </w:rPr>
  </w:style>
  <w:style w:type="paragraph" w:styleId="NombresAutores" w:customStyle="1">
    <w:name w:val="Nombres Autores"/>
    <w:basedOn w:val="Normal"/>
    <w:qFormat w:val="1"/>
    <w:rsid w:val="00CE7D65"/>
    <w:rPr>
      <w:b w:val="1"/>
      <w:color w:val="222222"/>
      <w:sz w:val="28"/>
      <w:szCs w:val="28"/>
      <w:lang w:val="pt-BR"/>
    </w:rPr>
  </w:style>
  <w:style w:type="paragraph" w:styleId="Instituciones" w:customStyle="1">
    <w:name w:val="Instituciones"/>
    <w:basedOn w:val="Normal"/>
    <w:qFormat w:val="1"/>
    <w:rsid w:val="00CE7D65"/>
    <w:rPr>
      <w:i w:val="1"/>
      <w:sz w:val="28"/>
      <w:szCs w:val="28"/>
      <w:lang w:val="pt-BR"/>
    </w:rPr>
  </w:style>
  <w:style w:type="paragraph" w:styleId="Titulodeartculo" w:customStyle="1">
    <w:name w:val="Titulo de artículo"/>
    <w:basedOn w:val="Normal"/>
    <w:link w:val="TitulodeartculoCar"/>
    <w:autoRedefine w:val="1"/>
    <w:qFormat w:val="1"/>
    <w:rsid w:val="007E3B8D"/>
    <w:pPr>
      <w:jc w:val="center"/>
      <w:outlineLvl w:val="0"/>
    </w:pPr>
    <w:rPr>
      <w:b w:val="1"/>
      <w:noProof w:val="1"/>
      <w:sz w:val="36"/>
      <w:szCs w:val="36"/>
    </w:rPr>
  </w:style>
  <w:style w:type="paragraph" w:styleId="RecibidoAceptado" w:customStyle="1">
    <w:name w:val="Recibido/Aceptado"/>
    <w:basedOn w:val="Normal"/>
    <w:qFormat w:val="1"/>
    <w:rsid w:val="00CE7D65"/>
    <w:pPr>
      <w:shd w:color="auto" w:fill="ffffff" w:val="clear"/>
      <w:jc w:val="right"/>
    </w:pPr>
    <w:rPr>
      <w:i w:val="1"/>
      <w:iCs w:val="1"/>
      <w:sz w:val="20"/>
      <w:szCs w:val="20"/>
      <w:lang w:val="pt-BR"/>
    </w:rPr>
  </w:style>
  <w:style w:type="character" w:styleId="TtulosinternosCar" w:customStyle="1">
    <w:name w:val="Títulos internos Car"/>
    <w:basedOn w:val="Fuentedeprrafopredeter"/>
    <w:link w:val="Ttulosinternos"/>
    <w:rsid w:val="001516ED"/>
    <w:rPr>
      <w:rFonts w:ascii="Times New Roman" w:cs="Times New Roman" w:eastAsia="Times New Roman" w:hAnsi="Times New Roman"/>
      <w:b w:val="1"/>
    </w:rPr>
  </w:style>
  <w:style w:type="character" w:styleId="Ttulo2Car" w:customStyle="1">
    <w:name w:val="Título 2 Car"/>
    <w:basedOn w:val="Fuentedeprrafopredeter"/>
    <w:link w:val="Ttulo2"/>
    <w:uiPriority w:val="9"/>
    <w:semiHidden w:val="1"/>
    <w:rsid w:val="007E3B8D"/>
    <w:rPr>
      <w:rFonts w:asciiTheme="majorHAnsi" w:cstheme="majorBidi" w:eastAsiaTheme="majorEastAsia" w:hAnsiTheme="majorHAnsi"/>
      <w:color w:val="2f5496" w:themeColor="accent1" w:themeShade="0000BF"/>
      <w:sz w:val="26"/>
      <w:szCs w:val="26"/>
      <w:lang w:eastAsia="es-ES_tradnl" w:val="es-ES_tradnl"/>
    </w:rPr>
  </w:style>
  <w:style w:type="paragraph" w:styleId="Ttuloprincipiodeartculo" w:customStyle="1">
    <w:name w:val="Título principio de artículo"/>
    <w:basedOn w:val="Normal"/>
    <w:link w:val="TtuloprincipiodeartculoCar"/>
    <w:autoRedefine w:val="1"/>
    <w:qFormat w:val="1"/>
    <w:rsid w:val="007E3B8D"/>
    <w:pPr>
      <w:jc w:val="center"/>
      <w:outlineLvl w:val="0"/>
    </w:pPr>
    <w:rPr>
      <w:lang w:val="pt-BR"/>
    </w:rPr>
  </w:style>
  <w:style w:type="character" w:styleId="TitulodeartculoCar" w:customStyle="1">
    <w:name w:val="Titulo de artículo Car"/>
    <w:basedOn w:val="Fuentedeprrafopredeter"/>
    <w:link w:val="Titulodeartculo"/>
    <w:rsid w:val="007E3B8D"/>
    <w:rPr>
      <w:rFonts w:ascii="Times New Roman" w:cs="Times New Roman" w:eastAsia="Times New Roman" w:hAnsi="Times New Roman"/>
      <w:b w:val="1"/>
      <w:noProof w:val="1"/>
      <w:sz w:val="36"/>
      <w:szCs w:val="36"/>
      <w:lang w:eastAsia="es-ES_tradnl" w:val="es-ES_tradnl"/>
    </w:rPr>
  </w:style>
  <w:style w:type="character" w:styleId="TtuloprincipiodeartculoCar" w:customStyle="1">
    <w:name w:val="Título principio de artículo Car"/>
    <w:basedOn w:val="Fuentedeprrafopredeter"/>
    <w:link w:val="Ttuloprincipiodeartculo"/>
    <w:rsid w:val="007E3B8D"/>
    <w:rPr>
      <w:rFonts w:ascii="Times New Roman" w:cs="Times New Roman" w:eastAsia="Times New Roman" w:hAnsi="Times New Roman"/>
      <w:lang w:eastAsia="es-ES_tradnl" w:val="pt-BR"/>
    </w:rPr>
  </w:style>
  <w:style w:type="character" w:styleId="TtuloResumenCar" w:customStyle="1">
    <w:name w:val="Título Resumen Car"/>
    <w:basedOn w:val="Fuentedeprrafopredeter"/>
    <w:link w:val="TtuloResumen"/>
    <w:rsid w:val="00C43335"/>
    <w:rPr>
      <w:rFonts w:ascii="Times New Roman" w:cs="Times New Roman" w:eastAsia="Times New Roman" w:hAnsi="Times New Roman"/>
      <w:b w:val="1"/>
      <w:smallCaps w:val="1"/>
      <w:sz w:val="20"/>
      <w:szCs w:val="20"/>
      <w:lang w:eastAsia="es-ES_tradnl" w:val="pt-BR"/>
    </w:rPr>
  </w:style>
  <w:style w:type="character" w:styleId="Mencinsinresolver">
    <w:name w:val="Unresolved Mention"/>
    <w:basedOn w:val="Fuentedeprrafopredeter"/>
    <w:uiPriority w:val="99"/>
    <w:semiHidden w:val="1"/>
    <w:unhideWhenUsed w:val="1"/>
    <w:rsid w:val="00EB213C"/>
    <w:rPr>
      <w:color w:val="605e5c"/>
      <w:shd w:color="auto" w:fill="e1dfdd" w:val="clear"/>
    </w:rPr>
  </w:style>
  <w:style w:type="paragraph" w:styleId="NormalWeb">
    <w:name w:val="Normal (Web)"/>
    <w:basedOn w:val="Normal"/>
    <w:uiPriority w:val="99"/>
    <w:semiHidden w:val="1"/>
    <w:unhideWhenUsed w:val="1"/>
    <w:rsid w:val="0048651A"/>
  </w:style>
  <w:style w:type="table" w:styleId="Tablanormal2">
    <w:name w:val="Plain Table 2"/>
    <w:basedOn w:val="Tablanormal"/>
    <w:uiPriority w:val="99"/>
    <w:rsid w:val="00E23C9E"/>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Tabladelista6concolores-nfasis3">
    <w:name w:val="List Table 6 Colorful Accent 3"/>
    <w:basedOn w:val="Tablanormal"/>
    <w:uiPriority w:val="51"/>
    <w:rsid w:val="00E23C9E"/>
    <w:rPr>
      <w:color w:val="7b7b7b" w:themeColor="accent3" w:themeShade="0000BF"/>
    </w:rPr>
    <w:tblPr>
      <w:tblStyleRowBandSize w:val="1"/>
      <w:tblStyleColBandSize w:val="1"/>
      <w:tblBorders>
        <w:top w:color="a5a5a5" w:space="0" w:sz="4" w:themeColor="accent3" w:val="single"/>
        <w:bottom w:color="a5a5a5" w:space="0" w:sz="4" w:themeColor="accent3" w:val="single"/>
      </w:tblBorders>
    </w:tblPr>
    <w:tblStylePr w:type="firstRow">
      <w:rPr>
        <w:b w:val="1"/>
        <w:bCs w:val="1"/>
      </w:rPr>
      <w:tblPr/>
      <w:tcPr>
        <w:tcBorders>
          <w:bottom w:color="a5a5a5" w:space="0" w:sz="4" w:themeColor="accent3" w:val="single"/>
        </w:tcBorders>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Tablaconcuadrcula1clara">
    <w:name w:val="Grid Table 1 Light"/>
    <w:basedOn w:val="Tablanormal"/>
    <w:uiPriority w:val="99"/>
    <w:rsid w:val="00E23C9E"/>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Tablanormal4">
    <w:name w:val="Plain Table 4"/>
    <w:basedOn w:val="Tablanormal"/>
    <w:uiPriority w:val="99"/>
    <w:rsid w:val="00E23C9E"/>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aconcuadrculaclara">
    <w:name w:val="Grid Table Light"/>
    <w:basedOn w:val="Tablanormal"/>
    <w:uiPriority w:val="99"/>
    <w:rsid w:val="00E23C9E"/>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Normal" w:customStyle="1">
    <w:name w:val="Table Normal"/>
    <w:rsid w:val="00F92F1A"/>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ES_tradnl" w:val="es-AR"/>
    </w:rPr>
    <w:tblPr>
      <w:tblInd w:w="0.0" w:type="dxa"/>
      <w:tblCellMar>
        <w:top w:w="0.0" w:type="dxa"/>
        <w:left w:w="0.0" w:type="dxa"/>
        <w:bottom w:w="0.0" w:type="dxa"/>
        <w:right w:w="0.0" w:type="dxa"/>
      </w:tblCellMar>
    </w:tblPr>
  </w:style>
  <w:style w:type="paragraph" w:styleId="SubtituloInterno1" w:customStyle="1">
    <w:name w:val="Subtitulo Interno 1"/>
    <w:basedOn w:val="SubtituloInterno"/>
    <w:link w:val="SubtituloInterno1Car"/>
    <w:qFormat w:val="1"/>
    <w:rsid w:val="00DE7EB8"/>
    <w:pPr>
      <w:outlineLvl w:val="2"/>
    </w:pPr>
    <w:rPr>
      <w:b w:val="0"/>
      <w:lang w:eastAsia="en-US" w:val="es-AR"/>
    </w:rPr>
  </w:style>
  <w:style w:type="character" w:styleId="SubtituloInterno1Car" w:customStyle="1">
    <w:name w:val="Subtitulo Interno 1 Car"/>
    <w:basedOn w:val="Fuentedeprrafopredeter"/>
    <w:link w:val="SubtituloInterno1"/>
    <w:rsid w:val="00DE7EB8"/>
    <w:rPr>
      <w:rFonts w:ascii="Times New Roman" w:cs="Times New Roman" w:eastAsia="Times New Roman" w:hAnsi="Times New Roman"/>
      <w:i w:val="1"/>
      <w:lang w:val="es-AR"/>
    </w:rPr>
  </w:style>
  <w:style w:type="table" w:styleId="Table1">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20511/pyr2021.v9n2.647" TargetMode="External"/><Relationship Id="rId42" Type="http://schemas.openxmlformats.org/officeDocument/2006/relationships/hyperlink" Target="http://hdl.handle.net/11336/156720" TargetMode="External"/><Relationship Id="rId41" Type="http://schemas.openxmlformats.org/officeDocument/2006/relationships/hyperlink" Target="https://doi.org/10.31637/epsir-2025-1445" TargetMode="External"/><Relationship Id="rId44" Type="http://schemas.openxmlformats.org/officeDocument/2006/relationships/hyperlink" Target="https://doi.org/10.1016/j.appet.2022.106338" TargetMode="External"/><Relationship Id="rId43" Type="http://schemas.openxmlformats.org/officeDocument/2006/relationships/hyperlink" Target="https://cathi.uacj.mx/bitstream/handle/20.500.11961/17421/2020%20Cap%20libro%20Coautor.pdf?sequence=1" TargetMode="External"/><Relationship Id="rId46" Type="http://schemas.openxmlformats.org/officeDocument/2006/relationships/hyperlink" Target="http://dx.doi.org/10.33210/ca.v9i3.336" TargetMode="External"/><Relationship Id="rId45" Type="http://schemas.openxmlformats.org/officeDocument/2006/relationships/hyperlink" Target="https://csalud.unat.edu.pe/index.php/RDE/article/view/4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positorio.upla.edu.pe/bitstream/handle/20.500.12848/8972/T037_47181602_70306162_T.pdf?sequence=1&amp;isAllowed=y" TargetMode="External"/><Relationship Id="rId48" Type="http://schemas.openxmlformats.org/officeDocument/2006/relationships/hyperlink" Target="https://doi.org/10.25057/21452776.1331" TargetMode="External"/><Relationship Id="rId47" Type="http://schemas.openxmlformats.org/officeDocument/2006/relationships/hyperlink" Target="https://doi.org/10.25057/21452776.1331" TargetMode="External"/><Relationship Id="rId49" Type="http://schemas.openxmlformats.org/officeDocument/2006/relationships/hyperlink" Target="https://doi.org/10.36003/Rev.investig.cient.tecnol.V7N1(2023)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 Id="rId31" Type="http://schemas.openxmlformats.org/officeDocument/2006/relationships/hyperlink" Target="https://www.scopus.com/pages/publications/85210162934" TargetMode="External"/><Relationship Id="rId30" Type="http://schemas.openxmlformats.org/officeDocument/2006/relationships/hyperlink" Target="https://www.medigraphic.com/pdfs/salpubmex/sal-2020/sal202g.pdf" TargetMode="External"/><Relationship Id="rId33" Type="http://schemas.openxmlformats.org/officeDocument/2006/relationships/hyperlink" Target="https://hdl.handle.net/20.500.14520/7045" TargetMode="External"/><Relationship Id="rId32" Type="http://schemas.openxmlformats.org/officeDocument/2006/relationships/hyperlink" Target="https://www.revistasan.org.ar/pdf_files/trabajos/vol_25/num_2/RSAN_25_2_89.pdf" TargetMode="External"/><Relationship Id="rId35" Type="http://schemas.openxmlformats.org/officeDocument/2006/relationships/hyperlink" Target="https://dx.doi.org/10.4067/S0718-48082022000200197" TargetMode="External"/><Relationship Id="rId34" Type="http://schemas.openxmlformats.org/officeDocument/2006/relationships/hyperlink" Target="https://www.aacademica.org/000-084/935" TargetMode="External"/><Relationship Id="rId37" Type="http://schemas.openxmlformats.org/officeDocument/2006/relationships/hyperlink" Target="https://books.google.es/books?id=LCEdEQAAQBAJ&amp;printsec=frontcover&amp;hl=es#v=onepage&amp;q&amp;f=false" TargetMode="External"/><Relationship Id="rId36" Type="http://schemas.openxmlformats.org/officeDocument/2006/relationships/hyperlink" Target="https://doi.org/10.56712/latam.v5i2.1927" TargetMode="External"/><Relationship Id="rId39" Type="http://schemas.openxmlformats.org/officeDocument/2006/relationships/hyperlink" Target="https://repositorio.ucsm.edu.pe/server/api/core/bitstreams/cf887635-89ce-4e46-a589-3349785d42d2/content" TargetMode="External"/><Relationship Id="rId38" Type="http://schemas.openxmlformats.org/officeDocument/2006/relationships/hyperlink" Target="https://doi.org/10.17081/psico.25.47.4861" TargetMode="External"/><Relationship Id="rId62" Type="http://schemas.openxmlformats.org/officeDocument/2006/relationships/footer" Target="footer1.xml"/><Relationship Id="rId61" Type="http://schemas.openxmlformats.org/officeDocument/2006/relationships/header" Target="header2.xml"/><Relationship Id="rId20" Type="http://schemas.openxmlformats.org/officeDocument/2006/relationships/hyperlink" Target="https://doi.org/10.24265/liberabit.2021.v27n2.07" TargetMode="External"/><Relationship Id="rId63" Type="http://schemas.openxmlformats.org/officeDocument/2006/relationships/footer" Target="footer2.xml"/><Relationship Id="rId22" Type="http://schemas.openxmlformats.org/officeDocument/2006/relationships/hyperlink" Target="https://repositorio.usmp.edu.pe/bitstream/handle/20.500.12727/8660/CAYLLAHUA_QN.pdf?sequence=1" TargetMode="External"/><Relationship Id="rId21" Type="http://schemas.openxmlformats.org/officeDocument/2006/relationships/hyperlink" Target="https://doi.org/10.21865/RIDEP56.3.08" TargetMode="External"/><Relationship Id="rId24" Type="http://schemas.openxmlformats.org/officeDocument/2006/relationships/hyperlink" Target="https://shorturl.at/slsF2" TargetMode="External"/><Relationship Id="rId23" Type="http://schemas.openxmlformats.org/officeDocument/2006/relationships/hyperlink" Target="https://dialnet.unirioja.es/servlet/articulo?codigo=7113737" TargetMode="External"/><Relationship Id="rId60" Type="http://schemas.openxmlformats.org/officeDocument/2006/relationships/header" Target="header1.xml"/><Relationship Id="rId26" Type="http://schemas.openxmlformats.org/officeDocument/2006/relationships/hyperlink" Target="https://archive.org/details/estrada-araoz-et-al.-2024-estres-academico-y-cansancio-emocional/mode/2up" TargetMode="External"/><Relationship Id="rId25" Type="http://schemas.openxmlformats.org/officeDocument/2006/relationships/hyperlink" Target="http://saber.ucv.ve/ojs/index.php/rev_gmc/article/view/29253/144814494712" TargetMode="External"/><Relationship Id="rId28" Type="http://schemas.openxmlformats.org/officeDocument/2006/relationships/hyperlink" Target="https://hdl.handle.net/20.500.12970/464" TargetMode="External"/><Relationship Id="rId27" Type="http://schemas.openxmlformats.org/officeDocument/2006/relationships/hyperlink" Target="https://www.scielo.cl/pdf/rchnut/v49n5/0717-7518-rchnut-49-05-0616.pdf" TargetMode="External"/><Relationship Id="rId29" Type="http://schemas.openxmlformats.org/officeDocument/2006/relationships/hyperlink" Target="https://www.ispsn.org/sites/default/files/documentos-virtuais/pdf/metodologia_de_la_investigacion_-_deivi_david_fuentes-doria_2020.pdf" TargetMode="External"/><Relationship Id="rId51" Type="http://schemas.openxmlformats.org/officeDocument/2006/relationships/hyperlink" Target="http://dx.doi.org/10.4067/s0717-75182024000600459" TargetMode="External"/><Relationship Id="rId50" Type="http://schemas.openxmlformats.org/officeDocument/2006/relationships/hyperlink" Target="http://hdl.handle.net/11447/2344" TargetMode="External"/><Relationship Id="rId53" Type="http://schemas.openxmlformats.org/officeDocument/2006/relationships/hyperlink" Target="http://scielo.senescyt.gob.ec/pdf/rsan/v1n55/2528-7907-rsan-1-55-00181.pdf" TargetMode="External"/><Relationship Id="rId52" Type="http://schemas.openxmlformats.org/officeDocument/2006/relationships/hyperlink" Target="https://repositorio.unprg.edu.pe/handle/20.500.12893/11633" TargetMode="External"/><Relationship Id="rId11" Type="http://schemas.openxmlformats.org/officeDocument/2006/relationships/hyperlink" Target="https://dev2-repositorio.concytec.gob.pe/entities/publication/8f0f281c-5531-410e-94dd-efb7c82c6a57" TargetMode="External"/><Relationship Id="rId55" Type="http://schemas.openxmlformats.org/officeDocument/2006/relationships/hyperlink" Target="https://dialnet.unirioja.es/servlet/articulo?codigo=7512760" TargetMode="External"/><Relationship Id="rId10" Type="http://schemas.openxmlformats.org/officeDocument/2006/relationships/hyperlink" Target="https://doi.org/10.2147/IJGM.S246296" TargetMode="External"/><Relationship Id="rId54" Type="http://schemas.openxmlformats.org/officeDocument/2006/relationships/hyperlink" Target="https://repositorio.ucv.edu.pe/bitstream/handle/20.500.12692/14150/Say%C3%A1n_BJS.pdf?sequence=1&amp;isAllowed=y" TargetMode="External"/><Relationship Id="rId13" Type="http://schemas.openxmlformats.org/officeDocument/2006/relationships/hyperlink" Target="https://repositorio.uss.edu.pe/handle/20.500.12802/9533?show=full" TargetMode="External"/><Relationship Id="rId57" Type="http://schemas.openxmlformats.org/officeDocument/2006/relationships/hyperlink" Target="https://repositorio.pucp.edu.pe/items/28142ccf-53a5-47bb-8763-47aeab1ac0d9" TargetMode="External"/><Relationship Id="rId12" Type="http://schemas.openxmlformats.org/officeDocument/2006/relationships/hyperlink" Target="https://repositorio.uide.edu.ec/handle/37000/4310" TargetMode="External"/><Relationship Id="rId56" Type="http://schemas.openxmlformats.org/officeDocument/2006/relationships/hyperlink" Target="https://doi.org/10.29057/esat.v9i17.8154" TargetMode="External"/><Relationship Id="rId15" Type="http://schemas.openxmlformats.org/officeDocument/2006/relationships/hyperlink" Target="https://doi.org/10.18502/keg.v5i2.6225" TargetMode="External"/><Relationship Id="rId59" Type="http://schemas.openxmlformats.org/officeDocument/2006/relationships/hyperlink" Target="https://ve.scielo.org/scielo.php?pid=S0798-07522020000100014&amp;script=sci_arttext" TargetMode="External"/><Relationship Id="rId14" Type="http://schemas.openxmlformats.org/officeDocument/2006/relationships/hyperlink" Target="http://dx.doi.org/10.36097/rsan.v1i58.2508" TargetMode="External"/><Relationship Id="rId58" Type="http://schemas.openxmlformats.org/officeDocument/2006/relationships/hyperlink" Target="https://doi.org/10.37811/cl_rcm.v7i4.7658" TargetMode="External"/><Relationship Id="rId17" Type="http://schemas.openxmlformats.org/officeDocument/2006/relationships/hyperlink" Target="https://dspace.unitru.edu.pe/server/api/core/bitstreams/cd912f39-561e-45fd-83ff-13169abe0c95/content" TargetMode="External"/><Relationship Id="rId16" Type="http://schemas.openxmlformats.org/officeDocument/2006/relationships/hyperlink" Target="http://www.ecorfan.org/libros/Inventario_SISCO_SV-21/Inventario_sist%C3%A9mico_cognoscitivista_para_el_estudio_del_estr%C3%A9s.pdf" TargetMode="External"/><Relationship Id="rId19" Type="http://schemas.openxmlformats.org/officeDocument/2006/relationships/hyperlink" Target="http://www.upd.edu.mx/PDF/Libros/SISCO.pdf" TargetMode="External"/><Relationship Id="rId18" Type="http://schemas.openxmlformats.org/officeDocument/2006/relationships/hyperlink" Target="https://bibliotecadigital.mineduc.cl/handle/20.500.12365/1803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KEEyDfuiJHxgL8gKZQJ6LLQrlg==">CgMxLjAaFAoBMBIPCg0IB0IJEgdHdW5nc3VoGh4KATESGQoXCAlSEwoRdGFibGUuZzYwNW5xeHpiZHAaHwoBMhIaChgICVIUChJ0YWJsZS54MnV3ZnZlemFqdzMaHwoBMxIaChgICVIUChJ0YWJsZS52Mnc2ZXlydDZ4MG04AHIhMTU3UXJhaWU0T1Z2bG93dE52bllFanF3c1JWR0pwdUlr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2020-09-09T19:52:00Z</dcterms:created>
  <dc:creator>Microsoft Office User</dc:creator>
</cp:coreProperties>
</file>