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A4335" w14:textId="4F042854" w:rsidR="00020F8C" w:rsidRPr="00DA1C36" w:rsidRDefault="00000000" w:rsidP="00DA1C36">
      <w:pPr>
        <w:pBdr>
          <w:top w:val="nil"/>
          <w:left w:val="nil"/>
          <w:bottom w:val="nil"/>
          <w:right w:val="nil"/>
          <w:between w:val="nil"/>
        </w:pBdr>
        <w:jc w:val="center"/>
        <w:rPr>
          <w:b/>
          <w:sz w:val="36"/>
          <w:szCs w:val="36"/>
          <w:lang w:val="en-US"/>
        </w:rPr>
      </w:pPr>
      <w:r w:rsidRPr="00DA1C36">
        <w:rPr>
          <w:b/>
          <w:color w:val="000000"/>
          <w:sz w:val="36"/>
          <w:szCs w:val="36"/>
          <w:lang w:val="en-US"/>
        </w:rPr>
        <w:t xml:space="preserve"> </w:t>
      </w:r>
      <w:r w:rsidR="00DA1C36" w:rsidRPr="00DA1C36">
        <w:rPr>
          <w:b/>
          <w:bCs/>
          <w:sz w:val="36"/>
          <w:szCs w:val="36"/>
          <w:lang w:val="en-US"/>
        </w:rPr>
        <w:t>Structural Equation Modeling of Psychosocial Determinants of Behavioral Attitudes Toward Therapeutic Adherence in Patients at Cardiovascular Risk</w:t>
      </w:r>
    </w:p>
    <w:p w14:paraId="2C313461" w14:textId="77777777" w:rsidR="00020F8C" w:rsidRPr="00DA1C36" w:rsidRDefault="00020F8C">
      <w:pPr>
        <w:rPr>
          <w:i/>
          <w:sz w:val="28"/>
          <w:szCs w:val="28"/>
          <w:lang w:val="en-US"/>
        </w:rPr>
      </w:pPr>
    </w:p>
    <w:p w14:paraId="76B324D5" w14:textId="77777777" w:rsidR="00020F8C" w:rsidRPr="00DA1C36"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6F1EEAA5" wp14:editId="101CAE6F">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72200" cy="25400"/>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72200" cy="25400"/>
                        </a:xfrm>
                        <a:prstGeom prst="rect"/>
                        <a:ln/>
                      </pic:spPr>
                    </pic:pic>
                  </a:graphicData>
                </a:graphic>
              </wp:anchor>
            </w:drawing>
          </mc:Fallback>
        </mc:AlternateContent>
      </w:r>
    </w:p>
    <w:p w14:paraId="5198F70A" w14:textId="77777777" w:rsidR="00020F8C" w:rsidRPr="00DA1C36" w:rsidRDefault="00020F8C">
      <w:pPr>
        <w:rPr>
          <w:b/>
          <w:sz w:val="20"/>
          <w:szCs w:val="20"/>
          <w:lang w:val="en-US"/>
        </w:rPr>
      </w:pPr>
    </w:p>
    <w:p w14:paraId="744A179E" w14:textId="77777777" w:rsidR="00020F8C" w:rsidRPr="00DA1C36" w:rsidRDefault="00000000">
      <w:pPr>
        <w:pBdr>
          <w:top w:val="nil"/>
          <w:left w:val="nil"/>
          <w:bottom w:val="nil"/>
          <w:right w:val="nil"/>
          <w:between w:val="nil"/>
        </w:pBdr>
        <w:spacing w:after="120"/>
        <w:jc w:val="center"/>
        <w:rPr>
          <w:b/>
          <w:smallCaps/>
          <w:color w:val="000000"/>
          <w:sz w:val="20"/>
          <w:szCs w:val="20"/>
          <w:lang w:val="en-US"/>
        </w:rPr>
      </w:pPr>
      <w:r w:rsidRPr="00DA1C36">
        <w:rPr>
          <w:b/>
          <w:smallCaps/>
          <w:color w:val="000000"/>
          <w:sz w:val="20"/>
          <w:szCs w:val="20"/>
          <w:lang w:val="en-US"/>
        </w:rPr>
        <w:t>Abstract</w:t>
      </w:r>
    </w:p>
    <w:p w14:paraId="077425A0" w14:textId="77777777" w:rsidR="00DA1C36" w:rsidRPr="00DA1C36" w:rsidRDefault="00DA1C36" w:rsidP="00DA1C36">
      <w:pPr>
        <w:pStyle w:val="keywords"/>
        <w:spacing w:before="0" w:after="0" w:line="360" w:lineRule="auto"/>
        <w:ind w:left="0" w:right="0"/>
        <w:jc w:val="both"/>
        <w:rPr>
          <w:rFonts w:eastAsiaTheme="minorHAnsi" w:cstheme="minorBidi"/>
          <w:kern w:val="2"/>
          <w:sz w:val="20"/>
          <w14:ligatures w14:val="standardContextual"/>
        </w:rPr>
      </w:pPr>
      <w:r w:rsidRPr="00DA1C36">
        <w:rPr>
          <w:rFonts w:eastAsiaTheme="minorHAnsi" w:cstheme="minorBidi"/>
          <w:kern w:val="2"/>
          <w:sz w:val="20"/>
          <w14:ligatures w14:val="standardContextual"/>
        </w:rPr>
        <w:t>This study aimed to develop and validate a structural equation modeling (SEM) framework to identify the psychosocial determinants influencing behavioral attitudes toward adherence to pharmacological treatment in patients at cardiovascular risk. A total of 1,934 individuals participated, assessed using validated scales for depression, anxiety, perceived stress, beliefs, attitudes, and adherence factors. The WLSMV estimator was applied for ordinal data. The model demonstrated excellent fit (CFI = .964, TLI = .962, RMSEA = .054, SRMR = .050). Results indicated that behavioral beliefs (</w:t>
      </w:r>
      <w:r w:rsidRPr="00DA1C36">
        <w:rPr>
          <w:rFonts w:eastAsiaTheme="minorHAnsi" w:cstheme="minorBidi"/>
          <w:kern w:val="2"/>
          <w:sz w:val="20"/>
          <w:lang w:val="es-MX"/>
          <w14:ligatures w14:val="standardContextual"/>
        </w:rPr>
        <w:t>β</w:t>
      </w:r>
      <w:r w:rsidRPr="00DA1C36">
        <w:rPr>
          <w:rFonts w:eastAsiaTheme="minorHAnsi" w:cstheme="minorBidi"/>
          <w:kern w:val="2"/>
          <w:sz w:val="20"/>
          <w14:ligatures w14:val="standardContextual"/>
        </w:rPr>
        <w:t xml:space="preserve"> = .56, p &lt; .001) and adherence factors (</w:t>
      </w:r>
      <w:r w:rsidRPr="00DA1C36">
        <w:rPr>
          <w:rFonts w:eastAsiaTheme="minorHAnsi" w:cstheme="minorBidi"/>
          <w:kern w:val="2"/>
          <w:sz w:val="20"/>
          <w:lang w:val="es-MX"/>
          <w14:ligatures w14:val="standardContextual"/>
        </w:rPr>
        <w:t>β</w:t>
      </w:r>
      <w:r w:rsidRPr="00DA1C36">
        <w:rPr>
          <w:rFonts w:eastAsiaTheme="minorHAnsi" w:cstheme="minorBidi"/>
          <w:kern w:val="2"/>
          <w:sz w:val="20"/>
          <w14:ligatures w14:val="standardContextual"/>
        </w:rPr>
        <w:t xml:space="preserve"> = .26, p &lt; .001) positively predicted attitudes toward treatment, jointly explaining 42% of their variance. In turn, beliefs were negatively explained by depression (</w:t>
      </w:r>
      <w:r w:rsidRPr="00DA1C36">
        <w:rPr>
          <w:rFonts w:eastAsiaTheme="minorHAnsi" w:cstheme="minorBidi"/>
          <w:kern w:val="2"/>
          <w:sz w:val="20"/>
          <w:lang w:val="es-MX"/>
          <w14:ligatures w14:val="standardContextual"/>
        </w:rPr>
        <w:t>β</w:t>
      </w:r>
      <w:r w:rsidRPr="00DA1C36">
        <w:rPr>
          <w:rFonts w:eastAsiaTheme="minorHAnsi" w:cstheme="minorBidi"/>
          <w:kern w:val="2"/>
          <w:sz w:val="20"/>
          <w14:ligatures w14:val="standardContextual"/>
        </w:rPr>
        <w:t xml:space="preserve"> = –.65) and passive coping (</w:t>
      </w:r>
      <w:r w:rsidRPr="00DA1C36">
        <w:rPr>
          <w:rFonts w:eastAsiaTheme="minorHAnsi" w:cstheme="minorBidi"/>
          <w:kern w:val="2"/>
          <w:sz w:val="20"/>
          <w:lang w:val="es-MX"/>
          <w14:ligatures w14:val="standardContextual"/>
        </w:rPr>
        <w:t>β</w:t>
      </w:r>
      <w:r w:rsidRPr="00DA1C36">
        <w:rPr>
          <w:rFonts w:eastAsiaTheme="minorHAnsi" w:cstheme="minorBidi"/>
          <w:kern w:val="2"/>
          <w:sz w:val="20"/>
          <w14:ligatures w14:val="standardContextual"/>
        </w:rPr>
        <w:t xml:space="preserve"> = –.25), and positively by anxiety (</w:t>
      </w:r>
      <w:r w:rsidRPr="00DA1C36">
        <w:rPr>
          <w:rFonts w:eastAsiaTheme="minorHAnsi" w:cstheme="minorBidi"/>
          <w:kern w:val="2"/>
          <w:sz w:val="20"/>
          <w:lang w:val="es-MX"/>
          <w14:ligatures w14:val="standardContextual"/>
        </w:rPr>
        <w:t>β</w:t>
      </w:r>
      <w:r w:rsidRPr="00DA1C36">
        <w:rPr>
          <w:rFonts w:eastAsiaTheme="minorHAnsi" w:cstheme="minorBidi"/>
          <w:kern w:val="2"/>
          <w:sz w:val="20"/>
          <w14:ligatures w14:val="standardContextual"/>
        </w:rPr>
        <w:t xml:space="preserve"> = .35) and perceived loss of control (</w:t>
      </w:r>
      <w:r w:rsidRPr="00DA1C36">
        <w:rPr>
          <w:rFonts w:eastAsiaTheme="minorHAnsi" w:cstheme="minorBidi"/>
          <w:kern w:val="2"/>
          <w:sz w:val="20"/>
          <w:lang w:val="es-MX"/>
          <w14:ligatures w14:val="standardContextual"/>
        </w:rPr>
        <w:t>β</w:t>
      </w:r>
      <w:r w:rsidRPr="00DA1C36">
        <w:rPr>
          <w:rFonts w:eastAsiaTheme="minorHAnsi" w:cstheme="minorBidi"/>
          <w:kern w:val="2"/>
          <w:sz w:val="20"/>
          <w14:ligatures w14:val="standardContextual"/>
        </w:rPr>
        <w:t xml:space="preserve"> = .43). Findings suggest that mental health and coping strategies are key predictors of beliefs, and consequently, of attitudes toward adherence. It is recommended to address depressive symptoms, reinforce positive beliefs, and promote active stress management strategies to optimize therapeutic adherence.</w:t>
      </w:r>
    </w:p>
    <w:p w14:paraId="0FF0544A" w14:textId="19638147" w:rsidR="00020F8C" w:rsidRPr="00DA1C36" w:rsidRDefault="00DA1C36" w:rsidP="00DA1C36">
      <w:pPr>
        <w:rPr>
          <w:sz w:val="20"/>
          <w:szCs w:val="20"/>
          <w:lang w:val="en-US"/>
        </w:rPr>
      </w:pPr>
      <w:r w:rsidRPr="00DA1C36">
        <w:rPr>
          <w:b/>
          <w:bCs/>
          <w:sz w:val="20"/>
          <w:szCs w:val="20"/>
          <w:lang w:val="en-US"/>
        </w:rPr>
        <w:t>Keywords:</w:t>
      </w:r>
      <w:r w:rsidRPr="00DA1C36">
        <w:rPr>
          <w:sz w:val="20"/>
          <w:szCs w:val="20"/>
          <w:lang w:val="en-US"/>
        </w:rPr>
        <w:t xml:space="preserve"> therapeutic adherence</w:t>
      </w:r>
      <w:r>
        <w:rPr>
          <w:sz w:val="20"/>
          <w:szCs w:val="20"/>
          <w:lang w:val="en-US"/>
        </w:rPr>
        <w:t>;</w:t>
      </w:r>
      <w:r w:rsidRPr="00DA1C36">
        <w:rPr>
          <w:sz w:val="20"/>
          <w:szCs w:val="20"/>
          <w:lang w:val="en-US"/>
        </w:rPr>
        <w:t xml:space="preserve"> behavioral beliefs</w:t>
      </w:r>
      <w:r>
        <w:rPr>
          <w:sz w:val="20"/>
          <w:szCs w:val="20"/>
          <w:lang w:val="en-US"/>
        </w:rPr>
        <w:t>;</w:t>
      </w:r>
      <w:r w:rsidRPr="00DA1C36">
        <w:rPr>
          <w:sz w:val="20"/>
          <w:szCs w:val="20"/>
          <w:lang w:val="en-US"/>
        </w:rPr>
        <w:t xml:space="preserve"> mental healt</w:t>
      </w:r>
      <w:r>
        <w:rPr>
          <w:sz w:val="20"/>
          <w:szCs w:val="20"/>
          <w:lang w:val="en-US"/>
        </w:rPr>
        <w:t>h;</w:t>
      </w:r>
      <w:r w:rsidRPr="00DA1C36">
        <w:rPr>
          <w:sz w:val="20"/>
          <w:szCs w:val="20"/>
          <w:lang w:val="en-US"/>
        </w:rPr>
        <w:t xml:space="preserve"> coping</w:t>
      </w:r>
    </w:p>
    <w:p w14:paraId="70FEBF18" w14:textId="77777777" w:rsidR="00020F8C" w:rsidRPr="00DA1C36" w:rsidRDefault="00020F8C">
      <w:pPr>
        <w:jc w:val="both"/>
        <w:rPr>
          <w:sz w:val="20"/>
          <w:szCs w:val="20"/>
          <w:lang w:val="en-US"/>
        </w:rPr>
      </w:pPr>
    </w:p>
    <w:p w14:paraId="77F5DE8C" w14:textId="46AD9973" w:rsidR="00020F8C"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Resumen</w:t>
      </w:r>
    </w:p>
    <w:p w14:paraId="0737EDEC" w14:textId="77777777" w:rsidR="00DA1C36" w:rsidRPr="00DA1C36" w:rsidRDefault="00DA1C36" w:rsidP="00DA1C36">
      <w:pPr>
        <w:spacing w:line="360" w:lineRule="auto"/>
        <w:rPr>
          <w:sz w:val="20"/>
          <w:szCs w:val="20"/>
          <w:lang w:val="es-MX"/>
        </w:rPr>
      </w:pPr>
      <w:r w:rsidRPr="00DA1C36">
        <w:rPr>
          <w:sz w:val="20"/>
          <w:szCs w:val="20"/>
          <w:lang w:val="es-ES"/>
        </w:rPr>
        <w:t>Este estudio tuvo como objetivo desarrollar y validar un marco de modelado de ecuaciones estructurales (SEM) para identificar los determinantes psicosociales que influyen en las actitudes conductuales hacia la adherencia al tratamiento farmacológico en pacientes con riesgo cardiovascular. Un total de 1.934 individuos participaron, evaluados mediante escalas validadas para depresión, ansiedad, estrés percibido, creencias, actitudes y factores de adherencia. El estimador WLSMV se aplicó para datos ordinales. El modelo demostró un ajuste excelente (CFI = .964, TLI = .962, RMSEA = .054, SRMR = .050). Los resultados indicaron que las creencias conductuales (β = .56, p &lt; .001) y los factores de adherencia (β = .26, p &lt; .001) predijeron positivamente las actitudes hacia el tratamiento, explicando conjuntamente el 42% de su varianza. A su vez, las creencias se explicaron negativamente por la depresión (β = –0,65) y el afrontamiento pasivo (β = –0,25), y positivamente por la ansiedad (β = 0,35) y la percepción de pérdida de control (β = 0,43). Los hallazgos sugieren que la salud mental y las estrategias de afrontamiento son predictores clave de las creencias y, en consecuencia, de las actitudes hacia la adherencia terapéutica. Se recomienda abordar los síntomas depresivos, reforzar las creencias positivas y promover estrategias de gestión activa del estrés para optimizar la adherencia terapéutica.</w:t>
      </w:r>
    </w:p>
    <w:p w14:paraId="56394FFA" w14:textId="77777777" w:rsidR="00020F8C" w:rsidRPr="00DA1C36" w:rsidRDefault="00020F8C">
      <w:pPr>
        <w:rPr>
          <w:sz w:val="20"/>
          <w:szCs w:val="20"/>
          <w:lang w:val="es-MX"/>
        </w:rPr>
      </w:pPr>
    </w:p>
    <w:p w14:paraId="780A90CB" w14:textId="77777777" w:rsidR="00DA1C36" w:rsidRPr="00DA1C36" w:rsidRDefault="00000000" w:rsidP="00DA1C36">
      <w:pPr>
        <w:jc w:val="both"/>
      </w:pPr>
      <w:r>
        <w:rPr>
          <w:b/>
          <w:sz w:val="20"/>
          <w:szCs w:val="20"/>
        </w:rPr>
        <w:t>Palabras clave</w:t>
      </w:r>
      <w:r w:rsidR="00DA1C36">
        <w:rPr>
          <w:b/>
          <w:sz w:val="20"/>
          <w:szCs w:val="20"/>
        </w:rPr>
        <w:t xml:space="preserve">: </w:t>
      </w:r>
      <w:r w:rsidR="00DA1C36" w:rsidRPr="00DA1C36">
        <w:rPr>
          <w:sz w:val="20"/>
          <w:szCs w:val="20"/>
          <w:lang w:val="es-ES"/>
        </w:rPr>
        <w:t>adherencia terapéutica; creencias conductuales; salud mental; afrontamiento</w:t>
      </w:r>
    </w:p>
    <w:p w14:paraId="64D632CF" w14:textId="4861C504" w:rsidR="00020F8C" w:rsidRDefault="00020F8C" w:rsidP="00DA1C36">
      <w:pPr>
        <w:jc w:val="both"/>
        <w:rPr>
          <w:b/>
        </w:rPr>
      </w:pPr>
    </w:p>
    <w:p w14:paraId="08681FE5" w14:textId="3A6D64CA" w:rsidR="00020F8C" w:rsidRDefault="00000000" w:rsidP="00DA1C36">
      <w:pPr>
        <w:pBdr>
          <w:top w:val="nil"/>
          <w:left w:val="nil"/>
          <w:bottom w:val="nil"/>
          <w:right w:val="nil"/>
          <w:between w:val="nil"/>
        </w:pBdr>
        <w:jc w:val="center"/>
        <w:rPr>
          <w:color w:val="000000"/>
          <w:lang w:val="es-ES"/>
        </w:rPr>
      </w:pPr>
      <w:r>
        <w:br w:type="page"/>
      </w:r>
      <w:r w:rsidR="00DA1C36" w:rsidRPr="00DA1C36">
        <w:rPr>
          <w:color w:val="000000"/>
          <w:lang w:val="es-ES"/>
        </w:rPr>
        <w:lastRenderedPageBreak/>
        <w:t>Modelado de ecuaciones estructurales de los determinantes psicosociales de las actitudes conductuales hacia la adherencia terapéutica en pacientes con riesgo cardiovascular</w:t>
      </w:r>
    </w:p>
    <w:p w14:paraId="20337652" w14:textId="77777777" w:rsidR="00DA1C36" w:rsidRPr="00DA1C36" w:rsidRDefault="00DA1C36" w:rsidP="00DA1C36">
      <w:pPr>
        <w:pBdr>
          <w:top w:val="nil"/>
          <w:left w:val="nil"/>
          <w:bottom w:val="nil"/>
          <w:right w:val="nil"/>
          <w:between w:val="nil"/>
        </w:pBdr>
        <w:rPr>
          <w:color w:val="000000"/>
          <w:lang w:val="es-ES"/>
        </w:rPr>
      </w:pPr>
    </w:p>
    <w:p w14:paraId="1D9C4EDD" w14:textId="77777777" w:rsidR="00020F8C" w:rsidRPr="00DA1C36" w:rsidRDefault="00000000">
      <w:pPr>
        <w:pBdr>
          <w:top w:val="nil"/>
          <w:left w:val="nil"/>
          <w:bottom w:val="nil"/>
          <w:right w:val="nil"/>
          <w:between w:val="nil"/>
        </w:pBdr>
        <w:jc w:val="center"/>
        <w:rPr>
          <w:b/>
          <w:color w:val="000000"/>
          <w:lang w:val="en-US"/>
        </w:rPr>
      </w:pPr>
      <w:r w:rsidRPr="00DA1C36">
        <w:rPr>
          <w:b/>
          <w:color w:val="000000"/>
          <w:lang w:val="en-US"/>
        </w:rPr>
        <w:t>Introduction</w:t>
      </w:r>
    </w:p>
    <w:p w14:paraId="234EC8FD" w14:textId="77777777" w:rsidR="00DA1C36" w:rsidRDefault="00DA1C36" w:rsidP="00DA1C36">
      <w:pPr>
        <w:spacing w:line="360" w:lineRule="auto"/>
        <w:ind w:firstLine="720"/>
        <w:rPr>
          <w:lang w:val="en-US"/>
        </w:rPr>
      </w:pPr>
      <w:r w:rsidRPr="001974AC">
        <w:rPr>
          <w:lang w:val="en-US"/>
        </w:rPr>
        <w:t>This study sought to develop and validate a structural equation modeling (SEM) framework to elucidate the psychosocial determinants underlying behavioral attitudes toward adherence to pharmacological treatment. The proposed model posits that mental health indicators (depression and anxiety) and components of perceived stress (coping strategies and perceived loss of control) influence behavioral beliefs about treatment; these beliefs, together with adherence-related factors, subsequently shape attitudes toward pharmacological adherence. This framework is consistent with the Theory of Planned Behavior (TPB), which argues that attitudes emerge from behavioral beliefs whose antecedents, particularly in health contexts, are complex and multifactorial.</w:t>
      </w:r>
    </w:p>
    <w:p w14:paraId="0132E591" w14:textId="77777777" w:rsidR="00DA1C36" w:rsidRDefault="00DA1C36" w:rsidP="00DA1C36">
      <w:pPr>
        <w:spacing w:line="360" w:lineRule="auto"/>
        <w:ind w:firstLine="720"/>
        <w:rPr>
          <w:lang w:val="en-US"/>
        </w:rPr>
      </w:pPr>
      <w:r w:rsidRPr="001974AC">
        <w:rPr>
          <w:lang w:val="en-US"/>
        </w:rPr>
        <w:t>The World Health Organization (WHO, 2003) defines adherence as the degree to which individuals are able to consistently incorporate treatment-related behaviors—such as medication intake, dietary compliance, and lifestyle modifications—into their daily lives, in agreement with healthcare professionals. Similarly, Galperin conceptualizes adherence as a dynamic process whereby patients not only understand medical recommendations but also internalize and integrate them into their personal habits (Castells &amp; Hernández, 2007; Hernández et al., 2018). Both perspectives underscore that adherence extends beyond passive compliance and involves the conscious appropriation of therapeutic behaviors, shaped by psychological, social, and cultural factors.</w:t>
      </w:r>
    </w:p>
    <w:p w14:paraId="40A056B6" w14:textId="77777777" w:rsidR="00DA1C36" w:rsidRDefault="00DA1C36" w:rsidP="00DA1C36">
      <w:pPr>
        <w:spacing w:line="360" w:lineRule="auto"/>
        <w:ind w:firstLine="720"/>
        <w:rPr>
          <w:lang w:val="en-US"/>
        </w:rPr>
      </w:pPr>
      <w:r w:rsidRPr="001974AC">
        <w:rPr>
          <w:lang w:val="en-US"/>
        </w:rPr>
        <w:t>Individuals facing chronic conditions such as cardiovascular disease, obesity, or diabetes do not interpret illness from a neutral standpoint. Their emotional history, mental health status, and acquired beliefs profoundly influence how they experience the illness (</w:t>
      </w:r>
      <w:proofErr w:type="spellStart"/>
      <w:r w:rsidRPr="001974AC">
        <w:rPr>
          <w:lang w:val="en-US"/>
        </w:rPr>
        <w:t>Secretaría</w:t>
      </w:r>
      <w:proofErr w:type="spellEnd"/>
      <w:r w:rsidRPr="001974AC">
        <w:rPr>
          <w:lang w:val="en-US"/>
        </w:rPr>
        <w:t xml:space="preserve"> de Salud, 2022). Symptoms of anxiety or depression, combined with environmental influences such as family, interpersonal relationships, and religious beliefs, often distort illness perception (Alva et al., 2019). These interpretations—frequently rooted in sociocultural misconceptions—can weaken adherence to both pharmacological and behavioral aspects of treatment, worsening recovery and diminishing perceived quality of life (Areiza et al., 2018; Peter et al., 2020).</w:t>
      </w:r>
    </w:p>
    <w:p w14:paraId="0AA04F3B" w14:textId="77777777" w:rsidR="00DA1C36" w:rsidRDefault="00DA1C36" w:rsidP="00DA1C36">
      <w:pPr>
        <w:spacing w:line="360" w:lineRule="auto"/>
        <w:ind w:firstLine="720"/>
        <w:rPr>
          <w:lang w:val="en-US"/>
        </w:rPr>
      </w:pPr>
      <w:r w:rsidRPr="001974AC">
        <w:rPr>
          <w:lang w:val="en-US"/>
        </w:rPr>
        <w:t xml:space="preserve">The theoretical contributions of Ajzen and Fishbein, first through the Theory of Reasoned Action (Ajzen &amp; Fishbein, 1980) and later through the TPB (Ajzen, 1991), provide a framework </w:t>
      </w:r>
      <w:r w:rsidRPr="001974AC">
        <w:rPr>
          <w:lang w:val="en-US"/>
        </w:rPr>
        <w:lastRenderedPageBreak/>
        <w:t>to explain these processes. According to TPB, human behavior is not random but results from deliberate evaluations of available information. Intention to act is determined by attitudes, subjective norms, and perceived behavioral control. Attitudes reflect the individual’s evaluation of outcomes and emotional valence toward the behavior; subjective norms derive from perceptions of social expectations; and perceived control refers to individuals’ assessment of their ability and resources to perform the behavior (Ajzen, 2011). Within this model, adherence emerges when favorable attitudes, supportive norms, and high perceived control converge, and when actual control is sufficient to enact the intended behavior (Ajzen &amp; Fishbein, 2000; Mosso et al., 2024).</w:t>
      </w:r>
    </w:p>
    <w:p w14:paraId="43C4F4C6" w14:textId="77777777" w:rsidR="00DA1C36" w:rsidRDefault="00DA1C36" w:rsidP="00DA1C36">
      <w:pPr>
        <w:spacing w:line="360" w:lineRule="auto"/>
        <w:ind w:firstLine="720"/>
        <w:rPr>
          <w:lang w:val="en-US"/>
        </w:rPr>
      </w:pPr>
      <w:r w:rsidRPr="001974AC">
        <w:rPr>
          <w:lang w:val="en-US"/>
        </w:rPr>
        <w:t xml:space="preserve">Coping constitutes a critical factor in this process. Defined as the cognitive and behavioral efforts undertaken to manage stressors associated with illness (Lazarus &amp; Folkman, 1984; </w:t>
      </w:r>
      <w:proofErr w:type="spellStart"/>
      <w:r w:rsidRPr="001974AC">
        <w:rPr>
          <w:lang w:val="en-US"/>
        </w:rPr>
        <w:t>Zabalegui</w:t>
      </w:r>
      <w:proofErr w:type="spellEnd"/>
      <w:r w:rsidRPr="001974AC">
        <w:rPr>
          <w:lang w:val="en-US"/>
        </w:rPr>
        <w:t xml:space="preserve"> et al., 2002), coping strategies directly influence both psychological adjustment and physiological functioning. Cardiovascular responses to stress, for example, differ markedly according to coping style. Passive coping—characterized by avoidance, resignation, or behavioral inhibition—has been associated with elevated diastolic blood pressure and prolonged hypothalamic-pituitary-adrenal activation, leading to cumulative cardiovascular strain (Lavie, 2011; Aguirre-Palacios &amp; Jaramillo-Montaño, 2024). In contrast, active coping—marked by direct problem engagement—elicits heightened sympathetic activation, increasing heart rate and contractility. While adaptive in some contexts, in patients with cardiovascular disease these responses heighten the risk of acute events such as arrhythmias or myocardial infarction (López-Castedo et al., 2019; Elizondo et al., 2020).</w:t>
      </w:r>
    </w:p>
    <w:p w14:paraId="3ADEC743" w14:textId="77777777" w:rsidR="00DA1C36" w:rsidRDefault="00DA1C36" w:rsidP="00DA1C36">
      <w:pPr>
        <w:spacing w:line="360" w:lineRule="auto"/>
        <w:ind w:firstLine="720"/>
        <w:rPr>
          <w:lang w:val="en-US"/>
        </w:rPr>
      </w:pPr>
      <w:r w:rsidRPr="001974AC">
        <w:rPr>
          <w:lang w:val="en-US"/>
        </w:rPr>
        <w:t>Thus, coping styles not only shape subjective illness experience but also produce distinct physiological outcomes that influence prognosis. Their assessment is therefore essential to the comprehensive management of chronic disease (</w:t>
      </w:r>
      <w:proofErr w:type="spellStart"/>
      <w:r w:rsidRPr="001974AC">
        <w:rPr>
          <w:lang w:val="en-US"/>
        </w:rPr>
        <w:t>Vinaccia</w:t>
      </w:r>
      <w:proofErr w:type="spellEnd"/>
      <w:r w:rsidRPr="001974AC">
        <w:rPr>
          <w:lang w:val="en-US"/>
        </w:rPr>
        <w:t xml:space="preserve"> et al., 2021; Patterson et al., 2022). Importantly, coping is not monolithic: patients may alternate between problem-focused strategies (seeking solutions, taking action) and emotion-focused strategies (managing distress, seeking support). Each approach carries strengths and limitations; their effectiveness depends less on intrinsic value and more on contextual demands and individual needs (Alvarez et al., 2010; Muñoz et al., 2012).</w:t>
      </w:r>
    </w:p>
    <w:p w14:paraId="4AD2CAA7" w14:textId="71509130" w:rsidR="00DA1C36" w:rsidRPr="001974AC" w:rsidRDefault="00DA1C36" w:rsidP="00DA1C36">
      <w:pPr>
        <w:spacing w:line="360" w:lineRule="auto"/>
        <w:ind w:firstLine="720"/>
        <w:rPr>
          <w:lang w:val="en-US"/>
        </w:rPr>
      </w:pPr>
      <w:r w:rsidRPr="001974AC">
        <w:rPr>
          <w:lang w:val="en-US"/>
        </w:rPr>
        <w:t xml:space="preserve">In sum, adherence to pharmacological treatment is a dynamic process situated at the intersection of psychological dispositions, coping strategies, social influences, and physiological </w:t>
      </w:r>
      <w:r w:rsidRPr="001974AC">
        <w:rPr>
          <w:lang w:val="en-US"/>
        </w:rPr>
        <w:lastRenderedPageBreak/>
        <w:t>responses. Understanding these interrelations provides not only a theoretical basis for predicting adherence behaviors but also a practical framework for designing culturally sensitive, evidence-based interventions aimed at improving patient outcomes in chronic disease contexts.</w:t>
      </w:r>
    </w:p>
    <w:p w14:paraId="533EF955" w14:textId="0D55C61C" w:rsidR="00020F8C" w:rsidRPr="00DA1C36" w:rsidRDefault="00020F8C" w:rsidP="00DA1C36">
      <w:pPr>
        <w:pBdr>
          <w:top w:val="nil"/>
          <w:left w:val="nil"/>
          <w:bottom w:val="nil"/>
          <w:right w:val="nil"/>
          <w:between w:val="nil"/>
        </w:pBdr>
        <w:spacing w:line="360" w:lineRule="auto"/>
        <w:ind w:firstLine="709"/>
        <w:jc w:val="both"/>
        <w:rPr>
          <w:color w:val="000000"/>
          <w:lang w:val="en-US"/>
        </w:rPr>
      </w:pPr>
    </w:p>
    <w:p w14:paraId="08A21F58" w14:textId="77777777" w:rsidR="00020F8C" w:rsidRPr="00DA1C36" w:rsidRDefault="00020F8C" w:rsidP="00DA1C36">
      <w:pPr>
        <w:pBdr>
          <w:top w:val="nil"/>
          <w:left w:val="nil"/>
          <w:bottom w:val="nil"/>
          <w:right w:val="nil"/>
          <w:between w:val="nil"/>
        </w:pBdr>
        <w:spacing w:line="360" w:lineRule="auto"/>
        <w:jc w:val="both"/>
        <w:rPr>
          <w:color w:val="000000"/>
          <w:lang w:val="en-US"/>
        </w:rPr>
      </w:pPr>
    </w:p>
    <w:p w14:paraId="4E992937" w14:textId="77777777" w:rsidR="00020F8C" w:rsidRPr="00DA1C36" w:rsidRDefault="00000000">
      <w:pPr>
        <w:pBdr>
          <w:top w:val="nil"/>
          <w:left w:val="nil"/>
          <w:bottom w:val="nil"/>
          <w:right w:val="nil"/>
          <w:between w:val="nil"/>
        </w:pBdr>
        <w:jc w:val="center"/>
        <w:rPr>
          <w:b/>
          <w:color w:val="000000"/>
          <w:lang w:val="en-US"/>
        </w:rPr>
      </w:pPr>
      <w:r w:rsidRPr="00DA1C36">
        <w:rPr>
          <w:b/>
          <w:color w:val="000000"/>
          <w:lang w:val="en-US"/>
        </w:rPr>
        <w:t>Method</w:t>
      </w:r>
    </w:p>
    <w:p w14:paraId="4852979E" w14:textId="77777777" w:rsidR="001C0DDD" w:rsidRDefault="001C0DDD" w:rsidP="001C0DDD">
      <w:pPr>
        <w:spacing w:line="360" w:lineRule="auto"/>
        <w:ind w:firstLine="720"/>
        <w:rPr>
          <w:lang w:val="en-US"/>
        </w:rPr>
      </w:pPr>
      <w:r>
        <w:rPr>
          <w:lang w:val="en-US"/>
        </w:rPr>
        <w:t>A cross-sectional study was conducted with a sample of 1,934 participants, with a mean age of 43.41 years (SD = 10.835), an average weight of 76.94 kg (SD = 15.895), and an average height of 162.58 cm (SD = 8.813). Of the total, 54.4% were women and 45.6% men. Regarding marital status, 47.9% reported being married, 29.0% single, and 11.3% in a common-law union. In relation to educational level, 51.9% had a bachelor’s degree, 15.0% a master’s degree, 12.9% a specialty degree, and 11.3% technical training. Finally, regarding health status, a high prevalence of chronic diseases was observed, with the most frequent being ischemic heart disease (28.6%), diabetes (17.6%), and arterial hypertension (12.5%), while 19.4% of participants did not report any of the evaluated conditions. Multiple validated scales were administered to measure symptoms of depression and anxiety (HADS), perceived stress (EPSS), beliefs (ECCAT), attitudes (EACATF), and treatment adherence factors (</w:t>
      </w:r>
      <w:proofErr w:type="spellStart"/>
      <w:r>
        <w:rPr>
          <w:lang w:val="en-US"/>
        </w:rPr>
        <w:t>EADTCar</w:t>
      </w:r>
      <w:proofErr w:type="spellEnd"/>
      <w:r>
        <w:rPr>
          <w:lang w:val="en-US"/>
        </w:rPr>
        <w:t>). A Structural Equation Model (SEM) was specified and evaluated using the Weighted Least Squares Means and Variance adjusted estimator (WLSMV), appropriate for ordinal data.</w:t>
      </w:r>
    </w:p>
    <w:p w14:paraId="265055E7" w14:textId="77777777" w:rsidR="001C0DDD" w:rsidRPr="001C0DDD" w:rsidRDefault="001C0DDD" w:rsidP="001C0DDD">
      <w:pPr>
        <w:spacing w:line="360" w:lineRule="auto"/>
        <w:rPr>
          <w:b/>
          <w:bCs/>
        </w:rPr>
      </w:pPr>
      <w:proofErr w:type="spellStart"/>
      <w:r w:rsidRPr="001C0DDD">
        <w:rPr>
          <w:b/>
          <w:bCs/>
        </w:rPr>
        <w:t>Ethics</w:t>
      </w:r>
      <w:proofErr w:type="spellEnd"/>
      <w:r w:rsidRPr="001C0DDD">
        <w:rPr>
          <w:b/>
          <w:bCs/>
        </w:rPr>
        <w:t xml:space="preserve"> </w:t>
      </w:r>
      <w:proofErr w:type="spellStart"/>
      <w:r w:rsidRPr="001C0DDD">
        <w:rPr>
          <w:b/>
          <w:bCs/>
        </w:rPr>
        <w:t>statement</w:t>
      </w:r>
      <w:proofErr w:type="spellEnd"/>
      <w:r w:rsidRPr="001C0DDD">
        <w:rPr>
          <w:b/>
          <w:bCs/>
        </w:rPr>
        <w:t xml:space="preserve"> </w:t>
      </w:r>
    </w:p>
    <w:p w14:paraId="72FC41FA" w14:textId="77777777" w:rsidR="001C0DDD" w:rsidRPr="001C0DDD" w:rsidRDefault="001C0DDD" w:rsidP="001C0DDD">
      <w:pPr>
        <w:spacing w:line="360" w:lineRule="auto"/>
        <w:ind w:firstLine="720"/>
        <w:rPr>
          <w:lang w:val="en-US"/>
        </w:rPr>
      </w:pPr>
      <w:r w:rsidRPr="001C0DDD">
        <w:rPr>
          <w:lang w:val="en-US"/>
        </w:rPr>
        <w:t xml:space="preserve">The studies involving humans were approved by Local Committee for Research, Ethics and Biosafety of the Hospital Centro Médico Nacional 20 de </w:t>
      </w:r>
      <w:proofErr w:type="spellStart"/>
      <w:r w:rsidRPr="001C0DDD">
        <w:rPr>
          <w:lang w:val="en-US"/>
        </w:rPr>
        <w:t>Noviembre</w:t>
      </w:r>
      <w:proofErr w:type="spellEnd"/>
      <w:r w:rsidRPr="001C0DDD">
        <w:rPr>
          <w:lang w:val="en-US"/>
        </w:rPr>
        <w:t xml:space="preserve"> of the ISSSTE with registration number 4632020. The studies were conducted in accordance with the local legislation and institutional requirements.</w:t>
      </w:r>
    </w:p>
    <w:p w14:paraId="527C0376" w14:textId="77777777" w:rsidR="001C0DDD" w:rsidRPr="001C0DDD" w:rsidRDefault="001C0DDD" w:rsidP="001C0DDD">
      <w:pPr>
        <w:spacing w:line="360" w:lineRule="auto"/>
        <w:rPr>
          <w:b/>
          <w:bCs/>
        </w:rPr>
      </w:pPr>
      <w:proofErr w:type="spellStart"/>
      <w:r w:rsidRPr="001C0DDD">
        <w:rPr>
          <w:b/>
          <w:bCs/>
        </w:rPr>
        <w:t>Acknowledgments</w:t>
      </w:r>
      <w:proofErr w:type="spellEnd"/>
      <w:r w:rsidRPr="001C0DDD">
        <w:rPr>
          <w:b/>
          <w:bCs/>
        </w:rPr>
        <w:t xml:space="preserve"> </w:t>
      </w:r>
    </w:p>
    <w:p w14:paraId="7A9DB894" w14:textId="77777777" w:rsidR="001C0DDD" w:rsidRPr="001C0DDD" w:rsidRDefault="001C0DDD" w:rsidP="001C0DDD">
      <w:pPr>
        <w:spacing w:line="360" w:lineRule="auto"/>
        <w:ind w:firstLine="720"/>
        <w:rPr>
          <w:lang w:val="en-US"/>
        </w:rPr>
      </w:pPr>
      <w:r w:rsidRPr="001C0DDD">
        <w:rPr>
          <w:lang w:val="en-US"/>
        </w:rPr>
        <w:t xml:space="preserve">We would like to thank the Postdoctoral Scholarship Program of the General Directorate of Academic Personnel Affairs (DGAPA) of the National Autonomous University of Mexico (UNAM), as well as the Faculty of Higher Studies Zaragoza and the National Union of ISSSTE Workers (SNTISSSTE). </w:t>
      </w:r>
    </w:p>
    <w:p w14:paraId="520BA36D" w14:textId="77777777" w:rsidR="001C0DDD" w:rsidRPr="001C0DDD" w:rsidRDefault="001C0DDD" w:rsidP="001C0DDD">
      <w:pPr>
        <w:spacing w:line="360" w:lineRule="auto"/>
        <w:rPr>
          <w:lang w:val="en-US"/>
        </w:rPr>
      </w:pPr>
      <w:r w:rsidRPr="001C0DDD">
        <w:rPr>
          <w:b/>
          <w:bCs/>
          <w:lang w:val="en-US"/>
        </w:rPr>
        <w:t>Conflict of interest</w:t>
      </w:r>
    </w:p>
    <w:p w14:paraId="7ACD0546" w14:textId="23897C65" w:rsidR="001C0DDD" w:rsidRDefault="001C0DDD" w:rsidP="001C0DDD">
      <w:pPr>
        <w:spacing w:line="360" w:lineRule="auto"/>
        <w:ind w:firstLine="720"/>
        <w:rPr>
          <w:lang w:val="en-US"/>
        </w:rPr>
      </w:pPr>
      <w:r w:rsidRPr="001C0DDD">
        <w:rPr>
          <w:lang w:val="en-US"/>
        </w:rPr>
        <w:lastRenderedPageBreak/>
        <w:t>The authors declare that the research was conducted in the absence of any commercial or financial relationships that could be construed as a potential conflict of interest.</w:t>
      </w:r>
    </w:p>
    <w:p w14:paraId="4F17EEBB" w14:textId="77777777" w:rsidR="001C0DDD" w:rsidRDefault="001C0DDD" w:rsidP="001C0DDD">
      <w:pPr>
        <w:rPr>
          <w:b/>
          <w:bCs/>
          <w:lang w:val="en-US"/>
        </w:rPr>
      </w:pPr>
    </w:p>
    <w:p w14:paraId="28EE5E91" w14:textId="4AFC6A21" w:rsidR="001C0DDD" w:rsidRDefault="001C0DDD" w:rsidP="001C0DDD">
      <w:pPr>
        <w:rPr>
          <w:b/>
          <w:bCs/>
          <w:lang w:val="en-US"/>
        </w:rPr>
      </w:pPr>
      <w:r>
        <w:rPr>
          <w:b/>
          <w:bCs/>
          <w:lang w:val="en-US"/>
        </w:rPr>
        <w:t>Results</w:t>
      </w:r>
    </w:p>
    <w:p w14:paraId="66D75CEF" w14:textId="77777777" w:rsidR="001C0DDD" w:rsidRDefault="001C0DDD" w:rsidP="001C0DDD">
      <w:pPr>
        <w:rPr>
          <w:b/>
          <w:bCs/>
          <w:lang w:val="en-US"/>
        </w:rPr>
      </w:pPr>
    </w:p>
    <w:p w14:paraId="50DBD4B2" w14:textId="38762ECE" w:rsidR="001C0DDD" w:rsidRDefault="001C0DDD" w:rsidP="001C0DDD">
      <w:pPr>
        <w:rPr>
          <w:b/>
          <w:bCs/>
          <w:lang w:val="en-US"/>
        </w:rPr>
      </w:pPr>
      <w:r>
        <w:rPr>
          <w:b/>
          <w:bCs/>
          <w:lang w:val="en-US"/>
        </w:rPr>
        <w:t>Table 1</w:t>
      </w:r>
    </w:p>
    <w:p w14:paraId="1C7B8BEE" w14:textId="77777777" w:rsidR="001C0DDD" w:rsidRDefault="001C0DDD" w:rsidP="001C0DDD">
      <w:pPr>
        <w:rPr>
          <w:i/>
          <w:iCs/>
          <w:lang w:val="en-US"/>
        </w:rPr>
      </w:pPr>
      <w:r>
        <w:rPr>
          <w:i/>
          <w:iCs/>
          <w:lang w:val="en-US"/>
        </w:rPr>
        <w:t>Standardized regressions of the structural model</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1"/>
        <w:gridCol w:w="2099"/>
        <w:gridCol w:w="801"/>
        <w:gridCol w:w="801"/>
        <w:gridCol w:w="953"/>
        <w:gridCol w:w="1503"/>
        <w:gridCol w:w="925"/>
        <w:gridCol w:w="777"/>
      </w:tblGrid>
      <w:tr w:rsidR="001C0DDD" w14:paraId="6FAEFD9A" w14:textId="77777777" w:rsidTr="009C4FE2">
        <w:tc>
          <w:tcPr>
            <w:tcW w:w="802" w:type="pct"/>
            <w:tcBorders>
              <w:top w:val="single" w:sz="4" w:space="0" w:color="auto"/>
              <w:bottom w:val="single" w:sz="4" w:space="0" w:color="auto"/>
            </w:tcBorders>
            <w:vAlign w:val="center"/>
          </w:tcPr>
          <w:p w14:paraId="4AB3E614" w14:textId="77777777" w:rsidR="001C0DDD" w:rsidRDefault="001C0DDD" w:rsidP="009C4FE2">
            <w:proofErr w:type="spellStart"/>
            <w:r>
              <w:t>Dependent</w:t>
            </w:r>
            <w:proofErr w:type="spellEnd"/>
            <w:r>
              <w:t xml:space="preserve"> variable</w:t>
            </w:r>
          </w:p>
        </w:tc>
        <w:tc>
          <w:tcPr>
            <w:tcW w:w="1121" w:type="pct"/>
            <w:tcBorders>
              <w:top w:val="single" w:sz="4" w:space="0" w:color="auto"/>
              <w:bottom w:val="single" w:sz="4" w:space="0" w:color="auto"/>
            </w:tcBorders>
            <w:vAlign w:val="center"/>
          </w:tcPr>
          <w:p w14:paraId="728E6514" w14:textId="77777777" w:rsidR="001C0DDD" w:rsidRDefault="001C0DDD" w:rsidP="009C4FE2">
            <w:r>
              <w:t>Predictor</w:t>
            </w:r>
          </w:p>
        </w:tc>
        <w:tc>
          <w:tcPr>
            <w:tcW w:w="428" w:type="pct"/>
            <w:tcBorders>
              <w:top w:val="single" w:sz="4" w:space="0" w:color="auto"/>
              <w:bottom w:val="single" w:sz="4" w:space="0" w:color="auto"/>
            </w:tcBorders>
            <w:vAlign w:val="center"/>
          </w:tcPr>
          <w:p w14:paraId="5BC8ABF9" w14:textId="77777777" w:rsidR="001C0DDD" w:rsidRDefault="001C0DDD" w:rsidP="009C4FE2">
            <w:r>
              <w:rPr>
                <w:i/>
                <w:iCs/>
              </w:rPr>
              <w:t>β</w:t>
            </w:r>
            <w:proofErr w:type="spellStart"/>
            <w:r>
              <w:rPr>
                <w:vertAlign w:val="subscript"/>
              </w:rPr>
              <w:t>est</w:t>
            </w:r>
            <w:proofErr w:type="spellEnd"/>
          </w:p>
        </w:tc>
        <w:tc>
          <w:tcPr>
            <w:tcW w:w="428" w:type="pct"/>
            <w:tcBorders>
              <w:top w:val="single" w:sz="4" w:space="0" w:color="auto"/>
              <w:bottom w:val="single" w:sz="4" w:space="0" w:color="auto"/>
            </w:tcBorders>
            <w:vAlign w:val="center"/>
          </w:tcPr>
          <w:p w14:paraId="3C7A451A" w14:textId="77777777" w:rsidR="001C0DDD" w:rsidRDefault="001C0DDD" w:rsidP="009C4FE2">
            <w:r>
              <w:t>SE</w:t>
            </w:r>
          </w:p>
        </w:tc>
        <w:tc>
          <w:tcPr>
            <w:tcW w:w="509" w:type="pct"/>
            <w:tcBorders>
              <w:top w:val="single" w:sz="4" w:space="0" w:color="auto"/>
              <w:bottom w:val="single" w:sz="4" w:space="0" w:color="auto"/>
            </w:tcBorders>
            <w:vAlign w:val="center"/>
          </w:tcPr>
          <w:p w14:paraId="39B9C186" w14:textId="77777777" w:rsidR="001C0DDD" w:rsidRDefault="001C0DDD" w:rsidP="009C4FE2">
            <w:r>
              <w:rPr>
                <w:i/>
                <w:iCs/>
              </w:rPr>
              <w:t>z</w:t>
            </w:r>
          </w:p>
        </w:tc>
        <w:tc>
          <w:tcPr>
            <w:tcW w:w="803" w:type="pct"/>
            <w:tcBorders>
              <w:top w:val="single" w:sz="4" w:space="0" w:color="auto"/>
              <w:bottom w:val="single" w:sz="4" w:space="0" w:color="auto"/>
            </w:tcBorders>
            <w:vAlign w:val="center"/>
          </w:tcPr>
          <w:p w14:paraId="26420BAC" w14:textId="77777777" w:rsidR="001C0DDD" w:rsidRDefault="001C0DDD" w:rsidP="009C4FE2">
            <w:r>
              <w:t> 95 % CI</w:t>
            </w:r>
          </w:p>
        </w:tc>
        <w:tc>
          <w:tcPr>
            <w:tcW w:w="494" w:type="pct"/>
            <w:tcBorders>
              <w:top w:val="single" w:sz="4" w:space="0" w:color="auto"/>
              <w:bottom w:val="single" w:sz="4" w:space="0" w:color="auto"/>
            </w:tcBorders>
            <w:vAlign w:val="center"/>
          </w:tcPr>
          <w:p w14:paraId="4EC67EBB" w14:textId="77777777" w:rsidR="001C0DDD" w:rsidRDefault="001C0DDD" w:rsidP="009C4FE2">
            <w:r>
              <w:rPr>
                <w:i/>
                <w:iCs/>
              </w:rPr>
              <w:t>p</w:t>
            </w:r>
          </w:p>
        </w:tc>
        <w:tc>
          <w:tcPr>
            <w:tcW w:w="415" w:type="pct"/>
            <w:tcBorders>
              <w:top w:val="single" w:sz="4" w:space="0" w:color="auto"/>
              <w:bottom w:val="single" w:sz="4" w:space="0" w:color="auto"/>
            </w:tcBorders>
            <w:vAlign w:val="center"/>
          </w:tcPr>
          <w:p w14:paraId="2FF89D15" w14:textId="77777777" w:rsidR="001C0DDD" w:rsidRDefault="001C0DDD" w:rsidP="009C4FE2">
            <w:r>
              <w:rPr>
                <w:i/>
                <w:iCs/>
              </w:rPr>
              <w:t>R</w:t>
            </w:r>
            <w:r>
              <w:t>²</w:t>
            </w:r>
          </w:p>
        </w:tc>
      </w:tr>
      <w:tr w:rsidR="001C0DDD" w14:paraId="1842BAD5" w14:textId="77777777" w:rsidTr="009C4FE2">
        <w:trPr>
          <w:trHeight w:val="885"/>
        </w:trPr>
        <w:tc>
          <w:tcPr>
            <w:tcW w:w="802" w:type="pct"/>
            <w:vMerge w:val="restart"/>
            <w:tcBorders>
              <w:top w:val="single" w:sz="4" w:space="0" w:color="auto"/>
            </w:tcBorders>
            <w:vAlign w:val="center"/>
          </w:tcPr>
          <w:p w14:paraId="2743E805" w14:textId="77777777" w:rsidR="001C0DDD" w:rsidRDefault="001C0DDD" w:rsidP="009C4FE2">
            <w:pPr>
              <w:rPr>
                <w:lang w:val="en-US"/>
              </w:rPr>
            </w:pPr>
            <w:r>
              <w:rPr>
                <w:lang w:val="en-US"/>
              </w:rPr>
              <w:t>Behavioral attitudes toward pharmacological treatment adherence</w:t>
            </w:r>
          </w:p>
        </w:tc>
        <w:tc>
          <w:tcPr>
            <w:tcW w:w="1121" w:type="pct"/>
            <w:tcBorders>
              <w:top w:val="single" w:sz="4" w:space="0" w:color="auto"/>
            </w:tcBorders>
            <w:vAlign w:val="center"/>
          </w:tcPr>
          <w:p w14:paraId="7328D105" w14:textId="77777777" w:rsidR="001C0DDD" w:rsidRDefault="001C0DDD" w:rsidP="009C4FE2">
            <w:proofErr w:type="spellStart"/>
            <w:r>
              <w:t>Behavioral</w:t>
            </w:r>
            <w:proofErr w:type="spellEnd"/>
            <w:r>
              <w:t xml:space="preserve"> </w:t>
            </w:r>
            <w:proofErr w:type="spellStart"/>
            <w:r>
              <w:t>beliefs</w:t>
            </w:r>
            <w:proofErr w:type="spellEnd"/>
          </w:p>
        </w:tc>
        <w:tc>
          <w:tcPr>
            <w:tcW w:w="428" w:type="pct"/>
            <w:tcBorders>
              <w:top w:val="single" w:sz="4" w:space="0" w:color="auto"/>
            </w:tcBorders>
            <w:vAlign w:val="center"/>
          </w:tcPr>
          <w:p w14:paraId="7FE79869" w14:textId="77777777" w:rsidR="001C0DDD" w:rsidRDefault="001C0DDD" w:rsidP="009C4FE2">
            <w:r>
              <w:t>.56</w:t>
            </w:r>
          </w:p>
        </w:tc>
        <w:tc>
          <w:tcPr>
            <w:tcW w:w="428" w:type="pct"/>
            <w:tcBorders>
              <w:top w:val="single" w:sz="4" w:space="0" w:color="auto"/>
            </w:tcBorders>
            <w:vAlign w:val="center"/>
          </w:tcPr>
          <w:p w14:paraId="72CEEE0D" w14:textId="77777777" w:rsidR="001C0DDD" w:rsidRDefault="001C0DDD" w:rsidP="009C4FE2">
            <w:r>
              <w:t>0.03</w:t>
            </w:r>
          </w:p>
        </w:tc>
        <w:tc>
          <w:tcPr>
            <w:tcW w:w="509" w:type="pct"/>
            <w:tcBorders>
              <w:top w:val="single" w:sz="4" w:space="0" w:color="auto"/>
            </w:tcBorders>
            <w:vAlign w:val="center"/>
          </w:tcPr>
          <w:p w14:paraId="078F56F2" w14:textId="77777777" w:rsidR="001C0DDD" w:rsidRDefault="001C0DDD" w:rsidP="009C4FE2">
            <w:r>
              <w:t>19.90</w:t>
            </w:r>
          </w:p>
        </w:tc>
        <w:tc>
          <w:tcPr>
            <w:tcW w:w="803" w:type="pct"/>
            <w:tcBorders>
              <w:top w:val="single" w:sz="4" w:space="0" w:color="auto"/>
            </w:tcBorders>
            <w:vAlign w:val="center"/>
          </w:tcPr>
          <w:p w14:paraId="21073CE3" w14:textId="77777777" w:rsidR="001C0DDD" w:rsidRDefault="001C0DDD" w:rsidP="009C4FE2">
            <w:r>
              <w:t>[.50, .62]</w:t>
            </w:r>
          </w:p>
        </w:tc>
        <w:tc>
          <w:tcPr>
            <w:tcW w:w="494" w:type="pct"/>
            <w:tcBorders>
              <w:top w:val="single" w:sz="4" w:space="0" w:color="auto"/>
            </w:tcBorders>
            <w:vAlign w:val="center"/>
          </w:tcPr>
          <w:p w14:paraId="2DB78212" w14:textId="77777777" w:rsidR="001C0DDD" w:rsidRDefault="001C0DDD" w:rsidP="009C4FE2">
            <w:r>
              <w:t>&lt; .001</w:t>
            </w:r>
          </w:p>
        </w:tc>
        <w:tc>
          <w:tcPr>
            <w:tcW w:w="415" w:type="pct"/>
            <w:tcBorders>
              <w:top w:val="single" w:sz="4" w:space="0" w:color="auto"/>
            </w:tcBorders>
            <w:vAlign w:val="center"/>
          </w:tcPr>
          <w:p w14:paraId="7405A974" w14:textId="77777777" w:rsidR="001C0DDD" w:rsidRDefault="001C0DDD" w:rsidP="009C4FE2">
            <w:r>
              <w:t>.47</w:t>
            </w:r>
          </w:p>
        </w:tc>
      </w:tr>
      <w:tr w:rsidR="001C0DDD" w14:paraId="50085B08" w14:textId="77777777" w:rsidTr="009C4FE2">
        <w:trPr>
          <w:trHeight w:val="886"/>
        </w:trPr>
        <w:tc>
          <w:tcPr>
            <w:tcW w:w="802" w:type="pct"/>
            <w:vMerge/>
            <w:tcBorders>
              <w:bottom w:val="single" w:sz="4" w:space="0" w:color="auto"/>
            </w:tcBorders>
            <w:vAlign w:val="center"/>
          </w:tcPr>
          <w:p w14:paraId="5306423D" w14:textId="77777777" w:rsidR="001C0DDD" w:rsidRDefault="001C0DDD" w:rsidP="009C4FE2"/>
        </w:tc>
        <w:tc>
          <w:tcPr>
            <w:tcW w:w="1121" w:type="pct"/>
            <w:tcBorders>
              <w:bottom w:val="single" w:sz="4" w:space="0" w:color="auto"/>
            </w:tcBorders>
            <w:vAlign w:val="center"/>
          </w:tcPr>
          <w:p w14:paraId="3227F53A" w14:textId="77777777" w:rsidR="001C0DDD" w:rsidRDefault="001C0DDD" w:rsidP="009C4FE2">
            <w:proofErr w:type="spellStart"/>
            <w:r>
              <w:t>Adherence</w:t>
            </w:r>
            <w:proofErr w:type="spellEnd"/>
            <w:r>
              <w:t xml:space="preserve"> factor</w:t>
            </w:r>
          </w:p>
        </w:tc>
        <w:tc>
          <w:tcPr>
            <w:tcW w:w="428" w:type="pct"/>
            <w:tcBorders>
              <w:bottom w:val="single" w:sz="4" w:space="0" w:color="auto"/>
            </w:tcBorders>
            <w:vAlign w:val="center"/>
          </w:tcPr>
          <w:p w14:paraId="41F78E75" w14:textId="77777777" w:rsidR="001C0DDD" w:rsidRDefault="001C0DDD" w:rsidP="009C4FE2">
            <w:r>
              <w:t>.26</w:t>
            </w:r>
          </w:p>
        </w:tc>
        <w:tc>
          <w:tcPr>
            <w:tcW w:w="428" w:type="pct"/>
            <w:tcBorders>
              <w:bottom w:val="single" w:sz="4" w:space="0" w:color="auto"/>
            </w:tcBorders>
            <w:vAlign w:val="center"/>
          </w:tcPr>
          <w:p w14:paraId="5120F6EB" w14:textId="77777777" w:rsidR="001C0DDD" w:rsidRDefault="001C0DDD" w:rsidP="009C4FE2">
            <w:r>
              <w:t>0.04</w:t>
            </w:r>
          </w:p>
        </w:tc>
        <w:tc>
          <w:tcPr>
            <w:tcW w:w="509" w:type="pct"/>
            <w:tcBorders>
              <w:bottom w:val="single" w:sz="4" w:space="0" w:color="auto"/>
            </w:tcBorders>
            <w:vAlign w:val="center"/>
          </w:tcPr>
          <w:p w14:paraId="78AD7C18" w14:textId="77777777" w:rsidR="001C0DDD" w:rsidRDefault="001C0DDD" w:rsidP="009C4FE2">
            <w:r>
              <w:t>9.78</w:t>
            </w:r>
          </w:p>
        </w:tc>
        <w:tc>
          <w:tcPr>
            <w:tcW w:w="803" w:type="pct"/>
            <w:tcBorders>
              <w:bottom w:val="single" w:sz="4" w:space="0" w:color="auto"/>
            </w:tcBorders>
            <w:vAlign w:val="center"/>
          </w:tcPr>
          <w:p w14:paraId="327EA60C" w14:textId="77777777" w:rsidR="001C0DDD" w:rsidRDefault="001C0DDD" w:rsidP="009C4FE2">
            <w:r>
              <w:t>[.21, .32]</w:t>
            </w:r>
          </w:p>
        </w:tc>
        <w:tc>
          <w:tcPr>
            <w:tcW w:w="494" w:type="pct"/>
            <w:tcBorders>
              <w:bottom w:val="single" w:sz="4" w:space="0" w:color="auto"/>
            </w:tcBorders>
            <w:vAlign w:val="center"/>
          </w:tcPr>
          <w:p w14:paraId="3FB4E19E" w14:textId="77777777" w:rsidR="001C0DDD" w:rsidRDefault="001C0DDD" w:rsidP="009C4FE2">
            <w:r>
              <w:t>&lt; .001</w:t>
            </w:r>
          </w:p>
        </w:tc>
        <w:tc>
          <w:tcPr>
            <w:tcW w:w="415" w:type="pct"/>
            <w:tcBorders>
              <w:bottom w:val="single" w:sz="4" w:space="0" w:color="auto"/>
            </w:tcBorders>
            <w:vAlign w:val="center"/>
          </w:tcPr>
          <w:p w14:paraId="19403A46" w14:textId="77777777" w:rsidR="001C0DDD" w:rsidRDefault="001C0DDD" w:rsidP="009C4FE2"/>
        </w:tc>
      </w:tr>
      <w:tr w:rsidR="001C0DDD" w14:paraId="3DCAF41A" w14:textId="77777777" w:rsidTr="009C4FE2">
        <w:trPr>
          <w:trHeight w:val="552"/>
        </w:trPr>
        <w:tc>
          <w:tcPr>
            <w:tcW w:w="802" w:type="pct"/>
            <w:vMerge w:val="restart"/>
            <w:tcBorders>
              <w:top w:val="single" w:sz="4" w:space="0" w:color="auto"/>
            </w:tcBorders>
            <w:vAlign w:val="center"/>
          </w:tcPr>
          <w:p w14:paraId="6B99264F" w14:textId="77777777" w:rsidR="001C0DDD" w:rsidRDefault="001C0DDD" w:rsidP="009C4FE2">
            <w:proofErr w:type="spellStart"/>
            <w:r>
              <w:t>Behavioral</w:t>
            </w:r>
            <w:proofErr w:type="spellEnd"/>
            <w:r>
              <w:t xml:space="preserve"> </w:t>
            </w:r>
            <w:proofErr w:type="spellStart"/>
            <w:r>
              <w:t>beliefs</w:t>
            </w:r>
            <w:proofErr w:type="spellEnd"/>
          </w:p>
        </w:tc>
        <w:tc>
          <w:tcPr>
            <w:tcW w:w="1121" w:type="pct"/>
            <w:tcBorders>
              <w:top w:val="single" w:sz="4" w:space="0" w:color="auto"/>
            </w:tcBorders>
            <w:vAlign w:val="center"/>
          </w:tcPr>
          <w:p w14:paraId="6D5F8DD2" w14:textId="77777777" w:rsidR="001C0DDD" w:rsidRDefault="001C0DDD" w:rsidP="009C4FE2">
            <w:proofErr w:type="spellStart"/>
            <w:r>
              <w:t>Depression</w:t>
            </w:r>
            <w:proofErr w:type="spellEnd"/>
          </w:p>
        </w:tc>
        <w:tc>
          <w:tcPr>
            <w:tcW w:w="428" w:type="pct"/>
            <w:tcBorders>
              <w:top w:val="single" w:sz="4" w:space="0" w:color="auto"/>
            </w:tcBorders>
            <w:vAlign w:val="center"/>
          </w:tcPr>
          <w:p w14:paraId="05D0AB80" w14:textId="77777777" w:rsidR="001C0DDD" w:rsidRDefault="001C0DDD" w:rsidP="009C4FE2">
            <w:r>
              <w:t>–.65</w:t>
            </w:r>
          </w:p>
        </w:tc>
        <w:tc>
          <w:tcPr>
            <w:tcW w:w="428" w:type="pct"/>
            <w:tcBorders>
              <w:top w:val="single" w:sz="4" w:space="0" w:color="auto"/>
            </w:tcBorders>
            <w:vAlign w:val="center"/>
          </w:tcPr>
          <w:p w14:paraId="31500ADE" w14:textId="77777777" w:rsidR="001C0DDD" w:rsidRDefault="001C0DDD" w:rsidP="009C4FE2">
            <w:r>
              <w:t>0.08</w:t>
            </w:r>
          </w:p>
        </w:tc>
        <w:tc>
          <w:tcPr>
            <w:tcW w:w="509" w:type="pct"/>
            <w:tcBorders>
              <w:top w:val="single" w:sz="4" w:space="0" w:color="auto"/>
            </w:tcBorders>
            <w:vAlign w:val="center"/>
          </w:tcPr>
          <w:p w14:paraId="66BDB76B" w14:textId="77777777" w:rsidR="001C0DDD" w:rsidRDefault="001C0DDD" w:rsidP="009C4FE2">
            <w:r>
              <w:t>–10.29</w:t>
            </w:r>
          </w:p>
        </w:tc>
        <w:tc>
          <w:tcPr>
            <w:tcW w:w="803" w:type="pct"/>
            <w:tcBorders>
              <w:top w:val="single" w:sz="4" w:space="0" w:color="auto"/>
            </w:tcBorders>
            <w:vAlign w:val="center"/>
          </w:tcPr>
          <w:p w14:paraId="17327CBC" w14:textId="77777777" w:rsidR="001C0DDD" w:rsidRDefault="001C0DDD" w:rsidP="009C4FE2">
            <w:r>
              <w:t>[–.78, –.52]</w:t>
            </w:r>
          </w:p>
        </w:tc>
        <w:tc>
          <w:tcPr>
            <w:tcW w:w="494" w:type="pct"/>
            <w:tcBorders>
              <w:top w:val="single" w:sz="4" w:space="0" w:color="auto"/>
            </w:tcBorders>
            <w:vAlign w:val="center"/>
          </w:tcPr>
          <w:p w14:paraId="06E7EB40" w14:textId="77777777" w:rsidR="001C0DDD" w:rsidRDefault="001C0DDD" w:rsidP="009C4FE2">
            <w:r>
              <w:t>&lt; .001</w:t>
            </w:r>
          </w:p>
        </w:tc>
        <w:tc>
          <w:tcPr>
            <w:tcW w:w="415" w:type="pct"/>
            <w:tcBorders>
              <w:top w:val="single" w:sz="4" w:space="0" w:color="auto"/>
            </w:tcBorders>
            <w:vAlign w:val="center"/>
          </w:tcPr>
          <w:p w14:paraId="0A38BD83" w14:textId="77777777" w:rsidR="001C0DDD" w:rsidRDefault="001C0DDD" w:rsidP="009C4FE2">
            <w:r>
              <w:t>.30</w:t>
            </w:r>
          </w:p>
        </w:tc>
      </w:tr>
      <w:tr w:rsidR="001C0DDD" w14:paraId="00603FC0" w14:textId="77777777" w:rsidTr="009C4FE2">
        <w:trPr>
          <w:trHeight w:val="552"/>
        </w:trPr>
        <w:tc>
          <w:tcPr>
            <w:tcW w:w="802" w:type="pct"/>
            <w:vMerge/>
            <w:vAlign w:val="center"/>
          </w:tcPr>
          <w:p w14:paraId="2E03550D" w14:textId="77777777" w:rsidR="001C0DDD" w:rsidRDefault="001C0DDD" w:rsidP="009C4FE2"/>
        </w:tc>
        <w:tc>
          <w:tcPr>
            <w:tcW w:w="1121" w:type="pct"/>
            <w:vAlign w:val="center"/>
          </w:tcPr>
          <w:p w14:paraId="50E291C3" w14:textId="77777777" w:rsidR="001C0DDD" w:rsidRDefault="001C0DDD" w:rsidP="009C4FE2">
            <w:proofErr w:type="spellStart"/>
            <w:r>
              <w:t>Anxiety</w:t>
            </w:r>
            <w:proofErr w:type="spellEnd"/>
          </w:p>
        </w:tc>
        <w:tc>
          <w:tcPr>
            <w:tcW w:w="428" w:type="pct"/>
            <w:vAlign w:val="center"/>
          </w:tcPr>
          <w:p w14:paraId="1EFECEF7" w14:textId="77777777" w:rsidR="001C0DDD" w:rsidRDefault="001C0DDD" w:rsidP="009C4FE2">
            <w:r>
              <w:t>.35</w:t>
            </w:r>
          </w:p>
        </w:tc>
        <w:tc>
          <w:tcPr>
            <w:tcW w:w="428" w:type="pct"/>
            <w:vAlign w:val="center"/>
          </w:tcPr>
          <w:p w14:paraId="3056AD80" w14:textId="77777777" w:rsidR="001C0DDD" w:rsidRDefault="001C0DDD" w:rsidP="009C4FE2">
            <w:r>
              <w:t>0.07</w:t>
            </w:r>
          </w:p>
        </w:tc>
        <w:tc>
          <w:tcPr>
            <w:tcW w:w="509" w:type="pct"/>
            <w:vAlign w:val="center"/>
          </w:tcPr>
          <w:p w14:paraId="084AE431" w14:textId="77777777" w:rsidR="001C0DDD" w:rsidRDefault="001C0DDD" w:rsidP="009C4FE2">
            <w:r>
              <w:t>5.93</w:t>
            </w:r>
          </w:p>
        </w:tc>
        <w:tc>
          <w:tcPr>
            <w:tcW w:w="803" w:type="pct"/>
            <w:vAlign w:val="center"/>
          </w:tcPr>
          <w:p w14:paraId="3C20D35D" w14:textId="77777777" w:rsidR="001C0DDD" w:rsidRDefault="001C0DDD" w:rsidP="009C4FE2">
            <w:r>
              <w:t>[.24, .47]</w:t>
            </w:r>
          </w:p>
        </w:tc>
        <w:tc>
          <w:tcPr>
            <w:tcW w:w="494" w:type="pct"/>
            <w:vAlign w:val="center"/>
          </w:tcPr>
          <w:p w14:paraId="52596D07" w14:textId="77777777" w:rsidR="001C0DDD" w:rsidRDefault="001C0DDD" w:rsidP="009C4FE2">
            <w:r>
              <w:t>&lt; .001</w:t>
            </w:r>
          </w:p>
        </w:tc>
        <w:tc>
          <w:tcPr>
            <w:tcW w:w="415" w:type="pct"/>
            <w:vAlign w:val="center"/>
          </w:tcPr>
          <w:p w14:paraId="4BB88201" w14:textId="77777777" w:rsidR="001C0DDD" w:rsidRDefault="001C0DDD" w:rsidP="009C4FE2"/>
        </w:tc>
      </w:tr>
      <w:tr w:rsidR="001C0DDD" w14:paraId="2E427912" w14:textId="77777777" w:rsidTr="009C4FE2">
        <w:trPr>
          <w:trHeight w:val="552"/>
        </w:trPr>
        <w:tc>
          <w:tcPr>
            <w:tcW w:w="802" w:type="pct"/>
            <w:vMerge/>
            <w:vAlign w:val="center"/>
          </w:tcPr>
          <w:p w14:paraId="077A64FF" w14:textId="77777777" w:rsidR="001C0DDD" w:rsidRDefault="001C0DDD" w:rsidP="009C4FE2"/>
        </w:tc>
        <w:tc>
          <w:tcPr>
            <w:tcW w:w="1121" w:type="pct"/>
            <w:vAlign w:val="center"/>
          </w:tcPr>
          <w:p w14:paraId="7D813F9C" w14:textId="77777777" w:rsidR="001C0DDD" w:rsidRDefault="001C0DDD" w:rsidP="009C4FE2">
            <w:proofErr w:type="spellStart"/>
            <w:r>
              <w:t>Coping</w:t>
            </w:r>
            <w:proofErr w:type="spellEnd"/>
          </w:p>
        </w:tc>
        <w:tc>
          <w:tcPr>
            <w:tcW w:w="428" w:type="pct"/>
            <w:vAlign w:val="center"/>
          </w:tcPr>
          <w:p w14:paraId="62723BFF" w14:textId="77777777" w:rsidR="001C0DDD" w:rsidRDefault="001C0DDD" w:rsidP="009C4FE2">
            <w:r>
              <w:t>–.25</w:t>
            </w:r>
          </w:p>
        </w:tc>
        <w:tc>
          <w:tcPr>
            <w:tcW w:w="428" w:type="pct"/>
            <w:vAlign w:val="center"/>
          </w:tcPr>
          <w:p w14:paraId="53748BC3" w14:textId="77777777" w:rsidR="001C0DDD" w:rsidRDefault="001C0DDD" w:rsidP="009C4FE2">
            <w:r>
              <w:t>0.06</w:t>
            </w:r>
          </w:p>
        </w:tc>
        <w:tc>
          <w:tcPr>
            <w:tcW w:w="509" w:type="pct"/>
            <w:vAlign w:val="center"/>
          </w:tcPr>
          <w:p w14:paraId="3922A7C9" w14:textId="77777777" w:rsidR="001C0DDD" w:rsidRDefault="001C0DDD" w:rsidP="009C4FE2">
            <w:r>
              <w:t>–4.86</w:t>
            </w:r>
          </w:p>
        </w:tc>
        <w:tc>
          <w:tcPr>
            <w:tcW w:w="803" w:type="pct"/>
            <w:vAlign w:val="center"/>
          </w:tcPr>
          <w:p w14:paraId="018B8BBC" w14:textId="77777777" w:rsidR="001C0DDD" w:rsidRDefault="001C0DDD" w:rsidP="009C4FE2">
            <w:r>
              <w:t>[–.35, –.14]</w:t>
            </w:r>
          </w:p>
        </w:tc>
        <w:tc>
          <w:tcPr>
            <w:tcW w:w="494" w:type="pct"/>
            <w:vAlign w:val="center"/>
          </w:tcPr>
          <w:p w14:paraId="617C6A3C" w14:textId="77777777" w:rsidR="001C0DDD" w:rsidRDefault="001C0DDD" w:rsidP="009C4FE2">
            <w:r>
              <w:t>&lt; .001</w:t>
            </w:r>
          </w:p>
        </w:tc>
        <w:tc>
          <w:tcPr>
            <w:tcW w:w="415" w:type="pct"/>
            <w:vAlign w:val="center"/>
          </w:tcPr>
          <w:p w14:paraId="7D046FD0" w14:textId="77777777" w:rsidR="001C0DDD" w:rsidRDefault="001C0DDD" w:rsidP="009C4FE2"/>
        </w:tc>
      </w:tr>
      <w:tr w:rsidR="001C0DDD" w14:paraId="131258B7" w14:textId="77777777" w:rsidTr="009C4FE2">
        <w:trPr>
          <w:trHeight w:val="552"/>
        </w:trPr>
        <w:tc>
          <w:tcPr>
            <w:tcW w:w="802" w:type="pct"/>
            <w:vMerge/>
            <w:tcBorders>
              <w:bottom w:val="single" w:sz="4" w:space="0" w:color="auto"/>
            </w:tcBorders>
            <w:vAlign w:val="center"/>
          </w:tcPr>
          <w:p w14:paraId="472B80C7" w14:textId="77777777" w:rsidR="001C0DDD" w:rsidRDefault="001C0DDD" w:rsidP="009C4FE2"/>
        </w:tc>
        <w:tc>
          <w:tcPr>
            <w:tcW w:w="1121" w:type="pct"/>
            <w:tcBorders>
              <w:bottom w:val="single" w:sz="4" w:space="0" w:color="auto"/>
            </w:tcBorders>
            <w:vAlign w:val="center"/>
          </w:tcPr>
          <w:p w14:paraId="6AF838F1" w14:textId="77777777" w:rsidR="001C0DDD" w:rsidRDefault="001C0DDD" w:rsidP="009C4FE2">
            <w:proofErr w:type="spellStart"/>
            <w:r>
              <w:t>Loss</w:t>
            </w:r>
            <w:proofErr w:type="spellEnd"/>
            <w:r>
              <w:t xml:space="preserve"> </w:t>
            </w:r>
            <w:proofErr w:type="spellStart"/>
            <w:r>
              <w:t>of</w:t>
            </w:r>
            <w:proofErr w:type="spellEnd"/>
            <w:r>
              <w:t xml:space="preserve"> control</w:t>
            </w:r>
          </w:p>
        </w:tc>
        <w:tc>
          <w:tcPr>
            <w:tcW w:w="428" w:type="pct"/>
            <w:tcBorders>
              <w:bottom w:val="single" w:sz="4" w:space="0" w:color="auto"/>
            </w:tcBorders>
            <w:vAlign w:val="center"/>
          </w:tcPr>
          <w:p w14:paraId="4FAD6FE8" w14:textId="77777777" w:rsidR="001C0DDD" w:rsidRDefault="001C0DDD" w:rsidP="009C4FE2">
            <w:r>
              <w:t>.43</w:t>
            </w:r>
          </w:p>
        </w:tc>
        <w:tc>
          <w:tcPr>
            <w:tcW w:w="428" w:type="pct"/>
            <w:tcBorders>
              <w:bottom w:val="single" w:sz="4" w:space="0" w:color="auto"/>
            </w:tcBorders>
            <w:vAlign w:val="center"/>
          </w:tcPr>
          <w:p w14:paraId="4BAB08F2" w14:textId="77777777" w:rsidR="001C0DDD" w:rsidRDefault="001C0DDD" w:rsidP="009C4FE2">
            <w:r>
              <w:t>0.09</w:t>
            </w:r>
          </w:p>
        </w:tc>
        <w:tc>
          <w:tcPr>
            <w:tcW w:w="509" w:type="pct"/>
            <w:tcBorders>
              <w:bottom w:val="single" w:sz="4" w:space="0" w:color="auto"/>
            </w:tcBorders>
            <w:vAlign w:val="center"/>
          </w:tcPr>
          <w:p w14:paraId="7B831ACE" w14:textId="77777777" w:rsidR="001C0DDD" w:rsidRDefault="001C0DDD" w:rsidP="009C4FE2">
            <w:r>
              <w:t>6.03</w:t>
            </w:r>
          </w:p>
        </w:tc>
        <w:tc>
          <w:tcPr>
            <w:tcW w:w="803" w:type="pct"/>
            <w:tcBorders>
              <w:bottom w:val="single" w:sz="4" w:space="0" w:color="auto"/>
            </w:tcBorders>
            <w:vAlign w:val="center"/>
          </w:tcPr>
          <w:p w14:paraId="6FA84A71" w14:textId="77777777" w:rsidR="001C0DDD" w:rsidRDefault="001C0DDD" w:rsidP="009C4FE2">
            <w:r>
              <w:t>[.28, .57]</w:t>
            </w:r>
          </w:p>
        </w:tc>
        <w:tc>
          <w:tcPr>
            <w:tcW w:w="494" w:type="pct"/>
            <w:tcBorders>
              <w:bottom w:val="single" w:sz="4" w:space="0" w:color="auto"/>
            </w:tcBorders>
            <w:vAlign w:val="center"/>
          </w:tcPr>
          <w:p w14:paraId="263CC9C3" w14:textId="77777777" w:rsidR="001C0DDD" w:rsidRDefault="001C0DDD" w:rsidP="009C4FE2">
            <w:r>
              <w:t>&lt; .001</w:t>
            </w:r>
          </w:p>
        </w:tc>
        <w:tc>
          <w:tcPr>
            <w:tcW w:w="415" w:type="pct"/>
            <w:tcBorders>
              <w:bottom w:val="single" w:sz="4" w:space="0" w:color="auto"/>
            </w:tcBorders>
            <w:vAlign w:val="center"/>
          </w:tcPr>
          <w:p w14:paraId="0515094C" w14:textId="77777777" w:rsidR="001C0DDD" w:rsidRDefault="001C0DDD" w:rsidP="009C4FE2"/>
        </w:tc>
      </w:tr>
    </w:tbl>
    <w:p w14:paraId="41E22F7C" w14:textId="77777777" w:rsidR="001C0DDD" w:rsidRDefault="001C0DDD" w:rsidP="001C0DDD"/>
    <w:p w14:paraId="1D447B12" w14:textId="77777777" w:rsidR="001C0DDD" w:rsidRDefault="001C0DDD" w:rsidP="001C0DDD">
      <w:pPr>
        <w:rPr>
          <w:b/>
          <w:bCs/>
        </w:rPr>
      </w:pPr>
      <w:r>
        <w:rPr>
          <w:b/>
          <w:bCs/>
        </w:rPr>
        <w:t>Table 2</w:t>
      </w:r>
    </w:p>
    <w:p w14:paraId="67321EE7" w14:textId="77777777" w:rsidR="001C0DDD" w:rsidRDefault="001C0DDD" w:rsidP="001C0DDD">
      <w:pPr>
        <w:rPr>
          <w:i/>
          <w:iCs/>
          <w:lang w:val="en-US"/>
        </w:rPr>
      </w:pPr>
      <w:r>
        <w:rPr>
          <w:i/>
          <w:iCs/>
          <w:lang w:val="en-US"/>
        </w:rPr>
        <w:t>Fit indices of the structural model</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32"/>
        <w:gridCol w:w="3115"/>
      </w:tblGrid>
      <w:tr w:rsidR="001C0DDD" w14:paraId="741B1FAB" w14:textId="77777777" w:rsidTr="009C4FE2">
        <w:trPr>
          <w:trHeight w:val="20"/>
        </w:trPr>
        <w:tc>
          <w:tcPr>
            <w:tcW w:w="1663" w:type="pct"/>
            <w:tcBorders>
              <w:top w:val="single" w:sz="4" w:space="0" w:color="auto"/>
              <w:bottom w:val="single" w:sz="4" w:space="0" w:color="auto"/>
            </w:tcBorders>
            <w:vAlign w:val="center"/>
          </w:tcPr>
          <w:p w14:paraId="08D87B0F" w14:textId="77777777" w:rsidR="001C0DDD" w:rsidRDefault="001C0DDD" w:rsidP="009C4FE2">
            <w:proofErr w:type="spellStart"/>
            <w:r>
              <w:t>Fit</w:t>
            </w:r>
            <w:proofErr w:type="spellEnd"/>
            <w:r>
              <w:t xml:space="preserve"> </w:t>
            </w:r>
            <w:proofErr w:type="spellStart"/>
            <w:r>
              <w:t>Index</w:t>
            </w:r>
            <w:proofErr w:type="spellEnd"/>
          </w:p>
        </w:tc>
        <w:tc>
          <w:tcPr>
            <w:tcW w:w="1673" w:type="pct"/>
            <w:tcBorders>
              <w:top w:val="single" w:sz="4" w:space="0" w:color="auto"/>
              <w:bottom w:val="single" w:sz="4" w:space="0" w:color="auto"/>
            </w:tcBorders>
            <w:vAlign w:val="center"/>
          </w:tcPr>
          <w:p w14:paraId="73F59A94" w14:textId="77777777" w:rsidR="001C0DDD" w:rsidRDefault="001C0DDD" w:rsidP="009C4FE2">
            <w:proofErr w:type="spellStart"/>
            <w:r>
              <w:t>Robust</w:t>
            </w:r>
            <w:proofErr w:type="spellEnd"/>
            <w:r>
              <w:t xml:space="preserve"> </w:t>
            </w:r>
            <w:proofErr w:type="spellStart"/>
            <w:r>
              <w:t>Value</w:t>
            </w:r>
            <w:proofErr w:type="spellEnd"/>
            <w:r>
              <w:t>*</w:t>
            </w:r>
          </w:p>
        </w:tc>
        <w:tc>
          <w:tcPr>
            <w:tcW w:w="1664" w:type="pct"/>
            <w:tcBorders>
              <w:top w:val="single" w:sz="4" w:space="0" w:color="auto"/>
              <w:bottom w:val="single" w:sz="4" w:space="0" w:color="auto"/>
            </w:tcBorders>
            <w:vAlign w:val="center"/>
          </w:tcPr>
          <w:p w14:paraId="30381F72" w14:textId="77777777" w:rsidR="001C0DDD" w:rsidRDefault="001C0DDD" w:rsidP="009C4FE2">
            <w:proofErr w:type="spellStart"/>
            <w:r>
              <w:t>Interpretation</w:t>
            </w:r>
            <w:proofErr w:type="spellEnd"/>
          </w:p>
        </w:tc>
      </w:tr>
      <w:tr w:rsidR="001C0DDD" w14:paraId="4D1CAD09" w14:textId="77777777" w:rsidTr="009C4FE2">
        <w:trPr>
          <w:trHeight w:val="20"/>
        </w:trPr>
        <w:tc>
          <w:tcPr>
            <w:tcW w:w="1663" w:type="pct"/>
            <w:tcBorders>
              <w:top w:val="single" w:sz="4" w:space="0" w:color="auto"/>
            </w:tcBorders>
            <w:vAlign w:val="center"/>
          </w:tcPr>
          <w:p w14:paraId="4F9AD95B" w14:textId="77777777" w:rsidR="001C0DDD" w:rsidRDefault="001C0DDD" w:rsidP="009C4FE2">
            <w:r>
              <w:rPr>
                <w:i/>
                <w:iCs/>
              </w:rPr>
              <w:t>χ</w:t>
            </w:r>
            <w:r>
              <w:t>² (</w:t>
            </w:r>
            <w:proofErr w:type="spellStart"/>
            <w:r>
              <w:rPr>
                <w:i/>
                <w:iCs/>
              </w:rPr>
              <w:t>gl</w:t>
            </w:r>
            <w:proofErr w:type="spellEnd"/>
            <w:r>
              <w:rPr>
                <w:i/>
                <w:iCs/>
              </w:rPr>
              <w:t> </w:t>
            </w:r>
            <w:r>
              <w:t>= 1 673)</w:t>
            </w:r>
          </w:p>
        </w:tc>
        <w:tc>
          <w:tcPr>
            <w:tcW w:w="1673" w:type="pct"/>
            <w:tcBorders>
              <w:top w:val="single" w:sz="4" w:space="0" w:color="auto"/>
            </w:tcBorders>
            <w:vAlign w:val="center"/>
          </w:tcPr>
          <w:p w14:paraId="02916A2E" w14:textId="77777777" w:rsidR="001C0DDD" w:rsidRDefault="001C0DDD" w:rsidP="009C4FE2">
            <w:r>
              <w:t>6 651.78</w:t>
            </w:r>
          </w:p>
        </w:tc>
        <w:tc>
          <w:tcPr>
            <w:tcW w:w="1664" w:type="pct"/>
            <w:tcBorders>
              <w:top w:val="single" w:sz="4" w:space="0" w:color="auto"/>
            </w:tcBorders>
            <w:vAlign w:val="center"/>
          </w:tcPr>
          <w:p w14:paraId="1FA30C54" w14:textId="77777777" w:rsidR="001C0DDD" w:rsidRDefault="001C0DDD" w:rsidP="009C4FE2">
            <w:r>
              <w:t>—</w:t>
            </w:r>
          </w:p>
        </w:tc>
      </w:tr>
      <w:tr w:rsidR="001C0DDD" w14:paraId="0DD44801" w14:textId="77777777" w:rsidTr="009C4FE2">
        <w:trPr>
          <w:trHeight w:val="20"/>
        </w:trPr>
        <w:tc>
          <w:tcPr>
            <w:tcW w:w="1663" w:type="pct"/>
            <w:vAlign w:val="center"/>
          </w:tcPr>
          <w:p w14:paraId="60271DCA" w14:textId="77777777" w:rsidR="001C0DDD" w:rsidRDefault="001C0DDD" w:rsidP="009C4FE2">
            <w:r>
              <w:t>CFI</w:t>
            </w:r>
          </w:p>
        </w:tc>
        <w:tc>
          <w:tcPr>
            <w:tcW w:w="1673" w:type="pct"/>
            <w:vAlign w:val="center"/>
          </w:tcPr>
          <w:p w14:paraId="57AEC152" w14:textId="77777777" w:rsidR="001C0DDD" w:rsidRDefault="001C0DDD" w:rsidP="009C4FE2">
            <w:r>
              <w:t>.964</w:t>
            </w:r>
          </w:p>
        </w:tc>
        <w:tc>
          <w:tcPr>
            <w:tcW w:w="1664" w:type="pct"/>
            <w:vAlign w:val="center"/>
          </w:tcPr>
          <w:p w14:paraId="663B590D" w14:textId="77777777" w:rsidR="001C0DDD" w:rsidRDefault="001C0DDD" w:rsidP="009C4FE2">
            <w:proofErr w:type="spellStart"/>
            <w:r>
              <w:t>Excellent</w:t>
            </w:r>
            <w:proofErr w:type="spellEnd"/>
            <w:r>
              <w:t xml:space="preserve"> (≥ .95)</w:t>
            </w:r>
          </w:p>
        </w:tc>
      </w:tr>
      <w:tr w:rsidR="001C0DDD" w14:paraId="0654398F" w14:textId="77777777" w:rsidTr="009C4FE2">
        <w:trPr>
          <w:trHeight w:val="20"/>
        </w:trPr>
        <w:tc>
          <w:tcPr>
            <w:tcW w:w="1663" w:type="pct"/>
            <w:vAlign w:val="center"/>
          </w:tcPr>
          <w:p w14:paraId="23DB00A4" w14:textId="77777777" w:rsidR="001C0DDD" w:rsidRDefault="001C0DDD" w:rsidP="009C4FE2">
            <w:r>
              <w:t>TLI</w:t>
            </w:r>
          </w:p>
        </w:tc>
        <w:tc>
          <w:tcPr>
            <w:tcW w:w="1673" w:type="pct"/>
            <w:vAlign w:val="center"/>
          </w:tcPr>
          <w:p w14:paraId="23B468D9" w14:textId="77777777" w:rsidR="001C0DDD" w:rsidRDefault="001C0DDD" w:rsidP="009C4FE2">
            <w:r>
              <w:t>.962</w:t>
            </w:r>
          </w:p>
        </w:tc>
        <w:tc>
          <w:tcPr>
            <w:tcW w:w="1664" w:type="pct"/>
            <w:vAlign w:val="center"/>
          </w:tcPr>
          <w:p w14:paraId="5B271B6E" w14:textId="77777777" w:rsidR="001C0DDD" w:rsidRDefault="001C0DDD" w:rsidP="009C4FE2">
            <w:proofErr w:type="spellStart"/>
            <w:r>
              <w:t>Excellent</w:t>
            </w:r>
            <w:proofErr w:type="spellEnd"/>
            <w:r>
              <w:t xml:space="preserve"> (≥ .95)</w:t>
            </w:r>
          </w:p>
        </w:tc>
      </w:tr>
      <w:tr w:rsidR="001C0DDD" w14:paraId="09FDDE47" w14:textId="77777777" w:rsidTr="009C4FE2">
        <w:trPr>
          <w:trHeight w:val="20"/>
        </w:trPr>
        <w:tc>
          <w:tcPr>
            <w:tcW w:w="1663" w:type="pct"/>
            <w:vAlign w:val="center"/>
          </w:tcPr>
          <w:p w14:paraId="6830DA52" w14:textId="77777777" w:rsidR="001C0DDD" w:rsidRDefault="001C0DDD" w:rsidP="009C4FE2">
            <w:r>
              <w:t>RMSEA (IC 90 %)</w:t>
            </w:r>
          </w:p>
        </w:tc>
        <w:tc>
          <w:tcPr>
            <w:tcW w:w="1673" w:type="pct"/>
            <w:vAlign w:val="center"/>
          </w:tcPr>
          <w:p w14:paraId="35345E8C" w14:textId="77777777" w:rsidR="001C0DDD" w:rsidRDefault="001C0DDD" w:rsidP="009C4FE2">
            <w:r>
              <w:t>.054 [.052 – .055]</w:t>
            </w:r>
          </w:p>
        </w:tc>
        <w:tc>
          <w:tcPr>
            <w:tcW w:w="1664" w:type="pct"/>
            <w:vAlign w:val="center"/>
          </w:tcPr>
          <w:p w14:paraId="351BE3C5" w14:textId="77777777" w:rsidR="001C0DDD" w:rsidRDefault="001C0DDD" w:rsidP="009C4FE2">
            <w:r>
              <w:t>Good (≤ .06)</w:t>
            </w:r>
          </w:p>
        </w:tc>
      </w:tr>
      <w:tr w:rsidR="001C0DDD" w14:paraId="62D24717" w14:textId="77777777" w:rsidTr="009C4FE2">
        <w:trPr>
          <w:trHeight w:val="20"/>
        </w:trPr>
        <w:tc>
          <w:tcPr>
            <w:tcW w:w="1663" w:type="pct"/>
            <w:tcBorders>
              <w:bottom w:val="single" w:sz="4" w:space="0" w:color="auto"/>
            </w:tcBorders>
            <w:vAlign w:val="center"/>
          </w:tcPr>
          <w:p w14:paraId="6B44F7DF" w14:textId="77777777" w:rsidR="001C0DDD" w:rsidRDefault="001C0DDD" w:rsidP="009C4FE2">
            <w:r>
              <w:t>SRMR</w:t>
            </w:r>
          </w:p>
        </w:tc>
        <w:tc>
          <w:tcPr>
            <w:tcW w:w="1673" w:type="pct"/>
            <w:tcBorders>
              <w:bottom w:val="single" w:sz="4" w:space="0" w:color="auto"/>
            </w:tcBorders>
            <w:vAlign w:val="center"/>
          </w:tcPr>
          <w:p w14:paraId="4FE61B0D" w14:textId="77777777" w:rsidR="001C0DDD" w:rsidRDefault="001C0DDD" w:rsidP="009C4FE2">
            <w:r>
              <w:t>.050</w:t>
            </w:r>
          </w:p>
        </w:tc>
        <w:tc>
          <w:tcPr>
            <w:tcW w:w="1664" w:type="pct"/>
            <w:tcBorders>
              <w:bottom w:val="single" w:sz="4" w:space="0" w:color="auto"/>
            </w:tcBorders>
            <w:vAlign w:val="center"/>
          </w:tcPr>
          <w:p w14:paraId="49A89112" w14:textId="77777777" w:rsidR="001C0DDD" w:rsidRDefault="001C0DDD" w:rsidP="009C4FE2">
            <w:proofErr w:type="spellStart"/>
            <w:r>
              <w:t>Excellent</w:t>
            </w:r>
            <w:proofErr w:type="spellEnd"/>
            <w:r>
              <w:t xml:space="preserve"> (≤ .08)</w:t>
            </w:r>
          </w:p>
        </w:tc>
      </w:tr>
    </w:tbl>
    <w:p w14:paraId="37FE183F" w14:textId="77777777" w:rsidR="001C0DDD" w:rsidRDefault="001C0DDD" w:rsidP="001C0DDD">
      <w:pPr>
        <w:rPr>
          <w:lang w:val="en-US"/>
        </w:rPr>
      </w:pPr>
      <w:r>
        <w:rPr>
          <w:b/>
          <w:bCs/>
          <w:i/>
          <w:iCs/>
          <w:sz w:val="22"/>
          <w:szCs w:val="22"/>
          <w:lang w:val="en-US"/>
        </w:rPr>
        <w:t>Note:</w:t>
      </w:r>
      <w:r>
        <w:rPr>
          <w:i/>
          <w:iCs/>
          <w:sz w:val="22"/>
          <w:szCs w:val="22"/>
          <w:lang w:val="en-US"/>
        </w:rPr>
        <w:t xml:space="preserve"> All indices correspond to robust statistics obtained using the WLSMV estimator and the </w:t>
      </w:r>
      <w:proofErr w:type="spellStart"/>
      <w:r>
        <w:rPr>
          <w:i/>
          <w:iCs/>
          <w:sz w:val="22"/>
          <w:szCs w:val="22"/>
          <w:lang w:val="en-US"/>
        </w:rPr>
        <w:t>Satorra</w:t>
      </w:r>
      <w:proofErr w:type="spellEnd"/>
      <w:r>
        <w:rPr>
          <w:i/>
          <w:iCs/>
          <w:sz w:val="22"/>
          <w:szCs w:val="22"/>
          <w:lang w:val="en-US"/>
        </w:rPr>
        <w:t>-Bentler mean and variance correction.</w:t>
      </w:r>
    </w:p>
    <w:p w14:paraId="29F4E907" w14:textId="77777777" w:rsidR="001C0DDD" w:rsidRDefault="001C0DDD" w:rsidP="001C0DDD">
      <w:pPr>
        <w:rPr>
          <w:lang w:val="en-US"/>
        </w:rPr>
      </w:pPr>
    </w:p>
    <w:p w14:paraId="339C779A" w14:textId="77777777" w:rsidR="001C0DDD" w:rsidRDefault="001C0DDD" w:rsidP="001C0DDD">
      <w:pPr>
        <w:spacing w:line="360" w:lineRule="auto"/>
        <w:rPr>
          <w:lang w:val="en-US"/>
        </w:rPr>
      </w:pPr>
      <w:r>
        <w:rPr>
          <w:lang w:val="en-US"/>
        </w:rPr>
        <w:t xml:space="preserve">The proposed model showed an excellent fit to the empirical data: </w:t>
      </w:r>
      <w:r>
        <w:t>χ</w:t>
      </w:r>
      <w:proofErr w:type="gramStart"/>
      <w:r>
        <w:rPr>
          <w:lang w:val="en-US"/>
        </w:rPr>
        <w:t>²(</w:t>
      </w:r>
      <w:proofErr w:type="gramEnd"/>
      <w:r>
        <w:rPr>
          <w:lang w:val="en-US"/>
        </w:rPr>
        <w:t>1,673) = 6,651.78, p &lt; .001; robust CFI = .964; robust TLI = .962; robust RMSEA = .054 [90% CI: .052, .055]; SRMR = .050. All standardized factor loadings were robust and significant (p &lt; .001), supporting the construct validity of the latent factors.</w:t>
      </w:r>
      <w:r>
        <w:rPr>
          <w:lang w:val="en-US"/>
        </w:rPr>
        <w:br/>
        <w:t>In the structural model, behavioral beliefs (</w:t>
      </w:r>
      <w:r>
        <w:t>β</w:t>
      </w:r>
      <w:r>
        <w:rPr>
          <w:lang w:val="en-US"/>
        </w:rPr>
        <w:t xml:space="preserve"> = .56, p &lt; .001) and adherence factors (</w:t>
      </w:r>
      <w:r>
        <w:t>β</w:t>
      </w:r>
      <w:r>
        <w:rPr>
          <w:lang w:val="en-US"/>
        </w:rPr>
        <w:t xml:space="preserve"> = .26, p &lt; .001) positively predicted behavioral attitudes toward pharmacological treatment adherence, jointly explaining 42% of its variance (R² = .42). In turn, behavioral beliefs were explained by </w:t>
      </w:r>
      <w:r>
        <w:rPr>
          <w:lang w:val="en-US"/>
        </w:rPr>
        <w:lastRenderedPageBreak/>
        <w:t>depression (</w:t>
      </w:r>
      <w:r>
        <w:t>β</w:t>
      </w:r>
      <w:r>
        <w:rPr>
          <w:lang w:val="en-US"/>
        </w:rPr>
        <w:t xml:space="preserve"> = –.65, p &lt; .001), anxiety (</w:t>
      </w:r>
      <w:r>
        <w:t>β</w:t>
      </w:r>
      <w:r>
        <w:rPr>
          <w:lang w:val="en-US"/>
        </w:rPr>
        <w:t xml:space="preserve"> = .35, p &lt; .001), perceived coping (</w:t>
      </w:r>
      <w:r>
        <w:t>β</w:t>
      </w:r>
      <w:r>
        <w:rPr>
          <w:lang w:val="en-US"/>
        </w:rPr>
        <w:t xml:space="preserve"> = –.25, p &lt; .001), and loss of control (</w:t>
      </w:r>
      <w:r>
        <w:t>β</w:t>
      </w:r>
      <w:r>
        <w:rPr>
          <w:lang w:val="en-US"/>
        </w:rPr>
        <w:t xml:space="preserve"> = .43, p &lt; .001).</w:t>
      </w:r>
    </w:p>
    <w:p w14:paraId="148DD459" w14:textId="77777777" w:rsidR="00020F8C" w:rsidRPr="00DA1C36" w:rsidRDefault="00000000">
      <w:pPr>
        <w:pBdr>
          <w:top w:val="nil"/>
          <w:left w:val="nil"/>
          <w:bottom w:val="nil"/>
          <w:right w:val="nil"/>
          <w:between w:val="nil"/>
        </w:pBdr>
        <w:jc w:val="center"/>
        <w:rPr>
          <w:b/>
          <w:color w:val="000000"/>
          <w:lang w:val="en-US"/>
        </w:rPr>
      </w:pPr>
      <w:r w:rsidRPr="00DA1C36">
        <w:rPr>
          <w:b/>
          <w:color w:val="000000"/>
          <w:lang w:val="en-US"/>
        </w:rPr>
        <w:t>Discussion</w:t>
      </w:r>
    </w:p>
    <w:p w14:paraId="26B9630F" w14:textId="77777777" w:rsidR="001C0DDD" w:rsidRPr="001974AC" w:rsidRDefault="001C0DDD" w:rsidP="001C0DDD">
      <w:pPr>
        <w:spacing w:line="360" w:lineRule="auto"/>
        <w:ind w:firstLine="720"/>
        <w:rPr>
          <w:lang w:val="en-US"/>
        </w:rPr>
      </w:pPr>
      <w:r w:rsidRPr="001974AC">
        <w:rPr>
          <w:lang w:val="en-US"/>
        </w:rPr>
        <w:t>Attitudes toward pharmacological adherence are not formed in isolation but emerge from a system of beliefs shaped by both personal dispositions and contextual conditions. The findings highlight the dual role of mental health and perceived stress as antecedents of these beliefs. Depressive symptomatology consistently emerges as the strongest negative predictor: the anhedonia, hopelessness, and reduced energy characteristic of depression undermine patients’ confidence in the efficacy of treatment and diminish their motivation to adhere. In contrast, anxiety and the perception of loss of control are associated with more positive beliefs about adherence, a pattern that may reflect a compensatory “search for solutions” when individuals are confronted with acute distress.</w:t>
      </w:r>
    </w:p>
    <w:p w14:paraId="311A0726" w14:textId="77777777" w:rsidR="001C0DDD" w:rsidRPr="001974AC" w:rsidRDefault="001C0DDD" w:rsidP="001C0DDD">
      <w:pPr>
        <w:spacing w:line="360" w:lineRule="auto"/>
        <w:ind w:firstLine="720"/>
        <w:rPr>
          <w:lang w:val="en-US"/>
        </w:rPr>
      </w:pPr>
      <w:r w:rsidRPr="001974AC">
        <w:rPr>
          <w:lang w:val="en-US"/>
        </w:rPr>
        <w:t xml:space="preserve">These results underscore the importance of addressing the cognitive and emotional foundations of adherence. To foster positive attitudes toward treatment, interventions must extend beyond simply providing information about medical benefits. Healthcare professionals should systematically screen for and treat depressive symptomatology, actively address socioeconomic barriers that hinder adherence, and strengthen provider–patient communication to build trust and clarity. In addition, integrating stress-management strategies can enhance </w:t>
      </w:r>
      <w:proofErr w:type="gramStart"/>
      <w:r w:rsidRPr="001974AC">
        <w:rPr>
          <w:lang w:val="en-US"/>
        </w:rPr>
        <w:t>patients’</w:t>
      </w:r>
      <w:proofErr w:type="gramEnd"/>
      <w:r w:rsidRPr="001974AC">
        <w:rPr>
          <w:lang w:val="en-US"/>
        </w:rPr>
        <w:t xml:space="preserve"> perceived control, thereby reinforcing the cognitive pathways that support favorable beliefs and attitudes.</w:t>
      </w:r>
    </w:p>
    <w:p w14:paraId="4E910855" w14:textId="77777777" w:rsidR="001C0DDD" w:rsidRPr="001974AC" w:rsidRDefault="001C0DDD" w:rsidP="001C0DDD">
      <w:pPr>
        <w:spacing w:line="360" w:lineRule="auto"/>
        <w:ind w:firstLine="720"/>
        <w:rPr>
          <w:lang w:val="en-US"/>
        </w:rPr>
      </w:pPr>
      <w:r w:rsidRPr="001974AC">
        <w:rPr>
          <w:lang w:val="en-US"/>
        </w:rPr>
        <w:t>In sum, adherence emerges not merely from rational knowledge of treatment benefits but from the complex interplay of beliefs, emotional states, and contextual facilitators. Recognizing and targeting these dynamics can substantially improve the effectiveness of adherence-promoting interventions in applied health psychology.</w:t>
      </w:r>
    </w:p>
    <w:p w14:paraId="0A3A5AC0" w14:textId="74817D86" w:rsidR="00020F8C" w:rsidRPr="00DA1C36" w:rsidRDefault="00000000">
      <w:pPr>
        <w:pBdr>
          <w:top w:val="nil"/>
          <w:left w:val="nil"/>
          <w:bottom w:val="nil"/>
          <w:right w:val="nil"/>
          <w:between w:val="nil"/>
        </w:pBdr>
        <w:spacing w:line="360" w:lineRule="auto"/>
        <w:ind w:firstLine="708"/>
        <w:jc w:val="both"/>
        <w:rPr>
          <w:color w:val="000000"/>
          <w:lang w:val="en-US"/>
        </w:rPr>
      </w:pPr>
      <w:r w:rsidRPr="00DA1C36">
        <w:rPr>
          <w:lang w:val="en-US"/>
        </w:rPr>
        <w:br w:type="page"/>
      </w:r>
    </w:p>
    <w:p w14:paraId="7BB81FFC" w14:textId="77777777" w:rsidR="00020F8C" w:rsidRPr="00DA1C36" w:rsidRDefault="00000000">
      <w:pPr>
        <w:pBdr>
          <w:top w:val="nil"/>
          <w:left w:val="nil"/>
          <w:bottom w:val="nil"/>
          <w:right w:val="nil"/>
          <w:between w:val="nil"/>
        </w:pBdr>
        <w:jc w:val="center"/>
        <w:rPr>
          <w:b/>
          <w:color w:val="000000"/>
          <w:lang w:val="en-US"/>
        </w:rPr>
      </w:pPr>
      <w:r w:rsidRPr="00DA1C36">
        <w:rPr>
          <w:b/>
          <w:color w:val="000000"/>
          <w:lang w:val="en-US"/>
        </w:rPr>
        <w:lastRenderedPageBreak/>
        <w:t>References</w:t>
      </w:r>
    </w:p>
    <w:p w14:paraId="57F15D9A" w14:textId="77777777" w:rsidR="001C0DDD" w:rsidRDefault="001C0DDD" w:rsidP="001C0DDD">
      <w:pPr>
        <w:ind w:left="1418" w:hanging="709"/>
        <w:rPr>
          <w:lang w:val="en-US"/>
        </w:rPr>
      </w:pPr>
      <w:r>
        <w:t xml:space="preserve">Aguirre-Palacios, J. L., &amp; Jaramillo-Montaño, M. J. (2024). Niveles de estrés, ansiedad y depresión en población con hipertensión arterial. </w:t>
      </w:r>
      <w:r>
        <w:rPr>
          <w:i/>
          <w:iCs/>
          <w:lang w:val="en-US"/>
        </w:rPr>
        <w:t>Deleted Journal</w:t>
      </w:r>
      <w:r>
        <w:rPr>
          <w:lang w:val="en-US"/>
        </w:rPr>
        <w:t xml:space="preserve">, </w:t>
      </w:r>
      <w:r>
        <w:rPr>
          <w:i/>
          <w:iCs/>
          <w:lang w:val="en-US"/>
        </w:rPr>
        <w:t>7</w:t>
      </w:r>
      <w:r>
        <w:rPr>
          <w:lang w:val="en-US"/>
        </w:rPr>
        <w:t>(3), 70–78. https://doi.org/10.62452/kj4aej93</w:t>
      </w:r>
    </w:p>
    <w:p w14:paraId="61A0CBB0" w14:textId="77777777" w:rsidR="001C0DDD" w:rsidRDefault="001C0DDD" w:rsidP="001C0DDD">
      <w:pPr>
        <w:ind w:left="1418" w:hanging="709"/>
      </w:pPr>
      <w:r>
        <w:rPr>
          <w:lang w:val="en-US"/>
        </w:rPr>
        <w:t xml:space="preserve">Alemán, J. F., &amp; Rueda, B. (2019). </w:t>
      </w:r>
      <w:r>
        <w:t xml:space="preserve">Influencia del género sobre factores de protección y vulnerabilidad, la adherencia y calidad de vida en pacientes con enfermedad cardiovascular. Atención Primaria, 51(9), 529-535.  https://doi.org/10.1016/j.aprim.2018.07.003 </w:t>
      </w:r>
    </w:p>
    <w:p w14:paraId="70B30A9B" w14:textId="77777777" w:rsidR="001C0DDD" w:rsidRDefault="001C0DDD" w:rsidP="001C0DDD">
      <w:pPr>
        <w:ind w:left="1418" w:hanging="709"/>
      </w:pPr>
      <w:r>
        <w:t xml:space="preserve">Álvarez, L., Rueda, Z., González, L., &amp; Acevedo, L. (2010). Promoción de actitudes y estrategias para el afrontamiento de la diabetes mellitus y la hipertensión arterial en un grupo de enfermos crónicos de la ciudad de Bucaramanga. </w:t>
      </w:r>
      <w:proofErr w:type="spellStart"/>
      <w:r>
        <w:t>Psicoperspectivas</w:t>
      </w:r>
      <w:proofErr w:type="spellEnd"/>
      <w:r>
        <w:t>. Individuo y Sociedad, 9(2), 279-290. http://dx.doi.org/10.5027/psicoperspectivas-Vol9-Issue2-fulltext-118</w:t>
      </w:r>
    </w:p>
    <w:p w14:paraId="1FAADD30" w14:textId="77777777" w:rsidR="001C0DDD" w:rsidRDefault="001C0DDD" w:rsidP="001C0DDD">
      <w:pPr>
        <w:ind w:left="1418" w:hanging="709"/>
      </w:pPr>
      <w:r>
        <w:t xml:space="preserve">Alva, G., Hernández, V., Cabañas, E., Santiago, R., Tejeda, A., Trejo, B., Islas, D., Juárez, J., Saucedo, R., </w:t>
      </w:r>
      <w:proofErr w:type="spellStart"/>
      <w:r>
        <w:t>Santillano</w:t>
      </w:r>
      <w:proofErr w:type="spellEnd"/>
      <w:r>
        <w:t xml:space="preserve">, R., Juárez, B., Martínez, C., &amp; Ramírez, E. (2019). </w:t>
      </w:r>
      <w:r>
        <w:rPr>
          <w:lang w:val="en-US"/>
        </w:rPr>
        <w:t xml:space="preserve">Cognitive factors predicting therapeutic adherence in people with overweight and obesity. </w:t>
      </w:r>
      <w:r>
        <w:t xml:space="preserve">Revista Mexicana de Trastornos Alimentarios. 10(1), 85-94. </w:t>
      </w:r>
      <w:hyperlink r:id="rId9" w:history="1">
        <w:r>
          <w:rPr>
            <w:rStyle w:val="Hipervnculo"/>
          </w:rPr>
          <w:t>http://dx.doi.org/10.22201/fesi.20071523e.2019.1.451</w:t>
        </w:r>
      </w:hyperlink>
    </w:p>
    <w:p w14:paraId="78F43E18" w14:textId="77777777" w:rsidR="001C0DDD" w:rsidRDefault="001C0DDD" w:rsidP="001C0DDD">
      <w:pPr>
        <w:ind w:left="1418" w:hanging="709"/>
      </w:pPr>
      <w:r>
        <w:t xml:space="preserve">American Heart </w:t>
      </w:r>
      <w:proofErr w:type="spellStart"/>
      <w:r>
        <w:t>Association</w:t>
      </w:r>
      <w:proofErr w:type="spellEnd"/>
      <w:r>
        <w:t>. (2022). Marcando los 7 pasos para mi salud.</w:t>
      </w:r>
    </w:p>
    <w:p w14:paraId="4CFF1FBF" w14:textId="77777777" w:rsidR="001C0DDD" w:rsidRDefault="001C0DDD" w:rsidP="001C0DDD">
      <w:pPr>
        <w:ind w:left="1418" w:hanging="709"/>
      </w:pPr>
      <w:r>
        <w:t>https://www.heart.org/en/healthy-living/healthy-lifestyle/my-life-check--lifes- simple-7/marcando-los-7-pasos-para-me-salud</w:t>
      </w:r>
    </w:p>
    <w:p w14:paraId="7271B421" w14:textId="77777777" w:rsidR="001C0DDD" w:rsidRDefault="001C0DDD" w:rsidP="001C0DDD">
      <w:pPr>
        <w:ind w:left="1418" w:hanging="709"/>
        <w:rPr>
          <w:lang w:val="en-US"/>
        </w:rPr>
      </w:pPr>
      <w:r>
        <w:t xml:space="preserve">Andrade, B., &amp; </w:t>
      </w:r>
      <w:proofErr w:type="spellStart"/>
      <w:r>
        <w:t>Céspedes</w:t>
      </w:r>
      <w:proofErr w:type="spellEnd"/>
      <w:r>
        <w:t xml:space="preserve">, V. (2017). Adherencia al tratamiento en enfermedad cardiovascular: rediseño y validación de un instrumento. </w:t>
      </w:r>
      <w:proofErr w:type="spellStart"/>
      <w:r>
        <w:rPr>
          <w:lang w:val="en-US"/>
        </w:rPr>
        <w:t>Enfermería</w:t>
      </w:r>
      <w:proofErr w:type="spellEnd"/>
      <w:r>
        <w:rPr>
          <w:lang w:val="en-US"/>
        </w:rPr>
        <w:t xml:space="preserve"> </w:t>
      </w:r>
      <w:proofErr w:type="spellStart"/>
      <w:r>
        <w:rPr>
          <w:lang w:val="en-US"/>
        </w:rPr>
        <w:t>Universitaria</w:t>
      </w:r>
      <w:proofErr w:type="spellEnd"/>
      <w:r>
        <w:rPr>
          <w:lang w:val="en-US"/>
        </w:rPr>
        <w:t>, 14(4), 266-276. https://doi.org/10.1016/j.reu.2017.10.001</w:t>
      </w:r>
    </w:p>
    <w:p w14:paraId="0F185CB6" w14:textId="77777777" w:rsidR="001C0DDD" w:rsidRDefault="001C0DDD" w:rsidP="001C0DDD">
      <w:pPr>
        <w:ind w:left="1418" w:hanging="709"/>
        <w:rPr>
          <w:lang w:val="en-US"/>
        </w:rPr>
      </w:pPr>
      <w:r>
        <w:rPr>
          <w:lang w:val="en-US"/>
        </w:rPr>
        <w:t xml:space="preserve">Ajzen, I. (1991). The theory of planned behavior. </w:t>
      </w:r>
      <w:r>
        <w:rPr>
          <w:i/>
          <w:iCs/>
          <w:lang w:val="en-US"/>
        </w:rPr>
        <w:t>Organizational Behavior and Human Decision Processes</w:t>
      </w:r>
      <w:r>
        <w:rPr>
          <w:lang w:val="en-US"/>
        </w:rPr>
        <w:t xml:space="preserve">, </w:t>
      </w:r>
      <w:r>
        <w:rPr>
          <w:i/>
          <w:iCs/>
          <w:lang w:val="en-US"/>
        </w:rPr>
        <w:t>50</w:t>
      </w:r>
      <w:r>
        <w:rPr>
          <w:lang w:val="en-US"/>
        </w:rPr>
        <w:t>(2), 179–211. https://doi.org/10.1016/0749-5978(91)90020-t</w:t>
      </w:r>
    </w:p>
    <w:p w14:paraId="34A97C5F" w14:textId="77777777" w:rsidR="001C0DDD" w:rsidRDefault="001C0DDD" w:rsidP="001C0DDD">
      <w:pPr>
        <w:ind w:left="1418" w:hanging="709"/>
        <w:rPr>
          <w:lang w:val="en-US"/>
        </w:rPr>
      </w:pPr>
      <w:r>
        <w:rPr>
          <w:lang w:val="en-US"/>
        </w:rPr>
        <w:t xml:space="preserve">Ajzen, I. (2011). The theory of planned </w:t>
      </w:r>
      <w:proofErr w:type="spellStart"/>
      <w:r>
        <w:rPr>
          <w:lang w:val="en-US"/>
        </w:rPr>
        <w:t>behaviour</w:t>
      </w:r>
      <w:proofErr w:type="spellEnd"/>
      <w:r>
        <w:rPr>
          <w:lang w:val="en-US"/>
        </w:rPr>
        <w:t>: Reactions and reflections. </w:t>
      </w:r>
      <w:r>
        <w:rPr>
          <w:i/>
          <w:iCs/>
          <w:lang w:val="en-US"/>
        </w:rPr>
        <w:t>Psychology &amp; Health</w:t>
      </w:r>
      <w:r>
        <w:rPr>
          <w:lang w:val="en-US"/>
        </w:rPr>
        <w:t>, </w:t>
      </w:r>
      <w:r>
        <w:rPr>
          <w:i/>
          <w:iCs/>
          <w:lang w:val="en-US"/>
        </w:rPr>
        <w:t>26</w:t>
      </w:r>
      <w:r>
        <w:rPr>
          <w:lang w:val="en-US"/>
        </w:rPr>
        <w:t xml:space="preserve">(9), 1113–1127. </w:t>
      </w:r>
      <w:hyperlink r:id="rId10" w:history="1">
        <w:r>
          <w:rPr>
            <w:rStyle w:val="Hipervnculo"/>
            <w:lang w:val="en-US"/>
          </w:rPr>
          <w:t>https://doi.org/10.1080/08870446.2011.613995</w:t>
        </w:r>
      </w:hyperlink>
    </w:p>
    <w:p w14:paraId="65152293" w14:textId="77777777" w:rsidR="001C0DDD" w:rsidRDefault="001C0DDD" w:rsidP="001C0DDD">
      <w:pPr>
        <w:ind w:left="1418" w:hanging="709"/>
        <w:rPr>
          <w:lang w:val="en-US"/>
        </w:rPr>
      </w:pPr>
      <w:r>
        <w:rPr>
          <w:lang w:val="en-US"/>
        </w:rPr>
        <w:t xml:space="preserve">Ajzen, I. y Fishbein, M. (2000). Attitudes and the attitude behavior relation: reasoned and automatic processes. In European Review of Social Psychology, ed. W. Stroebe, M. </w:t>
      </w:r>
      <w:proofErr w:type="spellStart"/>
      <w:r>
        <w:rPr>
          <w:lang w:val="en-US"/>
        </w:rPr>
        <w:t>Hewstone</w:t>
      </w:r>
      <w:proofErr w:type="spellEnd"/>
      <w:r>
        <w:rPr>
          <w:lang w:val="en-US"/>
        </w:rPr>
        <w:t>.</w:t>
      </w:r>
    </w:p>
    <w:p w14:paraId="76DC47FA" w14:textId="77777777" w:rsidR="001C0DDD" w:rsidRDefault="001C0DDD" w:rsidP="001C0DDD">
      <w:pPr>
        <w:ind w:left="1418" w:hanging="709"/>
      </w:pPr>
      <w:r>
        <w:t xml:space="preserve">Areiza, M., Osorio, E., Ceballos, M., &amp; Amariles, P. (2018). Conocimiento y factores de riesgo cardiovascular en pacientes ambulatorios. Revista Colombiana de cardiología, 25(2), 162-168. </w:t>
      </w:r>
      <w:hyperlink r:id="rId11" w:history="1">
        <w:r>
          <w:rPr>
            <w:rStyle w:val="Hipervnculo"/>
          </w:rPr>
          <w:t>https://doi.org/10.1016/j.rccar.2017.07.011</w:t>
        </w:r>
      </w:hyperlink>
    </w:p>
    <w:p w14:paraId="7BC23535" w14:textId="77777777" w:rsidR="001C0DDD" w:rsidRDefault="001C0DDD" w:rsidP="001C0DDD">
      <w:pPr>
        <w:ind w:left="1418" w:hanging="709"/>
      </w:pPr>
      <w:proofErr w:type="spellStart"/>
      <w:r>
        <w:t>Berdazco</w:t>
      </w:r>
      <w:proofErr w:type="spellEnd"/>
      <w:r>
        <w:t xml:space="preserve">, D., Hernández, A., &amp; González, J. (2024). </w:t>
      </w:r>
      <w:r>
        <w:rPr>
          <w:i/>
          <w:iCs/>
        </w:rPr>
        <w:t>Relación de estrés percibido, estrategias de afrontamiento y sintomatología depresiva en pacientes con hipertensión arterial en México</w:t>
      </w:r>
      <w:r>
        <w:t>. Políticas Sociales Sectoriales. https://politicassociales.uanl.mx/index.php/pss/article/view/98</w:t>
      </w:r>
    </w:p>
    <w:p w14:paraId="648027F7" w14:textId="77777777" w:rsidR="001C0DDD" w:rsidRDefault="001C0DDD" w:rsidP="001C0DDD">
      <w:pPr>
        <w:ind w:left="1418" w:hanging="709"/>
      </w:pPr>
      <w:r>
        <w:rPr>
          <w:lang w:val="en-US"/>
        </w:rPr>
        <w:t>Borkowski, P., &amp; Borkowska, N. (2024). Understanding Mental Health Challenges in Cardiovascular Care. </w:t>
      </w:r>
      <w:proofErr w:type="spellStart"/>
      <w:r>
        <w:rPr>
          <w:i/>
          <w:iCs/>
        </w:rPr>
        <w:t>Cureus</w:t>
      </w:r>
      <w:proofErr w:type="spellEnd"/>
      <w:r>
        <w:t>, </w:t>
      </w:r>
      <w:r>
        <w:rPr>
          <w:i/>
          <w:iCs/>
        </w:rPr>
        <w:t>16</w:t>
      </w:r>
      <w:r>
        <w:t>(2), e54402. https://doi.org/10.7759/cureus.54402</w:t>
      </w:r>
    </w:p>
    <w:p w14:paraId="238A165C" w14:textId="77777777" w:rsidR="001C0DDD" w:rsidRDefault="001C0DDD" w:rsidP="001C0DDD">
      <w:pPr>
        <w:ind w:left="1418" w:hanging="709"/>
        <w:rPr>
          <w:lang w:val="en-US"/>
        </w:rPr>
      </w:pPr>
      <w:r>
        <w:t xml:space="preserve">Castells, S. &amp; Hernández, M. (Eds.). (2007). Farmacología en enfermería (2° ed., p. 570). </w:t>
      </w:r>
      <w:r>
        <w:rPr>
          <w:lang w:val="en-US"/>
        </w:rPr>
        <w:t>Elsevier.</w:t>
      </w:r>
    </w:p>
    <w:p w14:paraId="038882EB" w14:textId="77777777" w:rsidR="001C0DDD" w:rsidRPr="001974AC" w:rsidRDefault="001C0DDD" w:rsidP="001C0DDD">
      <w:pPr>
        <w:ind w:left="1418" w:hanging="709"/>
        <w:rPr>
          <w:lang w:val="en-US"/>
        </w:rPr>
      </w:pPr>
      <w:r>
        <w:rPr>
          <w:lang w:val="en-US"/>
        </w:rPr>
        <w:t>Chew, B., Fernández, A., &amp; Shariff</w:t>
      </w:r>
      <w:r>
        <w:rPr>
          <w:lang w:val="en-US"/>
        </w:rPr>
        <w:noBreakHyphen/>
        <w:t>Ghazali, S. (2018). Psychological interventions for behavioral adjustments in diabetes care: A value</w:t>
      </w:r>
      <w:r>
        <w:rPr>
          <w:lang w:val="en-US"/>
        </w:rPr>
        <w:noBreakHyphen/>
        <w:t xml:space="preserve">based approach to disease </w:t>
      </w:r>
      <w:r>
        <w:rPr>
          <w:lang w:val="en-US"/>
        </w:rPr>
        <w:lastRenderedPageBreak/>
        <w:t xml:space="preserve">control. </w:t>
      </w:r>
      <w:r>
        <w:rPr>
          <w:i/>
          <w:iCs/>
          <w:lang w:val="en-US"/>
        </w:rPr>
        <w:t>Psychology Research and Behavior Management, 11</w:t>
      </w:r>
      <w:r>
        <w:rPr>
          <w:lang w:val="en-US"/>
        </w:rPr>
        <w:t xml:space="preserve">, 45–155. </w:t>
      </w:r>
      <w:hyperlink r:id="rId12" w:tgtFrame="_new" w:history="1">
        <w:r>
          <w:rPr>
            <w:rStyle w:val="Hipervnculo"/>
            <w:lang w:val="en-US"/>
          </w:rPr>
          <w:t>https://doi.org/10.2147/PRBM.S117224</w:t>
        </w:r>
      </w:hyperlink>
    </w:p>
    <w:p w14:paraId="27132D64" w14:textId="77777777" w:rsidR="001C0DDD" w:rsidRPr="001974AC" w:rsidRDefault="001C0DDD" w:rsidP="001C0DDD">
      <w:pPr>
        <w:ind w:left="1418" w:hanging="709"/>
      </w:pPr>
      <w:r w:rsidRPr="001974AC">
        <w:rPr>
          <w:lang w:val="en-US"/>
        </w:rPr>
        <w:t>De Blas-Zapata, A., Sastre-</w:t>
      </w:r>
      <w:proofErr w:type="spellStart"/>
      <w:r w:rsidRPr="001974AC">
        <w:rPr>
          <w:lang w:val="en-US"/>
        </w:rPr>
        <w:t>Albiach</w:t>
      </w:r>
      <w:proofErr w:type="spellEnd"/>
      <w:r w:rsidRPr="001974AC">
        <w:rPr>
          <w:lang w:val="en-US"/>
        </w:rPr>
        <w:t xml:space="preserve">, J. M., </w:t>
      </w:r>
      <w:proofErr w:type="spellStart"/>
      <w:r w:rsidRPr="001974AC">
        <w:rPr>
          <w:lang w:val="en-US"/>
        </w:rPr>
        <w:t>Baixauli</w:t>
      </w:r>
      <w:proofErr w:type="spellEnd"/>
      <w:r w:rsidRPr="001974AC">
        <w:rPr>
          <w:lang w:val="en-US"/>
        </w:rPr>
        <w:t xml:space="preserve">-López, L., López-Ruiz, R., &amp; Alvarez-Pitti, J. (2025). </w:t>
      </w:r>
      <w:r>
        <w:rPr>
          <w:lang w:val="en-US"/>
        </w:rPr>
        <w:t xml:space="preserve">Emerging cardiovascular risk factors in childhood and adolescence: a narrative review. </w:t>
      </w:r>
      <w:proofErr w:type="spellStart"/>
      <w:r w:rsidRPr="001974AC">
        <w:rPr>
          <w:i/>
          <w:iCs/>
        </w:rPr>
        <w:t>European</w:t>
      </w:r>
      <w:proofErr w:type="spellEnd"/>
      <w:r w:rsidRPr="001974AC">
        <w:rPr>
          <w:i/>
          <w:iCs/>
        </w:rPr>
        <w:t xml:space="preserve"> </w:t>
      </w:r>
      <w:proofErr w:type="spellStart"/>
      <w:r w:rsidRPr="001974AC">
        <w:rPr>
          <w:i/>
          <w:iCs/>
        </w:rPr>
        <w:t>Journal</w:t>
      </w:r>
      <w:proofErr w:type="spellEnd"/>
      <w:r w:rsidRPr="001974AC">
        <w:rPr>
          <w:i/>
          <w:iCs/>
        </w:rPr>
        <w:t xml:space="preserve"> </w:t>
      </w:r>
      <w:proofErr w:type="spellStart"/>
      <w:r w:rsidRPr="001974AC">
        <w:rPr>
          <w:i/>
          <w:iCs/>
        </w:rPr>
        <w:t>of</w:t>
      </w:r>
      <w:proofErr w:type="spellEnd"/>
      <w:r w:rsidRPr="001974AC">
        <w:rPr>
          <w:i/>
          <w:iCs/>
        </w:rPr>
        <w:t xml:space="preserve"> </w:t>
      </w:r>
      <w:proofErr w:type="spellStart"/>
      <w:r w:rsidRPr="001974AC">
        <w:rPr>
          <w:i/>
          <w:iCs/>
        </w:rPr>
        <w:t>Pediatrics</w:t>
      </w:r>
      <w:proofErr w:type="spellEnd"/>
      <w:r w:rsidRPr="001974AC">
        <w:t xml:space="preserve">, </w:t>
      </w:r>
      <w:r w:rsidRPr="001974AC">
        <w:rPr>
          <w:i/>
          <w:iCs/>
        </w:rPr>
        <w:t>184</w:t>
      </w:r>
      <w:r w:rsidRPr="001974AC">
        <w:t>(5). https://doi.org/10.1007/s00431-025-06102-y</w:t>
      </w:r>
    </w:p>
    <w:p w14:paraId="25C11BC3" w14:textId="77777777" w:rsidR="001C0DDD" w:rsidRDefault="001C0DDD" w:rsidP="001C0DDD">
      <w:pPr>
        <w:ind w:left="1418" w:hanging="709"/>
      </w:pPr>
      <w:proofErr w:type="spellStart"/>
      <w:r>
        <w:t>Di-colloredo</w:t>
      </w:r>
      <w:proofErr w:type="spellEnd"/>
      <w:r>
        <w:t xml:space="preserve">, C. Aparicio Cruz, D. y Moreno, J.  (2007) Descripción de los estilos de afrontamiento en hombres y mujeres ante la situación de desplazamiento.  </w:t>
      </w:r>
      <w:proofErr w:type="spellStart"/>
      <w:r>
        <w:t>Psychologia</w:t>
      </w:r>
      <w:proofErr w:type="spellEnd"/>
      <w:r>
        <w:t>, Avances de la disciplina. (1) 2</w:t>
      </w:r>
    </w:p>
    <w:p w14:paraId="7C52D7C9" w14:textId="77777777" w:rsidR="001C0DDD" w:rsidRDefault="001C0DDD" w:rsidP="001C0DDD">
      <w:pPr>
        <w:ind w:left="1418" w:hanging="709"/>
      </w:pPr>
      <w:r>
        <w:t xml:space="preserve">Elizondo, D., Amador, K., Ureña, F., Robledo, A., Canales, E., &amp; </w:t>
      </w:r>
      <w:proofErr w:type="spellStart"/>
      <w:r>
        <w:t>Vallanero</w:t>
      </w:r>
      <w:proofErr w:type="spellEnd"/>
      <w:r>
        <w:t>, M. (2020). Factores de riesgo cardiovascular. Revista Ciencia y Salud: Integrando Conocimientos, 4(1), 4-6. http://revistacienciaysalud.ac.cr/ojs/index.php/cienciaysalud/article/view/108/188</w:t>
      </w:r>
    </w:p>
    <w:p w14:paraId="112D32F5" w14:textId="77777777" w:rsidR="001C0DDD" w:rsidRDefault="001C0DDD" w:rsidP="001C0DDD">
      <w:pPr>
        <w:ind w:left="1418" w:hanging="709"/>
      </w:pPr>
      <w:r>
        <w:t>Enríquez, D. y Sánchez, R. (2011). Modelos psicológicos de la Salud que han abordado el VIH/SIDA. Modelo basado en la Teoría de la Conducta Planeada. Revista Electrónica de Psicología Iztacala, 17 (3). https://www. studocu.com/es-mx/document/universidad-nacionalautonoma-de-mexico/modelos-en-psicologia/502- modelos-de-salud/15392890</w:t>
      </w:r>
    </w:p>
    <w:p w14:paraId="0E089B14" w14:textId="77777777" w:rsidR="001C0DDD" w:rsidRDefault="001C0DDD" w:rsidP="001C0DDD">
      <w:pPr>
        <w:ind w:left="1418" w:hanging="709"/>
        <w:rPr>
          <w:lang w:val="en-US"/>
        </w:rPr>
      </w:pPr>
      <w:r>
        <w:rPr>
          <w:lang w:val="en-US"/>
        </w:rPr>
        <w:t>González, T., López, M., Marcos, Y., Rodríguez-Marín, J. Development and Validation of the Theory of Planned Behavior Questionnaire in Physical Activity. </w:t>
      </w:r>
      <w:r>
        <w:rPr>
          <w:i/>
          <w:iCs/>
          <w:lang w:val="en-US"/>
        </w:rPr>
        <w:t>The Spanish journal of psychology</w:t>
      </w:r>
      <w:r>
        <w:rPr>
          <w:lang w:val="en-US"/>
        </w:rPr>
        <w:t>. 2012;15(2):801-816. doi:10.5209/rev_</w:t>
      </w:r>
      <w:proofErr w:type="gramStart"/>
      <w:r>
        <w:rPr>
          <w:lang w:val="en-US"/>
        </w:rPr>
        <w:t>SJOP.2012.v15.n</w:t>
      </w:r>
      <w:proofErr w:type="gramEnd"/>
      <w:r>
        <w:rPr>
          <w:lang w:val="en-US"/>
        </w:rPr>
        <w:t>2.38892</w:t>
      </w:r>
    </w:p>
    <w:p w14:paraId="7B31F8F9" w14:textId="77777777" w:rsidR="001C0DDD" w:rsidRPr="001974AC" w:rsidRDefault="001C0DDD" w:rsidP="001C0DDD">
      <w:pPr>
        <w:ind w:left="1418" w:hanging="709"/>
        <w:rPr>
          <w:lang w:val="en-US"/>
        </w:rPr>
      </w:pPr>
      <w:proofErr w:type="spellStart"/>
      <w:r>
        <w:rPr>
          <w:lang w:val="en-US"/>
        </w:rPr>
        <w:t>Fisbhein</w:t>
      </w:r>
      <w:proofErr w:type="spellEnd"/>
      <w:r>
        <w:rPr>
          <w:lang w:val="en-US"/>
        </w:rPr>
        <w:t>, M. &amp; Ajzen, I. (1980).</w:t>
      </w:r>
      <w:r>
        <w:rPr>
          <w:i/>
          <w:iCs/>
          <w:lang w:val="en-US"/>
        </w:rPr>
        <w:t xml:space="preserve"> Understanding attitudes and predicting social behavior</w:t>
      </w:r>
      <w:r>
        <w:rPr>
          <w:lang w:val="en-US"/>
        </w:rPr>
        <w:t xml:space="preserve">. </w:t>
      </w:r>
      <w:proofErr w:type="spellStart"/>
      <w:r>
        <w:rPr>
          <w:lang w:val="en-US"/>
        </w:rPr>
        <w:t>ScienceOpen</w:t>
      </w:r>
      <w:proofErr w:type="spellEnd"/>
      <w:r>
        <w:rPr>
          <w:lang w:val="en-US"/>
        </w:rPr>
        <w:t xml:space="preserve">. </w:t>
      </w:r>
      <w:hyperlink r:id="rId13" w:history="1">
        <w:r>
          <w:rPr>
            <w:rStyle w:val="Hipervnculo"/>
            <w:lang w:val="en-US"/>
          </w:rPr>
          <w:t>https://www.scienceopen.com/book?vid=c20c4174-d8dc-428d-b352-280b05eacdf7</w:t>
        </w:r>
      </w:hyperlink>
    </w:p>
    <w:p w14:paraId="472956D4" w14:textId="77777777" w:rsidR="001C0DDD" w:rsidRDefault="001C0DDD" w:rsidP="001C0DDD">
      <w:pPr>
        <w:ind w:left="1418" w:hanging="709"/>
      </w:pPr>
      <w:r>
        <w:t xml:space="preserve">Flores-Mendoza, J. B.., Vences-Cruz, C. E., Méndez, M. G., Hernández, A. C., Rivera, Y., &amp; González, B. (2025). Estrés percibido, patrón de conducta tipo A y adherencia al tratamiento farmacológico en pacientes con diabetes tipo II. </w:t>
      </w:r>
      <w:r>
        <w:rPr>
          <w:i/>
          <w:iCs/>
        </w:rPr>
        <w:t>Ciencia Latina Revista Científica Multidisciplinar</w:t>
      </w:r>
      <w:r>
        <w:t xml:space="preserve">, </w:t>
      </w:r>
      <w:r>
        <w:rPr>
          <w:i/>
          <w:iCs/>
        </w:rPr>
        <w:t>8</w:t>
      </w:r>
      <w:r>
        <w:t>(6), 8298–8315. https://doi.org/10.37811/cl_rcm.v8i6.15532</w:t>
      </w:r>
    </w:p>
    <w:p w14:paraId="17F4CBEC" w14:textId="77777777" w:rsidR="001C0DDD" w:rsidRDefault="001C0DDD" w:rsidP="001C0DDD">
      <w:pPr>
        <w:ind w:left="1418" w:hanging="709"/>
      </w:pPr>
      <w:r>
        <w:t xml:space="preserve">Flores-Mendoza, J. B., González, S. M. M., Pérez, S. V., &amp; Chimal, J. L. A. (2024). Cirugía de Bypass Coronario: Una visión en salud mental desde el Modelo Biopsicosocial. </w:t>
      </w:r>
      <w:r>
        <w:rPr>
          <w:i/>
          <w:iCs/>
        </w:rPr>
        <w:t>Ciencia Latina Revista Científica Multidisciplinar</w:t>
      </w:r>
      <w:r>
        <w:t xml:space="preserve">, </w:t>
      </w:r>
      <w:r>
        <w:rPr>
          <w:i/>
          <w:iCs/>
        </w:rPr>
        <w:t>8</w:t>
      </w:r>
      <w:r>
        <w:t xml:space="preserve">(1), 5043–5053. </w:t>
      </w:r>
      <w:hyperlink r:id="rId14" w:history="1">
        <w:r>
          <w:rPr>
            <w:rStyle w:val="Hipervnculo"/>
          </w:rPr>
          <w:t>https://doi.org/10.37811/cl_rcm.v8i1.9840</w:t>
        </w:r>
      </w:hyperlink>
    </w:p>
    <w:p w14:paraId="253FEC76" w14:textId="77777777" w:rsidR="001C0DDD" w:rsidRDefault="001C0DDD" w:rsidP="001C0DDD">
      <w:pPr>
        <w:ind w:left="1418" w:hanging="709"/>
      </w:pPr>
      <w:r>
        <w:t xml:space="preserve">Guerrero, J., Parra, L., &amp; Mendoza, J. (2016). Autoeficacia y calidad de vida en pacientes con diabetes mellitus tipo 2 sometidos a hemodiálisis. </w:t>
      </w:r>
      <w:r>
        <w:rPr>
          <w:i/>
          <w:iCs/>
        </w:rPr>
        <w:t>Revista Cubana de Salud Pública, 42</w:t>
      </w:r>
      <w:r>
        <w:t>(2), 193–203.</w:t>
      </w:r>
    </w:p>
    <w:p w14:paraId="205F2889" w14:textId="77777777" w:rsidR="001C0DDD" w:rsidRDefault="001C0DDD" w:rsidP="001C0DDD">
      <w:pPr>
        <w:ind w:left="1418" w:hanging="709"/>
      </w:pPr>
      <w:r>
        <w:t xml:space="preserve">Hernández, I., Sarmiento, N., González, I., Galarza, S., De la Bastida, A., Terán, S., &amp; Terán, E. (2018). </w:t>
      </w:r>
      <w:r>
        <w:rPr>
          <w:lang w:val="en-US"/>
        </w:rPr>
        <w:t xml:space="preserve">Adherence to treatment in outpatient patients of health centers in Quito. </w:t>
      </w:r>
      <w:r>
        <w:rPr>
          <w:i/>
          <w:iCs/>
        </w:rPr>
        <w:t xml:space="preserve">Metro </w:t>
      </w:r>
      <w:proofErr w:type="spellStart"/>
      <w:r>
        <w:rPr>
          <w:i/>
          <w:iCs/>
        </w:rPr>
        <w:t>Cienc</w:t>
      </w:r>
      <w:proofErr w:type="spellEnd"/>
      <w:r>
        <w:t xml:space="preserve">, </w:t>
      </w:r>
      <w:r>
        <w:rPr>
          <w:i/>
          <w:iCs/>
        </w:rPr>
        <w:t>26</w:t>
      </w:r>
      <w:r>
        <w:t>(1), 7–11.</w:t>
      </w:r>
      <w:r>
        <w:br/>
      </w:r>
      <w:hyperlink r:id="rId15" w:history="1">
        <w:r>
          <w:rPr>
            <w:rStyle w:val="Hipervnculo"/>
          </w:rPr>
          <w:t>https://docs.bvsalud.org/biblioref/2019/03/981555/adherencia-al-tratamiento.pdf</w:t>
        </w:r>
      </w:hyperlink>
    </w:p>
    <w:p w14:paraId="7DA2D60D" w14:textId="77777777" w:rsidR="001C0DDD" w:rsidRDefault="001C0DDD" w:rsidP="001C0DDD">
      <w:pPr>
        <w:ind w:left="1418" w:hanging="709"/>
      </w:pPr>
      <w:r>
        <w:rPr>
          <w:lang w:val="en-US"/>
        </w:rPr>
        <w:t xml:space="preserve">Lavie, C. (2011). Exercise and cardiovascular diseases. A matter of life or death. </w:t>
      </w:r>
      <w:proofErr w:type="spellStart"/>
      <w:r>
        <w:t>Prog</w:t>
      </w:r>
      <w:proofErr w:type="spellEnd"/>
      <w:r>
        <w:t xml:space="preserve"> </w:t>
      </w:r>
      <w:proofErr w:type="spellStart"/>
      <w:r>
        <w:t>Cardiovasc</w:t>
      </w:r>
      <w:proofErr w:type="spellEnd"/>
      <w:r>
        <w:t xml:space="preserve"> </w:t>
      </w:r>
      <w:proofErr w:type="spellStart"/>
      <w:r>
        <w:t>Dis</w:t>
      </w:r>
      <w:proofErr w:type="spellEnd"/>
      <w:r>
        <w:t>, 53, 385-386.</w:t>
      </w:r>
    </w:p>
    <w:p w14:paraId="6AFA9918" w14:textId="77777777" w:rsidR="001C0DDD" w:rsidRDefault="001C0DDD" w:rsidP="001C0DDD">
      <w:pPr>
        <w:ind w:left="1418" w:hanging="709"/>
        <w:rPr>
          <w:lang w:val="en-US"/>
        </w:rPr>
      </w:pPr>
      <w:r>
        <w:t xml:space="preserve">Lazarus, R. (2000). Estrés y emoción. Manejo e implicaciones en nuestra salud. </w:t>
      </w:r>
      <w:r>
        <w:rPr>
          <w:lang w:val="en-US"/>
        </w:rPr>
        <w:t xml:space="preserve">Bilbao: </w:t>
      </w:r>
      <w:proofErr w:type="spellStart"/>
      <w:r>
        <w:rPr>
          <w:lang w:val="en-US"/>
        </w:rPr>
        <w:t>Desclée</w:t>
      </w:r>
      <w:proofErr w:type="spellEnd"/>
      <w:r>
        <w:rPr>
          <w:lang w:val="en-US"/>
        </w:rPr>
        <w:t xml:space="preserve"> Brouwer.</w:t>
      </w:r>
    </w:p>
    <w:p w14:paraId="2AD02EF9" w14:textId="77777777" w:rsidR="001C0DDD" w:rsidRDefault="001C0DDD" w:rsidP="001C0DDD">
      <w:pPr>
        <w:ind w:left="1418" w:hanging="709"/>
        <w:rPr>
          <w:lang w:val="en-US"/>
        </w:rPr>
      </w:pPr>
      <w:r>
        <w:rPr>
          <w:lang w:val="en-US"/>
        </w:rPr>
        <w:lastRenderedPageBreak/>
        <w:t>Lazarus, R. S., y Folkman, S. (1984). Stress, appraisal, and coping. Nueva York: Springer.</w:t>
      </w:r>
    </w:p>
    <w:p w14:paraId="0FA6C6AD" w14:textId="77777777" w:rsidR="001C0DDD" w:rsidRPr="001974AC" w:rsidRDefault="001C0DDD" w:rsidP="001C0DDD">
      <w:pPr>
        <w:ind w:left="1418" w:hanging="709"/>
        <w:rPr>
          <w:lang w:val="en-US"/>
        </w:rPr>
      </w:pPr>
      <w:r>
        <w:rPr>
          <w:lang w:val="en-US"/>
        </w:rPr>
        <w:t xml:space="preserve">Leissner, P., Held, C., Humphries, S., </w:t>
      </w:r>
      <w:proofErr w:type="spellStart"/>
      <w:r>
        <w:rPr>
          <w:lang w:val="en-US"/>
        </w:rPr>
        <w:t>Rondung</w:t>
      </w:r>
      <w:proofErr w:type="spellEnd"/>
      <w:r>
        <w:rPr>
          <w:lang w:val="en-US"/>
        </w:rPr>
        <w:t xml:space="preserve">, E., &amp; Olsson, E. M. G. (2024). </w:t>
      </w:r>
      <w:r>
        <w:t xml:space="preserve">Asociación de ansiedad y eventos cardiovasculares recurrentes: Investigación de diferentes aspectos de la ansiedad. </w:t>
      </w:r>
      <w:r w:rsidRPr="001974AC">
        <w:rPr>
          <w:i/>
          <w:iCs/>
          <w:lang w:val="en-US"/>
        </w:rPr>
        <w:t>European Journal of Cardiovascular Nursing, 23</w:t>
      </w:r>
      <w:r w:rsidRPr="001974AC">
        <w:rPr>
          <w:lang w:val="en-US"/>
        </w:rPr>
        <w:t xml:space="preserve">(7), 720–727. </w:t>
      </w:r>
      <w:hyperlink r:id="rId16" w:tgtFrame="_new" w:history="1">
        <w:r w:rsidRPr="001974AC">
          <w:rPr>
            <w:rStyle w:val="Hipervnculo"/>
            <w:lang w:val="en-US"/>
          </w:rPr>
          <w:t>https://doi.org/10.1093/eurjcn/zvae036</w:t>
        </w:r>
      </w:hyperlink>
    </w:p>
    <w:p w14:paraId="0C208184" w14:textId="77777777" w:rsidR="001C0DDD" w:rsidRPr="001974AC" w:rsidRDefault="001C0DDD" w:rsidP="001C0DDD">
      <w:pPr>
        <w:ind w:left="1418" w:hanging="709"/>
        <w:rPr>
          <w:lang w:val="en-US"/>
        </w:rPr>
      </w:pPr>
      <w:r>
        <w:rPr>
          <w:lang w:val="en-US"/>
        </w:rPr>
        <w:t xml:space="preserve">Liao, L., Zhang, L., Yang, C., Wang, T., Feng, L., Peng, C., Long, Y., Dai, G., Chang, L., Wei, Y., &amp; Fan, X. (2024). </w:t>
      </w:r>
      <w:proofErr w:type="spellStart"/>
      <w:r>
        <w:rPr>
          <w:lang w:val="en-US"/>
        </w:rPr>
        <w:t>Sotagliflozin</w:t>
      </w:r>
      <w:proofErr w:type="spellEnd"/>
      <w:r>
        <w:rPr>
          <w:lang w:val="en-US"/>
        </w:rPr>
        <w:t xml:space="preserve"> attenuates cardiac dysfunction and depression-like behaviors in mice with myocardial infarction through the gut-heart-brain axis. </w:t>
      </w:r>
      <w:r w:rsidRPr="001974AC">
        <w:rPr>
          <w:i/>
          <w:iCs/>
          <w:lang w:val="en-US"/>
        </w:rPr>
        <w:t>Neurobiology of disease</w:t>
      </w:r>
      <w:r w:rsidRPr="001974AC">
        <w:rPr>
          <w:lang w:val="en-US"/>
        </w:rPr>
        <w:t>, </w:t>
      </w:r>
      <w:r w:rsidRPr="001974AC">
        <w:rPr>
          <w:i/>
          <w:iCs/>
          <w:lang w:val="en-US"/>
        </w:rPr>
        <w:t>199</w:t>
      </w:r>
      <w:r w:rsidRPr="001974AC">
        <w:rPr>
          <w:lang w:val="en-US"/>
        </w:rPr>
        <w:t>, 106598. https://doi.org/10.1016/j.nbd.2024.106598</w:t>
      </w:r>
    </w:p>
    <w:p w14:paraId="56154DF0" w14:textId="77777777" w:rsidR="001C0DDD" w:rsidRDefault="001C0DDD" w:rsidP="001C0DDD">
      <w:pPr>
        <w:ind w:left="1418" w:hanging="709"/>
      </w:pPr>
      <w:r>
        <w:rPr>
          <w:lang w:val="en-US"/>
        </w:rPr>
        <w:t xml:space="preserve">Lloyd-Jones, D. M., Allen, N. B., Anderson, C. A. M., Black, T., Brewer, L. C., Foraker, R. E., Grandner, M. A., Lavretsky, H., Perak, A. M., Sharma, G., Rosamond, W., &amp; American Heart Association (2022). Life's Essential 8: Updating and Enhancing the American Heart Association's Construct of Cardiovascular Health: A Presidential Advisory </w:t>
      </w:r>
      <w:proofErr w:type="gramStart"/>
      <w:r>
        <w:rPr>
          <w:lang w:val="en-US"/>
        </w:rPr>
        <w:t>From</w:t>
      </w:r>
      <w:proofErr w:type="gramEnd"/>
      <w:r>
        <w:rPr>
          <w:lang w:val="en-US"/>
        </w:rPr>
        <w:t xml:space="preserve"> the American Heart Association. </w:t>
      </w:r>
      <w:proofErr w:type="spellStart"/>
      <w:r>
        <w:rPr>
          <w:i/>
          <w:iCs/>
        </w:rPr>
        <w:t>Circulation</w:t>
      </w:r>
      <w:proofErr w:type="spellEnd"/>
      <w:r>
        <w:t>, </w:t>
      </w:r>
      <w:r>
        <w:rPr>
          <w:i/>
          <w:iCs/>
        </w:rPr>
        <w:t>146</w:t>
      </w:r>
      <w:r>
        <w:t xml:space="preserve">(5), e18–e43. https://doi.org/10.1161/CIR.0000000000001078 </w:t>
      </w:r>
    </w:p>
    <w:p w14:paraId="0A5BD7BE" w14:textId="77777777" w:rsidR="001C0DDD" w:rsidRDefault="001C0DDD" w:rsidP="001C0DDD">
      <w:pPr>
        <w:ind w:left="1418" w:hanging="709"/>
      </w:pPr>
      <w:r>
        <w:t xml:space="preserve">López-Castedo, A., González-Rodríguez, R., &amp; Vázquez, R. (2019). Propiedades psicométricas del </w:t>
      </w:r>
      <w:proofErr w:type="spellStart"/>
      <w:r>
        <w:t>Death</w:t>
      </w:r>
      <w:proofErr w:type="spellEnd"/>
      <w:r>
        <w:t xml:space="preserve"> </w:t>
      </w:r>
      <w:proofErr w:type="spellStart"/>
      <w:r>
        <w:t>Anxiety</w:t>
      </w:r>
      <w:proofErr w:type="spellEnd"/>
      <w:r>
        <w:t xml:space="preserve"> </w:t>
      </w:r>
      <w:proofErr w:type="spellStart"/>
      <w:r>
        <w:t>Stait</w:t>
      </w:r>
      <w:proofErr w:type="spellEnd"/>
      <w:r>
        <w:t xml:space="preserve"> en pacientes con cardiopatía isquémica. Revista Española de Salud Pública, 93 e 1-9. </w:t>
      </w:r>
      <w:hyperlink r:id="rId17" w:history="1">
        <w:r>
          <w:rPr>
            <w:rStyle w:val="Hipervnculo"/>
          </w:rPr>
          <w:t>https://scielo.isciii.es/scielo.php?script=sciabtract&amp;pid=S113557272019000100086&amp;Ing-es&amp;nrm-iso&amp;tlng-es</w:t>
        </w:r>
      </w:hyperlink>
    </w:p>
    <w:p w14:paraId="0070488D" w14:textId="77777777" w:rsidR="001C0DDD" w:rsidRDefault="001C0DDD" w:rsidP="001C0DDD">
      <w:pPr>
        <w:ind w:left="1418" w:hanging="709"/>
      </w:pPr>
      <w:r>
        <w:t xml:space="preserve">Mariela, C. A. (2025). </w:t>
      </w:r>
      <w:r>
        <w:rPr>
          <w:i/>
          <w:iCs/>
        </w:rPr>
        <w:t>Análisis sobre de la depresión en pacientes con enfermedad cardiovascular, análisis bibliográfico en Costa Rica durante los años 2019-2024</w:t>
      </w:r>
      <w:r>
        <w:t>. https://www.kerwa.ucr.ac.cr/items/2f0f1970-5f3b-4cf4-a396-72095d82a112</w:t>
      </w:r>
    </w:p>
    <w:p w14:paraId="6E9C095C" w14:textId="77777777" w:rsidR="001C0DDD" w:rsidRDefault="001C0DDD" w:rsidP="001C0DDD">
      <w:pPr>
        <w:ind w:left="1418" w:hanging="709"/>
      </w:pPr>
      <w:proofErr w:type="spellStart"/>
      <w:r>
        <w:t>Mosso</w:t>
      </w:r>
      <w:proofErr w:type="spellEnd"/>
      <w:r>
        <w:t xml:space="preserve"> Mendoza, U., Bustos Aguayo, J. M., Flores Herrera, L. M., &amp; Vanegas Rico, M. C. (2024). Teoría de la conducta planeada e intención del consumo de agua en Iztapalapa y Coyoacán. </w:t>
      </w:r>
      <w:r>
        <w:rPr>
          <w:i/>
          <w:iCs/>
        </w:rPr>
        <w:t>Revista Electrónica de Psicología de la FES Zaragoza-UNAM, 14</w:t>
      </w:r>
      <w:r>
        <w:t xml:space="preserve">(28). </w:t>
      </w:r>
      <w:hyperlink r:id="rId18" w:history="1">
        <w:r>
          <w:rPr>
            <w:rStyle w:val="Hipervnculo"/>
          </w:rPr>
          <w:t>https://www.zaragoza.unam.mx/wpcontent/2022/Publicaciones/revistas/Rev_Elec_Psico/Vol_14_No_28/REP14(28)-art6.pdf</w:t>
        </w:r>
      </w:hyperlink>
    </w:p>
    <w:p w14:paraId="731FFAD7" w14:textId="77777777" w:rsidR="001C0DDD" w:rsidRDefault="001C0DDD" w:rsidP="001C0DDD">
      <w:pPr>
        <w:ind w:left="1418" w:hanging="709"/>
      </w:pPr>
      <w:r>
        <w:t>Muñoz, S., Berra, E., Nava, C. &amp; Gómez, G. (2012). Identificación de emociones desde el modelo de Lazarus y Folkman: propuesta del Cuestionario de Estrés, Emoción y Afrontamiento (</w:t>
      </w:r>
      <w:proofErr w:type="spellStart"/>
      <w:r>
        <w:t>ceea</w:t>
      </w:r>
      <w:proofErr w:type="spellEnd"/>
      <w:r>
        <w:t>). Revista Electrónica de Psicología Iztacala</w:t>
      </w:r>
    </w:p>
    <w:p w14:paraId="2CE70F8E" w14:textId="77777777" w:rsidR="001C0DDD" w:rsidRDefault="001C0DDD" w:rsidP="001C0DDD">
      <w:pPr>
        <w:ind w:left="1418" w:hanging="709"/>
      </w:pPr>
      <w:r>
        <w:t xml:space="preserve">Organización Mundial de la Salud. (2003). </w:t>
      </w:r>
      <w:r>
        <w:rPr>
          <w:i/>
          <w:iCs/>
        </w:rPr>
        <w:t>Adherencia a terapias a largo plazo: evidencia para la acción</w:t>
      </w:r>
      <w:r>
        <w:t>. Ginebra: Organización Mundial de la Salud.</w:t>
      </w:r>
    </w:p>
    <w:p w14:paraId="374C8165" w14:textId="77777777" w:rsidR="001C0DDD" w:rsidRDefault="001C0DDD" w:rsidP="001C0DDD">
      <w:pPr>
        <w:ind w:left="1418" w:hanging="709"/>
      </w:pPr>
      <w:proofErr w:type="spellStart"/>
      <w:r>
        <w:t>Palaparthi</w:t>
      </w:r>
      <w:proofErr w:type="spellEnd"/>
      <w:r>
        <w:t xml:space="preserve">, E. C., K, P., </w:t>
      </w:r>
      <w:proofErr w:type="spellStart"/>
      <w:r>
        <w:t>Ignasimuthu</w:t>
      </w:r>
      <w:proofErr w:type="spellEnd"/>
      <w:r>
        <w:t xml:space="preserve">, A., N, G., Sade, N., Bade, N., </w:t>
      </w:r>
      <w:proofErr w:type="spellStart"/>
      <w:r>
        <w:t>Jakka</w:t>
      </w:r>
      <w:proofErr w:type="spellEnd"/>
      <w:r>
        <w:t xml:space="preserve">, B. K., </w:t>
      </w:r>
      <w:proofErr w:type="spellStart"/>
      <w:r>
        <w:t>Gogineni</w:t>
      </w:r>
      <w:proofErr w:type="spellEnd"/>
      <w:r>
        <w:t xml:space="preserve">, K. K., Dunde, A., </w:t>
      </w:r>
      <w:proofErr w:type="spellStart"/>
      <w:r>
        <w:t>Medabala</w:t>
      </w:r>
      <w:proofErr w:type="spellEnd"/>
      <w:r>
        <w:t xml:space="preserve">, T., &amp; </w:t>
      </w:r>
      <w:proofErr w:type="spellStart"/>
      <w:r>
        <w:t>Periasamy</w:t>
      </w:r>
      <w:proofErr w:type="spellEnd"/>
      <w:r>
        <w:t xml:space="preserve">, P. (2025). </w:t>
      </w:r>
      <w:r>
        <w:rPr>
          <w:lang w:val="en-US"/>
        </w:rPr>
        <w:t xml:space="preserve">Impact of Lifestyle Modifications Along </w:t>
      </w:r>
      <w:proofErr w:type="gramStart"/>
      <w:r>
        <w:rPr>
          <w:lang w:val="en-US"/>
        </w:rPr>
        <w:t>With</w:t>
      </w:r>
      <w:proofErr w:type="gramEnd"/>
      <w:r>
        <w:rPr>
          <w:lang w:val="en-US"/>
        </w:rPr>
        <w:t xml:space="preserve"> Pharmacological Treatment of Heart Failure: A Narrative Review. </w:t>
      </w:r>
      <w:proofErr w:type="spellStart"/>
      <w:r>
        <w:rPr>
          <w:i/>
          <w:iCs/>
        </w:rPr>
        <w:t>Cureus</w:t>
      </w:r>
      <w:proofErr w:type="spellEnd"/>
      <w:r>
        <w:t>, </w:t>
      </w:r>
      <w:r>
        <w:rPr>
          <w:i/>
          <w:iCs/>
        </w:rPr>
        <w:t>17</w:t>
      </w:r>
      <w:r>
        <w:t>(4), e81570. https://doi.org/10.7759/cureus.81570</w:t>
      </w:r>
    </w:p>
    <w:p w14:paraId="0D0CCC1F" w14:textId="77777777" w:rsidR="001C0DDD" w:rsidRDefault="001C0DDD" w:rsidP="001C0DDD">
      <w:pPr>
        <w:ind w:left="1418" w:hanging="709"/>
      </w:pPr>
      <w:proofErr w:type="spellStart"/>
      <w:r>
        <w:t>Patten</w:t>
      </w:r>
      <w:proofErr w:type="spellEnd"/>
      <w:r>
        <w:t xml:space="preserve">, A. C. S., Barros, D. M. B., Ochoa, J. D. C., &amp; Rodríguez, Y. C. H. (2021). Identidad de enfermedad y afrontamiento: Su rol en la adherencia terapéutica de pacientes diabéticos e hipertensos; Ecuador 2019. Revista </w:t>
      </w:r>
      <w:proofErr w:type="spellStart"/>
      <w:r>
        <w:t>Cientifica</w:t>
      </w:r>
      <w:proofErr w:type="spellEnd"/>
      <w:r>
        <w:t xml:space="preserve"> Centros, 10(1), 17-37. </w:t>
      </w:r>
      <w:hyperlink r:id="rId19" w:history="1">
        <w:r>
          <w:rPr>
            <w:rStyle w:val="Hipervnculo"/>
          </w:rPr>
          <w:t xml:space="preserve">https://revistasvip.up.ac.pa/index.php/revista </w:t>
        </w:r>
        <w:proofErr w:type="spellStart"/>
        <w:r>
          <w:rPr>
            <w:rStyle w:val="Hipervnculo"/>
          </w:rPr>
          <w:t>cientifica</w:t>
        </w:r>
        <w:proofErr w:type="spellEnd"/>
        <w:r>
          <w:rPr>
            <w:rStyle w:val="Hipervnculo"/>
          </w:rPr>
          <w:t xml:space="preserve"> centros/</w:t>
        </w:r>
        <w:proofErr w:type="spellStart"/>
        <w:r>
          <w:rPr>
            <w:rStyle w:val="Hipervnculo"/>
          </w:rPr>
          <w:t>article</w:t>
        </w:r>
        <w:proofErr w:type="spellEnd"/>
        <w:r>
          <w:rPr>
            <w:rStyle w:val="Hipervnculo"/>
          </w:rPr>
          <w:t>/</w:t>
        </w:r>
        <w:proofErr w:type="spellStart"/>
        <w:r>
          <w:rPr>
            <w:rStyle w:val="Hipervnculo"/>
          </w:rPr>
          <w:t>view</w:t>
        </w:r>
        <w:proofErr w:type="spellEnd"/>
        <w:r>
          <w:rPr>
            <w:rStyle w:val="Hipervnculo"/>
          </w:rPr>
          <w:t>/398</w:t>
        </w:r>
      </w:hyperlink>
    </w:p>
    <w:p w14:paraId="3EFF7F3A" w14:textId="77777777" w:rsidR="001C0DDD" w:rsidRDefault="001C0DDD" w:rsidP="001C0DDD">
      <w:pPr>
        <w:ind w:left="1418" w:hanging="709"/>
        <w:rPr>
          <w:lang w:val="en-US"/>
        </w:rPr>
      </w:pPr>
      <w:r>
        <w:rPr>
          <w:lang w:val="en-US"/>
        </w:rPr>
        <w:lastRenderedPageBreak/>
        <w:t xml:space="preserve">Patterson, S. L., Marcus, M., Goetz, M., Vaccarino, V., &amp; Gooding, H. C. (2022). Depression and anxiety are associated with cardiovascular health in young adults. </w:t>
      </w:r>
      <w:r>
        <w:rPr>
          <w:i/>
          <w:iCs/>
          <w:lang w:val="en-US"/>
        </w:rPr>
        <w:t>Journal of the American Heart Association</w:t>
      </w:r>
      <w:r>
        <w:rPr>
          <w:lang w:val="en-US"/>
        </w:rPr>
        <w:t xml:space="preserve">, </w:t>
      </w:r>
      <w:r>
        <w:rPr>
          <w:i/>
          <w:iCs/>
          <w:lang w:val="en-US"/>
        </w:rPr>
        <w:t>11</w:t>
      </w:r>
      <w:r>
        <w:rPr>
          <w:lang w:val="en-US"/>
        </w:rPr>
        <w:t>(24). https://doi.org/10.1161/jaha.122.027610</w:t>
      </w:r>
    </w:p>
    <w:p w14:paraId="6AC0B639" w14:textId="77777777" w:rsidR="001C0DDD" w:rsidRDefault="001C0DDD" w:rsidP="001C0DDD">
      <w:pPr>
        <w:ind w:left="1418" w:hanging="709"/>
        <w:rPr>
          <w:lang w:val="en-US"/>
        </w:rPr>
      </w:pPr>
      <w:r>
        <w:rPr>
          <w:lang w:val="en-US"/>
        </w:rPr>
        <w:t xml:space="preserve">Peter, R. S., Meyer, M. L., Mons, U., </w:t>
      </w:r>
      <w:proofErr w:type="spellStart"/>
      <w:r>
        <w:rPr>
          <w:lang w:val="en-US"/>
        </w:rPr>
        <w:t>Schöttker</w:t>
      </w:r>
      <w:proofErr w:type="spellEnd"/>
      <w:r>
        <w:rPr>
          <w:lang w:val="en-US"/>
        </w:rPr>
        <w:t xml:space="preserve">, B., Keller, F., Schmucker, R., Koenig, W., Brenner, H., &amp; </w:t>
      </w:r>
      <w:proofErr w:type="spellStart"/>
      <w:r>
        <w:rPr>
          <w:lang w:val="en-US"/>
        </w:rPr>
        <w:t>Rothenbacher</w:t>
      </w:r>
      <w:proofErr w:type="spellEnd"/>
      <w:r>
        <w:rPr>
          <w:lang w:val="en-US"/>
        </w:rPr>
        <w:t xml:space="preserve">, D. (2020). Long-term trajectories of anxiety and depression in patients with stable coronary heart disease and risk of subsequent cardiovascular events. Anxiety &amp; Depression Association of America, 37(8), 784-792. </w:t>
      </w:r>
      <w:hyperlink r:id="rId20" w:history="1">
        <w:r>
          <w:rPr>
            <w:rStyle w:val="Hipervnculo"/>
            <w:lang w:val="en-US"/>
          </w:rPr>
          <w:t>https://doi.org/10.1002/da.23011</w:t>
        </w:r>
      </w:hyperlink>
    </w:p>
    <w:p w14:paraId="7E1BA6F5" w14:textId="77777777" w:rsidR="001C0DDD" w:rsidRDefault="001C0DDD" w:rsidP="001C0DDD">
      <w:pPr>
        <w:ind w:left="1418" w:hanging="709"/>
        <w:rPr>
          <w:lang w:val="en-US"/>
        </w:rPr>
      </w:pPr>
      <w:r>
        <w:rPr>
          <w:lang w:val="en-US"/>
        </w:rPr>
        <w:t xml:space="preserve">Pino, E. C., Zuo, Y., Borba, C. P., Henderson, D. C., &amp; </w:t>
      </w:r>
      <w:proofErr w:type="spellStart"/>
      <w:r>
        <w:rPr>
          <w:lang w:val="en-US"/>
        </w:rPr>
        <w:t>Kalesan</w:t>
      </w:r>
      <w:proofErr w:type="spellEnd"/>
      <w:r>
        <w:rPr>
          <w:lang w:val="en-US"/>
        </w:rPr>
        <w:t xml:space="preserve">, B. (2018). Clinical depression and anxiety among ST-elevation myocardial infarction hospitalizations: Results from Nationwide Inpatient Sample 2004–2013. </w:t>
      </w:r>
      <w:r>
        <w:rPr>
          <w:i/>
          <w:iCs/>
          <w:lang w:val="en-US"/>
        </w:rPr>
        <w:t>Psychiatry Research</w:t>
      </w:r>
      <w:r>
        <w:rPr>
          <w:lang w:val="en-US"/>
        </w:rPr>
        <w:t xml:space="preserve">, </w:t>
      </w:r>
      <w:r>
        <w:rPr>
          <w:i/>
          <w:iCs/>
          <w:lang w:val="en-US"/>
        </w:rPr>
        <w:t>266</w:t>
      </w:r>
      <w:r>
        <w:rPr>
          <w:lang w:val="en-US"/>
        </w:rPr>
        <w:t xml:space="preserve">, 291–300. </w:t>
      </w:r>
      <w:hyperlink r:id="rId21" w:history="1">
        <w:r>
          <w:rPr>
            <w:rStyle w:val="Hipervnculo"/>
            <w:lang w:val="en-US"/>
          </w:rPr>
          <w:t>https://doi.org/10.1016/j.psychres.2018.03.025</w:t>
        </w:r>
      </w:hyperlink>
    </w:p>
    <w:p w14:paraId="05E107AF" w14:textId="77777777" w:rsidR="001C0DDD" w:rsidRDefault="001C0DDD" w:rsidP="001C0DDD">
      <w:pPr>
        <w:ind w:left="1418" w:hanging="709"/>
        <w:rPr>
          <w:lang w:val="en-US"/>
        </w:rPr>
      </w:pPr>
      <w:r>
        <w:rPr>
          <w:lang w:val="en-US"/>
        </w:rPr>
        <w:t xml:space="preserve">Qiu, T., Jiang, Z., Chen, X., Dai, &amp;., &amp; Zhao, H. (2023). Comorbidity of Anxiety and Hypertension: Common Risk Factors and Potential Mechanisms. </w:t>
      </w:r>
      <w:r w:rsidRPr="001974AC">
        <w:rPr>
          <w:lang w:val="en-US"/>
        </w:rPr>
        <w:t>International Journal of Hypertension. </w:t>
      </w:r>
      <w:hyperlink r:id="rId22" w:history="1">
        <w:r w:rsidRPr="001974AC">
          <w:rPr>
            <w:rStyle w:val="Hipervnculo"/>
            <w:lang w:val="en-US"/>
          </w:rPr>
          <w:t>https://doi.org/10.1155/2023/9619388</w:t>
        </w:r>
      </w:hyperlink>
    </w:p>
    <w:p w14:paraId="24F06FA9" w14:textId="77777777" w:rsidR="001C0DDD" w:rsidRDefault="001C0DDD" w:rsidP="001C0DDD">
      <w:pPr>
        <w:ind w:left="1418" w:hanging="709"/>
        <w:rPr>
          <w:lang w:val="en-US"/>
        </w:rPr>
      </w:pPr>
      <w:proofErr w:type="spellStart"/>
      <w:r>
        <w:rPr>
          <w:lang w:val="en-US"/>
        </w:rPr>
        <w:t>Rafiei</w:t>
      </w:r>
      <w:proofErr w:type="spellEnd"/>
      <w:r>
        <w:rPr>
          <w:lang w:val="en-US"/>
        </w:rPr>
        <w:t xml:space="preserve">, S., </w:t>
      </w:r>
      <w:proofErr w:type="spellStart"/>
      <w:r>
        <w:rPr>
          <w:lang w:val="en-US"/>
        </w:rPr>
        <w:t>Raoofi</w:t>
      </w:r>
      <w:proofErr w:type="spellEnd"/>
      <w:r>
        <w:rPr>
          <w:lang w:val="en-US"/>
        </w:rPr>
        <w:t xml:space="preserve">, S., </w:t>
      </w:r>
      <w:proofErr w:type="spellStart"/>
      <w:r>
        <w:rPr>
          <w:lang w:val="en-US"/>
        </w:rPr>
        <w:t>Baghaei</w:t>
      </w:r>
      <w:proofErr w:type="spellEnd"/>
      <w:r>
        <w:rPr>
          <w:lang w:val="en-US"/>
        </w:rPr>
        <w:t xml:space="preserve">, A., Masoumi, M., </w:t>
      </w:r>
      <w:proofErr w:type="spellStart"/>
      <w:r>
        <w:rPr>
          <w:lang w:val="en-US"/>
        </w:rPr>
        <w:t>Doustmehraban</w:t>
      </w:r>
      <w:proofErr w:type="spellEnd"/>
      <w:r>
        <w:rPr>
          <w:lang w:val="en-US"/>
        </w:rPr>
        <w:t xml:space="preserve">, M., </w:t>
      </w:r>
      <w:proofErr w:type="spellStart"/>
      <w:r>
        <w:rPr>
          <w:lang w:val="en-US"/>
        </w:rPr>
        <w:t>Nejatifar</w:t>
      </w:r>
      <w:proofErr w:type="spellEnd"/>
      <w:r>
        <w:rPr>
          <w:lang w:val="en-US"/>
        </w:rPr>
        <w:t xml:space="preserve">, Z., </w:t>
      </w:r>
      <w:proofErr w:type="spellStart"/>
      <w:r>
        <w:rPr>
          <w:lang w:val="en-US"/>
        </w:rPr>
        <w:t>Sanaei</w:t>
      </w:r>
      <w:proofErr w:type="spellEnd"/>
      <w:r>
        <w:rPr>
          <w:lang w:val="en-US"/>
        </w:rPr>
        <w:t xml:space="preserve">, M., </w:t>
      </w:r>
      <w:proofErr w:type="spellStart"/>
      <w:r>
        <w:rPr>
          <w:lang w:val="en-US"/>
        </w:rPr>
        <w:t>Bagheribayati</w:t>
      </w:r>
      <w:proofErr w:type="spellEnd"/>
      <w:r>
        <w:rPr>
          <w:lang w:val="en-US"/>
        </w:rPr>
        <w:t xml:space="preserve">, F., Vaziri </w:t>
      </w:r>
      <w:proofErr w:type="spellStart"/>
      <w:r>
        <w:rPr>
          <w:lang w:val="en-US"/>
        </w:rPr>
        <w:t>Shahrebabak</w:t>
      </w:r>
      <w:proofErr w:type="spellEnd"/>
      <w:r>
        <w:rPr>
          <w:lang w:val="en-US"/>
        </w:rPr>
        <w:t xml:space="preserve">, E. S., </w:t>
      </w:r>
      <w:proofErr w:type="spellStart"/>
      <w:r>
        <w:rPr>
          <w:lang w:val="en-US"/>
        </w:rPr>
        <w:t>Shayestehbonyan</w:t>
      </w:r>
      <w:proofErr w:type="spellEnd"/>
      <w:r>
        <w:rPr>
          <w:lang w:val="en-US"/>
        </w:rPr>
        <w:t xml:space="preserve">, M., Javan </w:t>
      </w:r>
      <w:proofErr w:type="spellStart"/>
      <w:r>
        <w:rPr>
          <w:lang w:val="en-US"/>
        </w:rPr>
        <w:t>Biparva</w:t>
      </w:r>
      <w:proofErr w:type="spellEnd"/>
      <w:r>
        <w:rPr>
          <w:lang w:val="en-US"/>
        </w:rPr>
        <w:t xml:space="preserve">, A., </w:t>
      </w:r>
      <w:proofErr w:type="spellStart"/>
      <w:r>
        <w:rPr>
          <w:lang w:val="en-US"/>
        </w:rPr>
        <w:t>Raoofi</w:t>
      </w:r>
      <w:proofErr w:type="spellEnd"/>
      <w:r>
        <w:rPr>
          <w:lang w:val="en-US"/>
        </w:rPr>
        <w:t xml:space="preserve">, N., Mir, M., Momeni, Z., </w:t>
      </w:r>
      <w:proofErr w:type="spellStart"/>
      <w:r>
        <w:rPr>
          <w:lang w:val="en-US"/>
        </w:rPr>
        <w:t>Yousefy</w:t>
      </w:r>
      <w:proofErr w:type="spellEnd"/>
      <w:r>
        <w:rPr>
          <w:lang w:val="en-US"/>
        </w:rPr>
        <w:t xml:space="preserve">, S., Hashemi </w:t>
      </w:r>
      <w:proofErr w:type="spellStart"/>
      <w:r>
        <w:rPr>
          <w:lang w:val="en-US"/>
        </w:rPr>
        <w:t>Khoonigh</w:t>
      </w:r>
      <w:proofErr w:type="spellEnd"/>
      <w:r>
        <w:rPr>
          <w:lang w:val="en-US"/>
        </w:rPr>
        <w:t xml:space="preserve">, Z., Rezaei, F., </w:t>
      </w:r>
      <w:proofErr w:type="spellStart"/>
      <w:r>
        <w:rPr>
          <w:lang w:val="en-US"/>
        </w:rPr>
        <w:t>Pashazadeh</w:t>
      </w:r>
      <w:proofErr w:type="spellEnd"/>
      <w:r>
        <w:rPr>
          <w:lang w:val="en-US"/>
        </w:rPr>
        <w:t xml:space="preserve"> Kan, F., &amp; </w:t>
      </w:r>
      <w:proofErr w:type="spellStart"/>
      <w:r>
        <w:rPr>
          <w:lang w:val="en-US"/>
        </w:rPr>
        <w:t>Ghashghaee</w:t>
      </w:r>
      <w:proofErr w:type="spellEnd"/>
      <w:r>
        <w:rPr>
          <w:lang w:val="en-US"/>
        </w:rPr>
        <w:t>, A. (2023). Depression prevalence in cardiovascular disease: global systematic review and meta-analysis. </w:t>
      </w:r>
      <w:r w:rsidRPr="001974AC">
        <w:rPr>
          <w:i/>
          <w:iCs/>
          <w:lang w:val="en-US"/>
        </w:rPr>
        <w:t>BMJ supportive &amp; palliative care</w:t>
      </w:r>
      <w:r w:rsidRPr="001974AC">
        <w:rPr>
          <w:lang w:val="en-US"/>
        </w:rPr>
        <w:t>, </w:t>
      </w:r>
      <w:r w:rsidRPr="001974AC">
        <w:rPr>
          <w:i/>
          <w:iCs/>
          <w:lang w:val="en-US"/>
        </w:rPr>
        <w:t>13</w:t>
      </w:r>
      <w:r w:rsidRPr="001974AC">
        <w:rPr>
          <w:lang w:val="en-US"/>
        </w:rPr>
        <w:t>(3), 281–289. https://doi.org/10.1136/spcare-2022-003884</w:t>
      </w:r>
    </w:p>
    <w:p w14:paraId="36F86AE1" w14:textId="77777777" w:rsidR="001C0DDD" w:rsidRDefault="001C0DDD" w:rsidP="001C0DDD">
      <w:pPr>
        <w:ind w:left="1418" w:hanging="709"/>
        <w:rPr>
          <w:lang w:val="en-US"/>
        </w:rPr>
      </w:pPr>
      <w:r>
        <w:rPr>
          <w:lang w:val="en-US"/>
        </w:rPr>
        <w:t xml:space="preserve">Shah, R., Doshi, S., Shah, S., Patel, S., Li, A., &amp; Diamond, J. (2023). Impacts of Anxiety and Depression on Clinical Hypertension in Low-Income US Adults. </w:t>
      </w:r>
      <w:r w:rsidRPr="001974AC">
        <w:rPr>
          <w:lang w:val="en-US"/>
        </w:rPr>
        <w:t>High Blood Pressure &amp; Cardiovascular Prevention, 30(1), 337-342. </w:t>
      </w:r>
      <w:hyperlink r:id="rId23" w:history="1">
        <w:r w:rsidRPr="001974AC">
          <w:rPr>
            <w:rStyle w:val="Hipervnculo"/>
            <w:lang w:val="en-US"/>
          </w:rPr>
          <w:t>https://doi.org/10.1007/s40292-023-00584-3</w:t>
        </w:r>
      </w:hyperlink>
    </w:p>
    <w:p w14:paraId="73291453" w14:textId="77777777" w:rsidR="001C0DDD" w:rsidRDefault="001C0DDD" w:rsidP="001C0DDD">
      <w:pPr>
        <w:ind w:left="1418" w:hanging="709"/>
      </w:pPr>
      <w:proofErr w:type="spellStart"/>
      <w:r>
        <w:rPr>
          <w:lang w:val="en-US"/>
        </w:rPr>
        <w:t>Secretaría</w:t>
      </w:r>
      <w:proofErr w:type="spellEnd"/>
      <w:r>
        <w:rPr>
          <w:lang w:val="en-US"/>
        </w:rPr>
        <w:t xml:space="preserve"> de Salud. </w:t>
      </w:r>
      <w:r>
        <w:t>(2022). Cada año, 220 mil personas fallecen debido a enfermedades del corazón. Gobierno de México. Recuperado 25 de junio de 2025, de </w:t>
      </w:r>
      <w:hyperlink r:id="rId24" w:anchor=":~:text=Detall%C3%B3%20que%20en%202021%20ocurrieron%20cerca%20de%20un,alrededor%20de%2030%20mil%20personas%20por%20hipertensi%C3%B3n%20arterial" w:history="1">
        <w:r>
          <w:rPr>
            <w:rStyle w:val="Hipervnculo"/>
          </w:rPr>
          <w:t>https://www.gob.mx/salud/prensa/490-cada-ano-220-mil-personas-fallecen-debido-a-enfermedades-del-corazon#:~:text=Detall%C3%B3%20que%20en%202021%20ocurrieron%20cerca%20de%20un,alrededor%20de%2030%20mil%20personas%20por%20hipertensi%C3%B3n%20arterial</w:t>
        </w:r>
      </w:hyperlink>
    </w:p>
    <w:p w14:paraId="09FDA526" w14:textId="77777777" w:rsidR="001C0DDD" w:rsidRDefault="001C0DDD" w:rsidP="001C0DDD">
      <w:pPr>
        <w:ind w:left="1418" w:hanging="709"/>
      </w:pPr>
      <w:r>
        <w:t xml:space="preserve">Texas Heart </w:t>
      </w:r>
      <w:proofErr w:type="spellStart"/>
      <w:r>
        <w:t>Institute</w:t>
      </w:r>
      <w:proofErr w:type="spellEnd"/>
      <w:r>
        <w:t xml:space="preserve">. (2021). Factores de riesgo cardiovascular </w:t>
      </w:r>
      <w:hyperlink r:id="rId25" w:history="1">
        <w:r>
          <w:rPr>
            <w:rStyle w:val="Hipervnculo"/>
          </w:rPr>
          <w:t>https://www.texasheart.org/heart-health/heart-information-riesgo-cardiovascular/</w:t>
        </w:r>
      </w:hyperlink>
    </w:p>
    <w:p w14:paraId="62B552FB" w14:textId="77777777" w:rsidR="001C0DDD" w:rsidRDefault="001C0DDD" w:rsidP="001C0DDD">
      <w:pPr>
        <w:ind w:left="1418" w:hanging="709"/>
      </w:pPr>
      <w:proofErr w:type="spellStart"/>
      <w:r>
        <w:t>Vinaccia</w:t>
      </w:r>
      <w:proofErr w:type="spellEnd"/>
      <w:r>
        <w:t xml:space="preserve">, S., </w:t>
      </w:r>
      <w:proofErr w:type="spellStart"/>
      <w:r>
        <w:t>Florez</w:t>
      </w:r>
      <w:proofErr w:type="spellEnd"/>
      <w:r>
        <w:t>, E. &amp; Espitia, A. K. (2021). Calidad de vida, estrés percibido y bienestar subjetivo en hombres hipertensos privados y no privados de la libertad. Gaceta Medica Caracas, 129(3), 547-552. DOI: 10.47307/GMC.2021.129.3.3</w:t>
      </w:r>
    </w:p>
    <w:p w14:paraId="613D5F84" w14:textId="77777777" w:rsidR="001C0DDD" w:rsidRDefault="001C0DDD" w:rsidP="001C0DDD">
      <w:pPr>
        <w:ind w:left="1418" w:hanging="709"/>
        <w:rPr>
          <w:lang w:val="en-US"/>
        </w:rPr>
      </w:pPr>
      <w:proofErr w:type="spellStart"/>
      <w:r>
        <w:t>Waśniowska</w:t>
      </w:r>
      <w:proofErr w:type="spellEnd"/>
      <w:r>
        <w:t xml:space="preserve">, A., </w:t>
      </w:r>
      <w:proofErr w:type="spellStart"/>
      <w:r>
        <w:t>Kozela</w:t>
      </w:r>
      <w:proofErr w:type="spellEnd"/>
      <w:r>
        <w:t xml:space="preserve">, M., </w:t>
      </w:r>
      <w:proofErr w:type="spellStart"/>
      <w:r>
        <w:t>Podolec</w:t>
      </w:r>
      <w:proofErr w:type="spellEnd"/>
      <w:r>
        <w:t xml:space="preserve">, P., &amp; </w:t>
      </w:r>
      <w:proofErr w:type="spellStart"/>
      <w:r>
        <w:t>Pająk</w:t>
      </w:r>
      <w:proofErr w:type="spellEnd"/>
      <w:r>
        <w:t xml:space="preserve">, A. (2017). </w:t>
      </w:r>
      <w:r>
        <w:rPr>
          <w:lang w:val="en-US"/>
        </w:rPr>
        <w:t xml:space="preserve">Knowledge of cardiovascular disease risk factors and the risk of death in middle-aged residents of Krakow. </w:t>
      </w:r>
      <w:proofErr w:type="spellStart"/>
      <w:r w:rsidRPr="001974AC">
        <w:rPr>
          <w:i/>
          <w:iCs/>
          <w:lang w:val="en-US"/>
        </w:rPr>
        <w:t>Kardiologia</w:t>
      </w:r>
      <w:proofErr w:type="spellEnd"/>
      <w:r w:rsidRPr="001974AC">
        <w:rPr>
          <w:i/>
          <w:iCs/>
          <w:lang w:val="en-US"/>
        </w:rPr>
        <w:t xml:space="preserve"> Polska, 75</w:t>
      </w:r>
      <w:r w:rsidRPr="001974AC">
        <w:rPr>
          <w:lang w:val="en-US"/>
        </w:rPr>
        <w:t xml:space="preserve">, 386–394. </w:t>
      </w:r>
      <w:hyperlink r:id="rId26" w:history="1">
        <w:r>
          <w:rPr>
            <w:rStyle w:val="Hipervnculo"/>
            <w:lang w:val="en-US"/>
          </w:rPr>
          <w:t>https://doi.org/10.5603/KP.a2016.0193</w:t>
        </w:r>
      </w:hyperlink>
    </w:p>
    <w:p w14:paraId="0A864038" w14:textId="77777777" w:rsidR="001C0DDD" w:rsidRDefault="001C0DDD" w:rsidP="001C0DDD">
      <w:pPr>
        <w:ind w:left="1418" w:hanging="709"/>
      </w:pPr>
      <w:r>
        <w:rPr>
          <w:lang w:val="en-US"/>
        </w:rPr>
        <w:t xml:space="preserve">Zeng, J., Qiu, Y., Yang, C., Fan, X., Zhou, X., Zhang, C., Zhu, S., Long, Y., Hashimoto, K., Chang, L., &amp; Wei, Y. (2025). Cardiovascular diseases and depression: A </w:t>
      </w:r>
      <w:r>
        <w:rPr>
          <w:lang w:val="en-US"/>
        </w:rPr>
        <w:lastRenderedPageBreak/>
        <w:t xml:space="preserve">meta-analysis and Mendelian randomization analysis. </w:t>
      </w:r>
      <w:r>
        <w:rPr>
          <w:i/>
          <w:iCs/>
        </w:rPr>
        <w:t xml:space="preserve">Molecular </w:t>
      </w:r>
      <w:proofErr w:type="spellStart"/>
      <w:r>
        <w:rPr>
          <w:i/>
          <w:iCs/>
        </w:rPr>
        <w:t>Psychiatry</w:t>
      </w:r>
      <w:proofErr w:type="spellEnd"/>
      <w:r>
        <w:t>. https://doi.org/10.1038/s41380-025-03003-2</w:t>
      </w:r>
    </w:p>
    <w:p w14:paraId="5B5A6215" w14:textId="77777777" w:rsidR="001C0DDD" w:rsidRDefault="001C0DDD" w:rsidP="001C0DDD">
      <w:pPr>
        <w:ind w:left="1418" w:hanging="709"/>
      </w:pPr>
      <w:r>
        <w:t xml:space="preserve">Zabalegui, A., Vidal, Á., Soler, M. y </w:t>
      </w:r>
      <w:proofErr w:type="spellStart"/>
      <w:r>
        <w:t>Latre</w:t>
      </w:r>
      <w:proofErr w:type="spellEnd"/>
      <w:r>
        <w:t xml:space="preserve">, E. (2002). Análisis empírico del concepto de afrontamiento. </w:t>
      </w:r>
      <w:proofErr w:type="spellStart"/>
      <w:r>
        <w:t>Enf</w:t>
      </w:r>
      <w:proofErr w:type="spellEnd"/>
      <w:r>
        <w:t xml:space="preserve"> Clin; (12) 1:29-38.</w:t>
      </w:r>
    </w:p>
    <w:p w14:paraId="24CD704E" w14:textId="77777777" w:rsidR="00020F8C" w:rsidRPr="00DA1C36" w:rsidRDefault="00020F8C">
      <w:pPr>
        <w:ind w:left="720" w:hanging="720"/>
        <w:jc w:val="both"/>
        <w:rPr>
          <w:lang w:val="en-US"/>
        </w:rPr>
      </w:pPr>
    </w:p>
    <w:p w14:paraId="785A1874" w14:textId="77777777" w:rsidR="00020F8C" w:rsidRPr="00DA1C36" w:rsidRDefault="00020F8C">
      <w:pPr>
        <w:ind w:left="720" w:hanging="720"/>
        <w:jc w:val="both"/>
        <w:rPr>
          <w:lang w:val="en-US"/>
        </w:rPr>
      </w:pPr>
    </w:p>
    <w:p w14:paraId="33691C38" w14:textId="77777777" w:rsidR="00020F8C" w:rsidRPr="00DA1C36" w:rsidRDefault="00020F8C">
      <w:pPr>
        <w:ind w:left="720" w:hanging="720"/>
        <w:jc w:val="both"/>
        <w:rPr>
          <w:lang w:val="en-US"/>
        </w:rPr>
      </w:pPr>
    </w:p>
    <w:p w14:paraId="626C5068" w14:textId="77777777" w:rsidR="00020F8C" w:rsidRPr="00DA1C36" w:rsidRDefault="00000000">
      <w:pPr>
        <w:shd w:val="clear" w:color="auto" w:fill="FFFFFF"/>
        <w:jc w:val="right"/>
        <w:rPr>
          <w:i/>
          <w:sz w:val="20"/>
          <w:szCs w:val="20"/>
          <w:lang w:val="en-US"/>
        </w:rPr>
      </w:pPr>
      <w:r w:rsidRPr="00DA1C36">
        <w:rPr>
          <w:i/>
          <w:sz w:val="20"/>
          <w:szCs w:val="20"/>
          <w:lang w:val="en-US"/>
        </w:rPr>
        <w:t xml:space="preserve">Received: </w:t>
      </w:r>
    </w:p>
    <w:p w14:paraId="469C2407" w14:textId="5D68D824" w:rsidR="00020F8C" w:rsidRPr="00E56D9D" w:rsidRDefault="00000000" w:rsidP="00E56D9D">
      <w:pPr>
        <w:shd w:val="clear" w:color="auto" w:fill="FFFFFF"/>
        <w:jc w:val="right"/>
        <w:rPr>
          <w:i/>
          <w:sz w:val="20"/>
          <w:szCs w:val="20"/>
          <w:lang w:val="en-US"/>
        </w:rPr>
      </w:pPr>
      <w:r w:rsidRPr="00DA1C36">
        <w:rPr>
          <w:i/>
          <w:sz w:val="20"/>
          <w:szCs w:val="20"/>
          <w:lang w:val="en-US"/>
        </w:rPr>
        <w:t>Accepted:</w:t>
      </w:r>
      <w:r w:rsidRPr="00DA1C36">
        <w:rPr>
          <w:rFonts w:ascii="Quattrocento Sans" w:eastAsia="Quattrocento Sans" w:hAnsi="Quattrocento Sans" w:cs="Quattrocento Sans"/>
          <w:sz w:val="21"/>
          <w:szCs w:val="21"/>
          <w:highlight w:val="white"/>
          <w:lang w:val="en-US"/>
        </w:rPr>
        <w:t xml:space="preserve"> </w:t>
      </w:r>
    </w:p>
    <w:sectPr w:rsidR="00020F8C" w:rsidRPr="00E56D9D">
      <w:headerReference w:type="even" r:id="rId27"/>
      <w:headerReference w:type="default" r:id="rId28"/>
      <w:footerReference w:type="even"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EFC2D" w14:textId="77777777" w:rsidR="00167B9D" w:rsidRDefault="00167B9D">
      <w:r>
        <w:separator/>
      </w:r>
    </w:p>
  </w:endnote>
  <w:endnote w:type="continuationSeparator" w:id="0">
    <w:p w14:paraId="6888BF21" w14:textId="77777777" w:rsidR="00167B9D" w:rsidRDefault="0016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91DE949-B0ED-4387-96FB-467282008BF4}"/>
  </w:font>
  <w:font w:name="Calibri">
    <w:panose1 w:val="020F0502020204030204"/>
    <w:charset w:val="00"/>
    <w:family w:val="swiss"/>
    <w:pitch w:val="variable"/>
    <w:sig w:usb0="E4002EFF" w:usb1="C200247B" w:usb2="00000009" w:usb3="00000000" w:csb0="000001FF" w:csb1="00000000"/>
    <w:embedRegular r:id="rId2" w:fontKey="{65531DC9-6296-40AD-85E7-EFAB61C75FC6}"/>
  </w:font>
  <w:font w:name="Times">
    <w:panose1 w:val="02020603050405020304"/>
    <w:charset w:val="00"/>
    <w:family w:val="roman"/>
    <w:pitch w:val="variable"/>
    <w:sig w:usb0="E0002EFF" w:usb1="C000785B" w:usb2="00000009" w:usb3="00000000" w:csb0="000001FF" w:csb1="00000000"/>
    <w:embedRegular r:id="rId3" w:fontKey="{57035C47-8AB3-4D41-A1B5-26171AE9A73F}"/>
    <w:embedItalic r:id="rId4" w:fontKey="{DB76D277-721D-4717-BEA9-D9D2DF0D3FAD}"/>
    <w:embedBoldItalic r:id="rId5" w:fontKey="{21D7DD8F-61D3-4861-BD6B-CCD331212103}"/>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BE62B39A-D261-4016-9B67-697572FC444D}"/>
    <w:embedItalic r:id="rId7" w:fontKey="{0DE5D97E-08DA-422D-86FA-A72E1BFEF8C9}"/>
  </w:font>
  <w:font w:name="Consolas">
    <w:panose1 w:val="020B0609020204030204"/>
    <w:charset w:val="00"/>
    <w:family w:val="modern"/>
    <w:pitch w:val="fixed"/>
    <w:sig w:usb0="E00006FF" w:usb1="0000FCFF" w:usb2="00000001" w:usb3="00000000" w:csb0="0000019F" w:csb1="00000000"/>
    <w:embedRegular r:id="rId8" w:fontKey="{3FFA3BBF-C721-48BE-A3CA-21A494379DBA}"/>
  </w:font>
  <w:font w:name="Quattrocento Sans">
    <w:charset w:val="00"/>
    <w:family w:val="swiss"/>
    <w:pitch w:val="variable"/>
    <w:sig w:usb0="800000BF" w:usb1="4000005B" w:usb2="00000000" w:usb3="00000000" w:csb0="00000001" w:csb1="00000000"/>
    <w:embedRegular r:id="rId9" w:fontKey="{86425E3D-D43E-467F-94EE-5BD0D00145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D872" w14:textId="77777777" w:rsidR="00020F8C"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DA1C36">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729F7915" w14:textId="77777777" w:rsidR="00020F8C" w:rsidRDefault="00020F8C">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EDD5" w14:textId="77777777" w:rsidR="00020F8C"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DA1C36">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41C3E1F7" w14:textId="77777777" w:rsidR="00020F8C" w:rsidRDefault="00020F8C">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8B5B0" w14:textId="77777777" w:rsidR="00167B9D" w:rsidRDefault="00167B9D">
      <w:r>
        <w:separator/>
      </w:r>
    </w:p>
  </w:footnote>
  <w:footnote w:type="continuationSeparator" w:id="0">
    <w:p w14:paraId="308705E4" w14:textId="77777777" w:rsidR="00167B9D" w:rsidRDefault="00167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5C56" w14:textId="77777777" w:rsidR="00020F8C"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roofErr w:type="spellStart"/>
    <w:r>
      <w:rPr>
        <w:rFonts w:ascii="Times" w:eastAsia="Times" w:hAnsi="Times" w:cs="Times"/>
        <w:smallCaps/>
        <w:color w:val="000000"/>
        <w:sz w:val="20"/>
        <w:szCs w:val="20"/>
      </w:rPr>
      <w:t>Manuscript</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submission</w:t>
    </w:r>
    <w:proofErr w:type="spellEnd"/>
    <w:r>
      <w:rPr>
        <w:rFonts w:ascii="Times" w:eastAsia="Times" w:hAnsi="Times" w:cs="Times"/>
        <w:smallCaps/>
        <w:color w:val="000000"/>
        <w:sz w:val="20"/>
        <w:szCs w:val="20"/>
      </w:rPr>
      <w:t xml:space="preserve"> </w:t>
    </w:r>
    <w:proofErr w:type="spellStart"/>
    <w:r>
      <w:rPr>
        <w:rFonts w:ascii="Times" w:eastAsia="Times" w:hAnsi="Times" w:cs="Times"/>
        <w:smallCaps/>
        <w:color w:val="000000"/>
        <w:sz w:val="20"/>
        <w:szCs w:val="20"/>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B1B7" w14:textId="77777777" w:rsidR="00020F8C"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11ABFCD6" wp14:editId="0E0F52DF">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53497A84" w14:textId="77777777" w:rsidR="00020F8C"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96331"/>
    <w:multiLevelType w:val="multilevel"/>
    <w:tmpl w:val="201893A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15:restartNumberingAfterBreak="0">
    <w:nsid w:val="3586268B"/>
    <w:multiLevelType w:val="multilevel"/>
    <w:tmpl w:val="BA4444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8359846">
    <w:abstractNumId w:val="1"/>
  </w:num>
  <w:num w:numId="2" w16cid:durableId="1082993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F8C"/>
    <w:rsid w:val="00020F8C"/>
    <w:rsid w:val="000C7817"/>
    <w:rsid w:val="00167B9D"/>
    <w:rsid w:val="001C0DDD"/>
    <w:rsid w:val="00DA1C36"/>
    <w:rsid w:val="00E56D9D"/>
    <w:rsid w:val="00EC73F7"/>
    <w:rsid w:val="00FE0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ED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qFormat/>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0">
    <w:name w:val="Table Normal"/>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uentedeprrafopredeter"/>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 w:type="paragraph" w:customStyle="1" w:styleId="keywords">
    <w:name w:val="keywords"/>
    <w:basedOn w:val="Normal"/>
    <w:next w:val="Normal"/>
    <w:qFormat/>
    <w:rsid w:val="00DA1C36"/>
    <w:pPr>
      <w:overflowPunct w:val="0"/>
      <w:autoSpaceDE w:val="0"/>
      <w:autoSpaceDN w:val="0"/>
      <w:adjustRightInd w:val="0"/>
      <w:spacing w:before="220" w:after="360" w:line="220" w:lineRule="atLeast"/>
      <w:ind w:left="567" w:right="567"/>
      <w:textAlignment w:val="baseline"/>
    </w:pPr>
    <w:rPr>
      <w:sz w:val="18"/>
      <w:szCs w:val="20"/>
      <w:lang w:val="en-US" w:eastAsia="en-US"/>
    </w:rPr>
  </w:style>
  <w:style w:type="paragraph" w:styleId="HTMLconformatoprevio">
    <w:name w:val="HTML Preformatted"/>
    <w:basedOn w:val="Normal"/>
    <w:link w:val="HTMLconformatoprevioCar"/>
    <w:uiPriority w:val="99"/>
    <w:semiHidden/>
    <w:unhideWhenUsed/>
    <w:rsid w:val="00DA1C36"/>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DA1C36"/>
    <w:rPr>
      <w:rFonts w:ascii="Consolas" w:hAnsi="Consolas"/>
      <w:sz w:val="20"/>
      <w:szCs w:val="20"/>
      <w:lang w:val="es-AR" w:eastAsia="es-ES_tradnl"/>
    </w:rPr>
  </w:style>
  <w:style w:type="paragraph" w:styleId="Prrafodelista">
    <w:name w:val="List Paragraph"/>
    <w:basedOn w:val="Normal"/>
    <w:uiPriority w:val="34"/>
    <w:qFormat/>
    <w:rsid w:val="001C0DDD"/>
    <w:pPr>
      <w:spacing w:line="480" w:lineRule="auto"/>
      <w:ind w:left="720" w:firstLine="709"/>
      <w:contextualSpacing/>
      <w:jc w:val="both"/>
    </w:pPr>
    <w:rPr>
      <w:rFonts w:eastAsiaTheme="minorHAnsi" w:cstheme="minorBidi"/>
      <w:kern w:val="2"/>
      <w:lang w:val="es-MX"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cienceopen.com/book?vid=c20c4174-d8dc-428d-b352-280b05eacdf7" TargetMode="External"/><Relationship Id="rId18" Type="http://schemas.openxmlformats.org/officeDocument/2006/relationships/hyperlink" Target="https://www.zaragoza.unam.mx/wpcontent/2022/Publicaciones/revistas/Rev_Elec_Psico/Vol_14_No_28/REP14(28)-art6.pdf" TargetMode="External"/><Relationship Id="rId26" Type="http://schemas.openxmlformats.org/officeDocument/2006/relationships/hyperlink" Target="https://doi.org/10.5603/KP.a2016.0193" TargetMode="External"/><Relationship Id="rId3" Type="http://schemas.openxmlformats.org/officeDocument/2006/relationships/styles" Target="styles.xml"/><Relationship Id="rId21" Type="http://schemas.openxmlformats.org/officeDocument/2006/relationships/hyperlink" Target="https://doi.org/10.1016/j.psychres.2018.03.025" TargetMode="External"/><Relationship Id="rId7" Type="http://schemas.openxmlformats.org/officeDocument/2006/relationships/endnotes" Target="endnotes.xml"/><Relationship Id="rId12" Type="http://schemas.openxmlformats.org/officeDocument/2006/relationships/hyperlink" Target="https://doi.org/10.2147/PRBM.S117224" TargetMode="External"/><Relationship Id="rId17" Type="http://schemas.openxmlformats.org/officeDocument/2006/relationships/hyperlink" Target="https://scielo.isciii.es/scielo.php?script=sciabtract&amp;pid=S113557272019000100086&amp;Ing-es&amp;nrm-iso&amp;tlng-es" TargetMode="External"/><Relationship Id="rId25" Type="http://schemas.openxmlformats.org/officeDocument/2006/relationships/hyperlink" Target="https://www.texasheart.org/heart-health/heart-information-riesgo-cardiovascular/" TargetMode="External"/><Relationship Id="rId2" Type="http://schemas.openxmlformats.org/officeDocument/2006/relationships/numbering" Target="numbering.xml"/><Relationship Id="rId16" Type="http://schemas.openxmlformats.org/officeDocument/2006/relationships/hyperlink" Target="https://doi.org/10.1093/eurjcn/zvae036" TargetMode="External"/><Relationship Id="rId20" Type="http://schemas.openxmlformats.org/officeDocument/2006/relationships/hyperlink" Target="https://doi.org/10.1002/da.230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rccar.2017.07.011" TargetMode="External"/><Relationship Id="rId24" Type="http://schemas.openxmlformats.org/officeDocument/2006/relationships/hyperlink" Target="https://www.gob.mx/salud/prensa/490-cada-ano-220-mil-personas-fallecen-debido-a-enfermedades-del-coraz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bvsalud.org/biblioref/2019/03/981555/adherencia-al-tratamiento.pdf" TargetMode="External"/><Relationship Id="rId23" Type="http://schemas.openxmlformats.org/officeDocument/2006/relationships/hyperlink" Target="https://doi.org/10.1007/s40292-023-00584-3" TargetMode="External"/><Relationship Id="rId28" Type="http://schemas.openxmlformats.org/officeDocument/2006/relationships/header" Target="header2.xml"/><Relationship Id="rId10" Type="http://schemas.openxmlformats.org/officeDocument/2006/relationships/hyperlink" Target="https://doi.org/10.1080/08870446.2011.613995" TargetMode="External"/><Relationship Id="rId19" Type="http://schemas.openxmlformats.org/officeDocument/2006/relationships/hyperlink" Target="https://revistasvip.up.ac.pa/index.php/revista%20cientifica%20centros/article/view/39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22201/fesi.20071523e.2019.1.451" TargetMode="External"/><Relationship Id="rId14" Type="http://schemas.openxmlformats.org/officeDocument/2006/relationships/hyperlink" Target="https://doi.org/10.37811/cl_rcm.v8i1.9840" TargetMode="External"/><Relationship Id="rId22" Type="http://schemas.openxmlformats.org/officeDocument/2006/relationships/hyperlink" Target="https://doi.org/10.1155/2023/9619388"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4179</Words>
  <Characters>23823</Characters>
  <Application>Microsoft Office Word</Application>
  <DocSecurity>0</DocSecurity>
  <Lines>198</Lines>
  <Paragraphs>55</Paragraphs>
  <ScaleCrop>false</ScaleCrop>
  <Company/>
  <LinksUpToDate>false</LinksUpToDate>
  <CharactersWithSpaces>27947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2025-08-22T02:50:00Z</dcterms:created>
  <dcterms:modified xsi:type="dcterms:W3CDTF">2025-08-22T03:06:00Z</dcterms:modified>
</cp:coreProperties>
</file>