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3C3B2" w14:textId="77777777" w:rsidR="00991877" w:rsidRDefault="00000000">
      <w:pPr>
        <w:jc w:val="center"/>
        <w:rPr>
          <w:b/>
          <w:sz w:val="36"/>
          <w:szCs w:val="36"/>
        </w:rPr>
      </w:pPr>
      <w:r>
        <w:rPr>
          <w:b/>
          <w:sz w:val="36"/>
          <w:szCs w:val="36"/>
        </w:rPr>
        <w:t>Emotional meanings attributed to the experiences of psychologists in care of patients in suicidal crisis</w:t>
      </w:r>
    </w:p>
    <w:p w14:paraId="4BD7703C" w14:textId="77777777" w:rsidR="00991877" w:rsidRDefault="00991877">
      <w:pPr>
        <w:rPr>
          <w:i/>
          <w:sz w:val="28"/>
          <w:szCs w:val="28"/>
        </w:rPr>
      </w:pPr>
    </w:p>
    <w:p w14:paraId="22F98F35" w14:textId="77777777" w:rsidR="00991877" w:rsidRDefault="00000000">
      <w:pPr>
        <w:rPr>
          <w:rFonts w:ascii="Times" w:eastAsia="Times" w:hAnsi="Times" w:cs="Times"/>
          <w:i/>
          <w:sz w:val="28"/>
          <w:szCs w:val="28"/>
        </w:rPr>
      </w:pPr>
      <w:r>
        <w:rPr>
          <w:noProof/>
        </w:rPr>
        <mc:AlternateContent>
          <mc:Choice Requires="wpg">
            <w:drawing>
              <wp:anchor distT="4294967295" distB="4294967295" distL="114300" distR="114300" simplePos="0" relativeHeight="251658240" behindDoc="0" locked="0" layoutInCell="1" hidden="0" allowOverlap="1" wp14:anchorId="2B2B5702" wp14:editId="38B5B20E">
                <wp:simplePos x="0" y="0"/>
                <wp:positionH relativeFrom="column">
                  <wp:posOffset>-25397</wp:posOffset>
                </wp:positionH>
                <wp:positionV relativeFrom="paragraph">
                  <wp:posOffset>30498</wp:posOffset>
                </wp:positionV>
                <wp:extent cx="6223000" cy="76200"/>
                <wp:effectExtent l="0" t="0" r="0" b="0"/>
                <wp:wrapNone/>
                <wp:docPr id="778373607" name="Conector de Seta Reta 778373607"/>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-25397</wp:posOffset>
                </wp:positionH>
                <wp:positionV relativeFrom="paragraph">
                  <wp:posOffset>30498</wp:posOffset>
                </wp:positionV>
                <wp:extent cx="6223000" cy="76200"/>
                <wp:effectExtent b="0" l="0" r="0" t="0"/>
                <wp:wrapNone/>
                <wp:docPr id="778373607"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223000" cy="76200"/>
                        </a:xfrm>
                        <a:prstGeom prst="rect"/>
                        <a:ln/>
                      </pic:spPr>
                    </pic:pic>
                  </a:graphicData>
                </a:graphic>
              </wp:anchor>
            </w:drawing>
          </mc:Fallback>
        </mc:AlternateContent>
      </w:r>
    </w:p>
    <w:p w14:paraId="5AF79CD3" w14:textId="77777777" w:rsidR="00991877" w:rsidRDefault="00991877">
      <w:pPr>
        <w:rPr>
          <w:b/>
          <w:sz w:val="20"/>
          <w:szCs w:val="20"/>
        </w:rPr>
      </w:pPr>
    </w:p>
    <w:p w14:paraId="684829CF" w14:textId="77777777" w:rsidR="00991877" w:rsidRDefault="00000000">
      <w:pPr>
        <w:pBdr>
          <w:top w:val="nil"/>
          <w:left w:val="nil"/>
          <w:bottom w:val="nil"/>
          <w:right w:val="nil"/>
          <w:between w:val="nil"/>
        </w:pBdr>
        <w:spacing w:after="120"/>
        <w:jc w:val="center"/>
        <w:rPr>
          <w:b/>
          <w:smallCaps/>
          <w:color w:val="000000"/>
          <w:sz w:val="20"/>
          <w:szCs w:val="20"/>
        </w:rPr>
      </w:pPr>
      <w:r>
        <w:rPr>
          <w:b/>
          <w:smallCaps/>
          <w:color w:val="000000"/>
          <w:sz w:val="20"/>
          <w:szCs w:val="20"/>
        </w:rPr>
        <w:t>Abstract</w:t>
      </w:r>
    </w:p>
    <w:p w14:paraId="3378DE44" w14:textId="77777777" w:rsidR="00991877" w:rsidRDefault="00000000">
      <w:pPr>
        <w:jc w:val="both"/>
        <w:rPr>
          <w:sz w:val="20"/>
          <w:szCs w:val="20"/>
        </w:rPr>
      </w:pPr>
      <w:r>
        <w:rPr>
          <w:sz w:val="20"/>
          <w:szCs w:val="20"/>
        </w:rPr>
        <w:t>We sought to understand the emotional meanings attributed to the experiences of psychologists in the care of patients in suicidal crisis. Clinical-qualitative study with 06 clinical psychologists. Individual interviews were conducted and submitted to clinical and qualitative content analysis. The research originated in three categories: “</w:t>
      </w:r>
      <w:r>
        <w:rPr>
          <w:i/>
          <w:sz w:val="20"/>
          <w:szCs w:val="20"/>
        </w:rPr>
        <w:t>Ambivalent emotions as challenges for clinical management</w:t>
      </w:r>
      <w:r>
        <w:rPr>
          <w:sz w:val="20"/>
          <w:szCs w:val="20"/>
        </w:rPr>
        <w:t>”, “</w:t>
      </w:r>
      <w:r>
        <w:rPr>
          <w:i/>
          <w:sz w:val="20"/>
          <w:szCs w:val="20"/>
        </w:rPr>
        <w:t>The non-paralyzing experience of emotions</w:t>
      </w:r>
      <w:r>
        <w:rPr>
          <w:sz w:val="20"/>
          <w:szCs w:val="20"/>
        </w:rPr>
        <w:t>” and “</w:t>
      </w:r>
      <w:r>
        <w:rPr>
          <w:i/>
          <w:sz w:val="20"/>
          <w:szCs w:val="20"/>
        </w:rPr>
        <w:t>Management that is learned in practice</w:t>
      </w:r>
      <w:r>
        <w:rPr>
          <w:sz w:val="20"/>
          <w:szCs w:val="20"/>
        </w:rPr>
        <w:t>”. The psychologist's emotional experiences can manifest themselves in an ambivalent way. This proved to be one of the challenges in clinical management with these patients, as the participants revealed directly about their experiences. The care of patients with suicidal crises is extremely difficult from the psychic point of view for the professional; it usually awakens ambivalent and difficult to manage feelings in the psychologist, in addition to causing them intense suffering. Psychotherapy, possibilities of sharing with colleagues, and clinical-institutional supervision are strategies of support and reflection that can provide opportunities for the recognition of affections and their impact on work, as well as mutual support and the sharing of different ways of dealing with the difficulty.</w:t>
      </w:r>
    </w:p>
    <w:p w14:paraId="3EF3980A" w14:textId="77777777" w:rsidR="00991877" w:rsidRDefault="00991877">
      <w:pPr>
        <w:rPr>
          <w:sz w:val="20"/>
          <w:szCs w:val="20"/>
        </w:rPr>
      </w:pPr>
    </w:p>
    <w:p w14:paraId="221CA076" w14:textId="77777777" w:rsidR="00991877" w:rsidRDefault="00000000">
      <w:pPr>
        <w:rPr>
          <w:b/>
          <w:sz w:val="20"/>
          <w:szCs w:val="20"/>
        </w:rPr>
      </w:pPr>
      <w:r>
        <w:rPr>
          <w:b/>
          <w:sz w:val="20"/>
          <w:szCs w:val="20"/>
        </w:rPr>
        <w:t>Keywords</w:t>
      </w:r>
    </w:p>
    <w:p w14:paraId="3F4486C4" w14:textId="77777777" w:rsidR="00991877" w:rsidRDefault="00000000">
      <w:pPr>
        <w:jc w:val="both"/>
        <w:rPr>
          <w:sz w:val="20"/>
          <w:szCs w:val="20"/>
        </w:rPr>
      </w:pPr>
      <w:r>
        <w:rPr>
          <w:sz w:val="20"/>
          <w:szCs w:val="20"/>
        </w:rPr>
        <w:t>Emotions; Suicidal Patients; Qualitative Research.</w:t>
      </w:r>
    </w:p>
    <w:p w14:paraId="42F2D403" w14:textId="77777777" w:rsidR="00991877" w:rsidRDefault="00991877">
      <w:pPr>
        <w:jc w:val="both"/>
        <w:rPr>
          <w:sz w:val="20"/>
          <w:szCs w:val="20"/>
        </w:rPr>
      </w:pPr>
    </w:p>
    <w:p w14:paraId="78BC4383" w14:textId="77777777" w:rsidR="00991877" w:rsidRDefault="00000000">
      <w:pPr>
        <w:pBdr>
          <w:top w:val="nil"/>
          <w:left w:val="nil"/>
          <w:bottom w:val="nil"/>
          <w:right w:val="nil"/>
          <w:between w:val="nil"/>
        </w:pBdr>
        <w:spacing w:after="120"/>
        <w:jc w:val="center"/>
        <w:rPr>
          <w:b/>
          <w:smallCaps/>
          <w:color w:val="000000"/>
          <w:sz w:val="20"/>
          <w:szCs w:val="20"/>
        </w:rPr>
      </w:pPr>
      <w:r>
        <w:rPr>
          <w:b/>
          <w:smallCaps/>
          <w:color w:val="000000"/>
          <w:sz w:val="20"/>
          <w:szCs w:val="20"/>
        </w:rPr>
        <w:t>Resumo</w:t>
      </w:r>
    </w:p>
    <w:p w14:paraId="69770348" w14:textId="77777777" w:rsidR="00991877" w:rsidRDefault="00000000">
      <w:pPr>
        <w:jc w:val="both"/>
        <w:rPr>
          <w:sz w:val="20"/>
          <w:szCs w:val="20"/>
        </w:rPr>
      </w:pPr>
      <w:r>
        <w:rPr>
          <w:sz w:val="20"/>
          <w:szCs w:val="20"/>
        </w:rPr>
        <w:t>Buscou-se compreender os significados emocionais atribuídos às vivências de psicólogos na assistência a pacientes em crise suicida. Estudo clínico-qualitativo com 06 psicólogos clínicos. Foram realizadas entrevistas individuais, submetidas à análise clínico-qualitativa de conteúdo. Resultados: a pesquisa originou três categorias: “</w:t>
      </w:r>
      <w:r>
        <w:rPr>
          <w:i/>
          <w:sz w:val="20"/>
          <w:szCs w:val="20"/>
        </w:rPr>
        <w:t>Emoções ambivalentes como desafios para o manejo clínico</w:t>
      </w:r>
      <w:r>
        <w:rPr>
          <w:sz w:val="20"/>
          <w:szCs w:val="20"/>
        </w:rPr>
        <w:t>”, “</w:t>
      </w:r>
      <w:r>
        <w:rPr>
          <w:i/>
          <w:sz w:val="20"/>
          <w:szCs w:val="20"/>
        </w:rPr>
        <w:t>A vivência não paralisadora das emoções</w:t>
      </w:r>
      <w:r>
        <w:rPr>
          <w:sz w:val="20"/>
          <w:szCs w:val="20"/>
        </w:rPr>
        <w:t>” e “</w:t>
      </w:r>
      <w:r>
        <w:rPr>
          <w:i/>
          <w:sz w:val="20"/>
          <w:szCs w:val="20"/>
        </w:rPr>
        <w:t>O manejo que se aprende na prática</w:t>
      </w:r>
      <w:r>
        <w:rPr>
          <w:sz w:val="20"/>
          <w:szCs w:val="20"/>
        </w:rPr>
        <w:t>”. As vivências emocionais do psicólogo podem se manifestar de forma ambivalente. Isso se mostrou como um dos desafios no manejo clínico com esses pacientes, conforme os participantes revelaram diretamente sobre as suas experiências. O atendimento a paciente com crise suicida é extremamente trabalhoso do ponto de vista psíquico para o profissional; comumente desperta no psicólogo sentimentos ambivalentes e de difícil manejo, além de provocar-lhes intenso sofrimento. Psicoterapia, possibilidades de compartilhamento com colegas e supervisão clínico-institucional são estratégias de apoio e reflexão que podem oportunizar o reconhecimento dos afetos e seu impacto no trabalho, bem como o apoio mútuo e o compartilhamento de diferentes modos de lidar com a dificuldade.</w:t>
      </w:r>
    </w:p>
    <w:p w14:paraId="15C5C364" w14:textId="77777777" w:rsidR="00991877" w:rsidRDefault="00991877">
      <w:pPr>
        <w:jc w:val="both"/>
        <w:rPr>
          <w:sz w:val="20"/>
          <w:szCs w:val="20"/>
        </w:rPr>
      </w:pPr>
    </w:p>
    <w:p w14:paraId="5EE58BD3" w14:textId="77777777" w:rsidR="00991877" w:rsidRDefault="00000000">
      <w:pPr>
        <w:jc w:val="both"/>
        <w:rPr>
          <w:b/>
          <w:sz w:val="20"/>
          <w:szCs w:val="20"/>
        </w:rPr>
      </w:pPr>
      <w:r>
        <w:rPr>
          <w:b/>
          <w:sz w:val="20"/>
          <w:szCs w:val="20"/>
        </w:rPr>
        <w:t>Palavras-chave</w:t>
      </w:r>
    </w:p>
    <w:p w14:paraId="2731F5D8" w14:textId="77777777" w:rsidR="00991877" w:rsidRDefault="00000000">
      <w:pPr>
        <w:jc w:val="both"/>
        <w:rPr>
          <w:sz w:val="20"/>
          <w:szCs w:val="20"/>
        </w:rPr>
      </w:pPr>
      <w:r>
        <w:rPr>
          <w:sz w:val="20"/>
          <w:szCs w:val="20"/>
        </w:rPr>
        <w:t>Emoções. Pacientes Suicidas. Pesquisa Qualitativa.</w:t>
      </w:r>
      <w:r>
        <w:rPr>
          <w:noProof/>
        </w:rPr>
        <w:drawing>
          <wp:anchor distT="0" distB="0" distL="114300" distR="114300" simplePos="0" relativeHeight="251659264" behindDoc="0" locked="0" layoutInCell="1" hidden="0" allowOverlap="1" wp14:anchorId="2D7CA41F" wp14:editId="21B0F55B">
            <wp:simplePos x="0" y="0"/>
            <wp:positionH relativeFrom="column">
              <wp:posOffset>5400675</wp:posOffset>
            </wp:positionH>
            <wp:positionV relativeFrom="paragraph">
              <wp:posOffset>0</wp:posOffset>
            </wp:positionV>
            <wp:extent cx="396000" cy="259200"/>
            <wp:effectExtent l="0" t="0" r="0" b="0"/>
            <wp:wrapNone/>
            <wp:docPr id="7783736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6000" cy="259200"/>
                    </a:xfrm>
                    <a:prstGeom prst="rect">
                      <a:avLst/>
                    </a:prstGeom>
                    <a:ln/>
                  </pic:spPr>
                </pic:pic>
              </a:graphicData>
            </a:graphic>
          </wp:anchor>
        </w:drawing>
      </w:r>
    </w:p>
    <w:p w14:paraId="42B1314A" w14:textId="77777777" w:rsidR="00991877" w:rsidRDefault="00991877">
      <w:pPr>
        <w:rPr>
          <w:b/>
        </w:rPr>
      </w:pPr>
    </w:p>
    <w:p w14:paraId="22BCCB36" w14:textId="77777777" w:rsidR="00991877" w:rsidRDefault="00991877">
      <w:pPr>
        <w:pBdr>
          <w:top w:val="nil"/>
          <w:left w:val="nil"/>
          <w:bottom w:val="nil"/>
          <w:right w:val="nil"/>
          <w:between w:val="nil"/>
        </w:pBdr>
        <w:jc w:val="center"/>
        <w:rPr>
          <w:color w:val="000000"/>
        </w:rPr>
      </w:pPr>
    </w:p>
    <w:p w14:paraId="3FCC9C9A" w14:textId="77777777" w:rsidR="00991877" w:rsidRDefault="00991877">
      <w:pPr>
        <w:pBdr>
          <w:top w:val="nil"/>
          <w:left w:val="nil"/>
          <w:bottom w:val="nil"/>
          <w:right w:val="nil"/>
          <w:between w:val="nil"/>
        </w:pBdr>
        <w:jc w:val="center"/>
        <w:rPr>
          <w:color w:val="000000"/>
        </w:rPr>
      </w:pPr>
    </w:p>
    <w:p w14:paraId="27A08C73" w14:textId="77777777" w:rsidR="00991877" w:rsidRDefault="00991877">
      <w:pPr>
        <w:pBdr>
          <w:top w:val="nil"/>
          <w:left w:val="nil"/>
          <w:bottom w:val="nil"/>
          <w:right w:val="nil"/>
          <w:between w:val="nil"/>
        </w:pBdr>
        <w:jc w:val="center"/>
        <w:rPr>
          <w:color w:val="000000"/>
        </w:rPr>
      </w:pPr>
    </w:p>
    <w:p w14:paraId="5538DCB6" w14:textId="77777777" w:rsidR="00991877" w:rsidRDefault="00991877">
      <w:pPr>
        <w:pBdr>
          <w:top w:val="nil"/>
          <w:left w:val="nil"/>
          <w:bottom w:val="nil"/>
          <w:right w:val="nil"/>
          <w:between w:val="nil"/>
        </w:pBdr>
        <w:jc w:val="center"/>
        <w:rPr>
          <w:color w:val="000000"/>
        </w:rPr>
      </w:pPr>
    </w:p>
    <w:p w14:paraId="01781028" w14:textId="77777777" w:rsidR="00991877" w:rsidRDefault="00991877">
      <w:pPr>
        <w:pBdr>
          <w:top w:val="nil"/>
          <w:left w:val="nil"/>
          <w:bottom w:val="nil"/>
          <w:right w:val="nil"/>
          <w:between w:val="nil"/>
        </w:pBdr>
        <w:jc w:val="center"/>
        <w:rPr>
          <w:color w:val="000000"/>
        </w:rPr>
      </w:pPr>
    </w:p>
    <w:p w14:paraId="7610806E" w14:textId="77777777" w:rsidR="00991877" w:rsidRDefault="00991877">
      <w:pPr>
        <w:pBdr>
          <w:top w:val="nil"/>
          <w:left w:val="nil"/>
          <w:bottom w:val="nil"/>
          <w:right w:val="nil"/>
          <w:between w:val="nil"/>
        </w:pBdr>
        <w:jc w:val="center"/>
        <w:rPr>
          <w:color w:val="000000"/>
        </w:rPr>
      </w:pPr>
    </w:p>
    <w:p w14:paraId="721BFB1D" w14:textId="77777777" w:rsidR="00991877" w:rsidRDefault="00991877">
      <w:pPr>
        <w:pBdr>
          <w:top w:val="nil"/>
          <w:left w:val="nil"/>
          <w:bottom w:val="nil"/>
          <w:right w:val="nil"/>
          <w:between w:val="nil"/>
        </w:pBdr>
        <w:jc w:val="center"/>
        <w:rPr>
          <w:color w:val="000000"/>
        </w:rPr>
      </w:pPr>
    </w:p>
    <w:p w14:paraId="367D7635" w14:textId="77777777" w:rsidR="00991877" w:rsidRDefault="00991877">
      <w:pPr>
        <w:pBdr>
          <w:top w:val="nil"/>
          <w:left w:val="nil"/>
          <w:bottom w:val="nil"/>
          <w:right w:val="nil"/>
          <w:between w:val="nil"/>
        </w:pBdr>
      </w:pPr>
    </w:p>
    <w:p w14:paraId="062C8DAC" w14:textId="77777777" w:rsidR="00991877" w:rsidRDefault="00991877">
      <w:pPr>
        <w:pBdr>
          <w:top w:val="nil"/>
          <w:left w:val="nil"/>
          <w:bottom w:val="nil"/>
          <w:right w:val="nil"/>
          <w:between w:val="nil"/>
        </w:pBdr>
      </w:pPr>
    </w:p>
    <w:p w14:paraId="7643BEB9" w14:textId="77777777" w:rsidR="00991877" w:rsidRDefault="00991877">
      <w:pPr>
        <w:pBdr>
          <w:top w:val="nil"/>
          <w:left w:val="nil"/>
          <w:bottom w:val="nil"/>
          <w:right w:val="nil"/>
          <w:between w:val="nil"/>
        </w:pBdr>
        <w:jc w:val="center"/>
      </w:pPr>
    </w:p>
    <w:p w14:paraId="1FF8A4BD" w14:textId="77777777" w:rsidR="00991877" w:rsidRDefault="00991877">
      <w:pPr>
        <w:pBdr>
          <w:top w:val="nil"/>
          <w:left w:val="nil"/>
          <w:bottom w:val="nil"/>
          <w:right w:val="nil"/>
          <w:between w:val="nil"/>
        </w:pBdr>
        <w:jc w:val="center"/>
        <w:rPr>
          <w:color w:val="000000"/>
        </w:rPr>
      </w:pPr>
    </w:p>
    <w:p w14:paraId="20D49EEF" w14:textId="77777777" w:rsidR="00991877" w:rsidRDefault="00000000">
      <w:pPr>
        <w:pBdr>
          <w:top w:val="nil"/>
          <w:left w:val="nil"/>
          <w:bottom w:val="nil"/>
          <w:right w:val="nil"/>
          <w:between w:val="nil"/>
        </w:pBdr>
        <w:spacing w:line="360" w:lineRule="auto"/>
        <w:jc w:val="center"/>
      </w:pPr>
      <w:r>
        <w:lastRenderedPageBreak/>
        <w:t>Emotional meanings attributed to the experiences of psychologists in care of patients in suicidal crisis</w:t>
      </w:r>
    </w:p>
    <w:p w14:paraId="17E1FA1D" w14:textId="77777777" w:rsidR="00991877" w:rsidRDefault="00991877">
      <w:pPr>
        <w:pBdr>
          <w:top w:val="nil"/>
          <w:left w:val="nil"/>
          <w:bottom w:val="nil"/>
          <w:right w:val="nil"/>
          <w:between w:val="nil"/>
        </w:pBdr>
        <w:spacing w:line="360" w:lineRule="auto"/>
        <w:jc w:val="center"/>
        <w:rPr>
          <w:color w:val="000000"/>
        </w:rPr>
      </w:pPr>
    </w:p>
    <w:p w14:paraId="5344E25B" w14:textId="77777777" w:rsidR="00991877" w:rsidRDefault="00000000">
      <w:pPr>
        <w:pBdr>
          <w:top w:val="nil"/>
          <w:left w:val="nil"/>
          <w:bottom w:val="nil"/>
          <w:right w:val="nil"/>
          <w:between w:val="nil"/>
        </w:pBdr>
        <w:spacing w:line="360" w:lineRule="auto"/>
        <w:jc w:val="center"/>
        <w:rPr>
          <w:b/>
          <w:color w:val="000000"/>
        </w:rPr>
      </w:pPr>
      <w:r>
        <w:rPr>
          <w:b/>
          <w:color w:val="000000"/>
        </w:rPr>
        <w:t>Introduction</w:t>
      </w:r>
    </w:p>
    <w:p w14:paraId="14ACA344" w14:textId="77777777" w:rsidR="00991877" w:rsidRDefault="00991877">
      <w:pPr>
        <w:pBdr>
          <w:top w:val="nil"/>
          <w:left w:val="nil"/>
          <w:bottom w:val="nil"/>
          <w:right w:val="nil"/>
          <w:between w:val="nil"/>
        </w:pBdr>
        <w:spacing w:line="360" w:lineRule="auto"/>
        <w:jc w:val="center"/>
        <w:rPr>
          <w:b/>
          <w:color w:val="000000"/>
        </w:rPr>
      </w:pPr>
    </w:p>
    <w:p w14:paraId="3E0011E3" w14:textId="77777777" w:rsidR="00991877" w:rsidRDefault="00000000">
      <w:pPr>
        <w:pBdr>
          <w:top w:val="nil"/>
          <w:left w:val="nil"/>
          <w:bottom w:val="nil"/>
          <w:right w:val="nil"/>
          <w:between w:val="nil"/>
        </w:pBdr>
        <w:spacing w:line="360" w:lineRule="auto"/>
        <w:ind w:firstLine="708"/>
        <w:jc w:val="both"/>
      </w:pPr>
      <w:r>
        <w:t xml:space="preserve">The care of patients in suicidal crisis significantly impacts health professionals, particularly those working in the field of mental health, such as psychologists, who are often confronted with conditions whose symbolic burden evokes intense memories and emotions. These experiences may impose challenges in clinical management, especially if the professional is unable to acknowledge and process them, as this may hinder the possibility of integrating them constructively into professional practice. There are studies addressing the emotional experiences of patients in crisis (Botega, 2015; Fukumitsu, 2015), as well as guidelines for professionals regarding the identification and management of individuals at risk of suicide. </w:t>
      </w:r>
    </w:p>
    <w:p w14:paraId="23BB156C" w14:textId="77777777" w:rsidR="00991877" w:rsidRDefault="00000000">
      <w:pPr>
        <w:pBdr>
          <w:top w:val="nil"/>
          <w:left w:val="nil"/>
          <w:bottom w:val="nil"/>
          <w:right w:val="nil"/>
          <w:between w:val="nil"/>
        </w:pBdr>
        <w:spacing w:line="360" w:lineRule="auto"/>
        <w:ind w:firstLine="708"/>
        <w:jc w:val="both"/>
      </w:pPr>
      <w:r>
        <w:t xml:space="preserve">However, little is known about what health professionals themselves experience when providing care in such contexts, particularly within psychology, where actions related to suicide tend to be limited in scope and often detached from the phenomenon itself (Farias, 2018). Globally, it is estimated that 800,000 people die by suicide each year, representing a rate of 10.5 suicides per 100,000 inhabitants (WHO, 2018). In Brazil, the suicide rate has increased by 43%, reaching 6.7 per 100,000 inhabitants (Brasil, 2021). For every individual who dies by suicide, approximately twenty others attempt it, which constitutes a risk factor for subsequent suicide (Fukumitsu, 2015). </w:t>
      </w:r>
    </w:p>
    <w:p w14:paraId="5B318F8C" w14:textId="77777777" w:rsidR="00991877" w:rsidRDefault="00000000">
      <w:pPr>
        <w:pBdr>
          <w:top w:val="nil"/>
          <w:left w:val="nil"/>
          <w:bottom w:val="nil"/>
          <w:right w:val="nil"/>
          <w:between w:val="nil"/>
        </w:pBdr>
        <w:spacing w:line="360" w:lineRule="auto"/>
        <w:ind w:firstLine="708"/>
        <w:jc w:val="both"/>
      </w:pPr>
      <w:r>
        <w:t xml:space="preserve">In this regard, and considering suicide as a public health issue, the World Health Organization emphasizes that suicide prevention requires a combination of public health measures and effective individual clinical approaches, grounded in international guidelines and focused on the identification of risk factors, as well as the assessment and treatment of patients (WHO, 2018). Although such approaches are internationally recognized as part of a global suicide prevention strategy, the literature largely emphasizes the complexity and multidetermined nature of this phenomenon. While this perspective is undeniably important, its implications for clinical practice with patients in suicidal crisis remain limited, as these discussions do not provide sufficient clinical tools to equip health professionals for such demands (Fukumitsu, 2014). </w:t>
      </w:r>
    </w:p>
    <w:p w14:paraId="175CDA5C" w14:textId="77777777" w:rsidR="00991877" w:rsidRDefault="00000000">
      <w:pPr>
        <w:pBdr>
          <w:top w:val="nil"/>
          <w:left w:val="nil"/>
          <w:bottom w:val="nil"/>
          <w:right w:val="nil"/>
          <w:between w:val="nil"/>
        </w:pBdr>
        <w:spacing w:line="360" w:lineRule="auto"/>
        <w:ind w:firstLine="708"/>
        <w:jc w:val="both"/>
      </w:pPr>
      <w:r>
        <w:lastRenderedPageBreak/>
        <w:t>Understanding the emotions experienced by professionals during the care of patients in suicidal crisis may enhance the quality of their clinical approaches, as it enables them to manage affects that undermine the maintenance of empathy and the ability to engage in nonjudgmental, barrier-free listening. Such emotions, as will be discussed later, often involve ambivalence, marked by the coexistence of ethical commitment alongside feelings of anger and helplessness, for example. This dynamic may directly influence suicide prevention. Therefore, this study aims to understand the emotional meanings attributed by psychologists to their experiences in providing care to patients in suicidal crisis.</w:t>
      </w:r>
    </w:p>
    <w:p w14:paraId="6031AF7F" w14:textId="77777777" w:rsidR="00991877" w:rsidRDefault="00991877">
      <w:pPr>
        <w:pBdr>
          <w:top w:val="nil"/>
          <w:left w:val="nil"/>
          <w:bottom w:val="nil"/>
          <w:right w:val="nil"/>
          <w:between w:val="nil"/>
        </w:pBdr>
        <w:spacing w:line="360" w:lineRule="auto"/>
        <w:ind w:firstLine="708"/>
        <w:jc w:val="both"/>
        <w:rPr>
          <w:color w:val="000000"/>
        </w:rPr>
      </w:pPr>
    </w:p>
    <w:p w14:paraId="6D267E31" w14:textId="77777777" w:rsidR="00991877" w:rsidRDefault="00000000">
      <w:pPr>
        <w:pBdr>
          <w:top w:val="nil"/>
          <w:left w:val="nil"/>
          <w:bottom w:val="nil"/>
          <w:right w:val="nil"/>
          <w:between w:val="nil"/>
        </w:pBdr>
        <w:spacing w:line="360" w:lineRule="auto"/>
        <w:jc w:val="center"/>
        <w:rPr>
          <w:b/>
          <w:color w:val="000000"/>
        </w:rPr>
      </w:pPr>
      <w:r>
        <w:rPr>
          <w:b/>
          <w:color w:val="000000"/>
        </w:rPr>
        <w:t>Method</w:t>
      </w:r>
    </w:p>
    <w:p w14:paraId="78C3FC95" w14:textId="77777777" w:rsidR="00991877" w:rsidRDefault="00991877">
      <w:pPr>
        <w:pBdr>
          <w:top w:val="nil"/>
          <w:left w:val="nil"/>
          <w:bottom w:val="nil"/>
          <w:right w:val="nil"/>
          <w:between w:val="nil"/>
        </w:pBdr>
        <w:spacing w:line="360" w:lineRule="auto"/>
        <w:jc w:val="center"/>
        <w:rPr>
          <w:b/>
        </w:rPr>
      </w:pPr>
    </w:p>
    <w:p w14:paraId="11BDD7CB" w14:textId="77777777" w:rsidR="00991877" w:rsidRDefault="00000000">
      <w:pPr>
        <w:pBdr>
          <w:top w:val="nil"/>
          <w:left w:val="nil"/>
          <w:bottom w:val="nil"/>
          <w:right w:val="nil"/>
          <w:between w:val="nil"/>
        </w:pBdr>
        <w:spacing w:line="360" w:lineRule="auto"/>
        <w:ind w:firstLine="708"/>
        <w:jc w:val="both"/>
      </w:pPr>
      <w:r>
        <w:t>This is a clinical-qualitative study, a specificity of the qualitative method applied to clinical contexts. It enables the researcher to interpret the meanings that individuals attribute to their life experiences, while simultaneously, in a clinical sense, engaging with the suffering reported by participants. Furthermore, this method takes into account psychodynamic aspects that permeate both the researcher–participant relationship and the topic under discussion (Turato, 2013).</w:t>
      </w:r>
    </w:p>
    <w:p w14:paraId="3B0C3D5F" w14:textId="77777777" w:rsidR="00991877" w:rsidRDefault="00991877">
      <w:pPr>
        <w:pBdr>
          <w:top w:val="nil"/>
          <w:left w:val="nil"/>
          <w:bottom w:val="nil"/>
          <w:right w:val="nil"/>
          <w:between w:val="nil"/>
        </w:pBdr>
        <w:spacing w:line="360" w:lineRule="auto"/>
        <w:ind w:firstLine="708"/>
        <w:jc w:val="both"/>
      </w:pPr>
    </w:p>
    <w:p w14:paraId="5F9B28F2" w14:textId="77777777" w:rsidR="00991877" w:rsidRDefault="00000000">
      <w:pPr>
        <w:pBdr>
          <w:top w:val="nil"/>
          <w:left w:val="nil"/>
          <w:bottom w:val="nil"/>
          <w:right w:val="nil"/>
          <w:between w:val="nil"/>
        </w:pBdr>
        <w:spacing w:line="360" w:lineRule="auto"/>
        <w:jc w:val="both"/>
        <w:rPr>
          <w:b/>
          <w:i/>
          <w:color w:val="000000"/>
        </w:rPr>
      </w:pPr>
      <w:r>
        <w:rPr>
          <w:b/>
          <w:i/>
        </w:rPr>
        <w:t>Ethical Aspects</w:t>
      </w:r>
    </w:p>
    <w:p w14:paraId="5E7EB809" w14:textId="77777777" w:rsidR="00991877" w:rsidRDefault="00000000">
      <w:pPr>
        <w:pBdr>
          <w:top w:val="nil"/>
          <w:left w:val="nil"/>
          <w:bottom w:val="nil"/>
          <w:right w:val="nil"/>
          <w:between w:val="nil"/>
        </w:pBdr>
        <w:spacing w:line="360" w:lineRule="auto"/>
        <w:ind w:firstLine="708"/>
        <w:jc w:val="both"/>
      </w:pPr>
      <w:r>
        <w:t>This study was approved under CAAE number 08683118.2.0000.5418. Participants were informed about the research and its objectives, and they were aware that this study is part of the principal researcher’s master’s dissertation, whose interest in the subject is rooted in her professional experience with the theme, both in clinical settings and in public health services. All interviewees who agreed to participate signed the Informed Consent Form (ICF).</w:t>
      </w:r>
    </w:p>
    <w:p w14:paraId="3E670F3B" w14:textId="77777777" w:rsidR="00991877" w:rsidRDefault="00991877">
      <w:pPr>
        <w:pBdr>
          <w:top w:val="nil"/>
          <w:left w:val="nil"/>
          <w:bottom w:val="nil"/>
          <w:right w:val="nil"/>
          <w:between w:val="nil"/>
        </w:pBdr>
        <w:spacing w:line="360" w:lineRule="auto"/>
        <w:ind w:firstLine="708"/>
        <w:jc w:val="both"/>
        <w:rPr>
          <w:color w:val="000000"/>
        </w:rPr>
      </w:pPr>
    </w:p>
    <w:p w14:paraId="12C01BBC" w14:textId="77777777" w:rsidR="00991877" w:rsidRDefault="00000000">
      <w:pPr>
        <w:pBdr>
          <w:top w:val="nil"/>
          <w:left w:val="nil"/>
          <w:bottom w:val="nil"/>
          <w:right w:val="nil"/>
          <w:between w:val="nil"/>
        </w:pBdr>
        <w:spacing w:line="360" w:lineRule="auto"/>
        <w:jc w:val="both"/>
        <w:rPr>
          <w:color w:val="000000"/>
        </w:rPr>
      </w:pPr>
      <w:r>
        <w:rPr>
          <w:b/>
          <w:i/>
        </w:rPr>
        <w:t>Sample and Data Collection</w:t>
      </w:r>
    </w:p>
    <w:p w14:paraId="6EF4B1D8" w14:textId="77777777" w:rsidR="00991877" w:rsidRDefault="00000000">
      <w:pPr>
        <w:pBdr>
          <w:top w:val="nil"/>
          <w:left w:val="nil"/>
          <w:bottom w:val="nil"/>
          <w:right w:val="nil"/>
          <w:between w:val="nil"/>
        </w:pBdr>
        <w:spacing w:line="360" w:lineRule="auto"/>
        <w:ind w:firstLine="708"/>
        <w:jc w:val="both"/>
      </w:pPr>
      <w:r>
        <w:t xml:space="preserve">A convenience sample, defined by saturation (Fontanella et al., 2008), was discussed within a study group. The sample consisted of six clinical psychologists who had provided care to patients in suicidal crisis within the past 12 months in Teresina, Piauí, Brazil. These professionals were selected for their expertise on the subject and were contacted by telephone. None of the invited professionals declined participation. </w:t>
      </w:r>
    </w:p>
    <w:p w14:paraId="3C578E4D" w14:textId="77777777" w:rsidR="00991877" w:rsidRDefault="00000000">
      <w:pPr>
        <w:pBdr>
          <w:top w:val="nil"/>
          <w:left w:val="nil"/>
          <w:bottom w:val="nil"/>
          <w:right w:val="nil"/>
          <w:between w:val="nil"/>
        </w:pBdr>
        <w:spacing w:line="360" w:lineRule="auto"/>
        <w:ind w:firstLine="708"/>
        <w:jc w:val="both"/>
      </w:pPr>
      <w:r>
        <w:lastRenderedPageBreak/>
        <w:t>Data collection was carried out through in-depth individual interviews guided by a semi-structured script. Each participant was interviewed only once. The opening question was: “</w:t>
      </w:r>
      <w:r>
        <w:rPr>
          <w:i/>
        </w:rPr>
        <w:t>What is it like for you to care for a patient in suicidal crisis?</w:t>
      </w:r>
      <w:r>
        <w:t xml:space="preserve">” Additional questions were asked as needed to allow further exploration. Interviews, with an average duration of 38 minutes, were conducted in a private setting; they were recorded with participants’ permission and carried out in person by the principal researcher, a psychologist specialized in Thanatology, with clinical expertise and experience in conducting individual interviews. Subsequently, the interviews were fully transcribed. </w:t>
      </w:r>
    </w:p>
    <w:p w14:paraId="05FAE9EE" w14:textId="77777777" w:rsidR="00991877" w:rsidRDefault="00000000">
      <w:pPr>
        <w:pBdr>
          <w:top w:val="nil"/>
          <w:left w:val="nil"/>
          <w:bottom w:val="nil"/>
          <w:right w:val="nil"/>
          <w:between w:val="nil"/>
        </w:pBdr>
        <w:spacing w:line="360" w:lineRule="auto"/>
        <w:ind w:firstLine="708"/>
        <w:jc w:val="both"/>
      </w:pPr>
      <w:r>
        <w:t>After transcription, certain unclear details were clarified through follow-up contact between the interviewer and the respective interviewees. Field notes were taken by the researcher during the interviews and consisted of a systematic record of participants’ overall behavior throughout data collection, providing additional support for data analysis.</w:t>
      </w:r>
    </w:p>
    <w:p w14:paraId="05ED0DA8" w14:textId="77777777" w:rsidR="00991877" w:rsidRDefault="00991877">
      <w:pPr>
        <w:pBdr>
          <w:top w:val="nil"/>
          <w:left w:val="nil"/>
          <w:bottom w:val="nil"/>
          <w:right w:val="nil"/>
          <w:between w:val="nil"/>
        </w:pBdr>
        <w:spacing w:line="360" w:lineRule="auto"/>
        <w:ind w:firstLine="708"/>
        <w:jc w:val="both"/>
        <w:rPr>
          <w:color w:val="000000"/>
        </w:rPr>
      </w:pPr>
    </w:p>
    <w:p w14:paraId="7231905D" w14:textId="77777777" w:rsidR="00991877" w:rsidRDefault="00000000">
      <w:pPr>
        <w:pBdr>
          <w:top w:val="nil"/>
          <w:left w:val="nil"/>
          <w:bottom w:val="nil"/>
          <w:right w:val="nil"/>
          <w:between w:val="nil"/>
        </w:pBdr>
        <w:spacing w:line="360" w:lineRule="auto"/>
        <w:jc w:val="both"/>
        <w:rPr>
          <w:b/>
          <w:i/>
          <w:color w:val="000000"/>
        </w:rPr>
      </w:pPr>
      <w:r>
        <w:rPr>
          <w:b/>
          <w:i/>
        </w:rPr>
        <w:t>Data Analysis</w:t>
      </w:r>
    </w:p>
    <w:p w14:paraId="727C31AC" w14:textId="77777777" w:rsidR="00991877" w:rsidRDefault="00000000">
      <w:pPr>
        <w:pBdr>
          <w:top w:val="nil"/>
          <w:left w:val="nil"/>
          <w:bottom w:val="nil"/>
          <w:right w:val="nil"/>
          <w:between w:val="nil"/>
        </w:pBdr>
        <w:spacing w:line="360" w:lineRule="auto"/>
        <w:ind w:firstLine="708"/>
        <w:jc w:val="both"/>
      </w:pPr>
      <w:r>
        <w:t xml:space="preserve">The transcribed interviews constituted the corpus of the study, which was subjected to clinical-qualitative content analysis (Faria-Schutze et al., 2019). This analysis was conducted in seven steps: (1) Editing of material for analysis; (2) Floating reading; (3) Construction of units of analysis; (4) Development of meaning codes; (5) General refinement of codes and construction of categories; (6) Discussion; (7) Validation. </w:t>
      </w:r>
    </w:p>
    <w:p w14:paraId="218A9749" w14:textId="77777777" w:rsidR="00991877" w:rsidRDefault="00000000">
      <w:pPr>
        <w:pBdr>
          <w:top w:val="nil"/>
          <w:left w:val="nil"/>
          <w:bottom w:val="nil"/>
          <w:right w:val="nil"/>
          <w:between w:val="nil"/>
        </w:pBdr>
        <w:spacing w:line="360" w:lineRule="auto"/>
        <w:ind w:firstLine="708"/>
        <w:jc w:val="both"/>
      </w:pPr>
      <w:r>
        <w:t xml:space="preserve">This approach to content analysis is characterized by three fundamental features: (1) an existentialist attitude, which values the anguish reported by participants; (2) a clinical attitude, which attends to the suffering expressed; and (3) a psychodynamic attitude, which considers the unconscious aspects present in both the interviewer–interviewee relationship and in the theme under discussion (Turato, 2013). </w:t>
      </w:r>
    </w:p>
    <w:p w14:paraId="5CDA927A" w14:textId="77777777" w:rsidR="00991877" w:rsidRDefault="00000000">
      <w:pPr>
        <w:pBdr>
          <w:top w:val="nil"/>
          <w:left w:val="nil"/>
          <w:bottom w:val="nil"/>
          <w:right w:val="nil"/>
          <w:between w:val="nil"/>
        </w:pBdr>
        <w:spacing w:line="360" w:lineRule="auto"/>
        <w:ind w:firstLine="708"/>
        <w:jc w:val="both"/>
      </w:pPr>
      <w:r>
        <w:t>The entire analysis was carried out by the researchers in study group meetings. Finally, the article was written following the COREQ checklist. As examples of theoretical frameworks employed, psychodynamic and Balintian perspectives were used (Balint, 2006). The psychodynamic perspective was applied to analyze excerpts containing metaphors and analogies, which often revealed truths that were otherwise unbearable to articulate. From the Balintian contribution, concepts related to the demands of human relationships, particularly those involving care, were incorporated.</w:t>
      </w:r>
    </w:p>
    <w:p w14:paraId="48322CAF" w14:textId="77777777" w:rsidR="00991877" w:rsidRDefault="00991877">
      <w:pPr>
        <w:pBdr>
          <w:top w:val="nil"/>
          <w:left w:val="nil"/>
          <w:bottom w:val="nil"/>
          <w:right w:val="nil"/>
          <w:between w:val="nil"/>
        </w:pBdr>
        <w:spacing w:line="360" w:lineRule="auto"/>
        <w:ind w:firstLine="708"/>
        <w:jc w:val="both"/>
      </w:pPr>
    </w:p>
    <w:p w14:paraId="47E911A9" w14:textId="77777777" w:rsidR="00991877" w:rsidRDefault="00000000">
      <w:pPr>
        <w:pBdr>
          <w:top w:val="nil"/>
          <w:left w:val="nil"/>
          <w:bottom w:val="nil"/>
          <w:right w:val="nil"/>
          <w:between w:val="nil"/>
        </w:pBdr>
        <w:spacing w:line="360" w:lineRule="auto"/>
        <w:jc w:val="center"/>
        <w:rPr>
          <w:b/>
          <w:color w:val="000000"/>
        </w:rPr>
      </w:pPr>
      <w:r>
        <w:rPr>
          <w:b/>
          <w:color w:val="000000"/>
        </w:rPr>
        <w:t>Results</w:t>
      </w:r>
    </w:p>
    <w:p w14:paraId="5357634D" w14:textId="77777777" w:rsidR="00991877" w:rsidRDefault="00991877">
      <w:pPr>
        <w:pBdr>
          <w:top w:val="nil"/>
          <w:left w:val="nil"/>
          <w:bottom w:val="nil"/>
          <w:right w:val="nil"/>
          <w:between w:val="nil"/>
        </w:pBdr>
        <w:spacing w:line="360" w:lineRule="auto"/>
        <w:jc w:val="center"/>
        <w:rPr>
          <w:b/>
          <w:color w:val="000000"/>
        </w:rPr>
      </w:pPr>
    </w:p>
    <w:p w14:paraId="5A8951D2" w14:textId="77777777" w:rsidR="00991877" w:rsidRDefault="00000000">
      <w:pPr>
        <w:pBdr>
          <w:top w:val="nil"/>
          <w:left w:val="nil"/>
          <w:bottom w:val="nil"/>
          <w:right w:val="nil"/>
          <w:between w:val="nil"/>
        </w:pBdr>
        <w:spacing w:line="360" w:lineRule="auto"/>
        <w:ind w:firstLine="708"/>
        <w:jc w:val="both"/>
      </w:pPr>
      <w:r>
        <w:t>A total of six interviews were conducted. Table 1 presents the main characteristics of the participants, which contribute to the characterization of the sample. The qualitative analysis resulted in the development of three thematic categories, displayed in Table 2 along with the corresponding excerpts, which will be discussed in the following section.</w:t>
      </w:r>
    </w:p>
    <w:p w14:paraId="6114BEC0" w14:textId="77777777" w:rsidR="00991877" w:rsidRDefault="00991877">
      <w:pPr>
        <w:pBdr>
          <w:top w:val="nil"/>
          <w:left w:val="nil"/>
          <w:bottom w:val="nil"/>
          <w:right w:val="nil"/>
          <w:between w:val="nil"/>
        </w:pBdr>
        <w:spacing w:line="360" w:lineRule="auto"/>
        <w:jc w:val="both"/>
        <w:rPr>
          <w:color w:val="000000"/>
        </w:rPr>
      </w:pPr>
    </w:p>
    <w:p w14:paraId="73E6C74E" w14:textId="77777777" w:rsidR="00991877" w:rsidRDefault="00000000">
      <w:pPr>
        <w:pBdr>
          <w:top w:val="nil"/>
          <w:left w:val="nil"/>
          <w:bottom w:val="nil"/>
          <w:right w:val="nil"/>
          <w:between w:val="nil"/>
        </w:pBdr>
        <w:spacing w:line="360" w:lineRule="auto"/>
        <w:jc w:val="both"/>
        <w:rPr>
          <w:color w:val="000000"/>
          <w:sz w:val="22"/>
          <w:szCs w:val="22"/>
        </w:rPr>
      </w:pPr>
      <w:r>
        <w:rPr>
          <w:color w:val="000000"/>
          <w:sz w:val="22"/>
          <w:szCs w:val="22"/>
        </w:rPr>
        <w:t>Table 1</w:t>
      </w:r>
    </w:p>
    <w:p w14:paraId="7778E954" w14:textId="77777777" w:rsidR="00991877" w:rsidRDefault="00000000">
      <w:pPr>
        <w:pBdr>
          <w:top w:val="nil"/>
          <w:left w:val="nil"/>
          <w:bottom w:val="nil"/>
          <w:right w:val="nil"/>
          <w:between w:val="nil"/>
        </w:pBdr>
        <w:spacing w:line="360" w:lineRule="auto"/>
        <w:jc w:val="both"/>
        <w:rPr>
          <w:sz w:val="22"/>
          <w:szCs w:val="22"/>
        </w:rPr>
      </w:pPr>
      <w:r>
        <w:rPr>
          <w:color w:val="000000"/>
          <w:sz w:val="22"/>
          <w:szCs w:val="22"/>
        </w:rPr>
        <w:t>Main characteristics of the participating psychologists</w:t>
      </w:r>
    </w:p>
    <w:sdt>
      <w:sdtPr>
        <w:tag w:val="goog_rdk_0"/>
        <w:id w:val="-2116982307"/>
        <w:lock w:val="contentLocked"/>
      </w:sdtPr>
      <w:sdtContent>
        <w:tbl>
          <w:tblPr>
            <w:tblStyle w:val="a2"/>
            <w:tblW w:w="101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1"/>
            <w:gridCol w:w="765"/>
            <w:gridCol w:w="1125"/>
            <w:gridCol w:w="1875"/>
            <w:gridCol w:w="2378"/>
            <w:gridCol w:w="2706"/>
          </w:tblGrid>
          <w:tr w:rsidR="00991877" w14:paraId="6AA25BAF" w14:textId="77777777">
            <w:tc>
              <w:tcPr>
                <w:tcW w:w="132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49C2E3A" w14:textId="77777777" w:rsidR="00991877" w:rsidRDefault="00000000">
                <w:pPr>
                  <w:widowControl w:val="0"/>
                  <w:pBdr>
                    <w:top w:val="nil"/>
                    <w:left w:val="nil"/>
                    <w:bottom w:val="nil"/>
                    <w:right w:val="nil"/>
                    <w:between w:val="nil"/>
                  </w:pBdr>
                  <w:jc w:val="center"/>
                  <w:rPr>
                    <w:b/>
                    <w:sz w:val="20"/>
                    <w:szCs w:val="20"/>
                  </w:rPr>
                </w:pPr>
                <w:r>
                  <w:rPr>
                    <w:b/>
                    <w:sz w:val="20"/>
                    <w:szCs w:val="20"/>
                  </w:rPr>
                  <w:t>Participant (P)</w:t>
                </w:r>
              </w:p>
            </w:tc>
            <w:tc>
              <w:tcPr>
                <w:tcW w:w="7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6A66ADF" w14:textId="77777777" w:rsidR="00991877" w:rsidRDefault="00000000">
                <w:pPr>
                  <w:widowControl w:val="0"/>
                  <w:pBdr>
                    <w:top w:val="nil"/>
                    <w:left w:val="nil"/>
                    <w:bottom w:val="nil"/>
                    <w:right w:val="nil"/>
                    <w:between w:val="nil"/>
                  </w:pBdr>
                  <w:jc w:val="center"/>
                  <w:rPr>
                    <w:b/>
                    <w:sz w:val="20"/>
                    <w:szCs w:val="20"/>
                  </w:rPr>
                </w:pPr>
                <w:r>
                  <w:rPr>
                    <w:b/>
                    <w:sz w:val="20"/>
                    <w:szCs w:val="20"/>
                  </w:rPr>
                  <w:t>Age</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95EB3F8" w14:textId="77777777" w:rsidR="00991877" w:rsidRDefault="00000000">
                <w:pPr>
                  <w:widowControl w:val="0"/>
                  <w:pBdr>
                    <w:top w:val="nil"/>
                    <w:left w:val="nil"/>
                    <w:bottom w:val="nil"/>
                    <w:right w:val="nil"/>
                    <w:between w:val="nil"/>
                  </w:pBdr>
                  <w:jc w:val="center"/>
                  <w:rPr>
                    <w:b/>
                    <w:sz w:val="20"/>
                    <w:szCs w:val="20"/>
                  </w:rPr>
                </w:pPr>
                <w:r>
                  <w:rPr>
                    <w:b/>
                    <w:sz w:val="20"/>
                    <w:szCs w:val="20"/>
                  </w:rPr>
                  <w:t>Sex</w:t>
                </w:r>
              </w:p>
            </w:tc>
            <w:tc>
              <w:tcPr>
                <w:tcW w:w="187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12B0B76" w14:textId="77777777" w:rsidR="00991877" w:rsidRDefault="00000000">
                <w:pPr>
                  <w:widowControl w:val="0"/>
                  <w:pBdr>
                    <w:top w:val="nil"/>
                    <w:left w:val="nil"/>
                    <w:bottom w:val="nil"/>
                    <w:right w:val="nil"/>
                    <w:between w:val="nil"/>
                  </w:pBdr>
                  <w:jc w:val="center"/>
                  <w:rPr>
                    <w:b/>
                    <w:sz w:val="20"/>
                    <w:szCs w:val="20"/>
                  </w:rPr>
                </w:pPr>
                <w:r>
                  <w:rPr>
                    <w:b/>
                    <w:sz w:val="20"/>
                    <w:szCs w:val="20"/>
                  </w:rPr>
                  <w:t>Years since graduation</w:t>
                </w:r>
              </w:p>
            </w:tc>
            <w:tc>
              <w:tcPr>
                <w:tcW w:w="237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B636398" w14:textId="77777777" w:rsidR="00991877" w:rsidRDefault="00000000">
                <w:pPr>
                  <w:widowControl w:val="0"/>
                  <w:pBdr>
                    <w:top w:val="nil"/>
                    <w:left w:val="nil"/>
                    <w:bottom w:val="nil"/>
                    <w:right w:val="nil"/>
                    <w:between w:val="nil"/>
                  </w:pBdr>
                  <w:jc w:val="center"/>
                  <w:rPr>
                    <w:b/>
                    <w:sz w:val="20"/>
                    <w:szCs w:val="20"/>
                  </w:rPr>
                </w:pPr>
                <w:r>
                  <w:rPr>
                    <w:b/>
                    <w:sz w:val="20"/>
                    <w:szCs w:val="20"/>
                  </w:rPr>
                  <w:t>Years of experience in caring for this demand</w:t>
                </w:r>
              </w:p>
            </w:tc>
            <w:tc>
              <w:tcPr>
                <w:tcW w:w="2706"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EF07AC2" w14:textId="77777777" w:rsidR="00991877" w:rsidRDefault="00000000">
                <w:pPr>
                  <w:widowControl w:val="0"/>
                  <w:pBdr>
                    <w:top w:val="nil"/>
                    <w:left w:val="nil"/>
                    <w:bottom w:val="nil"/>
                    <w:right w:val="nil"/>
                    <w:between w:val="nil"/>
                  </w:pBdr>
                  <w:jc w:val="center"/>
                  <w:rPr>
                    <w:b/>
                    <w:sz w:val="20"/>
                    <w:szCs w:val="20"/>
                  </w:rPr>
                </w:pPr>
                <w:r>
                  <w:rPr>
                    <w:b/>
                    <w:sz w:val="20"/>
                    <w:szCs w:val="20"/>
                  </w:rPr>
                  <w:t>Type of clinical service</w:t>
                </w:r>
              </w:p>
            </w:tc>
          </w:tr>
          <w:tr w:rsidR="00991877" w14:paraId="370FD310" w14:textId="77777777">
            <w:tc>
              <w:tcPr>
                <w:tcW w:w="132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1A44879" w14:textId="77777777" w:rsidR="00991877" w:rsidRDefault="00000000">
                <w:pPr>
                  <w:widowControl w:val="0"/>
                  <w:pBdr>
                    <w:top w:val="nil"/>
                    <w:left w:val="nil"/>
                    <w:bottom w:val="nil"/>
                    <w:right w:val="nil"/>
                    <w:between w:val="nil"/>
                  </w:pBdr>
                  <w:jc w:val="center"/>
                  <w:rPr>
                    <w:sz w:val="20"/>
                    <w:szCs w:val="20"/>
                  </w:rPr>
                </w:pPr>
                <w:r>
                  <w:rPr>
                    <w:sz w:val="20"/>
                    <w:szCs w:val="20"/>
                  </w:rPr>
                  <w:t>P1</w:t>
                </w:r>
              </w:p>
            </w:tc>
            <w:tc>
              <w:tcPr>
                <w:tcW w:w="7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67D4C7B" w14:textId="77777777" w:rsidR="00991877" w:rsidRDefault="00000000">
                <w:pPr>
                  <w:widowControl w:val="0"/>
                  <w:pBdr>
                    <w:top w:val="nil"/>
                    <w:left w:val="nil"/>
                    <w:bottom w:val="nil"/>
                    <w:right w:val="nil"/>
                    <w:between w:val="nil"/>
                  </w:pBdr>
                  <w:jc w:val="center"/>
                  <w:rPr>
                    <w:sz w:val="20"/>
                    <w:szCs w:val="20"/>
                  </w:rPr>
                </w:pPr>
                <w:r>
                  <w:rPr>
                    <w:sz w:val="20"/>
                    <w:szCs w:val="20"/>
                  </w:rPr>
                  <w:t>39</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FEBF48E" w14:textId="77777777" w:rsidR="00991877" w:rsidRDefault="00000000">
                <w:pPr>
                  <w:widowControl w:val="0"/>
                  <w:pBdr>
                    <w:top w:val="nil"/>
                    <w:left w:val="nil"/>
                    <w:bottom w:val="nil"/>
                    <w:right w:val="nil"/>
                    <w:between w:val="nil"/>
                  </w:pBdr>
                  <w:jc w:val="center"/>
                  <w:rPr>
                    <w:sz w:val="20"/>
                    <w:szCs w:val="20"/>
                  </w:rPr>
                </w:pPr>
                <w:r>
                  <w:rPr>
                    <w:sz w:val="20"/>
                    <w:szCs w:val="20"/>
                  </w:rPr>
                  <w:t>Female</w:t>
                </w:r>
              </w:p>
            </w:tc>
            <w:tc>
              <w:tcPr>
                <w:tcW w:w="187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A11DEAD" w14:textId="77777777" w:rsidR="00991877" w:rsidRDefault="00000000">
                <w:pPr>
                  <w:widowControl w:val="0"/>
                  <w:pBdr>
                    <w:top w:val="nil"/>
                    <w:left w:val="nil"/>
                    <w:bottom w:val="nil"/>
                    <w:right w:val="nil"/>
                    <w:between w:val="nil"/>
                  </w:pBdr>
                  <w:jc w:val="center"/>
                  <w:rPr>
                    <w:sz w:val="20"/>
                    <w:szCs w:val="20"/>
                  </w:rPr>
                </w:pPr>
                <w:r>
                  <w:rPr>
                    <w:sz w:val="20"/>
                    <w:szCs w:val="20"/>
                  </w:rPr>
                  <w:t>16</w:t>
                </w:r>
              </w:p>
            </w:tc>
            <w:tc>
              <w:tcPr>
                <w:tcW w:w="237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A986CB1" w14:textId="77777777" w:rsidR="00991877" w:rsidRDefault="00000000">
                <w:pPr>
                  <w:widowControl w:val="0"/>
                  <w:pBdr>
                    <w:top w:val="nil"/>
                    <w:left w:val="nil"/>
                    <w:bottom w:val="nil"/>
                    <w:right w:val="nil"/>
                    <w:between w:val="nil"/>
                  </w:pBdr>
                  <w:jc w:val="center"/>
                  <w:rPr>
                    <w:sz w:val="20"/>
                    <w:szCs w:val="20"/>
                  </w:rPr>
                </w:pPr>
                <w:r>
                  <w:rPr>
                    <w:sz w:val="20"/>
                    <w:szCs w:val="20"/>
                  </w:rPr>
                  <w:t>15</w:t>
                </w:r>
              </w:p>
            </w:tc>
            <w:tc>
              <w:tcPr>
                <w:tcW w:w="2706"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48E6D9D" w14:textId="77777777" w:rsidR="00991877" w:rsidRDefault="00000000">
                <w:pPr>
                  <w:widowControl w:val="0"/>
                  <w:pBdr>
                    <w:top w:val="nil"/>
                    <w:left w:val="nil"/>
                    <w:bottom w:val="nil"/>
                    <w:right w:val="nil"/>
                    <w:between w:val="nil"/>
                  </w:pBdr>
                  <w:jc w:val="center"/>
                  <w:rPr>
                    <w:sz w:val="20"/>
                    <w:szCs w:val="20"/>
                  </w:rPr>
                </w:pPr>
                <w:r>
                  <w:rPr>
                    <w:sz w:val="20"/>
                    <w:szCs w:val="20"/>
                  </w:rPr>
                  <w:t>Private</w:t>
                </w:r>
              </w:p>
            </w:tc>
          </w:tr>
          <w:tr w:rsidR="00991877" w14:paraId="4144BDFC" w14:textId="77777777">
            <w:tc>
              <w:tcPr>
                <w:tcW w:w="132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520DB09" w14:textId="77777777" w:rsidR="00991877" w:rsidRDefault="00000000">
                <w:pPr>
                  <w:widowControl w:val="0"/>
                  <w:pBdr>
                    <w:top w:val="nil"/>
                    <w:left w:val="nil"/>
                    <w:bottom w:val="nil"/>
                    <w:right w:val="nil"/>
                    <w:between w:val="nil"/>
                  </w:pBdr>
                  <w:jc w:val="center"/>
                  <w:rPr>
                    <w:sz w:val="20"/>
                    <w:szCs w:val="20"/>
                  </w:rPr>
                </w:pPr>
                <w:r>
                  <w:rPr>
                    <w:sz w:val="20"/>
                    <w:szCs w:val="20"/>
                  </w:rPr>
                  <w:t>P2</w:t>
                </w:r>
              </w:p>
            </w:tc>
            <w:tc>
              <w:tcPr>
                <w:tcW w:w="7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87FDA64" w14:textId="77777777" w:rsidR="00991877" w:rsidRDefault="00000000">
                <w:pPr>
                  <w:widowControl w:val="0"/>
                  <w:pBdr>
                    <w:top w:val="nil"/>
                    <w:left w:val="nil"/>
                    <w:bottom w:val="nil"/>
                    <w:right w:val="nil"/>
                    <w:between w:val="nil"/>
                  </w:pBdr>
                  <w:jc w:val="center"/>
                  <w:rPr>
                    <w:sz w:val="20"/>
                    <w:szCs w:val="20"/>
                  </w:rPr>
                </w:pPr>
                <w:r>
                  <w:rPr>
                    <w:sz w:val="20"/>
                    <w:szCs w:val="20"/>
                  </w:rPr>
                  <w:t>31</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BE9D405" w14:textId="77777777" w:rsidR="00991877" w:rsidRDefault="00000000">
                <w:pPr>
                  <w:widowControl w:val="0"/>
                  <w:pBdr>
                    <w:top w:val="nil"/>
                    <w:left w:val="nil"/>
                    <w:bottom w:val="nil"/>
                    <w:right w:val="nil"/>
                    <w:between w:val="nil"/>
                  </w:pBdr>
                  <w:jc w:val="center"/>
                  <w:rPr>
                    <w:sz w:val="20"/>
                    <w:szCs w:val="20"/>
                  </w:rPr>
                </w:pPr>
                <w:r>
                  <w:rPr>
                    <w:sz w:val="20"/>
                    <w:szCs w:val="20"/>
                  </w:rPr>
                  <w:t>Male</w:t>
                </w:r>
              </w:p>
            </w:tc>
            <w:tc>
              <w:tcPr>
                <w:tcW w:w="187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477854E" w14:textId="77777777" w:rsidR="00991877" w:rsidRDefault="00000000">
                <w:pPr>
                  <w:widowControl w:val="0"/>
                  <w:pBdr>
                    <w:top w:val="nil"/>
                    <w:left w:val="nil"/>
                    <w:bottom w:val="nil"/>
                    <w:right w:val="nil"/>
                    <w:between w:val="nil"/>
                  </w:pBdr>
                  <w:jc w:val="center"/>
                  <w:rPr>
                    <w:sz w:val="20"/>
                    <w:szCs w:val="20"/>
                  </w:rPr>
                </w:pPr>
                <w:r>
                  <w:rPr>
                    <w:sz w:val="20"/>
                    <w:szCs w:val="20"/>
                  </w:rPr>
                  <w:t>9</w:t>
                </w:r>
              </w:p>
            </w:tc>
            <w:tc>
              <w:tcPr>
                <w:tcW w:w="237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841D1BC" w14:textId="77777777" w:rsidR="00991877" w:rsidRDefault="00000000">
                <w:pPr>
                  <w:widowControl w:val="0"/>
                  <w:pBdr>
                    <w:top w:val="nil"/>
                    <w:left w:val="nil"/>
                    <w:bottom w:val="nil"/>
                    <w:right w:val="nil"/>
                    <w:between w:val="nil"/>
                  </w:pBdr>
                  <w:jc w:val="center"/>
                  <w:rPr>
                    <w:sz w:val="20"/>
                    <w:szCs w:val="20"/>
                  </w:rPr>
                </w:pPr>
                <w:r>
                  <w:rPr>
                    <w:sz w:val="20"/>
                    <w:szCs w:val="20"/>
                  </w:rPr>
                  <w:t>5</w:t>
                </w:r>
              </w:p>
            </w:tc>
            <w:tc>
              <w:tcPr>
                <w:tcW w:w="2706"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017EF50" w14:textId="77777777" w:rsidR="00991877" w:rsidRDefault="00000000">
                <w:pPr>
                  <w:widowControl w:val="0"/>
                  <w:pBdr>
                    <w:top w:val="nil"/>
                    <w:left w:val="nil"/>
                    <w:bottom w:val="nil"/>
                    <w:right w:val="nil"/>
                    <w:between w:val="nil"/>
                  </w:pBdr>
                  <w:jc w:val="center"/>
                  <w:rPr>
                    <w:sz w:val="20"/>
                    <w:szCs w:val="20"/>
                  </w:rPr>
                </w:pPr>
                <w:r>
                  <w:rPr>
                    <w:sz w:val="20"/>
                    <w:szCs w:val="20"/>
                  </w:rPr>
                  <w:t>Public</w:t>
                </w:r>
              </w:p>
            </w:tc>
          </w:tr>
          <w:tr w:rsidR="00991877" w14:paraId="6BE96DBF" w14:textId="77777777">
            <w:tc>
              <w:tcPr>
                <w:tcW w:w="132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53931EF" w14:textId="77777777" w:rsidR="00991877" w:rsidRDefault="00000000">
                <w:pPr>
                  <w:widowControl w:val="0"/>
                  <w:pBdr>
                    <w:top w:val="nil"/>
                    <w:left w:val="nil"/>
                    <w:bottom w:val="nil"/>
                    <w:right w:val="nil"/>
                    <w:between w:val="nil"/>
                  </w:pBdr>
                  <w:jc w:val="center"/>
                  <w:rPr>
                    <w:sz w:val="20"/>
                    <w:szCs w:val="20"/>
                  </w:rPr>
                </w:pPr>
                <w:r>
                  <w:rPr>
                    <w:sz w:val="20"/>
                    <w:szCs w:val="20"/>
                  </w:rPr>
                  <w:t>P3</w:t>
                </w:r>
              </w:p>
            </w:tc>
            <w:tc>
              <w:tcPr>
                <w:tcW w:w="7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E3D58F0" w14:textId="77777777" w:rsidR="00991877" w:rsidRDefault="00000000">
                <w:pPr>
                  <w:widowControl w:val="0"/>
                  <w:pBdr>
                    <w:top w:val="nil"/>
                    <w:left w:val="nil"/>
                    <w:bottom w:val="nil"/>
                    <w:right w:val="nil"/>
                    <w:between w:val="nil"/>
                  </w:pBdr>
                  <w:jc w:val="center"/>
                  <w:rPr>
                    <w:sz w:val="20"/>
                    <w:szCs w:val="20"/>
                  </w:rPr>
                </w:pPr>
                <w:r>
                  <w:rPr>
                    <w:sz w:val="20"/>
                    <w:szCs w:val="20"/>
                  </w:rPr>
                  <w:t>40</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289FB75" w14:textId="77777777" w:rsidR="00991877" w:rsidRDefault="00000000">
                <w:pPr>
                  <w:widowControl w:val="0"/>
                  <w:jc w:val="center"/>
                  <w:rPr>
                    <w:sz w:val="20"/>
                    <w:szCs w:val="20"/>
                  </w:rPr>
                </w:pPr>
                <w:r>
                  <w:rPr>
                    <w:sz w:val="20"/>
                    <w:szCs w:val="20"/>
                  </w:rPr>
                  <w:t>Female</w:t>
                </w:r>
              </w:p>
            </w:tc>
            <w:tc>
              <w:tcPr>
                <w:tcW w:w="187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2806C2D" w14:textId="77777777" w:rsidR="00991877" w:rsidRDefault="00000000">
                <w:pPr>
                  <w:widowControl w:val="0"/>
                  <w:pBdr>
                    <w:top w:val="nil"/>
                    <w:left w:val="nil"/>
                    <w:bottom w:val="nil"/>
                    <w:right w:val="nil"/>
                    <w:between w:val="nil"/>
                  </w:pBdr>
                  <w:jc w:val="center"/>
                  <w:rPr>
                    <w:sz w:val="20"/>
                    <w:szCs w:val="20"/>
                  </w:rPr>
                </w:pPr>
                <w:r>
                  <w:rPr>
                    <w:sz w:val="20"/>
                    <w:szCs w:val="20"/>
                  </w:rPr>
                  <w:t>16</w:t>
                </w:r>
              </w:p>
            </w:tc>
            <w:tc>
              <w:tcPr>
                <w:tcW w:w="237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3C2EECA" w14:textId="77777777" w:rsidR="00991877" w:rsidRDefault="00000000">
                <w:pPr>
                  <w:widowControl w:val="0"/>
                  <w:pBdr>
                    <w:top w:val="nil"/>
                    <w:left w:val="nil"/>
                    <w:bottom w:val="nil"/>
                    <w:right w:val="nil"/>
                    <w:between w:val="nil"/>
                  </w:pBdr>
                  <w:jc w:val="center"/>
                  <w:rPr>
                    <w:sz w:val="20"/>
                    <w:szCs w:val="20"/>
                  </w:rPr>
                </w:pPr>
                <w:r>
                  <w:rPr>
                    <w:sz w:val="20"/>
                    <w:szCs w:val="20"/>
                  </w:rPr>
                  <w:t>10</w:t>
                </w:r>
              </w:p>
            </w:tc>
            <w:tc>
              <w:tcPr>
                <w:tcW w:w="2706"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84F7934" w14:textId="77777777" w:rsidR="00991877" w:rsidRDefault="00000000">
                <w:pPr>
                  <w:widowControl w:val="0"/>
                  <w:pBdr>
                    <w:top w:val="nil"/>
                    <w:left w:val="nil"/>
                    <w:bottom w:val="nil"/>
                    <w:right w:val="nil"/>
                    <w:between w:val="nil"/>
                  </w:pBdr>
                  <w:jc w:val="center"/>
                  <w:rPr>
                    <w:sz w:val="20"/>
                    <w:szCs w:val="20"/>
                  </w:rPr>
                </w:pPr>
                <w:r>
                  <w:rPr>
                    <w:sz w:val="20"/>
                    <w:szCs w:val="20"/>
                  </w:rPr>
                  <w:t>Private</w:t>
                </w:r>
              </w:p>
            </w:tc>
          </w:tr>
          <w:tr w:rsidR="00991877" w14:paraId="4D201729" w14:textId="77777777">
            <w:tc>
              <w:tcPr>
                <w:tcW w:w="132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5241884" w14:textId="77777777" w:rsidR="00991877" w:rsidRDefault="00000000">
                <w:pPr>
                  <w:widowControl w:val="0"/>
                  <w:pBdr>
                    <w:top w:val="nil"/>
                    <w:left w:val="nil"/>
                    <w:bottom w:val="nil"/>
                    <w:right w:val="nil"/>
                    <w:between w:val="nil"/>
                  </w:pBdr>
                  <w:jc w:val="center"/>
                  <w:rPr>
                    <w:sz w:val="20"/>
                    <w:szCs w:val="20"/>
                  </w:rPr>
                </w:pPr>
                <w:r>
                  <w:rPr>
                    <w:sz w:val="20"/>
                    <w:szCs w:val="20"/>
                  </w:rPr>
                  <w:t>P4</w:t>
                </w:r>
              </w:p>
            </w:tc>
            <w:tc>
              <w:tcPr>
                <w:tcW w:w="7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4CD81F5" w14:textId="77777777" w:rsidR="00991877" w:rsidRDefault="00000000">
                <w:pPr>
                  <w:widowControl w:val="0"/>
                  <w:pBdr>
                    <w:top w:val="nil"/>
                    <w:left w:val="nil"/>
                    <w:bottom w:val="nil"/>
                    <w:right w:val="nil"/>
                    <w:between w:val="nil"/>
                  </w:pBdr>
                  <w:jc w:val="center"/>
                  <w:rPr>
                    <w:sz w:val="20"/>
                    <w:szCs w:val="20"/>
                  </w:rPr>
                </w:pPr>
                <w:r>
                  <w:rPr>
                    <w:sz w:val="20"/>
                    <w:szCs w:val="20"/>
                  </w:rPr>
                  <w:t>34</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AFF4D2C" w14:textId="77777777" w:rsidR="00991877" w:rsidRDefault="00000000">
                <w:pPr>
                  <w:widowControl w:val="0"/>
                  <w:jc w:val="center"/>
                  <w:rPr>
                    <w:sz w:val="20"/>
                    <w:szCs w:val="20"/>
                  </w:rPr>
                </w:pPr>
                <w:r>
                  <w:rPr>
                    <w:sz w:val="20"/>
                    <w:szCs w:val="20"/>
                  </w:rPr>
                  <w:t>Female</w:t>
                </w:r>
              </w:p>
            </w:tc>
            <w:tc>
              <w:tcPr>
                <w:tcW w:w="187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F408188" w14:textId="77777777" w:rsidR="00991877" w:rsidRDefault="00000000">
                <w:pPr>
                  <w:widowControl w:val="0"/>
                  <w:pBdr>
                    <w:top w:val="nil"/>
                    <w:left w:val="nil"/>
                    <w:bottom w:val="nil"/>
                    <w:right w:val="nil"/>
                    <w:between w:val="nil"/>
                  </w:pBdr>
                  <w:jc w:val="center"/>
                  <w:rPr>
                    <w:sz w:val="20"/>
                    <w:szCs w:val="20"/>
                  </w:rPr>
                </w:pPr>
                <w:r>
                  <w:rPr>
                    <w:sz w:val="20"/>
                    <w:szCs w:val="20"/>
                  </w:rPr>
                  <w:t>6</w:t>
                </w:r>
              </w:p>
            </w:tc>
            <w:tc>
              <w:tcPr>
                <w:tcW w:w="237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8B5EB24" w14:textId="77777777" w:rsidR="00991877" w:rsidRDefault="00000000">
                <w:pPr>
                  <w:widowControl w:val="0"/>
                  <w:pBdr>
                    <w:top w:val="nil"/>
                    <w:left w:val="nil"/>
                    <w:bottom w:val="nil"/>
                    <w:right w:val="nil"/>
                    <w:between w:val="nil"/>
                  </w:pBdr>
                  <w:jc w:val="center"/>
                  <w:rPr>
                    <w:sz w:val="20"/>
                    <w:szCs w:val="20"/>
                  </w:rPr>
                </w:pPr>
                <w:r>
                  <w:rPr>
                    <w:sz w:val="20"/>
                    <w:szCs w:val="20"/>
                  </w:rPr>
                  <w:t>6</w:t>
                </w:r>
              </w:p>
            </w:tc>
            <w:tc>
              <w:tcPr>
                <w:tcW w:w="2706"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60A886A" w14:textId="77777777" w:rsidR="00991877" w:rsidRDefault="00000000">
                <w:pPr>
                  <w:widowControl w:val="0"/>
                  <w:jc w:val="center"/>
                  <w:rPr>
                    <w:sz w:val="20"/>
                    <w:szCs w:val="20"/>
                  </w:rPr>
                </w:pPr>
                <w:r>
                  <w:rPr>
                    <w:sz w:val="20"/>
                    <w:szCs w:val="20"/>
                  </w:rPr>
                  <w:t>Private and NGO*</w:t>
                </w:r>
              </w:p>
            </w:tc>
          </w:tr>
          <w:tr w:rsidR="00991877" w14:paraId="6B83BD3D" w14:textId="77777777">
            <w:tc>
              <w:tcPr>
                <w:tcW w:w="132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32552C3" w14:textId="77777777" w:rsidR="00991877" w:rsidRDefault="00000000">
                <w:pPr>
                  <w:widowControl w:val="0"/>
                  <w:pBdr>
                    <w:top w:val="nil"/>
                    <w:left w:val="nil"/>
                    <w:bottom w:val="nil"/>
                    <w:right w:val="nil"/>
                    <w:between w:val="nil"/>
                  </w:pBdr>
                  <w:jc w:val="center"/>
                  <w:rPr>
                    <w:sz w:val="20"/>
                    <w:szCs w:val="20"/>
                  </w:rPr>
                </w:pPr>
                <w:r>
                  <w:rPr>
                    <w:sz w:val="20"/>
                    <w:szCs w:val="20"/>
                  </w:rPr>
                  <w:t>P5</w:t>
                </w:r>
              </w:p>
            </w:tc>
            <w:tc>
              <w:tcPr>
                <w:tcW w:w="7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9E4FEFF" w14:textId="77777777" w:rsidR="00991877" w:rsidRDefault="00000000">
                <w:pPr>
                  <w:widowControl w:val="0"/>
                  <w:pBdr>
                    <w:top w:val="nil"/>
                    <w:left w:val="nil"/>
                    <w:bottom w:val="nil"/>
                    <w:right w:val="nil"/>
                    <w:between w:val="nil"/>
                  </w:pBdr>
                  <w:jc w:val="center"/>
                  <w:rPr>
                    <w:sz w:val="20"/>
                    <w:szCs w:val="20"/>
                  </w:rPr>
                </w:pPr>
                <w:r>
                  <w:rPr>
                    <w:sz w:val="20"/>
                    <w:szCs w:val="20"/>
                  </w:rPr>
                  <w:t>30</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11755A7" w14:textId="77777777" w:rsidR="00991877" w:rsidRDefault="00000000">
                <w:pPr>
                  <w:widowControl w:val="0"/>
                  <w:jc w:val="center"/>
                  <w:rPr>
                    <w:sz w:val="20"/>
                    <w:szCs w:val="20"/>
                  </w:rPr>
                </w:pPr>
                <w:r>
                  <w:rPr>
                    <w:sz w:val="20"/>
                    <w:szCs w:val="20"/>
                  </w:rPr>
                  <w:t>Female</w:t>
                </w:r>
              </w:p>
            </w:tc>
            <w:tc>
              <w:tcPr>
                <w:tcW w:w="187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73DB96B" w14:textId="77777777" w:rsidR="00991877" w:rsidRDefault="00000000">
                <w:pPr>
                  <w:widowControl w:val="0"/>
                  <w:pBdr>
                    <w:top w:val="nil"/>
                    <w:left w:val="nil"/>
                    <w:bottom w:val="nil"/>
                    <w:right w:val="nil"/>
                    <w:between w:val="nil"/>
                  </w:pBdr>
                  <w:jc w:val="center"/>
                  <w:rPr>
                    <w:sz w:val="20"/>
                    <w:szCs w:val="20"/>
                  </w:rPr>
                </w:pPr>
                <w:r>
                  <w:rPr>
                    <w:sz w:val="20"/>
                    <w:szCs w:val="20"/>
                  </w:rPr>
                  <w:t>7</w:t>
                </w:r>
              </w:p>
            </w:tc>
            <w:tc>
              <w:tcPr>
                <w:tcW w:w="237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5FEF7DD" w14:textId="77777777" w:rsidR="00991877" w:rsidRDefault="00000000">
                <w:pPr>
                  <w:widowControl w:val="0"/>
                  <w:pBdr>
                    <w:top w:val="nil"/>
                    <w:left w:val="nil"/>
                    <w:bottom w:val="nil"/>
                    <w:right w:val="nil"/>
                    <w:between w:val="nil"/>
                  </w:pBdr>
                  <w:jc w:val="center"/>
                  <w:rPr>
                    <w:sz w:val="20"/>
                    <w:szCs w:val="20"/>
                  </w:rPr>
                </w:pPr>
                <w:r>
                  <w:rPr>
                    <w:sz w:val="20"/>
                    <w:szCs w:val="20"/>
                  </w:rPr>
                  <w:t>6</w:t>
                </w:r>
              </w:p>
            </w:tc>
            <w:tc>
              <w:tcPr>
                <w:tcW w:w="2706"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177C9C2" w14:textId="77777777" w:rsidR="00991877" w:rsidRDefault="00000000">
                <w:pPr>
                  <w:widowControl w:val="0"/>
                  <w:pBdr>
                    <w:top w:val="nil"/>
                    <w:left w:val="nil"/>
                    <w:bottom w:val="nil"/>
                    <w:right w:val="nil"/>
                    <w:between w:val="nil"/>
                  </w:pBdr>
                  <w:jc w:val="center"/>
                  <w:rPr>
                    <w:sz w:val="20"/>
                    <w:szCs w:val="20"/>
                  </w:rPr>
                </w:pPr>
                <w:r>
                  <w:rPr>
                    <w:sz w:val="20"/>
                    <w:szCs w:val="20"/>
                  </w:rPr>
                  <w:t>Private and NGO*</w:t>
                </w:r>
              </w:p>
            </w:tc>
          </w:tr>
          <w:tr w:rsidR="00991877" w14:paraId="024A7F2F" w14:textId="77777777">
            <w:tc>
              <w:tcPr>
                <w:tcW w:w="132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7FFBBFB" w14:textId="77777777" w:rsidR="00991877" w:rsidRDefault="00000000">
                <w:pPr>
                  <w:widowControl w:val="0"/>
                  <w:pBdr>
                    <w:top w:val="nil"/>
                    <w:left w:val="nil"/>
                    <w:bottom w:val="nil"/>
                    <w:right w:val="nil"/>
                    <w:between w:val="nil"/>
                  </w:pBdr>
                  <w:jc w:val="center"/>
                  <w:rPr>
                    <w:sz w:val="20"/>
                    <w:szCs w:val="20"/>
                  </w:rPr>
                </w:pPr>
                <w:r>
                  <w:rPr>
                    <w:sz w:val="20"/>
                    <w:szCs w:val="20"/>
                  </w:rPr>
                  <w:t>P6</w:t>
                </w:r>
              </w:p>
            </w:tc>
            <w:tc>
              <w:tcPr>
                <w:tcW w:w="7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8DB63EC" w14:textId="77777777" w:rsidR="00991877" w:rsidRDefault="00000000">
                <w:pPr>
                  <w:widowControl w:val="0"/>
                  <w:pBdr>
                    <w:top w:val="nil"/>
                    <w:left w:val="nil"/>
                    <w:bottom w:val="nil"/>
                    <w:right w:val="nil"/>
                    <w:between w:val="nil"/>
                  </w:pBdr>
                  <w:jc w:val="center"/>
                  <w:rPr>
                    <w:sz w:val="20"/>
                    <w:szCs w:val="20"/>
                  </w:rPr>
                </w:pPr>
                <w:r>
                  <w:rPr>
                    <w:sz w:val="20"/>
                    <w:szCs w:val="20"/>
                  </w:rPr>
                  <w:t>43</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3954979" w14:textId="77777777" w:rsidR="00991877" w:rsidRDefault="00000000">
                <w:pPr>
                  <w:widowControl w:val="0"/>
                  <w:jc w:val="center"/>
                  <w:rPr>
                    <w:sz w:val="20"/>
                    <w:szCs w:val="20"/>
                  </w:rPr>
                </w:pPr>
                <w:r>
                  <w:rPr>
                    <w:sz w:val="20"/>
                    <w:szCs w:val="20"/>
                  </w:rPr>
                  <w:t>Female</w:t>
                </w:r>
              </w:p>
            </w:tc>
            <w:tc>
              <w:tcPr>
                <w:tcW w:w="187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13080A5" w14:textId="77777777" w:rsidR="00991877" w:rsidRDefault="00000000">
                <w:pPr>
                  <w:widowControl w:val="0"/>
                  <w:pBdr>
                    <w:top w:val="nil"/>
                    <w:left w:val="nil"/>
                    <w:bottom w:val="nil"/>
                    <w:right w:val="nil"/>
                    <w:between w:val="nil"/>
                  </w:pBdr>
                  <w:jc w:val="center"/>
                  <w:rPr>
                    <w:sz w:val="20"/>
                    <w:szCs w:val="20"/>
                  </w:rPr>
                </w:pPr>
                <w:r>
                  <w:rPr>
                    <w:sz w:val="20"/>
                    <w:szCs w:val="20"/>
                  </w:rPr>
                  <w:t>14</w:t>
                </w:r>
              </w:p>
            </w:tc>
            <w:tc>
              <w:tcPr>
                <w:tcW w:w="237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CC4240A" w14:textId="77777777" w:rsidR="00991877" w:rsidRDefault="00000000">
                <w:pPr>
                  <w:widowControl w:val="0"/>
                  <w:pBdr>
                    <w:top w:val="nil"/>
                    <w:left w:val="nil"/>
                    <w:bottom w:val="nil"/>
                    <w:right w:val="nil"/>
                    <w:between w:val="nil"/>
                  </w:pBdr>
                  <w:jc w:val="center"/>
                  <w:rPr>
                    <w:sz w:val="20"/>
                    <w:szCs w:val="20"/>
                  </w:rPr>
                </w:pPr>
                <w:r>
                  <w:rPr>
                    <w:sz w:val="20"/>
                    <w:szCs w:val="20"/>
                  </w:rPr>
                  <w:t>14</w:t>
                </w:r>
              </w:p>
            </w:tc>
            <w:tc>
              <w:tcPr>
                <w:tcW w:w="2706"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BA77544" w14:textId="77777777" w:rsidR="00991877" w:rsidRDefault="00000000">
                <w:pPr>
                  <w:widowControl w:val="0"/>
                  <w:pBdr>
                    <w:top w:val="nil"/>
                    <w:left w:val="nil"/>
                    <w:bottom w:val="nil"/>
                    <w:right w:val="nil"/>
                    <w:between w:val="nil"/>
                  </w:pBdr>
                  <w:jc w:val="center"/>
                  <w:rPr>
                    <w:sz w:val="20"/>
                    <w:szCs w:val="20"/>
                  </w:rPr>
                </w:pPr>
                <w:r>
                  <w:rPr>
                    <w:sz w:val="20"/>
                    <w:szCs w:val="20"/>
                  </w:rPr>
                  <w:t>Private</w:t>
                </w:r>
              </w:p>
            </w:tc>
          </w:tr>
        </w:tbl>
      </w:sdtContent>
    </w:sdt>
    <w:p w14:paraId="7EFDDA81" w14:textId="77777777" w:rsidR="00991877" w:rsidRDefault="00000000">
      <w:pPr>
        <w:pBdr>
          <w:top w:val="nil"/>
          <w:left w:val="nil"/>
          <w:bottom w:val="nil"/>
          <w:right w:val="nil"/>
          <w:between w:val="nil"/>
        </w:pBdr>
        <w:spacing w:line="360" w:lineRule="auto"/>
        <w:jc w:val="both"/>
        <w:rPr>
          <w:sz w:val="22"/>
          <w:szCs w:val="22"/>
        </w:rPr>
      </w:pPr>
      <w:r>
        <w:rPr>
          <w:sz w:val="22"/>
          <w:szCs w:val="22"/>
        </w:rPr>
        <w:t>NGO* Non-Governmental Organization</w:t>
      </w:r>
    </w:p>
    <w:p w14:paraId="6BB47C0D" w14:textId="77777777" w:rsidR="00991877" w:rsidRDefault="00991877">
      <w:pPr>
        <w:pBdr>
          <w:top w:val="nil"/>
          <w:left w:val="nil"/>
          <w:bottom w:val="nil"/>
          <w:right w:val="nil"/>
          <w:between w:val="nil"/>
        </w:pBdr>
        <w:spacing w:line="360" w:lineRule="auto"/>
        <w:jc w:val="both"/>
      </w:pPr>
    </w:p>
    <w:p w14:paraId="0607F2CA" w14:textId="77777777" w:rsidR="00991877" w:rsidRDefault="00000000">
      <w:pPr>
        <w:pBdr>
          <w:top w:val="nil"/>
          <w:left w:val="nil"/>
          <w:bottom w:val="nil"/>
          <w:right w:val="nil"/>
          <w:between w:val="nil"/>
        </w:pBdr>
        <w:spacing w:line="360" w:lineRule="auto"/>
        <w:jc w:val="both"/>
        <w:rPr>
          <w:color w:val="000000"/>
          <w:sz w:val="22"/>
          <w:szCs w:val="22"/>
        </w:rPr>
      </w:pPr>
      <w:r>
        <w:rPr>
          <w:color w:val="000000"/>
          <w:sz w:val="22"/>
          <w:szCs w:val="22"/>
        </w:rPr>
        <w:t>Table 2</w:t>
      </w:r>
    </w:p>
    <w:p w14:paraId="79F9F0CB" w14:textId="77777777" w:rsidR="00991877" w:rsidRDefault="00000000">
      <w:pPr>
        <w:pBdr>
          <w:top w:val="nil"/>
          <w:left w:val="nil"/>
          <w:bottom w:val="nil"/>
          <w:right w:val="nil"/>
          <w:between w:val="nil"/>
        </w:pBdr>
        <w:spacing w:line="360" w:lineRule="auto"/>
        <w:jc w:val="both"/>
        <w:rPr>
          <w:sz w:val="22"/>
          <w:szCs w:val="22"/>
        </w:rPr>
      </w:pPr>
      <w:r>
        <w:rPr>
          <w:sz w:val="22"/>
          <w:szCs w:val="22"/>
        </w:rPr>
        <w:t>Thematic categories and their corresponding statements</w:t>
      </w:r>
    </w:p>
    <w:sdt>
      <w:sdtPr>
        <w:tag w:val="goog_rdk_1"/>
        <w:id w:val="1006545565"/>
        <w:lock w:val="contentLocked"/>
      </w:sdtPr>
      <w:sdtContent>
        <w:tbl>
          <w:tblPr>
            <w:tblStyle w:val="a3"/>
            <w:tblW w:w="1021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0"/>
            <w:gridCol w:w="7984"/>
          </w:tblGrid>
          <w:tr w:rsidR="00991877" w14:paraId="2210CF9D" w14:textId="77777777">
            <w:tc>
              <w:tcPr>
                <w:tcW w:w="2230" w:type="dxa"/>
                <w:tcMar>
                  <w:top w:w="100" w:type="dxa"/>
                  <w:left w:w="100" w:type="dxa"/>
                  <w:bottom w:w="100" w:type="dxa"/>
                  <w:right w:w="100" w:type="dxa"/>
                </w:tcMar>
              </w:tcPr>
              <w:p w14:paraId="04978B8B" w14:textId="77777777" w:rsidR="00991877" w:rsidRDefault="00000000">
                <w:pPr>
                  <w:widowControl w:val="0"/>
                  <w:pBdr>
                    <w:top w:val="nil"/>
                    <w:left w:val="nil"/>
                    <w:bottom w:val="nil"/>
                    <w:right w:val="nil"/>
                    <w:between w:val="nil"/>
                  </w:pBdr>
                  <w:rPr>
                    <w:b/>
                    <w:sz w:val="20"/>
                    <w:szCs w:val="20"/>
                  </w:rPr>
                </w:pPr>
                <w:r>
                  <w:rPr>
                    <w:b/>
                    <w:sz w:val="20"/>
                    <w:szCs w:val="20"/>
                  </w:rPr>
                  <w:t>Thematic Category</w:t>
                </w:r>
              </w:p>
            </w:tc>
            <w:tc>
              <w:tcPr>
                <w:tcW w:w="7984" w:type="dxa"/>
                <w:tcMar>
                  <w:top w:w="100" w:type="dxa"/>
                  <w:left w:w="100" w:type="dxa"/>
                  <w:bottom w:w="100" w:type="dxa"/>
                  <w:right w:w="100" w:type="dxa"/>
                </w:tcMar>
              </w:tcPr>
              <w:p w14:paraId="44D10746" w14:textId="77777777" w:rsidR="00991877" w:rsidRDefault="00000000">
                <w:pPr>
                  <w:widowControl w:val="0"/>
                  <w:pBdr>
                    <w:top w:val="nil"/>
                    <w:left w:val="nil"/>
                    <w:bottom w:val="nil"/>
                    <w:right w:val="nil"/>
                    <w:between w:val="nil"/>
                  </w:pBdr>
                  <w:rPr>
                    <w:b/>
                    <w:sz w:val="20"/>
                    <w:szCs w:val="20"/>
                  </w:rPr>
                </w:pPr>
                <w:r>
                  <w:rPr>
                    <w:b/>
                    <w:sz w:val="20"/>
                    <w:szCs w:val="20"/>
                  </w:rPr>
                  <w:t>Interview Excerpts</w:t>
                </w:r>
              </w:p>
            </w:tc>
          </w:tr>
          <w:tr w:rsidR="00991877" w14:paraId="3199E70D" w14:textId="77777777">
            <w:tc>
              <w:tcPr>
                <w:tcW w:w="2230" w:type="dxa"/>
                <w:tcMar>
                  <w:top w:w="100" w:type="dxa"/>
                  <w:left w:w="100" w:type="dxa"/>
                  <w:bottom w:w="100" w:type="dxa"/>
                  <w:right w:w="100" w:type="dxa"/>
                </w:tcMar>
              </w:tcPr>
              <w:p w14:paraId="79F982F0" w14:textId="77777777" w:rsidR="00991877" w:rsidRDefault="00000000">
                <w:pPr>
                  <w:widowControl w:val="0"/>
                  <w:pBdr>
                    <w:top w:val="nil"/>
                    <w:left w:val="nil"/>
                    <w:bottom w:val="nil"/>
                    <w:right w:val="nil"/>
                    <w:between w:val="nil"/>
                  </w:pBdr>
                  <w:rPr>
                    <w:b/>
                    <w:sz w:val="20"/>
                    <w:szCs w:val="20"/>
                  </w:rPr>
                </w:pPr>
                <w:r>
                  <w:rPr>
                    <w:b/>
                    <w:sz w:val="20"/>
                    <w:szCs w:val="20"/>
                  </w:rPr>
                  <w:t>Category 1: Ambivalent emotions as challenges for clinical management</w:t>
                </w:r>
              </w:p>
            </w:tc>
            <w:tc>
              <w:tcPr>
                <w:tcW w:w="7984" w:type="dxa"/>
                <w:tcMar>
                  <w:top w:w="100" w:type="dxa"/>
                  <w:left w:w="100" w:type="dxa"/>
                  <w:bottom w:w="100" w:type="dxa"/>
                  <w:right w:w="100" w:type="dxa"/>
                </w:tcMar>
              </w:tcPr>
              <w:p w14:paraId="74212746" w14:textId="77777777" w:rsidR="00991877" w:rsidRDefault="00000000">
                <w:pPr>
                  <w:widowControl w:val="0"/>
                  <w:pBdr>
                    <w:top w:val="nil"/>
                    <w:left w:val="nil"/>
                    <w:bottom w:val="nil"/>
                    <w:right w:val="nil"/>
                    <w:between w:val="nil"/>
                  </w:pBdr>
                  <w:rPr>
                    <w:sz w:val="20"/>
                    <w:szCs w:val="20"/>
                  </w:rPr>
                </w:pPr>
                <w:r>
                  <w:rPr>
                    <w:sz w:val="20"/>
                    <w:szCs w:val="20"/>
                  </w:rPr>
                  <w:t>Participant 2: “</w:t>
                </w:r>
                <w:r>
                  <w:rPr>
                    <w:i/>
                    <w:sz w:val="20"/>
                    <w:szCs w:val="20"/>
                  </w:rPr>
                  <w:t>For me, it is a mixture of tension, anxiety, stress, concern, along with a certain sense of gratitude and satisfaction as well. I would say it is a blend of feelings [...] Realizing that the patient trusts me, feels comfortable [...] during the interaction, during the session [...] when she is even able to smile a little or says she feels relieved, that is very rewarding for me [...] Honestly, I had never stopped to reflect on this, perhaps you are the first person to ask me [...] These are very opposing feelings [...] a situation of such responsibility and also a certain lack of control, because we know that our practice, no matter how theoretically, technically, ethically, and personally well-prepared it may be, it sometimes might not be enough. So, I see it as a daily challenge.</w:t>
                </w:r>
                <w:r>
                  <w:rPr>
                    <w:sz w:val="20"/>
                    <w:szCs w:val="20"/>
                  </w:rPr>
                  <w:t xml:space="preserve">” </w:t>
                </w:r>
              </w:p>
              <w:p w14:paraId="36EC8C76" w14:textId="77777777" w:rsidR="00991877" w:rsidRDefault="00991877">
                <w:pPr>
                  <w:widowControl w:val="0"/>
                  <w:pBdr>
                    <w:top w:val="nil"/>
                    <w:left w:val="nil"/>
                    <w:bottom w:val="nil"/>
                    <w:right w:val="nil"/>
                    <w:between w:val="nil"/>
                  </w:pBdr>
                  <w:jc w:val="both"/>
                  <w:rPr>
                    <w:sz w:val="20"/>
                    <w:szCs w:val="20"/>
                  </w:rPr>
                </w:pPr>
              </w:p>
              <w:p w14:paraId="2BD5513A" w14:textId="77777777" w:rsidR="00991877" w:rsidRDefault="00000000">
                <w:pPr>
                  <w:widowControl w:val="0"/>
                  <w:pBdr>
                    <w:top w:val="nil"/>
                    <w:left w:val="nil"/>
                    <w:bottom w:val="nil"/>
                    <w:right w:val="nil"/>
                    <w:between w:val="nil"/>
                  </w:pBdr>
                  <w:rPr>
                    <w:sz w:val="20"/>
                    <w:szCs w:val="20"/>
                  </w:rPr>
                </w:pPr>
                <w:r>
                  <w:rPr>
                    <w:sz w:val="20"/>
                    <w:szCs w:val="20"/>
                  </w:rPr>
                  <w:t>Participant 5: “</w:t>
                </w:r>
                <w:r>
                  <w:rPr>
                    <w:i/>
                    <w:sz w:val="20"/>
                    <w:szCs w:val="20"/>
                  </w:rPr>
                  <w:t xml:space="preserve">I have experienced several (emotions). I think from irritability, from feeling irritated. Because sometimes we fall into prejudgments [...] how can someone with so much potential for life not see themselves as capable of facing it? [...] And then I find myself at the </w:t>
                </w:r>
                <w:r>
                  <w:rPr>
                    <w:i/>
                    <w:sz w:val="20"/>
                    <w:szCs w:val="20"/>
                  </w:rPr>
                  <w:lastRenderedPageBreak/>
                  <w:t>extremes, from irritability, engagement, or feeling incapable, to the extreme of joy, euphoria [...] of having persisted even against my own thought of incapacity, of saying I would not be able to manage it [...] These ambivalences, I believe, are not only experienced by the patient; those who provide care also experience these nuances.</w:t>
                </w:r>
                <w:r>
                  <w:rPr>
                    <w:sz w:val="20"/>
                    <w:szCs w:val="20"/>
                  </w:rPr>
                  <w:t>”</w:t>
                </w:r>
              </w:p>
            </w:tc>
          </w:tr>
          <w:tr w:rsidR="00991877" w14:paraId="3BCB6ED2" w14:textId="77777777">
            <w:tc>
              <w:tcPr>
                <w:tcW w:w="2230" w:type="dxa"/>
                <w:tcMar>
                  <w:top w:w="100" w:type="dxa"/>
                  <w:left w:w="100" w:type="dxa"/>
                  <w:bottom w:w="100" w:type="dxa"/>
                  <w:right w:w="100" w:type="dxa"/>
                </w:tcMar>
              </w:tcPr>
              <w:p w14:paraId="7841B469" w14:textId="77777777" w:rsidR="00991877" w:rsidRDefault="00000000">
                <w:pPr>
                  <w:widowControl w:val="0"/>
                  <w:pBdr>
                    <w:top w:val="nil"/>
                    <w:left w:val="nil"/>
                    <w:bottom w:val="nil"/>
                    <w:right w:val="nil"/>
                    <w:between w:val="nil"/>
                  </w:pBdr>
                  <w:rPr>
                    <w:b/>
                    <w:sz w:val="20"/>
                    <w:szCs w:val="20"/>
                  </w:rPr>
                </w:pPr>
                <w:r>
                  <w:rPr>
                    <w:b/>
                    <w:sz w:val="20"/>
                    <w:szCs w:val="20"/>
                  </w:rPr>
                  <w:lastRenderedPageBreak/>
                  <w:t>Category 2: The non-paralyzing experience of emotions</w:t>
                </w:r>
              </w:p>
            </w:tc>
            <w:tc>
              <w:tcPr>
                <w:tcW w:w="7984" w:type="dxa"/>
                <w:tcMar>
                  <w:top w:w="100" w:type="dxa"/>
                  <w:left w:w="100" w:type="dxa"/>
                  <w:bottom w:w="100" w:type="dxa"/>
                  <w:right w:w="100" w:type="dxa"/>
                </w:tcMar>
              </w:tcPr>
              <w:p w14:paraId="0BB3266B" w14:textId="77777777" w:rsidR="00991877" w:rsidRDefault="00000000">
                <w:pPr>
                  <w:widowControl w:val="0"/>
                  <w:pBdr>
                    <w:top w:val="nil"/>
                    <w:left w:val="nil"/>
                    <w:bottom w:val="nil"/>
                    <w:right w:val="nil"/>
                    <w:between w:val="nil"/>
                  </w:pBdr>
                  <w:rPr>
                    <w:sz w:val="20"/>
                    <w:szCs w:val="20"/>
                  </w:rPr>
                </w:pPr>
                <w:r>
                  <w:rPr>
                    <w:sz w:val="20"/>
                    <w:szCs w:val="20"/>
                  </w:rPr>
                  <w:t>Participant 1: “</w:t>
                </w:r>
                <w:r>
                  <w:rPr>
                    <w:i/>
                    <w:sz w:val="20"/>
                    <w:szCs w:val="20"/>
                  </w:rPr>
                  <w:t>I used to be very afraid of the person attempting suicide, a feeling of helplessness. Nowadays, I identify it as an emotion that is part of my relationship [...] and that will not necessarily interfere negatively with my therapeutic bond. These (emotions) used to be paralyzing, but now I can recognize them as triggers for a new search for professional and personal growth.</w:t>
                </w:r>
                <w:r>
                  <w:rPr>
                    <w:sz w:val="20"/>
                    <w:szCs w:val="20"/>
                  </w:rPr>
                  <w:t xml:space="preserve">” </w:t>
                </w:r>
              </w:p>
              <w:p w14:paraId="72D59D87" w14:textId="77777777" w:rsidR="00991877" w:rsidRDefault="00991877">
                <w:pPr>
                  <w:widowControl w:val="0"/>
                  <w:pBdr>
                    <w:top w:val="nil"/>
                    <w:left w:val="nil"/>
                    <w:bottom w:val="nil"/>
                    <w:right w:val="nil"/>
                    <w:between w:val="nil"/>
                  </w:pBdr>
                  <w:rPr>
                    <w:sz w:val="20"/>
                    <w:szCs w:val="20"/>
                  </w:rPr>
                </w:pPr>
              </w:p>
              <w:p w14:paraId="080928E6" w14:textId="77777777" w:rsidR="00991877" w:rsidRDefault="00000000">
                <w:pPr>
                  <w:widowControl w:val="0"/>
                  <w:pBdr>
                    <w:top w:val="nil"/>
                    <w:left w:val="nil"/>
                    <w:bottom w:val="nil"/>
                    <w:right w:val="nil"/>
                    <w:between w:val="nil"/>
                  </w:pBdr>
                  <w:rPr>
                    <w:sz w:val="20"/>
                    <w:szCs w:val="20"/>
                  </w:rPr>
                </w:pPr>
                <w:r>
                  <w:rPr>
                    <w:sz w:val="20"/>
                    <w:szCs w:val="20"/>
                  </w:rPr>
                  <w:t>Participant 3: “</w:t>
                </w:r>
                <w:r>
                  <w:rPr>
                    <w:i/>
                    <w:sz w:val="20"/>
                    <w:szCs w:val="20"/>
                  </w:rPr>
                  <w:t>[...] I feel anguish [...] the line is very thin between the professional guiding and managing the crisis and the patient attempting suicide [...] I think this issue of anguish is always present [...], but it is not paralyzing anguish; it is more like: Hey! Alert! What do you need to do with this? And then I do what has to be done [...] I am there for that person.</w:t>
                </w:r>
                <w:r>
                  <w:rPr>
                    <w:sz w:val="20"/>
                    <w:szCs w:val="20"/>
                  </w:rPr>
                  <w:t xml:space="preserve">” </w:t>
                </w:r>
              </w:p>
              <w:p w14:paraId="6272C5C3" w14:textId="77777777" w:rsidR="00991877" w:rsidRDefault="00991877">
                <w:pPr>
                  <w:widowControl w:val="0"/>
                  <w:pBdr>
                    <w:top w:val="nil"/>
                    <w:left w:val="nil"/>
                    <w:bottom w:val="nil"/>
                    <w:right w:val="nil"/>
                    <w:between w:val="nil"/>
                  </w:pBdr>
                  <w:rPr>
                    <w:sz w:val="20"/>
                    <w:szCs w:val="20"/>
                  </w:rPr>
                </w:pPr>
              </w:p>
              <w:p w14:paraId="6819AB3F" w14:textId="77777777" w:rsidR="00991877" w:rsidRDefault="00000000">
                <w:pPr>
                  <w:widowControl w:val="0"/>
                  <w:pBdr>
                    <w:top w:val="nil"/>
                    <w:left w:val="nil"/>
                    <w:bottom w:val="nil"/>
                    <w:right w:val="nil"/>
                    <w:between w:val="nil"/>
                  </w:pBdr>
                  <w:rPr>
                    <w:sz w:val="20"/>
                    <w:szCs w:val="20"/>
                  </w:rPr>
                </w:pPr>
                <w:r>
                  <w:rPr>
                    <w:sz w:val="20"/>
                    <w:szCs w:val="20"/>
                  </w:rPr>
                  <w:t>Participant 4: “</w:t>
                </w:r>
                <w:r>
                  <w:rPr>
                    <w:i/>
                    <w:sz w:val="20"/>
                    <w:szCs w:val="20"/>
                  </w:rPr>
                  <w:t>[...] I spoke about negative aspects, but I understand that these emotions are also positive. Because they push us to perceive ourselves both as professionals and as human beings [...] I experience them. So, how am I going to handle this? What am I going to do with it? [...] They (emotions) are part of being human, beyond being a professional.</w:t>
                </w:r>
                <w:r>
                  <w:rPr>
                    <w:sz w:val="20"/>
                    <w:szCs w:val="20"/>
                  </w:rPr>
                  <w:t>”</w:t>
                </w:r>
              </w:p>
            </w:tc>
          </w:tr>
          <w:tr w:rsidR="00991877" w14:paraId="5C5E1EB7" w14:textId="77777777">
            <w:tc>
              <w:tcPr>
                <w:tcW w:w="2230" w:type="dxa"/>
                <w:tcMar>
                  <w:top w:w="100" w:type="dxa"/>
                  <w:left w:w="100" w:type="dxa"/>
                  <w:bottom w:w="100" w:type="dxa"/>
                  <w:right w:w="100" w:type="dxa"/>
                </w:tcMar>
              </w:tcPr>
              <w:p w14:paraId="06674D74" w14:textId="77777777" w:rsidR="00991877" w:rsidRDefault="00000000">
                <w:pPr>
                  <w:widowControl w:val="0"/>
                  <w:pBdr>
                    <w:top w:val="nil"/>
                    <w:left w:val="nil"/>
                    <w:bottom w:val="nil"/>
                    <w:right w:val="nil"/>
                    <w:between w:val="nil"/>
                  </w:pBdr>
                  <w:rPr>
                    <w:b/>
                    <w:sz w:val="20"/>
                    <w:szCs w:val="20"/>
                  </w:rPr>
                </w:pPr>
                <w:r>
                  <w:rPr>
                    <w:b/>
                    <w:sz w:val="20"/>
                    <w:szCs w:val="20"/>
                  </w:rPr>
                  <w:t>Category 3: The management learned through practice</w:t>
                </w:r>
              </w:p>
            </w:tc>
            <w:tc>
              <w:tcPr>
                <w:tcW w:w="7984" w:type="dxa"/>
                <w:tcMar>
                  <w:top w:w="100" w:type="dxa"/>
                  <w:left w:w="100" w:type="dxa"/>
                  <w:bottom w:w="100" w:type="dxa"/>
                  <w:right w:w="100" w:type="dxa"/>
                </w:tcMar>
              </w:tcPr>
              <w:p w14:paraId="4413027A" w14:textId="77777777" w:rsidR="00991877" w:rsidRDefault="00000000">
                <w:pPr>
                  <w:widowControl w:val="0"/>
                  <w:pBdr>
                    <w:top w:val="nil"/>
                    <w:left w:val="nil"/>
                    <w:bottom w:val="nil"/>
                    <w:right w:val="nil"/>
                    <w:between w:val="nil"/>
                  </w:pBdr>
                  <w:rPr>
                    <w:sz w:val="20"/>
                    <w:szCs w:val="20"/>
                  </w:rPr>
                </w:pPr>
                <w:r>
                  <w:rPr>
                    <w:sz w:val="20"/>
                    <w:szCs w:val="20"/>
                  </w:rPr>
                  <w:t>Participant 6: “</w:t>
                </w:r>
                <w:r>
                  <w:rPr>
                    <w:i/>
                    <w:sz w:val="20"/>
                    <w:szCs w:val="20"/>
                  </w:rPr>
                  <w:t>[...] the more contact and experience you gain, the more you find your own way of working with it [...] I am even deducing this now in our very meeting here (for the interview).</w:t>
                </w:r>
                <w:r>
                  <w:rPr>
                    <w:sz w:val="20"/>
                    <w:szCs w:val="20"/>
                  </w:rPr>
                  <w:t xml:space="preserve">” </w:t>
                </w:r>
              </w:p>
              <w:p w14:paraId="2852EA06" w14:textId="77777777" w:rsidR="00991877" w:rsidRDefault="00991877">
                <w:pPr>
                  <w:widowControl w:val="0"/>
                  <w:pBdr>
                    <w:top w:val="nil"/>
                    <w:left w:val="nil"/>
                    <w:bottom w:val="nil"/>
                    <w:right w:val="nil"/>
                    <w:between w:val="nil"/>
                  </w:pBdr>
                  <w:rPr>
                    <w:sz w:val="20"/>
                    <w:szCs w:val="20"/>
                  </w:rPr>
                </w:pPr>
              </w:p>
              <w:p w14:paraId="0FE8AAA5" w14:textId="77777777" w:rsidR="00991877" w:rsidRDefault="00000000">
                <w:pPr>
                  <w:widowControl w:val="0"/>
                  <w:pBdr>
                    <w:top w:val="nil"/>
                    <w:left w:val="nil"/>
                    <w:bottom w:val="nil"/>
                    <w:right w:val="nil"/>
                    <w:between w:val="nil"/>
                  </w:pBdr>
                  <w:rPr>
                    <w:sz w:val="20"/>
                    <w:szCs w:val="20"/>
                  </w:rPr>
                </w:pPr>
                <w:r>
                  <w:rPr>
                    <w:sz w:val="20"/>
                    <w:szCs w:val="20"/>
                  </w:rPr>
                  <w:t>Participant 6: “</w:t>
                </w:r>
                <w:r>
                  <w:rPr>
                    <w:i/>
                    <w:sz w:val="20"/>
                    <w:szCs w:val="20"/>
                  </w:rPr>
                  <w:t>[...] you are here working for the preservation of life, while someone is going in the opposite direction, saying they do not want to live and doing everything not to live [...] Just imagine: we are trained, in quotes, to save or preserve life, and then the person goes against it and attempts [...] I once treated someone who had attempted sixteen times [...] It is not just theory, not just technique; there is a human side that must be interwoven with it, and if you are not available, if you do not engage in the therapeutic relationship, you cannot help.</w:t>
                </w:r>
                <w:r>
                  <w:rPr>
                    <w:sz w:val="20"/>
                    <w:szCs w:val="20"/>
                  </w:rPr>
                  <w:t xml:space="preserve">” </w:t>
                </w:r>
              </w:p>
              <w:p w14:paraId="6BE733D6" w14:textId="77777777" w:rsidR="00991877" w:rsidRDefault="00991877">
                <w:pPr>
                  <w:widowControl w:val="0"/>
                  <w:pBdr>
                    <w:top w:val="nil"/>
                    <w:left w:val="nil"/>
                    <w:bottom w:val="nil"/>
                    <w:right w:val="nil"/>
                    <w:between w:val="nil"/>
                  </w:pBdr>
                  <w:rPr>
                    <w:sz w:val="20"/>
                    <w:szCs w:val="20"/>
                  </w:rPr>
                </w:pPr>
              </w:p>
              <w:p w14:paraId="1FBC85EA" w14:textId="77777777" w:rsidR="00991877" w:rsidRDefault="00000000">
                <w:pPr>
                  <w:widowControl w:val="0"/>
                  <w:pBdr>
                    <w:top w:val="nil"/>
                    <w:left w:val="nil"/>
                    <w:bottom w:val="nil"/>
                    <w:right w:val="nil"/>
                    <w:between w:val="nil"/>
                  </w:pBdr>
                  <w:rPr>
                    <w:sz w:val="20"/>
                    <w:szCs w:val="20"/>
                  </w:rPr>
                </w:pPr>
                <w:r>
                  <w:rPr>
                    <w:sz w:val="20"/>
                    <w:szCs w:val="20"/>
                  </w:rPr>
                  <w:t>Participant 6: “</w:t>
                </w:r>
                <w:r>
                  <w:rPr>
                    <w:i/>
                    <w:sz w:val="20"/>
                    <w:szCs w:val="20"/>
                  </w:rPr>
                  <w:t>Working with this theme is much more difficult and complex than one might imagine. Even though we are in a therapeutic process that protects us, we are not completely immune—this subject affects us. In many ways, it stirs us, because it is existential [...] if you treat someone in suicidal crisis, it will affect your own existence as well, your crises, your feelings of deep pain, existential emptiness, or anhedonia.</w:t>
                </w:r>
                <w:r>
                  <w:rPr>
                    <w:sz w:val="20"/>
                    <w:szCs w:val="20"/>
                  </w:rPr>
                  <w:t xml:space="preserve">” </w:t>
                </w:r>
              </w:p>
              <w:p w14:paraId="1E6A2E83" w14:textId="77777777" w:rsidR="00991877" w:rsidRDefault="00991877">
                <w:pPr>
                  <w:widowControl w:val="0"/>
                  <w:pBdr>
                    <w:top w:val="nil"/>
                    <w:left w:val="nil"/>
                    <w:bottom w:val="nil"/>
                    <w:right w:val="nil"/>
                    <w:between w:val="nil"/>
                  </w:pBdr>
                  <w:rPr>
                    <w:sz w:val="20"/>
                    <w:szCs w:val="20"/>
                  </w:rPr>
                </w:pPr>
              </w:p>
              <w:p w14:paraId="6A871C86" w14:textId="77777777" w:rsidR="00991877" w:rsidRDefault="00000000">
                <w:pPr>
                  <w:widowControl w:val="0"/>
                  <w:pBdr>
                    <w:top w:val="nil"/>
                    <w:left w:val="nil"/>
                    <w:bottom w:val="nil"/>
                    <w:right w:val="nil"/>
                    <w:between w:val="nil"/>
                  </w:pBdr>
                  <w:rPr>
                    <w:sz w:val="20"/>
                    <w:szCs w:val="20"/>
                  </w:rPr>
                </w:pPr>
                <w:r>
                  <w:rPr>
                    <w:sz w:val="20"/>
                    <w:szCs w:val="20"/>
                  </w:rPr>
                  <w:t>Participant 6: “</w:t>
                </w:r>
                <w:r>
                  <w:rPr>
                    <w:i/>
                    <w:sz w:val="20"/>
                    <w:szCs w:val="20"/>
                  </w:rPr>
                  <w:t>We tend to think it is just about all those guidelines, what that manual or handbook says, with everything neatly outlined, but the person is much more than what the handbook describes [...] theory is my lens, but it is not everything, and I am aware that I am the tool [...], yet I still feel insecure about working with this subject. I feel available, but insecure.</w:t>
                </w:r>
                <w:r>
                  <w:rPr>
                    <w:sz w:val="20"/>
                    <w:szCs w:val="20"/>
                  </w:rPr>
                  <w:t>”</w:t>
                </w:r>
              </w:p>
            </w:tc>
          </w:tr>
        </w:tbl>
      </w:sdtContent>
    </w:sdt>
    <w:p w14:paraId="21CD2AC0" w14:textId="77777777" w:rsidR="00991877" w:rsidRDefault="00991877">
      <w:pPr>
        <w:pBdr>
          <w:top w:val="nil"/>
          <w:left w:val="nil"/>
          <w:bottom w:val="nil"/>
          <w:right w:val="nil"/>
          <w:between w:val="nil"/>
        </w:pBdr>
        <w:spacing w:line="360" w:lineRule="auto"/>
        <w:rPr>
          <w:color w:val="000000"/>
        </w:rPr>
      </w:pPr>
    </w:p>
    <w:p w14:paraId="56EDBA2D" w14:textId="77777777" w:rsidR="00991877" w:rsidRDefault="00000000">
      <w:pPr>
        <w:pBdr>
          <w:top w:val="nil"/>
          <w:left w:val="nil"/>
          <w:bottom w:val="nil"/>
          <w:right w:val="nil"/>
          <w:between w:val="nil"/>
        </w:pBdr>
        <w:spacing w:line="360" w:lineRule="auto"/>
        <w:jc w:val="center"/>
        <w:rPr>
          <w:b/>
          <w:color w:val="000000"/>
        </w:rPr>
      </w:pPr>
      <w:r>
        <w:rPr>
          <w:b/>
          <w:color w:val="000000"/>
        </w:rPr>
        <w:t>Discussion</w:t>
      </w:r>
    </w:p>
    <w:p w14:paraId="790C338D" w14:textId="77777777" w:rsidR="00991877" w:rsidRDefault="00991877">
      <w:pPr>
        <w:pBdr>
          <w:top w:val="nil"/>
          <w:left w:val="nil"/>
          <w:bottom w:val="nil"/>
          <w:right w:val="nil"/>
          <w:between w:val="nil"/>
        </w:pBdr>
        <w:spacing w:line="360" w:lineRule="auto"/>
        <w:jc w:val="both"/>
        <w:rPr>
          <w:color w:val="000000"/>
        </w:rPr>
      </w:pPr>
    </w:p>
    <w:p w14:paraId="642294F1" w14:textId="77777777" w:rsidR="00991877" w:rsidRDefault="00000000">
      <w:pPr>
        <w:pBdr>
          <w:top w:val="nil"/>
          <w:left w:val="nil"/>
          <w:bottom w:val="nil"/>
          <w:right w:val="nil"/>
          <w:between w:val="nil"/>
        </w:pBdr>
        <w:spacing w:line="360" w:lineRule="auto"/>
        <w:jc w:val="both"/>
        <w:rPr>
          <w:b/>
        </w:rPr>
      </w:pPr>
      <w:r>
        <w:rPr>
          <w:b/>
        </w:rPr>
        <w:t xml:space="preserve">Category 1: Ambivalent emotions as challenges for clinical management </w:t>
      </w:r>
    </w:p>
    <w:p w14:paraId="1DB8D0F9" w14:textId="77777777" w:rsidR="00991877" w:rsidRDefault="00000000">
      <w:pPr>
        <w:pBdr>
          <w:top w:val="nil"/>
          <w:left w:val="nil"/>
          <w:bottom w:val="nil"/>
          <w:right w:val="nil"/>
          <w:between w:val="nil"/>
        </w:pBdr>
        <w:spacing w:line="360" w:lineRule="auto"/>
        <w:ind w:firstLine="720"/>
        <w:jc w:val="both"/>
      </w:pPr>
      <w:r>
        <w:t xml:space="preserve">The emotional experiences of psychologists may manifest in an ambivalent manner. This was shown to be one of the challenges in clinical management with these patients, as participants directly revealed through their accounts. Providing care to individuals with suicidal intent is challenging (Botega, 2016) and provokes significant mobilization in mental health professionals </w:t>
      </w:r>
      <w:r>
        <w:lastRenderedPageBreak/>
        <w:t xml:space="preserve">(Muñoz-Sánchez et al., 2018). The task of psychologists attending to suicidal ideation or attempts may evoke highly conflicting emotions, and it is impossible not to be affected both personally and professionally (Zana &amp; Kovacs, 2013). </w:t>
      </w:r>
    </w:p>
    <w:p w14:paraId="563597C1" w14:textId="77777777" w:rsidR="00991877" w:rsidRDefault="00000000">
      <w:pPr>
        <w:pBdr>
          <w:top w:val="nil"/>
          <w:left w:val="nil"/>
          <w:bottom w:val="nil"/>
          <w:right w:val="nil"/>
          <w:between w:val="nil"/>
        </w:pBdr>
        <w:spacing w:line="360" w:lineRule="auto"/>
        <w:ind w:firstLine="720"/>
        <w:jc w:val="both"/>
      </w:pPr>
      <w:r>
        <w:t xml:space="preserve">These aspects are evident in the account of Participant 2, who demonstrates how this type of care influences the professional’s life and can generate emotions such as anxiety. Other relevant affects may include tension, stress, and concern. Moreover, an intriguing dimension is the conflict and mixture of emotions. While psychologists may experience anxiety, they may also report feelings such as gratitude and satisfaction, depending on what occurred in the clinical encounter, how the case unfolded, and the meaning attributed to it, as highlighted by Participant 2. Thus, this type of care may be challenging not only because it mobilizes and affects the psychologist, but also due to the conflicts that emerge within situations that the professional may help to generate. Such emotions may arise simultaneously, thereby increasing the degree of difficulty in clinical management, which already involves a phenomenon inherently complex in nature. Health professionals predominantly report less positive emotions and more negative attitudes toward patients in suicidal crisis (Giacchero Vedana, 2017). </w:t>
      </w:r>
    </w:p>
    <w:p w14:paraId="610BA2E6" w14:textId="77777777" w:rsidR="00991877" w:rsidRDefault="00000000">
      <w:pPr>
        <w:pBdr>
          <w:top w:val="nil"/>
          <w:left w:val="nil"/>
          <w:bottom w:val="nil"/>
          <w:right w:val="nil"/>
          <w:between w:val="nil"/>
        </w:pBdr>
        <w:spacing w:line="360" w:lineRule="auto"/>
        <w:ind w:firstLine="720"/>
        <w:jc w:val="both"/>
      </w:pPr>
      <w:r>
        <w:t xml:space="preserve">In the account of Participant 5, irritability emerges as an emotional experience of the psychologist, as well as the presence of prejudgment at certain moments of care, depending on what the therapeutic interaction evoked in them. Both may create difficulties for the therapeutic relationship and constitute part of the context of suicidal crisis management, which is also distinguished by its unpredictability. These are points to which professionals must remain attentive so they may be adequately addressed. If recognized, processed, and directed in such a way that they do not harm the professional–patient relationship, these challenges can be managed responsibly without compromising the well-being of those receiving care. It is well established that emotional aspects are regarded as difficulties by health professionals (Rothes &amp; Henriques, 2018), as ambivalence in emotions may arise in the psychologist’s experience when attending to suicidal patients, for example, feelings of anger coexisting with feelings of joy. </w:t>
      </w:r>
    </w:p>
    <w:p w14:paraId="16753EF4" w14:textId="77777777" w:rsidR="00991877" w:rsidRDefault="00991877">
      <w:pPr>
        <w:pBdr>
          <w:top w:val="nil"/>
          <w:left w:val="nil"/>
          <w:bottom w:val="nil"/>
          <w:right w:val="nil"/>
          <w:between w:val="nil"/>
        </w:pBdr>
        <w:spacing w:line="360" w:lineRule="auto"/>
        <w:ind w:firstLine="720"/>
        <w:jc w:val="both"/>
      </w:pPr>
    </w:p>
    <w:p w14:paraId="2AFCD19C" w14:textId="77777777" w:rsidR="00991877" w:rsidRDefault="00000000">
      <w:pPr>
        <w:pBdr>
          <w:top w:val="nil"/>
          <w:left w:val="nil"/>
          <w:bottom w:val="nil"/>
          <w:right w:val="nil"/>
          <w:between w:val="nil"/>
        </w:pBdr>
        <w:spacing w:line="360" w:lineRule="auto"/>
        <w:jc w:val="both"/>
        <w:rPr>
          <w:b/>
        </w:rPr>
      </w:pPr>
      <w:r>
        <w:rPr>
          <w:b/>
        </w:rPr>
        <w:t xml:space="preserve">Category 2: The non-paralyzing experience of emotions </w:t>
      </w:r>
    </w:p>
    <w:p w14:paraId="400225A3" w14:textId="77777777" w:rsidR="00991877" w:rsidRDefault="00000000">
      <w:pPr>
        <w:pBdr>
          <w:top w:val="nil"/>
          <w:left w:val="nil"/>
          <w:bottom w:val="nil"/>
          <w:right w:val="nil"/>
          <w:between w:val="nil"/>
        </w:pBdr>
        <w:spacing w:line="360" w:lineRule="auto"/>
        <w:ind w:firstLine="720"/>
        <w:jc w:val="both"/>
      </w:pPr>
      <w:r>
        <w:t xml:space="preserve">This category highlights the possibility that the emotions experienced by psychologists can serve as drivers for a non-paralyzing process for them. The researcher observed that, during an interview, Participant 1 became more comfortable discussing details regarding the fear and </w:t>
      </w:r>
      <w:r>
        <w:lastRenderedPageBreak/>
        <w:t xml:space="preserve">helplessness she felt when attending to patients in suicidal crisis at the beginning of her clinical trajectory. This difficulty decreased as she described what these emotions currently mean to her and how they drive her to engage in a process that helps identify what needs to be done during professional care with the patient. </w:t>
      </w:r>
    </w:p>
    <w:p w14:paraId="2D6AC17F" w14:textId="77777777" w:rsidR="00991877" w:rsidRDefault="00000000">
      <w:pPr>
        <w:pBdr>
          <w:top w:val="nil"/>
          <w:left w:val="nil"/>
          <w:bottom w:val="nil"/>
          <w:right w:val="nil"/>
          <w:between w:val="nil"/>
        </w:pBdr>
        <w:spacing w:line="360" w:lineRule="auto"/>
        <w:ind w:firstLine="720"/>
        <w:jc w:val="both"/>
      </w:pPr>
      <w:r>
        <w:t xml:space="preserve">One element that is very present in participants’ statements is fear. In this regard, it is known that, of all the forces that move human beings, the strongest and most determining factor is the fear of death. This fear, present since the first notions of the world are formed in the mind, serves as the main driving force for nearly all human activities, but is also the primary source of anguish (Becker, 2007). The patient’s desire for death triggers feelings of helplessness in the professional providing care (Santos, 2007). This emotion can frequently arise in such care, experienced in various ways and associated with multiple meanings. An example of this is found in Participant 1’s statement. The participant’s fear concerned the possibility that the patient might attempt suicide, which generated a sense of helplessness, another common experience in this context. Recognizing that the patient may attempt suicide is distressing for all health professionals, and for some, it approaches terror (Botega, 2015). </w:t>
      </w:r>
    </w:p>
    <w:p w14:paraId="738DF276" w14:textId="77777777" w:rsidR="00991877" w:rsidRDefault="00000000">
      <w:pPr>
        <w:pBdr>
          <w:top w:val="nil"/>
          <w:left w:val="nil"/>
          <w:bottom w:val="nil"/>
          <w:right w:val="nil"/>
          <w:between w:val="nil"/>
        </w:pBdr>
        <w:spacing w:line="360" w:lineRule="auto"/>
        <w:ind w:firstLine="720"/>
        <w:jc w:val="both"/>
      </w:pPr>
      <w:r>
        <w:t xml:space="preserve">Notably, what could previously have been limiting and could have compromised the efficiency of the psychotherapeutic process due to the experience of fear, now assumes a meaning that enables a new horizon, fostering growth, as seen in Participant 1’s account. Furthermore, the participant normalizes the emotion as an inevitable part of the professional–patient relationship, which appears to help her manage emotional aspects of this subject. Participant 3’s account occurred at a point when psychic defenses were not as intense as at the beginning of the interview. However, it is worth noting that, after this statement, the discussion shifted to a topic in which the participant demonstrated mastery and comfort. It is important to highlight another significant theme: the differentiated state of alertness that a psychologist caring for someone in suicidal crisis may experience. The psychologist must remain attentive, which can generate emotional overload and anguish, an experience that is universal in human existence (Kierkegaard, 2010), albeit more intense in this context. Nevertheless, such anguish does not have to be paralyzing. </w:t>
      </w:r>
    </w:p>
    <w:p w14:paraId="279B8417" w14:textId="77777777" w:rsidR="00991877" w:rsidRDefault="00000000">
      <w:pPr>
        <w:pBdr>
          <w:top w:val="nil"/>
          <w:left w:val="nil"/>
          <w:bottom w:val="nil"/>
          <w:right w:val="nil"/>
          <w:between w:val="nil"/>
        </w:pBdr>
        <w:spacing w:line="360" w:lineRule="auto"/>
        <w:ind w:firstLine="720"/>
        <w:jc w:val="both"/>
      </w:pPr>
      <w:r>
        <w:t xml:space="preserve">It is recognized as a normal response, and it is the psychologist’s responsibility to manage it within the clinical work environment. Anguish and anxiety are expected in these scenarios, and the professional’s inability to experience them may compromise the quality of assessment and therapeutic work. Even difficult-to-endure emotions are part of human relationships and can </w:t>
      </w:r>
      <w:r>
        <w:lastRenderedPageBreak/>
        <w:t xml:space="preserve">become valuable instruments for enhancing clinical practice. Such anguish is necessary because it can later transform into calm and manageable thoughts. Despite experiencing tension, those who care for individuals facing such acute crises often enrich their life experience and create positive processes in both their professional and personal lives (Botega, 2015). </w:t>
      </w:r>
    </w:p>
    <w:p w14:paraId="14273D80" w14:textId="77777777" w:rsidR="00991877" w:rsidRDefault="00000000">
      <w:pPr>
        <w:pBdr>
          <w:top w:val="nil"/>
          <w:left w:val="nil"/>
          <w:bottom w:val="nil"/>
          <w:right w:val="nil"/>
          <w:between w:val="nil"/>
        </w:pBdr>
        <w:spacing w:line="360" w:lineRule="auto"/>
        <w:ind w:firstLine="720"/>
        <w:jc w:val="both"/>
      </w:pPr>
      <w:r>
        <w:t>Participant 4’s statement illustrates the educational and instrumental role emotions can have when the individual experiencing them develops self-awareness and channels the outcome to enhance personal life as well as professional practice. The meaning the participant attributes to the positive side of emotional experience appears to help her in managing it, as well as in her personal life. The personality traits of health professionals play a decisive role in the clinical relational dynamic, and therefore they should be encouraged to observe their own methods and reactions toward patients. To become capable of recognizing one’s own approach to patient care, an intensive exercise of reflection is necessary. Since denying emotions can be risky for both the professional’s well-being and patient care, it is beneficial to recognize and accept these emotional demands and engage in continuous education to manage them effectively (Balint, 2006).</w:t>
      </w:r>
    </w:p>
    <w:p w14:paraId="406F147E" w14:textId="77777777" w:rsidR="00991877" w:rsidRDefault="00991877">
      <w:pPr>
        <w:pBdr>
          <w:top w:val="nil"/>
          <w:left w:val="nil"/>
          <w:bottom w:val="nil"/>
          <w:right w:val="nil"/>
          <w:between w:val="nil"/>
        </w:pBdr>
        <w:spacing w:line="360" w:lineRule="auto"/>
        <w:jc w:val="both"/>
      </w:pPr>
    </w:p>
    <w:p w14:paraId="0071FA12" w14:textId="77777777" w:rsidR="00991877" w:rsidRDefault="00000000">
      <w:pPr>
        <w:pBdr>
          <w:top w:val="nil"/>
          <w:left w:val="nil"/>
          <w:bottom w:val="nil"/>
          <w:right w:val="nil"/>
          <w:between w:val="nil"/>
        </w:pBdr>
        <w:spacing w:line="360" w:lineRule="auto"/>
        <w:jc w:val="both"/>
        <w:rPr>
          <w:b/>
        </w:rPr>
      </w:pPr>
      <w:r>
        <w:rPr>
          <w:b/>
        </w:rPr>
        <w:t xml:space="preserve">Category 3: Practice-based management </w:t>
      </w:r>
    </w:p>
    <w:p w14:paraId="2F934547" w14:textId="77777777" w:rsidR="00991877" w:rsidRDefault="00000000">
      <w:pPr>
        <w:pBdr>
          <w:top w:val="nil"/>
          <w:left w:val="nil"/>
          <w:bottom w:val="nil"/>
          <w:right w:val="nil"/>
          <w:between w:val="nil"/>
        </w:pBdr>
        <w:spacing w:line="360" w:lineRule="auto"/>
        <w:ind w:firstLine="720"/>
        <w:jc w:val="both"/>
      </w:pPr>
      <w:r>
        <w:t>In practical terms, there is a refinement in this type of care as experience increases, allowing psychologists to develop individualized approaches to cases with greater skill. The management of suicidal crises is honed through practice and, when anchored in valid scientific principles, can support more effective clinical approaches more consistently. This does not imply that scientific studies, research, and guidelines lack value or are less important. Nor does it suggest that experience and practical knowledge alone are sufficient. High-quality scientific premises should underpin the psychologist’s clinical practice. However, care for this population involves situations that go beyond what is known “</w:t>
      </w:r>
      <w:r>
        <w:rPr>
          <w:i/>
        </w:rPr>
        <w:t>a priori</w:t>
      </w:r>
      <w:r>
        <w:t xml:space="preserve">”, requiring a different set of personal attributes (Botega, 2015) to achieve positive outcomes. </w:t>
      </w:r>
    </w:p>
    <w:p w14:paraId="3FD58C3C" w14:textId="77777777" w:rsidR="00991877" w:rsidRDefault="00000000">
      <w:pPr>
        <w:pBdr>
          <w:top w:val="nil"/>
          <w:left w:val="nil"/>
          <w:bottom w:val="nil"/>
          <w:right w:val="nil"/>
          <w:between w:val="nil"/>
        </w:pBdr>
        <w:spacing w:line="360" w:lineRule="auto"/>
        <w:ind w:firstLine="720"/>
        <w:jc w:val="both"/>
      </w:pPr>
      <w:r>
        <w:t xml:space="preserve">The accounts of Participant 6 highlight the importance of adopting an attitude of receptiveness to the patient’s anguish, which is, in fact, the very essence of therapy. This approach enables a clinical, therapeutic, and interpersonal relationship that is not protocol-driven, a crucial aspect for efficiently navigating these cases (Balint, 2006). Preventing a suicidal act at all costs, or understanding that human suffering can lead to suicide as a means of coping with intolerable pain, represents a central therapeutic conflict for the professional. Health professionals are trained to </w:t>
      </w:r>
      <w:r>
        <w:lastRenderedPageBreak/>
        <w:t xml:space="preserve">save lives, which can make them perceive the aggressive dimension of suicide as an attack. When the patient’s will to live ceases, the professional may feel confused, given that their vocational role has been confronted (Kovacs, 2013). In this sense, it becomes evident that the professional cannot control another person’s death, just as one cannot control their life. The psychotherapist’s task, therefore, is not to prevent death, but to foster situations in which the patient can experience a sense of being alive (Fukumitsu, 2014). </w:t>
      </w:r>
    </w:p>
    <w:p w14:paraId="7E71BE29" w14:textId="77777777" w:rsidR="00991877" w:rsidRDefault="00000000">
      <w:pPr>
        <w:pBdr>
          <w:top w:val="nil"/>
          <w:left w:val="nil"/>
          <w:bottom w:val="nil"/>
          <w:right w:val="nil"/>
          <w:between w:val="nil"/>
        </w:pBdr>
        <w:spacing w:line="360" w:lineRule="auto"/>
        <w:ind w:firstLine="720"/>
        <w:jc w:val="both"/>
      </w:pPr>
      <w:r>
        <w:t xml:space="preserve">In some accounts, the theme of uncontrollability emerges. In practice, this is experienced as a source of unease in the lives of professionals, generating ethical conflicts of both technical and personal nature. Participant 6’s statements also highlight the importance of availability as a criterion for an effective helping relationship. Primarily, care is essential to manage human hopelessness and despair within the psychotherapeutic process, which is grounded in authentic encounter and genuine human concern (Fukumitsu &amp; Sousa, 2015). Recommendations for practical management in suicidal crises emphasize that mental health professionals must be emotionally available to attend to the patient (Botega et al., 2009), aligning with the points noted above. Death is a taboo topic, often absent from daily discussions, and suicide is the most complex subject within this context. Simplifying explanations can lead to errors and hasty interventions, resulting in significant suffering (Kovacs, 2013). </w:t>
      </w:r>
    </w:p>
    <w:p w14:paraId="6C9923C0" w14:textId="77777777" w:rsidR="00991877" w:rsidRDefault="00000000">
      <w:pPr>
        <w:pBdr>
          <w:top w:val="nil"/>
          <w:left w:val="nil"/>
          <w:bottom w:val="nil"/>
          <w:right w:val="nil"/>
          <w:between w:val="nil"/>
        </w:pBdr>
        <w:spacing w:line="360" w:lineRule="auto"/>
        <w:ind w:firstLine="720"/>
        <w:jc w:val="both"/>
      </w:pPr>
      <w:r>
        <w:t xml:space="preserve">Consequently, professionals may perceive this area as more difficult and complex than initially imagined. It is naturally uncomfortable to care for this population at times, and decisively, the professional may be affected. This emotional mobilization brings the professional into contact with their own questions, anguish, and doubts (Santos, 2007). Such aspects are evident in the statements collected. Self-care is vital for those who work with human crises, as is monitoring one’s capacity to provide care. Professionals must engage in practices that support their mental health, including strategies that facilitate engagement with their own affects, questions, and difficulties, allowing reflection and elaboration processes, such as participation in personal psychotherapy (Botega, 2015). Beyond individual care, group and institutional strategies, such as case discussions, supervision, and informal conversations with colleagues, can promote recognition of emotions inherent in health work, mutual support, and exchange of experiences. Even with these resources, professionals may still experience distress when facing patients in acute, urgent, and unique states of despair. </w:t>
      </w:r>
    </w:p>
    <w:p w14:paraId="49FD7C81" w14:textId="77777777" w:rsidR="00991877" w:rsidRDefault="00000000">
      <w:pPr>
        <w:pBdr>
          <w:top w:val="nil"/>
          <w:left w:val="nil"/>
          <w:bottom w:val="nil"/>
          <w:right w:val="nil"/>
          <w:between w:val="nil"/>
        </w:pBdr>
        <w:spacing w:line="360" w:lineRule="auto"/>
        <w:ind w:firstLine="720"/>
        <w:jc w:val="both"/>
      </w:pPr>
      <w:r>
        <w:lastRenderedPageBreak/>
        <w:t>Opportunities for practice-based preparation may arise, which, in theory, cannot be fully replicated through intellectual or technical discussions distant from real clinical contexts. Regarding Participant 6’s report of being directly affected while attending patients with suicidal ideation, Yalom (2008) suggests that attention to existential issues is both relevant and expected for therapists. Efficient professionals should not base their work solely on theory but on the relational encounter in action. This notion fills the gaps that theory alone may not address. As Yalom (2008) notes, clinical psychologists and educators have long recognized that it is not primarily ideas or theory, but the therapeutic relationship, that “</w:t>
      </w:r>
      <w:r>
        <w:rPr>
          <w:i/>
        </w:rPr>
        <w:t>heals</w:t>
      </w:r>
      <w:r>
        <w:t xml:space="preserve">”. Health professionals encounter various situations related to suicidal behaviors and generally face uncertainty and indecision regarding how to proceed (Bertolote, 2012). This resonates with Participant 6’s experience. Despite feeling insecure and perceiving that the patient’s lived experience goes beyond what manuals describe, the participant affirms that she is an essential tool for successful care of individuals in suicidal crisis. </w:t>
      </w:r>
    </w:p>
    <w:p w14:paraId="1C9E2F2A" w14:textId="77777777" w:rsidR="00991877" w:rsidRDefault="00000000">
      <w:pPr>
        <w:pBdr>
          <w:top w:val="nil"/>
          <w:left w:val="nil"/>
          <w:bottom w:val="nil"/>
          <w:right w:val="nil"/>
          <w:between w:val="nil"/>
        </w:pBdr>
        <w:spacing w:line="360" w:lineRule="auto"/>
        <w:ind w:firstLine="720"/>
        <w:jc w:val="both"/>
      </w:pPr>
      <w:r>
        <w:t xml:space="preserve">Understanding this can facilitate psychologists’ management of emotionally uncomfortable demands, transforming them into calm confidence, a key personal attribute for effectively providing care to such patients (Botega, 2015). Suicide clinics deal with the unexpected and extreme situations involving pain, despair, and exceptional limits. This requires technical and personal resources that engage subjective aspects. Physicians deal with health and disease, while psychologists deal with despair (Feijoo, 2015). Complex, delicate, and distressing clinical situations necessitate strategies that consider the singularity of encounters within settings addressing human despair. Skills must go beyond purely intellectual knowledge and generalist protocols, requiring empathetic listening, readiness, sensitivity, flexibility, and efficiency. Finally, an additional insight from the interviews is the importance of this type of research in promoting awareness, reflection, and new attitudes regarding professional practice. </w:t>
      </w:r>
    </w:p>
    <w:p w14:paraId="7B8430FA" w14:textId="77777777" w:rsidR="00991877" w:rsidRDefault="00000000">
      <w:pPr>
        <w:pBdr>
          <w:top w:val="nil"/>
          <w:left w:val="nil"/>
          <w:bottom w:val="nil"/>
          <w:right w:val="nil"/>
          <w:between w:val="nil"/>
        </w:pBdr>
        <w:spacing w:line="360" w:lineRule="auto"/>
        <w:ind w:firstLine="720"/>
        <w:jc w:val="both"/>
      </w:pPr>
      <w:r>
        <w:t>During data collection, some participants recognized aspects of their own emotional experiences and clinical practice they had never considered before. Such reflections may also benefit the audience of this research, enhancing awareness, fostering new meanings, and improving professional practice. Ultimately, this contributes to the construction of a more coherent management approach, aligned with valid scientific premises and adapted to the realities of clinical settings.</w:t>
      </w:r>
    </w:p>
    <w:p w14:paraId="1957D50B" w14:textId="77777777" w:rsidR="00991877" w:rsidRDefault="00000000">
      <w:pPr>
        <w:pBdr>
          <w:top w:val="nil"/>
          <w:left w:val="nil"/>
          <w:bottom w:val="nil"/>
          <w:right w:val="nil"/>
          <w:between w:val="nil"/>
        </w:pBdr>
        <w:spacing w:line="360" w:lineRule="auto"/>
        <w:ind w:firstLine="720"/>
        <w:jc w:val="both"/>
      </w:pPr>
      <w:r>
        <w:lastRenderedPageBreak/>
        <w:t xml:space="preserve">The research confirmed that attending to patients in suicidal crisis is extremely demanding from a psychological perspective for the professional. It is common for contact with these patients to evoke ambivalent and difficult-to-manage feelings in psychologists, such as helplessness and anger, which coexist with empathy and a sense of professional usefulness. These affects are not only challenging to manage but also difficult to recognize and share with colleagues. In addition to generating intense suffering in professionals, these challenges can create difficulties in clinical relationships, potentially compromising treatment. Therefore, it is essential that professionals have access to mental health support, such as personal psychotherapy and opportunities to share experiences with colleagues. </w:t>
      </w:r>
    </w:p>
    <w:p w14:paraId="5994C1F7" w14:textId="77777777" w:rsidR="00991877" w:rsidRDefault="00000000">
      <w:pPr>
        <w:pBdr>
          <w:top w:val="nil"/>
          <w:left w:val="nil"/>
          <w:bottom w:val="nil"/>
          <w:right w:val="nil"/>
          <w:between w:val="nil"/>
        </w:pBdr>
        <w:spacing w:line="360" w:lineRule="auto"/>
        <w:ind w:firstLine="720"/>
        <w:jc w:val="both"/>
      </w:pPr>
      <w:r>
        <w:t xml:space="preserve">Since part of this care takes place in healthcare institutions, such as hospitals and mental health services, it is also recommended that these organizations provide strategies for support and reflection for professionals. Clinical case discussions and institutional clinical supervision, for example, can facilitate the recognition of emotional responses and their impact on work, as well as promote mutual support and the exchange of different strategies for coping with difficult situations. Thus, this study constitutes a contemporary contribution to the topic, as the reflections shared by participants may mirror the emotions experienced by other professionals working with suicidal crises, who, due to the cumulative distress associated with this subject, may have previously neglected such reflections. </w:t>
      </w:r>
    </w:p>
    <w:p w14:paraId="3AE1F8B2" w14:textId="77777777" w:rsidR="00991877" w:rsidRDefault="00000000">
      <w:pPr>
        <w:pBdr>
          <w:top w:val="nil"/>
          <w:left w:val="nil"/>
          <w:bottom w:val="nil"/>
          <w:right w:val="nil"/>
          <w:between w:val="nil"/>
        </w:pBdr>
        <w:spacing w:line="360" w:lineRule="auto"/>
        <w:ind w:firstLine="720"/>
        <w:jc w:val="both"/>
      </w:pPr>
      <w:r>
        <w:t>Considering the magnitude of the problem in Brazil, it is evident that a significant number of professionals deal with suicidal crises and would benefit from these reflections. A limitation of this study is that, at the time of the interviews, the researcher had previously worked with some of the participants. To mitigate this, she conducted an intensive process of distancing and unfamiliarization with the participants prior to the start of the study.</w:t>
      </w:r>
    </w:p>
    <w:p w14:paraId="0A0EA7F3" w14:textId="77777777" w:rsidR="00991877" w:rsidRDefault="00991877">
      <w:pPr>
        <w:pBdr>
          <w:top w:val="nil"/>
          <w:left w:val="nil"/>
          <w:bottom w:val="nil"/>
          <w:right w:val="nil"/>
          <w:between w:val="nil"/>
        </w:pBdr>
        <w:spacing w:line="360" w:lineRule="auto"/>
        <w:ind w:firstLine="708"/>
        <w:jc w:val="both"/>
        <w:rPr>
          <w:color w:val="000000"/>
        </w:rPr>
      </w:pPr>
    </w:p>
    <w:p w14:paraId="6F4DBC3D" w14:textId="77777777" w:rsidR="00991877" w:rsidRDefault="00991877">
      <w:pPr>
        <w:pBdr>
          <w:top w:val="nil"/>
          <w:left w:val="nil"/>
          <w:bottom w:val="nil"/>
          <w:right w:val="nil"/>
          <w:between w:val="nil"/>
        </w:pBdr>
        <w:spacing w:line="360" w:lineRule="auto"/>
        <w:ind w:firstLine="708"/>
        <w:jc w:val="both"/>
        <w:rPr>
          <w:color w:val="000000"/>
        </w:rPr>
      </w:pPr>
    </w:p>
    <w:p w14:paraId="143B5B63" w14:textId="77777777" w:rsidR="00991877" w:rsidRDefault="00000000">
      <w:pPr>
        <w:pBdr>
          <w:top w:val="nil"/>
          <w:left w:val="nil"/>
          <w:bottom w:val="nil"/>
          <w:right w:val="nil"/>
          <w:between w:val="nil"/>
        </w:pBdr>
        <w:spacing w:line="360" w:lineRule="auto"/>
        <w:ind w:firstLine="708"/>
        <w:jc w:val="both"/>
        <w:rPr>
          <w:color w:val="000000"/>
        </w:rPr>
      </w:pPr>
      <w:r>
        <w:br w:type="page"/>
      </w:r>
    </w:p>
    <w:p w14:paraId="442D95BE" w14:textId="77777777" w:rsidR="00991877" w:rsidRDefault="00000000">
      <w:pPr>
        <w:pBdr>
          <w:top w:val="nil"/>
          <w:left w:val="nil"/>
          <w:bottom w:val="nil"/>
          <w:right w:val="nil"/>
          <w:between w:val="nil"/>
        </w:pBdr>
        <w:jc w:val="center"/>
        <w:rPr>
          <w:b/>
          <w:color w:val="000000"/>
        </w:rPr>
      </w:pPr>
      <w:r>
        <w:rPr>
          <w:b/>
          <w:color w:val="000000"/>
        </w:rPr>
        <w:lastRenderedPageBreak/>
        <w:t>References</w:t>
      </w:r>
    </w:p>
    <w:p w14:paraId="23D67D61" w14:textId="77777777" w:rsidR="00991877" w:rsidRDefault="00991877">
      <w:pPr>
        <w:pBdr>
          <w:top w:val="nil"/>
          <w:left w:val="nil"/>
          <w:bottom w:val="nil"/>
          <w:right w:val="nil"/>
          <w:between w:val="nil"/>
        </w:pBdr>
        <w:jc w:val="center"/>
        <w:rPr>
          <w:b/>
          <w:color w:val="000000"/>
        </w:rPr>
      </w:pPr>
    </w:p>
    <w:p w14:paraId="7694C688" w14:textId="77777777" w:rsidR="00991877" w:rsidRDefault="00000000">
      <w:pPr>
        <w:ind w:left="720" w:hanging="720"/>
        <w:jc w:val="both"/>
      </w:pPr>
      <w:r>
        <w:t>Balint, M. (2006). O médico, seu paciente e a doença (1. ed.). Atheneu.</w:t>
      </w:r>
    </w:p>
    <w:p w14:paraId="44913682" w14:textId="77777777" w:rsidR="00991877" w:rsidRDefault="00000000">
      <w:pPr>
        <w:ind w:left="720" w:hanging="720"/>
        <w:jc w:val="both"/>
      </w:pPr>
      <w:r>
        <w:t>Becker, E. (2007). A negação da morte (3ª ed.). Editora Record.</w:t>
      </w:r>
    </w:p>
    <w:p w14:paraId="11E4F0AC" w14:textId="77777777" w:rsidR="00991877" w:rsidRDefault="00000000">
      <w:pPr>
        <w:ind w:left="720" w:hanging="720"/>
        <w:jc w:val="both"/>
      </w:pPr>
      <w:r>
        <w:t>Bertolote, J. M. (2012). O suicídio e sua prevenção. Editora Unesp.</w:t>
      </w:r>
    </w:p>
    <w:p w14:paraId="16F1A8FD" w14:textId="77777777" w:rsidR="00991877" w:rsidRDefault="00000000">
      <w:pPr>
        <w:ind w:left="720" w:hanging="720"/>
        <w:jc w:val="both"/>
      </w:pPr>
      <w:r>
        <w:t>Botega, N. J. (2015). Crise suicida: avaliação e manejo. Artmed.</w:t>
      </w:r>
    </w:p>
    <w:p w14:paraId="4FECB5B8" w14:textId="77777777" w:rsidR="00991877" w:rsidRDefault="00000000">
      <w:pPr>
        <w:ind w:left="720" w:hanging="720"/>
        <w:jc w:val="both"/>
      </w:pPr>
      <w:r>
        <w:t xml:space="preserve">Botega, N. J., D'Oliveira, C. F. A., Cais, C. F. S., &amp; Stefanelo, S. (2009). Prevenção do suicídio: Manual dirigido a profissionais da saúde da atenção básica. Unicamp. </w:t>
      </w:r>
    </w:p>
    <w:p w14:paraId="47043C72" w14:textId="77777777" w:rsidR="00991877" w:rsidRDefault="00000000">
      <w:pPr>
        <w:ind w:left="720" w:hanging="720"/>
        <w:jc w:val="both"/>
      </w:pPr>
      <w:r>
        <w:t>Farias, B. R. (2018). Psicologia, suicídio e culpabilização. In A. M. L. Feijoo (Org.), Suicídio: entre o morrer e o viver (1. ed.). IFEN.</w:t>
      </w:r>
    </w:p>
    <w:p w14:paraId="088FAAC6" w14:textId="77777777" w:rsidR="00991877" w:rsidRDefault="00000000">
      <w:pPr>
        <w:ind w:left="720" w:hanging="720"/>
        <w:jc w:val="both"/>
      </w:pPr>
      <w:r>
        <w:t>Faria-Schutze, D. B., Surita, F. G. C., Alves, V. L. P., Bastos, R. A., Campos, C. J. G., &amp; Turato, E. R. (2019). Seven steps for qualitative treatment in health research: The Clinical-Qualitative Content Analysis. Cien Saude Colet, 24(11), 4329–4342. https://doi.org/10.1590/1413-81232020261.07622019</w:t>
      </w:r>
    </w:p>
    <w:p w14:paraId="0A971ABE" w14:textId="77777777" w:rsidR="00991877" w:rsidRDefault="00000000">
      <w:pPr>
        <w:ind w:left="720" w:hanging="720"/>
        <w:jc w:val="both"/>
      </w:pPr>
      <w:r>
        <w:t>Feijoo, A. M. L. C., Protasio, M. M., Gill, D., &amp; Veríssimo, L. J. (2015). Kierkegaard, a Escola da Angústia e a psicoterapia. Psicologia: Ciência e Profissão, 35(2), 572–583. https://doi.org/10.1590/1982-370300912013</w:t>
      </w:r>
    </w:p>
    <w:p w14:paraId="61E98FF6" w14:textId="77777777" w:rsidR="00991877" w:rsidRDefault="00000000">
      <w:pPr>
        <w:ind w:left="720" w:hanging="720"/>
        <w:jc w:val="both"/>
      </w:pPr>
      <w:r>
        <w:t>Fontanella, B. J. B., Ricas, J., &amp; Turato, E. R. (2008). Amostragem por saturação em pesquisas qualitativas em saúde: contribuições teóricas. Cadernos de Saúde Pública, 24(1), 17–27. https://doi.org/10.1590/S0102-311X2008000100003</w:t>
      </w:r>
    </w:p>
    <w:p w14:paraId="5844BF43" w14:textId="77777777" w:rsidR="00991877" w:rsidRDefault="00000000">
      <w:pPr>
        <w:ind w:left="720" w:hanging="720"/>
        <w:jc w:val="both"/>
      </w:pPr>
      <w:r>
        <w:t>Fukumitsu, K. O. (2014). O psicoterapeuta diante do comportamento suicida. Psicologia USP, 25(3), 270–275. https://doi.org/10.1590/0103-6564D20140001</w:t>
      </w:r>
    </w:p>
    <w:p w14:paraId="606A4095" w14:textId="77777777" w:rsidR="00991877" w:rsidRDefault="00000000">
      <w:pPr>
        <w:ind w:left="720" w:hanging="720"/>
        <w:jc w:val="both"/>
      </w:pPr>
      <w:r>
        <w:t>Fukumitsu, K. O. (2015). Suicídio: do desalojamento do ser ao desertor de si mesmo. In Revista USP “Direitos Humanos” (119a ed.). Universidade de São Paulo. https://www.revistas.usp.br/revusp/issue/view/10869</w:t>
      </w:r>
    </w:p>
    <w:p w14:paraId="673C8CC3" w14:textId="77777777" w:rsidR="00991877" w:rsidRDefault="00000000">
      <w:pPr>
        <w:ind w:left="720" w:hanging="720"/>
        <w:jc w:val="both"/>
      </w:pPr>
      <w:r>
        <w:t>Fukumitsu, K. O., &amp; Sousa, F. B. de. (2015). O cuidado como fator de proteção do suicídio. Revista Brasileira de Psicologia, 2(2), 28–32. https://periodicos.ufba.br/index.php/revbraspsicol/issue/view/1840</w:t>
      </w:r>
    </w:p>
    <w:p w14:paraId="18F0FF9E" w14:textId="77777777" w:rsidR="00991877" w:rsidRDefault="00000000">
      <w:pPr>
        <w:ind w:left="720" w:hanging="720"/>
        <w:jc w:val="both"/>
      </w:pPr>
      <w:r>
        <w:t>Giacchero Vedana, K. G., Magrini, D. F., Zanetti, A. C. G., Miasso, A. I., Borges, T. L., &amp; Dos Santos, M. A. (2017). Attitudes towards suicidal behaviour and associated factors among nursing professionals: A quantitative study. Journal of Psychiatric and Mental Health Nursing, 24(9), 651–659. https://doi.org/10.1111/jpm.12413</w:t>
      </w:r>
    </w:p>
    <w:p w14:paraId="708AFDA7" w14:textId="77777777" w:rsidR="00991877" w:rsidRDefault="00000000">
      <w:pPr>
        <w:ind w:left="720" w:hanging="720"/>
        <w:jc w:val="both"/>
      </w:pPr>
      <w:r>
        <w:t>Kierkegaard, S. (2010). O conceito de angústia (A. L. M. Valls, Trad.). Vozes.</w:t>
      </w:r>
    </w:p>
    <w:p w14:paraId="1F31E4C9" w14:textId="77777777" w:rsidR="00991877" w:rsidRDefault="00000000">
      <w:pPr>
        <w:ind w:left="720" w:hanging="720"/>
        <w:jc w:val="both"/>
      </w:pPr>
      <w:r>
        <w:t>Kovacs, M. J. (2013). Revisão crítica sobre conflitos éticos envolvidos na situação de suicídio. Psicol. Teor. Prat., 15(3), 103–120. http://pepsic.bvsalud.org/scielo.php?script=sci_arttext&amp;pid=S1516-36872013000300005</w:t>
      </w:r>
    </w:p>
    <w:p w14:paraId="5822A2E6" w14:textId="77777777" w:rsidR="00991877" w:rsidRDefault="00000000">
      <w:pPr>
        <w:ind w:left="720" w:hanging="720"/>
        <w:jc w:val="both"/>
      </w:pPr>
      <w:r>
        <w:t>Muñoz-Sánchez, J. L., Sánchez-Gómez, M. C., Martín-Cilleros, M. V., Parra-Vidales, E., De Leo, D., &amp; Franco-Martín, M. A. (2018). Addressing suicide risk according to different healthcare professionals in Spain: a qualitative study. International Journal of Environmental Research and Public Health, 15(10), 2117. https://doi.org/10.3390/ijerph15102117</w:t>
      </w:r>
    </w:p>
    <w:p w14:paraId="43D02E04" w14:textId="77777777" w:rsidR="00991877" w:rsidRDefault="00000000">
      <w:pPr>
        <w:ind w:left="720" w:hanging="720"/>
        <w:jc w:val="both"/>
      </w:pPr>
      <w:r>
        <w:t>Rothes, I., &amp; Henriques, M. (2018). Health professionals facing suicidal patients: What are their clinical practices? International Journal of Environmental Research and Public Health, 15(12), 1210. https://doi.org/10.3390/ijerph15121210</w:t>
      </w:r>
    </w:p>
    <w:p w14:paraId="24822ED7" w14:textId="77777777" w:rsidR="00991877" w:rsidRDefault="00000000">
      <w:pPr>
        <w:ind w:left="720" w:hanging="720"/>
        <w:jc w:val="both"/>
      </w:pPr>
      <w:r>
        <w:lastRenderedPageBreak/>
        <w:t>Santos, A. B. B. (2007). A primeira hora: as dificuldades e desafios dos profissionais de psicologia em tratar e compreender pacientes com ideação ou tentativa de suicídio (Tese de Mestrado). Universidade de São Paulo.</w:t>
      </w:r>
    </w:p>
    <w:p w14:paraId="314BAA59" w14:textId="77777777" w:rsidR="00991877" w:rsidRDefault="00000000">
      <w:pPr>
        <w:ind w:left="720" w:hanging="720"/>
        <w:jc w:val="both"/>
      </w:pPr>
      <w:r>
        <w:t>Turato, E. R. (2013). Tratado da metodologia da pesquisa clínico-qualitativa: Construção teórico-epistemológica, discussão comparada e aplicação às áreas da saúde e humanas (6. ed.). Vozes.</w:t>
      </w:r>
    </w:p>
    <w:p w14:paraId="3ED2F3AC" w14:textId="77777777" w:rsidR="00991877" w:rsidRDefault="00000000">
      <w:pPr>
        <w:ind w:left="720" w:hanging="720"/>
        <w:jc w:val="both"/>
      </w:pPr>
      <w:r>
        <w:t>World Health Organization. (2018). Global health estimates. Geneva.</w:t>
      </w:r>
    </w:p>
    <w:p w14:paraId="3DDAD112" w14:textId="77777777" w:rsidR="00991877" w:rsidRDefault="00000000">
      <w:pPr>
        <w:ind w:left="720" w:hanging="720"/>
        <w:jc w:val="both"/>
      </w:pPr>
      <w:r>
        <w:t>Yalom, I. D. (2008). De frente para o sol: Como superar o terror da morte (D. L. Schiller, Trad.). Agir.</w:t>
      </w:r>
    </w:p>
    <w:p w14:paraId="0E93733D" w14:textId="77777777" w:rsidR="00991877" w:rsidRDefault="00000000">
      <w:pPr>
        <w:ind w:left="720" w:hanging="720"/>
        <w:jc w:val="both"/>
      </w:pPr>
      <w:r>
        <w:t>Zana, A. R. O., &amp; Kovacs, M. J. (2013). O psicólogo e o atendimento a pacientes com ideação ou tentativa de suicídio. Estudos de Psicologia, 13(3), 897–921. http://pepsic.bvsalud.org/scielo.php?script=sci_abstract&amp;pid=S1808-42812013000300006</w:t>
      </w:r>
    </w:p>
    <w:p w14:paraId="49B89A84" w14:textId="77777777" w:rsidR="00991877" w:rsidRDefault="00991877">
      <w:pPr>
        <w:ind w:left="720" w:hanging="720"/>
        <w:jc w:val="both"/>
      </w:pPr>
    </w:p>
    <w:p w14:paraId="31AB71A2" w14:textId="4603BEBD" w:rsidR="00991877" w:rsidRDefault="00991877" w:rsidP="00AA1872">
      <w:pPr>
        <w:jc w:val="both"/>
      </w:pPr>
    </w:p>
    <w:p w14:paraId="1933217B" w14:textId="77777777" w:rsidR="00991877" w:rsidRDefault="00991877">
      <w:pPr>
        <w:ind w:left="720" w:hanging="720"/>
        <w:jc w:val="both"/>
      </w:pPr>
    </w:p>
    <w:p w14:paraId="5998260D" w14:textId="77777777" w:rsidR="00991877" w:rsidRDefault="00000000">
      <w:pPr>
        <w:shd w:val="clear" w:color="auto" w:fill="FFFFFF"/>
        <w:jc w:val="right"/>
        <w:rPr>
          <w:i/>
          <w:sz w:val="20"/>
          <w:szCs w:val="20"/>
        </w:rPr>
      </w:pPr>
      <w:r>
        <w:rPr>
          <w:i/>
          <w:sz w:val="20"/>
          <w:szCs w:val="20"/>
        </w:rPr>
        <w:t xml:space="preserve">Received: </w:t>
      </w:r>
    </w:p>
    <w:p w14:paraId="3CF8ADAB" w14:textId="77777777" w:rsidR="00991877" w:rsidRDefault="00000000">
      <w:pPr>
        <w:shd w:val="clear" w:color="auto" w:fill="FFFFFF"/>
        <w:jc w:val="right"/>
        <w:rPr>
          <w:i/>
          <w:sz w:val="20"/>
          <w:szCs w:val="20"/>
        </w:rPr>
      </w:pPr>
      <w:r>
        <w:rPr>
          <w:i/>
          <w:sz w:val="20"/>
          <w:szCs w:val="20"/>
        </w:rPr>
        <w:t>Accepted:</w:t>
      </w:r>
      <w:r>
        <w:rPr>
          <w:rFonts w:ascii="Quattrocento Sans" w:eastAsia="Quattrocento Sans" w:hAnsi="Quattrocento Sans" w:cs="Quattrocento Sans"/>
          <w:sz w:val="21"/>
          <w:szCs w:val="21"/>
        </w:rPr>
        <w:t xml:space="preserve"> </w:t>
      </w:r>
    </w:p>
    <w:sectPr w:rsidR="00991877">
      <w:headerReference w:type="even" r:id="rId9"/>
      <w:headerReference w:type="default" r:id="rId10"/>
      <w:footerReference w:type="even"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EEB24" w14:textId="77777777" w:rsidR="00017701" w:rsidRDefault="00017701">
      <w:r>
        <w:separator/>
      </w:r>
    </w:p>
  </w:endnote>
  <w:endnote w:type="continuationSeparator" w:id="0">
    <w:p w14:paraId="2A380FFA" w14:textId="77777777" w:rsidR="00017701" w:rsidRDefault="00017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1"/>
    <w:family w:val="roman"/>
    <w:pitch w:val="variable"/>
    <w:sig w:usb0="E0002EFF" w:usb1="C000785B" w:usb2="00000009" w:usb3="00000000" w:csb0="000001FF" w:csb1="00000000"/>
    <w:embedRegular r:id="rId1" w:fontKey="{624776FD-91D3-BE4C-8E07-8F6A8A29CEA7}"/>
    <w:embedBold r:id="rId2" w:fontKey="{46946C56-51D0-1B4D-A0EB-E1A0C80BB08C}"/>
    <w:embedItalic r:id="rId3" w:fontKey="{613D30E2-78F6-8E40-A4DA-BD01C99394A1}"/>
    <w:embedBoldItalic r:id="rId4" w:fontKey="{5506EE6C-EE41-E042-9AED-04989637D5F9}"/>
  </w:font>
  <w:font w:name="Calibri">
    <w:panose1 w:val="020F0502020204030204"/>
    <w:charset w:val="00"/>
    <w:family w:val="swiss"/>
    <w:pitch w:val="variable"/>
    <w:sig w:usb0="E0002AFF" w:usb1="C000247B" w:usb2="00000009" w:usb3="00000000" w:csb0="000001FF" w:csb1="00000000"/>
    <w:embedRegular r:id="rId5" w:fontKey="{2CA5629B-1A37-AD4D-8260-0F3D50E64613}"/>
  </w:font>
  <w:font w:name="Times">
    <w:altName w:val="Times New Roman"/>
    <w:panose1 w:val="00000500000000020000"/>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E040FB97-732D-F440-8320-DFBF42332F2B}"/>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0" w:fontKey="{9BFD444D-4631-1F4D-81E3-F5EC383ADFA3}"/>
    <w:embedItalic r:id="rId11" w:fontKey="{01CF272A-691B-1344-AD5B-102D3989BE32}"/>
  </w:font>
  <w:font w:name="Quattrocento Sans">
    <w:panose1 w:val="020B0502050000020003"/>
    <w:charset w:val="00"/>
    <w:family w:val="swiss"/>
    <w:pitch w:val="variable"/>
    <w:sig w:usb0="800000BF" w:usb1="4000005B" w:usb2="00000000" w:usb3="00000000" w:csb0="00000001" w:csb1="00000000"/>
    <w:embedRegular r:id="rId12" w:fontKey="{FE18545C-AD83-4945-8B85-6A4AB000C2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EAB23" w14:textId="6F1E976D" w:rsidR="00991877"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AA1872">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06C8147E" w14:textId="77777777" w:rsidR="00991877" w:rsidRDefault="00991877">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46C8A" w14:textId="77777777" w:rsidR="00991877"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AA1872">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4E04A27A" w14:textId="77777777" w:rsidR="00991877" w:rsidRDefault="00991877">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08001" w14:textId="77777777" w:rsidR="00017701" w:rsidRDefault="00017701">
      <w:r>
        <w:separator/>
      </w:r>
    </w:p>
  </w:footnote>
  <w:footnote w:type="continuationSeparator" w:id="0">
    <w:p w14:paraId="64B4BC1E" w14:textId="77777777" w:rsidR="00017701" w:rsidRDefault="000177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59E6E" w14:textId="77777777" w:rsidR="00991877"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Pr>
        <w:rFonts w:ascii="Times" w:eastAsia="Times" w:hAnsi="Times" w:cs="Times"/>
        <w:smallCaps/>
        <w:color w:val="000000"/>
        <w:sz w:val="20"/>
        <w:szCs w:val="20"/>
      </w:rPr>
      <w:t>Manuscript submission model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03D14" w14:textId="77777777" w:rsidR="00991877"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Psicología/Interamerican Journal of Psychology</w:t>
    </w:r>
    <w:r>
      <w:rPr>
        <w:noProof/>
      </w:rPr>
      <w:drawing>
        <wp:anchor distT="0" distB="0" distL="114300" distR="114300" simplePos="0" relativeHeight="251658240" behindDoc="0" locked="0" layoutInCell="1" hidden="0" allowOverlap="1" wp14:anchorId="055A8CD5" wp14:editId="7DD96E0A">
          <wp:simplePos x="0" y="0"/>
          <wp:positionH relativeFrom="column">
            <wp:posOffset>64658</wp:posOffset>
          </wp:positionH>
          <wp:positionV relativeFrom="paragraph">
            <wp:posOffset>-253534</wp:posOffset>
          </wp:positionV>
          <wp:extent cx="681164" cy="628073"/>
          <wp:effectExtent l="0" t="0" r="0" b="0"/>
          <wp:wrapNone/>
          <wp:docPr id="77837360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04741C1C" w14:textId="77777777" w:rsidR="00991877"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color w:val="000000"/>
        <w:sz w:val="18"/>
        <w:szCs w:val="18"/>
      </w:rPr>
      <w:t>Manuscript submission model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877"/>
    <w:rsid w:val="00017701"/>
    <w:rsid w:val="00896464"/>
    <w:rsid w:val="00991877"/>
    <w:rsid w:val="00AA18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7CA5F697"/>
  <w15:docId w15:val="{583F26C6-88CB-D24D-8F8D-14FBBFBDC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rPr>
  </w:style>
  <w:style w:type="paragraph" w:customStyle="1" w:styleId="Resumen">
    <w:name w:val="Resumen"/>
    <w:basedOn w:val="Normal"/>
    <w:autoRedefine/>
    <w:qFormat/>
    <w:rsid w:val="007E3B8D"/>
    <w:pPr>
      <w:jc w:val="both"/>
    </w:pPr>
    <w:rPr>
      <w:sz w:val="20"/>
      <w:szCs w:val="20"/>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rPr>
  </w:style>
  <w:style w:type="paragraph" w:customStyle="1" w:styleId="NombresAutores">
    <w:name w:val="Nombres Autores"/>
    <w:basedOn w:val="Normal"/>
    <w:qFormat/>
    <w:rsid w:val="00CE7D65"/>
    <w:rPr>
      <w:b/>
      <w:color w:val="222222"/>
      <w:sz w:val="28"/>
      <w:szCs w:val="28"/>
    </w:rPr>
  </w:style>
  <w:style w:type="paragraph" w:customStyle="1" w:styleId="Instituciones">
    <w:name w:val="Instituciones"/>
    <w:basedOn w:val="Normal"/>
    <w:qFormat/>
    <w:rsid w:val="00CE7D65"/>
    <w:rPr>
      <w:i/>
      <w:sz w:val="28"/>
      <w:szCs w:val="28"/>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2">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table" w:customStyle="1" w:styleId="a">
    <w:basedOn w:val="TableNormal2"/>
    <w:rPr>
      <w:rFonts w:eastAsia="Times New Roman"/>
    </w:rPr>
    <w:tblPr>
      <w:tblStyleRowBandSize w:val="1"/>
      <w:tblStyleColBandSize w:val="1"/>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t1LW69yP5SnYPu0RMAUttCdgrw==">CgMxLjAaHwoBMBIaChgICVIUChJ0YWJsZS52ZjRoYW03c3FmZ2YaHwoBMRIaChgICVIUChJ0YWJsZS52d3hzbGFrNDQwejI4AHIhMUZ2bHRKWS1oVEpyWjVSMDB2dVRraDlBUG9wRWwtc2E0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5508</Words>
  <Characters>29746</Characters>
  <Application>Microsoft Office Word</Application>
  <DocSecurity>0</DocSecurity>
  <Lines>247</Lines>
  <Paragraphs>70</Paragraphs>
  <ScaleCrop>false</ScaleCrop>
  <Company/>
  <LinksUpToDate>false</LinksUpToDate>
  <CharactersWithSpaces>35184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Caio Arato</cp:lastModifiedBy>
  <cp:revision>2</cp:revision>
  <dcterms:created xsi:type="dcterms:W3CDTF">2020-09-09T19:59:00Z</dcterms:created>
  <dcterms:modified xsi:type="dcterms:W3CDTF">2025-09-04T13:14:00Z</dcterms:modified>
</cp:coreProperties>
</file>