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0BA0E" w14:textId="70BDC110" w:rsidR="004F0737" w:rsidRDefault="00E3283F">
      <w:pPr>
        <w:pBdr>
          <w:top w:val="nil"/>
          <w:left w:val="nil"/>
          <w:bottom w:val="nil"/>
          <w:right w:val="nil"/>
          <w:between w:val="nil"/>
        </w:pBdr>
        <w:jc w:val="center"/>
        <w:rPr>
          <w:b/>
          <w:color w:val="000000"/>
          <w:sz w:val="36"/>
          <w:szCs w:val="36"/>
        </w:rPr>
      </w:pPr>
      <w:r>
        <w:rPr>
          <w:b/>
          <w:color w:val="000000"/>
          <w:sz w:val="36"/>
          <w:szCs w:val="36"/>
        </w:rPr>
        <w:t xml:space="preserve">EQ vs IQ </w:t>
      </w:r>
      <w:r w:rsidR="00617C46">
        <w:rPr>
          <w:b/>
          <w:color w:val="000000"/>
          <w:sz w:val="36"/>
          <w:szCs w:val="36"/>
        </w:rPr>
        <w:t>in the OR: Surgeon Temperament</w:t>
      </w:r>
      <w:r w:rsidR="00215D9B">
        <w:rPr>
          <w:b/>
          <w:color w:val="000000"/>
          <w:sz w:val="36"/>
          <w:szCs w:val="36"/>
        </w:rPr>
        <w:t xml:space="preserve"> and Its Role in Patient-Specific Implant Surgery</w:t>
      </w:r>
    </w:p>
    <w:p w14:paraId="79EE5E8F" w14:textId="77777777" w:rsidR="004F0737" w:rsidRDefault="004F0737">
      <w:pPr>
        <w:rPr>
          <w:b/>
        </w:rPr>
      </w:pPr>
    </w:p>
    <w:p w14:paraId="48AE8BFC" w14:textId="77777777" w:rsidR="004F0737" w:rsidRDefault="004F0737">
      <w:pPr>
        <w:rPr>
          <w:i/>
          <w:sz w:val="28"/>
          <w:szCs w:val="28"/>
        </w:rPr>
      </w:pPr>
    </w:p>
    <w:p w14:paraId="6B3D1BEF" w14:textId="77777777" w:rsidR="004F0737" w:rsidRDefault="00B77F2E">
      <w:pPr>
        <w:rPr>
          <w:rFonts w:ascii="Times" w:eastAsia="Times" w:hAnsi="Times" w:cs="Times"/>
          <w:i/>
          <w:sz w:val="28"/>
          <w:szCs w:val="28"/>
        </w:rPr>
      </w:pPr>
      <w:r>
        <w:rPr>
          <w:noProof/>
        </w:rPr>
        <mc:AlternateContent>
          <mc:Choice Requires="wpg">
            <w:drawing>
              <wp:anchor distT="4294967295" distB="4294967295" distL="114300" distR="114300" simplePos="0" relativeHeight="251658240" behindDoc="0" locked="0" layoutInCell="1" hidden="0" allowOverlap="1" wp14:anchorId="6566E5F4" wp14:editId="37909E54">
                <wp:simplePos x="0" y="0"/>
                <wp:positionH relativeFrom="column">
                  <wp:posOffset>1</wp:posOffset>
                </wp:positionH>
                <wp:positionV relativeFrom="paragraph">
                  <wp:posOffset>55896</wp:posOffset>
                </wp:positionV>
                <wp:extent cx="6172200" cy="25400"/>
                <wp:effectExtent l="0" t="0" r="0" b="0"/>
                <wp:wrapNone/>
                <wp:docPr id="23" name="Straight Arrow Connector 23"/>
                <wp:cNvGraphicFramePr/>
                <a:graphic xmlns:a="http://schemas.openxmlformats.org/drawingml/2006/main">
                  <a:graphicData uri="http://schemas.microsoft.com/office/word/2010/wordprocessingShape">
                    <wps:wsp>
                      <wps:cNvCnPr/>
                      <wps:spPr>
                        <a:xfrm>
                          <a:off x="2259900" y="3780000"/>
                          <a:ext cx="6172200" cy="0"/>
                        </a:xfrm>
                        <a:prstGeom prst="straightConnector1">
                          <a:avLst/>
                        </a:prstGeom>
                        <a:noFill/>
                        <a:ln w="25400"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cr="http://schemas.microsoft.com/office/comments/2020/reactions">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55896</wp:posOffset>
                </wp:positionV>
                <wp:extent cx="6172200" cy="25400"/>
                <wp:effectExtent b="0" l="0" r="0" t="0"/>
                <wp:wrapNone/>
                <wp:docPr id="2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172200" cy="25400"/>
                        </a:xfrm>
                        <a:prstGeom prst="rect"/>
                        <a:ln/>
                      </pic:spPr>
                    </pic:pic>
                  </a:graphicData>
                </a:graphic>
              </wp:anchor>
            </w:drawing>
          </mc:Fallback>
        </mc:AlternateContent>
      </w:r>
    </w:p>
    <w:p w14:paraId="2265946A" w14:textId="77777777" w:rsidR="004F0737" w:rsidRDefault="004F0737">
      <w:pPr>
        <w:rPr>
          <w:b/>
          <w:sz w:val="20"/>
          <w:szCs w:val="20"/>
        </w:rPr>
      </w:pPr>
    </w:p>
    <w:p w14:paraId="2DFB7243" w14:textId="77777777" w:rsidR="004F0737" w:rsidRDefault="00B77F2E">
      <w:pPr>
        <w:pBdr>
          <w:top w:val="nil"/>
          <w:left w:val="nil"/>
          <w:bottom w:val="nil"/>
          <w:right w:val="nil"/>
          <w:between w:val="nil"/>
        </w:pBdr>
        <w:spacing w:after="120"/>
        <w:jc w:val="center"/>
        <w:rPr>
          <w:b/>
          <w:smallCaps/>
          <w:color w:val="000000"/>
          <w:sz w:val="20"/>
          <w:szCs w:val="20"/>
        </w:rPr>
      </w:pPr>
      <w:r>
        <w:rPr>
          <w:b/>
          <w:smallCaps/>
          <w:color w:val="000000"/>
          <w:sz w:val="20"/>
          <w:szCs w:val="20"/>
        </w:rPr>
        <w:t>Abstract</w:t>
      </w:r>
    </w:p>
    <w:p w14:paraId="225B4052" w14:textId="1ED07766" w:rsidR="004F0737" w:rsidRDefault="00B77F2E" w:rsidP="00F32F85">
      <w:pPr>
        <w:rPr>
          <w:sz w:val="20"/>
          <w:szCs w:val="20"/>
        </w:rPr>
      </w:pPr>
      <w:r>
        <w:rPr>
          <w:sz w:val="20"/>
          <w:szCs w:val="20"/>
        </w:rPr>
        <w:t xml:space="preserve">The purpose of this paper is to </w:t>
      </w:r>
      <w:r w:rsidR="004E525C">
        <w:rPr>
          <w:sz w:val="20"/>
          <w:szCs w:val="20"/>
        </w:rPr>
        <w:t>examine the relationship</w:t>
      </w:r>
      <w:r w:rsidR="00DB6D96">
        <w:rPr>
          <w:sz w:val="20"/>
          <w:szCs w:val="20"/>
        </w:rPr>
        <w:t xml:space="preserve"> between surgeon temperament</w:t>
      </w:r>
      <w:r w:rsidR="005349B2" w:rsidRPr="0088662C">
        <w:rPr>
          <w:sz w:val="20"/>
          <w:szCs w:val="20"/>
        </w:rPr>
        <w:t>—</w:t>
      </w:r>
      <w:r w:rsidR="00DB6D96">
        <w:rPr>
          <w:sz w:val="20"/>
          <w:szCs w:val="20"/>
        </w:rPr>
        <w:t>specifically frustration tolerance</w:t>
      </w:r>
      <w:r w:rsidR="00FE0FFB">
        <w:rPr>
          <w:sz w:val="20"/>
          <w:szCs w:val="20"/>
        </w:rPr>
        <w:t xml:space="preserve"> threshold and patience</w:t>
      </w:r>
      <w:r w:rsidR="00F31ECA" w:rsidRPr="0088662C">
        <w:rPr>
          <w:sz w:val="20"/>
          <w:szCs w:val="20"/>
        </w:rPr>
        <w:t>—</w:t>
      </w:r>
      <w:r w:rsidR="00FE0FFB">
        <w:rPr>
          <w:sz w:val="20"/>
          <w:szCs w:val="20"/>
        </w:rPr>
        <w:t>and adherence to planned surgical workflows during patient</w:t>
      </w:r>
      <w:r w:rsidR="00991CB7">
        <w:rPr>
          <w:sz w:val="20"/>
          <w:szCs w:val="20"/>
        </w:rPr>
        <w:t>-</w:t>
      </w:r>
      <w:r w:rsidR="00FE0FFB">
        <w:rPr>
          <w:sz w:val="20"/>
          <w:szCs w:val="20"/>
        </w:rPr>
        <w:t>spec</w:t>
      </w:r>
      <w:r w:rsidR="002C7AC4">
        <w:rPr>
          <w:sz w:val="20"/>
          <w:szCs w:val="20"/>
        </w:rPr>
        <w:t>ific implant surgery.</w:t>
      </w:r>
      <w:r w:rsidR="00034082">
        <w:rPr>
          <w:sz w:val="20"/>
          <w:szCs w:val="20"/>
        </w:rPr>
        <w:t xml:space="preserve"> </w:t>
      </w:r>
      <w:r w:rsidR="0077081A">
        <w:rPr>
          <w:sz w:val="20"/>
          <w:szCs w:val="20"/>
        </w:rPr>
        <w:t>Patient-specific implants (PSIs) enable precise anatomical reconstruction but can present unfor</w:t>
      </w:r>
      <w:r w:rsidR="00143698">
        <w:rPr>
          <w:sz w:val="20"/>
          <w:szCs w:val="20"/>
        </w:rPr>
        <w:t>eseen intraoperative challenges. These challenges may provoke stress, reduce frustration</w:t>
      </w:r>
      <w:r w:rsidR="00620EAE">
        <w:rPr>
          <w:sz w:val="20"/>
          <w:szCs w:val="20"/>
        </w:rPr>
        <w:t xml:space="preserve"> tolerance, and influence surgical decision-making. The role of behavioural psychology, particular</w:t>
      </w:r>
      <w:r w:rsidR="00A74DC8">
        <w:rPr>
          <w:sz w:val="20"/>
          <w:szCs w:val="20"/>
        </w:rPr>
        <w:t>ly surgeon temperament, in this context is underexplored</w:t>
      </w:r>
      <w:r>
        <w:rPr>
          <w:sz w:val="20"/>
          <w:szCs w:val="20"/>
        </w:rPr>
        <w:t>.</w:t>
      </w:r>
      <w:r w:rsidR="00B27F8E">
        <w:rPr>
          <w:sz w:val="20"/>
          <w:szCs w:val="20"/>
        </w:rPr>
        <w:t xml:space="preserve"> </w:t>
      </w:r>
      <w:r w:rsidR="0088662C" w:rsidRPr="0088662C">
        <w:rPr>
          <w:sz w:val="20"/>
          <w:szCs w:val="20"/>
        </w:rPr>
        <w:t>Low frustration tolerance, expressed as impatience, was associated with increased deviation from surgical plans, including implant modification (4.5%) even when implant design and fit were optimal. In 2.3% of cases, impatience directly compromised patient safety. The most technically demanding procedures—bilateral TMJ arthroplasty with ankylosis—showed fewer workflow deviations, attributed to higher mental preparedness and anticipatory coping. Stress inoculation theory and emotional intelligence frameworks provided explanatory models for these behavioural patterns.</w:t>
      </w:r>
      <w:r w:rsidR="00A44413">
        <w:rPr>
          <w:sz w:val="20"/>
          <w:szCs w:val="20"/>
        </w:rPr>
        <w:t xml:space="preserve"> </w:t>
      </w:r>
      <w:r w:rsidRPr="00B77F2E">
        <w:rPr>
          <w:sz w:val="20"/>
          <w:szCs w:val="20"/>
        </w:rPr>
        <w:t>Surgeon temperament, particularly mental preparedness and high frustration tolerance, may be critical determinants of success in patient-specific implant surgery. Interventions incorporating psychological training, temperament screening, and anticipatory coping strategies could enhance procedural adherence and safeguard patient safety when introducing novel surgical technologies.</w:t>
      </w:r>
    </w:p>
    <w:p w14:paraId="21BF444F" w14:textId="77777777" w:rsidR="004F0737" w:rsidRDefault="004F0737">
      <w:pPr>
        <w:rPr>
          <w:sz w:val="20"/>
          <w:szCs w:val="20"/>
        </w:rPr>
      </w:pPr>
    </w:p>
    <w:p w14:paraId="41AC5F38" w14:textId="77777777" w:rsidR="004F0737" w:rsidRDefault="00B77F2E">
      <w:pPr>
        <w:rPr>
          <w:b/>
          <w:sz w:val="20"/>
          <w:szCs w:val="20"/>
        </w:rPr>
      </w:pPr>
      <w:r>
        <w:rPr>
          <w:b/>
          <w:sz w:val="20"/>
          <w:szCs w:val="20"/>
        </w:rPr>
        <w:t>Keywords</w:t>
      </w:r>
    </w:p>
    <w:p w14:paraId="1C75A64F" w14:textId="7E3990F9" w:rsidR="004F0737" w:rsidRPr="009429E3" w:rsidRDefault="00771D31" w:rsidP="007F7993">
      <w:pPr>
        <w:jc w:val="both"/>
      </w:pPr>
      <w:r>
        <w:rPr>
          <w:sz w:val="20"/>
          <w:szCs w:val="20"/>
        </w:rPr>
        <w:t>Frustration</w:t>
      </w:r>
      <w:r w:rsidR="00B77F2E" w:rsidRPr="009429E3">
        <w:rPr>
          <w:sz w:val="20"/>
          <w:szCs w:val="20"/>
        </w:rPr>
        <w:t xml:space="preserve">; </w:t>
      </w:r>
      <w:r>
        <w:rPr>
          <w:sz w:val="20"/>
          <w:szCs w:val="20"/>
        </w:rPr>
        <w:t>Stress</w:t>
      </w:r>
      <w:r w:rsidR="00B77F2E" w:rsidRPr="009429E3">
        <w:rPr>
          <w:sz w:val="20"/>
          <w:szCs w:val="20"/>
        </w:rPr>
        <w:t xml:space="preserve">; </w:t>
      </w:r>
      <w:r w:rsidR="00E959F0">
        <w:rPr>
          <w:sz w:val="20"/>
          <w:szCs w:val="20"/>
        </w:rPr>
        <w:t>Intraoperative;</w:t>
      </w:r>
      <w:r w:rsidR="00B77F2E" w:rsidRPr="009429E3">
        <w:rPr>
          <w:sz w:val="20"/>
          <w:szCs w:val="20"/>
        </w:rPr>
        <w:t xml:space="preserve"> </w:t>
      </w:r>
      <w:r w:rsidR="006A36A2">
        <w:rPr>
          <w:sz w:val="20"/>
          <w:szCs w:val="20"/>
        </w:rPr>
        <w:t>Surgery</w:t>
      </w:r>
      <w:r w:rsidR="00E959F0">
        <w:rPr>
          <w:sz w:val="20"/>
          <w:szCs w:val="20"/>
        </w:rPr>
        <w:t>;</w:t>
      </w:r>
      <w:r w:rsidR="00B77F2E" w:rsidRPr="009429E3">
        <w:rPr>
          <w:sz w:val="20"/>
          <w:szCs w:val="20"/>
        </w:rPr>
        <w:t xml:space="preserve"> </w:t>
      </w:r>
      <w:r w:rsidR="00B77F2E" w:rsidRPr="009429E3">
        <w:rPr>
          <w:noProof/>
        </w:rPr>
        <w:drawing>
          <wp:anchor distT="0" distB="0" distL="114300" distR="114300" simplePos="0" relativeHeight="251659264" behindDoc="0" locked="0" layoutInCell="1" hidden="0" allowOverlap="1" wp14:anchorId="4216CA71" wp14:editId="7F61274A">
            <wp:simplePos x="0" y="0"/>
            <wp:positionH relativeFrom="column">
              <wp:posOffset>5400675</wp:posOffset>
            </wp:positionH>
            <wp:positionV relativeFrom="paragraph">
              <wp:posOffset>0</wp:posOffset>
            </wp:positionV>
            <wp:extent cx="396000" cy="259200"/>
            <wp:effectExtent l="0" t="0" r="0" b="0"/>
            <wp:wrapNone/>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96000" cy="259200"/>
                    </a:xfrm>
                    <a:prstGeom prst="rect">
                      <a:avLst/>
                    </a:prstGeom>
                    <a:ln/>
                  </pic:spPr>
                </pic:pic>
              </a:graphicData>
            </a:graphic>
          </wp:anchor>
        </w:drawing>
      </w:r>
      <w:r w:rsidR="006A36A2">
        <w:rPr>
          <w:sz w:val="20"/>
          <w:szCs w:val="20"/>
        </w:rPr>
        <w:t>Behaviour</w:t>
      </w:r>
      <w:r w:rsidR="00B77F2E" w:rsidRPr="009429E3">
        <w:br w:type="page"/>
      </w:r>
    </w:p>
    <w:p w14:paraId="3DC83224" w14:textId="77777777" w:rsidR="00FB2D94" w:rsidRDefault="00FB2D94" w:rsidP="00F90A41">
      <w:pPr>
        <w:jc w:val="center"/>
        <w:rPr>
          <w:b/>
          <w:bCs/>
          <w:sz w:val="20"/>
          <w:szCs w:val="20"/>
        </w:rPr>
      </w:pPr>
    </w:p>
    <w:p w14:paraId="43BBE9EE" w14:textId="35870592" w:rsidR="00FB2D94" w:rsidRDefault="00FB2D94" w:rsidP="00F90A41">
      <w:pPr>
        <w:jc w:val="center"/>
        <w:rPr>
          <w:b/>
          <w:bCs/>
          <w:sz w:val="20"/>
          <w:szCs w:val="20"/>
        </w:rPr>
      </w:pPr>
      <w:r w:rsidRPr="00FB2D94">
        <w:rPr>
          <w:b/>
          <w:bCs/>
          <w:sz w:val="20"/>
          <w:szCs w:val="20"/>
        </w:rPr>
        <w:t>IE vs CI en la sala de operaciones: el temperamento del cirujano y su papel en la cirugía con implantes específicos para el paciente</w:t>
      </w:r>
    </w:p>
    <w:p w14:paraId="70551B57" w14:textId="77777777" w:rsidR="00FB2D94" w:rsidRDefault="00FB2D94" w:rsidP="00F90A41">
      <w:pPr>
        <w:jc w:val="center"/>
        <w:rPr>
          <w:b/>
          <w:bCs/>
          <w:sz w:val="20"/>
          <w:szCs w:val="20"/>
        </w:rPr>
      </w:pPr>
    </w:p>
    <w:p w14:paraId="7B540A6A" w14:textId="77777777" w:rsidR="00FB2D94" w:rsidRDefault="00FB2D94" w:rsidP="00F90A41">
      <w:pPr>
        <w:jc w:val="center"/>
        <w:rPr>
          <w:b/>
          <w:bCs/>
          <w:sz w:val="20"/>
          <w:szCs w:val="20"/>
        </w:rPr>
      </w:pPr>
    </w:p>
    <w:p w14:paraId="13CF7475" w14:textId="77777777" w:rsidR="00FB2D94" w:rsidRDefault="00FB2D94" w:rsidP="00F90A41">
      <w:pPr>
        <w:jc w:val="center"/>
        <w:rPr>
          <w:b/>
          <w:bCs/>
          <w:sz w:val="20"/>
          <w:szCs w:val="20"/>
        </w:rPr>
      </w:pPr>
    </w:p>
    <w:p w14:paraId="5C751366" w14:textId="62207FB0" w:rsidR="001C3E4B" w:rsidRPr="00D1440F" w:rsidRDefault="001C3E4B" w:rsidP="00F90A41">
      <w:pPr>
        <w:jc w:val="center"/>
        <w:rPr>
          <w:b/>
          <w:bCs/>
          <w:sz w:val="20"/>
          <w:szCs w:val="20"/>
        </w:rPr>
      </w:pPr>
      <w:r w:rsidRPr="00D1440F">
        <w:rPr>
          <w:b/>
          <w:bCs/>
          <w:sz w:val="20"/>
          <w:szCs w:val="20"/>
        </w:rPr>
        <w:t>Resumen</w:t>
      </w:r>
    </w:p>
    <w:p w14:paraId="7078CF23" w14:textId="77777777" w:rsidR="00F90A41" w:rsidRPr="00D1440F" w:rsidRDefault="00F90A41" w:rsidP="001C3E4B">
      <w:pPr>
        <w:jc w:val="both"/>
        <w:rPr>
          <w:sz w:val="20"/>
          <w:szCs w:val="20"/>
        </w:rPr>
      </w:pPr>
    </w:p>
    <w:p w14:paraId="12760E9E" w14:textId="77777777" w:rsidR="001C3E4B" w:rsidRDefault="001C3E4B" w:rsidP="001C3E4B">
      <w:pPr>
        <w:jc w:val="both"/>
        <w:rPr>
          <w:sz w:val="20"/>
          <w:szCs w:val="20"/>
        </w:rPr>
      </w:pPr>
      <w:r w:rsidRPr="00D1440F">
        <w:rPr>
          <w:sz w:val="20"/>
          <w:szCs w:val="20"/>
        </w:rPr>
        <w:t>El propósito de este artículo es examinar la relación entre el temperamento del cirujano—específicamente el umbral de tolerancia a la frustración y la paciencia—y la adherencia a los flujos de trabajo quirúrgicos planificados durante la cirugía con implantes específicos para el paciente. Los implantes específicos para el paciente (PSI) permiten una reconstrucción anatómica precisa, pero pueden presentar desafíos intraoperatorios imprevistos. Estos desafíos pueden provocar estrés, reducir la tolerancia a la frustración e influir en la toma de decisiones quirúrgicas. El papel de la psicología conductual, particularmente el temperamento del cirujano, en este contexto está poco explorado. Una baja tolerancia a la frustración, expresada como impaciencia, se asoció con un mayor grado de desviación de los planes quirúrgicos, incluyendo la modificación del implante (4,5%), incluso cuando el diseño y el ajuste del implante eran óptimos. En el 2,3% de los casos, la impaciencia comprometió directamente la seguridad del paciente. Los procedimientos técnicamente más exigentes—la artroplastia bilateral de la ATM con anquilosis—mostraron menos desviaciones en el flujo de trabajo, atribuibles a una mayor preparación mental y afrontamiento anticipatorio. La teoría de la inoculación al estrés y los marcos de inteligencia emocional proporcionaron modelos explicativos para estos patrones conductuales. El temperamento del cirujano, en particular la preparación mental y una alta tolerancia a la frustración, puede ser un determinante crítico del éxito en la cirugía con implantes específicos para el paciente. Las intervenciones que incorporen entrenamiento psicológico, evaluación del temperamento y estrategias de afrontamiento anticipatorio podrían mejorar la adherencia al procedimiento y proteger la seguridad del paciente al introducir nuevas tecnologías quirúrgicas.</w:t>
      </w:r>
    </w:p>
    <w:p w14:paraId="6B8C4265" w14:textId="77777777" w:rsidR="00D1440F" w:rsidRPr="00D1440F" w:rsidRDefault="00D1440F" w:rsidP="001C3E4B">
      <w:pPr>
        <w:jc w:val="both"/>
        <w:rPr>
          <w:sz w:val="20"/>
          <w:szCs w:val="20"/>
        </w:rPr>
      </w:pPr>
    </w:p>
    <w:p w14:paraId="561B7FB7" w14:textId="77777777" w:rsidR="001C3E4B" w:rsidRPr="00D1440F" w:rsidRDefault="001C3E4B" w:rsidP="001C3E4B">
      <w:pPr>
        <w:jc w:val="both"/>
        <w:rPr>
          <w:sz w:val="20"/>
          <w:szCs w:val="20"/>
        </w:rPr>
      </w:pPr>
      <w:r w:rsidRPr="00D1440F">
        <w:rPr>
          <w:sz w:val="20"/>
          <w:szCs w:val="20"/>
        </w:rPr>
        <w:t>Palabras clave</w:t>
      </w:r>
    </w:p>
    <w:p w14:paraId="5D5475C6" w14:textId="27E5DC5F" w:rsidR="001C3E4B" w:rsidRPr="00D1440F" w:rsidRDefault="000733AD" w:rsidP="007F7993">
      <w:pPr>
        <w:jc w:val="both"/>
        <w:rPr>
          <w:sz w:val="20"/>
          <w:szCs w:val="20"/>
        </w:rPr>
      </w:pPr>
      <w:r w:rsidRPr="000733AD">
        <w:rPr>
          <w:sz w:val="20"/>
          <w:szCs w:val="20"/>
        </w:rPr>
        <w:t>Frustración; Estrés; Intraoperatorio; Cirugía; Conducta</w:t>
      </w:r>
    </w:p>
    <w:p w14:paraId="365C019E" w14:textId="77777777" w:rsidR="001C3E4B" w:rsidRDefault="001C3E4B" w:rsidP="007F7993">
      <w:pPr>
        <w:jc w:val="both"/>
        <w:rPr>
          <w:sz w:val="20"/>
          <w:szCs w:val="20"/>
        </w:rPr>
      </w:pPr>
    </w:p>
    <w:p w14:paraId="5A4531DB" w14:textId="77777777" w:rsidR="00D1440F" w:rsidRDefault="00D1440F" w:rsidP="007F7993">
      <w:pPr>
        <w:jc w:val="both"/>
        <w:rPr>
          <w:sz w:val="20"/>
          <w:szCs w:val="20"/>
        </w:rPr>
      </w:pPr>
    </w:p>
    <w:p w14:paraId="47986716" w14:textId="77777777" w:rsidR="00D1440F" w:rsidRDefault="00D1440F" w:rsidP="007F7993">
      <w:pPr>
        <w:jc w:val="both"/>
        <w:rPr>
          <w:sz w:val="20"/>
          <w:szCs w:val="20"/>
        </w:rPr>
      </w:pPr>
    </w:p>
    <w:p w14:paraId="6B1377D7" w14:textId="77777777" w:rsidR="00D1440F" w:rsidRDefault="00D1440F" w:rsidP="007F7993">
      <w:pPr>
        <w:jc w:val="both"/>
        <w:rPr>
          <w:sz w:val="20"/>
          <w:szCs w:val="20"/>
        </w:rPr>
      </w:pPr>
    </w:p>
    <w:p w14:paraId="675BD916" w14:textId="77777777" w:rsidR="00D1440F" w:rsidRDefault="00D1440F" w:rsidP="007F7993">
      <w:pPr>
        <w:jc w:val="both"/>
        <w:rPr>
          <w:sz w:val="20"/>
          <w:szCs w:val="20"/>
        </w:rPr>
      </w:pPr>
    </w:p>
    <w:p w14:paraId="3738BCBE" w14:textId="77777777" w:rsidR="00D1440F" w:rsidRDefault="00D1440F" w:rsidP="007F7993">
      <w:pPr>
        <w:jc w:val="both"/>
        <w:rPr>
          <w:sz w:val="20"/>
          <w:szCs w:val="20"/>
        </w:rPr>
      </w:pPr>
    </w:p>
    <w:p w14:paraId="1EDC68A4" w14:textId="77777777" w:rsidR="00D1440F" w:rsidRDefault="00D1440F" w:rsidP="007F7993">
      <w:pPr>
        <w:jc w:val="both"/>
        <w:rPr>
          <w:sz w:val="20"/>
          <w:szCs w:val="20"/>
        </w:rPr>
      </w:pPr>
    </w:p>
    <w:p w14:paraId="0B8942CE" w14:textId="77777777" w:rsidR="00D1440F" w:rsidRDefault="00D1440F" w:rsidP="007F7993">
      <w:pPr>
        <w:jc w:val="both"/>
        <w:rPr>
          <w:sz w:val="20"/>
          <w:szCs w:val="20"/>
        </w:rPr>
      </w:pPr>
    </w:p>
    <w:p w14:paraId="151D3EF8" w14:textId="77777777" w:rsidR="00D1440F" w:rsidRDefault="00D1440F" w:rsidP="007F7993">
      <w:pPr>
        <w:jc w:val="both"/>
        <w:rPr>
          <w:sz w:val="20"/>
          <w:szCs w:val="20"/>
        </w:rPr>
      </w:pPr>
    </w:p>
    <w:p w14:paraId="5102FB9D" w14:textId="77777777" w:rsidR="00D1440F" w:rsidRDefault="00D1440F" w:rsidP="007F7993">
      <w:pPr>
        <w:jc w:val="both"/>
        <w:rPr>
          <w:sz w:val="20"/>
          <w:szCs w:val="20"/>
        </w:rPr>
      </w:pPr>
    </w:p>
    <w:p w14:paraId="72E6638D" w14:textId="77777777" w:rsidR="00D1440F" w:rsidRDefault="00D1440F" w:rsidP="007F7993">
      <w:pPr>
        <w:jc w:val="both"/>
        <w:rPr>
          <w:sz w:val="20"/>
          <w:szCs w:val="20"/>
        </w:rPr>
      </w:pPr>
    </w:p>
    <w:p w14:paraId="3041B7EB" w14:textId="77777777" w:rsidR="00D1440F" w:rsidRDefault="00D1440F" w:rsidP="007F7993">
      <w:pPr>
        <w:jc w:val="both"/>
        <w:rPr>
          <w:sz w:val="20"/>
          <w:szCs w:val="20"/>
        </w:rPr>
      </w:pPr>
    </w:p>
    <w:p w14:paraId="0C5AC119" w14:textId="77777777" w:rsidR="00D1440F" w:rsidRDefault="00D1440F" w:rsidP="007F7993">
      <w:pPr>
        <w:jc w:val="both"/>
        <w:rPr>
          <w:sz w:val="20"/>
          <w:szCs w:val="20"/>
        </w:rPr>
      </w:pPr>
    </w:p>
    <w:p w14:paraId="1441CD10" w14:textId="77777777" w:rsidR="00D1440F" w:rsidRDefault="00D1440F" w:rsidP="007F7993">
      <w:pPr>
        <w:jc w:val="both"/>
        <w:rPr>
          <w:sz w:val="20"/>
          <w:szCs w:val="20"/>
        </w:rPr>
      </w:pPr>
    </w:p>
    <w:p w14:paraId="1E6C3A1D" w14:textId="77777777" w:rsidR="00D1440F" w:rsidRDefault="00D1440F" w:rsidP="007F7993">
      <w:pPr>
        <w:jc w:val="both"/>
        <w:rPr>
          <w:sz w:val="20"/>
          <w:szCs w:val="20"/>
        </w:rPr>
      </w:pPr>
    </w:p>
    <w:p w14:paraId="0BC31D5F" w14:textId="77777777" w:rsidR="00D1440F" w:rsidRDefault="00D1440F" w:rsidP="007F7993">
      <w:pPr>
        <w:jc w:val="both"/>
        <w:rPr>
          <w:sz w:val="20"/>
          <w:szCs w:val="20"/>
        </w:rPr>
      </w:pPr>
    </w:p>
    <w:p w14:paraId="60B120D4" w14:textId="77777777" w:rsidR="00D1440F" w:rsidRDefault="00D1440F" w:rsidP="007F7993">
      <w:pPr>
        <w:jc w:val="both"/>
        <w:rPr>
          <w:sz w:val="20"/>
          <w:szCs w:val="20"/>
        </w:rPr>
      </w:pPr>
    </w:p>
    <w:p w14:paraId="2BE7ADF2" w14:textId="77777777" w:rsidR="00D1440F" w:rsidRDefault="00D1440F" w:rsidP="007F7993">
      <w:pPr>
        <w:jc w:val="both"/>
        <w:rPr>
          <w:sz w:val="20"/>
          <w:szCs w:val="20"/>
        </w:rPr>
      </w:pPr>
    </w:p>
    <w:p w14:paraId="5909A8A9" w14:textId="77777777" w:rsidR="00D1440F" w:rsidRDefault="00D1440F" w:rsidP="007F7993">
      <w:pPr>
        <w:jc w:val="both"/>
        <w:rPr>
          <w:sz w:val="20"/>
          <w:szCs w:val="20"/>
        </w:rPr>
      </w:pPr>
    </w:p>
    <w:p w14:paraId="05C5FEE2" w14:textId="77777777" w:rsidR="00D1440F" w:rsidRDefault="00D1440F" w:rsidP="007F7993">
      <w:pPr>
        <w:jc w:val="both"/>
        <w:rPr>
          <w:sz w:val="20"/>
          <w:szCs w:val="20"/>
        </w:rPr>
      </w:pPr>
    </w:p>
    <w:p w14:paraId="1DBBC15A" w14:textId="77777777" w:rsidR="00D1440F" w:rsidRDefault="00D1440F" w:rsidP="007F7993">
      <w:pPr>
        <w:jc w:val="both"/>
        <w:rPr>
          <w:sz w:val="20"/>
          <w:szCs w:val="20"/>
        </w:rPr>
      </w:pPr>
    </w:p>
    <w:p w14:paraId="4C78D8D4" w14:textId="77777777" w:rsidR="00D1440F" w:rsidRDefault="00D1440F" w:rsidP="007F7993">
      <w:pPr>
        <w:jc w:val="both"/>
        <w:rPr>
          <w:sz w:val="20"/>
          <w:szCs w:val="20"/>
        </w:rPr>
      </w:pPr>
    </w:p>
    <w:p w14:paraId="032DECE0" w14:textId="77777777" w:rsidR="00D1440F" w:rsidRDefault="00D1440F" w:rsidP="007F7993">
      <w:pPr>
        <w:jc w:val="both"/>
        <w:rPr>
          <w:sz w:val="20"/>
          <w:szCs w:val="20"/>
        </w:rPr>
      </w:pPr>
    </w:p>
    <w:p w14:paraId="516493A1" w14:textId="77777777" w:rsidR="00D1440F" w:rsidRDefault="00D1440F" w:rsidP="007F7993">
      <w:pPr>
        <w:jc w:val="both"/>
        <w:rPr>
          <w:sz w:val="20"/>
          <w:szCs w:val="20"/>
        </w:rPr>
      </w:pPr>
    </w:p>
    <w:p w14:paraId="4CF9E478" w14:textId="77777777" w:rsidR="00D1440F" w:rsidRDefault="00D1440F" w:rsidP="007F7993">
      <w:pPr>
        <w:jc w:val="both"/>
        <w:rPr>
          <w:sz w:val="20"/>
          <w:szCs w:val="20"/>
        </w:rPr>
      </w:pPr>
    </w:p>
    <w:p w14:paraId="1160058B" w14:textId="77777777" w:rsidR="00D1440F" w:rsidRDefault="00D1440F" w:rsidP="007F7993">
      <w:pPr>
        <w:jc w:val="both"/>
        <w:rPr>
          <w:sz w:val="20"/>
          <w:szCs w:val="20"/>
        </w:rPr>
      </w:pPr>
    </w:p>
    <w:p w14:paraId="35D7DF1A" w14:textId="77777777" w:rsidR="00D1440F" w:rsidRDefault="00D1440F" w:rsidP="007F7993">
      <w:pPr>
        <w:jc w:val="both"/>
        <w:rPr>
          <w:sz w:val="20"/>
          <w:szCs w:val="20"/>
        </w:rPr>
      </w:pPr>
    </w:p>
    <w:p w14:paraId="70FEFAD7" w14:textId="77777777" w:rsidR="00D1440F" w:rsidRDefault="00D1440F" w:rsidP="007F7993">
      <w:pPr>
        <w:jc w:val="both"/>
        <w:rPr>
          <w:sz w:val="20"/>
          <w:szCs w:val="20"/>
        </w:rPr>
      </w:pPr>
    </w:p>
    <w:p w14:paraId="2A6CCEF9" w14:textId="77777777" w:rsidR="00D1440F" w:rsidRDefault="00D1440F" w:rsidP="007F7993">
      <w:pPr>
        <w:jc w:val="both"/>
        <w:rPr>
          <w:sz w:val="20"/>
          <w:szCs w:val="20"/>
        </w:rPr>
      </w:pPr>
    </w:p>
    <w:p w14:paraId="408D8943" w14:textId="77777777" w:rsidR="00D1440F" w:rsidRDefault="00D1440F" w:rsidP="007F7993">
      <w:pPr>
        <w:jc w:val="both"/>
        <w:rPr>
          <w:sz w:val="20"/>
          <w:szCs w:val="20"/>
        </w:rPr>
      </w:pPr>
    </w:p>
    <w:p w14:paraId="3C780BE0" w14:textId="77777777" w:rsidR="00D1440F" w:rsidRDefault="00D1440F" w:rsidP="007F7993">
      <w:pPr>
        <w:jc w:val="both"/>
        <w:rPr>
          <w:sz w:val="20"/>
          <w:szCs w:val="20"/>
        </w:rPr>
      </w:pPr>
    </w:p>
    <w:p w14:paraId="6879D600" w14:textId="77777777" w:rsidR="004F0737" w:rsidRDefault="00B77F2E">
      <w:pPr>
        <w:pBdr>
          <w:top w:val="nil"/>
          <w:left w:val="nil"/>
          <w:bottom w:val="nil"/>
          <w:right w:val="nil"/>
          <w:between w:val="nil"/>
        </w:pBdr>
        <w:jc w:val="center"/>
        <w:rPr>
          <w:b/>
          <w:color w:val="000000"/>
        </w:rPr>
      </w:pPr>
      <w:r>
        <w:rPr>
          <w:b/>
          <w:color w:val="000000"/>
        </w:rPr>
        <w:t>Introduction</w:t>
      </w:r>
    </w:p>
    <w:p w14:paraId="67A3E80C" w14:textId="77777777" w:rsidR="00526ECD" w:rsidRPr="00526ECD" w:rsidRDefault="00526ECD" w:rsidP="00F32F85">
      <w:pPr>
        <w:pBdr>
          <w:top w:val="nil"/>
          <w:left w:val="nil"/>
          <w:bottom w:val="nil"/>
          <w:right w:val="nil"/>
          <w:between w:val="nil"/>
        </w:pBdr>
        <w:spacing w:line="360" w:lineRule="auto"/>
        <w:ind w:firstLine="708"/>
        <w:rPr>
          <w:color w:val="000000"/>
        </w:rPr>
      </w:pPr>
      <w:r w:rsidRPr="00526ECD">
        <w:rPr>
          <w:color w:val="000000"/>
        </w:rPr>
        <w:t>This thematic study suggests that surgeon temperament may influence intraoperative decision-making and potentially compromise surgical outcomes when using high-fidelity patient-specific implants. Here we explore the intersection of surgical practice and behavioural psychology when utilising a novel technology.</w:t>
      </w:r>
    </w:p>
    <w:p w14:paraId="2513ABC6" w14:textId="60E242A2" w:rsidR="0059692E" w:rsidRDefault="00526ECD" w:rsidP="00F32F85">
      <w:pPr>
        <w:pBdr>
          <w:top w:val="nil"/>
          <w:left w:val="nil"/>
          <w:bottom w:val="nil"/>
          <w:right w:val="nil"/>
          <w:between w:val="nil"/>
        </w:pBdr>
        <w:spacing w:line="360" w:lineRule="auto"/>
        <w:ind w:firstLine="708"/>
        <w:rPr>
          <w:color w:val="000000"/>
        </w:rPr>
      </w:pPr>
      <w:r w:rsidRPr="00526ECD">
        <w:rPr>
          <w:color w:val="000000"/>
        </w:rPr>
        <w:t xml:space="preserve">Emotional discipline, specifically frustration tolerance as described by Albert Ellis's Rational Emotive Behaviour Therapy, is predicted to be a hidden determinant of surgical success in procedures where patient-specific implants are more accurate than the surgeon's tolerance for handling technically finicky hardware </w:t>
      </w:r>
      <w:r w:rsidR="00BA1B81">
        <w:rPr>
          <w:color w:val="000000"/>
        </w:rPr>
        <w:t>(</w:t>
      </w:r>
      <w:r w:rsidR="000D4B22">
        <w:rPr>
          <w:color w:val="000000"/>
        </w:rPr>
        <w:t>Ellis</w:t>
      </w:r>
      <w:r w:rsidR="003D7749">
        <w:rPr>
          <w:color w:val="000000"/>
        </w:rPr>
        <w:t xml:space="preserve"> et</w:t>
      </w:r>
      <w:r w:rsidR="0019575E">
        <w:rPr>
          <w:color w:val="000000"/>
        </w:rPr>
        <w:t xml:space="preserve"> al</w:t>
      </w:r>
      <w:r w:rsidR="008355CA">
        <w:rPr>
          <w:color w:val="000000"/>
        </w:rPr>
        <w:t>.</w:t>
      </w:r>
      <w:r w:rsidR="005A3476">
        <w:rPr>
          <w:color w:val="000000"/>
        </w:rPr>
        <w:t xml:space="preserve">, </w:t>
      </w:r>
      <w:r w:rsidR="0019575E">
        <w:rPr>
          <w:color w:val="000000"/>
        </w:rPr>
        <w:t>2001)</w:t>
      </w:r>
      <w:r w:rsidRPr="00526ECD">
        <w:rPr>
          <w:color w:val="000000"/>
        </w:rPr>
        <w:t>. The paradoxical challenge is that some patient-specific implants, while technically superior and highly precise, are often more difficult to implement surgically. This unforeseen difficulty can provoke low-level anxiety and stress in the surgeon, lowering frustration tolerance in the susceptible, and manifesting as impatience. This in turn may drive premature decisions, such as attempting to modify the implant before adequately assessing its suitability, thereby potentially compromising surgical outcome.</w:t>
      </w:r>
    </w:p>
    <w:p w14:paraId="531DD029" w14:textId="77777777" w:rsidR="004F0737" w:rsidRDefault="004F0737" w:rsidP="00CF3C50">
      <w:pPr>
        <w:pBdr>
          <w:top w:val="nil"/>
          <w:left w:val="nil"/>
          <w:bottom w:val="nil"/>
          <w:right w:val="nil"/>
          <w:between w:val="nil"/>
        </w:pBdr>
        <w:spacing w:line="360" w:lineRule="auto"/>
        <w:jc w:val="both"/>
        <w:rPr>
          <w:color w:val="000000"/>
        </w:rPr>
      </w:pPr>
    </w:p>
    <w:p w14:paraId="39C78B23" w14:textId="77777777" w:rsidR="004F0737" w:rsidRDefault="00B77F2E">
      <w:pPr>
        <w:pBdr>
          <w:top w:val="nil"/>
          <w:left w:val="nil"/>
          <w:bottom w:val="nil"/>
          <w:right w:val="nil"/>
          <w:between w:val="nil"/>
        </w:pBdr>
        <w:jc w:val="center"/>
        <w:rPr>
          <w:b/>
          <w:color w:val="000000"/>
        </w:rPr>
      </w:pPr>
      <w:r>
        <w:rPr>
          <w:b/>
          <w:color w:val="000000"/>
        </w:rPr>
        <w:t>Method</w:t>
      </w:r>
    </w:p>
    <w:p w14:paraId="04F48FBC" w14:textId="669E0C2D" w:rsidR="004F0737" w:rsidRDefault="00A150CD">
      <w:pPr>
        <w:pBdr>
          <w:top w:val="nil"/>
          <w:left w:val="nil"/>
          <w:bottom w:val="nil"/>
          <w:right w:val="nil"/>
          <w:between w:val="nil"/>
        </w:pBdr>
        <w:spacing w:line="360" w:lineRule="auto"/>
        <w:jc w:val="both"/>
        <w:rPr>
          <w:b/>
          <w:i/>
          <w:color w:val="000000"/>
        </w:rPr>
      </w:pPr>
      <w:r>
        <w:rPr>
          <w:b/>
          <w:i/>
          <w:color w:val="000000"/>
        </w:rPr>
        <w:t xml:space="preserve">Setting, </w:t>
      </w:r>
      <w:r w:rsidR="00AE2D6E">
        <w:rPr>
          <w:b/>
          <w:i/>
          <w:color w:val="000000"/>
        </w:rPr>
        <w:t>sample, and participants</w:t>
      </w:r>
    </w:p>
    <w:p w14:paraId="43292131" w14:textId="77777777" w:rsidR="00EC6BB0" w:rsidRPr="00EC6BB0" w:rsidRDefault="00EC6BB0" w:rsidP="00F32F85">
      <w:pPr>
        <w:pBdr>
          <w:top w:val="nil"/>
          <w:left w:val="nil"/>
          <w:bottom w:val="nil"/>
          <w:right w:val="nil"/>
          <w:between w:val="nil"/>
        </w:pBdr>
        <w:spacing w:line="360" w:lineRule="auto"/>
        <w:ind w:firstLine="708"/>
        <w:rPr>
          <w:color w:val="000000"/>
        </w:rPr>
      </w:pPr>
      <w:r w:rsidRPr="00EC6BB0">
        <w:rPr>
          <w:color w:val="000000"/>
        </w:rPr>
        <w:t xml:space="preserve">This study is based on recurring clinical observations over a 15-year period drawn from two high-volume academic centres in Johannesburg, South Africa, and 86 specialist private surgical practices across the country. In addition to direct clinical observation, insights were gathered through semi-structured interviews with (1) six senior consultant surgeons (each with &gt;10 years of experience incorporating 3D surgical planning in their practices in the surgical disciplines of craniomaxillofacial surgery, neurosurgery, and head and neck surgery), (2) four surgeons who routinely assume the role of first surgical assistant (3) four surgical technologists (with 8 </w:t>
      </w:r>
      <w:r w:rsidRPr="00EC6BB0">
        <w:rPr>
          <w:rFonts w:hint="eastAsia"/>
          <w:color w:val="000000"/>
        </w:rPr>
        <w:t>–</w:t>
      </w:r>
      <w:r w:rsidRPr="00EC6BB0">
        <w:rPr>
          <w:color w:val="000000"/>
        </w:rPr>
        <w:t xml:space="preserve"> 20 years experience with intraoperative patient-specific implant handling ) and, (4) two biomedical engineers from manufacturing companies, each with over a decade of clinical-facing design experience. The interview cohort collectively report direct involvement in over 400 cases involving prebent mandibular reconstruction plates (53 of which included patient-specific cutting guides for fibula free flaps), over 100 cranioplasties, and more than 40 custom temporomandibular joint (TMJ) arthroplasties. A smaller number of orbital zygomatic complex (OZC) reconstructions are also included.</w:t>
      </w:r>
    </w:p>
    <w:p w14:paraId="353ADB8A" w14:textId="7715323D" w:rsidR="004F0737" w:rsidRDefault="00EC6BB0" w:rsidP="00F32F85">
      <w:pPr>
        <w:pBdr>
          <w:top w:val="nil"/>
          <w:left w:val="nil"/>
          <w:bottom w:val="nil"/>
          <w:right w:val="nil"/>
          <w:between w:val="nil"/>
        </w:pBdr>
        <w:spacing w:line="360" w:lineRule="auto"/>
        <w:ind w:firstLine="708"/>
        <w:rPr>
          <w:color w:val="000000"/>
        </w:rPr>
      </w:pPr>
      <w:r w:rsidRPr="00EC6BB0">
        <w:rPr>
          <w:color w:val="000000"/>
        </w:rPr>
        <w:lastRenderedPageBreak/>
        <w:t>Surgical disciplines involving craniofacial anatomy were intentionally selected, as these procedures demand exceptional precision, where millimetre deviation could be the difference between success or complication. In maxillofacial surgery, for instance, even minor variances in accuracy can drastically affect both function and aesthetics, where a millimetre deviation in orbital floor reconstruction can result in hypoglobus and associated diplopia, or submillimetre inaccuracies in mandibular reconstructions could result in malocclusion. Moreover, the author and interviewed colleagues have an average 16 years experience within these surgical disciplines</w:t>
      </w:r>
      <w:r w:rsidR="00B77F2E">
        <w:rPr>
          <w:color w:val="000000"/>
        </w:rPr>
        <w:t>.</w:t>
      </w:r>
    </w:p>
    <w:p w14:paraId="07739364" w14:textId="77777777" w:rsidR="00892686" w:rsidRDefault="00892686" w:rsidP="00892686">
      <w:pPr>
        <w:pBdr>
          <w:top w:val="nil"/>
          <w:left w:val="nil"/>
          <w:bottom w:val="nil"/>
          <w:right w:val="nil"/>
          <w:between w:val="nil"/>
        </w:pBdr>
        <w:spacing w:line="360" w:lineRule="auto"/>
        <w:jc w:val="both"/>
        <w:rPr>
          <w:color w:val="000000"/>
        </w:rPr>
      </w:pPr>
    </w:p>
    <w:p w14:paraId="5810B131" w14:textId="2BEC3AA9" w:rsidR="004F0737" w:rsidRDefault="003C75C7">
      <w:pPr>
        <w:pBdr>
          <w:top w:val="nil"/>
          <w:left w:val="nil"/>
          <w:bottom w:val="nil"/>
          <w:right w:val="nil"/>
          <w:between w:val="nil"/>
        </w:pBdr>
        <w:spacing w:line="360" w:lineRule="auto"/>
        <w:jc w:val="both"/>
        <w:rPr>
          <w:b/>
          <w:i/>
          <w:color w:val="000000"/>
        </w:rPr>
      </w:pPr>
      <w:r>
        <w:rPr>
          <w:b/>
          <w:i/>
          <w:color w:val="000000"/>
        </w:rPr>
        <w:t>Data collection</w:t>
      </w:r>
    </w:p>
    <w:p w14:paraId="1FCD8C1E" w14:textId="77777777" w:rsidR="00F01CB5" w:rsidRPr="00F01CB5" w:rsidRDefault="00F01CB5" w:rsidP="00360601">
      <w:pPr>
        <w:pBdr>
          <w:top w:val="nil"/>
          <w:left w:val="nil"/>
          <w:bottom w:val="nil"/>
          <w:right w:val="nil"/>
          <w:between w:val="nil"/>
        </w:pBdr>
        <w:spacing w:line="360" w:lineRule="auto"/>
        <w:ind w:firstLine="708"/>
        <w:rPr>
          <w:color w:val="000000"/>
        </w:rPr>
      </w:pPr>
      <w:r w:rsidRPr="00F01CB5">
        <w:rPr>
          <w:color w:val="000000"/>
        </w:rPr>
        <w:t xml:space="preserve">The data were collected over a 22-month period, from November 2023 </w:t>
      </w:r>
      <w:r w:rsidRPr="00F01CB5">
        <w:rPr>
          <w:rFonts w:hint="eastAsia"/>
          <w:color w:val="000000"/>
        </w:rPr>
        <w:t>–</w:t>
      </w:r>
      <w:r w:rsidRPr="00F01CB5">
        <w:rPr>
          <w:color w:val="000000"/>
        </w:rPr>
        <w:t xml:space="preserve"> August 2025. Each surgeon had several informal and impromptu interviews (not all questions were necessarily asked in a single meeting) with notes taken by the interviewer. In contrast, assistant surgeons, surgical technologists, and biomedical engineers each participated in a single formal interview, which was audio-recorded and transcribed verbatim.</w:t>
      </w:r>
    </w:p>
    <w:p w14:paraId="2B85303E" w14:textId="77777777" w:rsidR="00F01CB5" w:rsidRPr="00F01CB5" w:rsidRDefault="00F01CB5" w:rsidP="00360601">
      <w:pPr>
        <w:pBdr>
          <w:top w:val="nil"/>
          <w:left w:val="nil"/>
          <w:bottom w:val="nil"/>
          <w:right w:val="nil"/>
          <w:between w:val="nil"/>
        </w:pBdr>
        <w:spacing w:line="360" w:lineRule="auto"/>
        <w:ind w:firstLine="708"/>
        <w:rPr>
          <w:color w:val="000000"/>
        </w:rPr>
      </w:pPr>
      <w:r w:rsidRPr="00F01CB5">
        <w:rPr>
          <w:color w:val="000000"/>
        </w:rPr>
        <w:t xml:space="preserve">A semi-structured qualitative interview format using open-ended questions and a light quantitative Likert-style questionnaire was used to assess behavioural responses to intraoperative challenges, identify recurring themes related to surgeon temperament, and evaluate its perceived influence on the successful use of high-fidelity, patient-specific implants. An interview guide consisted of seven questions including (1) </w:t>
      </w:r>
      <w:r w:rsidRPr="00F01CB5">
        <w:rPr>
          <w:rFonts w:hint="eastAsia"/>
          <w:color w:val="000000"/>
        </w:rPr>
        <w:t>“</w:t>
      </w:r>
      <w:r w:rsidRPr="00F01CB5">
        <w:rPr>
          <w:color w:val="000000"/>
        </w:rPr>
        <w:t>Can you give me your general impression of the intraoperative use of PSIs in terms of (a) a specific procedure, (b) difficulty/usability, and (c) outcome?</w:t>
      </w:r>
      <w:r w:rsidRPr="00F01CB5">
        <w:rPr>
          <w:rFonts w:hint="eastAsia"/>
          <w:color w:val="000000"/>
        </w:rPr>
        <w:t>”</w:t>
      </w:r>
      <w:r w:rsidRPr="00F01CB5">
        <w:rPr>
          <w:color w:val="000000"/>
        </w:rPr>
        <w:t xml:space="preserve">, (2) </w:t>
      </w:r>
      <w:r w:rsidRPr="00F01CB5">
        <w:rPr>
          <w:rFonts w:hint="eastAsia"/>
          <w:color w:val="000000"/>
        </w:rPr>
        <w:t>“</w:t>
      </w:r>
      <w:r w:rsidRPr="00F01CB5">
        <w:rPr>
          <w:color w:val="000000"/>
        </w:rPr>
        <w:t>Can you describe a situation where the workflow proceeded as planned?</w:t>
      </w:r>
      <w:r w:rsidRPr="00F01CB5">
        <w:rPr>
          <w:rFonts w:hint="eastAsia"/>
          <w:color w:val="000000"/>
        </w:rPr>
        <w:t>”</w:t>
      </w:r>
      <w:r w:rsidRPr="00F01CB5">
        <w:rPr>
          <w:color w:val="000000"/>
        </w:rPr>
        <w:t xml:space="preserve">, (3) </w:t>
      </w:r>
      <w:r w:rsidRPr="00F01CB5">
        <w:rPr>
          <w:rFonts w:hint="eastAsia"/>
          <w:color w:val="000000"/>
        </w:rPr>
        <w:t>“</w:t>
      </w:r>
      <w:r w:rsidRPr="00F01CB5">
        <w:rPr>
          <w:color w:val="000000"/>
        </w:rPr>
        <w:t>Can you describe a situation where the workflow did not proceed as planned?</w:t>
      </w:r>
      <w:r w:rsidRPr="00F01CB5">
        <w:rPr>
          <w:rFonts w:hint="eastAsia"/>
          <w:color w:val="000000"/>
        </w:rPr>
        <w:t>”</w:t>
      </w:r>
      <w:r w:rsidRPr="00F01CB5">
        <w:rPr>
          <w:color w:val="000000"/>
        </w:rPr>
        <w:t xml:space="preserve">, (4) </w:t>
      </w:r>
      <w:r w:rsidRPr="00F01CB5">
        <w:rPr>
          <w:rFonts w:hint="eastAsia"/>
          <w:color w:val="000000"/>
        </w:rPr>
        <w:t>“</w:t>
      </w:r>
      <w:r w:rsidRPr="00F01CB5">
        <w:rPr>
          <w:color w:val="000000"/>
        </w:rPr>
        <w:t>Can you tell me what strategies you typically use when PSIs do not perform as expected?</w:t>
      </w:r>
      <w:r w:rsidRPr="00F01CB5">
        <w:rPr>
          <w:rFonts w:hint="eastAsia"/>
          <w:color w:val="000000"/>
        </w:rPr>
        <w:t>”</w:t>
      </w:r>
      <w:r w:rsidRPr="00F01CB5">
        <w:rPr>
          <w:color w:val="000000"/>
        </w:rPr>
        <w:t xml:space="preserve">, (5) </w:t>
      </w:r>
      <w:r w:rsidRPr="00F01CB5">
        <w:rPr>
          <w:rFonts w:hint="eastAsia"/>
          <w:color w:val="000000"/>
        </w:rPr>
        <w:t>“</w:t>
      </w:r>
      <w:r w:rsidRPr="00F01CB5">
        <w:rPr>
          <w:color w:val="000000"/>
        </w:rPr>
        <w:t>Have you ever needed to modify a PSI due to difficulty?</w:t>
      </w:r>
      <w:r w:rsidRPr="00F01CB5">
        <w:rPr>
          <w:rFonts w:hint="eastAsia"/>
          <w:color w:val="000000"/>
        </w:rPr>
        <w:t>”</w:t>
      </w:r>
      <w:r w:rsidRPr="00F01CB5">
        <w:rPr>
          <w:color w:val="000000"/>
        </w:rPr>
        <w:t xml:space="preserve">, (6) </w:t>
      </w:r>
      <w:r w:rsidRPr="00F01CB5">
        <w:rPr>
          <w:rFonts w:hint="eastAsia"/>
          <w:color w:val="000000"/>
        </w:rPr>
        <w:t>“</w:t>
      </w:r>
      <w:r w:rsidRPr="00F01CB5">
        <w:rPr>
          <w:color w:val="000000"/>
        </w:rPr>
        <w:t>What led to a decision to modify an implant?</w:t>
      </w:r>
      <w:r w:rsidRPr="00F01CB5">
        <w:rPr>
          <w:rFonts w:hint="eastAsia"/>
          <w:color w:val="000000"/>
        </w:rPr>
        <w:t>”</w:t>
      </w:r>
      <w:r w:rsidRPr="00F01CB5">
        <w:rPr>
          <w:color w:val="000000"/>
        </w:rPr>
        <w:t xml:space="preserve">, and (7) </w:t>
      </w:r>
      <w:r w:rsidRPr="00F01CB5">
        <w:rPr>
          <w:rFonts w:hint="eastAsia"/>
          <w:color w:val="000000"/>
        </w:rPr>
        <w:t>“</w:t>
      </w:r>
      <w:r w:rsidRPr="00F01CB5">
        <w:rPr>
          <w:color w:val="000000"/>
        </w:rPr>
        <w:t>Do you have any further comments or thoughts regarding PSIs?</w:t>
      </w:r>
      <w:r w:rsidRPr="00F01CB5">
        <w:rPr>
          <w:rFonts w:hint="eastAsia"/>
          <w:color w:val="000000"/>
        </w:rPr>
        <w:t>”</w:t>
      </w:r>
      <w:r w:rsidRPr="00F01CB5">
        <w:rPr>
          <w:color w:val="000000"/>
        </w:rPr>
        <w:t xml:space="preserve"> Questions five and six were reworded for assisting surgeons and surgical technologists as follows: (6) </w:t>
      </w:r>
      <w:r w:rsidRPr="00F01CB5">
        <w:rPr>
          <w:rFonts w:hint="eastAsia"/>
          <w:color w:val="000000"/>
        </w:rPr>
        <w:t>“</w:t>
      </w:r>
      <w:r w:rsidRPr="00F01CB5">
        <w:rPr>
          <w:color w:val="000000"/>
        </w:rPr>
        <w:t xml:space="preserve">Has a surgeon ever needed to modify a PSI due to difficulty? (7) In your opinion, what led him/her to that decision? If interviewees answered in the affirmative for question 3 above then the following question was added, </w:t>
      </w:r>
      <w:r w:rsidRPr="00F01CB5">
        <w:rPr>
          <w:rFonts w:hint="eastAsia"/>
          <w:color w:val="000000"/>
        </w:rPr>
        <w:t>“</w:t>
      </w:r>
      <w:r w:rsidRPr="00F01CB5">
        <w:rPr>
          <w:color w:val="000000"/>
        </w:rPr>
        <w:t>What most likely contributed to the difficulty? 1- changes in patient</w:t>
      </w:r>
      <w:r w:rsidRPr="00F01CB5">
        <w:rPr>
          <w:rFonts w:hint="eastAsia"/>
          <w:color w:val="000000"/>
        </w:rPr>
        <w:t>’</w:t>
      </w:r>
      <w:r w:rsidRPr="00F01CB5">
        <w:rPr>
          <w:color w:val="000000"/>
        </w:rPr>
        <w:t xml:space="preserve">s anatomy, 2- errors in planning workflow (error in 3D-planning), 3- inaccuracy of the biomodel, </w:t>
      </w:r>
      <w:r w:rsidRPr="00F01CB5">
        <w:rPr>
          <w:color w:val="000000"/>
        </w:rPr>
        <w:lastRenderedPageBreak/>
        <w:t xml:space="preserve">4- other, or 5- unknown. Surgeons who participated in PSI surgeries as surgical assistants, and surgical technologists were encouraged to speak freely and elaborate if they selected </w:t>
      </w:r>
      <w:r w:rsidRPr="00F01CB5">
        <w:rPr>
          <w:rFonts w:hint="eastAsia"/>
          <w:color w:val="000000"/>
        </w:rPr>
        <w:t>“</w:t>
      </w:r>
      <w:r w:rsidRPr="00F01CB5">
        <w:rPr>
          <w:color w:val="000000"/>
        </w:rPr>
        <w:t>other</w:t>
      </w:r>
      <w:r w:rsidRPr="00F01CB5">
        <w:rPr>
          <w:rFonts w:hint="eastAsia"/>
          <w:color w:val="000000"/>
        </w:rPr>
        <w:t>”</w:t>
      </w:r>
      <w:r w:rsidRPr="00F01CB5">
        <w:rPr>
          <w:color w:val="000000"/>
        </w:rPr>
        <w:t>.</w:t>
      </w:r>
    </w:p>
    <w:p w14:paraId="136A7A86" w14:textId="161D7AB2" w:rsidR="004F0737" w:rsidRDefault="00F01CB5" w:rsidP="00360601">
      <w:pPr>
        <w:pBdr>
          <w:top w:val="nil"/>
          <w:left w:val="nil"/>
          <w:bottom w:val="nil"/>
          <w:right w:val="nil"/>
          <w:between w:val="nil"/>
        </w:pBdr>
        <w:spacing w:line="360" w:lineRule="auto"/>
        <w:ind w:firstLine="708"/>
        <w:rPr>
          <w:color w:val="000000"/>
        </w:rPr>
      </w:pPr>
      <w:r w:rsidRPr="00F01CB5">
        <w:rPr>
          <w:color w:val="000000"/>
        </w:rPr>
        <w:t xml:space="preserve">Scored Likert-style questions included </w:t>
      </w:r>
      <w:r w:rsidRPr="00F01CB5">
        <w:rPr>
          <w:rFonts w:hint="eastAsia"/>
          <w:color w:val="000000"/>
        </w:rPr>
        <w:t>“</w:t>
      </w:r>
      <w:r w:rsidRPr="00F01CB5">
        <w:rPr>
          <w:color w:val="000000"/>
        </w:rPr>
        <w:t xml:space="preserve">List your surgical cases that utilise PSIs in order of complexity (1 </w:t>
      </w:r>
      <w:r w:rsidRPr="00F01CB5">
        <w:rPr>
          <w:rFonts w:hint="eastAsia"/>
          <w:color w:val="000000"/>
        </w:rPr>
        <w:t>–</w:t>
      </w:r>
      <w:r w:rsidRPr="00F01CB5">
        <w:rPr>
          <w:color w:val="000000"/>
        </w:rPr>
        <w:t xml:space="preserve"> most complex, 5- least complex)</w:t>
      </w:r>
      <w:r w:rsidRPr="00F01CB5">
        <w:rPr>
          <w:rFonts w:hint="eastAsia"/>
          <w:color w:val="000000"/>
        </w:rPr>
        <w:t>”</w:t>
      </w:r>
      <w:r w:rsidRPr="00F01CB5">
        <w:rPr>
          <w:color w:val="000000"/>
        </w:rPr>
        <w:t xml:space="preserve">, </w:t>
      </w:r>
      <w:r w:rsidRPr="00F01CB5">
        <w:rPr>
          <w:rFonts w:hint="eastAsia"/>
          <w:color w:val="000000"/>
        </w:rPr>
        <w:t>“</w:t>
      </w:r>
      <w:r w:rsidRPr="00F01CB5">
        <w:rPr>
          <w:color w:val="000000"/>
        </w:rPr>
        <w:t>With which of the aforementioned surgeries are PSIs more difficult to use? (case n)</w:t>
      </w:r>
      <w:r w:rsidRPr="00F01CB5">
        <w:rPr>
          <w:rFonts w:hint="eastAsia"/>
          <w:color w:val="000000"/>
        </w:rPr>
        <w:t>”</w:t>
      </w:r>
      <w:r w:rsidRPr="00F01CB5">
        <w:rPr>
          <w:color w:val="000000"/>
        </w:rPr>
        <w:t xml:space="preserve">, </w:t>
      </w:r>
      <w:r w:rsidRPr="00F01CB5">
        <w:rPr>
          <w:rFonts w:hint="eastAsia"/>
          <w:color w:val="000000"/>
        </w:rPr>
        <w:t>“</w:t>
      </w:r>
      <w:r w:rsidRPr="00F01CB5">
        <w:rPr>
          <w:color w:val="000000"/>
        </w:rPr>
        <w:t xml:space="preserve">Which of these surgeries typically have the best fit PSIs? (case n, 1- best  fit, 5 </w:t>
      </w:r>
      <w:r w:rsidRPr="00F01CB5">
        <w:rPr>
          <w:rFonts w:hint="eastAsia"/>
          <w:color w:val="000000"/>
        </w:rPr>
        <w:t>–</w:t>
      </w:r>
      <w:r w:rsidRPr="00F01CB5">
        <w:rPr>
          <w:color w:val="000000"/>
        </w:rPr>
        <w:t xml:space="preserve"> worst fit) and best outcomes (case n, 1 </w:t>
      </w:r>
      <w:r w:rsidRPr="00F01CB5">
        <w:rPr>
          <w:rFonts w:hint="eastAsia"/>
          <w:color w:val="000000"/>
        </w:rPr>
        <w:t>–</w:t>
      </w:r>
      <w:r w:rsidRPr="00F01CB5">
        <w:rPr>
          <w:color w:val="000000"/>
        </w:rPr>
        <w:t xml:space="preserve"> best outcome, 5 worst outcome). Optional free-text comment boxes followed each question, inviting participants to elaborate on their reasoning or describe specific cases that informed their responses. These qualitative comments were also analysed thematically and used to enrich interpretation of numerical trends</w:t>
      </w:r>
      <w:r w:rsidR="00B77F2E">
        <w:rPr>
          <w:color w:val="000000"/>
        </w:rPr>
        <w:t>.</w:t>
      </w:r>
    </w:p>
    <w:p w14:paraId="6B1AA743" w14:textId="77777777" w:rsidR="00892686" w:rsidRDefault="00892686" w:rsidP="00892686">
      <w:pPr>
        <w:pBdr>
          <w:top w:val="nil"/>
          <w:left w:val="nil"/>
          <w:bottom w:val="nil"/>
          <w:right w:val="nil"/>
          <w:between w:val="nil"/>
        </w:pBdr>
        <w:spacing w:line="360" w:lineRule="auto"/>
        <w:jc w:val="both"/>
        <w:rPr>
          <w:color w:val="000000"/>
        </w:rPr>
      </w:pPr>
    </w:p>
    <w:p w14:paraId="45F899A7" w14:textId="77777777" w:rsidR="004F0737" w:rsidRDefault="00B77F2E">
      <w:pPr>
        <w:pBdr>
          <w:top w:val="nil"/>
          <w:left w:val="nil"/>
          <w:bottom w:val="nil"/>
          <w:right w:val="nil"/>
          <w:between w:val="nil"/>
        </w:pBdr>
        <w:spacing w:line="360" w:lineRule="auto"/>
        <w:jc w:val="both"/>
        <w:rPr>
          <w:b/>
          <w:i/>
          <w:color w:val="000000"/>
        </w:rPr>
      </w:pPr>
      <w:r>
        <w:rPr>
          <w:b/>
          <w:i/>
          <w:color w:val="000000"/>
        </w:rPr>
        <w:t>Data analysis</w:t>
      </w:r>
    </w:p>
    <w:p w14:paraId="373629CA" w14:textId="691EEC80" w:rsidR="00204CBE" w:rsidRPr="00204CBE" w:rsidRDefault="00204CBE" w:rsidP="00360601">
      <w:pPr>
        <w:pBdr>
          <w:top w:val="nil"/>
          <w:left w:val="nil"/>
          <w:bottom w:val="nil"/>
          <w:right w:val="nil"/>
          <w:between w:val="nil"/>
        </w:pBdr>
        <w:spacing w:line="360" w:lineRule="auto"/>
        <w:ind w:firstLine="708"/>
        <w:rPr>
          <w:color w:val="000000"/>
        </w:rPr>
      </w:pPr>
      <w:r w:rsidRPr="00204CBE">
        <w:rPr>
          <w:color w:val="000000"/>
        </w:rPr>
        <w:t xml:space="preserve">All qualitative data were analysed using an inductive qualitative content analysis approach, focusing on manifest content to identify observable behavioural patterns and recurrent themes </w:t>
      </w:r>
      <w:r w:rsidR="00C74FDC">
        <w:rPr>
          <w:color w:val="000000"/>
        </w:rPr>
        <w:t>(</w:t>
      </w:r>
      <w:r w:rsidR="003A5A9C">
        <w:rPr>
          <w:color w:val="000000"/>
        </w:rPr>
        <w:t xml:space="preserve">Elo &amp; </w:t>
      </w:r>
      <w:r w:rsidR="003A5A9C" w:rsidRPr="003A5A9C">
        <w:rPr>
          <w:color w:val="000000"/>
        </w:rPr>
        <w:t>Kyngäs</w:t>
      </w:r>
      <w:r w:rsidR="00550516">
        <w:rPr>
          <w:color w:val="000000"/>
        </w:rPr>
        <w:t>,</w:t>
      </w:r>
      <w:r w:rsidR="003A5A9C" w:rsidRPr="00204CBE">
        <w:rPr>
          <w:color w:val="000000"/>
        </w:rPr>
        <w:t xml:space="preserve"> </w:t>
      </w:r>
      <w:r w:rsidR="004876B5">
        <w:rPr>
          <w:color w:val="000000"/>
        </w:rPr>
        <w:t xml:space="preserve">2008; </w:t>
      </w:r>
      <w:r w:rsidR="006F57C3">
        <w:rPr>
          <w:color w:val="000000"/>
        </w:rPr>
        <w:t>Flick</w:t>
      </w:r>
      <w:r w:rsidR="009C17D1">
        <w:rPr>
          <w:color w:val="000000"/>
        </w:rPr>
        <w:t>,</w:t>
      </w:r>
      <w:r w:rsidR="006F57C3">
        <w:rPr>
          <w:color w:val="000000"/>
        </w:rPr>
        <w:t xml:space="preserve"> 2014</w:t>
      </w:r>
      <w:r w:rsidR="00490E8A">
        <w:rPr>
          <w:color w:val="000000"/>
        </w:rPr>
        <w:t>)</w:t>
      </w:r>
      <w:r w:rsidR="004876B5">
        <w:rPr>
          <w:color w:val="000000"/>
        </w:rPr>
        <w:t>.</w:t>
      </w:r>
      <w:r w:rsidRPr="00204CBE">
        <w:rPr>
          <w:color w:val="000000"/>
        </w:rPr>
        <w:t xml:space="preserve"> Interview transcripts were reviewed in their entirety and coded iteratively by the primary author and two research assistants. Open coding was used to assign descriptive labels to segments of text that reflected distinct attitudes, decision-making tendencies, and emotional responses related to intraoperative challenges with patient-specific implants.</w:t>
      </w:r>
    </w:p>
    <w:p w14:paraId="49E22A12" w14:textId="2FFF6E0F" w:rsidR="00822E41" w:rsidRDefault="00204CBE" w:rsidP="00360601">
      <w:pPr>
        <w:pBdr>
          <w:top w:val="nil"/>
          <w:left w:val="nil"/>
          <w:bottom w:val="nil"/>
          <w:right w:val="nil"/>
          <w:between w:val="nil"/>
        </w:pBdr>
        <w:spacing w:line="360" w:lineRule="auto"/>
        <w:ind w:firstLine="708"/>
        <w:rPr>
          <w:color w:val="000000"/>
        </w:rPr>
        <w:sectPr w:rsidR="00822E41">
          <w:headerReference w:type="even" r:id="rId10"/>
          <w:headerReference w:type="default" r:id="rId11"/>
          <w:footerReference w:type="even" r:id="rId12"/>
          <w:footerReference w:type="default" r:id="rId13"/>
          <w:pgSz w:w="12240" w:h="15840"/>
          <w:pgMar w:top="1440" w:right="1440" w:bottom="1440" w:left="1440" w:header="720" w:footer="720" w:gutter="0"/>
          <w:pgNumType w:start="1"/>
          <w:cols w:space="720"/>
        </w:sectPr>
      </w:pPr>
      <w:r w:rsidRPr="00204CBE">
        <w:rPr>
          <w:color w:val="000000"/>
        </w:rPr>
        <w:t>Codes were then grouped into broader thematic categories through axial coding, with attention to the cognitive and behavioural dimensions underlying each response. Recurring patterns across interviews were clustered initially into three emergent themes, including: (1) attribution of fit-related issues, (2) intraoperative frustration and impatience, and (3) emotional regulation and perseverance (Table 1)</w:t>
      </w:r>
    </w:p>
    <w:p w14:paraId="2A949FFD" w14:textId="7B48B973" w:rsidR="006E525B" w:rsidRPr="006E525B" w:rsidRDefault="006E525B" w:rsidP="00F54977">
      <w:pPr>
        <w:pBdr>
          <w:top w:val="nil"/>
          <w:left w:val="nil"/>
          <w:bottom w:val="nil"/>
          <w:right w:val="nil"/>
          <w:between w:val="nil"/>
        </w:pBdr>
        <w:spacing w:line="360" w:lineRule="auto"/>
        <w:jc w:val="both"/>
        <w:rPr>
          <w:color w:val="000000"/>
          <w:sz w:val="20"/>
          <w:szCs w:val="20"/>
        </w:rPr>
      </w:pPr>
    </w:p>
    <w:tbl>
      <w:tblPr>
        <w:tblStyle w:val="PlainTable2"/>
        <w:tblpPr w:leftFromText="180" w:rightFromText="180" w:vertAnchor="page" w:horzAnchor="margin" w:tblpY="1927"/>
        <w:tblW w:w="14029" w:type="dxa"/>
        <w:tblLook w:val="0400" w:firstRow="0" w:lastRow="0" w:firstColumn="0" w:lastColumn="0" w:noHBand="0" w:noVBand="1"/>
      </w:tblPr>
      <w:tblGrid>
        <w:gridCol w:w="2830"/>
        <w:gridCol w:w="2552"/>
        <w:gridCol w:w="5528"/>
        <w:gridCol w:w="3119"/>
      </w:tblGrid>
      <w:tr w:rsidR="003C2A38" w:rsidRPr="006702E0" w14:paraId="0EDC6FC9" w14:textId="77777777" w:rsidTr="006702E0">
        <w:trPr>
          <w:cnfStyle w:val="000000100000" w:firstRow="0" w:lastRow="0" w:firstColumn="0" w:lastColumn="0" w:oddVBand="0" w:evenVBand="0" w:oddHBand="1" w:evenHBand="0" w:firstRowFirstColumn="0" w:firstRowLastColumn="0" w:lastRowFirstColumn="0" w:lastRowLastColumn="0"/>
          <w:divId w:val="1396051133"/>
          <w:trHeight w:val="556"/>
        </w:trPr>
        <w:tc>
          <w:tcPr>
            <w:tcW w:w="14029" w:type="dxa"/>
            <w:gridSpan w:val="4"/>
            <w:hideMark/>
          </w:tcPr>
          <w:p w14:paraId="24FE97D9" w14:textId="77777777" w:rsidR="003C2A38" w:rsidRPr="006702E0" w:rsidRDefault="003C2A38" w:rsidP="00973E35">
            <w:pPr>
              <w:spacing w:line="360" w:lineRule="auto"/>
              <w:rPr>
                <w:sz w:val="20"/>
                <w:szCs w:val="20"/>
              </w:rPr>
            </w:pPr>
            <w:r w:rsidRPr="006702E0">
              <w:rPr>
                <w:sz w:val="20"/>
                <w:szCs w:val="20"/>
              </w:rPr>
              <w:t>Table 1.</w:t>
            </w:r>
          </w:p>
          <w:p w14:paraId="45BD6BC6" w14:textId="49385BDD" w:rsidR="003C2A38" w:rsidRPr="006702E0" w:rsidRDefault="00BA19C3" w:rsidP="00973E35">
            <w:pPr>
              <w:spacing w:line="360" w:lineRule="auto"/>
              <w:rPr>
                <w:i/>
                <w:iCs/>
                <w:color w:val="000000"/>
                <w:sz w:val="20"/>
                <w:szCs w:val="20"/>
              </w:rPr>
            </w:pPr>
            <w:r w:rsidRPr="006702E0">
              <w:rPr>
                <w:i/>
                <w:iCs/>
                <w:color w:val="000000"/>
                <w:sz w:val="20"/>
                <w:szCs w:val="20"/>
              </w:rPr>
              <w:t>Initial emergent themes derived through inductive content analysis, showing axial coding categories and representative open codes with evidentiary sources.</w:t>
            </w:r>
          </w:p>
        </w:tc>
      </w:tr>
      <w:tr w:rsidR="001128AB" w:rsidRPr="006702E0" w14:paraId="03372E2B" w14:textId="77777777" w:rsidTr="00904A28">
        <w:trPr>
          <w:divId w:val="1396051133"/>
          <w:trHeight w:val="556"/>
        </w:trPr>
        <w:tc>
          <w:tcPr>
            <w:tcW w:w="2830" w:type="dxa"/>
            <w:shd w:val="clear" w:color="auto" w:fill="E7E6E6" w:themeFill="background2"/>
            <w:vAlign w:val="center"/>
          </w:tcPr>
          <w:p w14:paraId="531A2D76" w14:textId="6B093BAC" w:rsidR="001128AB" w:rsidRPr="006702E0" w:rsidRDefault="004020E5" w:rsidP="00973E35">
            <w:pPr>
              <w:spacing w:line="360" w:lineRule="auto"/>
              <w:rPr>
                <w:sz w:val="20"/>
                <w:szCs w:val="20"/>
              </w:rPr>
            </w:pPr>
            <w:r w:rsidRPr="006702E0">
              <w:rPr>
                <w:sz w:val="20"/>
                <w:szCs w:val="20"/>
              </w:rPr>
              <w:t>Emergent Theme</w:t>
            </w:r>
          </w:p>
        </w:tc>
        <w:tc>
          <w:tcPr>
            <w:tcW w:w="2552" w:type="dxa"/>
            <w:shd w:val="clear" w:color="auto" w:fill="E7E6E6" w:themeFill="background2"/>
            <w:vAlign w:val="center"/>
          </w:tcPr>
          <w:p w14:paraId="2E4EE275" w14:textId="6596F8CC" w:rsidR="001128AB" w:rsidRPr="006702E0" w:rsidRDefault="003C2A38" w:rsidP="00973E35">
            <w:pPr>
              <w:spacing w:line="360" w:lineRule="auto"/>
              <w:rPr>
                <w:rFonts w:eastAsiaTheme="majorEastAsia"/>
                <w:sz w:val="20"/>
                <w:szCs w:val="20"/>
              </w:rPr>
            </w:pPr>
            <w:r w:rsidRPr="006702E0">
              <w:rPr>
                <w:rFonts w:eastAsiaTheme="majorEastAsia"/>
                <w:sz w:val="20"/>
                <w:szCs w:val="20"/>
              </w:rPr>
              <w:t>Axial Code (Category)</w:t>
            </w:r>
          </w:p>
        </w:tc>
        <w:tc>
          <w:tcPr>
            <w:tcW w:w="5528" w:type="dxa"/>
            <w:shd w:val="clear" w:color="auto" w:fill="E7E6E6" w:themeFill="background2"/>
            <w:vAlign w:val="center"/>
          </w:tcPr>
          <w:p w14:paraId="23526D22" w14:textId="53D11F7F" w:rsidR="001128AB" w:rsidRPr="006702E0" w:rsidRDefault="003C2A38" w:rsidP="00973E35">
            <w:pPr>
              <w:spacing w:line="360" w:lineRule="auto"/>
              <w:rPr>
                <w:sz w:val="20"/>
                <w:szCs w:val="20"/>
              </w:rPr>
            </w:pPr>
            <w:r w:rsidRPr="006702E0">
              <w:rPr>
                <w:sz w:val="20"/>
                <w:szCs w:val="20"/>
              </w:rPr>
              <w:t>Representative Open Codes</w:t>
            </w:r>
          </w:p>
        </w:tc>
        <w:tc>
          <w:tcPr>
            <w:tcW w:w="3119" w:type="dxa"/>
            <w:shd w:val="clear" w:color="auto" w:fill="E7E6E6" w:themeFill="background2"/>
            <w:vAlign w:val="center"/>
          </w:tcPr>
          <w:p w14:paraId="2C3187E5" w14:textId="7A7BD12B" w:rsidR="001128AB" w:rsidRPr="006702E0" w:rsidRDefault="003C2A38" w:rsidP="00973E35">
            <w:pPr>
              <w:spacing w:line="360" w:lineRule="auto"/>
              <w:rPr>
                <w:sz w:val="20"/>
                <w:szCs w:val="20"/>
              </w:rPr>
            </w:pPr>
            <w:r w:rsidRPr="006702E0">
              <w:rPr>
                <w:sz w:val="20"/>
                <w:szCs w:val="20"/>
              </w:rPr>
              <w:t>Data Source Evidence</w:t>
            </w:r>
          </w:p>
        </w:tc>
      </w:tr>
      <w:tr w:rsidR="00210C32" w:rsidRPr="006702E0" w14:paraId="27FDEAC1" w14:textId="77777777" w:rsidTr="006702E0">
        <w:trPr>
          <w:cnfStyle w:val="000000100000" w:firstRow="0" w:lastRow="0" w:firstColumn="0" w:lastColumn="0" w:oddVBand="0" w:evenVBand="0" w:oddHBand="1" w:evenHBand="0" w:firstRowFirstColumn="0" w:firstRowLastColumn="0" w:lastRowFirstColumn="0" w:lastRowLastColumn="0"/>
          <w:divId w:val="1396051133"/>
          <w:trHeight w:val="556"/>
        </w:trPr>
        <w:tc>
          <w:tcPr>
            <w:tcW w:w="2830" w:type="dxa"/>
            <w:hideMark/>
          </w:tcPr>
          <w:p w14:paraId="39B9383A" w14:textId="77777777" w:rsidR="00210C32" w:rsidRPr="006702E0" w:rsidRDefault="00210C32" w:rsidP="00973E35">
            <w:pPr>
              <w:spacing w:line="360" w:lineRule="auto"/>
              <w:rPr>
                <w:sz w:val="20"/>
                <w:szCs w:val="20"/>
              </w:rPr>
            </w:pPr>
            <w:r w:rsidRPr="006702E0">
              <w:rPr>
                <w:sz w:val="20"/>
                <w:szCs w:val="20"/>
              </w:rPr>
              <w:t>Attribution of fit-related issues</w:t>
            </w:r>
          </w:p>
        </w:tc>
        <w:tc>
          <w:tcPr>
            <w:tcW w:w="2552" w:type="dxa"/>
            <w:hideMark/>
          </w:tcPr>
          <w:p w14:paraId="11AEEA7B" w14:textId="77777777" w:rsidR="00210C32" w:rsidRPr="006702E0" w:rsidRDefault="00210C32" w:rsidP="00973E35">
            <w:pPr>
              <w:spacing w:line="360" w:lineRule="auto"/>
              <w:rPr>
                <w:sz w:val="20"/>
                <w:szCs w:val="20"/>
              </w:rPr>
            </w:pPr>
            <w:r w:rsidRPr="006702E0">
              <w:rPr>
                <w:sz w:val="20"/>
                <w:szCs w:val="20"/>
              </w:rPr>
              <w:t>Technical shortcomings</w:t>
            </w:r>
          </w:p>
        </w:tc>
        <w:tc>
          <w:tcPr>
            <w:tcW w:w="5528" w:type="dxa"/>
            <w:hideMark/>
          </w:tcPr>
          <w:p w14:paraId="7E662940" w14:textId="77777777" w:rsidR="00210C32" w:rsidRPr="006702E0" w:rsidRDefault="00210C32" w:rsidP="00973E35">
            <w:pPr>
              <w:spacing w:line="360" w:lineRule="auto"/>
              <w:rPr>
                <w:sz w:val="20"/>
                <w:szCs w:val="20"/>
              </w:rPr>
            </w:pPr>
            <w:r w:rsidRPr="006702E0">
              <w:rPr>
                <w:sz w:val="20"/>
                <w:szCs w:val="20"/>
              </w:rPr>
              <w:t>“Screw holes are misalignment (1 – 2 mm)”</w:t>
            </w:r>
          </w:p>
          <w:p w14:paraId="304981C6" w14:textId="77777777" w:rsidR="00210C32" w:rsidRPr="006702E0" w:rsidRDefault="00210C32" w:rsidP="00973E35">
            <w:pPr>
              <w:spacing w:line="360" w:lineRule="auto"/>
              <w:rPr>
                <w:sz w:val="20"/>
                <w:szCs w:val="20"/>
              </w:rPr>
            </w:pPr>
            <w:r w:rsidRPr="006702E0">
              <w:rPr>
                <w:sz w:val="20"/>
                <w:szCs w:val="20"/>
              </w:rPr>
              <w:t>“There is a contour mismatch at orbital rim”</w:t>
            </w:r>
          </w:p>
          <w:p w14:paraId="0F0456A2" w14:textId="77777777" w:rsidR="00210C32" w:rsidRPr="006702E0" w:rsidRDefault="00210C32" w:rsidP="00973E35">
            <w:pPr>
              <w:spacing w:line="360" w:lineRule="auto"/>
              <w:rPr>
                <w:sz w:val="20"/>
                <w:szCs w:val="20"/>
              </w:rPr>
            </w:pPr>
            <w:r w:rsidRPr="006702E0">
              <w:rPr>
                <w:sz w:val="20"/>
                <w:szCs w:val="20"/>
              </w:rPr>
              <w:t>“Inadequate flange thickness”</w:t>
            </w:r>
          </w:p>
        </w:tc>
        <w:tc>
          <w:tcPr>
            <w:tcW w:w="3119" w:type="dxa"/>
            <w:hideMark/>
          </w:tcPr>
          <w:p w14:paraId="347C4631" w14:textId="77777777" w:rsidR="00210C32" w:rsidRPr="006702E0" w:rsidRDefault="00210C32" w:rsidP="00973E35">
            <w:pPr>
              <w:spacing w:line="360" w:lineRule="auto"/>
              <w:rPr>
                <w:sz w:val="20"/>
                <w:szCs w:val="20"/>
              </w:rPr>
            </w:pPr>
            <w:r w:rsidRPr="006702E0">
              <w:rPr>
                <w:sz w:val="20"/>
                <w:szCs w:val="20"/>
              </w:rPr>
              <w:t>Biomedical engineer report (BR1)</w:t>
            </w:r>
          </w:p>
          <w:p w14:paraId="1E9D8844" w14:textId="77777777" w:rsidR="00210C32" w:rsidRPr="006702E0" w:rsidRDefault="00210C32" w:rsidP="00973E35">
            <w:pPr>
              <w:spacing w:line="360" w:lineRule="auto"/>
              <w:rPr>
                <w:sz w:val="20"/>
                <w:szCs w:val="20"/>
              </w:rPr>
            </w:pPr>
            <w:r w:rsidRPr="006702E0">
              <w:rPr>
                <w:sz w:val="20"/>
                <w:szCs w:val="20"/>
              </w:rPr>
              <w:t>Post-op debriefs (p. 6)</w:t>
            </w:r>
          </w:p>
          <w:p w14:paraId="1C81509A" w14:textId="77777777" w:rsidR="00210C32" w:rsidRPr="006702E0" w:rsidRDefault="00210C32" w:rsidP="00973E35">
            <w:pPr>
              <w:spacing w:line="360" w:lineRule="auto"/>
              <w:rPr>
                <w:sz w:val="20"/>
                <w:szCs w:val="20"/>
              </w:rPr>
            </w:pPr>
            <w:r w:rsidRPr="006702E0">
              <w:rPr>
                <w:sz w:val="20"/>
                <w:szCs w:val="20"/>
              </w:rPr>
              <w:t>Post-op debriefs (p.9)</w:t>
            </w:r>
          </w:p>
        </w:tc>
      </w:tr>
      <w:tr w:rsidR="00210C32" w:rsidRPr="006702E0" w14:paraId="6F20B710" w14:textId="77777777" w:rsidTr="006702E0">
        <w:trPr>
          <w:divId w:val="1396051133"/>
          <w:trHeight w:val="556"/>
        </w:trPr>
        <w:tc>
          <w:tcPr>
            <w:tcW w:w="2830" w:type="dxa"/>
          </w:tcPr>
          <w:p w14:paraId="5323BA8A" w14:textId="77777777" w:rsidR="00210C32" w:rsidRPr="006702E0" w:rsidRDefault="00210C32" w:rsidP="00973E35">
            <w:pPr>
              <w:spacing w:line="360" w:lineRule="auto"/>
              <w:rPr>
                <w:sz w:val="20"/>
                <w:szCs w:val="20"/>
              </w:rPr>
            </w:pPr>
          </w:p>
        </w:tc>
        <w:tc>
          <w:tcPr>
            <w:tcW w:w="2552" w:type="dxa"/>
            <w:hideMark/>
          </w:tcPr>
          <w:p w14:paraId="1CB82477" w14:textId="77777777" w:rsidR="00210C32" w:rsidRPr="006702E0" w:rsidRDefault="00210C32" w:rsidP="00973E35">
            <w:pPr>
              <w:spacing w:line="360" w:lineRule="auto"/>
              <w:rPr>
                <w:sz w:val="20"/>
                <w:szCs w:val="20"/>
              </w:rPr>
            </w:pPr>
            <w:r w:rsidRPr="006702E0">
              <w:rPr>
                <w:sz w:val="20"/>
                <w:szCs w:val="20"/>
              </w:rPr>
              <w:t>Planning workflow failures</w:t>
            </w:r>
          </w:p>
        </w:tc>
        <w:tc>
          <w:tcPr>
            <w:tcW w:w="5528" w:type="dxa"/>
            <w:hideMark/>
          </w:tcPr>
          <w:p w14:paraId="5F5BA506" w14:textId="77777777" w:rsidR="00210C32" w:rsidRPr="006702E0" w:rsidRDefault="00210C32" w:rsidP="00973E35">
            <w:pPr>
              <w:spacing w:line="360" w:lineRule="auto"/>
              <w:rPr>
                <w:sz w:val="20"/>
                <w:szCs w:val="20"/>
              </w:rPr>
            </w:pPr>
            <w:r w:rsidRPr="006702E0">
              <w:rPr>
                <w:sz w:val="20"/>
                <w:szCs w:val="20"/>
              </w:rPr>
              <w:t>“Soft tissue constraints ignored during virtual surgical planning”</w:t>
            </w:r>
          </w:p>
          <w:p w14:paraId="59D6AF12" w14:textId="77777777" w:rsidR="00210C32" w:rsidRPr="006702E0" w:rsidRDefault="00210C32" w:rsidP="00973E35">
            <w:pPr>
              <w:spacing w:line="360" w:lineRule="auto"/>
              <w:rPr>
                <w:sz w:val="20"/>
                <w:szCs w:val="20"/>
              </w:rPr>
            </w:pPr>
            <w:r w:rsidRPr="006702E0">
              <w:rPr>
                <w:sz w:val="20"/>
                <w:szCs w:val="20"/>
              </w:rPr>
              <w:t>“Poor DICOM segmentation”</w:t>
            </w:r>
          </w:p>
          <w:p w14:paraId="1C0721DA" w14:textId="77777777" w:rsidR="00210C32" w:rsidRPr="006702E0" w:rsidRDefault="00210C32" w:rsidP="00973E35">
            <w:pPr>
              <w:spacing w:line="360" w:lineRule="auto"/>
              <w:rPr>
                <w:sz w:val="20"/>
                <w:szCs w:val="20"/>
              </w:rPr>
            </w:pPr>
            <w:r w:rsidRPr="006702E0">
              <w:rPr>
                <w:sz w:val="20"/>
                <w:szCs w:val="20"/>
              </w:rPr>
              <w:t>“Surgical access was not anticipated”</w:t>
            </w:r>
          </w:p>
        </w:tc>
        <w:tc>
          <w:tcPr>
            <w:tcW w:w="3119" w:type="dxa"/>
            <w:hideMark/>
          </w:tcPr>
          <w:p w14:paraId="58AA79A4" w14:textId="77777777" w:rsidR="00210C32" w:rsidRPr="006702E0" w:rsidRDefault="00210C32" w:rsidP="00973E35">
            <w:pPr>
              <w:spacing w:line="360" w:lineRule="auto"/>
              <w:rPr>
                <w:sz w:val="20"/>
                <w:szCs w:val="20"/>
              </w:rPr>
            </w:pPr>
            <w:r w:rsidRPr="006702E0">
              <w:rPr>
                <w:sz w:val="20"/>
                <w:szCs w:val="20"/>
              </w:rPr>
              <w:t>Biomedical engineer report (BR2)</w:t>
            </w:r>
          </w:p>
          <w:p w14:paraId="1F09736E" w14:textId="77777777" w:rsidR="00210C32" w:rsidRPr="006702E0" w:rsidRDefault="00210C32" w:rsidP="00973E35">
            <w:pPr>
              <w:spacing w:line="360" w:lineRule="auto"/>
              <w:rPr>
                <w:sz w:val="20"/>
                <w:szCs w:val="20"/>
              </w:rPr>
            </w:pPr>
            <w:r w:rsidRPr="006702E0">
              <w:rPr>
                <w:sz w:val="20"/>
                <w:szCs w:val="20"/>
              </w:rPr>
              <w:t>Biomedical engineer report (BR3)</w:t>
            </w:r>
          </w:p>
          <w:p w14:paraId="489DF730" w14:textId="77777777" w:rsidR="00210C32" w:rsidRPr="006702E0" w:rsidRDefault="00210C32" w:rsidP="00973E35">
            <w:pPr>
              <w:spacing w:line="360" w:lineRule="auto"/>
              <w:rPr>
                <w:sz w:val="20"/>
                <w:szCs w:val="20"/>
              </w:rPr>
            </w:pPr>
            <w:r w:rsidRPr="006702E0">
              <w:rPr>
                <w:sz w:val="20"/>
                <w:szCs w:val="20"/>
              </w:rPr>
              <w:t>Post-op debriefs (p. 7)</w:t>
            </w:r>
          </w:p>
        </w:tc>
      </w:tr>
      <w:tr w:rsidR="00210C32" w:rsidRPr="006702E0" w14:paraId="5A487DBF" w14:textId="77777777" w:rsidTr="006702E0">
        <w:trPr>
          <w:cnfStyle w:val="000000100000" w:firstRow="0" w:lastRow="0" w:firstColumn="0" w:lastColumn="0" w:oddVBand="0" w:evenVBand="0" w:oddHBand="1" w:evenHBand="0" w:firstRowFirstColumn="0" w:firstRowLastColumn="0" w:lastRowFirstColumn="0" w:lastRowLastColumn="0"/>
          <w:divId w:val="1396051133"/>
          <w:trHeight w:val="556"/>
        </w:trPr>
        <w:tc>
          <w:tcPr>
            <w:tcW w:w="2830" w:type="dxa"/>
          </w:tcPr>
          <w:p w14:paraId="551BDDB8" w14:textId="77777777" w:rsidR="00210C32" w:rsidRPr="006702E0" w:rsidRDefault="00210C32" w:rsidP="00973E35">
            <w:pPr>
              <w:spacing w:line="360" w:lineRule="auto"/>
              <w:rPr>
                <w:sz w:val="20"/>
                <w:szCs w:val="20"/>
              </w:rPr>
            </w:pPr>
          </w:p>
        </w:tc>
        <w:tc>
          <w:tcPr>
            <w:tcW w:w="2552" w:type="dxa"/>
            <w:hideMark/>
          </w:tcPr>
          <w:p w14:paraId="2915ADE4" w14:textId="77777777" w:rsidR="00210C32" w:rsidRPr="006702E0" w:rsidRDefault="00210C32" w:rsidP="00973E35">
            <w:pPr>
              <w:spacing w:line="360" w:lineRule="auto"/>
              <w:rPr>
                <w:sz w:val="20"/>
                <w:szCs w:val="20"/>
              </w:rPr>
            </w:pPr>
            <w:r w:rsidRPr="006702E0">
              <w:rPr>
                <w:sz w:val="20"/>
                <w:szCs w:val="20"/>
              </w:rPr>
              <w:t>Anatomical changes</w:t>
            </w:r>
          </w:p>
        </w:tc>
        <w:tc>
          <w:tcPr>
            <w:tcW w:w="5528" w:type="dxa"/>
            <w:hideMark/>
          </w:tcPr>
          <w:p w14:paraId="3FBCD9B2" w14:textId="77777777" w:rsidR="00210C32" w:rsidRPr="006702E0" w:rsidRDefault="00210C32" w:rsidP="00973E35">
            <w:pPr>
              <w:spacing w:line="360" w:lineRule="auto"/>
              <w:rPr>
                <w:sz w:val="20"/>
                <w:szCs w:val="20"/>
              </w:rPr>
            </w:pPr>
            <w:r w:rsidRPr="006702E0">
              <w:rPr>
                <w:sz w:val="20"/>
                <w:szCs w:val="20"/>
              </w:rPr>
              <w:t>“Unexpected bone resorption/remodelling since scan”</w:t>
            </w:r>
          </w:p>
          <w:p w14:paraId="4AF861A6" w14:textId="77777777" w:rsidR="00210C32" w:rsidRPr="006702E0" w:rsidRDefault="00210C32" w:rsidP="00973E35">
            <w:pPr>
              <w:spacing w:line="360" w:lineRule="auto"/>
              <w:rPr>
                <w:sz w:val="20"/>
                <w:szCs w:val="20"/>
              </w:rPr>
            </w:pPr>
            <w:r w:rsidRPr="006702E0">
              <w:rPr>
                <w:sz w:val="20"/>
                <w:szCs w:val="20"/>
              </w:rPr>
              <w:t>“Intraoperative discovery of tumour margin expansion”</w:t>
            </w:r>
          </w:p>
        </w:tc>
        <w:tc>
          <w:tcPr>
            <w:tcW w:w="3119" w:type="dxa"/>
            <w:hideMark/>
          </w:tcPr>
          <w:p w14:paraId="35C6EAEE" w14:textId="77777777" w:rsidR="00210C32" w:rsidRPr="006702E0" w:rsidRDefault="00210C32" w:rsidP="00973E35">
            <w:pPr>
              <w:spacing w:line="360" w:lineRule="auto"/>
              <w:rPr>
                <w:sz w:val="20"/>
                <w:szCs w:val="20"/>
              </w:rPr>
            </w:pPr>
            <w:r w:rsidRPr="006702E0">
              <w:rPr>
                <w:sz w:val="20"/>
                <w:szCs w:val="20"/>
              </w:rPr>
              <w:t>Post-op debrief report (p.8)</w:t>
            </w:r>
          </w:p>
          <w:p w14:paraId="2B2F8D32" w14:textId="77777777" w:rsidR="00210C32" w:rsidRPr="006702E0" w:rsidRDefault="00210C32" w:rsidP="00973E35">
            <w:pPr>
              <w:spacing w:line="360" w:lineRule="auto"/>
              <w:rPr>
                <w:sz w:val="20"/>
                <w:szCs w:val="20"/>
              </w:rPr>
            </w:pPr>
            <w:r w:rsidRPr="006702E0">
              <w:rPr>
                <w:sz w:val="20"/>
                <w:szCs w:val="20"/>
              </w:rPr>
              <w:t>Post-op debrief report (p.8)</w:t>
            </w:r>
          </w:p>
        </w:tc>
      </w:tr>
      <w:tr w:rsidR="00210C32" w:rsidRPr="006702E0" w14:paraId="0EC873FD" w14:textId="77777777" w:rsidTr="006702E0">
        <w:trPr>
          <w:divId w:val="1396051133"/>
          <w:trHeight w:val="556"/>
        </w:trPr>
        <w:tc>
          <w:tcPr>
            <w:tcW w:w="2830" w:type="dxa"/>
            <w:hideMark/>
          </w:tcPr>
          <w:p w14:paraId="2A0CE646" w14:textId="77777777" w:rsidR="00210C32" w:rsidRPr="006702E0" w:rsidRDefault="00210C32" w:rsidP="00973E35">
            <w:pPr>
              <w:spacing w:line="360" w:lineRule="auto"/>
              <w:rPr>
                <w:sz w:val="20"/>
                <w:szCs w:val="20"/>
              </w:rPr>
            </w:pPr>
            <w:r w:rsidRPr="006702E0">
              <w:rPr>
                <w:sz w:val="20"/>
                <w:szCs w:val="20"/>
              </w:rPr>
              <w:t>Intraoperative frustration and impatience</w:t>
            </w:r>
          </w:p>
        </w:tc>
        <w:tc>
          <w:tcPr>
            <w:tcW w:w="2552" w:type="dxa"/>
            <w:hideMark/>
          </w:tcPr>
          <w:p w14:paraId="4BEAD5C2" w14:textId="77777777" w:rsidR="00210C32" w:rsidRPr="006702E0" w:rsidRDefault="00210C32" w:rsidP="00973E35">
            <w:pPr>
              <w:spacing w:line="360" w:lineRule="auto"/>
              <w:rPr>
                <w:sz w:val="20"/>
                <w:szCs w:val="20"/>
              </w:rPr>
            </w:pPr>
            <w:r w:rsidRPr="006702E0">
              <w:rPr>
                <w:sz w:val="20"/>
                <w:szCs w:val="20"/>
              </w:rPr>
              <w:t>Verbal expressions</w:t>
            </w:r>
          </w:p>
        </w:tc>
        <w:tc>
          <w:tcPr>
            <w:tcW w:w="5528" w:type="dxa"/>
            <w:hideMark/>
          </w:tcPr>
          <w:p w14:paraId="0B175483" w14:textId="77777777" w:rsidR="00210C32" w:rsidRPr="006702E0" w:rsidRDefault="00210C32" w:rsidP="00973E35">
            <w:pPr>
              <w:spacing w:line="360" w:lineRule="auto"/>
              <w:rPr>
                <w:sz w:val="20"/>
                <w:szCs w:val="20"/>
              </w:rPr>
            </w:pPr>
            <w:r w:rsidRPr="006702E0">
              <w:rPr>
                <w:sz w:val="20"/>
                <w:szCs w:val="20"/>
              </w:rPr>
              <w:t>“This is BS, this thing doesn’t fit”</w:t>
            </w:r>
          </w:p>
          <w:p w14:paraId="1911E1AF" w14:textId="77777777" w:rsidR="00210C32" w:rsidRPr="006702E0" w:rsidRDefault="00210C32" w:rsidP="00973E35">
            <w:pPr>
              <w:spacing w:line="360" w:lineRule="auto"/>
              <w:rPr>
                <w:sz w:val="20"/>
                <w:szCs w:val="20"/>
              </w:rPr>
            </w:pPr>
            <w:r w:rsidRPr="006702E0">
              <w:rPr>
                <w:sz w:val="20"/>
                <w:szCs w:val="20"/>
              </w:rPr>
              <w:t>“We’re wasting time now”</w:t>
            </w:r>
          </w:p>
          <w:p w14:paraId="5E0BC3F9" w14:textId="13E9A333" w:rsidR="00210C32" w:rsidRPr="006702E0" w:rsidRDefault="00210C32" w:rsidP="00973E35">
            <w:pPr>
              <w:spacing w:line="360" w:lineRule="auto"/>
              <w:rPr>
                <w:sz w:val="20"/>
                <w:szCs w:val="20"/>
              </w:rPr>
            </w:pPr>
            <w:r w:rsidRPr="006702E0">
              <w:rPr>
                <w:sz w:val="20"/>
                <w:szCs w:val="20"/>
              </w:rPr>
              <w:t>“Why doesn’t this</w:t>
            </w:r>
            <w:r w:rsidR="00501E09" w:rsidRPr="006702E0">
              <w:rPr>
                <w:sz w:val="20"/>
                <w:szCs w:val="20"/>
              </w:rPr>
              <w:t xml:space="preserve"> [expletive]</w:t>
            </w:r>
            <w:r w:rsidRPr="006702E0">
              <w:rPr>
                <w:sz w:val="20"/>
                <w:szCs w:val="20"/>
              </w:rPr>
              <w:t xml:space="preserve"> thing work?”</w:t>
            </w:r>
          </w:p>
        </w:tc>
        <w:tc>
          <w:tcPr>
            <w:tcW w:w="3119" w:type="dxa"/>
            <w:hideMark/>
          </w:tcPr>
          <w:p w14:paraId="046A19A7" w14:textId="77777777" w:rsidR="00210C32" w:rsidRPr="006702E0" w:rsidRDefault="00210C32" w:rsidP="00973E35">
            <w:pPr>
              <w:spacing w:line="360" w:lineRule="auto"/>
              <w:rPr>
                <w:sz w:val="20"/>
                <w:szCs w:val="20"/>
              </w:rPr>
            </w:pPr>
            <w:r w:rsidRPr="006702E0">
              <w:rPr>
                <w:sz w:val="20"/>
                <w:szCs w:val="20"/>
              </w:rPr>
              <w:t>Assistant surgeon interview (Q3)</w:t>
            </w:r>
          </w:p>
          <w:p w14:paraId="7566C83F" w14:textId="77777777" w:rsidR="00210C32" w:rsidRPr="006702E0" w:rsidRDefault="00210C32" w:rsidP="00973E35">
            <w:pPr>
              <w:spacing w:line="360" w:lineRule="auto"/>
              <w:rPr>
                <w:sz w:val="20"/>
                <w:szCs w:val="20"/>
              </w:rPr>
            </w:pPr>
            <w:r w:rsidRPr="006702E0">
              <w:rPr>
                <w:sz w:val="20"/>
                <w:szCs w:val="20"/>
              </w:rPr>
              <w:t>Assistant surgeon interview (Q4)</w:t>
            </w:r>
          </w:p>
          <w:p w14:paraId="031D1C04" w14:textId="77777777" w:rsidR="00210C32" w:rsidRPr="006702E0" w:rsidRDefault="00210C32" w:rsidP="00973E35">
            <w:pPr>
              <w:spacing w:line="360" w:lineRule="auto"/>
              <w:rPr>
                <w:sz w:val="20"/>
                <w:szCs w:val="20"/>
              </w:rPr>
            </w:pPr>
            <w:r w:rsidRPr="006702E0">
              <w:rPr>
                <w:sz w:val="20"/>
                <w:szCs w:val="20"/>
              </w:rPr>
              <w:t>Surgical technologist interview (T1)</w:t>
            </w:r>
          </w:p>
        </w:tc>
      </w:tr>
      <w:tr w:rsidR="00210C32" w:rsidRPr="006702E0" w14:paraId="43216FFB" w14:textId="77777777" w:rsidTr="006702E0">
        <w:trPr>
          <w:cnfStyle w:val="000000100000" w:firstRow="0" w:lastRow="0" w:firstColumn="0" w:lastColumn="0" w:oddVBand="0" w:evenVBand="0" w:oddHBand="1" w:evenHBand="0" w:firstRowFirstColumn="0" w:firstRowLastColumn="0" w:lastRowFirstColumn="0" w:lastRowLastColumn="0"/>
          <w:divId w:val="1396051133"/>
          <w:trHeight w:val="556"/>
        </w:trPr>
        <w:tc>
          <w:tcPr>
            <w:tcW w:w="2830" w:type="dxa"/>
          </w:tcPr>
          <w:p w14:paraId="3B165CAC" w14:textId="77777777" w:rsidR="00210C32" w:rsidRPr="006702E0" w:rsidRDefault="00210C32" w:rsidP="00973E35">
            <w:pPr>
              <w:spacing w:line="360" w:lineRule="auto"/>
              <w:rPr>
                <w:sz w:val="20"/>
                <w:szCs w:val="20"/>
              </w:rPr>
            </w:pPr>
          </w:p>
        </w:tc>
        <w:tc>
          <w:tcPr>
            <w:tcW w:w="2552" w:type="dxa"/>
            <w:hideMark/>
          </w:tcPr>
          <w:p w14:paraId="63EDFFF5" w14:textId="77777777" w:rsidR="00210C32" w:rsidRPr="006702E0" w:rsidRDefault="00210C32" w:rsidP="00973E35">
            <w:pPr>
              <w:spacing w:line="360" w:lineRule="auto"/>
              <w:rPr>
                <w:sz w:val="20"/>
                <w:szCs w:val="20"/>
              </w:rPr>
            </w:pPr>
            <w:r w:rsidRPr="006702E0">
              <w:rPr>
                <w:sz w:val="20"/>
                <w:szCs w:val="20"/>
              </w:rPr>
              <w:t>Premature decisions</w:t>
            </w:r>
          </w:p>
        </w:tc>
        <w:tc>
          <w:tcPr>
            <w:tcW w:w="5528" w:type="dxa"/>
          </w:tcPr>
          <w:p w14:paraId="3C81532A" w14:textId="77777777" w:rsidR="00210C32" w:rsidRPr="006702E0" w:rsidRDefault="00210C32" w:rsidP="00973E35">
            <w:pPr>
              <w:spacing w:line="360" w:lineRule="auto"/>
              <w:rPr>
                <w:sz w:val="20"/>
                <w:szCs w:val="20"/>
              </w:rPr>
            </w:pPr>
            <w:r w:rsidRPr="006702E0">
              <w:rPr>
                <w:sz w:val="20"/>
                <w:szCs w:val="20"/>
              </w:rPr>
              <w:t>“Just bend the last three holes in”</w:t>
            </w:r>
          </w:p>
          <w:p w14:paraId="48604115" w14:textId="77777777" w:rsidR="00210C32" w:rsidRPr="006702E0" w:rsidRDefault="00210C32" w:rsidP="00973E35">
            <w:pPr>
              <w:spacing w:line="360" w:lineRule="auto"/>
              <w:rPr>
                <w:sz w:val="20"/>
                <w:szCs w:val="20"/>
              </w:rPr>
            </w:pPr>
            <w:r w:rsidRPr="006702E0">
              <w:rPr>
                <w:sz w:val="20"/>
                <w:szCs w:val="20"/>
              </w:rPr>
              <w:t>“It is not placed where it is on the model, but it is sitting fine”</w:t>
            </w:r>
          </w:p>
          <w:p w14:paraId="2FAD9FC4" w14:textId="77777777" w:rsidR="00210C32" w:rsidRPr="006702E0" w:rsidRDefault="00210C32" w:rsidP="00973E35">
            <w:pPr>
              <w:spacing w:line="360" w:lineRule="auto"/>
              <w:rPr>
                <w:sz w:val="20"/>
                <w:szCs w:val="20"/>
              </w:rPr>
            </w:pPr>
            <w:r w:rsidRPr="006702E0">
              <w:rPr>
                <w:sz w:val="20"/>
                <w:szCs w:val="20"/>
              </w:rPr>
              <w:t>“Can you open the angle?”</w:t>
            </w:r>
          </w:p>
          <w:p w14:paraId="32D6F394" w14:textId="77777777" w:rsidR="00210C32" w:rsidRPr="006702E0" w:rsidRDefault="00210C32" w:rsidP="00973E35">
            <w:pPr>
              <w:spacing w:line="360" w:lineRule="auto"/>
              <w:rPr>
                <w:sz w:val="20"/>
                <w:szCs w:val="20"/>
              </w:rPr>
            </w:pPr>
          </w:p>
        </w:tc>
        <w:tc>
          <w:tcPr>
            <w:tcW w:w="3119" w:type="dxa"/>
            <w:hideMark/>
          </w:tcPr>
          <w:p w14:paraId="7B4B3247" w14:textId="77777777" w:rsidR="00210C32" w:rsidRPr="006702E0" w:rsidRDefault="00210C32" w:rsidP="00973E35">
            <w:pPr>
              <w:spacing w:line="360" w:lineRule="auto"/>
              <w:rPr>
                <w:sz w:val="20"/>
                <w:szCs w:val="20"/>
              </w:rPr>
            </w:pPr>
            <w:r w:rsidRPr="006702E0">
              <w:rPr>
                <w:sz w:val="20"/>
                <w:szCs w:val="20"/>
              </w:rPr>
              <w:t>Field note (24)</w:t>
            </w:r>
          </w:p>
          <w:p w14:paraId="0ED4D2DE" w14:textId="77777777" w:rsidR="00210C32" w:rsidRPr="006702E0" w:rsidRDefault="00210C32" w:rsidP="00973E35">
            <w:pPr>
              <w:spacing w:line="360" w:lineRule="auto"/>
              <w:rPr>
                <w:sz w:val="20"/>
                <w:szCs w:val="20"/>
              </w:rPr>
            </w:pPr>
            <w:r w:rsidRPr="006702E0">
              <w:rPr>
                <w:sz w:val="20"/>
                <w:szCs w:val="20"/>
              </w:rPr>
              <w:t>Field note (56)</w:t>
            </w:r>
          </w:p>
          <w:p w14:paraId="15AA58E8" w14:textId="77777777" w:rsidR="00210C32" w:rsidRPr="006702E0" w:rsidRDefault="00210C32" w:rsidP="00973E35">
            <w:pPr>
              <w:spacing w:line="360" w:lineRule="auto"/>
              <w:rPr>
                <w:sz w:val="20"/>
                <w:szCs w:val="20"/>
              </w:rPr>
            </w:pPr>
            <w:r w:rsidRPr="006702E0">
              <w:rPr>
                <w:sz w:val="20"/>
                <w:szCs w:val="20"/>
              </w:rPr>
              <w:t>Surgical technologist interview (T3)</w:t>
            </w:r>
          </w:p>
        </w:tc>
      </w:tr>
      <w:tr w:rsidR="00210C32" w:rsidRPr="006702E0" w14:paraId="27DA3556" w14:textId="77777777" w:rsidTr="006702E0">
        <w:trPr>
          <w:divId w:val="1396051133"/>
          <w:trHeight w:val="556"/>
        </w:trPr>
        <w:tc>
          <w:tcPr>
            <w:tcW w:w="2830" w:type="dxa"/>
          </w:tcPr>
          <w:p w14:paraId="74D1D6C2" w14:textId="77777777" w:rsidR="00210C32" w:rsidRPr="006702E0" w:rsidRDefault="00210C32" w:rsidP="00973E35">
            <w:pPr>
              <w:spacing w:line="360" w:lineRule="auto"/>
              <w:rPr>
                <w:sz w:val="20"/>
                <w:szCs w:val="20"/>
              </w:rPr>
            </w:pPr>
          </w:p>
        </w:tc>
        <w:tc>
          <w:tcPr>
            <w:tcW w:w="2552" w:type="dxa"/>
            <w:hideMark/>
          </w:tcPr>
          <w:p w14:paraId="3128C3DE" w14:textId="77777777" w:rsidR="00210C32" w:rsidRPr="006702E0" w:rsidRDefault="00210C32" w:rsidP="00973E35">
            <w:pPr>
              <w:spacing w:line="360" w:lineRule="auto"/>
              <w:rPr>
                <w:sz w:val="20"/>
                <w:szCs w:val="20"/>
              </w:rPr>
            </w:pPr>
            <w:r w:rsidRPr="006702E0">
              <w:rPr>
                <w:sz w:val="20"/>
                <w:szCs w:val="20"/>
              </w:rPr>
              <w:t>Physical manifestation</w:t>
            </w:r>
          </w:p>
        </w:tc>
        <w:tc>
          <w:tcPr>
            <w:tcW w:w="5528" w:type="dxa"/>
          </w:tcPr>
          <w:p w14:paraId="03EEEB00" w14:textId="77777777" w:rsidR="00210C32" w:rsidRPr="006702E0" w:rsidRDefault="00210C32" w:rsidP="00973E35">
            <w:pPr>
              <w:spacing w:line="360" w:lineRule="auto"/>
              <w:rPr>
                <w:sz w:val="20"/>
                <w:szCs w:val="20"/>
              </w:rPr>
            </w:pPr>
            <w:r w:rsidRPr="006702E0">
              <w:rPr>
                <w:sz w:val="20"/>
                <w:szCs w:val="20"/>
              </w:rPr>
              <w:t>“Aggressive burring of the implant where it interfaces the bone”</w:t>
            </w:r>
          </w:p>
          <w:p w14:paraId="7FBA202F" w14:textId="77777777" w:rsidR="00210C32" w:rsidRPr="006702E0" w:rsidRDefault="00210C32" w:rsidP="00973E35">
            <w:pPr>
              <w:spacing w:line="360" w:lineRule="auto"/>
              <w:rPr>
                <w:sz w:val="20"/>
                <w:szCs w:val="20"/>
              </w:rPr>
            </w:pPr>
            <w:r w:rsidRPr="006702E0">
              <w:rPr>
                <w:sz w:val="20"/>
                <w:szCs w:val="20"/>
              </w:rPr>
              <w:t>“Instrument slamming”</w:t>
            </w:r>
          </w:p>
          <w:p w14:paraId="2271AC54" w14:textId="77777777" w:rsidR="00210C32" w:rsidRPr="006702E0" w:rsidRDefault="00210C32" w:rsidP="00973E35">
            <w:pPr>
              <w:spacing w:line="360" w:lineRule="auto"/>
              <w:rPr>
                <w:sz w:val="20"/>
                <w:szCs w:val="20"/>
              </w:rPr>
            </w:pPr>
            <w:r w:rsidRPr="006702E0">
              <w:rPr>
                <w:sz w:val="20"/>
                <w:szCs w:val="20"/>
              </w:rPr>
              <w:t>“Manual recontouring of reconstruction plate”</w:t>
            </w:r>
          </w:p>
          <w:p w14:paraId="7DECD2BA" w14:textId="77777777" w:rsidR="00210C32" w:rsidRPr="006702E0" w:rsidRDefault="00210C32" w:rsidP="00973E35">
            <w:pPr>
              <w:spacing w:line="360" w:lineRule="auto"/>
              <w:rPr>
                <w:sz w:val="20"/>
                <w:szCs w:val="20"/>
              </w:rPr>
            </w:pPr>
          </w:p>
        </w:tc>
        <w:tc>
          <w:tcPr>
            <w:tcW w:w="3119" w:type="dxa"/>
            <w:hideMark/>
          </w:tcPr>
          <w:p w14:paraId="015D1CF7" w14:textId="77777777" w:rsidR="00210C32" w:rsidRPr="006702E0" w:rsidRDefault="00210C32" w:rsidP="00973E35">
            <w:pPr>
              <w:spacing w:line="360" w:lineRule="auto"/>
              <w:rPr>
                <w:sz w:val="20"/>
                <w:szCs w:val="20"/>
              </w:rPr>
            </w:pPr>
            <w:r w:rsidRPr="006702E0">
              <w:rPr>
                <w:sz w:val="20"/>
                <w:szCs w:val="20"/>
              </w:rPr>
              <w:t>Field note (12)</w:t>
            </w:r>
          </w:p>
          <w:p w14:paraId="6C2CD8B7" w14:textId="77777777" w:rsidR="00210C32" w:rsidRPr="006702E0" w:rsidRDefault="00210C32" w:rsidP="00973E35">
            <w:pPr>
              <w:spacing w:line="360" w:lineRule="auto"/>
              <w:rPr>
                <w:sz w:val="20"/>
                <w:szCs w:val="20"/>
              </w:rPr>
            </w:pPr>
            <w:r w:rsidRPr="006702E0">
              <w:rPr>
                <w:sz w:val="20"/>
                <w:szCs w:val="20"/>
              </w:rPr>
              <w:t>Surgical technologist interview (T3)</w:t>
            </w:r>
          </w:p>
          <w:p w14:paraId="0F82CC09" w14:textId="77777777" w:rsidR="00210C32" w:rsidRPr="006702E0" w:rsidRDefault="00210C32" w:rsidP="00973E35">
            <w:pPr>
              <w:spacing w:line="360" w:lineRule="auto"/>
              <w:rPr>
                <w:sz w:val="20"/>
                <w:szCs w:val="20"/>
              </w:rPr>
            </w:pPr>
            <w:r w:rsidRPr="006702E0">
              <w:rPr>
                <w:sz w:val="20"/>
                <w:szCs w:val="20"/>
              </w:rPr>
              <w:t>Field note (58), Surgical technologist interview (T2)</w:t>
            </w:r>
          </w:p>
        </w:tc>
      </w:tr>
      <w:tr w:rsidR="00210C32" w:rsidRPr="006702E0" w14:paraId="30D2C887" w14:textId="77777777" w:rsidTr="006702E0">
        <w:trPr>
          <w:cnfStyle w:val="000000100000" w:firstRow="0" w:lastRow="0" w:firstColumn="0" w:lastColumn="0" w:oddVBand="0" w:evenVBand="0" w:oddHBand="1" w:evenHBand="0" w:firstRowFirstColumn="0" w:firstRowLastColumn="0" w:lastRowFirstColumn="0" w:lastRowLastColumn="0"/>
          <w:divId w:val="1396051133"/>
          <w:trHeight w:val="556"/>
        </w:trPr>
        <w:tc>
          <w:tcPr>
            <w:tcW w:w="2830" w:type="dxa"/>
          </w:tcPr>
          <w:p w14:paraId="793CE354" w14:textId="77777777" w:rsidR="00210C32" w:rsidRPr="006702E0" w:rsidRDefault="00210C32" w:rsidP="00973E35">
            <w:pPr>
              <w:spacing w:line="360" w:lineRule="auto"/>
              <w:rPr>
                <w:sz w:val="20"/>
                <w:szCs w:val="20"/>
              </w:rPr>
            </w:pPr>
          </w:p>
        </w:tc>
        <w:tc>
          <w:tcPr>
            <w:tcW w:w="2552" w:type="dxa"/>
            <w:hideMark/>
          </w:tcPr>
          <w:p w14:paraId="2FEA0B79" w14:textId="77777777" w:rsidR="00210C32" w:rsidRPr="006702E0" w:rsidRDefault="00210C32" w:rsidP="00973E35">
            <w:pPr>
              <w:spacing w:line="360" w:lineRule="auto"/>
              <w:rPr>
                <w:sz w:val="20"/>
                <w:szCs w:val="20"/>
              </w:rPr>
            </w:pPr>
            <w:r w:rsidRPr="006702E0">
              <w:rPr>
                <w:sz w:val="20"/>
                <w:szCs w:val="20"/>
              </w:rPr>
              <w:t>External or team-directed attribution</w:t>
            </w:r>
          </w:p>
        </w:tc>
        <w:tc>
          <w:tcPr>
            <w:tcW w:w="5528" w:type="dxa"/>
            <w:hideMark/>
          </w:tcPr>
          <w:p w14:paraId="40C6E178" w14:textId="77777777" w:rsidR="00210C32" w:rsidRPr="006702E0" w:rsidRDefault="00210C32" w:rsidP="00973E35">
            <w:pPr>
              <w:spacing w:line="360" w:lineRule="auto"/>
              <w:rPr>
                <w:sz w:val="20"/>
                <w:szCs w:val="20"/>
              </w:rPr>
            </w:pPr>
            <w:r w:rsidRPr="006702E0">
              <w:rPr>
                <w:sz w:val="20"/>
                <w:szCs w:val="20"/>
              </w:rPr>
              <w:t>“I don’t know what the Planner [biomedical engineer] did here”</w:t>
            </w:r>
          </w:p>
          <w:p w14:paraId="28C4A17F" w14:textId="77777777" w:rsidR="00210C32" w:rsidRPr="006702E0" w:rsidRDefault="00210C32" w:rsidP="00973E35">
            <w:pPr>
              <w:spacing w:line="360" w:lineRule="auto"/>
              <w:rPr>
                <w:sz w:val="20"/>
                <w:szCs w:val="20"/>
              </w:rPr>
            </w:pPr>
            <w:r w:rsidRPr="006702E0">
              <w:rPr>
                <w:sz w:val="20"/>
                <w:szCs w:val="20"/>
              </w:rPr>
              <w:t>“When I do these cases, if a CBCT was used then it is always different from what we find, we must use a medical CT scan”</w:t>
            </w:r>
          </w:p>
        </w:tc>
        <w:tc>
          <w:tcPr>
            <w:tcW w:w="3119" w:type="dxa"/>
            <w:hideMark/>
          </w:tcPr>
          <w:p w14:paraId="1A744401" w14:textId="77777777" w:rsidR="00210C32" w:rsidRPr="006702E0" w:rsidRDefault="00210C32" w:rsidP="00973E35">
            <w:pPr>
              <w:spacing w:line="360" w:lineRule="auto"/>
              <w:rPr>
                <w:sz w:val="20"/>
                <w:szCs w:val="20"/>
              </w:rPr>
            </w:pPr>
            <w:r w:rsidRPr="006702E0">
              <w:rPr>
                <w:sz w:val="20"/>
                <w:szCs w:val="20"/>
              </w:rPr>
              <w:t>Consultant surgeon interview (C1)</w:t>
            </w:r>
          </w:p>
          <w:p w14:paraId="79619D0C" w14:textId="77777777" w:rsidR="00210C32" w:rsidRPr="006702E0" w:rsidRDefault="00210C32" w:rsidP="00973E35">
            <w:pPr>
              <w:spacing w:line="360" w:lineRule="auto"/>
              <w:rPr>
                <w:sz w:val="20"/>
                <w:szCs w:val="20"/>
              </w:rPr>
            </w:pPr>
            <w:r w:rsidRPr="006702E0">
              <w:rPr>
                <w:sz w:val="20"/>
                <w:szCs w:val="20"/>
              </w:rPr>
              <w:t>Consultant surgeon interview (C2)</w:t>
            </w:r>
          </w:p>
        </w:tc>
      </w:tr>
      <w:tr w:rsidR="00210C32" w:rsidRPr="006702E0" w14:paraId="4049E062" w14:textId="77777777" w:rsidTr="006702E0">
        <w:trPr>
          <w:divId w:val="1396051133"/>
          <w:trHeight w:val="556"/>
        </w:trPr>
        <w:tc>
          <w:tcPr>
            <w:tcW w:w="2830" w:type="dxa"/>
            <w:hideMark/>
          </w:tcPr>
          <w:p w14:paraId="21639D90" w14:textId="77777777" w:rsidR="00210C32" w:rsidRPr="006702E0" w:rsidRDefault="00210C32" w:rsidP="00973E35">
            <w:pPr>
              <w:spacing w:line="360" w:lineRule="auto"/>
              <w:rPr>
                <w:sz w:val="20"/>
                <w:szCs w:val="20"/>
              </w:rPr>
            </w:pPr>
            <w:r w:rsidRPr="006702E0">
              <w:rPr>
                <w:sz w:val="20"/>
                <w:szCs w:val="20"/>
              </w:rPr>
              <w:t>Emotional regulation and perseverance</w:t>
            </w:r>
          </w:p>
        </w:tc>
        <w:tc>
          <w:tcPr>
            <w:tcW w:w="2552" w:type="dxa"/>
            <w:hideMark/>
          </w:tcPr>
          <w:p w14:paraId="05A071D6" w14:textId="77777777" w:rsidR="00210C32" w:rsidRPr="006702E0" w:rsidRDefault="00210C32" w:rsidP="00973E35">
            <w:pPr>
              <w:spacing w:line="360" w:lineRule="auto"/>
              <w:rPr>
                <w:sz w:val="20"/>
                <w:szCs w:val="20"/>
              </w:rPr>
            </w:pPr>
            <w:r w:rsidRPr="006702E0">
              <w:rPr>
                <w:sz w:val="20"/>
                <w:szCs w:val="20"/>
              </w:rPr>
              <w:t>Protocol adherence</w:t>
            </w:r>
          </w:p>
        </w:tc>
        <w:tc>
          <w:tcPr>
            <w:tcW w:w="5528" w:type="dxa"/>
          </w:tcPr>
          <w:p w14:paraId="773BCE05" w14:textId="77777777" w:rsidR="00210C32" w:rsidRPr="006702E0" w:rsidRDefault="00210C32" w:rsidP="00973E35">
            <w:pPr>
              <w:spacing w:line="360" w:lineRule="auto"/>
              <w:rPr>
                <w:sz w:val="20"/>
                <w:szCs w:val="20"/>
              </w:rPr>
            </w:pPr>
            <w:r w:rsidRPr="006702E0">
              <w:rPr>
                <w:sz w:val="20"/>
                <w:szCs w:val="20"/>
              </w:rPr>
              <w:t>“Rechecked planning documents”; “Verified guide orientation”</w:t>
            </w:r>
          </w:p>
          <w:p w14:paraId="4C5B8742" w14:textId="77777777" w:rsidR="00210C32" w:rsidRPr="006702E0" w:rsidRDefault="00210C32" w:rsidP="00973E35">
            <w:pPr>
              <w:spacing w:line="360" w:lineRule="auto"/>
              <w:rPr>
                <w:sz w:val="20"/>
                <w:szCs w:val="20"/>
              </w:rPr>
            </w:pPr>
            <w:r w:rsidRPr="006702E0">
              <w:rPr>
                <w:sz w:val="20"/>
                <w:szCs w:val="20"/>
              </w:rPr>
              <w:t>“Re-sequenced steps”</w:t>
            </w:r>
          </w:p>
          <w:p w14:paraId="6E60C8F7" w14:textId="77777777" w:rsidR="00210C32" w:rsidRPr="006702E0" w:rsidRDefault="00210C32" w:rsidP="00973E35">
            <w:pPr>
              <w:spacing w:line="360" w:lineRule="auto"/>
              <w:rPr>
                <w:sz w:val="20"/>
                <w:szCs w:val="20"/>
              </w:rPr>
            </w:pPr>
            <w:r w:rsidRPr="006702E0">
              <w:rPr>
                <w:sz w:val="20"/>
                <w:szCs w:val="20"/>
              </w:rPr>
              <w:t>“Stripped additional soft tissue and tried again”</w:t>
            </w:r>
          </w:p>
          <w:p w14:paraId="120A8B58" w14:textId="77777777" w:rsidR="00210C32" w:rsidRPr="006702E0" w:rsidRDefault="00210C32" w:rsidP="00973E35">
            <w:pPr>
              <w:spacing w:line="360" w:lineRule="auto"/>
              <w:rPr>
                <w:sz w:val="20"/>
                <w:szCs w:val="20"/>
              </w:rPr>
            </w:pPr>
          </w:p>
        </w:tc>
        <w:tc>
          <w:tcPr>
            <w:tcW w:w="3119" w:type="dxa"/>
            <w:hideMark/>
          </w:tcPr>
          <w:p w14:paraId="399059C1" w14:textId="77777777" w:rsidR="00210C32" w:rsidRPr="006702E0" w:rsidRDefault="00210C32" w:rsidP="00973E35">
            <w:pPr>
              <w:spacing w:line="360" w:lineRule="auto"/>
              <w:rPr>
                <w:sz w:val="20"/>
                <w:szCs w:val="20"/>
              </w:rPr>
            </w:pPr>
            <w:r w:rsidRPr="006702E0">
              <w:rPr>
                <w:sz w:val="20"/>
                <w:szCs w:val="20"/>
              </w:rPr>
              <w:t>Consultant surgeon interview (C3)</w:t>
            </w:r>
          </w:p>
          <w:p w14:paraId="71D01016" w14:textId="77777777" w:rsidR="00210C32" w:rsidRPr="006702E0" w:rsidRDefault="00210C32" w:rsidP="00973E35">
            <w:pPr>
              <w:spacing w:line="360" w:lineRule="auto"/>
              <w:rPr>
                <w:sz w:val="20"/>
                <w:szCs w:val="20"/>
              </w:rPr>
            </w:pPr>
            <w:r w:rsidRPr="006702E0">
              <w:rPr>
                <w:sz w:val="20"/>
                <w:szCs w:val="20"/>
              </w:rPr>
              <w:t>Surgical technologist interview (T4)</w:t>
            </w:r>
          </w:p>
          <w:p w14:paraId="56060710" w14:textId="77777777" w:rsidR="00210C32" w:rsidRPr="006702E0" w:rsidRDefault="00210C32" w:rsidP="00973E35">
            <w:pPr>
              <w:spacing w:line="360" w:lineRule="auto"/>
              <w:rPr>
                <w:sz w:val="20"/>
                <w:szCs w:val="20"/>
              </w:rPr>
            </w:pPr>
            <w:r w:rsidRPr="006702E0">
              <w:rPr>
                <w:sz w:val="20"/>
                <w:szCs w:val="20"/>
              </w:rPr>
              <w:t>Field note (32)</w:t>
            </w:r>
          </w:p>
        </w:tc>
      </w:tr>
      <w:tr w:rsidR="00210C32" w:rsidRPr="006702E0" w14:paraId="066A112E" w14:textId="77777777" w:rsidTr="006702E0">
        <w:trPr>
          <w:cnfStyle w:val="000000100000" w:firstRow="0" w:lastRow="0" w:firstColumn="0" w:lastColumn="0" w:oddVBand="0" w:evenVBand="0" w:oddHBand="1" w:evenHBand="0" w:firstRowFirstColumn="0" w:firstRowLastColumn="0" w:lastRowFirstColumn="0" w:lastRowLastColumn="0"/>
          <w:divId w:val="1396051133"/>
          <w:trHeight w:val="556"/>
        </w:trPr>
        <w:tc>
          <w:tcPr>
            <w:tcW w:w="2830" w:type="dxa"/>
          </w:tcPr>
          <w:p w14:paraId="6D31D4D5" w14:textId="77777777" w:rsidR="00210C32" w:rsidRPr="006702E0" w:rsidRDefault="00210C32" w:rsidP="00973E35">
            <w:pPr>
              <w:spacing w:line="360" w:lineRule="auto"/>
              <w:rPr>
                <w:sz w:val="20"/>
                <w:szCs w:val="20"/>
              </w:rPr>
            </w:pPr>
          </w:p>
        </w:tc>
        <w:tc>
          <w:tcPr>
            <w:tcW w:w="2552" w:type="dxa"/>
            <w:hideMark/>
          </w:tcPr>
          <w:p w14:paraId="2BBEE94A" w14:textId="77777777" w:rsidR="00210C32" w:rsidRPr="006702E0" w:rsidRDefault="00210C32" w:rsidP="00973E35">
            <w:pPr>
              <w:spacing w:line="360" w:lineRule="auto"/>
              <w:rPr>
                <w:sz w:val="20"/>
                <w:szCs w:val="20"/>
              </w:rPr>
            </w:pPr>
            <w:r w:rsidRPr="006702E0">
              <w:rPr>
                <w:sz w:val="20"/>
                <w:szCs w:val="20"/>
              </w:rPr>
              <w:t>Collaborative engagement</w:t>
            </w:r>
          </w:p>
        </w:tc>
        <w:tc>
          <w:tcPr>
            <w:tcW w:w="5528" w:type="dxa"/>
            <w:hideMark/>
          </w:tcPr>
          <w:p w14:paraId="560883BD" w14:textId="77777777" w:rsidR="00210C32" w:rsidRPr="006702E0" w:rsidRDefault="00210C32" w:rsidP="00973E35">
            <w:pPr>
              <w:spacing w:line="360" w:lineRule="auto"/>
              <w:rPr>
                <w:sz w:val="20"/>
                <w:szCs w:val="20"/>
              </w:rPr>
            </w:pPr>
            <w:r w:rsidRPr="006702E0">
              <w:rPr>
                <w:sz w:val="20"/>
                <w:szCs w:val="20"/>
              </w:rPr>
              <w:t>“Called for bioengineer (to theatre) consult”</w:t>
            </w:r>
          </w:p>
          <w:p w14:paraId="1FB2CAEB" w14:textId="77777777" w:rsidR="00210C32" w:rsidRPr="006702E0" w:rsidRDefault="00210C32" w:rsidP="00973E35">
            <w:pPr>
              <w:spacing w:line="360" w:lineRule="auto"/>
              <w:rPr>
                <w:sz w:val="20"/>
                <w:szCs w:val="20"/>
              </w:rPr>
            </w:pPr>
            <w:r w:rsidRPr="006702E0">
              <w:rPr>
                <w:sz w:val="20"/>
                <w:szCs w:val="20"/>
              </w:rPr>
              <w:t>“Asked consultant surgeon and surgical technologist for suggestions”</w:t>
            </w:r>
          </w:p>
        </w:tc>
        <w:tc>
          <w:tcPr>
            <w:tcW w:w="3119" w:type="dxa"/>
            <w:hideMark/>
          </w:tcPr>
          <w:p w14:paraId="291F6A5F" w14:textId="77777777" w:rsidR="00210C32" w:rsidRPr="006702E0" w:rsidRDefault="00210C32" w:rsidP="00973E35">
            <w:pPr>
              <w:spacing w:line="360" w:lineRule="auto"/>
              <w:rPr>
                <w:sz w:val="20"/>
                <w:szCs w:val="20"/>
              </w:rPr>
            </w:pPr>
            <w:r w:rsidRPr="006702E0">
              <w:rPr>
                <w:sz w:val="20"/>
                <w:szCs w:val="20"/>
              </w:rPr>
              <w:t>Biomedical engineer interview (B1)</w:t>
            </w:r>
          </w:p>
          <w:p w14:paraId="35407F8D" w14:textId="77777777" w:rsidR="00210C32" w:rsidRPr="006702E0" w:rsidRDefault="00210C32" w:rsidP="00973E35">
            <w:pPr>
              <w:spacing w:line="360" w:lineRule="auto"/>
              <w:rPr>
                <w:sz w:val="20"/>
                <w:szCs w:val="20"/>
              </w:rPr>
            </w:pPr>
            <w:r w:rsidRPr="006702E0">
              <w:rPr>
                <w:sz w:val="20"/>
                <w:szCs w:val="20"/>
              </w:rPr>
              <w:t>Surgical technologist interview (T3)</w:t>
            </w:r>
          </w:p>
        </w:tc>
      </w:tr>
    </w:tbl>
    <w:p w14:paraId="569673CA" w14:textId="77777777" w:rsidR="001E12C2" w:rsidRDefault="001E12C2" w:rsidP="00867621">
      <w:pPr>
        <w:pBdr>
          <w:top w:val="nil"/>
          <w:left w:val="nil"/>
          <w:bottom w:val="nil"/>
          <w:right w:val="nil"/>
          <w:between w:val="nil"/>
        </w:pBdr>
        <w:spacing w:line="360" w:lineRule="auto"/>
        <w:jc w:val="both"/>
        <w:rPr>
          <w:color w:val="000000"/>
        </w:rPr>
        <w:sectPr w:rsidR="001E12C2" w:rsidSect="009D0A33">
          <w:pgSz w:w="15840" w:h="12240" w:orient="landscape"/>
          <w:pgMar w:top="1440" w:right="1440" w:bottom="1440" w:left="1440" w:header="720" w:footer="720" w:gutter="0"/>
          <w:pgNumType w:start="1"/>
          <w:cols w:space="720"/>
          <w:docGrid w:linePitch="326"/>
        </w:sectPr>
      </w:pPr>
    </w:p>
    <w:p w14:paraId="2F531DEE" w14:textId="77777777" w:rsidR="00867621" w:rsidRDefault="00867621" w:rsidP="00867621">
      <w:pPr>
        <w:pBdr>
          <w:top w:val="nil"/>
          <w:left w:val="nil"/>
          <w:bottom w:val="nil"/>
          <w:right w:val="nil"/>
          <w:between w:val="nil"/>
        </w:pBdr>
        <w:spacing w:line="360" w:lineRule="auto"/>
        <w:jc w:val="both"/>
        <w:rPr>
          <w:color w:val="000000"/>
        </w:rPr>
      </w:pPr>
    </w:p>
    <w:p w14:paraId="0911FE10" w14:textId="77777777" w:rsidR="004702C4" w:rsidRDefault="00B535BC" w:rsidP="00E030E5">
      <w:pPr>
        <w:pBdr>
          <w:top w:val="nil"/>
          <w:left w:val="nil"/>
          <w:bottom w:val="nil"/>
          <w:right w:val="nil"/>
          <w:between w:val="nil"/>
        </w:pBdr>
        <w:spacing w:line="360" w:lineRule="auto"/>
        <w:ind w:firstLine="720"/>
        <w:rPr>
          <w:bCs/>
          <w:iCs/>
          <w:color w:val="000000"/>
        </w:rPr>
      </w:pPr>
      <w:r w:rsidRPr="00B535BC">
        <w:rPr>
          <w:bCs/>
          <w:iCs/>
          <w:color w:val="000000"/>
        </w:rPr>
        <w:t>Rather unexpectedly, two additional themes emerged, one as a subcategory of emotional regulation namely, “mental preparedness” and perceived complexity as a stand alone factor and inversely proportional to the frequency of divergence from the surgical plan (Table 2). These two additional themes were closely related and will be examined together.</w:t>
      </w:r>
    </w:p>
    <w:p w14:paraId="23EC939E" w14:textId="292F0F36" w:rsidR="00285824" w:rsidRDefault="00491ACA" w:rsidP="00285824">
      <w:pPr>
        <w:pBdr>
          <w:top w:val="nil"/>
          <w:left w:val="nil"/>
          <w:bottom w:val="nil"/>
          <w:right w:val="nil"/>
          <w:between w:val="nil"/>
        </w:pBdr>
        <w:spacing w:line="360" w:lineRule="auto"/>
        <w:jc w:val="both"/>
        <w:rPr>
          <w:bCs/>
          <w:iCs/>
          <w:color w:val="000000"/>
        </w:rPr>
      </w:pPr>
      <w:r>
        <w:rPr>
          <w:bCs/>
          <w:iCs/>
          <w:color w:val="000000"/>
        </w:rPr>
        <w:t xml:space="preserve"> </w:t>
      </w:r>
    </w:p>
    <w:tbl>
      <w:tblPr>
        <w:tblStyle w:val="TableNormal1"/>
        <w:tblW w:w="0" w:type="auto"/>
        <w:tblLook w:val="04A0" w:firstRow="1" w:lastRow="0" w:firstColumn="1" w:lastColumn="0" w:noHBand="0" w:noVBand="1"/>
      </w:tblPr>
      <w:tblGrid>
        <w:gridCol w:w="8926"/>
      </w:tblGrid>
      <w:tr w:rsidR="00FB701C" w:rsidRPr="00EB23F1" w14:paraId="770C8547" w14:textId="77777777" w:rsidTr="00401A3B">
        <w:trPr>
          <w:divId w:val="1351565116"/>
          <w:trHeight w:val="669"/>
        </w:trPr>
        <w:tc>
          <w:tcPr>
            <w:tcW w:w="8926" w:type="dxa"/>
            <w:hideMark/>
          </w:tcPr>
          <w:p w14:paraId="762CB12B" w14:textId="77777777" w:rsidR="00FB701C" w:rsidRPr="00EB23F1" w:rsidRDefault="00FF4CD6">
            <w:pPr>
              <w:spacing w:line="360" w:lineRule="auto"/>
            </w:pPr>
            <w:r w:rsidRPr="00EB23F1">
              <w:t>Table 2.</w:t>
            </w:r>
          </w:p>
          <w:p w14:paraId="291072B0" w14:textId="2D4F69B8" w:rsidR="00FF4CD6" w:rsidRPr="00EB23F1" w:rsidRDefault="00FF4CD6">
            <w:pPr>
              <w:spacing w:line="360" w:lineRule="auto"/>
              <w:rPr>
                <w:i/>
                <w:iCs/>
              </w:rPr>
            </w:pPr>
            <w:r w:rsidRPr="00EB23F1">
              <w:rPr>
                <w:i/>
                <w:iCs/>
              </w:rPr>
              <w:t>Surgical procedure, perceived complexity, and frequency of modification or divergence from the surgical plan</w:t>
            </w:r>
            <w:r w:rsidR="00A75D5B" w:rsidRPr="00EB23F1">
              <w:rPr>
                <w:i/>
                <w:iCs/>
              </w:rPr>
              <w:t>.</w:t>
            </w:r>
          </w:p>
        </w:tc>
      </w:tr>
    </w:tbl>
    <w:tbl>
      <w:tblPr>
        <w:tblStyle w:val="TableGridLight"/>
        <w:tblW w:w="0" w:type="auto"/>
        <w:tblInd w:w="0" w:type="dxa"/>
        <w:shd w:val="clear" w:color="auto" w:fill="E7E6E6" w:themeFill="background2"/>
        <w:tblLook w:val="04A0" w:firstRow="1" w:lastRow="0" w:firstColumn="1" w:lastColumn="0" w:noHBand="0" w:noVBand="1"/>
      </w:tblPr>
      <w:tblGrid>
        <w:gridCol w:w="3539"/>
        <w:gridCol w:w="3544"/>
        <w:gridCol w:w="1843"/>
      </w:tblGrid>
      <w:tr w:rsidR="00E2072E" w:rsidRPr="00EB23F1" w14:paraId="7500EFA6" w14:textId="77777777" w:rsidTr="00E4573D">
        <w:trPr>
          <w:trHeight w:val="1196"/>
        </w:trPr>
        <w:tc>
          <w:tcPr>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vAlign w:val="center"/>
            <w:hideMark/>
          </w:tcPr>
          <w:p w14:paraId="699167EB" w14:textId="77777777" w:rsidR="00E2072E" w:rsidRPr="00EB23F1" w:rsidRDefault="00E2072E" w:rsidP="00F65EF8">
            <w:pPr>
              <w:spacing w:line="360" w:lineRule="auto"/>
              <w:rPr>
                <w:rFonts w:ascii="Times New Roman" w:hAnsi="Times New Roman" w:cs="Times New Roman"/>
                <w:sz w:val="20"/>
                <w:szCs w:val="20"/>
              </w:rPr>
            </w:pPr>
            <w:r w:rsidRPr="00EB23F1">
              <w:rPr>
                <w:rFonts w:ascii="Times New Roman" w:hAnsi="Times New Roman" w:cs="Times New Roman"/>
                <w:sz w:val="20"/>
                <w:szCs w:val="20"/>
              </w:rPr>
              <w:t>Surgical Procedure</w:t>
            </w:r>
          </w:p>
        </w:tc>
        <w:tc>
          <w:tcPr>
            <w:tcW w:w="3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vAlign w:val="center"/>
            <w:hideMark/>
          </w:tcPr>
          <w:p w14:paraId="0A4C8D72" w14:textId="77777777" w:rsidR="00E2072E" w:rsidRPr="00EB23F1" w:rsidRDefault="00E2072E" w:rsidP="00F65EF8">
            <w:pPr>
              <w:spacing w:line="360" w:lineRule="auto"/>
              <w:rPr>
                <w:rFonts w:ascii="Times New Roman" w:eastAsiaTheme="majorEastAsia" w:hAnsi="Times New Roman" w:cs="Times New Roman"/>
                <w:sz w:val="20"/>
                <w:szCs w:val="20"/>
                <w:vertAlign w:val="superscript"/>
              </w:rPr>
            </w:pPr>
            <w:r w:rsidRPr="00EB23F1">
              <w:rPr>
                <w:rFonts w:ascii="Times New Roman" w:eastAsiaTheme="majorEastAsia" w:hAnsi="Times New Roman" w:cs="Times New Roman"/>
                <w:sz w:val="20"/>
                <w:szCs w:val="20"/>
              </w:rPr>
              <w:t>Perceived Complexity</w:t>
            </w:r>
            <w:r w:rsidRPr="00EB23F1">
              <w:rPr>
                <w:rFonts w:ascii="Times New Roman" w:eastAsiaTheme="majorEastAsia" w:hAnsi="Times New Roman" w:cs="Times New Roman"/>
                <w:sz w:val="20"/>
                <w:szCs w:val="20"/>
                <w:vertAlign w:val="superscript"/>
              </w:rPr>
              <w:t>*1</w:t>
            </w:r>
          </w:p>
          <w:p w14:paraId="35DB178C" w14:textId="77777777" w:rsidR="00E2072E" w:rsidRPr="00EB23F1" w:rsidRDefault="00E2072E" w:rsidP="00F65EF8">
            <w:pPr>
              <w:spacing w:line="360" w:lineRule="auto"/>
              <w:rPr>
                <w:rFonts w:ascii="Times New Roman" w:eastAsiaTheme="majorEastAsia" w:hAnsi="Times New Roman" w:cs="Times New Roman"/>
                <w:sz w:val="20"/>
                <w:szCs w:val="20"/>
              </w:rPr>
            </w:pPr>
            <w:r w:rsidRPr="00EB23F1">
              <w:rPr>
                <w:rFonts w:ascii="Times New Roman" w:eastAsiaTheme="majorEastAsia" w:hAnsi="Times New Roman" w:cs="Times New Roman"/>
                <w:sz w:val="20"/>
                <w:szCs w:val="20"/>
              </w:rPr>
              <w:t>(1 – least complex, 5 – most complex)</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vAlign w:val="center"/>
            <w:hideMark/>
          </w:tcPr>
          <w:p w14:paraId="31231420" w14:textId="77777777" w:rsidR="00E2072E" w:rsidRPr="00EB23F1" w:rsidRDefault="00E2072E" w:rsidP="00F65EF8">
            <w:pPr>
              <w:spacing w:line="360" w:lineRule="auto"/>
              <w:rPr>
                <w:rFonts w:ascii="Times New Roman" w:hAnsi="Times New Roman" w:cs="Times New Roman"/>
                <w:sz w:val="20"/>
                <w:szCs w:val="20"/>
              </w:rPr>
            </w:pPr>
            <w:r w:rsidRPr="00EB23F1">
              <w:rPr>
                <w:rFonts w:ascii="Times New Roman" w:hAnsi="Times New Roman" w:cs="Times New Roman"/>
                <w:sz w:val="20"/>
                <w:szCs w:val="20"/>
              </w:rPr>
              <w:t>Frequency of Modification</w:t>
            </w:r>
          </w:p>
          <w:p w14:paraId="29C7E74B" w14:textId="77777777" w:rsidR="00E2072E" w:rsidRPr="00EB23F1" w:rsidRDefault="00E2072E" w:rsidP="00F65EF8">
            <w:pPr>
              <w:spacing w:line="360" w:lineRule="auto"/>
              <w:rPr>
                <w:rFonts w:ascii="Times New Roman" w:hAnsi="Times New Roman" w:cs="Times New Roman"/>
                <w:sz w:val="20"/>
                <w:szCs w:val="20"/>
              </w:rPr>
            </w:pPr>
            <w:r w:rsidRPr="00EB23F1">
              <w:rPr>
                <w:rFonts w:ascii="Times New Roman" w:hAnsi="Times New Roman" w:cs="Times New Roman"/>
                <w:sz w:val="20"/>
                <w:szCs w:val="20"/>
              </w:rPr>
              <w:t>H M, L</w:t>
            </w:r>
            <w:r w:rsidRPr="00EB23F1">
              <w:rPr>
                <w:rFonts w:ascii="Times New Roman" w:hAnsi="Times New Roman" w:cs="Times New Roman"/>
                <w:sz w:val="20"/>
                <w:szCs w:val="20"/>
                <w:vertAlign w:val="superscript"/>
              </w:rPr>
              <w:t>*2</w:t>
            </w:r>
          </w:p>
        </w:tc>
      </w:tr>
    </w:tbl>
    <w:tbl>
      <w:tblPr>
        <w:tblStyle w:val="TableGridLight"/>
        <w:tblW w:w="0" w:type="auto"/>
        <w:tblInd w:w="0" w:type="dxa"/>
        <w:tblLook w:val="0600" w:firstRow="0" w:lastRow="0" w:firstColumn="0" w:lastColumn="0" w:noHBand="1" w:noVBand="1"/>
      </w:tblPr>
      <w:tblGrid>
        <w:gridCol w:w="3539"/>
        <w:gridCol w:w="3544"/>
        <w:gridCol w:w="1843"/>
      </w:tblGrid>
      <w:tr w:rsidR="009D0AFD" w:rsidRPr="00EB23F1" w14:paraId="507B17DF" w14:textId="77777777" w:rsidTr="00AC3BC6">
        <w:trPr>
          <w:divId w:val="1351565116"/>
          <w:trHeight w:val="423"/>
        </w:trPr>
        <w:tc>
          <w:tcPr>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661EF9A" w14:textId="77777777" w:rsidR="009D0AFD" w:rsidRPr="00EB23F1" w:rsidRDefault="009D0AFD">
            <w:pPr>
              <w:spacing w:line="360" w:lineRule="auto"/>
              <w:rPr>
                <w:rFonts w:ascii="Times New Roman" w:hAnsi="Times New Roman" w:cs="Times New Roman"/>
                <w:sz w:val="20"/>
                <w:szCs w:val="20"/>
              </w:rPr>
            </w:pPr>
            <w:r w:rsidRPr="00EB23F1">
              <w:rPr>
                <w:rFonts w:ascii="Times New Roman" w:hAnsi="Times New Roman" w:cs="Times New Roman"/>
                <w:sz w:val="20"/>
                <w:szCs w:val="20"/>
              </w:rPr>
              <w:t>Orbitozygomatic complex reconstruction</w:t>
            </w:r>
          </w:p>
        </w:tc>
        <w:tc>
          <w:tcPr>
            <w:tcW w:w="3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631B5B1" w14:textId="77777777" w:rsidR="009D0AFD" w:rsidRPr="00EB23F1" w:rsidRDefault="009D0AFD">
            <w:pPr>
              <w:spacing w:line="360" w:lineRule="auto"/>
              <w:jc w:val="center"/>
              <w:rPr>
                <w:rFonts w:ascii="Times New Roman" w:hAnsi="Times New Roman" w:cs="Times New Roman"/>
                <w:sz w:val="20"/>
                <w:szCs w:val="20"/>
              </w:rPr>
            </w:pPr>
            <w:r w:rsidRPr="00EB23F1">
              <w:rPr>
                <w:rFonts w:ascii="Times New Roman" w:hAnsi="Times New Roman" w:cs="Times New Roman"/>
                <w:sz w:val="20"/>
                <w:szCs w:val="20"/>
              </w:rPr>
              <w:t>1</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C1443D6" w14:textId="77777777" w:rsidR="009D0AFD" w:rsidRPr="00EB23F1" w:rsidRDefault="009D0AFD">
            <w:pPr>
              <w:spacing w:line="360" w:lineRule="auto"/>
              <w:jc w:val="center"/>
              <w:rPr>
                <w:rFonts w:ascii="Times New Roman" w:hAnsi="Times New Roman" w:cs="Times New Roman"/>
                <w:sz w:val="20"/>
                <w:szCs w:val="20"/>
              </w:rPr>
            </w:pPr>
            <w:r w:rsidRPr="00EB23F1">
              <w:rPr>
                <w:rFonts w:ascii="Times New Roman" w:hAnsi="Times New Roman" w:cs="Times New Roman"/>
                <w:sz w:val="20"/>
                <w:szCs w:val="20"/>
              </w:rPr>
              <w:t>H (12%)</w:t>
            </w:r>
          </w:p>
        </w:tc>
      </w:tr>
      <w:tr w:rsidR="009D0AFD" w:rsidRPr="00EB23F1" w14:paraId="3FC01504" w14:textId="77777777" w:rsidTr="00AC3BC6">
        <w:trPr>
          <w:divId w:val="1351565116"/>
          <w:trHeight w:val="433"/>
        </w:trPr>
        <w:tc>
          <w:tcPr>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D4FA985" w14:textId="77777777" w:rsidR="009D0AFD" w:rsidRPr="00EB23F1" w:rsidRDefault="009D0AFD">
            <w:pPr>
              <w:spacing w:line="360" w:lineRule="auto"/>
              <w:rPr>
                <w:rFonts w:ascii="Times New Roman" w:hAnsi="Times New Roman" w:cs="Times New Roman"/>
                <w:sz w:val="20"/>
                <w:szCs w:val="20"/>
              </w:rPr>
            </w:pPr>
            <w:r w:rsidRPr="00EB23F1">
              <w:rPr>
                <w:rFonts w:ascii="Times New Roman" w:hAnsi="Times New Roman" w:cs="Times New Roman"/>
                <w:sz w:val="20"/>
                <w:szCs w:val="20"/>
              </w:rPr>
              <w:t>Cranioplasty</w:t>
            </w:r>
          </w:p>
        </w:tc>
        <w:tc>
          <w:tcPr>
            <w:tcW w:w="3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4270F30" w14:textId="77777777" w:rsidR="009D0AFD" w:rsidRPr="00EB23F1" w:rsidRDefault="009D0AFD">
            <w:pPr>
              <w:spacing w:line="360" w:lineRule="auto"/>
              <w:jc w:val="center"/>
              <w:rPr>
                <w:rFonts w:ascii="Times New Roman" w:hAnsi="Times New Roman" w:cs="Times New Roman"/>
                <w:sz w:val="20"/>
                <w:szCs w:val="20"/>
              </w:rPr>
            </w:pPr>
            <w:r w:rsidRPr="00EB23F1">
              <w:rPr>
                <w:rFonts w:ascii="Times New Roman" w:hAnsi="Times New Roman" w:cs="Times New Roman"/>
                <w:sz w:val="20"/>
                <w:szCs w:val="20"/>
              </w:rPr>
              <w:t>1</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97E5CEF" w14:textId="77777777" w:rsidR="009D0AFD" w:rsidRPr="00EB23F1" w:rsidRDefault="009D0AFD">
            <w:pPr>
              <w:spacing w:line="360" w:lineRule="auto"/>
              <w:jc w:val="center"/>
              <w:rPr>
                <w:rFonts w:ascii="Times New Roman" w:hAnsi="Times New Roman" w:cs="Times New Roman"/>
                <w:sz w:val="20"/>
                <w:szCs w:val="20"/>
              </w:rPr>
            </w:pPr>
            <w:r w:rsidRPr="00EB23F1">
              <w:rPr>
                <w:rFonts w:ascii="Times New Roman" w:hAnsi="Times New Roman" w:cs="Times New Roman"/>
                <w:sz w:val="20"/>
                <w:szCs w:val="20"/>
              </w:rPr>
              <w:t>M (3%)</w:t>
            </w:r>
          </w:p>
        </w:tc>
      </w:tr>
      <w:tr w:rsidR="009D0AFD" w:rsidRPr="00EB23F1" w14:paraId="7DB2B35E" w14:textId="77777777" w:rsidTr="00AC3BC6">
        <w:trPr>
          <w:divId w:val="1351565116"/>
          <w:trHeight w:val="433"/>
        </w:trPr>
        <w:tc>
          <w:tcPr>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6F30C46" w14:textId="77777777" w:rsidR="009D0AFD" w:rsidRPr="00EB23F1" w:rsidRDefault="009D0AFD">
            <w:pPr>
              <w:spacing w:line="360" w:lineRule="auto"/>
              <w:rPr>
                <w:rFonts w:ascii="Times New Roman" w:hAnsi="Times New Roman" w:cs="Times New Roman"/>
                <w:sz w:val="20"/>
                <w:szCs w:val="20"/>
              </w:rPr>
            </w:pPr>
            <w:r w:rsidRPr="00EB23F1">
              <w:rPr>
                <w:rFonts w:ascii="Times New Roman" w:hAnsi="Times New Roman" w:cs="Times New Roman"/>
                <w:sz w:val="20"/>
                <w:szCs w:val="20"/>
              </w:rPr>
              <w:t>Mandibular resection with reconstruction</w:t>
            </w:r>
          </w:p>
        </w:tc>
        <w:tc>
          <w:tcPr>
            <w:tcW w:w="3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52AC0C1" w14:textId="77777777" w:rsidR="009D0AFD" w:rsidRPr="00EB23F1" w:rsidRDefault="009D0AFD">
            <w:pPr>
              <w:spacing w:line="360" w:lineRule="auto"/>
              <w:jc w:val="center"/>
              <w:rPr>
                <w:rFonts w:ascii="Times New Roman" w:hAnsi="Times New Roman" w:cs="Times New Roman"/>
                <w:sz w:val="20"/>
                <w:szCs w:val="20"/>
              </w:rPr>
            </w:pPr>
            <w:r w:rsidRPr="00EB23F1">
              <w:rPr>
                <w:rFonts w:ascii="Times New Roman" w:hAnsi="Times New Roman" w:cs="Times New Roman"/>
                <w:sz w:val="20"/>
                <w:szCs w:val="20"/>
              </w:rPr>
              <w:t>2</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4319877" w14:textId="77777777" w:rsidR="009D0AFD" w:rsidRPr="00EB23F1" w:rsidRDefault="009D0AFD">
            <w:pPr>
              <w:spacing w:line="360" w:lineRule="auto"/>
              <w:jc w:val="center"/>
              <w:rPr>
                <w:rFonts w:ascii="Times New Roman" w:hAnsi="Times New Roman" w:cs="Times New Roman"/>
                <w:sz w:val="20"/>
                <w:szCs w:val="20"/>
              </w:rPr>
            </w:pPr>
            <w:r w:rsidRPr="00EB23F1">
              <w:rPr>
                <w:rFonts w:ascii="Times New Roman" w:hAnsi="Times New Roman" w:cs="Times New Roman"/>
                <w:sz w:val="20"/>
                <w:szCs w:val="20"/>
              </w:rPr>
              <w:t>H (10%)</w:t>
            </w:r>
          </w:p>
        </w:tc>
      </w:tr>
      <w:tr w:rsidR="009D0AFD" w:rsidRPr="00EB23F1" w14:paraId="7816B5C8" w14:textId="77777777" w:rsidTr="00AC3BC6">
        <w:trPr>
          <w:divId w:val="1351565116"/>
          <w:trHeight w:val="406"/>
        </w:trPr>
        <w:tc>
          <w:tcPr>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B980872" w14:textId="77777777" w:rsidR="009D0AFD" w:rsidRPr="00EB23F1" w:rsidRDefault="009D0AFD">
            <w:pPr>
              <w:spacing w:line="360" w:lineRule="auto"/>
              <w:rPr>
                <w:rFonts w:ascii="Times New Roman" w:hAnsi="Times New Roman" w:cs="Times New Roman"/>
                <w:sz w:val="20"/>
                <w:szCs w:val="20"/>
              </w:rPr>
            </w:pPr>
            <w:r w:rsidRPr="00EB23F1">
              <w:rPr>
                <w:rFonts w:ascii="Times New Roman" w:hAnsi="Times New Roman" w:cs="Times New Roman"/>
                <w:sz w:val="20"/>
                <w:szCs w:val="20"/>
              </w:rPr>
              <w:t>TMJ arthroplasty</w:t>
            </w:r>
          </w:p>
        </w:tc>
        <w:tc>
          <w:tcPr>
            <w:tcW w:w="3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288DB74" w14:textId="77777777" w:rsidR="009D0AFD" w:rsidRPr="00EB23F1" w:rsidRDefault="009D0AFD">
            <w:pPr>
              <w:spacing w:line="360" w:lineRule="auto"/>
              <w:jc w:val="center"/>
              <w:rPr>
                <w:rFonts w:ascii="Times New Roman" w:hAnsi="Times New Roman" w:cs="Times New Roman"/>
                <w:sz w:val="20"/>
                <w:szCs w:val="20"/>
              </w:rPr>
            </w:pPr>
            <w:r w:rsidRPr="00EB23F1">
              <w:rPr>
                <w:rFonts w:ascii="Times New Roman" w:hAnsi="Times New Roman" w:cs="Times New Roman"/>
                <w:sz w:val="20"/>
                <w:szCs w:val="20"/>
              </w:rPr>
              <w:t>4</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757A30A" w14:textId="77777777" w:rsidR="009D0AFD" w:rsidRPr="00EB23F1" w:rsidRDefault="009D0AFD">
            <w:pPr>
              <w:spacing w:line="360" w:lineRule="auto"/>
              <w:jc w:val="center"/>
              <w:rPr>
                <w:rFonts w:ascii="Times New Roman" w:hAnsi="Times New Roman" w:cs="Times New Roman"/>
                <w:sz w:val="20"/>
                <w:szCs w:val="20"/>
              </w:rPr>
            </w:pPr>
            <w:r w:rsidRPr="00EB23F1">
              <w:rPr>
                <w:rFonts w:ascii="Times New Roman" w:hAnsi="Times New Roman" w:cs="Times New Roman"/>
                <w:sz w:val="20"/>
                <w:szCs w:val="20"/>
              </w:rPr>
              <w:t>L (0%)</w:t>
            </w:r>
          </w:p>
        </w:tc>
      </w:tr>
      <w:tr w:rsidR="009D0AFD" w:rsidRPr="00EB23F1" w14:paraId="38F6A056" w14:textId="77777777" w:rsidTr="00AC3BC6">
        <w:trPr>
          <w:divId w:val="1351565116"/>
          <w:trHeight w:val="554"/>
        </w:trPr>
        <w:tc>
          <w:tcPr>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A48C34D" w14:textId="77777777" w:rsidR="009D0AFD" w:rsidRPr="00EB23F1" w:rsidRDefault="009D0AFD">
            <w:pPr>
              <w:spacing w:line="360" w:lineRule="auto"/>
              <w:rPr>
                <w:rFonts w:ascii="Times New Roman" w:hAnsi="Times New Roman" w:cs="Times New Roman"/>
                <w:sz w:val="20"/>
                <w:szCs w:val="20"/>
              </w:rPr>
            </w:pPr>
            <w:r w:rsidRPr="00EB23F1">
              <w:rPr>
                <w:rFonts w:ascii="Times New Roman" w:hAnsi="Times New Roman" w:cs="Times New Roman"/>
                <w:sz w:val="20"/>
                <w:szCs w:val="20"/>
              </w:rPr>
              <w:t>Mandibular resection with fibula free flap</w:t>
            </w:r>
          </w:p>
        </w:tc>
        <w:tc>
          <w:tcPr>
            <w:tcW w:w="3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4792E5F" w14:textId="77777777" w:rsidR="009D0AFD" w:rsidRPr="00EB23F1" w:rsidRDefault="009D0AFD">
            <w:pPr>
              <w:spacing w:line="360" w:lineRule="auto"/>
              <w:jc w:val="center"/>
              <w:rPr>
                <w:rFonts w:ascii="Times New Roman" w:hAnsi="Times New Roman" w:cs="Times New Roman"/>
                <w:sz w:val="20"/>
                <w:szCs w:val="20"/>
              </w:rPr>
            </w:pPr>
            <w:r w:rsidRPr="00EB23F1">
              <w:rPr>
                <w:rFonts w:ascii="Times New Roman" w:hAnsi="Times New Roman" w:cs="Times New Roman"/>
                <w:sz w:val="20"/>
                <w:szCs w:val="20"/>
              </w:rPr>
              <w:t>5</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7F4E4B3" w14:textId="77777777" w:rsidR="009D0AFD" w:rsidRPr="00EB23F1" w:rsidRDefault="009D0AFD">
            <w:pPr>
              <w:spacing w:line="360" w:lineRule="auto"/>
              <w:jc w:val="center"/>
              <w:rPr>
                <w:rFonts w:ascii="Times New Roman" w:hAnsi="Times New Roman" w:cs="Times New Roman"/>
                <w:sz w:val="20"/>
                <w:szCs w:val="20"/>
              </w:rPr>
            </w:pPr>
            <w:r w:rsidRPr="00EB23F1">
              <w:rPr>
                <w:rFonts w:ascii="Times New Roman" w:hAnsi="Times New Roman" w:cs="Times New Roman"/>
                <w:sz w:val="20"/>
                <w:szCs w:val="20"/>
              </w:rPr>
              <w:t>L (2%)</w:t>
            </w:r>
          </w:p>
        </w:tc>
      </w:tr>
      <w:tr w:rsidR="009D0AFD" w:rsidRPr="00EB23F1" w14:paraId="0A0E2CEC" w14:textId="77777777" w:rsidTr="00AC3BC6">
        <w:trPr>
          <w:divId w:val="1351565116"/>
          <w:trHeight w:val="438"/>
        </w:trPr>
        <w:tc>
          <w:tcPr>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871E000" w14:textId="77777777" w:rsidR="009D0AFD" w:rsidRPr="00EB23F1" w:rsidRDefault="009D0AFD">
            <w:pPr>
              <w:spacing w:line="360" w:lineRule="auto"/>
              <w:rPr>
                <w:rFonts w:ascii="Times New Roman" w:hAnsi="Times New Roman" w:cs="Times New Roman"/>
                <w:sz w:val="20"/>
                <w:szCs w:val="20"/>
              </w:rPr>
            </w:pPr>
            <w:r w:rsidRPr="00EB23F1">
              <w:rPr>
                <w:rFonts w:ascii="Times New Roman" w:hAnsi="Times New Roman" w:cs="Times New Roman"/>
                <w:sz w:val="20"/>
                <w:szCs w:val="20"/>
              </w:rPr>
              <w:t>TMJ arthroplasty with ankylosis</w:t>
            </w:r>
          </w:p>
        </w:tc>
        <w:tc>
          <w:tcPr>
            <w:tcW w:w="3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3AB5B41" w14:textId="77777777" w:rsidR="009D0AFD" w:rsidRPr="00EB23F1" w:rsidRDefault="009D0AFD">
            <w:pPr>
              <w:spacing w:line="360" w:lineRule="auto"/>
              <w:jc w:val="center"/>
              <w:rPr>
                <w:rFonts w:ascii="Times New Roman" w:hAnsi="Times New Roman" w:cs="Times New Roman"/>
                <w:sz w:val="20"/>
                <w:szCs w:val="20"/>
              </w:rPr>
            </w:pPr>
            <w:r w:rsidRPr="00EB23F1">
              <w:rPr>
                <w:rFonts w:ascii="Times New Roman" w:hAnsi="Times New Roman" w:cs="Times New Roman"/>
                <w:sz w:val="20"/>
                <w:szCs w:val="20"/>
              </w:rPr>
              <w:t>5</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FD8C51A" w14:textId="77777777" w:rsidR="009D0AFD" w:rsidRPr="00EB23F1" w:rsidRDefault="009D0AFD">
            <w:pPr>
              <w:spacing w:line="360" w:lineRule="auto"/>
              <w:jc w:val="center"/>
              <w:rPr>
                <w:rFonts w:ascii="Times New Roman" w:hAnsi="Times New Roman" w:cs="Times New Roman"/>
                <w:sz w:val="20"/>
                <w:szCs w:val="20"/>
              </w:rPr>
            </w:pPr>
            <w:r w:rsidRPr="00EB23F1">
              <w:rPr>
                <w:rFonts w:ascii="Times New Roman" w:hAnsi="Times New Roman" w:cs="Times New Roman"/>
                <w:sz w:val="20"/>
                <w:szCs w:val="20"/>
              </w:rPr>
              <w:t>L (0%)</w:t>
            </w:r>
          </w:p>
        </w:tc>
      </w:tr>
    </w:tbl>
    <w:p w14:paraId="46135FF2" w14:textId="6F1E39B7" w:rsidR="00AC3A05" w:rsidRPr="00EB23F1" w:rsidRDefault="00AC3A05" w:rsidP="00E030E5">
      <w:pPr>
        <w:pBdr>
          <w:top w:val="nil"/>
          <w:left w:val="nil"/>
          <w:bottom w:val="nil"/>
          <w:right w:val="nil"/>
          <w:between w:val="nil"/>
        </w:pBdr>
        <w:spacing w:line="360" w:lineRule="auto"/>
        <w:rPr>
          <w:bCs/>
          <w:iCs/>
          <w:color w:val="000000"/>
          <w:sz w:val="20"/>
          <w:szCs w:val="20"/>
        </w:rPr>
      </w:pPr>
      <w:r w:rsidRPr="00EB23F1">
        <w:rPr>
          <w:bCs/>
          <w:iCs/>
          <w:color w:val="000000"/>
          <w:sz w:val="20"/>
          <w:szCs w:val="20"/>
          <w:vertAlign w:val="superscript"/>
        </w:rPr>
        <w:t>*1</w:t>
      </w:r>
      <w:r w:rsidRPr="00EB23F1">
        <w:rPr>
          <w:bCs/>
          <w:iCs/>
          <w:color w:val="000000"/>
          <w:sz w:val="20"/>
          <w:szCs w:val="20"/>
        </w:rPr>
        <w:t xml:space="preserve"> Perceived complexity was rated on a 5-point scale based on qualitative data from participant interviews and thematic coding.</w:t>
      </w:r>
    </w:p>
    <w:p w14:paraId="70549CA1" w14:textId="77777777" w:rsidR="00AC3A05" w:rsidRPr="00EB23F1" w:rsidRDefault="00AC3A05" w:rsidP="00E030E5">
      <w:pPr>
        <w:pBdr>
          <w:top w:val="nil"/>
          <w:left w:val="nil"/>
          <w:bottom w:val="nil"/>
          <w:right w:val="nil"/>
          <w:between w:val="nil"/>
        </w:pBdr>
        <w:spacing w:line="360" w:lineRule="auto"/>
        <w:rPr>
          <w:bCs/>
          <w:iCs/>
          <w:color w:val="000000"/>
          <w:sz w:val="20"/>
          <w:szCs w:val="20"/>
        </w:rPr>
      </w:pPr>
      <w:r w:rsidRPr="00EB23F1">
        <w:rPr>
          <w:bCs/>
          <w:iCs/>
          <w:color w:val="000000"/>
          <w:sz w:val="20"/>
          <w:szCs w:val="20"/>
          <w:vertAlign w:val="superscript"/>
        </w:rPr>
        <w:t>*2</w:t>
      </w:r>
      <w:r w:rsidRPr="00EB23F1">
        <w:rPr>
          <w:bCs/>
          <w:iCs/>
          <w:color w:val="000000"/>
          <w:sz w:val="20"/>
          <w:szCs w:val="20"/>
        </w:rPr>
        <w:t xml:space="preserve"> Frequency of modification was categorised on three levels based on qualitative data from participant interviews and thematic coding.</w:t>
      </w:r>
    </w:p>
    <w:p w14:paraId="25352677" w14:textId="77777777" w:rsidR="002235A4" w:rsidRDefault="00AC3A05" w:rsidP="00E030E5">
      <w:pPr>
        <w:pBdr>
          <w:top w:val="nil"/>
          <w:left w:val="nil"/>
          <w:bottom w:val="nil"/>
          <w:right w:val="nil"/>
          <w:between w:val="nil"/>
        </w:pBdr>
        <w:spacing w:line="360" w:lineRule="auto"/>
        <w:rPr>
          <w:bCs/>
          <w:iCs/>
          <w:color w:val="000000"/>
        </w:rPr>
      </w:pPr>
      <w:r w:rsidRPr="00EB23F1">
        <w:rPr>
          <w:bCs/>
          <w:iCs/>
          <w:color w:val="000000"/>
          <w:sz w:val="20"/>
          <w:szCs w:val="20"/>
        </w:rPr>
        <w:t>H, high; M, medium; L, low</w:t>
      </w:r>
    </w:p>
    <w:p w14:paraId="4CF2DB82" w14:textId="77777777" w:rsidR="002235A4" w:rsidRDefault="002235A4" w:rsidP="00AC3A05">
      <w:pPr>
        <w:pBdr>
          <w:top w:val="nil"/>
          <w:left w:val="nil"/>
          <w:bottom w:val="nil"/>
          <w:right w:val="nil"/>
          <w:between w:val="nil"/>
        </w:pBdr>
        <w:spacing w:line="360" w:lineRule="auto"/>
        <w:jc w:val="both"/>
        <w:rPr>
          <w:bCs/>
          <w:iCs/>
          <w:color w:val="000000"/>
        </w:rPr>
      </w:pPr>
    </w:p>
    <w:p w14:paraId="275E7E34" w14:textId="77777777" w:rsidR="005E6335" w:rsidRDefault="005E6335" w:rsidP="00EE4931">
      <w:pPr>
        <w:spacing w:line="360" w:lineRule="auto"/>
        <w:ind w:firstLine="720"/>
        <w:divId w:val="772478714"/>
        <w:rPr>
          <w:kern w:val="2"/>
          <w14:ligatures w14:val="standardContextual"/>
        </w:rPr>
      </w:pPr>
      <w:r>
        <w:t>To ensure analytic rigour, each coded category was compared across professional roles (consultant surgeons, assisting surgeons, surgical technologists, and biomedical engineers) to identify convergence and divergence in perspective. Analytic memos were used to document interpretive reflections, and themes were refined through a series of 5 meetings between the author and two research assistants.</w:t>
      </w:r>
    </w:p>
    <w:p w14:paraId="4F83878C" w14:textId="60209A2B" w:rsidR="009D0A33" w:rsidRDefault="005E6335" w:rsidP="00EE4931">
      <w:pPr>
        <w:pBdr>
          <w:top w:val="nil"/>
          <w:left w:val="nil"/>
          <w:bottom w:val="nil"/>
          <w:right w:val="nil"/>
          <w:between w:val="nil"/>
        </w:pBdr>
        <w:spacing w:line="360" w:lineRule="auto"/>
        <w:ind w:firstLine="720"/>
      </w:pPr>
      <w:r>
        <w:t xml:space="preserve">Quantitative data from the Likert-style questionnaires were analysed descriptively. Responses were tabulated to determine trends in perceived difficulty, implant fit, and outcomes across different case types (e.g., cranioplasty, mandibular reconstruction, mandibular reconstruction with fibula free flap, OZC repair, and TMJ arthroplasty, either with or without </w:t>
      </w:r>
      <w:r>
        <w:lastRenderedPageBreak/>
        <w:t>ankylosis). These quantitative findings were used to triangulate qualitative insights, particularly in identifying whether behavioural factors corresponded with specific procedural challenges [4].</w:t>
      </w:r>
    </w:p>
    <w:p w14:paraId="574C0E99" w14:textId="77777777" w:rsidR="00E44806" w:rsidRDefault="00E44806" w:rsidP="00AC3A05">
      <w:pPr>
        <w:pBdr>
          <w:top w:val="nil"/>
          <w:left w:val="nil"/>
          <w:bottom w:val="nil"/>
          <w:right w:val="nil"/>
          <w:between w:val="nil"/>
        </w:pBdr>
        <w:spacing w:line="360" w:lineRule="auto"/>
        <w:jc w:val="both"/>
        <w:rPr>
          <w:b/>
          <w:i/>
          <w:color w:val="000000"/>
        </w:rPr>
      </w:pPr>
    </w:p>
    <w:p w14:paraId="357342FB" w14:textId="41009C93" w:rsidR="004F0737" w:rsidRDefault="00B77F2E">
      <w:pPr>
        <w:pBdr>
          <w:top w:val="nil"/>
          <w:left w:val="nil"/>
          <w:bottom w:val="nil"/>
          <w:right w:val="nil"/>
          <w:between w:val="nil"/>
        </w:pBdr>
        <w:spacing w:line="360" w:lineRule="auto"/>
        <w:jc w:val="both"/>
        <w:rPr>
          <w:b/>
          <w:i/>
          <w:color w:val="000000"/>
        </w:rPr>
      </w:pPr>
      <w:r>
        <w:rPr>
          <w:b/>
          <w:i/>
          <w:color w:val="000000"/>
        </w:rPr>
        <w:t>Ethical considerations</w:t>
      </w:r>
    </w:p>
    <w:p w14:paraId="53F60301" w14:textId="297FD149" w:rsidR="00BE7704" w:rsidRPr="00BE7704" w:rsidRDefault="00BE7704" w:rsidP="00BE7704">
      <w:pPr>
        <w:pBdr>
          <w:top w:val="nil"/>
          <w:left w:val="nil"/>
          <w:bottom w:val="nil"/>
          <w:right w:val="nil"/>
          <w:between w:val="nil"/>
        </w:pBdr>
        <w:spacing w:line="360" w:lineRule="auto"/>
        <w:ind w:firstLine="708"/>
        <w:rPr>
          <w:color w:val="000000"/>
        </w:rPr>
      </w:pPr>
      <w:r w:rsidRPr="00BE7704">
        <w:rPr>
          <w:color w:val="000000"/>
        </w:rPr>
        <w:t>This study was approved by the Institutional Review Board of the Viktor Frankl Institute of South Africa (ID: 50937-08174-2023). All participants provided informed consent prior to participation.</w:t>
      </w:r>
    </w:p>
    <w:p w14:paraId="21DD5DD8" w14:textId="1FDE2D62" w:rsidR="004F0737" w:rsidRPr="006E434C" w:rsidRDefault="00BE7704" w:rsidP="00EE4931">
      <w:pPr>
        <w:pBdr>
          <w:top w:val="nil"/>
          <w:left w:val="nil"/>
          <w:bottom w:val="nil"/>
          <w:right w:val="nil"/>
          <w:between w:val="nil"/>
        </w:pBdr>
        <w:spacing w:line="360" w:lineRule="auto"/>
        <w:ind w:firstLine="708"/>
        <w:rPr>
          <w:color w:val="000000"/>
        </w:rPr>
      </w:pPr>
      <w:r w:rsidRPr="00BE7704">
        <w:rPr>
          <w:color w:val="000000"/>
        </w:rPr>
        <w:t>The authors affirm that the research was conducted in accordance with the ethical standards prevailing in South Africa, where the scientific and academic activity was undertaken. In addition, the study adhered to the Universal Declaration of Ethical Principles for Psychologists (International Union of Psychological Science &amp; International Association of Applied Psychology, 2008), the International Ethical Guidelines for Health-Related Research Involving Humans (Council for International Organizations of Medical Sciences, World Health Organization, &amp; Pan American Health Organization, 2016), and the declarations of the International Society of Psychology regarding ethical behavior at the time of submission (International Society of Psychology, 1978, 2008a, 2008b, 2014, 2016, 2018, 2019).</w:t>
      </w:r>
    </w:p>
    <w:p w14:paraId="6A03C648" w14:textId="77777777" w:rsidR="00E44806" w:rsidRDefault="00E44806" w:rsidP="00E44806">
      <w:pPr>
        <w:pBdr>
          <w:top w:val="nil"/>
          <w:left w:val="nil"/>
          <w:bottom w:val="nil"/>
          <w:right w:val="nil"/>
          <w:between w:val="nil"/>
        </w:pBdr>
        <w:spacing w:line="360" w:lineRule="auto"/>
        <w:jc w:val="both"/>
        <w:rPr>
          <w:color w:val="000000"/>
        </w:rPr>
      </w:pPr>
    </w:p>
    <w:p w14:paraId="4465E5F6" w14:textId="77777777" w:rsidR="004F0737" w:rsidRDefault="00B77F2E" w:rsidP="00AA4566">
      <w:pPr>
        <w:pBdr>
          <w:top w:val="nil"/>
          <w:left w:val="nil"/>
          <w:bottom w:val="nil"/>
          <w:right w:val="nil"/>
          <w:between w:val="nil"/>
        </w:pBdr>
        <w:spacing w:line="360" w:lineRule="auto"/>
        <w:jc w:val="center"/>
        <w:rPr>
          <w:b/>
          <w:color w:val="000000"/>
        </w:rPr>
      </w:pPr>
      <w:r>
        <w:rPr>
          <w:b/>
          <w:color w:val="000000"/>
        </w:rPr>
        <w:t>Results</w:t>
      </w:r>
    </w:p>
    <w:p w14:paraId="537816F6" w14:textId="77777777" w:rsidR="00D35625" w:rsidRPr="00D35625" w:rsidRDefault="00D35625" w:rsidP="00EE4931">
      <w:pPr>
        <w:pBdr>
          <w:top w:val="nil"/>
          <w:left w:val="nil"/>
          <w:bottom w:val="nil"/>
          <w:right w:val="nil"/>
          <w:between w:val="nil"/>
        </w:pBdr>
        <w:spacing w:line="360" w:lineRule="auto"/>
        <w:ind w:firstLine="708"/>
        <w:rPr>
          <w:color w:val="000000"/>
        </w:rPr>
      </w:pPr>
      <w:r w:rsidRPr="00D35625">
        <w:rPr>
          <w:color w:val="000000"/>
        </w:rPr>
        <w:t xml:space="preserve">Aberrant behavioural patterns, observed repeatedly by the interview cohort alongside reported instances of compromised intraoperative workflows, occurred with sufficient regularity to prompt a fundamental question: If the implant is accurate, yet the workflow is suboptimal, which part of the system has failed? Increasingly, the answer appears to lie not with the design, but with the temperament of the surgeon. Our analysis consistently showed that low frustration tolerance among surgeons, overtly expressed as impatience, was associated with reports of increased intraoperative challenges and a lower perceived quality of procedural execution when using high-fidelity patient-specific implants, as reported by assisting surgeons and surgical technologists. Procedures perceived as "simple"–such as cranioplasty and OZC reconstruction, and to a lesser extent, mandibular reconstruction–were more frequently associated with diverting from the surgical plan and implant modification (Table 2). The TMJ cases involve implants that cannot be modified and therefore have an incidence of 0% changes to the device. This in itself demonstrates that if the option to modify an implant is removed, the surgery proceeds as </w:t>
      </w:r>
      <w:r w:rsidRPr="00D35625">
        <w:rPr>
          <w:color w:val="000000"/>
        </w:rPr>
        <w:lastRenderedPageBreak/>
        <w:t>predicted, effectively eliminating the possibility that a surgeon’s impatience could influence intraoperative decisions.</w:t>
      </w:r>
    </w:p>
    <w:p w14:paraId="1433D494" w14:textId="2D70DB93" w:rsidR="004F0737" w:rsidRDefault="00D35625" w:rsidP="00EE4931">
      <w:pPr>
        <w:pBdr>
          <w:top w:val="nil"/>
          <w:left w:val="nil"/>
          <w:bottom w:val="nil"/>
          <w:right w:val="nil"/>
          <w:between w:val="nil"/>
        </w:pBdr>
        <w:spacing w:line="360" w:lineRule="auto"/>
        <w:ind w:firstLine="708"/>
        <w:rPr>
          <w:color w:val="000000"/>
        </w:rPr>
      </w:pPr>
      <w:r w:rsidRPr="00D35625">
        <w:rPr>
          <w:color w:val="000000"/>
        </w:rPr>
        <w:t xml:space="preserve">Notably, in two instances, surgeon impatience escalated to extreme behaviour, including physical attempts to break the implant as a demonstration of its perceived “poor quality”. Both events occurred during straightforward cranioplasty procedures, contradicting expectations and suggesting that underestimating these ostensibly simple cases may have led to inadequate psychological preparation, increasing susceptibility to emotional dysregulation. This interpretation is supported by Ellis’s model of low frustration tolerance, which proposes that irrational beliefs about ease and control in stressful contexts increase emotional reactivity and maladaptive responses under strain </w:t>
      </w:r>
      <w:r w:rsidR="00D444C8">
        <w:rPr>
          <w:color w:val="000000"/>
        </w:rPr>
        <w:t xml:space="preserve">(Dryden &amp; </w:t>
      </w:r>
      <w:r w:rsidR="00347A32">
        <w:rPr>
          <w:color w:val="000000"/>
        </w:rPr>
        <w:t>Bond</w:t>
      </w:r>
      <w:r w:rsidR="006347FE">
        <w:rPr>
          <w:color w:val="000000"/>
        </w:rPr>
        <w:t>,</w:t>
      </w:r>
      <w:r w:rsidR="00347A32">
        <w:rPr>
          <w:color w:val="000000"/>
        </w:rPr>
        <w:t xml:space="preserve"> 1994).</w:t>
      </w:r>
      <w:r w:rsidRPr="00D35625">
        <w:rPr>
          <w:color w:val="000000"/>
        </w:rPr>
        <w:t xml:space="preserve"> These extreme responses represent 2.3% of the sample, while impatience resulting in intraoperative modification of a PSI occurred in 4.5% of cases (Table 3).</w:t>
      </w:r>
    </w:p>
    <w:p w14:paraId="5185ECF3" w14:textId="77777777" w:rsidR="00674083" w:rsidRDefault="00674083" w:rsidP="00CD0E39">
      <w:pPr>
        <w:pBdr>
          <w:top w:val="nil"/>
          <w:left w:val="nil"/>
          <w:bottom w:val="nil"/>
          <w:right w:val="nil"/>
          <w:between w:val="nil"/>
        </w:pBdr>
        <w:spacing w:line="360" w:lineRule="auto"/>
        <w:jc w:val="both"/>
        <w:rPr>
          <w:b/>
          <w:bCs/>
        </w:rPr>
      </w:pPr>
    </w:p>
    <w:p w14:paraId="66538B95" w14:textId="77777777" w:rsidR="00674083" w:rsidRPr="00FD0D4D" w:rsidRDefault="00674083" w:rsidP="00CD0E39">
      <w:pPr>
        <w:pBdr>
          <w:top w:val="nil"/>
          <w:left w:val="nil"/>
          <w:bottom w:val="nil"/>
          <w:right w:val="nil"/>
          <w:between w:val="nil"/>
        </w:pBdr>
        <w:spacing w:line="360" w:lineRule="auto"/>
        <w:jc w:val="both"/>
        <w:rPr>
          <w:sz w:val="20"/>
          <w:szCs w:val="20"/>
        </w:rPr>
      </w:pPr>
      <w:r w:rsidRPr="00FD0D4D">
        <w:rPr>
          <w:sz w:val="20"/>
          <w:szCs w:val="20"/>
        </w:rPr>
        <w:t>Table 3.</w:t>
      </w:r>
    </w:p>
    <w:p w14:paraId="4D38FCDD" w14:textId="41BC0D35" w:rsidR="00CD0E39" w:rsidRPr="00FD0D4D" w:rsidRDefault="00674083" w:rsidP="00CD0E39">
      <w:pPr>
        <w:pBdr>
          <w:top w:val="nil"/>
          <w:left w:val="nil"/>
          <w:bottom w:val="nil"/>
          <w:right w:val="nil"/>
          <w:between w:val="nil"/>
        </w:pBdr>
        <w:spacing w:line="360" w:lineRule="auto"/>
        <w:jc w:val="both"/>
        <w:rPr>
          <w:i/>
          <w:iCs/>
          <w:color w:val="000000"/>
          <w:sz w:val="20"/>
          <w:szCs w:val="20"/>
        </w:rPr>
      </w:pPr>
      <w:r w:rsidRPr="00FD0D4D">
        <w:rPr>
          <w:i/>
          <w:iCs/>
          <w:sz w:val="20"/>
          <w:szCs w:val="20"/>
        </w:rPr>
        <w:t>Observed behaviour, associated risk, and incidence (n = 86)</w:t>
      </w:r>
    </w:p>
    <w:tbl>
      <w:tblPr>
        <w:tblStyle w:val="TableGridLight"/>
        <w:tblW w:w="0" w:type="auto"/>
        <w:tblInd w:w="0" w:type="dxa"/>
        <w:tblLook w:val="04A0" w:firstRow="1" w:lastRow="0" w:firstColumn="1" w:lastColumn="0" w:noHBand="0" w:noVBand="1"/>
      </w:tblPr>
      <w:tblGrid>
        <w:gridCol w:w="3539"/>
        <w:gridCol w:w="4111"/>
        <w:gridCol w:w="1276"/>
      </w:tblGrid>
      <w:tr w:rsidR="00BB358F" w:rsidRPr="00FD0D4D" w14:paraId="2986FB94" w14:textId="77777777" w:rsidTr="00F95562">
        <w:trPr>
          <w:divId w:val="1981181376"/>
          <w:trHeight w:val="610"/>
        </w:trPr>
        <w:tc>
          <w:tcPr>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vAlign w:val="center"/>
            <w:hideMark/>
          </w:tcPr>
          <w:p w14:paraId="6B363158" w14:textId="77777777" w:rsidR="00BB358F" w:rsidRPr="00FD0D4D" w:rsidRDefault="00BB358F">
            <w:pPr>
              <w:spacing w:line="360" w:lineRule="auto"/>
              <w:jc w:val="center"/>
              <w:rPr>
                <w:rFonts w:ascii="Times New Roman" w:hAnsi="Times New Roman" w:cs="Times New Roman"/>
                <w:b/>
                <w:bCs/>
                <w:sz w:val="20"/>
                <w:szCs w:val="20"/>
              </w:rPr>
            </w:pPr>
            <w:r w:rsidRPr="00FD0D4D">
              <w:rPr>
                <w:rFonts w:ascii="Times New Roman" w:hAnsi="Times New Roman" w:cs="Times New Roman"/>
                <w:sz w:val="20"/>
                <w:szCs w:val="20"/>
              </w:rPr>
              <w:t>Observed</w:t>
            </w:r>
            <w:r w:rsidRPr="00FD0D4D">
              <w:rPr>
                <w:rFonts w:ascii="Times New Roman" w:hAnsi="Times New Roman" w:cs="Times New Roman"/>
                <w:b/>
                <w:bCs/>
                <w:sz w:val="20"/>
                <w:szCs w:val="20"/>
              </w:rPr>
              <w:t xml:space="preserve"> </w:t>
            </w:r>
            <w:r w:rsidRPr="00FD0D4D">
              <w:rPr>
                <w:rFonts w:ascii="Times New Roman" w:hAnsi="Times New Roman" w:cs="Times New Roman"/>
                <w:sz w:val="20"/>
                <w:szCs w:val="20"/>
              </w:rPr>
              <w:t>Behaviour</w:t>
            </w:r>
          </w:p>
        </w:tc>
        <w:tc>
          <w:tcPr>
            <w:tcW w:w="41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vAlign w:val="center"/>
            <w:hideMark/>
          </w:tcPr>
          <w:p w14:paraId="190FDE3A" w14:textId="77777777" w:rsidR="00BB358F" w:rsidRPr="00FD0D4D" w:rsidRDefault="00BB358F">
            <w:pPr>
              <w:spacing w:line="360" w:lineRule="auto"/>
              <w:jc w:val="center"/>
              <w:rPr>
                <w:rFonts w:ascii="Times New Roman" w:eastAsiaTheme="majorEastAsia" w:hAnsi="Times New Roman" w:cs="Times New Roman"/>
                <w:b/>
                <w:bCs/>
                <w:sz w:val="20"/>
                <w:szCs w:val="20"/>
              </w:rPr>
            </w:pPr>
            <w:r w:rsidRPr="00FD0D4D">
              <w:rPr>
                <w:rFonts w:ascii="Times New Roman" w:eastAsiaTheme="majorEastAsia" w:hAnsi="Times New Roman" w:cs="Times New Roman"/>
                <w:sz w:val="20"/>
                <w:szCs w:val="20"/>
              </w:rPr>
              <w:t>Associated</w:t>
            </w:r>
            <w:r w:rsidRPr="00FD0D4D">
              <w:rPr>
                <w:rFonts w:ascii="Times New Roman" w:eastAsiaTheme="majorEastAsia" w:hAnsi="Times New Roman" w:cs="Times New Roman"/>
                <w:b/>
                <w:bCs/>
                <w:sz w:val="20"/>
                <w:szCs w:val="20"/>
              </w:rPr>
              <w:t xml:space="preserve"> </w:t>
            </w:r>
            <w:r w:rsidRPr="00FD0D4D">
              <w:rPr>
                <w:rFonts w:ascii="Times New Roman" w:eastAsiaTheme="majorEastAsia" w:hAnsi="Times New Roman" w:cs="Times New Roman"/>
                <w:sz w:val="20"/>
                <w:szCs w:val="20"/>
              </w:rPr>
              <w:t>Clinical</w:t>
            </w:r>
            <w:r w:rsidRPr="00FD0D4D">
              <w:rPr>
                <w:rFonts w:ascii="Times New Roman" w:eastAsiaTheme="majorEastAsia" w:hAnsi="Times New Roman" w:cs="Times New Roman"/>
                <w:b/>
                <w:bCs/>
                <w:sz w:val="20"/>
                <w:szCs w:val="20"/>
              </w:rPr>
              <w:t xml:space="preserve"> </w:t>
            </w:r>
            <w:r w:rsidRPr="00FD0D4D">
              <w:rPr>
                <w:rFonts w:ascii="Times New Roman" w:eastAsiaTheme="majorEastAsia" w:hAnsi="Times New Roman" w:cs="Times New Roman"/>
                <w:sz w:val="20"/>
                <w:szCs w:val="20"/>
              </w:rPr>
              <w:t>Risk</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vAlign w:val="center"/>
            <w:hideMark/>
          </w:tcPr>
          <w:p w14:paraId="10CD2812" w14:textId="77777777" w:rsidR="00BB358F" w:rsidRPr="00FD0D4D" w:rsidRDefault="00BB358F">
            <w:pPr>
              <w:spacing w:line="360" w:lineRule="auto"/>
              <w:jc w:val="center"/>
              <w:rPr>
                <w:rFonts w:ascii="Times New Roman" w:hAnsi="Times New Roman" w:cs="Times New Roman"/>
                <w:b/>
                <w:bCs/>
                <w:sz w:val="20"/>
                <w:szCs w:val="20"/>
              </w:rPr>
            </w:pPr>
            <w:r w:rsidRPr="00FD0D4D">
              <w:rPr>
                <w:rFonts w:ascii="Times New Roman" w:hAnsi="Times New Roman" w:cs="Times New Roman"/>
                <w:sz w:val="20"/>
                <w:szCs w:val="20"/>
              </w:rPr>
              <w:t>Incidence</w:t>
            </w:r>
            <w:r w:rsidRPr="00FD0D4D">
              <w:rPr>
                <w:rFonts w:ascii="Times New Roman" w:hAnsi="Times New Roman" w:cs="Times New Roman"/>
                <w:b/>
                <w:bCs/>
                <w:sz w:val="20"/>
                <w:szCs w:val="20"/>
              </w:rPr>
              <w:t xml:space="preserve"> </w:t>
            </w:r>
            <w:r w:rsidRPr="00FD0D4D">
              <w:rPr>
                <w:rFonts w:ascii="Times New Roman" w:hAnsi="Times New Roman" w:cs="Times New Roman"/>
                <w:sz w:val="20"/>
                <w:szCs w:val="20"/>
              </w:rPr>
              <w:t>(%)</w:t>
            </w:r>
          </w:p>
        </w:tc>
      </w:tr>
      <w:tr w:rsidR="00BB358F" w:rsidRPr="00FD0D4D" w14:paraId="237881C1" w14:textId="77777777" w:rsidTr="003E4DB9">
        <w:trPr>
          <w:divId w:val="1981181376"/>
          <w:trHeight w:val="407"/>
        </w:trPr>
        <w:tc>
          <w:tcPr>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A6E29B8" w14:textId="77777777" w:rsidR="00BB358F" w:rsidRPr="00FD0D4D" w:rsidRDefault="00BB358F">
            <w:pPr>
              <w:spacing w:line="360" w:lineRule="auto"/>
              <w:rPr>
                <w:rFonts w:ascii="Times New Roman" w:hAnsi="Times New Roman" w:cs="Times New Roman"/>
                <w:sz w:val="20"/>
                <w:szCs w:val="20"/>
              </w:rPr>
            </w:pPr>
            <w:r w:rsidRPr="00FD0D4D">
              <w:rPr>
                <w:rFonts w:ascii="Times New Roman" w:hAnsi="Times New Roman" w:cs="Times New Roman"/>
                <w:sz w:val="20"/>
                <w:szCs w:val="20"/>
              </w:rPr>
              <w:t>Physical attempt to break a PSI</w:t>
            </w:r>
          </w:p>
        </w:tc>
        <w:tc>
          <w:tcPr>
            <w:tcW w:w="41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F43403A" w14:textId="77777777" w:rsidR="00BB358F" w:rsidRPr="00FD0D4D" w:rsidRDefault="00BB358F">
            <w:pPr>
              <w:spacing w:line="360" w:lineRule="auto"/>
              <w:rPr>
                <w:rFonts w:ascii="Times New Roman" w:hAnsi="Times New Roman" w:cs="Times New Roman"/>
                <w:sz w:val="20"/>
                <w:szCs w:val="20"/>
              </w:rPr>
            </w:pPr>
            <w:r w:rsidRPr="00FD0D4D">
              <w:rPr>
                <w:rFonts w:ascii="Times New Roman" w:hAnsi="Times New Roman" w:cs="Times New Roman"/>
                <w:sz w:val="20"/>
                <w:szCs w:val="20"/>
              </w:rPr>
              <w:t>Direct compromise to patient safety</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203B661" w14:textId="77777777" w:rsidR="00BB358F" w:rsidRPr="00FD0D4D" w:rsidRDefault="00BB358F">
            <w:pPr>
              <w:spacing w:line="360" w:lineRule="auto"/>
              <w:jc w:val="center"/>
              <w:rPr>
                <w:rFonts w:ascii="Times New Roman" w:hAnsi="Times New Roman" w:cs="Times New Roman"/>
                <w:sz w:val="20"/>
                <w:szCs w:val="20"/>
              </w:rPr>
            </w:pPr>
            <w:r w:rsidRPr="00FD0D4D">
              <w:rPr>
                <w:rFonts w:ascii="Times New Roman" w:hAnsi="Times New Roman" w:cs="Times New Roman"/>
                <w:sz w:val="20"/>
                <w:szCs w:val="20"/>
              </w:rPr>
              <w:t>2.3 %</w:t>
            </w:r>
          </w:p>
        </w:tc>
      </w:tr>
      <w:tr w:rsidR="00BB358F" w:rsidRPr="00FD0D4D" w14:paraId="59CC4E58" w14:textId="77777777">
        <w:trPr>
          <w:divId w:val="1981181376"/>
          <w:trHeight w:val="696"/>
        </w:trPr>
        <w:tc>
          <w:tcPr>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1168CC6" w14:textId="77777777" w:rsidR="00BB358F" w:rsidRPr="00FD0D4D" w:rsidRDefault="00BB358F">
            <w:pPr>
              <w:spacing w:line="360" w:lineRule="auto"/>
              <w:rPr>
                <w:rFonts w:ascii="Times New Roman" w:hAnsi="Times New Roman" w:cs="Times New Roman"/>
                <w:sz w:val="20"/>
                <w:szCs w:val="20"/>
              </w:rPr>
            </w:pPr>
            <w:r w:rsidRPr="00FD0D4D">
              <w:rPr>
                <w:rFonts w:ascii="Times New Roman" w:hAnsi="Times New Roman" w:cs="Times New Roman"/>
                <w:sz w:val="20"/>
                <w:szCs w:val="20"/>
              </w:rPr>
              <w:t>Unplanned modification of PSI (cutting, burring, recontouring)</w:t>
            </w:r>
          </w:p>
        </w:tc>
        <w:tc>
          <w:tcPr>
            <w:tcW w:w="41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9236298" w14:textId="77777777" w:rsidR="00BB358F" w:rsidRPr="00FD0D4D" w:rsidRDefault="00BB358F">
            <w:pPr>
              <w:spacing w:line="360" w:lineRule="auto"/>
              <w:rPr>
                <w:rFonts w:ascii="Times New Roman" w:hAnsi="Times New Roman" w:cs="Times New Roman"/>
                <w:sz w:val="20"/>
                <w:szCs w:val="20"/>
              </w:rPr>
            </w:pPr>
            <w:r w:rsidRPr="00FD0D4D">
              <w:rPr>
                <w:rFonts w:ascii="Times New Roman" w:hAnsi="Times New Roman" w:cs="Times New Roman"/>
                <w:sz w:val="20"/>
                <w:szCs w:val="20"/>
              </w:rPr>
              <w:t>Potential compromise to structural integrity, or to functional or aesthetic outcomes</w:t>
            </w:r>
            <w:r w:rsidRPr="00FD0D4D">
              <w:rPr>
                <w:rFonts w:ascii="Times New Roman" w:hAnsi="Times New Roman" w:cs="Times New Roman"/>
                <w:sz w:val="20"/>
                <w:szCs w:val="20"/>
                <w:vertAlign w:val="superscript"/>
              </w:rPr>
              <w:t>*</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D8A32D1" w14:textId="77777777" w:rsidR="00BB358F" w:rsidRPr="00FD0D4D" w:rsidRDefault="00BB358F">
            <w:pPr>
              <w:spacing w:line="360" w:lineRule="auto"/>
              <w:jc w:val="center"/>
              <w:rPr>
                <w:rFonts w:ascii="Times New Roman" w:hAnsi="Times New Roman" w:cs="Times New Roman"/>
                <w:sz w:val="20"/>
                <w:szCs w:val="20"/>
              </w:rPr>
            </w:pPr>
            <w:r w:rsidRPr="00FD0D4D">
              <w:rPr>
                <w:rFonts w:ascii="Times New Roman" w:hAnsi="Times New Roman" w:cs="Times New Roman"/>
                <w:sz w:val="20"/>
                <w:szCs w:val="20"/>
              </w:rPr>
              <w:t>4.5 %</w:t>
            </w:r>
          </w:p>
        </w:tc>
      </w:tr>
    </w:tbl>
    <w:p w14:paraId="04F715F5" w14:textId="54570391" w:rsidR="00CD0E39" w:rsidRPr="00FD0D4D" w:rsidRDefault="002B328A" w:rsidP="00CD0E39">
      <w:pPr>
        <w:pBdr>
          <w:top w:val="nil"/>
          <w:left w:val="nil"/>
          <w:bottom w:val="nil"/>
          <w:right w:val="nil"/>
          <w:between w:val="nil"/>
        </w:pBdr>
        <w:spacing w:line="360" w:lineRule="auto"/>
        <w:jc w:val="both"/>
        <w:rPr>
          <w:color w:val="000000"/>
          <w:sz w:val="20"/>
          <w:szCs w:val="20"/>
        </w:rPr>
      </w:pPr>
      <w:r w:rsidRPr="002441D2">
        <w:rPr>
          <w:color w:val="000000"/>
          <w:sz w:val="20"/>
          <w:szCs w:val="20"/>
          <w:vertAlign w:val="superscript"/>
        </w:rPr>
        <w:t>*</w:t>
      </w:r>
      <w:r w:rsidRPr="002B328A">
        <w:rPr>
          <w:color w:val="000000"/>
          <w:sz w:val="20"/>
          <w:szCs w:val="20"/>
        </w:rPr>
        <w:t xml:space="preserve"> The clinical significance of such modifications cannot be quantified within the scope of this qualitative study.</w:t>
      </w:r>
    </w:p>
    <w:p w14:paraId="3CCEC172" w14:textId="77777777" w:rsidR="005C1DDA" w:rsidRDefault="005C1DDA">
      <w:pPr>
        <w:spacing w:line="360" w:lineRule="auto"/>
        <w:jc w:val="both"/>
      </w:pPr>
    </w:p>
    <w:p w14:paraId="07308458" w14:textId="65174CDB" w:rsidR="004F0737" w:rsidRDefault="005C1DDA" w:rsidP="0001717A">
      <w:pPr>
        <w:spacing w:line="360" w:lineRule="auto"/>
        <w:ind w:firstLine="720"/>
      </w:pPr>
      <w:r>
        <w:t xml:space="preserve">In contrast to these emotionally reactive responses, other challenging surgeries elicited adaptive coping behaviours. For example, the most technically demanding procedures, bilateral TMJ arthroplasty with ankylosis, which were scored as the most complex cases, were associated with fewer intraoperative issues and greater adherence to the planned implant workflow, despite their longer durations and increased complexity. Interviewees emphasized that surgeons appeared to mentally </w:t>
      </w:r>
      <w:r w:rsidR="004E5343">
        <w:t>“</w:t>
      </w:r>
      <w:r>
        <w:t xml:space="preserve">prime” themselves for difficulty in these complex procedures, entering the operating theatre with greater psychological readiness and cognitive flexibility. One surgical technologist described it as follows, “Its as if they [surgeons] anticipated </w:t>
      </w:r>
      <w:r w:rsidR="00DD12C7">
        <w:t>the surgical complexity and</w:t>
      </w:r>
      <w:r w:rsidR="00E83BCE">
        <w:t xml:space="preserve">/or </w:t>
      </w:r>
      <w:r>
        <w:t xml:space="preserve">difficulties and psyched themselves up, like athletes do.” This finding is consistent with the theory of stress inoculation, in which anticipatory coping and mental rehearsal reduce the impact of procedural stress </w:t>
      </w:r>
      <w:r w:rsidR="00B002C0">
        <w:t>(Meicheribaum</w:t>
      </w:r>
      <w:r w:rsidR="006B4143">
        <w:t xml:space="preserve"> &amp; Novaco, 1985)</w:t>
      </w:r>
      <w:r>
        <w:t xml:space="preserve">. It also reflects principles of </w:t>
      </w:r>
      <w:r>
        <w:lastRenderedPageBreak/>
        <w:t xml:space="preserve">emotional intelligence, particularly self-awareness and self-regulation, which have been shown to influence surgical performance under pressure </w:t>
      </w:r>
      <w:r w:rsidR="0099300B">
        <w:t>(</w:t>
      </w:r>
      <w:r w:rsidR="00286EB5">
        <w:t>Arora</w:t>
      </w:r>
      <w:r w:rsidR="00176CB1">
        <w:t xml:space="preserve"> et al., 2010)</w:t>
      </w:r>
      <w:r>
        <w:t>. This was further evidenced by increased surgeon engagement in the virtual surgical planning process as reported by biomedical engineers, and more proactive communication with surgical team members prior to and during the procedure, as noted by assisting surgeons and surgical technologists.</w:t>
      </w:r>
    </w:p>
    <w:p w14:paraId="6D9A8BA7" w14:textId="77777777" w:rsidR="00A02234" w:rsidRPr="00181833" w:rsidRDefault="00A02234" w:rsidP="00A02234">
      <w:pPr>
        <w:spacing w:line="360" w:lineRule="auto"/>
        <w:jc w:val="both"/>
      </w:pPr>
    </w:p>
    <w:p w14:paraId="516A7444" w14:textId="77777777" w:rsidR="004F0737" w:rsidRDefault="00B77F2E" w:rsidP="002B7585">
      <w:pPr>
        <w:pBdr>
          <w:top w:val="nil"/>
          <w:left w:val="nil"/>
          <w:bottom w:val="nil"/>
          <w:right w:val="nil"/>
          <w:between w:val="nil"/>
        </w:pBdr>
        <w:spacing w:line="360" w:lineRule="auto"/>
        <w:jc w:val="center"/>
        <w:rPr>
          <w:b/>
          <w:color w:val="000000"/>
        </w:rPr>
      </w:pPr>
      <w:r>
        <w:rPr>
          <w:b/>
          <w:color w:val="000000"/>
        </w:rPr>
        <w:t>Discussion</w:t>
      </w:r>
    </w:p>
    <w:p w14:paraId="1470FBC2" w14:textId="535C0DCF" w:rsidR="00515F4D" w:rsidRDefault="00515F4D" w:rsidP="002B7585">
      <w:pPr>
        <w:pBdr>
          <w:top w:val="nil"/>
          <w:left w:val="nil"/>
          <w:bottom w:val="nil"/>
          <w:right w:val="nil"/>
          <w:between w:val="nil"/>
        </w:pBdr>
        <w:spacing w:line="360" w:lineRule="auto"/>
        <w:jc w:val="both"/>
        <w:rPr>
          <w:b/>
          <w:bCs/>
          <w:i/>
          <w:iCs/>
          <w:color w:val="000000"/>
        </w:rPr>
      </w:pPr>
      <w:r>
        <w:rPr>
          <w:b/>
          <w:bCs/>
          <w:i/>
          <w:iCs/>
          <w:color w:val="000000"/>
        </w:rPr>
        <w:t>Background: The</w:t>
      </w:r>
      <w:r w:rsidR="00CA083C">
        <w:rPr>
          <w:b/>
          <w:bCs/>
          <w:i/>
          <w:iCs/>
          <w:color w:val="000000"/>
        </w:rPr>
        <w:t xml:space="preserve"> </w:t>
      </w:r>
      <w:r>
        <w:rPr>
          <w:b/>
          <w:bCs/>
          <w:i/>
          <w:iCs/>
          <w:color w:val="000000"/>
        </w:rPr>
        <w:t>Psychology</w:t>
      </w:r>
    </w:p>
    <w:p w14:paraId="6DCF8CD6" w14:textId="7D9CD512" w:rsidR="005554CB" w:rsidRPr="005554CB" w:rsidRDefault="005554CB" w:rsidP="003C62CC">
      <w:pPr>
        <w:pBdr>
          <w:top w:val="nil"/>
          <w:left w:val="nil"/>
          <w:bottom w:val="nil"/>
          <w:right w:val="nil"/>
          <w:between w:val="nil"/>
        </w:pBdr>
        <w:spacing w:line="360" w:lineRule="auto"/>
        <w:ind w:firstLine="720"/>
        <w:rPr>
          <w:color w:val="000000"/>
        </w:rPr>
      </w:pPr>
      <w:r w:rsidRPr="005554CB">
        <w:rPr>
          <w:color w:val="000000"/>
        </w:rPr>
        <w:t xml:space="preserve">From a psychological and behavioural perspective, particularly relevant to the surgical work environment and surgeon temperament, patience refers to the capacity to tolerate delay, difficulty, or frustration without becoming agitated, distressed, or reactive </w:t>
      </w:r>
      <w:r w:rsidR="00E50543">
        <w:rPr>
          <w:color w:val="000000"/>
        </w:rPr>
        <w:t>(Schnitker &amp; Emmons, 2007)</w:t>
      </w:r>
      <w:r w:rsidRPr="005554CB">
        <w:rPr>
          <w:color w:val="000000"/>
        </w:rPr>
        <w:t xml:space="preserve">. Furthermore, it is considered an individual’s ability to regulate emotional responses and maintain composure in the face of stress, uncertainty, or unmet expectations </w:t>
      </w:r>
      <w:r w:rsidR="002B1DDD">
        <w:rPr>
          <w:color w:val="000000"/>
        </w:rPr>
        <w:t>(Gross, 1998)</w:t>
      </w:r>
      <w:r w:rsidRPr="005554CB">
        <w:rPr>
          <w:color w:val="000000"/>
        </w:rPr>
        <w:t>. It is closely linked to emotional regulation, cognitive flexibility, and aspects of emotional intelligence, particularly impulse control and frustration tolerance.</w:t>
      </w:r>
    </w:p>
    <w:p w14:paraId="608AD2F6" w14:textId="77777777" w:rsidR="00EA1C29" w:rsidRDefault="005554CB" w:rsidP="003C62CC">
      <w:pPr>
        <w:pBdr>
          <w:top w:val="nil"/>
          <w:left w:val="nil"/>
          <w:bottom w:val="nil"/>
          <w:right w:val="nil"/>
          <w:between w:val="nil"/>
        </w:pBdr>
        <w:spacing w:line="360" w:lineRule="auto"/>
        <w:rPr>
          <w:color w:val="000000"/>
        </w:rPr>
      </w:pPr>
      <w:r w:rsidRPr="005554CB">
        <w:rPr>
          <w:color w:val="000000"/>
        </w:rPr>
        <w:t>In surgical contexts, patience may manifest as (1) sustained focus during complex or prolonged procedures, (2) willingness to troubleshoot unexpected challenges methodically, and (3) avoidance of impulsive or emotionally driven decisions under pressure.</w:t>
      </w:r>
    </w:p>
    <w:p w14:paraId="4715C081" w14:textId="77777777" w:rsidR="00EA1C29" w:rsidRPr="00222482" w:rsidRDefault="00EA1C29" w:rsidP="00B00722">
      <w:pPr>
        <w:spacing w:before="240" w:line="360" w:lineRule="auto"/>
        <w:jc w:val="both"/>
        <w:divId w:val="1450515954"/>
        <w:rPr>
          <w:i/>
          <w:iCs/>
          <w:kern w:val="2"/>
          <w14:ligatures w14:val="standardContextual"/>
        </w:rPr>
      </w:pPr>
      <w:r w:rsidRPr="00222482">
        <w:rPr>
          <w:i/>
          <w:iCs/>
        </w:rPr>
        <w:t>A Triad of Psychological Theories</w:t>
      </w:r>
    </w:p>
    <w:p w14:paraId="2886F885" w14:textId="20B63D55" w:rsidR="00EA1C29" w:rsidRDefault="00EA1C29" w:rsidP="00354689">
      <w:pPr>
        <w:spacing w:line="360" w:lineRule="auto"/>
        <w:ind w:firstLine="720"/>
        <w:divId w:val="1450515954"/>
      </w:pPr>
      <w:r>
        <w:t xml:space="preserve">To conceptualise the intraoperative behavioural patterns observed in this study, and to consider theoretical bases for targeted psychological interventions, three psychological models were applied. The first of these is Albert Ellis’s Emotional Emotive Behavioural Therapy (REBT) </w:t>
      </w:r>
      <w:r w:rsidR="00202D98">
        <w:t>(Ellis</w:t>
      </w:r>
      <w:r w:rsidR="000B19BE">
        <w:t xml:space="preserve"> &amp; Ellis, 2014)</w:t>
      </w:r>
      <w:r>
        <w:t>. It is founded on the premise that emotional disturbances are largely a result of irrational beliefs rather than external events themselves. At the core of REBT is the ABC model, where A (Activating event) does not directly cause C (Consequence), but is mediated by B (Beliefs). A low frustration threshold (LFT), a key concept in REBT, arises from rigid, absolutist thinking, typically expressed as demands like “I must not be inconvenienced” or “Things must go my way”. These irrational beliefs foster intolerance to discomfort and adversity, leading individuals to perceive ordinary frustrations as unbearable, which in turn fuels emotional dysregulation and impulsive reactions.</w:t>
      </w:r>
    </w:p>
    <w:p w14:paraId="5CF8D01F" w14:textId="6D5E2B16" w:rsidR="00EA1C29" w:rsidRDefault="00EA1C29" w:rsidP="00354689">
      <w:pPr>
        <w:spacing w:line="360" w:lineRule="auto"/>
        <w:ind w:firstLine="720"/>
        <w:divId w:val="1450515954"/>
      </w:pPr>
      <w:r>
        <w:t xml:space="preserve">The second theoretical framework is Meichenbaum’s Stress Inoculation Training </w:t>
      </w:r>
      <w:r w:rsidR="00B72D6C">
        <w:t>(Meichenbaum, 2007)</w:t>
      </w:r>
      <w:r>
        <w:t xml:space="preserve">, a preventative cognitive-behavioural approach aimed at strengthening an </w:t>
      </w:r>
      <w:r>
        <w:lastRenderedPageBreak/>
        <w:t>individual’s resilience to stress. Stress inoculation training conceptualizes stress management as a skill that can be developed through a staged process: identifying personal stress responses, acquiring adaptive coping strategies (such as cognitive restructuring and relaxation), and applying these strategies under simulated or actual stress conditions. In the context of intraoperative temperament, Stress Inoculation Training suggests that surgeons can be trained to better tolerate frustration and emotional pressure, rather than assuming such traits are inherent or fixed. This aligns with our observation that emotionally dysregulated responses often stem not from the objective complexity of the case, but from a lack of anticipatory coping strategies when the surgery does not go as expected.</w:t>
      </w:r>
    </w:p>
    <w:p w14:paraId="5EFF28D3" w14:textId="48582C5F" w:rsidR="00B00722" w:rsidRDefault="00EA1C29" w:rsidP="00354689">
      <w:pPr>
        <w:pBdr>
          <w:top w:val="nil"/>
          <w:left w:val="nil"/>
          <w:bottom w:val="nil"/>
          <w:right w:val="nil"/>
          <w:between w:val="nil"/>
        </w:pBdr>
        <w:spacing w:line="360" w:lineRule="auto"/>
        <w:ind w:firstLine="720"/>
      </w:pPr>
      <w:r>
        <w:t>The third and final psychological framework combines the constructs of Emotional Intelligence (EI) and emotion regulation, drawing from the work of Arora et al.</w:t>
      </w:r>
      <w:r w:rsidR="00F06384">
        <w:t xml:space="preserve"> </w:t>
      </w:r>
      <w:r w:rsidR="003A16E3">
        <w:t>(</w:t>
      </w:r>
      <w:r w:rsidR="00F06384">
        <w:t>2010</w:t>
      </w:r>
      <w:r w:rsidR="003A16E3">
        <w:t>)</w:t>
      </w:r>
      <w:r>
        <w:t xml:space="preserve"> and Gross </w:t>
      </w:r>
      <w:r w:rsidR="00EC0C9A">
        <w:t>(2002)</w:t>
      </w:r>
      <w:r>
        <w:t>. Arora et al.</w:t>
      </w:r>
      <w:r w:rsidR="00C33DC8">
        <w:t>(2010)</w:t>
      </w:r>
      <w:r>
        <w:t xml:space="preserve"> emphasize that EI, defined as the ability to perceive, understand, and manage one’s own and others’ emotions, is increasingly recognized as a critical skill within the Accreditation Council for Graduate Medical Education (ACGME) competencies, particularly in domains such as professionalism, communication, and systems-based practice. High EI has been linked to improved clinical decision-making, teamwork, and stress management under pressure. Complementing this, Gross’s process model of emotion regulation distinguishes between antecedent-focused strategies (e.g., cognitive reappraisal) and response-focused strategies (e.g., suppression), highlighting how individuals modulate emotional responses at different stages of experience. Within the intraoperative setting, this framework explains how surgeons with higher EI and adaptive regulation strategies are better able to remain composed, reframe unexpected complications, and avoid escalation in environments with high clinical consequences. Conversely, those relying on maladaptive regulation (e.g., suppression or denial) may be more prone to frustration, impaired judgment, or interpersonal conflict. Together, these theories support the notion that temperament-related challenges in surgery are modifiable, psychological-based phenomena rather than immutable traits or a lack of technical skill. Moreover, patience serves as an “amplifier trait” that elevates surgeons who are able to utilise the technology effectively, to a level of surgical expertise.</w:t>
      </w:r>
    </w:p>
    <w:p w14:paraId="78099711" w14:textId="77777777" w:rsidR="00A02234" w:rsidRDefault="00A02234" w:rsidP="00A02234">
      <w:pPr>
        <w:pBdr>
          <w:top w:val="nil"/>
          <w:left w:val="nil"/>
          <w:bottom w:val="nil"/>
          <w:right w:val="nil"/>
          <w:between w:val="nil"/>
        </w:pBdr>
        <w:spacing w:line="360" w:lineRule="auto"/>
        <w:jc w:val="both"/>
      </w:pPr>
    </w:p>
    <w:p w14:paraId="09374D31" w14:textId="31FDF0A6" w:rsidR="003F2FB2" w:rsidRPr="003F2FB2" w:rsidRDefault="003F2FB2" w:rsidP="00282FEB">
      <w:pPr>
        <w:pBdr>
          <w:top w:val="nil"/>
          <w:left w:val="nil"/>
          <w:bottom w:val="nil"/>
          <w:right w:val="nil"/>
          <w:between w:val="nil"/>
        </w:pBdr>
        <w:spacing w:line="360" w:lineRule="auto"/>
        <w:jc w:val="both"/>
        <w:rPr>
          <w:b/>
          <w:bCs/>
          <w:i/>
          <w:iCs/>
        </w:rPr>
      </w:pPr>
      <w:r w:rsidRPr="003F2FB2">
        <w:rPr>
          <w:b/>
          <w:bCs/>
          <w:i/>
          <w:iCs/>
        </w:rPr>
        <w:t>Background: The Surgery</w:t>
      </w:r>
    </w:p>
    <w:p w14:paraId="29991822" w14:textId="48E405B4" w:rsidR="003F2FB2" w:rsidRDefault="003F2FB2" w:rsidP="00354689">
      <w:pPr>
        <w:pBdr>
          <w:top w:val="nil"/>
          <w:left w:val="nil"/>
          <w:bottom w:val="nil"/>
          <w:right w:val="nil"/>
          <w:between w:val="nil"/>
        </w:pBdr>
        <w:spacing w:line="360" w:lineRule="auto"/>
        <w:ind w:firstLine="720"/>
      </w:pPr>
      <w:r>
        <w:t xml:space="preserve">The emergence of patient-specific implants has transformed complex craniofacial surgery. These implants, designed from high-resolution imaging and fabricated through precise </w:t>
      </w:r>
      <w:r>
        <w:lastRenderedPageBreak/>
        <w:t xml:space="preserve">additive manufacturing (3D printing), offer a theoretical ideal: restoration of anatomical contour to within sub-millimetre tolerance, tailored to the unique defect and anatomy of the patient </w:t>
      </w:r>
      <w:r w:rsidR="00C74CC3">
        <w:t>(Vosloo, 2025)</w:t>
      </w:r>
      <w:r>
        <w:t>. In principle, PSIs should eliminate estimation and reduced variability, thereby offering greater predictability of outcomes. In practice, however, this promise is not always fulfilled. It must be conceded that PSIs do not always meet clinical expectations. This may occur due to a range of factors, broadly grouped into three categories: (1) overt errors in the virtual digital planning phase (e.g., the biomedical engineer neglecting soft tissue constraints, inadequate consideration of surgical access, or poorly segmented DICOM data); (2) anatomical changes in the patient due to delayed or postponed surgeries; and (3) technical failures or inaccuracies in the 3D printing process. Interestingly, in such cases, there is often consensus among the surgical team and acknowledgement by the design engineers during post-operative debriefings that an error has occurred. These meetings typically involve a comprehensive review of the virtual surgical planning process, including re-verification of the printed moulds, cutting guides, and biomodels, in an effort to identify the nature and stage at which the error was introduced.</w:t>
      </w:r>
    </w:p>
    <w:p w14:paraId="1743C892" w14:textId="2F601A1B" w:rsidR="00EE53AE" w:rsidRDefault="003F2FB2" w:rsidP="00354689">
      <w:pPr>
        <w:pBdr>
          <w:top w:val="nil"/>
          <w:left w:val="nil"/>
          <w:bottom w:val="nil"/>
          <w:right w:val="nil"/>
          <w:between w:val="nil"/>
        </w:pBdr>
        <w:spacing w:line="360" w:lineRule="auto"/>
      </w:pPr>
      <w:r>
        <w:tab/>
        <w:t xml:space="preserve">A further concession must be made to the reality that operating rooms are not always optimally prepared, nor are all staff adequately experienced or motivated, particularly in resource-constrained settings such as many South African </w:t>
      </w:r>
      <w:r w:rsidR="001127A3">
        <w:t xml:space="preserve">state </w:t>
      </w:r>
      <w:r>
        <w:t>hospitals. These conditions can create significant and legitimate frustration for surgeons, especially when compounded by the increasing pressure to meet administrative metrics of efficiency, throughput, and cost-effectiveness. However, while such stressors are acknowledged, they must not be allowed to compromise intraoperative temperament. Drawing on our earlier framing of patience as the capacity to tolerate delay and disruption without emotional dysregulation, we propose the concept of displaced impatience to describe the transference of frustration, originating from systemic inefficiencies, onto the surgical task or implant. When this occurs, the surgeon’s frustration threshold is lowered, increasing the risk of impulsive decisions or premature rejection of otherwise viable patient-specific solutions. This further under scores the importance of addressing low frustration tolerance in surgical professionals. We do not suggest that the operating suite can be free of stressors, but rather that surgical professionals develop the capacity to cognitively separate environmental stressors from procedural execution, thereby safeguarding surgical outcomes.</w:t>
      </w:r>
    </w:p>
    <w:p w14:paraId="2287E319" w14:textId="77777777" w:rsidR="00EE53AE" w:rsidRDefault="00EE53AE" w:rsidP="00B00722">
      <w:pPr>
        <w:pBdr>
          <w:top w:val="nil"/>
          <w:left w:val="nil"/>
          <w:bottom w:val="nil"/>
          <w:right w:val="nil"/>
          <w:between w:val="nil"/>
        </w:pBdr>
        <w:spacing w:line="360" w:lineRule="auto"/>
        <w:jc w:val="both"/>
      </w:pPr>
    </w:p>
    <w:p w14:paraId="0C1AF331" w14:textId="77777777" w:rsidR="004C4182" w:rsidRDefault="004C4182" w:rsidP="00EE53AE">
      <w:pPr>
        <w:pBdr>
          <w:top w:val="nil"/>
          <w:left w:val="nil"/>
          <w:bottom w:val="nil"/>
          <w:right w:val="nil"/>
          <w:between w:val="nil"/>
        </w:pBdr>
        <w:spacing w:line="360" w:lineRule="auto"/>
        <w:jc w:val="center"/>
        <w:rPr>
          <w:b/>
          <w:bCs/>
        </w:rPr>
      </w:pPr>
      <w:r w:rsidRPr="004C4182">
        <w:rPr>
          <w:b/>
          <w:bCs/>
        </w:rPr>
        <w:lastRenderedPageBreak/>
        <w:t>Limitations</w:t>
      </w:r>
    </w:p>
    <w:p w14:paraId="069430A9" w14:textId="77777777" w:rsidR="00A03966" w:rsidRPr="00DA409F" w:rsidRDefault="00A03966" w:rsidP="006D3518">
      <w:pPr>
        <w:pBdr>
          <w:top w:val="nil"/>
          <w:left w:val="nil"/>
          <w:bottom w:val="nil"/>
          <w:right w:val="nil"/>
          <w:between w:val="nil"/>
        </w:pBdr>
        <w:spacing w:line="360" w:lineRule="auto"/>
      </w:pPr>
      <w:r>
        <w:rPr>
          <w:b/>
          <w:bCs/>
        </w:rPr>
        <w:tab/>
      </w:r>
      <w:r w:rsidRPr="00DA409F">
        <w:t xml:space="preserve">This study has several limitations that should be acknowledged. First, the use of a qualitative methodology, while appropriate for exploring intraoperative temperament and psychosocial dynamics, is inherently limited in terms of generalizability. Unlike traditional surgical research, which often relies on quantitative metrics and standardized outcome measures, qualitative research emphasizes contextual understanding and depth of insight. As such, the findings are exploratory and hypothesis-generating rather than conclusive. </w:t>
      </w:r>
    </w:p>
    <w:p w14:paraId="7E1B7ECF" w14:textId="77777777" w:rsidR="00A03966" w:rsidRPr="00DA409F" w:rsidRDefault="00A03966" w:rsidP="006D3518">
      <w:pPr>
        <w:pBdr>
          <w:top w:val="nil"/>
          <w:left w:val="nil"/>
          <w:bottom w:val="nil"/>
          <w:right w:val="nil"/>
          <w:between w:val="nil"/>
        </w:pBdr>
        <w:spacing w:line="360" w:lineRule="auto"/>
        <w:ind w:firstLine="720"/>
      </w:pPr>
      <w:r w:rsidRPr="00DA409F">
        <w:t>Second, the study draws on subjective accounts from various members of the surgical team, including surgeons, surgical assistants, surgical technologists, and biomedical engineers. While this triangulation enhances credibility, the perspectives shared remain experiential and may not fully capture the internal emotional or cognitive states of the surgeon during high-stress intraoperative scenarios.</w:t>
      </w:r>
    </w:p>
    <w:p w14:paraId="7FDCCCF9" w14:textId="77777777" w:rsidR="00A03966" w:rsidRPr="00DA409F" w:rsidRDefault="00A03966" w:rsidP="006D3518">
      <w:pPr>
        <w:pBdr>
          <w:top w:val="nil"/>
          <w:left w:val="nil"/>
          <w:bottom w:val="nil"/>
          <w:right w:val="nil"/>
          <w:between w:val="nil"/>
        </w:pBdr>
        <w:spacing w:line="360" w:lineRule="auto"/>
        <w:ind w:firstLine="720"/>
      </w:pPr>
      <w:r w:rsidRPr="00DA409F">
        <w:t>Third, while this study draws on established psychological frameworks such as Rational Emotive Behaviour Therapy, emotional regulation theory, and Stress Inoculation Training, these models were applied retrospectively and interpretively. Moreover, the concept of displaced frustration was derived from direct behavioural observation and thematic coding rather than formal psychological testing.</w:t>
      </w:r>
    </w:p>
    <w:p w14:paraId="54B05D5F" w14:textId="325437E8" w:rsidR="00A03966" w:rsidRPr="00DA409F" w:rsidRDefault="00A03966" w:rsidP="006D3518">
      <w:pPr>
        <w:pBdr>
          <w:top w:val="nil"/>
          <w:left w:val="nil"/>
          <w:bottom w:val="nil"/>
          <w:right w:val="nil"/>
          <w:between w:val="nil"/>
        </w:pBdr>
        <w:spacing w:line="360" w:lineRule="auto"/>
        <w:ind w:firstLine="720"/>
      </w:pPr>
      <w:r w:rsidRPr="00DA409F">
        <w:t xml:space="preserve">Fourth, patient outcomes were not included as part of the study design. While this research </w:t>
      </w:r>
      <w:r w:rsidR="003832CE">
        <w:t xml:space="preserve">in part </w:t>
      </w:r>
      <w:r w:rsidRPr="00DA409F">
        <w:t>focused on understanding surgeon temperament and its effects on intraoperative decision-making, future studies could explore whether and how emotional regulation and frustration tolerance may correlate with objective surgical outcomes, such as complication rates or implant success.</w:t>
      </w:r>
    </w:p>
    <w:p w14:paraId="4A93AA2D" w14:textId="77777777" w:rsidR="00FF08F0" w:rsidRDefault="00A03966" w:rsidP="006D3518">
      <w:pPr>
        <w:pBdr>
          <w:top w:val="nil"/>
          <w:left w:val="nil"/>
          <w:bottom w:val="nil"/>
          <w:right w:val="nil"/>
          <w:between w:val="nil"/>
        </w:pBdr>
        <w:spacing w:line="360" w:lineRule="auto"/>
        <w:ind w:firstLine="720"/>
      </w:pPr>
      <w:r w:rsidRPr="00DA409F">
        <w:t>Finally, thematic analysis, while methodologically sound, remains interpretive. Despite the use of independent coders and iterative review, the identification and framing of themes were necessarily shaped by the researchers' perspectives and disciplinary backgrounds.</w:t>
      </w:r>
    </w:p>
    <w:p w14:paraId="4282519E" w14:textId="77777777" w:rsidR="00FF08F0" w:rsidRDefault="00FF08F0" w:rsidP="00185D94">
      <w:pPr>
        <w:pBdr>
          <w:top w:val="nil"/>
          <w:left w:val="nil"/>
          <w:bottom w:val="nil"/>
          <w:right w:val="nil"/>
          <w:between w:val="nil"/>
        </w:pBdr>
        <w:spacing w:line="360" w:lineRule="auto"/>
        <w:ind w:firstLine="720"/>
        <w:jc w:val="both"/>
      </w:pPr>
    </w:p>
    <w:p w14:paraId="0E430498" w14:textId="77777777" w:rsidR="004015AF" w:rsidRDefault="00FF08F0" w:rsidP="00FF08F0">
      <w:pPr>
        <w:pBdr>
          <w:top w:val="nil"/>
          <w:left w:val="nil"/>
          <w:bottom w:val="nil"/>
          <w:right w:val="nil"/>
          <w:between w:val="nil"/>
        </w:pBdr>
        <w:spacing w:line="360" w:lineRule="auto"/>
        <w:ind w:firstLine="720"/>
        <w:jc w:val="center"/>
      </w:pPr>
      <w:r>
        <w:rPr>
          <w:b/>
          <w:bCs/>
        </w:rPr>
        <w:t>Future</w:t>
      </w:r>
      <w:r w:rsidR="004015AF">
        <w:rPr>
          <w:b/>
          <w:bCs/>
        </w:rPr>
        <w:t xml:space="preserve"> </w:t>
      </w:r>
      <w:r>
        <w:rPr>
          <w:b/>
          <w:bCs/>
        </w:rPr>
        <w:t>directions</w:t>
      </w:r>
    </w:p>
    <w:p w14:paraId="3AB92F70" w14:textId="0374A53F" w:rsidR="0024676B" w:rsidRDefault="0024676B" w:rsidP="00653CE0">
      <w:pPr>
        <w:pBdr>
          <w:top w:val="nil"/>
          <w:left w:val="nil"/>
          <w:bottom w:val="nil"/>
          <w:right w:val="nil"/>
          <w:between w:val="nil"/>
        </w:pBdr>
        <w:spacing w:line="360" w:lineRule="auto"/>
        <w:ind w:firstLine="720"/>
      </w:pPr>
      <w:r>
        <w:t xml:space="preserve">Before definitive interventions can be developed or implemented based on the observations presented here, further research is required to transition from this hypothesis-generating study to a formal, quantitatively grounded investigation. Broad adoption of any proposed strategies will depend on such progression. Subsequent studies should focus on the operationalisation of the key psychological constructs of frustration tolerance, cognitive </w:t>
      </w:r>
      <w:r>
        <w:lastRenderedPageBreak/>
        <w:t>flexibility, emotional regulation, and transferred impatience, and incorporate validated psychometric instruments to enable systematic psychological profiling and scoring. A notable limitation of the present study was the exclusion of direct patient outcomes. Future work should therefore explore potential associations between surgeon temperament, particularly in the context of utilising novel technologies, and clinical outcomes such as complication rates, implant revision, and long-term patient satisfaction.</w:t>
      </w:r>
    </w:p>
    <w:p w14:paraId="3CA2B707" w14:textId="77777777" w:rsidR="0024676B" w:rsidRDefault="0024676B" w:rsidP="004015AF">
      <w:pPr>
        <w:pBdr>
          <w:top w:val="nil"/>
          <w:left w:val="nil"/>
          <w:bottom w:val="nil"/>
          <w:right w:val="nil"/>
          <w:between w:val="nil"/>
        </w:pBdr>
        <w:spacing w:line="360" w:lineRule="auto"/>
        <w:ind w:firstLine="720"/>
        <w:jc w:val="both"/>
      </w:pPr>
    </w:p>
    <w:p w14:paraId="079C749B" w14:textId="77777777" w:rsidR="008C6ACF" w:rsidRDefault="008C6ACF" w:rsidP="008C6ACF">
      <w:pPr>
        <w:pBdr>
          <w:top w:val="nil"/>
          <w:left w:val="nil"/>
          <w:bottom w:val="nil"/>
          <w:right w:val="nil"/>
          <w:between w:val="nil"/>
        </w:pBdr>
        <w:spacing w:line="360" w:lineRule="auto"/>
        <w:ind w:firstLine="720"/>
        <w:jc w:val="center"/>
      </w:pPr>
      <w:r>
        <w:rPr>
          <w:b/>
          <w:bCs/>
        </w:rPr>
        <w:t>Conclusion</w:t>
      </w:r>
    </w:p>
    <w:p w14:paraId="1F2FFFB2" w14:textId="20FF7693" w:rsidR="00E24FAD" w:rsidRDefault="00E24FAD" w:rsidP="00653CE0">
      <w:pPr>
        <w:pBdr>
          <w:top w:val="nil"/>
          <w:left w:val="nil"/>
          <w:bottom w:val="nil"/>
          <w:right w:val="nil"/>
          <w:between w:val="nil"/>
        </w:pBdr>
        <w:spacing w:line="360" w:lineRule="auto"/>
        <w:ind w:firstLine="720"/>
      </w:pPr>
      <w:r>
        <w:t>This report underscores the critical role of psychological temperament, particularly mental preparedness and a high frustration tolerance threshold, in the successful application of high-fidelity patient-specific implants. Among the traits explored, mental preparedness—as conceptualised in Stress Inoculation Training—may represent the most psychologically salient determinant of intraoperative performance, particularly in scenarios where surgical complexity of patient-specific implant solutions has been underestimated. This may be addressed by manufacturing agents marketing these devices responsibly, giving the surgeon realistic expectations. Furthermore, while experienced surgeons have referred to patient-specific implant use as “surgery by numbers”, a reductive comparison to “paint-by-numbers” art kits for children, this analogy does little to prepare less experienced surgeons for the often deceptively complex nature of these surgeries. This emphasises the role of responsible mentorship at training institutions in guiding the adoption of novel technologies in surgery.</w:t>
      </w:r>
    </w:p>
    <w:p w14:paraId="0F71083D" w14:textId="77777777" w:rsidR="00E24FAD" w:rsidRDefault="00E24FAD" w:rsidP="00653CE0">
      <w:pPr>
        <w:pBdr>
          <w:top w:val="nil"/>
          <w:left w:val="nil"/>
          <w:bottom w:val="nil"/>
          <w:right w:val="nil"/>
          <w:between w:val="nil"/>
        </w:pBdr>
        <w:spacing w:line="360" w:lineRule="auto"/>
        <w:ind w:firstLine="720"/>
      </w:pPr>
      <w:r>
        <w:t xml:space="preserve">In this context, the implication is uncomfortable, but important: patience is not a passive or optional soft skill, but an active, functional component of PSI-based surgery. It serves as the psychological bridge between design accuracy and real-world clinical excellence. Without it, the benefits of digital planning and additive manufacturing risk being undermined by human behaviour in the operating room. The findings suggest that patience, plays a central role in the safe and effective implementation of PSI surgery. </w:t>
      </w:r>
    </w:p>
    <w:p w14:paraId="2834B8A2" w14:textId="20EF0ED1" w:rsidR="004F0737" w:rsidRPr="004C4182" w:rsidRDefault="00E24FAD" w:rsidP="00653CE0">
      <w:pPr>
        <w:pBdr>
          <w:top w:val="nil"/>
          <w:left w:val="nil"/>
          <w:bottom w:val="nil"/>
          <w:right w:val="nil"/>
          <w:between w:val="nil"/>
        </w:pBdr>
        <w:spacing w:line="360" w:lineRule="auto"/>
        <w:ind w:firstLine="720"/>
        <w:rPr>
          <w:b/>
          <w:bCs/>
          <w:color w:val="000000"/>
        </w:rPr>
      </w:pPr>
      <w:r>
        <w:t xml:space="preserve">A particularly concerning observation emerged from two separate instances in which highly experienced surgeons, including a plastic and reconstructive surgeon and a neurosurgeon, attempted to break the patient-specific implant out of frustration when difficulties arose. These actions were not reflective of implant design failure but rather a breakdown in intraoperative temperament and systems thinking. Most alarmingly, the actions were taken without full awareness of alternative solutions available within the surgical workflow or operating room. In </w:t>
      </w:r>
      <w:r>
        <w:lastRenderedPageBreak/>
        <w:t xml:space="preserve">such cases, patient safety was directly compromised, highlighting the gravity of temperament-related behaviours. These behaviours, while isolated and representing only 2.3% of our sample, </w:t>
      </w:r>
      <w:r w:rsidR="00FB4430">
        <w:t xml:space="preserve">nonetheless </w:t>
      </w:r>
      <w:r>
        <w:t xml:space="preserve">signal an emergent area of concern that warrants further research and </w:t>
      </w:r>
      <w:r w:rsidR="00CF37D5">
        <w:t>psychological</w:t>
      </w:r>
      <w:r>
        <w:t xml:space="preserve"> intervention. Further research is required to inform the development of </w:t>
      </w:r>
      <w:r w:rsidR="00B042F5">
        <w:t>surgical</w:t>
      </w:r>
      <w:r w:rsidR="00D82B80">
        <w:t xml:space="preserve"> </w:t>
      </w:r>
      <w:r>
        <w:t xml:space="preserve">training programs that screen for low frustration tolerance and prioritise cognitive and emotional preparedness as essential psychological components. Surgeons should be supported, not only in technical training, but in developing the cognitive resilience necessary to navigate unanticipated challenges without compromising the very technology designed to enhance </w:t>
      </w:r>
      <w:r w:rsidR="009C5D12" w:rsidRPr="00806E2E">
        <w:t>surgical</w:t>
      </w:r>
      <w:r>
        <w:t xml:space="preserve"> outcomes.</w:t>
      </w:r>
      <w:r w:rsidR="00B77F2E" w:rsidRPr="004C4182">
        <w:rPr>
          <w:b/>
          <w:bCs/>
        </w:rPr>
        <w:br w:type="page"/>
      </w:r>
    </w:p>
    <w:p w14:paraId="099BD674" w14:textId="77777777" w:rsidR="004F0737" w:rsidRDefault="00B77F2E">
      <w:pPr>
        <w:pBdr>
          <w:top w:val="nil"/>
          <w:left w:val="nil"/>
          <w:bottom w:val="nil"/>
          <w:right w:val="nil"/>
          <w:between w:val="nil"/>
        </w:pBdr>
        <w:jc w:val="center"/>
        <w:rPr>
          <w:b/>
          <w:color w:val="000000"/>
        </w:rPr>
      </w:pPr>
      <w:r>
        <w:rPr>
          <w:b/>
          <w:color w:val="000000"/>
        </w:rPr>
        <w:lastRenderedPageBreak/>
        <w:t>References</w:t>
      </w:r>
    </w:p>
    <w:p w14:paraId="49D1C6D9" w14:textId="77777777" w:rsidR="00D23E78" w:rsidRDefault="00D23E78">
      <w:pPr>
        <w:ind w:left="720" w:hanging="720"/>
        <w:jc w:val="both"/>
      </w:pPr>
    </w:p>
    <w:p w14:paraId="4680A842" w14:textId="77777777" w:rsidR="00D23E78" w:rsidRDefault="00D23E78">
      <w:pPr>
        <w:ind w:left="720" w:hanging="720"/>
        <w:jc w:val="both"/>
      </w:pPr>
    </w:p>
    <w:p w14:paraId="416614A4" w14:textId="00F2B789" w:rsidR="00220FE7" w:rsidRDefault="00220FE7" w:rsidP="00793D7F">
      <w:pPr>
        <w:ind w:left="720" w:hanging="720"/>
        <w:jc w:val="both"/>
      </w:pPr>
      <w:r w:rsidRPr="00220FE7">
        <w:t>Arora, S., Ashrafian, H., Davis, R., Athanasiou, T., Darzi, A., &amp; Sevdalis, N. (2010). Emotional intelligence in medicine: a systematic review through the context of the ACGME competencies. </w:t>
      </w:r>
      <w:r w:rsidRPr="00F83B30">
        <w:rPr>
          <w:i/>
          <w:iCs/>
        </w:rPr>
        <w:t>Medical education, 44</w:t>
      </w:r>
      <w:r w:rsidRPr="00220FE7">
        <w:t>(8), 749–764. https://doi.org/10.1111/j.1365-2923.2010.03709.x</w:t>
      </w:r>
    </w:p>
    <w:p w14:paraId="32BBCD7E" w14:textId="7A77B531" w:rsidR="005D4240" w:rsidRDefault="00B77F2E" w:rsidP="00793D7F">
      <w:pPr>
        <w:ind w:left="720" w:hanging="720"/>
        <w:jc w:val="both"/>
      </w:pPr>
      <w:r>
        <w:t xml:space="preserve">CIOMS, OMS &amp; OPS (2016). Pautas éticas internacionales para la investigación relacionada con la salud con seres humanos. Retrieved from </w:t>
      </w:r>
      <w:hyperlink r:id="rId14">
        <w:r>
          <w:rPr>
            <w:color w:val="0000FF"/>
            <w:u w:val="single"/>
          </w:rPr>
          <w:t>https://cioms.ch/wp-content/uploads/2017/12/CIOMS-EthicalGuideline_SP_INTERIOR-FINAL.pdf</w:t>
        </w:r>
      </w:hyperlink>
      <w:r>
        <w:t xml:space="preserve"> </w:t>
      </w:r>
    </w:p>
    <w:p w14:paraId="7D039577" w14:textId="5D6F225E" w:rsidR="00491225" w:rsidRDefault="00711527" w:rsidP="00793D7F">
      <w:pPr>
        <w:ind w:left="720" w:hanging="720"/>
        <w:jc w:val="both"/>
      </w:pPr>
      <w:r w:rsidRPr="00711527">
        <w:t>Dryden, W., &amp; Bond, F. W. (1994). Reason and emotion in psychotherapy: Albert Ellis. </w:t>
      </w:r>
      <w:r w:rsidRPr="000E4205">
        <w:rPr>
          <w:i/>
          <w:iCs/>
        </w:rPr>
        <w:t>The British journal of psychiatry : the journal of mental science, 165</w:t>
      </w:r>
      <w:r w:rsidRPr="00711527">
        <w:t xml:space="preserve">(1), 131–135. </w:t>
      </w:r>
      <w:hyperlink r:id="rId15" w:history="1">
        <w:r w:rsidR="009644F1" w:rsidRPr="003E0D20">
          <w:rPr>
            <w:rStyle w:val="Hyperlink"/>
          </w:rPr>
          <w:t>https://doi.org/10.1192/bjp.165.1.131</w:t>
        </w:r>
      </w:hyperlink>
    </w:p>
    <w:p w14:paraId="207D8EE1" w14:textId="0B866869" w:rsidR="001369BB" w:rsidRDefault="001369BB" w:rsidP="00793D7F">
      <w:pPr>
        <w:ind w:left="720" w:hanging="720"/>
        <w:jc w:val="both"/>
      </w:pPr>
      <w:r w:rsidRPr="001369BB">
        <w:t>Ellis, A., &amp; Ellis, D. J. (2014). Rational emotive behavior therapy. In G. R. VandenBos, E. Meidenbauer, &amp; J. Frank-McNeil (Eds.), </w:t>
      </w:r>
      <w:r w:rsidRPr="001F797D">
        <w:rPr>
          <w:i/>
          <w:iCs/>
        </w:rPr>
        <w:t>Psychotherapy theories and techniques: A reader </w:t>
      </w:r>
      <w:r w:rsidRPr="001369BB">
        <w:t>(pp. 289–298). American Psychological Association. </w:t>
      </w:r>
      <w:hyperlink r:id="rId16" w:history="1">
        <w:r w:rsidR="009644F1" w:rsidRPr="003E0D20">
          <w:rPr>
            <w:rStyle w:val="Hyperlink"/>
          </w:rPr>
          <w:t>https://doi.org/10.1037/14295-031</w:t>
        </w:r>
      </w:hyperlink>
    </w:p>
    <w:p w14:paraId="56359B9A" w14:textId="0E280115" w:rsidR="00305080" w:rsidRDefault="005B51B8" w:rsidP="00A04B36">
      <w:pPr>
        <w:ind w:left="720" w:hanging="720"/>
        <w:jc w:val="both"/>
      </w:pPr>
      <w:r w:rsidRPr="005B51B8">
        <w:t>Ellis, A., Gordon, J., Neenan, M., &amp; Palmer, S. (2001). </w:t>
      </w:r>
      <w:r w:rsidRPr="00AA6409">
        <w:rPr>
          <w:i/>
          <w:iCs/>
        </w:rPr>
        <w:t>Stress counselling: A rational emotive behaviour approach.</w:t>
      </w:r>
      <w:r w:rsidRPr="005B51B8">
        <w:t xml:space="preserve"> SAGE Publications Ltd, </w:t>
      </w:r>
      <w:hyperlink r:id="rId17" w:history="1">
        <w:r w:rsidR="00305080" w:rsidRPr="003E0D20">
          <w:rPr>
            <w:rStyle w:val="Hyperlink"/>
          </w:rPr>
          <w:t>https://doi.org/10.4135/9781446217696</w:t>
        </w:r>
      </w:hyperlink>
    </w:p>
    <w:p w14:paraId="69B5F68B" w14:textId="2FBE2BFE" w:rsidR="00205408" w:rsidRDefault="00D205E2" w:rsidP="00A04B36">
      <w:pPr>
        <w:ind w:left="720" w:hanging="720"/>
        <w:jc w:val="both"/>
      </w:pPr>
      <w:r w:rsidRPr="00D205E2">
        <w:t>Elo, S., &amp; Kyngäs, H. (2008). The qualitative content analysis process. </w:t>
      </w:r>
      <w:r w:rsidRPr="00CB6ED6">
        <w:rPr>
          <w:i/>
          <w:iCs/>
        </w:rPr>
        <w:t>Journal of advanced nursing,</w:t>
      </w:r>
      <w:r w:rsidRPr="00D205E2">
        <w:t xml:space="preserve"> 62(1), 107–115. </w:t>
      </w:r>
      <w:hyperlink r:id="rId18" w:history="1">
        <w:r w:rsidRPr="003E0D20">
          <w:rPr>
            <w:rStyle w:val="Hyperlink"/>
          </w:rPr>
          <w:t>https://doi.org/10.1111/j.1365-2648.2007.04569.x</w:t>
        </w:r>
      </w:hyperlink>
    </w:p>
    <w:p w14:paraId="5878D77E" w14:textId="2DAA6CF1" w:rsidR="009644F1" w:rsidRDefault="001A7343" w:rsidP="00A04B36">
      <w:pPr>
        <w:ind w:left="720" w:hanging="720"/>
        <w:jc w:val="both"/>
      </w:pPr>
      <w:r w:rsidRPr="001A7343">
        <w:t>Flick, U. (2014). </w:t>
      </w:r>
      <w:r w:rsidRPr="001A7343">
        <w:rPr>
          <w:i/>
          <w:iCs/>
        </w:rPr>
        <w:t>The SAGE handbook of qualitative data analysis.</w:t>
      </w:r>
      <w:r w:rsidRPr="001A7343">
        <w:t xml:space="preserve"> (Vols. 1-0). SAGE Publications Ltd, </w:t>
      </w:r>
      <w:hyperlink r:id="rId19" w:history="1">
        <w:r w:rsidRPr="003E0D20">
          <w:rPr>
            <w:rStyle w:val="Hyperlink"/>
          </w:rPr>
          <w:t>https://doi.org/10.4135/9781446282243</w:t>
        </w:r>
      </w:hyperlink>
    </w:p>
    <w:p w14:paraId="7E34FFD5" w14:textId="7E221FD4" w:rsidR="008501D5" w:rsidRDefault="008E08F8" w:rsidP="00A04B36">
      <w:pPr>
        <w:ind w:left="720" w:hanging="720"/>
        <w:jc w:val="both"/>
      </w:pPr>
      <w:r w:rsidRPr="008E08F8">
        <w:t>Gross, J. J. (1998). The emerging field of emotion regulation: An integrative review. </w:t>
      </w:r>
      <w:r w:rsidRPr="008E08F8">
        <w:rPr>
          <w:i/>
          <w:iCs/>
        </w:rPr>
        <w:t>Review of General Psychology,</w:t>
      </w:r>
      <w:r w:rsidRPr="008E08F8">
        <w:t xml:space="preserve"> 2(3), 271–299. </w:t>
      </w:r>
      <w:hyperlink r:id="rId20" w:history="1">
        <w:r w:rsidRPr="003E0D20">
          <w:rPr>
            <w:rStyle w:val="Hyperlink"/>
          </w:rPr>
          <w:t>https://doi.org/10.1037/1089-2680.2.3.271</w:t>
        </w:r>
      </w:hyperlink>
    </w:p>
    <w:p w14:paraId="66F4352C" w14:textId="7E2C16C0" w:rsidR="008E08F8" w:rsidRDefault="008501D5" w:rsidP="00A04B36">
      <w:pPr>
        <w:ind w:left="720" w:hanging="720"/>
        <w:jc w:val="both"/>
      </w:pPr>
      <w:r w:rsidRPr="008501D5">
        <w:t>Gross J. J. (2002). Emotion regulation: affective, cognitive, and social consequences. </w:t>
      </w:r>
      <w:r w:rsidRPr="00DE72A7">
        <w:rPr>
          <w:i/>
          <w:iCs/>
        </w:rPr>
        <w:t>Psychophysiology,</w:t>
      </w:r>
      <w:r w:rsidRPr="008501D5">
        <w:t xml:space="preserve"> 39(3), 281–291. </w:t>
      </w:r>
      <w:hyperlink r:id="rId21" w:history="1">
        <w:r w:rsidRPr="003E0D20">
          <w:rPr>
            <w:rStyle w:val="Hyperlink"/>
          </w:rPr>
          <w:t>https://doi.org/10.1017/s0048577201393198</w:t>
        </w:r>
      </w:hyperlink>
    </w:p>
    <w:p w14:paraId="7D6FD825" w14:textId="7C71C4FF" w:rsidR="00491225" w:rsidRDefault="00B77F2E" w:rsidP="00A04B36">
      <w:pPr>
        <w:ind w:left="720" w:hanging="720"/>
        <w:jc w:val="both"/>
      </w:pPr>
      <w:r>
        <w:t xml:space="preserve">IAAP &amp; IUPsyS (2008). Universal Declaration of Ethical Principles for Psychologists. Available from the International Union of Psychological Science Web site: </w:t>
      </w:r>
      <w:hyperlink r:id="rId22">
        <w:r>
          <w:rPr>
            <w:color w:val="0000FF"/>
            <w:u w:val="single"/>
          </w:rPr>
          <w:t>https://www.iupsys.net/about/governance/universal-declaration-of-ethical-principles-for-psychologists.html</w:t>
        </w:r>
      </w:hyperlink>
      <w:r>
        <w:t xml:space="preserve"> </w:t>
      </w:r>
    </w:p>
    <w:p w14:paraId="66F257F3" w14:textId="339F7794" w:rsidR="00491225" w:rsidRDefault="00B77F2E" w:rsidP="00A04B36">
      <w:pPr>
        <w:ind w:left="720" w:hanging="720"/>
        <w:jc w:val="both"/>
      </w:pPr>
      <w:r>
        <w:t xml:space="preserve">ISP (1978). Resolución sobre la práctica psicológica y los derechos humanos. Revista Latinoamericana de Psicología, 10(2), 298-299. </w:t>
      </w:r>
      <w:hyperlink r:id="rId23">
        <w:r>
          <w:rPr>
            <w:color w:val="0000FF"/>
            <w:u w:val="single"/>
          </w:rPr>
          <w:t>http://doi.org/10.333.23rlp10i2.298-299</w:t>
        </w:r>
      </w:hyperlink>
      <w:r>
        <w:t xml:space="preserve"> </w:t>
      </w:r>
    </w:p>
    <w:p w14:paraId="77A9845D" w14:textId="07BB35DF" w:rsidR="00491225" w:rsidRDefault="00B77F2E" w:rsidP="00A04B36">
      <w:pPr>
        <w:ind w:left="720" w:hanging="720"/>
        <w:jc w:val="both"/>
      </w:pPr>
      <w:r>
        <w:t xml:space="preserve">ISP (2008a). Declaración de la Mesa Directiva de la SIP sobre Terápias de Conversión. Retrieved from </w:t>
      </w:r>
      <w:hyperlink r:id="rId24">
        <w:r>
          <w:rPr>
            <w:color w:val="0000FF"/>
            <w:u w:val="single"/>
          </w:rPr>
          <w:t>https://archive.org/details/sip-2008a-declaracion-sobre-terapias-de-conversion</w:t>
        </w:r>
      </w:hyperlink>
      <w:r>
        <w:t xml:space="preserve"> </w:t>
      </w:r>
    </w:p>
    <w:p w14:paraId="08C04125" w14:textId="340E5BF8" w:rsidR="00491225" w:rsidRDefault="00B77F2E" w:rsidP="00A04B36">
      <w:pPr>
        <w:ind w:left="720" w:hanging="720"/>
        <w:jc w:val="both"/>
      </w:pPr>
      <w:r>
        <w:t xml:space="preserve">ISP (2008b). Consideraciones Éticas de la SIP. Retrieved from </w:t>
      </w:r>
      <w:hyperlink r:id="rId25">
        <w:r>
          <w:rPr>
            <w:color w:val="0000FF"/>
            <w:u w:val="single"/>
          </w:rPr>
          <w:t>https://archive.org/details/sip-2008b-declaracion-sobre-principios-eticos</w:t>
        </w:r>
      </w:hyperlink>
      <w:r>
        <w:t xml:space="preserve"> </w:t>
      </w:r>
    </w:p>
    <w:p w14:paraId="751CAAB8" w14:textId="25EAF62A" w:rsidR="00491225" w:rsidRDefault="00B77F2E" w:rsidP="00A04B36">
      <w:pPr>
        <w:ind w:left="720" w:hanging="720"/>
        <w:jc w:val="both"/>
      </w:pPr>
      <w:r>
        <w:t xml:space="preserve">ISP (2014). Declaración de la SIP sobre Refugiados menores de edad en tránsito a los Estados Unidos. Retrieved from </w:t>
      </w:r>
      <w:hyperlink r:id="rId26">
        <w:r>
          <w:rPr>
            <w:color w:val="0000FF"/>
            <w:u w:val="single"/>
          </w:rPr>
          <w:t>https://archive.org/details/sip-2014-declaracion-sobre-ninos-migrantes-en-centro-america</w:t>
        </w:r>
      </w:hyperlink>
      <w:r>
        <w:t xml:space="preserve"> </w:t>
      </w:r>
    </w:p>
    <w:p w14:paraId="1837261F" w14:textId="77777777" w:rsidR="004F0737" w:rsidRDefault="00B77F2E">
      <w:pPr>
        <w:ind w:left="720" w:hanging="720"/>
        <w:jc w:val="both"/>
      </w:pPr>
      <w:r>
        <w:t xml:space="preserve">ISP (2016). Declaración de la SIP de apoyo a psicólogas y psicólogos colombianos que promueven los acuerdos de paz. Retrieved from </w:t>
      </w:r>
      <w:hyperlink r:id="rId27">
        <w:r>
          <w:rPr>
            <w:color w:val="0000FF"/>
            <w:u w:val="single"/>
          </w:rPr>
          <w:t>https://archive.org/details/sip-2016-declaracion-apoyo-a-acuerdos-de-paz-en-colombia</w:t>
        </w:r>
      </w:hyperlink>
      <w:r>
        <w:t xml:space="preserve"> </w:t>
      </w:r>
    </w:p>
    <w:p w14:paraId="16BE21DF" w14:textId="77777777" w:rsidR="004F0737" w:rsidRDefault="00B77F2E">
      <w:pPr>
        <w:ind w:left="720" w:hanging="720"/>
        <w:jc w:val="both"/>
      </w:pPr>
      <w:r>
        <w:t xml:space="preserve">ISP (2018). Position Statement of the Inter-American Psychological Society (SIP). Retrieved from </w:t>
      </w:r>
      <w:hyperlink r:id="rId28">
        <w:r>
          <w:rPr>
            <w:color w:val="0000FF"/>
            <w:u w:val="single"/>
          </w:rPr>
          <w:t>https://archive.org/details/sip-2018-position-statement-on-immigration</w:t>
        </w:r>
      </w:hyperlink>
      <w:r>
        <w:t xml:space="preserve"> </w:t>
      </w:r>
    </w:p>
    <w:p w14:paraId="71316412" w14:textId="77777777" w:rsidR="00491225" w:rsidRDefault="00491225">
      <w:pPr>
        <w:ind w:left="720" w:hanging="720"/>
        <w:jc w:val="both"/>
      </w:pPr>
    </w:p>
    <w:p w14:paraId="15D76029" w14:textId="41F25E28" w:rsidR="00A445DC" w:rsidRDefault="00B77F2E" w:rsidP="00A04B36">
      <w:pPr>
        <w:ind w:left="720" w:hanging="720"/>
        <w:jc w:val="both"/>
      </w:pPr>
      <w:r>
        <w:lastRenderedPageBreak/>
        <w:t xml:space="preserve">ISP (2019). Declaración de la SIP sobre experticia de psicólogas y psicólogos en el campo de la salud mental y las ciencias del comportamiento. Retrieved from </w:t>
      </w:r>
      <w:hyperlink r:id="rId29">
        <w:r>
          <w:rPr>
            <w:color w:val="0000FF"/>
            <w:u w:val="single"/>
          </w:rPr>
          <w:t>https://archive.org/details/sip-2019-declaracion-experticia-en-salud-mental</w:t>
        </w:r>
      </w:hyperlink>
      <w:r>
        <w:t xml:space="preserve"> </w:t>
      </w:r>
    </w:p>
    <w:p w14:paraId="3BFD3CF9" w14:textId="0A130784" w:rsidR="00703A38" w:rsidRDefault="00102F23" w:rsidP="00A04B36">
      <w:pPr>
        <w:ind w:left="720" w:hanging="720"/>
        <w:jc w:val="both"/>
      </w:pPr>
      <w:r w:rsidRPr="00102F23">
        <w:t>Meichenbaum, D. (2007). Stress inoculation training: A preventative and treatment approach. In P. M. Lehrer, R. L. Woolfolk, &amp; W. E. Sime (Eds.), </w:t>
      </w:r>
      <w:r w:rsidRPr="00102F23">
        <w:rPr>
          <w:i/>
          <w:iCs/>
        </w:rPr>
        <w:t>Principles and practice of stress management</w:t>
      </w:r>
      <w:r w:rsidRPr="00102F23">
        <w:t> (3rd ed., pp. 497–516). The Guilford Press.</w:t>
      </w:r>
    </w:p>
    <w:p w14:paraId="7FFC3A86" w14:textId="17140469" w:rsidR="00703A38" w:rsidRDefault="00703A38" w:rsidP="00A04B36">
      <w:pPr>
        <w:ind w:left="720" w:hanging="720"/>
        <w:jc w:val="both"/>
      </w:pPr>
      <w:r w:rsidRPr="00703A38">
        <w:t>Meicheribaum, D., &amp; Novaco, R. (1985). Stress Inoculation: A Preventative Approach Donald Meicheribaum. </w:t>
      </w:r>
      <w:r w:rsidRPr="001443F3">
        <w:rPr>
          <w:i/>
          <w:iCs/>
        </w:rPr>
        <w:t>Issues in Mental Health Nursing,</w:t>
      </w:r>
      <w:r w:rsidRPr="00703A38">
        <w:t xml:space="preserve"> 7(1–4), 419–435. </w:t>
      </w:r>
      <w:hyperlink r:id="rId30" w:history="1">
        <w:r w:rsidRPr="003E0D20">
          <w:rPr>
            <w:rStyle w:val="Hyperlink"/>
          </w:rPr>
          <w:t>https://doi.org/10.3109/01612848509009464</w:t>
        </w:r>
      </w:hyperlink>
    </w:p>
    <w:p w14:paraId="3A420D5C" w14:textId="75F9DF1F" w:rsidR="00EC3576" w:rsidRDefault="002E4909" w:rsidP="00A04B36">
      <w:pPr>
        <w:ind w:left="720" w:hanging="720"/>
        <w:jc w:val="both"/>
      </w:pPr>
      <w:r w:rsidRPr="002E4909">
        <w:t>Schnitker, S. A., &amp; Emmons, R. A. (2007). Patience as a virtue: Religious and psychological perspectives. </w:t>
      </w:r>
      <w:r w:rsidRPr="00EC3576">
        <w:rPr>
          <w:i/>
          <w:iCs/>
        </w:rPr>
        <w:t>Research in the Social Scientific Study of Religion,</w:t>
      </w:r>
      <w:r w:rsidRPr="002E4909">
        <w:t xml:space="preserve"> Volume18, 18, 177–207. </w:t>
      </w:r>
      <w:hyperlink r:id="rId31" w:history="1">
        <w:r w:rsidRPr="003E0D20">
          <w:rPr>
            <w:rStyle w:val="Hyperlink"/>
          </w:rPr>
          <w:t>https://doi.org/10.1163/ej.9789004158511.i-301.69</w:t>
        </w:r>
      </w:hyperlink>
    </w:p>
    <w:p w14:paraId="1999C87A" w14:textId="6FAEF679" w:rsidR="00EC3576" w:rsidRDefault="00017C1E">
      <w:pPr>
        <w:ind w:left="720" w:hanging="720"/>
        <w:jc w:val="both"/>
      </w:pPr>
      <w:r w:rsidRPr="00017C1E">
        <w:t>Vosloo L. (2025). The Intraoperative Fabrication of PMMA Patient-Specific Enophthalmos Wedges and Onlays for Post-Traumatic OZC Reconstruction. </w:t>
      </w:r>
      <w:r w:rsidRPr="005B1583">
        <w:rPr>
          <w:i/>
          <w:iCs/>
        </w:rPr>
        <w:t>Craniomaxillofacial trauma &amp; reconstruction, </w:t>
      </w:r>
      <w:r w:rsidRPr="00017C1E">
        <w:t xml:space="preserve">18(2), 29. </w:t>
      </w:r>
      <w:hyperlink r:id="rId32" w:history="1">
        <w:r w:rsidR="005B1583" w:rsidRPr="003E0D20">
          <w:rPr>
            <w:rStyle w:val="Hyperlink"/>
          </w:rPr>
          <w:t>https://doi.org/10.3390/cmtr18020029</w:t>
        </w:r>
      </w:hyperlink>
    </w:p>
    <w:p w14:paraId="61F14BDD" w14:textId="77777777" w:rsidR="005B1583" w:rsidRDefault="005B1583">
      <w:pPr>
        <w:ind w:left="720" w:hanging="720"/>
        <w:jc w:val="both"/>
      </w:pPr>
    </w:p>
    <w:p w14:paraId="60F71D06" w14:textId="77777777" w:rsidR="002E4909" w:rsidRDefault="002E4909">
      <w:pPr>
        <w:ind w:left="720" w:hanging="720"/>
        <w:jc w:val="both"/>
      </w:pPr>
    </w:p>
    <w:p w14:paraId="5C238B3B" w14:textId="77777777" w:rsidR="002E4909" w:rsidRDefault="002E4909">
      <w:pPr>
        <w:ind w:left="720" w:hanging="720"/>
        <w:jc w:val="both"/>
      </w:pPr>
    </w:p>
    <w:p w14:paraId="01B420DE" w14:textId="77777777" w:rsidR="00703A38" w:rsidRDefault="00703A38">
      <w:pPr>
        <w:ind w:left="720" w:hanging="720"/>
        <w:jc w:val="both"/>
      </w:pPr>
    </w:p>
    <w:p w14:paraId="37EA0CED" w14:textId="77777777" w:rsidR="00491225" w:rsidRDefault="00491225">
      <w:pPr>
        <w:ind w:left="720" w:hanging="720"/>
        <w:jc w:val="both"/>
      </w:pPr>
    </w:p>
    <w:p w14:paraId="72714B03" w14:textId="77777777" w:rsidR="004F0737" w:rsidRDefault="004F0737">
      <w:pPr>
        <w:ind w:left="720" w:hanging="720"/>
        <w:jc w:val="both"/>
      </w:pPr>
    </w:p>
    <w:p w14:paraId="7F57A10E" w14:textId="77777777" w:rsidR="004F0737" w:rsidRDefault="004F0737">
      <w:pPr>
        <w:ind w:left="720" w:hanging="720"/>
        <w:jc w:val="both"/>
      </w:pPr>
    </w:p>
    <w:p w14:paraId="5FCA96BC" w14:textId="77777777" w:rsidR="004F0737" w:rsidRDefault="004F0737">
      <w:pPr>
        <w:ind w:left="720" w:hanging="720"/>
        <w:jc w:val="both"/>
      </w:pPr>
    </w:p>
    <w:p w14:paraId="7A05A5DA" w14:textId="77777777" w:rsidR="004F0737" w:rsidRDefault="00B77F2E">
      <w:pPr>
        <w:shd w:val="clear" w:color="auto" w:fill="FFFFFF"/>
        <w:jc w:val="right"/>
        <w:rPr>
          <w:i/>
          <w:sz w:val="20"/>
          <w:szCs w:val="20"/>
        </w:rPr>
      </w:pPr>
      <w:r>
        <w:rPr>
          <w:i/>
          <w:sz w:val="20"/>
          <w:szCs w:val="20"/>
        </w:rPr>
        <w:t xml:space="preserve">Received: </w:t>
      </w:r>
    </w:p>
    <w:p w14:paraId="45B88A31" w14:textId="77777777" w:rsidR="004F0737" w:rsidRDefault="00B77F2E">
      <w:pPr>
        <w:shd w:val="clear" w:color="auto" w:fill="FFFFFF"/>
        <w:jc w:val="right"/>
        <w:rPr>
          <w:i/>
          <w:sz w:val="20"/>
          <w:szCs w:val="20"/>
        </w:rPr>
      </w:pPr>
      <w:r>
        <w:rPr>
          <w:i/>
          <w:sz w:val="20"/>
          <w:szCs w:val="20"/>
        </w:rPr>
        <w:t>Accepted:</w:t>
      </w:r>
      <w:r>
        <w:rPr>
          <w:rFonts w:ascii="Quattrocento Sans" w:eastAsia="Quattrocento Sans" w:hAnsi="Quattrocento Sans" w:cs="Quattrocento Sans"/>
          <w:sz w:val="21"/>
          <w:szCs w:val="21"/>
          <w:highlight w:val="white"/>
        </w:rPr>
        <w:t xml:space="preserve"> </w:t>
      </w:r>
    </w:p>
    <w:sectPr w:rsidR="004F0737" w:rsidSect="001E12C2">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E4F37" w14:textId="77777777" w:rsidR="00536F01" w:rsidRDefault="00536F01">
      <w:r>
        <w:separator/>
      </w:r>
    </w:p>
  </w:endnote>
  <w:endnote w:type="continuationSeparator" w:id="0">
    <w:p w14:paraId="3CE5D049" w14:textId="77777777" w:rsidR="00536F01" w:rsidRDefault="00536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w:altName w:val="Calibri"/>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Quattrocento Sans">
    <w:panose1 w:val="020B0502050000020003"/>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23D4C" w14:textId="566ADCA5" w:rsidR="004F0737" w:rsidRDefault="00B77F2E">
    <w:pPr>
      <w:pBdr>
        <w:top w:val="nil"/>
        <w:left w:val="nil"/>
        <w:bottom w:val="nil"/>
        <w:right w:val="nil"/>
        <w:between w:val="nil"/>
      </w:pBdr>
      <w:tabs>
        <w:tab w:val="center" w:pos="4680"/>
        <w:tab w:val="right" w:pos="9360"/>
      </w:tabs>
      <w:ind w:left="3960" w:firstLine="3960"/>
      <w:rPr>
        <w:rFonts w:ascii="Calibri" w:eastAsia="Calibri" w:hAnsi="Calibri" w:cs="Calibri"/>
        <w:color w:val="000000"/>
      </w:rPr>
    </w:pPr>
    <w:r>
      <w:rPr>
        <w:rFonts w:ascii="Times" w:eastAsia="Times" w:hAnsi="Times" w:cs="Times"/>
        <w:color w:val="000000"/>
        <w:sz w:val="16"/>
        <w:szCs w:val="16"/>
      </w:rPr>
      <w:t xml:space="preserve">ARTICLE </w:t>
    </w:r>
    <w:r>
      <w:rPr>
        <w:rFonts w:ascii="Times" w:eastAsia="Times" w:hAnsi="Times" w:cs="Times"/>
        <w:color w:val="000000"/>
        <w:sz w:val="16"/>
        <w:szCs w:val="16"/>
      </w:rPr>
      <w:t xml:space="preserve">| </w:t>
    </w:r>
  </w:p>
  <w:p w14:paraId="73865A02" w14:textId="77777777" w:rsidR="004F0737" w:rsidRDefault="004F0737">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23A50" w14:textId="647D99BF" w:rsidR="004F0737" w:rsidRDefault="00B77F2E">
    <w:pPr>
      <w:pBdr>
        <w:top w:val="nil"/>
        <w:left w:val="nil"/>
        <w:bottom w:val="nil"/>
        <w:right w:val="nil"/>
        <w:between w:val="nil"/>
      </w:pBdr>
      <w:tabs>
        <w:tab w:val="center" w:pos="4680"/>
        <w:tab w:val="right" w:pos="9360"/>
      </w:tabs>
      <w:rPr>
        <w:rFonts w:ascii="Calibri" w:eastAsia="Calibri" w:hAnsi="Calibri" w:cs="Calibri"/>
        <w:color w:val="000000"/>
      </w:rPr>
    </w:pPr>
    <w:r>
      <w:rPr>
        <w:rFonts w:ascii="Times" w:eastAsia="Times" w:hAnsi="Times" w:cs="Times"/>
        <w:color w:val="000000"/>
        <w:sz w:val="16"/>
        <w:szCs w:val="16"/>
      </w:rPr>
      <w:t xml:space="preserve">ARTICLE | </w:t>
    </w:r>
  </w:p>
  <w:p w14:paraId="49241230" w14:textId="77777777" w:rsidR="004F0737" w:rsidRDefault="004F0737">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9F309" w14:textId="77777777" w:rsidR="00536F01" w:rsidRDefault="00536F01">
      <w:r>
        <w:separator/>
      </w:r>
    </w:p>
  </w:footnote>
  <w:footnote w:type="continuationSeparator" w:id="0">
    <w:p w14:paraId="0579F68D" w14:textId="77777777" w:rsidR="00536F01" w:rsidRDefault="00536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280A3" w14:textId="77777777" w:rsidR="004F0737" w:rsidRDefault="00B77F2E">
    <w:pPr>
      <w:pBdr>
        <w:top w:val="nil"/>
        <w:left w:val="nil"/>
        <w:bottom w:val="nil"/>
        <w:right w:val="nil"/>
        <w:between w:val="nil"/>
      </w:pBdr>
      <w:tabs>
        <w:tab w:val="center" w:pos="4680"/>
        <w:tab w:val="right" w:pos="9360"/>
      </w:tabs>
      <w:jc w:val="center"/>
      <w:rPr>
        <w:rFonts w:ascii="Times" w:eastAsia="Times" w:hAnsi="Times" w:cs="Times"/>
        <w:smallCaps/>
        <w:color w:val="000000"/>
        <w:sz w:val="20"/>
        <w:szCs w:val="20"/>
      </w:rPr>
    </w:pPr>
    <w:r>
      <w:rPr>
        <w:rFonts w:ascii="Times" w:eastAsia="Times" w:hAnsi="Times" w:cs="Times"/>
        <w:smallCaps/>
        <w:color w:val="000000"/>
        <w:sz w:val="20"/>
        <w:szCs w:val="20"/>
      </w:rPr>
      <w:t>Manuscript submission model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776FE" w14:textId="77777777" w:rsidR="004F0737" w:rsidRDefault="00B77F2E">
    <w:pPr>
      <w:pBdr>
        <w:top w:val="nil"/>
        <w:left w:val="nil"/>
        <w:bottom w:val="nil"/>
        <w:right w:val="nil"/>
        <w:between w:val="nil"/>
      </w:pBdr>
      <w:tabs>
        <w:tab w:val="center" w:pos="4680"/>
        <w:tab w:val="right" w:pos="9360"/>
      </w:tabs>
      <w:jc w:val="right"/>
      <w:rPr>
        <w:rFonts w:ascii="Times" w:eastAsia="Times" w:hAnsi="Times" w:cs="Times"/>
        <w:i/>
        <w:color w:val="000000"/>
        <w:sz w:val="18"/>
        <w:szCs w:val="18"/>
      </w:rPr>
    </w:pPr>
    <w:r>
      <w:rPr>
        <w:rFonts w:ascii="Times" w:eastAsia="Times" w:hAnsi="Times" w:cs="Times"/>
        <w:b/>
        <w:i/>
        <w:color w:val="000000"/>
        <w:sz w:val="18"/>
        <w:szCs w:val="18"/>
      </w:rPr>
      <w:t xml:space="preserve">Revista </w:t>
    </w:r>
    <w:r>
      <w:rPr>
        <w:rFonts w:ascii="Times" w:eastAsia="Times" w:hAnsi="Times" w:cs="Times"/>
        <w:b/>
        <w:i/>
        <w:color w:val="000000"/>
        <w:sz w:val="18"/>
        <w:szCs w:val="18"/>
      </w:rPr>
      <w:t>Interamericana de Psicología/Interamerican Journal of Psychology</w:t>
    </w:r>
    <w:r>
      <w:rPr>
        <w:noProof/>
      </w:rPr>
      <w:drawing>
        <wp:anchor distT="0" distB="0" distL="114300" distR="114300" simplePos="0" relativeHeight="251658240" behindDoc="0" locked="0" layoutInCell="1" hidden="0" allowOverlap="1" wp14:anchorId="357ADFD6" wp14:editId="45E9F09B">
          <wp:simplePos x="0" y="0"/>
          <wp:positionH relativeFrom="column">
            <wp:posOffset>64656</wp:posOffset>
          </wp:positionH>
          <wp:positionV relativeFrom="paragraph">
            <wp:posOffset>-253536</wp:posOffset>
          </wp:positionV>
          <wp:extent cx="681164" cy="628073"/>
          <wp:effectExtent l="0" t="0" r="0" b="0"/>
          <wp:wrapNone/>
          <wp:docPr id="80821975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l="18661"/>
                  <a:stretch>
                    <a:fillRect/>
                  </a:stretch>
                </pic:blipFill>
                <pic:spPr>
                  <a:xfrm>
                    <a:off x="0" y="0"/>
                    <a:ext cx="681164" cy="628073"/>
                  </a:xfrm>
                  <a:prstGeom prst="rect">
                    <a:avLst/>
                  </a:prstGeom>
                  <a:ln/>
                </pic:spPr>
              </pic:pic>
            </a:graphicData>
          </a:graphic>
        </wp:anchor>
      </w:drawing>
    </w:r>
  </w:p>
  <w:p w14:paraId="2E3CDEF8" w14:textId="77777777" w:rsidR="004F0737" w:rsidRDefault="00B77F2E">
    <w:pPr>
      <w:pBdr>
        <w:top w:val="nil"/>
        <w:left w:val="nil"/>
        <w:bottom w:val="nil"/>
        <w:right w:val="nil"/>
        <w:between w:val="nil"/>
      </w:pBdr>
      <w:tabs>
        <w:tab w:val="center" w:pos="4680"/>
        <w:tab w:val="right" w:pos="9360"/>
      </w:tabs>
      <w:jc w:val="right"/>
      <w:rPr>
        <w:rFonts w:ascii="Calibri" w:eastAsia="Calibri" w:hAnsi="Calibri" w:cs="Calibri"/>
        <w:color w:val="000000"/>
      </w:rPr>
    </w:pPr>
    <w:r>
      <w:rPr>
        <w:rFonts w:ascii="Times" w:eastAsia="Times" w:hAnsi="Times" w:cs="Times"/>
        <w:i/>
        <w:color w:val="000000"/>
        <w:sz w:val="18"/>
        <w:szCs w:val="18"/>
      </w:rPr>
      <w:t>Manuscript submission model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41A74"/>
    <w:multiLevelType w:val="multilevel"/>
    <w:tmpl w:val="FFFFFFFF"/>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 w15:restartNumberingAfterBreak="0">
    <w:nsid w:val="7E3B6C85"/>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586500622">
    <w:abstractNumId w:val="1"/>
  </w:num>
  <w:num w:numId="2" w16cid:durableId="82990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737"/>
    <w:rsid w:val="00006F30"/>
    <w:rsid w:val="00012491"/>
    <w:rsid w:val="00014493"/>
    <w:rsid w:val="0001717A"/>
    <w:rsid w:val="00017C1E"/>
    <w:rsid w:val="00020372"/>
    <w:rsid w:val="00022A46"/>
    <w:rsid w:val="00034082"/>
    <w:rsid w:val="000436B3"/>
    <w:rsid w:val="00055DC6"/>
    <w:rsid w:val="00060826"/>
    <w:rsid w:val="000646B1"/>
    <w:rsid w:val="000733AD"/>
    <w:rsid w:val="00075209"/>
    <w:rsid w:val="0008384F"/>
    <w:rsid w:val="000B19BE"/>
    <w:rsid w:val="000D4B22"/>
    <w:rsid w:val="000E4205"/>
    <w:rsid w:val="000F5CCD"/>
    <w:rsid w:val="00102F23"/>
    <w:rsid w:val="00111EAC"/>
    <w:rsid w:val="001127A3"/>
    <w:rsid w:val="001128AB"/>
    <w:rsid w:val="0011545F"/>
    <w:rsid w:val="00124E8C"/>
    <w:rsid w:val="001369BB"/>
    <w:rsid w:val="00140340"/>
    <w:rsid w:val="00143698"/>
    <w:rsid w:val="001443F3"/>
    <w:rsid w:val="00150EC1"/>
    <w:rsid w:val="00152A18"/>
    <w:rsid w:val="00173AA2"/>
    <w:rsid w:val="00176CB1"/>
    <w:rsid w:val="00181833"/>
    <w:rsid w:val="00185D94"/>
    <w:rsid w:val="001905B4"/>
    <w:rsid w:val="0019575E"/>
    <w:rsid w:val="001A08C2"/>
    <w:rsid w:val="001A56B7"/>
    <w:rsid w:val="001A7343"/>
    <w:rsid w:val="001C3E4B"/>
    <w:rsid w:val="001C4EFD"/>
    <w:rsid w:val="001E12C2"/>
    <w:rsid w:val="001F797D"/>
    <w:rsid w:val="00202D98"/>
    <w:rsid w:val="00204CBE"/>
    <w:rsid w:val="00205408"/>
    <w:rsid w:val="00210C32"/>
    <w:rsid w:val="00215D9B"/>
    <w:rsid w:val="00217CF8"/>
    <w:rsid w:val="00220FE7"/>
    <w:rsid w:val="00222482"/>
    <w:rsid w:val="002235A4"/>
    <w:rsid w:val="00227928"/>
    <w:rsid w:val="00241CAD"/>
    <w:rsid w:val="002441D2"/>
    <w:rsid w:val="0024676B"/>
    <w:rsid w:val="00272AA9"/>
    <w:rsid w:val="00282FEB"/>
    <w:rsid w:val="00285604"/>
    <w:rsid w:val="00285824"/>
    <w:rsid w:val="00286EB5"/>
    <w:rsid w:val="002B1DDD"/>
    <w:rsid w:val="002B328A"/>
    <w:rsid w:val="002B7585"/>
    <w:rsid w:val="002C7AC4"/>
    <w:rsid w:val="002E4909"/>
    <w:rsid w:val="002F017C"/>
    <w:rsid w:val="00305080"/>
    <w:rsid w:val="00305A78"/>
    <w:rsid w:val="003312E3"/>
    <w:rsid w:val="00347A32"/>
    <w:rsid w:val="00350CA6"/>
    <w:rsid w:val="00354689"/>
    <w:rsid w:val="00360601"/>
    <w:rsid w:val="003832CE"/>
    <w:rsid w:val="003A16E3"/>
    <w:rsid w:val="003A5745"/>
    <w:rsid w:val="003A5A9C"/>
    <w:rsid w:val="003C2A38"/>
    <w:rsid w:val="003C62CC"/>
    <w:rsid w:val="003C75C7"/>
    <w:rsid w:val="003D26BC"/>
    <w:rsid w:val="003D62F4"/>
    <w:rsid w:val="003D7749"/>
    <w:rsid w:val="003E4DB9"/>
    <w:rsid w:val="003E4EE8"/>
    <w:rsid w:val="003F2FB2"/>
    <w:rsid w:val="004015AF"/>
    <w:rsid w:val="00401A3B"/>
    <w:rsid w:val="004020E5"/>
    <w:rsid w:val="00423E63"/>
    <w:rsid w:val="00433AB7"/>
    <w:rsid w:val="004650C9"/>
    <w:rsid w:val="004702C4"/>
    <w:rsid w:val="004715C4"/>
    <w:rsid w:val="00486ED1"/>
    <w:rsid w:val="004876B5"/>
    <w:rsid w:val="00490E8A"/>
    <w:rsid w:val="00491225"/>
    <w:rsid w:val="00491ACA"/>
    <w:rsid w:val="00491F89"/>
    <w:rsid w:val="004936C6"/>
    <w:rsid w:val="004A173E"/>
    <w:rsid w:val="004C4182"/>
    <w:rsid w:val="004E525C"/>
    <w:rsid w:val="004E5343"/>
    <w:rsid w:val="004F0737"/>
    <w:rsid w:val="004F2132"/>
    <w:rsid w:val="00501E09"/>
    <w:rsid w:val="00515F4D"/>
    <w:rsid w:val="00526ECD"/>
    <w:rsid w:val="005349B2"/>
    <w:rsid w:val="00536F01"/>
    <w:rsid w:val="00550516"/>
    <w:rsid w:val="005554CB"/>
    <w:rsid w:val="00555AE7"/>
    <w:rsid w:val="00563FA2"/>
    <w:rsid w:val="0056656F"/>
    <w:rsid w:val="00567B17"/>
    <w:rsid w:val="0057447C"/>
    <w:rsid w:val="0059692E"/>
    <w:rsid w:val="00597673"/>
    <w:rsid w:val="005A3476"/>
    <w:rsid w:val="005B1583"/>
    <w:rsid w:val="005B51B8"/>
    <w:rsid w:val="005C1DDA"/>
    <w:rsid w:val="005D4240"/>
    <w:rsid w:val="005E4C9D"/>
    <w:rsid w:val="005E6335"/>
    <w:rsid w:val="00605D73"/>
    <w:rsid w:val="00617C46"/>
    <w:rsid w:val="00620EAE"/>
    <w:rsid w:val="00624556"/>
    <w:rsid w:val="00630BFB"/>
    <w:rsid w:val="006347FE"/>
    <w:rsid w:val="00653CE0"/>
    <w:rsid w:val="00657832"/>
    <w:rsid w:val="0066567C"/>
    <w:rsid w:val="006702E0"/>
    <w:rsid w:val="0067046A"/>
    <w:rsid w:val="00674083"/>
    <w:rsid w:val="006770F9"/>
    <w:rsid w:val="00692BF6"/>
    <w:rsid w:val="00696802"/>
    <w:rsid w:val="006A112E"/>
    <w:rsid w:val="006A3398"/>
    <w:rsid w:val="006A36A2"/>
    <w:rsid w:val="006B4143"/>
    <w:rsid w:val="006B53D8"/>
    <w:rsid w:val="006B5DD9"/>
    <w:rsid w:val="006D3518"/>
    <w:rsid w:val="006D6D01"/>
    <w:rsid w:val="006E434C"/>
    <w:rsid w:val="006E525B"/>
    <w:rsid w:val="006F2EC0"/>
    <w:rsid w:val="006F57C3"/>
    <w:rsid w:val="00703A38"/>
    <w:rsid w:val="00711527"/>
    <w:rsid w:val="00727F02"/>
    <w:rsid w:val="0073452B"/>
    <w:rsid w:val="00741C15"/>
    <w:rsid w:val="00767AFB"/>
    <w:rsid w:val="0077081A"/>
    <w:rsid w:val="00770D18"/>
    <w:rsid w:val="00771D31"/>
    <w:rsid w:val="00785B50"/>
    <w:rsid w:val="0079045E"/>
    <w:rsid w:val="00793D7F"/>
    <w:rsid w:val="007D2DC7"/>
    <w:rsid w:val="007D4509"/>
    <w:rsid w:val="007E2C66"/>
    <w:rsid w:val="007E3D9A"/>
    <w:rsid w:val="007F7993"/>
    <w:rsid w:val="008051F6"/>
    <w:rsid w:val="00806E2E"/>
    <w:rsid w:val="00822E41"/>
    <w:rsid w:val="008355CA"/>
    <w:rsid w:val="00837960"/>
    <w:rsid w:val="008501D5"/>
    <w:rsid w:val="00851936"/>
    <w:rsid w:val="00867621"/>
    <w:rsid w:val="00876693"/>
    <w:rsid w:val="0088662C"/>
    <w:rsid w:val="0089142D"/>
    <w:rsid w:val="00892686"/>
    <w:rsid w:val="008A269A"/>
    <w:rsid w:val="008B12C3"/>
    <w:rsid w:val="008B1F8C"/>
    <w:rsid w:val="008C6ACF"/>
    <w:rsid w:val="008E08F8"/>
    <w:rsid w:val="008E44F4"/>
    <w:rsid w:val="00901A04"/>
    <w:rsid w:val="00904A28"/>
    <w:rsid w:val="009429E3"/>
    <w:rsid w:val="0095065B"/>
    <w:rsid w:val="009644F1"/>
    <w:rsid w:val="00973E35"/>
    <w:rsid w:val="00991CB7"/>
    <w:rsid w:val="0099300B"/>
    <w:rsid w:val="009B49A2"/>
    <w:rsid w:val="009C17D1"/>
    <w:rsid w:val="009C1D1E"/>
    <w:rsid w:val="009C5D12"/>
    <w:rsid w:val="009D0A33"/>
    <w:rsid w:val="009D0A9D"/>
    <w:rsid w:val="009D0AFD"/>
    <w:rsid w:val="00A02234"/>
    <w:rsid w:val="00A03966"/>
    <w:rsid w:val="00A04B36"/>
    <w:rsid w:val="00A07DEF"/>
    <w:rsid w:val="00A150CD"/>
    <w:rsid w:val="00A30518"/>
    <w:rsid w:val="00A44413"/>
    <w:rsid w:val="00A445DC"/>
    <w:rsid w:val="00A55DD3"/>
    <w:rsid w:val="00A74DC8"/>
    <w:rsid w:val="00A75D5B"/>
    <w:rsid w:val="00A81B01"/>
    <w:rsid w:val="00AA4566"/>
    <w:rsid w:val="00AA6409"/>
    <w:rsid w:val="00AB1E66"/>
    <w:rsid w:val="00AC0AFC"/>
    <w:rsid w:val="00AC3A05"/>
    <w:rsid w:val="00AC3BC6"/>
    <w:rsid w:val="00AD54FE"/>
    <w:rsid w:val="00AE2D6E"/>
    <w:rsid w:val="00AE30EE"/>
    <w:rsid w:val="00B002C0"/>
    <w:rsid w:val="00B00722"/>
    <w:rsid w:val="00B042F5"/>
    <w:rsid w:val="00B04D6E"/>
    <w:rsid w:val="00B27F8E"/>
    <w:rsid w:val="00B306B1"/>
    <w:rsid w:val="00B3208B"/>
    <w:rsid w:val="00B362AA"/>
    <w:rsid w:val="00B4381F"/>
    <w:rsid w:val="00B535BC"/>
    <w:rsid w:val="00B72D6C"/>
    <w:rsid w:val="00B7333B"/>
    <w:rsid w:val="00B77F2E"/>
    <w:rsid w:val="00BA19C3"/>
    <w:rsid w:val="00BA1B81"/>
    <w:rsid w:val="00BB1429"/>
    <w:rsid w:val="00BB358F"/>
    <w:rsid w:val="00BC1606"/>
    <w:rsid w:val="00BC7199"/>
    <w:rsid w:val="00BE7704"/>
    <w:rsid w:val="00C01A1F"/>
    <w:rsid w:val="00C047DF"/>
    <w:rsid w:val="00C05D99"/>
    <w:rsid w:val="00C12321"/>
    <w:rsid w:val="00C33DC8"/>
    <w:rsid w:val="00C37533"/>
    <w:rsid w:val="00C46C15"/>
    <w:rsid w:val="00C50D4D"/>
    <w:rsid w:val="00C62ACD"/>
    <w:rsid w:val="00C74CC3"/>
    <w:rsid w:val="00C74FDC"/>
    <w:rsid w:val="00CA083C"/>
    <w:rsid w:val="00CA66B7"/>
    <w:rsid w:val="00CB6ED6"/>
    <w:rsid w:val="00CD0E39"/>
    <w:rsid w:val="00CD6AF0"/>
    <w:rsid w:val="00CE2C78"/>
    <w:rsid w:val="00CE33F4"/>
    <w:rsid w:val="00CF37D5"/>
    <w:rsid w:val="00CF3C50"/>
    <w:rsid w:val="00D01FEC"/>
    <w:rsid w:val="00D10518"/>
    <w:rsid w:val="00D1440F"/>
    <w:rsid w:val="00D14931"/>
    <w:rsid w:val="00D205E2"/>
    <w:rsid w:val="00D23E78"/>
    <w:rsid w:val="00D25D0B"/>
    <w:rsid w:val="00D35625"/>
    <w:rsid w:val="00D444C8"/>
    <w:rsid w:val="00D50EB2"/>
    <w:rsid w:val="00D63323"/>
    <w:rsid w:val="00D82B80"/>
    <w:rsid w:val="00D92D65"/>
    <w:rsid w:val="00DA409F"/>
    <w:rsid w:val="00DA71AB"/>
    <w:rsid w:val="00DB6D96"/>
    <w:rsid w:val="00DC28CA"/>
    <w:rsid w:val="00DD12C7"/>
    <w:rsid w:val="00DD3C36"/>
    <w:rsid w:val="00DE72A7"/>
    <w:rsid w:val="00E00417"/>
    <w:rsid w:val="00E030E5"/>
    <w:rsid w:val="00E067CB"/>
    <w:rsid w:val="00E2072E"/>
    <w:rsid w:val="00E22B5B"/>
    <w:rsid w:val="00E24FAD"/>
    <w:rsid w:val="00E25125"/>
    <w:rsid w:val="00E26FAC"/>
    <w:rsid w:val="00E3283F"/>
    <w:rsid w:val="00E37076"/>
    <w:rsid w:val="00E44806"/>
    <w:rsid w:val="00E4534A"/>
    <w:rsid w:val="00E4573D"/>
    <w:rsid w:val="00E50543"/>
    <w:rsid w:val="00E5117D"/>
    <w:rsid w:val="00E82ABE"/>
    <w:rsid w:val="00E83BCE"/>
    <w:rsid w:val="00E84FB2"/>
    <w:rsid w:val="00E879FA"/>
    <w:rsid w:val="00E93465"/>
    <w:rsid w:val="00E959F0"/>
    <w:rsid w:val="00EA032D"/>
    <w:rsid w:val="00EA1C29"/>
    <w:rsid w:val="00EA2A24"/>
    <w:rsid w:val="00EB23F1"/>
    <w:rsid w:val="00EC0C9A"/>
    <w:rsid w:val="00EC3576"/>
    <w:rsid w:val="00EC6BB0"/>
    <w:rsid w:val="00ED01BD"/>
    <w:rsid w:val="00EE4931"/>
    <w:rsid w:val="00EE4E8A"/>
    <w:rsid w:val="00EE53AE"/>
    <w:rsid w:val="00EE6FAF"/>
    <w:rsid w:val="00F01CB5"/>
    <w:rsid w:val="00F03182"/>
    <w:rsid w:val="00F06384"/>
    <w:rsid w:val="00F31ECA"/>
    <w:rsid w:val="00F32F85"/>
    <w:rsid w:val="00F54977"/>
    <w:rsid w:val="00F61A84"/>
    <w:rsid w:val="00F77A92"/>
    <w:rsid w:val="00F83B30"/>
    <w:rsid w:val="00F90A41"/>
    <w:rsid w:val="00F90DBD"/>
    <w:rsid w:val="00F92550"/>
    <w:rsid w:val="00F95562"/>
    <w:rsid w:val="00F959BE"/>
    <w:rsid w:val="00FB070B"/>
    <w:rsid w:val="00FB2D94"/>
    <w:rsid w:val="00FB4430"/>
    <w:rsid w:val="00FB701C"/>
    <w:rsid w:val="00FD0D4D"/>
    <w:rsid w:val="00FD739E"/>
    <w:rsid w:val="00FE0FFB"/>
    <w:rsid w:val="00FE7A45"/>
    <w:rsid w:val="00FF08F0"/>
    <w:rsid w:val="00FF4CD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5E4C0E70"/>
  <w15:docId w15:val="{908F6ACC-A681-784C-89AB-C78BCC089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2D"/>
    <w:rPr>
      <w:lang w:val="es-AR" w:eastAsia="es-ES_tradn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HeaderChar">
    <w:name w:val="Header Char"/>
    <w:basedOn w:val="DefaultParagraphFont"/>
    <w:link w:val="Header"/>
    <w:uiPriority w:val="99"/>
    <w:rsid w:val="00C413D4"/>
  </w:style>
  <w:style w:type="paragraph" w:styleId="Footer">
    <w:name w:val="footer"/>
    <w:basedOn w:val="Normal"/>
    <w:link w:val="Footer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FooterChar">
    <w:name w:val="Footer Char"/>
    <w:basedOn w:val="DefaultParagraphFont"/>
    <w:link w:val="Footer"/>
    <w:uiPriority w:val="99"/>
    <w:rsid w:val="00C413D4"/>
  </w:style>
  <w:style w:type="character" w:customStyle="1" w:styleId="label3">
    <w:name w:val="label3"/>
    <w:basedOn w:val="DefaultParagraphFont"/>
    <w:rsid w:val="00C413D4"/>
  </w:style>
  <w:style w:type="paragraph" w:styleId="FootnoteText">
    <w:name w:val="footnote text"/>
    <w:basedOn w:val="Normal"/>
    <w:link w:val="FootnoteTextChar"/>
    <w:uiPriority w:val="99"/>
    <w:semiHidden/>
    <w:unhideWhenUsed/>
    <w:rsid w:val="00C413D4"/>
    <w:rPr>
      <w:sz w:val="20"/>
      <w:szCs w:val="20"/>
    </w:rPr>
  </w:style>
  <w:style w:type="character" w:customStyle="1" w:styleId="FootnoteTextChar">
    <w:name w:val="Footnote Text Char"/>
    <w:basedOn w:val="DefaultParagraphFont"/>
    <w:link w:val="FootnoteText"/>
    <w:uiPriority w:val="99"/>
    <w:semiHidden/>
    <w:rsid w:val="00C413D4"/>
    <w:rPr>
      <w:rFonts w:ascii="Times New Roman" w:eastAsia="Times New Roman" w:hAnsi="Times New Roman" w:cs="Times New Roman"/>
      <w:sz w:val="20"/>
      <w:szCs w:val="20"/>
      <w:lang w:val="es-ES_tradnl" w:eastAsia="es-ES_tradnl"/>
    </w:rPr>
  </w:style>
  <w:style w:type="character" w:styleId="FootnoteReference">
    <w:name w:val="footnote reference"/>
    <w:basedOn w:val="DefaultParagraphFont"/>
    <w:uiPriority w:val="99"/>
    <w:semiHidden/>
    <w:unhideWhenUsed/>
    <w:rsid w:val="00C413D4"/>
    <w:rPr>
      <w:vertAlign w:val="superscript"/>
    </w:rPr>
  </w:style>
  <w:style w:type="character" w:styleId="PageNumber">
    <w:name w:val="page number"/>
    <w:basedOn w:val="DefaultParagraphFont"/>
    <w:uiPriority w:val="99"/>
    <w:semiHidden/>
    <w:unhideWhenUsed/>
    <w:rsid w:val="00C413D4"/>
  </w:style>
  <w:style w:type="paragraph" w:styleId="BodyText">
    <w:name w:val="Body Text"/>
    <w:basedOn w:val="Normal"/>
    <w:link w:val="BodyTextChar"/>
    <w:rsid w:val="006F7E7E"/>
    <w:pPr>
      <w:spacing w:line="480" w:lineRule="auto"/>
      <w:ind w:firstLine="540"/>
    </w:pPr>
    <w:rPr>
      <w:szCs w:val="20"/>
      <w:lang w:val="en-US" w:eastAsia="en-US"/>
    </w:rPr>
  </w:style>
  <w:style w:type="character" w:customStyle="1" w:styleId="BodyTextChar">
    <w:name w:val="Body Text Char"/>
    <w:basedOn w:val="DefaultParagraphFont"/>
    <w:link w:val="BodyText"/>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EndnoteText">
    <w:name w:val="endnote text"/>
    <w:basedOn w:val="Normal"/>
    <w:link w:val="EndnoteTextChar"/>
    <w:uiPriority w:val="99"/>
    <w:semiHidden/>
    <w:unhideWhenUsed/>
    <w:rsid w:val="007A7C7C"/>
    <w:rPr>
      <w:sz w:val="20"/>
      <w:szCs w:val="20"/>
    </w:rPr>
  </w:style>
  <w:style w:type="character" w:customStyle="1" w:styleId="EndnoteTextChar">
    <w:name w:val="Endnote Text Char"/>
    <w:basedOn w:val="DefaultParagraphFont"/>
    <w:link w:val="EndnoteText"/>
    <w:uiPriority w:val="99"/>
    <w:semiHidden/>
    <w:rsid w:val="007A7C7C"/>
    <w:rPr>
      <w:rFonts w:ascii="Times New Roman" w:eastAsia="Times New Roman" w:hAnsi="Times New Roman" w:cs="Times New Roman"/>
      <w:sz w:val="20"/>
      <w:szCs w:val="20"/>
      <w:lang w:val="es-ES_tradnl" w:eastAsia="es-ES_tradnl"/>
    </w:rPr>
  </w:style>
  <w:style w:type="character" w:styleId="EndnoteReference">
    <w:name w:val="endnote reference"/>
    <w:basedOn w:val="DefaultParagraphFont"/>
    <w:uiPriority w:val="99"/>
    <w:semiHidden/>
    <w:unhideWhenUsed/>
    <w:rsid w:val="007A7C7C"/>
    <w:rPr>
      <w:vertAlign w:val="superscript"/>
    </w:rPr>
  </w:style>
  <w:style w:type="character" w:styleId="Hyperlink">
    <w:name w:val="Hyperlink"/>
    <w:basedOn w:val="DefaultParagraphFont"/>
    <w:uiPriority w:val="99"/>
    <w:unhideWhenUsed/>
    <w:rsid w:val="00B6522A"/>
    <w:rPr>
      <w:color w:val="0000FF"/>
      <w:u w:val="single"/>
    </w:rPr>
  </w:style>
  <w:style w:type="paragraph" w:styleId="BalloonText">
    <w:name w:val="Balloon Text"/>
    <w:basedOn w:val="Normal"/>
    <w:link w:val="BalloonTextChar"/>
    <w:uiPriority w:val="99"/>
    <w:semiHidden/>
    <w:unhideWhenUsed/>
    <w:rsid w:val="00FB0419"/>
    <w:rPr>
      <w:sz w:val="18"/>
      <w:szCs w:val="18"/>
    </w:rPr>
  </w:style>
  <w:style w:type="character" w:customStyle="1" w:styleId="BalloonTextChar">
    <w:name w:val="Balloon Text Char"/>
    <w:basedOn w:val="DefaultParagraphFont"/>
    <w:link w:val="BalloonText"/>
    <w:uiPriority w:val="99"/>
    <w:semiHidden/>
    <w:rsid w:val="00FB0419"/>
    <w:rPr>
      <w:rFonts w:ascii="Times New Roman" w:eastAsia="Times New Roman" w:hAnsi="Times New Roman" w:cs="Times New Roman"/>
      <w:sz w:val="18"/>
      <w:szCs w:val="18"/>
      <w:lang w:val="es-ES_tradnl" w:eastAsia="es-ES_tradnl"/>
    </w:rPr>
  </w:style>
  <w:style w:type="table" w:styleId="TableGrid">
    <w:name w:val="Table Grid"/>
    <w:basedOn w:val="Table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DefaultParagraphFont"/>
    <w:link w:val="Ttulosinternos"/>
    <w:rsid w:val="001516ED"/>
    <w:rPr>
      <w:rFonts w:ascii="Times New Roman" w:eastAsia="Times New Roman" w:hAnsi="Times New Roman" w:cs="Times New Roman"/>
      <w:b/>
    </w:rPr>
  </w:style>
  <w:style w:type="character" w:customStyle="1" w:styleId="Heading2Char">
    <w:name w:val="Heading 2 Char"/>
    <w:basedOn w:val="DefaultParagraphFont"/>
    <w:link w:val="Heading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DefaultParagraphFont"/>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DefaultParagraphFont"/>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DefaultParagraphFont"/>
    <w:link w:val="TtuloResumen"/>
    <w:rsid w:val="00C43335"/>
    <w:rPr>
      <w:rFonts w:ascii="Times New Roman" w:eastAsia="Times New Roman" w:hAnsi="Times New Roman" w:cs="Times New Roman"/>
      <w:b/>
      <w:smallCaps/>
      <w:sz w:val="20"/>
      <w:szCs w:val="20"/>
      <w:lang w:val="pt-BR" w:eastAsia="es-ES_tradnl"/>
    </w:rPr>
  </w:style>
  <w:style w:type="character" w:styleId="UnresolvedMention">
    <w:name w:val="Unresolved Mention"/>
    <w:basedOn w:val="DefaultParagraphFont"/>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eNormal1">
    <w:name w:val="Table Normal1"/>
    <w:rsid w:val="00A93146"/>
    <w:pPr>
      <w:pBdr>
        <w:top w:val="nil"/>
        <w:left w:val="nil"/>
        <w:bottom w:val="nil"/>
        <w:right w:val="nil"/>
        <w:between w:val="nil"/>
        <w:bar w:val="nil"/>
      </w:pBdr>
    </w:pPr>
    <w:rPr>
      <w:rFonts w:eastAsia="Arial Unicode MS"/>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DefaultParagraphFont"/>
    <w:link w:val="SubtituloInterno1"/>
    <w:rsid w:val="0078702D"/>
    <w:rPr>
      <w:rFonts w:ascii="Times New Roman" w:eastAsia="Times New Roman" w:hAnsi="Times New Roman" w:cs="Times New Roman"/>
      <w:i/>
      <w:lang w:val="es-AR"/>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rPr>
      <w:rFonts w:eastAsia="Times New Roman"/>
    </w:rPr>
    <w:tblPr>
      <w:tblStyleRowBandSize w:val="1"/>
      <w:tblStyleColBandSize w:val="1"/>
    </w:tblPr>
  </w:style>
  <w:style w:type="table" w:styleId="TableGridLight">
    <w:name w:val="Grid Table Light"/>
    <w:basedOn w:val="TableNormal"/>
    <w:uiPriority w:val="40"/>
    <w:rsid w:val="00210C32"/>
    <w:rPr>
      <w:rFonts w:asciiTheme="minorHAnsi" w:eastAsiaTheme="minorEastAsia" w:hAnsiTheme="minorHAnsi" w:cstheme="minorBidi"/>
      <w:kern w:val="2"/>
      <w:lang w:val="en-GB" w:eastAsia="en-GB"/>
      <w14:ligatures w14:val="standardContextual"/>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6702E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39821">
      <w:bodyDiv w:val="1"/>
      <w:marLeft w:val="0"/>
      <w:marRight w:val="0"/>
      <w:marTop w:val="0"/>
      <w:marBottom w:val="0"/>
      <w:divBdr>
        <w:top w:val="none" w:sz="0" w:space="0" w:color="auto"/>
        <w:left w:val="none" w:sz="0" w:space="0" w:color="auto"/>
        <w:bottom w:val="none" w:sz="0" w:space="0" w:color="auto"/>
        <w:right w:val="none" w:sz="0" w:space="0" w:color="auto"/>
      </w:divBdr>
    </w:div>
    <w:div w:id="772478714">
      <w:bodyDiv w:val="1"/>
      <w:marLeft w:val="0"/>
      <w:marRight w:val="0"/>
      <w:marTop w:val="0"/>
      <w:marBottom w:val="0"/>
      <w:divBdr>
        <w:top w:val="none" w:sz="0" w:space="0" w:color="auto"/>
        <w:left w:val="none" w:sz="0" w:space="0" w:color="auto"/>
        <w:bottom w:val="none" w:sz="0" w:space="0" w:color="auto"/>
        <w:right w:val="none" w:sz="0" w:space="0" w:color="auto"/>
      </w:divBdr>
    </w:div>
    <w:div w:id="1351565116">
      <w:bodyDiv w:val="1"/>
      <w:marLeft w:val="0"/>
      <w:marRight w:val="0"/>
      <w:marTop w:val="0"/>
      <w:marBottom w:val="0"/>
      <w:divBdr>
        <w:top w:val="none" w:sz="0" w:space="0" w:color="auto"/>
        <w:left w:val="none" w:sz="0" w:space="0" w:color="auto"/>
        <w:bottom w:val="none" w:sz="0" w:space="0" w:color="auto"/>
        <w:right w:val="none" w:sz="0" w:space="0" w:color="auto"/>
      </w:divBdr>
    </w:div>
    <w:div w:id="1396051133">
      <w:bodyDiv w:val="1"/>
      <w:marLeft w:val="0"/>
      <w:marRight w:val="0"/>
      <w:marTop w:val="0"/>
      <w:marBottom w:val="0"/>
      <w:divBdr>
        <w:top w:val="none" w:sz="0" w:space="0" w:color="auto"/>
        <w:left w:val="none" w:sz="0" w:space="0" w:color="auto"/>
        <w:bottom w:val="none" w:sz="0" w:space="0" w:color="auto"/>
        <w:right w:val="none" w:sz="0" w:space="0" w:color="auto"/>
      </w:divBdr>
    </w:div>
    <w:div w:id="1401515976">
      <w:bodyDiv w:val="1"/>
      <w:marLeft w:val="0"/>
      <w:marRight w:val="0"/>
      <w:marTop w:val="0"/>
      <w:marBottom w:val="0"/>
      <w:divBdr>
        <w:top w:val="none" w:sz="0" w:space="0" w:color="auto"/>
        <w:left w:val="none" w:sz="0" w:space="0" w:color="auto"/>
        <w:bottom w:val="none" w:sz="0" w:space="0" w:color="auto"/>
        <w:right w:val="none" w:sz="0" w:space="0" w:color="auto"/>
      </w:divBdr>
    </w:div>
    <w:div w:id="1450515954">
      <w:bodyDiv w:val="1"/>
      <w:marLeft w:val="0"/>
      <w:marRight w:val="0"/>
      <w:marTop w:val="0"/>
      <w:marBottom w:val="0"/>
      <w:divBdr>
        <w:top w:val="none" w:sz="0" w:space="0" w:color="auto"/>
        <w:left w:val="none" w:sz="0" w:space="0" w:color="auto"/>
        <w:bottom w:val="none" w:sz="0" w:space="0" w:color="auto"/>
        <w:right w:val="none" w:sz="0" w:space="0" w:color="auto"/>
      </w:divBdr>
    </w:div>
    <w:div w:id="19811813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 /><Relationship Id="rId13" Type="http://schemas.openxmlformats.org/officeDocument/2006/relationships/footer" Target="footer2.xml" /><Relationship Id="rId18" Type="http://schemas.openxmlformats.org/officeDocument/2006/relationships/hyperlink" Target="https://doi.org/10.1111/j.1365-2648.2007.04569.x" TargetMode="External" /><Relationship Id="rId26" Type="http://schemas.openxmlformats.org/officeDocument/2006/relationships/hyperlink" Target="https://archive.org/details/sip-2014-declaracion-sobre-ninos-migrantes-en-centro-america" TargetMode="External" /><Relationship Id="rId3" Type="http://schemas.openxmlformats.org/officeDocument/2006/relationships/styles" Target="styles.xml" /><Relationship Id="rId21" Type="http://schemas.openxmlformats.org/officeDocument/2006/relationships/hyperlink" Target="https://doi.org/10.1017/s0048577201393198" TargetMode="External" /><Relationship Id="rId34" Type="http://schemas.openxmlformats.org/officeDocument/2006/relationships/theme" Target="theme/theme1.xml" /><Relationship Id="rId7" Type="http://schemas.openxmlformats.org/officeDocument/2006/relationships/endnotes" Target="endnotes.xml" /><Relationship Id="rId12" Type="http://schemas.openxmlformats.org/officeDocument/2006/relationships/footer" Target="footer1.xml" /><Relationship Id="rId17" Type="http://schemas.openxmlformats.org/officeDocument/2006/relationships/hyperlink" Target="https://doi.org/10.4135/9781446217696" TargetMode="External" /><Relationship Id="rId25" Type="http://schemas.openxmlformats.org/officeDocument/2006/relationships/hyperlink" Target="https://archive.org/details/sip-2008b-declaracion-sobre-principios-eticos" TargetMode="External" /><Relationship Id="rId33"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hyperlink" Target="https://doi.org/10.1037/14295-031" TargetMode="External" /><Relationship Id="rId20" Type="http://schemas.openxmlformats.org/officeDocument/2006/relationships/hyperlink" Target="https://doi.org/10.1037/1089-2680.2.3.271" TargetMode="External" /><Relationship Id="rId29" Type="http://schemas.openxmlformats.org/officeDocument/2006/relationships/hyperlink" Target="https://archive.org/details/sip-2019-declaracion-experticia-en-salud-mental"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2.xml" /><Relationship Id="rId24" Type="http://schemas.openxmlformats.org/officeDocument/2006/relationships/hyperlink" Target="https://archive.org/details/sip-2008a-declaracion-sobre-terapias-de-conversion" TargetMode="External" /><Relationship Id="rId32" Type="http://schemas.openxmlformats.org/officeDocument/2006/relationships/hyperlink" Target="https://doi.org/10.3390/cmtr18020029" TargetMode="External" /><Relationship Id="rId5" Type="http://schemas.openxmlformats.org/officeDocument/2006/relationships/webSettings" Target="webSettings.xml" /><Relationship Id="rId15" Type="http://schemas.openxmlformats.org/officeDocument/2006/relationships/hyperlink" Target="https://doi.org/10.1192/bjp.165.1.131" TargetMode="External" /><Relationship Id="rId23" Type="http://schemas.openxmlformats.org/officeDocument/2006/relationships/hyperlink" Target="http://doi.org/10.333.23rlp10i2.298-299" TargetMode="External" /><Relationship Id="rId28" Type="http://schemas.openxmlformats.org/officeDocument/2006/relationships/hyperlink" Target="https://archive.org/details/sip-2018-position-statement-on-immigration" TargetMode="External" /><Relationship Id="rId10" Type="http://schemas.openxmlformats.org/officeDocument/2006/relationships/header" Target="header1.xml" /><Relationship Id="rId19" Type="http://schemas.openxmlformats.org/officeDocument/2006/relationships/hyperlink" Target="https://doi.org/10.4135/9781446282243" TargetMode="External" /><Relationship Id="rId31" Type="http://schemas.openxmlformats.org/officeDocument/2006/relationships/hyperlink" Target="https://doi.org/10.1163/ej.9789004158511.i-301.69" TargetMode="External" /><Relationship Id="rId4" Type="http://schemas.openxmlformats.org/officeDocument/2006/relationships/settings" Target="settings.xml" /><Relationship Id="rId9" Type="http://schemas.openxmlformats.org/officeDocument/2006/relationships/image" Target="media/image1.png" /><Relationship Id="rId14" Type="http://schemas.openxmlformats.org/officeDocument/2006/relationships/hyperlink" Target="https://cioms.ch/wp-content/uploads/2017/12/CIOMS-EthicalGuideline_SP_INTERIOR-FINAL.pdf" TargetMode="External" /><Relationship Id="rId22" Type="http://schemas.openxmlformats.org/officeDocument/2006/relationships/hyperlink" Target="https://www.iupsys.net/about/governance/universal-declaration-of-ethical-principles-for-psychologists.html" TargetMode="External" /><Relationship Id="rId27" Type="http://schemas.openxmlformats.org/officeDocument/2006/relationships/hyperlink" Target="https://archive.org/details/sip-2016-declaracion-apoyo-a-acuerdos-de-paz-en-colombia" TargetMode="External" /><Relationship Id="rId30" Type="http://schemas.openxmlformats.org/officeDocument/2006/relationships/hyperlink" Target="https://doi.org/10.3109/01612848509009464" TargetMode="External" /></Relationships>
</file>

<file path=word/_rels/header2.xml.rels><?xml version="1.0" encoding="UTF-8" standalone="yes"?>
<Relationships xmlns="http://schemas.openxmlformats.org/package/2006/relationships"><Relationship Id="rId1" Type="http://schemas.openxmlformats.org/officeDocument/2006/relationships/image" Target="media/image2.jp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DB7jxeItVJQAOk4Q53wZV98C/A==">CgMxLjA4AHIhMThXSEhrTHhka3lCdDdiendoYnA4RHZ2a1lQVHpKeGl3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19</Pages>
  <Words>5935</Words>
  <Characters>33833</Characters>
  <Application>Microsoft Office Word</Application>
  <DocSecurity>0</DocSecurity>
  <Lines>281</Lines>
  <Paragraphs>79</Paragraphs>
  <ScaleCrop>false</ScaleCrop>
  <Company/>
  <LinksUpToDate>false</LinksUpToDate>
  <CharactersWithSpaces>39689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Layton Vosloo</cp:lastModifiedBy>
  <cp:revision>317</cp:revision>
  <dcterms:created xsi:type="dcterms:W3CDTF">2020-09-09T19:59:00Z</dcterms:created>
  <dcterms:modified xsi:type="dcterms:W3CDTF">2025-09-08T17:13:00Z</dcterms:modified>
</cp:coreProperties>
</file>