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B4892" w14:textId="19E15978" w:rsidR="00017F59" w:rsidRDefault="00000000">
      <w:pPr>
        <w:pBdr>
          <w:top w:val="nil"/>
          <w:left w:val="nil"/>
          <w:bottom w:val="nil"/>
          <w:right w:val="nil"/>
          <w:between w:val="nil"/>
        </w:pBdr>
        <w:jc w:val="center"/>
        <w:rPr>
          <w:b/>
          <w:color w:val="000000"/>
          <w:sz w:val="36"/>
          <w:szCs w:val="36"/>
        </w:rPr>
      </w:pPr>
      <w:r>
        <w:rPr>
          <w:b/>
          <w:color w:val="000000"/>
          <w:sz w:val="36"/>
          <w:szCs w:val="36"/>
        </w:rPr>
        <w:t xml:space="preserve"> </w:t>
      </w:r>
      <w:r w:rsidR="002338A1">
        <w:rPr>
          <w:b/>
          <w:color w:val="000000"/>
          <w:sz w:val="36"/>
          <w:szCs w:val="36"/>
        </w:rPr>
        <w:t>Relación entre funcionamiento familiar, violencia e ideación suicida en adolescentes escolares de Ventanilla</w:t>
      </w:r>
    </w:p>
    <w:p w14:paraId="562BBFAA" w14:textId="77777777" w:rsidR="00017F59" w:rsidRDefault="00017F59">
      <w:pPr>
        <w:rPr>
          <w:b/>
        </w:rPr>
      </w:pPr>
    </w:p>
    <w:p w14:paraId="6764B732" w14:textId="77777777" w:rsidR="00017F59" w:rsidRDefault="00017F59">
      <w:pPr>
        <w:rPr>
          <w:i/>
          <w:sz w:val="28"/>
          <w:szCs w:val="28"/>
        </w:rPr>
      </w:pPr>
    </w:p>
    <w:p w14:paraId="1DD4DC39" w14:textId="77777777" w:rsidR="00017F59" w:rsidRDefault="00000000">
      <w:pPr>
        <w:rPr>
          <w:rFonts w:ascii="Times" w:eastAsia="Times" w:hAnsi="Times" w:cs="Times"/>
          <w:i/>
          <w:sz w:val="28"/>
          <w:szCs w:val="28"/>
        </w:rPr>
      </w:pPr>
      <w:r>
        <w:rPr>
          <w:noProof/>
        </w:rPr>
        <mc:AlternateContent>
          <mc:Choice Requires="wpg">
            <w:drawing>
              <wp:anchor distT="4294967295" distB="4294967295" distL="114300" distR="114300" simplePos="0" relativeHeight="251658240" behindDoc="0" locked="0" layoutInCell="1" hidden="0" allowOverlap="1" wp14:anchorId="61EAC948" wp14:editId="0738B583">
                <wp:simplePos x="0" y="0"/>
                <wp:positionH relativeFrom="column">
                  <wp:posOffset>1</wp:posOffset>
                </wp:positionH>
                <wp:positionV relativeFrom="paragraph">
                  <wp:posOffset>55896</wp:posOffset>
                </wp:positionV>
                <wp:extent cx="6172200" cy="25400"/>
                <wp:effectExtent l="0" t="0" r="0" b="0"/>
                <wp:wrapNone/>
                <wp:docPr id="23" name="Conector recto de flech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0A112F22" w14:textId="77777777" w:rsidR="00017F59" w:rsidRDefault="00017F59">
      <w:pPr>
        <w:rPr>
          <w:b/>
          <w:sz w:val="20"/>
          <w:szCs w:val="20"/>
        </w:rPr>
      </w:pPr>
    </w:p>
    <w:p w14:paraId="5049D636" w14:textId="71F3E268" w:rsidR="00017F59" w:rsidRDefault="002338A1">
      <w:pPr>
        <w:pBdr>
          <w:top w:val="nil"/>
          <w:left w:val="nil"/>
          <w:bottom w:val="nil"/>
          <w:right w:val="nil"/>
          <w:between w:val="nil"/>
        </w:pBdr>
        <w:spacing w:after="120"/>
        <w:jc w:val="center"/>
        <w:rPr>
          <w:b/>
          <w:smallCaps/>
          <w:color w:val="000000"/>
          <w:sz w:val="20"/>
          <w:szCs w:val="20"/>
        </w:rPr>
      </w:pPr>
      <w:r>
        <w:rPr>
          <w:b/>
          <w:smallCaps/>
          <w:color w:val="000000"/>
          <w:sz w:val="20"/>
          <w:szCs w:val="20"/>
        </w:rPr>
        <w:t>RESUMEN</w:t>
      </w:r>
    </w:p>
    <w:p w14:paraId="43E173E7" w14:textId="48E9EDEB" w:rsidR="00017F59" w:rsidRDefault="002338A1" w:rsidP="002338A1">
      <w:pPr>
        <w:jc w:val="both"/>
        <w:rPr>
          <w:sz w:val="20"/>
          <w:szCs w:val="20"/>
        </w:rPr>
      </w:pPr>
      <w:r>
        <w:rPr>
          <w:sz w:val="20"/>
          <w:szCs w:val="20"/>
        </w:rPr>
        <w:t>El presente estudio tuvo como objetivo analizar la relación entre el funcionamiento familiar, la exposición a la violencia y la ideación suicida en adolescentes de instituciones educativas estatales del distrito de Ventanilla en 2025. Se planteó la hipótesis de que un menor funcionamiento familiar y una mayor exposición a la violencia se asocian con un incremento en la ideación suicida. Participaron 374 adolescentes escolarizados, seleccionados mediante muestreo probabilístico, quienes respondieron instrumentos estandarizados de medición de funcionamiento familiar, exposición a la violencia e ideación suicida. El diseño fue correlacional de corte transversal y se cumplieron las consideraciones éticas exigidas, incluyendo consentimiento informado. Los resultados mostraron correlaciones significativas y negativas entre el funcionamiento familiar y la ideación suicida, así como correlaciones positivas entre la exposición a la violencia y la ideación suicida. Se discuten las implicancias de estos hallazgos en la prevención del riesgo suicida en adolescentes y la importancia del fortalecimiento familiar y la reducción de la violencia en contextos escolares y comunitarios.</w:t>
      </w:r>
    </w:p>
    <w:p w14:paraId="3B282E6C" w14:textId="1122C3F4" w:rsidR="00017F59" w:rsidRDefault="002338A1">
      <w:pPr>
        <w:rPr>
          <w:b/>
          <w:sz w:val="20"/>
          <w:szCs w:val="20"/>
        </w:rPr>
      </w:pPr>
      <w:r>
        <w:rPr>
          <w:b/>
          <w:sz w:val="20"/>
          <w:szCs w:val="20"/>
        </w:rPr>
        <w:t>Palabras clave:</w:t>
      </w:r>
    </w:p>
    <w:p w14:paraId="68FA8C6E" w14:textId="42712825" w:rsidR="002338A1" w:rsidRPr="002338A1" w:rsidRDefault="002338A1">
      <w:pPr>
        <w:rPr>
          <w:bCs/>
          <w:sz w:val="20"/>
          <w:szCs w:val="20"/>
        </w:rPr>
      </w:pPr>
      <w:r w:rsidRPr="002338A1">
        <w:rPr>
          <w:bCs/>
          <w:sz w:val="20"/>
          <w:szCs w:val="20"/>
        </w:rPr>
        <w:t>Familia, violencia, suicidio, adolescencia.</w:t>
      </w:r>
    </w:p>
    <w:p w14:paraId="338AE108" w14:textId="77777777" w:rsidR="00017F59" w:rsidRDefault="00017F59">
      <w:pPr>
        <w:jc w:val="both"/>
        <w:rPr>
          <w:sz w:val="20"/>
          <w:szCs w:val="20"/>
        </w:rPr>
      </w:pPr>
    </w:p>
    <w:p w14:paraId="71E7B92F" w14:textId="25C03335" w:rsidR="00017F59" w:rsidRDefault="002338A1">
      <w:pPr>
        <w:pBdr>
          <w:top w:val="nil"/>
          <w:left w:val="nil"/>
          <w:bottom w:val="nil"/>
          <w:right w:val="nil"/>
          <w:between w:val="nil"/>
        </w:pBdr>
        <w:spacing w:after="120"/>
        <w:jc w:val="center"/>
        <w:rPr>
          <w:b/>
          <w:smallCaps/>
          <w:color w:val="000000"/>
          <w:sz w:val="20"/>
          <w:szCs w:val="20"/>
        </w:rPr>
      </w:pPr>
      <w:r>
        <w:rPr>
          <w:b/>
          <w:smallCaps/>
          <w:color w:val="000000"/>
          <w:sz w:val="20"/>
          <w:szCs w:val="20"/>
        </w:rPr>
        <w:t>ABSTRACT</w:t>
      </w:r>
    </w:p>
    <w:p w14:paraId="61B832A3" w14:textId="3BC044F7" w:rsidR="00017F59" w:rsidRDefault="002338A1">
      <w:pPr>
        <w:jc w:val="both"/>
        <w:rPr>
          <w:i/>
          <w:sz w:val="20"/>
          <w:szCs w:val="20"/>
        </w:rPr>
      </w:pPr>
      <w:proofErr w:type="spellStart"/>
      <w:r w:rsidRPr="002338A1">
        <w:rPr>
          <w:sz w:val="20"/>
          <w:szCs w:val="20"/>
        </w:rPr>
        <w:t>The</w:t>
      </w:r>
      <w:proofErr w:type="spellEnd"/>
      <w:r w:rsidRPr="002338A1">
        <w:rPr>
          <w:sz w:val="20"/>
          <w:szCs w:val="20"/>
        </w:rPr>
        <w:t xml:space="preserve"> </w:t>
      </w:r>
      <w:proofErr w:type="spellStart"/>
      <w:r w:rsidRPr="002338A1">
        <w:rPr>
          <w:sz w:val="20"/>
          <w:szCs w:val="20"/>
        </w:rPr>
        <w:t>present</w:t>
      </w:r>
      <w:proofErr w:type="spellEnd"/>
      <w:r w:rsidRPr="002338A1">
        <w:rPr>
          <w:sz w:val="20"/>
          <w:szCs w:val="20"/>
        </w:rPr>
        <w:t xml:space="preserve"> </w:t>
      </w:r>
      <w:proofErr w:type="spellStart"/>
      <w:r w:rsidRPr="002338A1">
        <w:rPr>
          <w:sz w:val="20"/>
          <w:szCs w:val="20"/>
        </w:rPr>
        <w:t>study</w:t>
      </w:r>
      <w:proofErr w:type="spellEnd"/>
      <w:r w:rsidRPr="002338A1">
        <w:rPr>
          <w:sz w:val="20"/>
          <w:szCs w:val="20"/>
        </w:rPr>
        <w:t xml:space="preserve"> </w:t>
      </w:r>
      <w:proofErr w:type="spellStart"/>
      <w:r w:rsidRPr="002338A1">
        <w:rPr>
          <w:sz w:val="20"/>
          <w:szCs w:val="20"/>
        </w:rPr>
        <w:t>aimed</w:t>
      </w:r>
      <w:proofErr w:type="spellEnd"/>
      <w:r w:rsidRPr="002338A1">
        <w:rPr>
          <w:sz w:val="20"/>
          <w:szCs w:val="20"/>
        </w:rPr>
        <w:t xml:space="preserve"> </w:t>
      </w:r>
      <w:proofErr w:type="spellStart"/>
      <w:r w:rsidRPr="002338A1">
        <w:rPr>
          <w:sz w:val="20"/>
          <w:szCs w:val="20"/>
        </w:rPr>
        <w:t>to</w:t>
      </w:r>
      <w:proofErr w:type="spellEnd"/>
      <w:r w:rsidRPr="002338A1">
        <w:rPr>
          <w:sz w:val="20"/>
          <w:szCs w:val="20"/>
        </w:rPr>
        <w:t xml:space="preserve"> </w:t>
      </w:r>
      <w:proofErr w:type="spellStart"/>
      <w:r w:rsidRPr="002338A1">
        <w:rPr>
          <w:sz w:val="20"/>
          <w:szCs w:val="20"/>
        </w:rPr>
        <w:t>analyze</w:t>
      </w:r>
      <w:proofErr w:type="spellEnd"/>
      <w:r w:rsidRPr="002338A1">
        <w:rPr>
          <w:sz w:val="20"/>
          <w:szCs w:val="20"/>
        </w:rPr>
        <w:t xml:space="preserve"> </w:t>
      </w:r>
      <w:proofErr w:type="spellStart"/>
      <w:r w:rsidRPr="002338A1">
        <w:rPr>
          <w:sz w:val="20"/>
          <w:szCs w:val="20"/>
        </w:rPr>
        <w:t>the</w:t>
      </w:r>
      <w:proofErr w:type="spellEnd"/>
      <w:r w:rsidRPr="002338A1">
        <w:rPr>
          <w:sz w:val="20"/>
          <w:szCs w:val="20"/>
        </w:rPr>
        <w:t xml:space="preserve"> </w:t>
      </w:r>
      <w:proofErr w:type="spellStart"/>
      <w:r w:rsidRPr="002338A1">
        <w:rPr>
          <w:sz w:val="20"/>
          <w:szCs w:val="20"/>
        </w:rPr>
        <w:t>relationship</w:t>
      </w:r>
      <w:proofErr w:type="spellEnd"/>
      <w:r w:rsidRPr="002338A1">
        <w:rPr>
          <w:sz w:val="20"/>
          <w:szCs w:val="20"/>
        </w:rPr>
        <w:t xml:space="preserve"> </w:t>
      </w:r>
      <w:proofErr w:type="spellStart"/>
      <w:r w:rsidRPr="002338A1">
        <w:rPr>
          <w:sz w:val="20"/>
          <w:szCs w:val="20"/>
        </w:rPr>
        <w:t>between</w:t>
      </w:r>
      <w:proofErr w:type="spellEnd"/>
      <w:r w:rsidRPr="002338A1">
        <w:rPr>
          <w:sz w:val="20"/>
          <w:szCs w:val="20"/>
        </w:rPr>
        <w:t xml:space="preserve"> </w:t>
      </w:r>
      <w:proofErr w:type="spellStart"/>
      <w:r w:rsidRPr="002338A1">
        <w:rPr>
          <w:sz w:val="20"/>
          <w:szCs w:val="20"/>
        </w:rPr>
        <w:t>family</w:t>
      </w:r>
      <w:proofErr w:type="spellEnd"/>
      <w:r w:rsidRPr="002338A1">
        <w:rPr>
          <w:sz w:val="20"/>
          <w:szCs w:val="20"/>
        </w:rPr>
        <w:t xml:space="preserve"> </w:t>
      </w:r>
      <w:proofErr w:type="spellStart"/>
      <w:r w:rsidRPr="002338A1">
        <w:rPr>
          <w:sz w:val="20"/>
          <w:szCs w:val="20"/>
        </w:rPr>
        <w:t>functioning</w:t>
      </w:r>
      <w:proofErr w:type="spellEnd"/>
      <w:r w:rsidRPr="002338A1">
        <w:rPr>
          <w:sz w:val="20"/>
          <w:szCs w:val="20"/>
        </w:rPr>
        <w:t xml:space="preserve">, </w:t>
      </w:r>
      <w:proofErr w:type="spellStart"/>
      <w:r w:rsidRPr="002338A1">
        <w:rPr>
          <w:sz w:val="20"/>
          <w:szCs w:val="20"/>
        </w:rPr>
        <w:t>exposure</w:t>
      </w:r>
      <w:proofErr w:type="spellEnd"/>
      <w:r w:rsidRPr="002338A1">
        <w:rPr>
          <w:sz w:val="20"/>
          <w:szCs w:val="20"/>
        </w:rPr>
        <w:t xml:space="preserve"> </w:t>
      </w:r>
      <w:proofErr w:type="spellStart"/>
      <w:r w:rsidRPr="002338A1">
        <w:rPr>
          <w:sz w:val="20"/>
          <w:szCs w:val="20"/>
        </w:rPr>
        <w:t>to</w:t>
      </w:r>
      <w:proofErr w:type="spellEnd"/>
      <w:r w:rsidRPr="002338A1">
        <w:rPr>
          <w:sz w:val="20"/>
          <w:szCs w:val="20"/>
        </w:rPr>
        <w:t xml:space="preserve"> </w:t>
      </w:r>
      <w:proofErr w:type="spellStart"/>
      <w:r w:rsidRPr="002338A1">
        <w:rPr>
          <w:sz w:val="20"/>
          <w:szCs w:val="20"/>
        </w:rPr>
        <w:t>violence</w:t>
      </w:r>
      <w:proofErr w:type="spellEnd"/>
      <w:r w:rsidRPr="002338A1">
        <w:rPr>
          <w:sz w:val="20"/>
          <w:szCs w:val="20"/>
        </w:rPr>
        <w:t xml:space="preserve">, and </w:t>
      </w:r>
      <w:proofErr w:type="spellStart"/>
      <w:r w:rsidRPr="002338A1">
        <w:rPr>
          <w:sz w:val="20"/>
          <w:szCs w:val="20"/>
        </w:rPr>
        <w:t>suicidal</w:t>
      </w:r>
      <w:proofErr w:type="spellEnd"/>
      <w:r w:rsidRPr="002338A1">
        <w:rPr>
          <w:sz w:val="20"/>
          <w:szCs w:val="20"/>
        </w:rPr>
        <w:t xml:space="preserve"> </w:t>
      </w:r>
      <w:proofErr w:type="spellStart"/>
      <w:r w:rsidRPr="002338A1">
        <w:rPr>
          <w:sz w:val="20"/>
          <w:szCs w:val="20"/>
        </w:rPr>
        <w:t>ideation</w:t>
      </w:r>
      <w:proofErr w:type="spellEnd"/>
      <w:r w:rsidRPr="002338A1">
        <w:rPr>
          <w:sz w:val="20"/>
          <w:szCs w:val="20"/>
        </w:rPr>
        <w:t xml:space="preserve"> in </w:t>
      </w:r>
      <w:proofErr w:type="spellStart"/>
      <w:r w:rsidRPr="002338A1">
        <w:rPr>
          <w:sz w:val="20"/>
          <w:szCs w:val="20"/>
        </w:rPr>
        <w:t>adolescents</w:t>
      </w:r>
      <w:proofErr w:type="spellEnd"/>
      <w:r w:rsidRPr="002338A1">
        <w:rPr>
          <w:sz w:val="20"/>
          <w:szCs w:val="20"/>
        </w:rPr>
        <w:t xml:space="preserve"> </w:t>
      </w:r>
      <w:proofErr w:type="spellStart"/>
      <w:r w:rsidRPr="002338A1">
        <w:rPr>
          <w:sz w:val="20"/>
          <w:szCs w:val="20"/>
        </w:rPr>
        <w:t>attending</w:t>
      </w:r>
      <w:proofErr w:type="spellEnd"/>
      <w:r w:rsidRPr="002338A1">
        <w:rPr>
          <w:sz w:val="20"/>
          <w:szCs w:val="20"/>
        </w:rPr>
        <w:t xml:space="preserve"> </w:t>
      </w:r>
      <w:proofErr w:type="spellStart"/>
      <w:r w:rsidRPr="002338A1">
        <w:rPr>
          <w:sz w:val="20"/>
          <w:szCs w:val="20"/>
        </w:rPr>
        <w:t>public</w:t>
      </w:r>
      <w:proofErr w:type="spellEnd"/>
      <w:r w:rsidRPr="002338A1">
        <w:rPr>
          <w:sz w:val="20"/>
          <w:szCs w:val="20"/>
        </w:rPr>
        <w:t xml:space="preserve"> </w:t>
      </w:r>
      <w:proofErr w:type="spellStart"/>
      <w:r w:rsidRPr="002338A1">
        <w:rPr>
          <w:sz w:val="20"/>
          <w:szCs w:val="20"/>
        </w:rPr>
        <w:t>educational</w:t>
      </w:r>
      <w:proofErr w:type="spellEnd"/>
      <w:r w:rsidRPr="002338A1">
        <w:rPr>
          <w:sz w:val="20"/>
          <w:szCs w:val="20"/>
        </w:rPr>
        <w:t xml:space="preserve"> </w:t>
      </w:r>
      <w:proofErr w:type="spellStart"/>
      <w:r w:rsidRPr="002338A1">
        <w:rPr>
          <w:sz w:val="20"/>
          <w:szCs w:val="20"/>
        </w:rPr>
        <w:t>institutions</w:t>
      </w:r>
      <w:proofErr w:type="spellEnd"/>
      <w:r w:rsidRPr="002338A1">
        <w:rPr>
          <w:sz w:val="20"/>
          <w:szCs w:val="20"/>
        </w:rPr>
        <w:t xml:space="preserve"> in </w:t>
      </w:r>
      <w:proofErr w:type="spellStart"/>
      <w:r w:rsidRPr="002338A1">
        <w:rPr>
          <w:sz w:val="20"/>
          <w:szCs w:val="20"/>
        </w:rPr>
        <w:t>the</w:t>
      </w:r>
      <w:proofErr w:type="spellEnd"/>
      <w:r w:rsidRPr="002338A1">
        <w:rPr>
          <w:sz w:val="20"/>
          <w:szCs w:val="20"/>
        </w:rPr>
        <w:t xml:space="preserve"> Ventanilla </w:t>
      </w:r>
      <w:proofErr w:type="spellStart"/>
      <w:r w:rsidRPr="002338A1">
        <w:rPr>
          <w:sz w:val="20"/>
          <w:szCs w:val="20"/>
        </w:rPr>
        <w:t>district</w:t>
      </w:r>
      <w:proofErr w:type="spellEnd"/>
      <w:r w:rsidRPr="002338A1">
        <w:rPr>
          <w:sz w:val="20"/>
          <w:szCs w:val="20"/>
        </w:rPr>
        <w:t xml:space="preserve"> in 2025. </w:t>
      </w:r>
      <w:proofErr w:type="spellStart"/>
      <w:r w:rsidRPr="002338A1">
        <w:rPr>
          <w:sz w:val="20"/>
          <w:szCs w:val="20"/>
        </w:rPr>
        <w:t>It</w:t>
      </w:r>
      <w:proofErr w:type="spellEnd"/>
      <w:r w:rsidRPr="002338A1">
        <w:rPr>
          <w:sz w:val="20"/>
          <w:szCs w:val="20"/>
        </w:rPr>
        <w:t xml:space="preserve"> </w:t>
      </w:r>
      <w:proofErr w:type="spellStart"/>
      <w:r w:rsidRPr="002338A1">
        <w:rPr>
          <w:sz w:val="20"/>
          <w:szCs w:val="20"/>
        </w:rPr>
        <w:t>was</w:t>
      </w:r>
      <w:proofErr w:type="spellEnd"/>
      <w:r w:rsidRPr="002338A1">
        <w:rPr>
          <w:sz w:val="20"/>
          <w:szCs w:val="20"/>
        </w:rPr>
        <w:t xml:space="preserve"> </w:t>
      </w:r>
      <w:proofErr w:type="spellStart"/>
      <w:r w:rsidRPr="002338A1">
        <w:rPr>
          <w:sz w:val="20"/>
          <w:szCs w:val="20"/>
        </w:rPr>
        <w:t>hypothesized</w:t>
      </w:r>
      <w:proofErr w:type="spellEnd"/>
      <w:r w:rsidRPr="002338A1">
        <w:rPr>
          <w:sz w:val="20"/>
          <w:szCs w:val="20"/>
        </w:rPr>
        <w:t xml:space="preserve"> </w:t>
      </w:r>
      <w:proofErr w:type="spellStart"/>
      <w:r w:rsidRPr="002338A1">
        <w:rPr>
          <w:sz w:val="20"/>
          <w:szCs w:val="20"/>
        </w:rPr>
        <w:t>that</w:t>
      </w:r>
      <w:proofErr w:type="spellEnd"/>
      <w:r w:rsidRPr="002338A1">
        <w:rPr>
          <w:sz w:val="20"/>
          <w:szCs w:val="20"/>
        </w:rPr>
        <w:t xml:space="preserve"> </w:t>
      </w:r>
      <w:proofErr w:type="spellStart"/>
      <w:r w:rsidRPr="002338A1">
        <w:rPr>
          <w:sz w:val="20"/>
          <w:szCs w:val="20"/>
        </w:rPr>
        <w:t>lower</w:t>
      </w:r>
      <w:proofErr w:type="spellEnd"/>
      <w:r w:rsidRPr="002338A1">
        <w:rPr>
          <w:sz w:val="20"/>
          <w:szCs w:val="20"/>
        </w:rPr>
        <w:t xml:space="preserve"> </w:t>
      </w:r>
      <w:proofErr w:type="spellStart"/>
      <w:r w:rsidRPr="002338A1">
        <w:rPr>
          <w:sz w:val="20"/>
          <w:szCs w:val="20"/>
        </w:rPr>
        <w:t>family</w:t>
      </w:r>
      <w:proofErr w:type="spellEnd"/>
      <w:r w:rsidRPr="002338A1">
        <w:rPr>
          <w:sz w:val="20"/>
          <w:szCs w:val="20"/>
        </w:rPr>
        <w:t xml:space="preserve"> </w:t>
      </w:r>
      <w:proofErr w:type="spellStart"/>
      <w:r w:rsidRPr="002338A1">
        <w:rPr>
          <w:sz w:val="20"/>
          <w:szCs w:val="20"/>
        </w:rPr>
        <w:t>functioning</w:t>
      </w:r>
      <w:proofErr w:type="spellEnd"/>
      <w:r w:rsidRPr="002338A1">
        <w:rPr>
          <w:sz w:val="20"/>
          <w:szCs w:val="20"/>
        </w:rPr>
        <w:t xml:space="preserve"> and </w:t>
      </w:r>
      <w:proofErr w:type="spellStart"/>
      <w:r w:rsidRPr="002338A1">
        <w:rPr>
          <w:sz w:val="20"/>
          <w:szCs w:val="20"/>
        </w:rPr>
        <w:t>greater</w:t>
      </w:r>
      <w:proofErr w:type="spellEnd"/>
      <w:r w:rsidRPr="002338A1">
        <w:rPr>
          <w:sz w:val="20"/>
          <w:szCs w:val="20"/>
        </w:rPr>
        <w:t xml:space="preserve"> </w:t>
      </w:r>
      <w:proofErr w:type="spellStart"/>
      <w:r w:rsidRPr="002338A1">
        <w:rPr>
          <w:sz w:val="20"/>
          <w:szCs w:val="20"/>
        </w:rPr>
        <w:t>exposure</w:t>
      </w:r>
      <w:proofErr w:type="spellEnd"/>
      <w:r w:rsidRPr="002338A1">
        <w:rPr>
          <w:sz w:val="20"/>
          <w:szCs w:val="20"/>
        </w:rPr>
        <w:t xml:space="preserve"> </w:t>
      </w:r>
      <w:proofErr w:type="spellStart"/>
      <w:r w:rsidRPr="002338A1">
        <w:rPr>
          <w:sz w:val="20"/>
          <w:szCs w:val="20"/>
        </w:rPr>
        <w:t>to</w:t>
      </w:r>
      <w:proofErr w:type="spellEnd"/>
      <w:r w:rsidRPr="002338A1">
        <w:rPr>
          <w:sz w:val="20"/>
          <w:szCs w:val="20"/>
        </w:rPr>
        <w:t xml:space="preserve"> </w:t>
      </w:r>
      <w:proofErr w:type="spellStart"/>
      <w:r w:rsidRPr="002338A1">
        <w:rPr>
          <w:sz w:val="20"/>
          <w:szCs w:val="20"/>
        </w:rPr>
        <w:t>violence</w:t>
      </w:r>
      <w:proofErr w:type="spellEnd"/>
      <w:r w:rsidRPr="002338A1">
        <w:rPr>
          <w:sz w:val="20"/>
          <w:szCs w:val="20"/>
        </w:rPr>
        <w:t xml:space="preserve"> are </w:t>
      </w:r>
      <w:proofErr w:type="spellStart"/>
      <w:r w:rsidRPr="002338A1">
        <w:rPr>
          <w:sz w:val="20"/>
          <w:szCs w:val="20"/>
        </w:rPr>
        <w:t>associated</w:t>
      </w:r>
      <w:proofErr w:type="spellEnd"/>
      <w:r w:rsidRPr="002338A1">
        <w:rPr>
          <w:sz w:val="20"/>
          <w:szCs w:val="20"/>
        </w:rPr>
        <w:t xml:space="preserve"> </w:t>
      </w:r>
      <w:proofErr w:type="spellStart"/>
      <w:r w:rsidRPr="002338A1">
        <w:rPr>
          <w:sz w:val="20"/>
          <w:szCs w:val="20"/>
        </w:rPr>
        <w:t>with</w:t>
      </w:r>
      <w:proofErr w:type="spellEnd"/>
      <w:r w:rsidRPr="002338A1">
        <w:rPr>
          <w:sz w:val="20"/>
          <w:szCs w:val="20"/>
        </w:rPr>
        <w:t xml:space="preserve"> </w:t>
      </w:r>
      <w:proofErr w:type="spellStart"/>
      <w:r w:rsidRPr="002338A1">
        <w:rPr>
          <w:sz w:val="20"/>
          <w:szCs w:val="20"/>
        </w:rPr>
        <w:t>increased</w:t>
      </w:r>
      <w:proofErr w:type="spellEnd"/>
      <w:r w:rsidRPr="002338A1">
        <w:rPr>
          <w:sz w:val="20"/>
          <w:szCs w:val="20"/>
        </w:rPr>
        <w:t xml:space="preserve"> </w:t>
      </w:r>
      <w:proofErr w:type="spellStart"/>
      <w:r w:rsidRPr="002338A1">
        <w:rPr>
          <w:sz w:val="20"/>
          <w:szCs w:val="20"/>
        </w:rPr>
        <w:t>suicidal</w:t>
      </w:r>
      <w:proofErr w:type="spellEnd"/>
      <w:r w:rsidRPr="002338A1">
        <w:rPr>
          <w:sz w:val="20"/>
          <w:szCs w:val="20"/>
        </w:rPr>
        <w:t xml:space="preserve"> </w:t>
      </w:r>
      <w:proofErr w:type="spellStart"/>
      <w:r w:rsidRPr="002338A1">
        <w:rPr>
          <w:sz w:val="20"/>
          <w:szCs w:val="20"/>
        </w:rPr>
        <w:t>ideation</w:t>
      </w:r>
      <w:proofErr w:type="spellEnd"/>
      <w:r w:rsidRPr="002338A1">
        <w:rPr>
          <w:sz w:val="20"/>
          <w:szCs w:val="20"/>
        </w:rPr>
        <w:t xml:space="preserve">. </w:t>
      </w:r>
      <w:proofErr w:type="spellStart"/>
      <w:r w:rsidRPr="002338A1">
        <w:rPr>
          <w:sz w:val="20"/>
          <w:szCs w:val="20"/>
        </w:rPr>
        <w:t>Participants</w:t>
      </w:r>
      <w:proofErr w:type="spellEnd"/>
      <w:r w:rsidRPr="002338A1">
        <w:rPr>
          <w:sz w:val="20"/>
          <w:szCs w:val="20"/>
        </w:rPr>
        <w:t xml:space="preserve"> </w:t>
      </w:r>
      <w:proofErr w:type="spellStart"/>
      <w:r w:rsidRPr="002338A1">
        <w:rPr>
          <w:sz w:val="20"/>
          <w:szCs w:val="20"/>
        </w:rPr>
        <w:t>were</w:t>
      </w:r>
      <w:proofErr w:type="spellEnd"/>
      <w:r w:rsidRPr="002338A1">
        <w:rPr>
          <w:sz w:val="20"/>
          <w:szCs w:val="20"/>
        </w:rPr>
        <w:t xml:space="preserve"> 374 </w:t>
      </w:r>
      <w:proofErr w:type="spellStart"/>
      <w:r w:rsidRPr="002338A1">
        <w:rPr>
          <w:sz w:val="20"/>
          <w:szCs w:val="20"/>
        </w:rPr>
        <w:t>school-aged</w:t>
      </w:r>
      <w:proofErr w:type="spellEnd"/>
      <w:r w:rsidRPr="002338A1">
        <w:rPr>
          <w:sz w:val="20"/>
          <w:szCs w:val="20"/>
        </w:rPr>
        <w:t xml:space="preserve"> </w:t>
      </w:r>
      <w:proofErr w:type="spellStart"/>
      <w:r w:rsidRPr="002338A1">
        <w:rPr>
          <w:sz w:val="20"/>
          <w:szCs w:val="20"/>
        </w:rPr>
        <w:t>adolescents</w:t>
      </w:r>
      <w:proofErr w:type="spellEnd"/>
      <w:r w:rsidRPr="002338A1">
        <w:rPr>
          <w:sz w:val="20"/>
          <w:szCs w:val="20"/>
        </w:rPr>
        <w:t xml:space="preserve">, </w:t>
      </w:r>
      <w:proofErr w:type="spellStart"/>
      <w:r w:rsidRPr="002338A1">
        <w:rPr>
          <w:sz w:val="20"/>
          <w:szCs w:val="20"/>
        </w:rPr>
        <w:t>selected</w:t>
      </w:r>
      <w:proofErr w:type="spellEnd"/>
      <w:r w:rsidRPr="002338A1">
        <w:rPr>
          <w:sz w:val="20"/>
          <w:szCs w:val="20"/>
        </w:rPr>
        <w:t xml:space="preserve"> </w:t>
      </w:r>
      <w:proofErr w:type="spellStart"/>
      <w:r w:rsidRPr="002338A1">
        <w:rPr>
          <w:sz w:val="20"/>
          <w:szCs w:val="20"/>
        </w:rPr>
        <w:t>through</w:t>
      </w:r>
      <w:proofErr w:type="spellEnd"/>
      <w:r w:rsidRPr="002338A1">
        <w:rPr>
          <w:sz w:val="20"/>
          <w:szCs w:val="20"/>
        </w:rPr>
        <w:t xml:space="preserve"> </w:t>
      </w:r>
      <w:proofErr w:type="spellStart"/>
      <w:r w:rsidRPr="002338A1">
        <w:rPr>
          <w:sz w:val="20"/>
          <w:szCs w:val="20"/>
        </w:rPr>
        <w:t>probability</w:t>
      </w:r>
      <w:proofErr w:type="spellEnd"/>
      <w:r w:rsidRPr="002338A1">
        <w:rPr>
          <w:sz w:val="20"/>
          <w:szCs w:val="20"/>
        </w:rPr>
        <w:t xml:space="preserve"> </w:t>
      </w:r>
      <w:proofErr w:type="spellStart"/>
      <w:r w:rsidRPr="002338A1">
        <w:rPr>
          <w:sz w:val="20"/>
          <w:szCs w:val="20"/>
        </w:rPr>
        <w:t>sampling</w:t>
      </w:r>
      <w:proofErr w:type="spellEnd"/>
      <w:r w:rsidRPr="002338A1">
        <w:rPr>
          <w:sz w:val="20"/>
          <w:szCs w:val="20"/>
        </w:rPr>
        <w:t xml:space="preserve">, </w:t>
      </w:r>
      <w:proofErr w:type="spellStart"/>
      <w:r w:rsidRPr="002338A1">
        <w:rPr>
          <w:sz w:val="20"/>
          <w:szCs w:val="20"/>
        </w:rPr>
        <w:t>who</w:t>
      </w:r>
      <w:proofErr w:type="spellEnd"/>
      <w:r w:rsidRPr="002338A1">
        <w:rPr>
          <w:sz w:val="20"/>
          <w:szCs w:val="20"/>
        </w:rPr>
        <w:t xml:space="preserve"> </w:t>
      </w:r>
      <w:proofErr w:type="spellStart"/>
      <w:r w:rsidRPr="002338A1">
        <w:rPr>
          <w:sz w:val="20"/>
          <w:szCs w:val="20"/>
        </w:rPr>
        <w:t>completed</w:t>
      </w:r>
      <w:proofErr w:type="spellEnd"/>
      <w:r w:rsidRPr="002338A1">
        <w:rPr>
          <w:sz w:val="20"/>
          <w:szCs w:val="20"/>
        </w:rPr>
        <w:t xml:space="preserve"> </w:t>
      </w:r>
      <w:proofErr w:type="spellStart"/>
      <w:r w:rsidRPr="002338A1">
        <w:rPr>
          <w:sz w:val="20"/>
          <w:szCs w:val="20"/>
        </w:rPr>
        <w:t>standardized</w:t>
      </w:r>
      <w:proofErr w:type="spellEnd"/>
      <w:r w:rsidRPr="002338A1">
        <w:rPr>
          <w:sz w:val="20"/>
          <w:szCs w:val="20"/>
        </w:rPr>
        <w:t xml:space="preserve"> </w:t>
      </w:r>
      <w:proofErr w:type="spellStart"/>
      <w:r w:rsidRPr="002338A1">
        <w:rPr>
          <w:sz w:val="20"/>
          <w:szCs w:val="20"/>
        </w:rPr>
        <w:t>instruments</w:t>
      </w:r>
      <w:proofErr w:type="spellEnd"/>
      <w:r w:rsidRPr="002338A1">
        <w:rPr>
          <w:sz w:val="20"/>
          <w:szCs w:val="20"/>
        </w:rPr>
        <w:t xml:space="preserve"> </w:t>
      </w:r>
      <w:proofErr w:type="spellStart"/>
      <w:r w:rsidRPr="002338A1">
        <w:rPr>
          <w:sz w:val="20"/>
          <w:szCs w:val="20"/>
        </w:rPr>
        <w:t>measuring</w:t>
      </w:r>
      <w:proofErr w:type="spellEnd"/>
      <w:r w:rsidRPr="002338A1">
        <w:rPr>
          <w:sz w:val="20"/>
          <w:szCs w:val="20"/>
        </w:rPr>
        <w:t xml:space="preserve"> </w:t>
      </w:r>
      <w:proofErr w:type="spellStart"/>
      <w:r w:rsidRPr="002338A1">
        <w:rPr>
          <w:sz w:val="20"/>
          <w:szCs w:val="20"/>
        </w:rPr>
        <w:t>family</w:t>
      </w:r>
      <w:proofErr w:type="spellEnd"/>
      <w:r w:rsidRPr="002338A1">
        <w:rPr>
          <w:sz w:val="20"/>
          <w:szCs w:val="20"/>
        </w:rPr>
        <w:t xml:space="preserve"> </w:t>
      </w:r>
      <w:proofErr w:type="spellStart"/>
      <w:r w:rsidRPr="002338A1">
        <w:rPr>
          <w:sz w:val="20"/>
          <w:szCs w:val="20"/>
        </w:rPr>
        <w:t>functioning</w:t>
      </w:r>
      <w:proofErr w:type="spellEnd"/>
      <w:r w:rsidRPr="002338A1">
        <w:rPr>
          <w:sz w:val="20"/>
          <w:szCs w:val="20"/>
        </w:rPr>
        <w:t xml:space="preserve">, </w:t>
      </w:r>
      <w:proofErr w:type="spellStart"/>
      <w:r w:rsidRPr="002338A1">
        <w:rPr>
          <w:sz w:val="20"/>
          <w:szCs w:val="20"/>
        </w:rPr>
        <w:t>exposure</w:t>
      </w:r>
      <w:proofErr w:type="spellEnd"/>
      <w:r w:rsidRPr="002338A1">
        <w:rPr>
          <w:sz w:val="20"/>
          <w:szCs w:val="20"/>
        </w:rPr>
        <w:t xml:space="preserve"> </w:t>
      </w:r>
      <w:proofErr w:type="spellStart"/>
      <w:r w:rsidRPr="002338A1">
        <w:rPr>
          <w:sz w:val="20"/>
          <w:szCs w:val="20"/>
        </w:rPr>
        <w:t>to</w:t>
      </w:r>
      <w:proofErr w:type="spellEnd"/>
      <w:r w:rsidRPr="002338A1">
        <w:rPr>
          <w:sz w:val="20"/>
          <w:szCs w:val="20"/>
        </w:rPr>
        <w:t xml:space="preserve"> </w:t>
      </w:r>
      <w:proofErr w:type="spellStart"/>
      <w:r w:rsidRPr="002338A1">
        <w:rPr>
          <w:sz w:val="20"/>
          <w:szCs w:val="20"/>
        </w:rPr>
        <w:t>violence</w:t>
      </w:r>
      <w:proofErr w:type="spellEnd"/>
      <w:r w:rsidRPr="002338A1">
        <w:rPr>
          <w:sz w:val="20"/>
          <w:szCs w:val="20"/>
        </w:rPr>
        <w:t xml:space="preserve">, and </w:t>
      </w:r>
      <w:proofErr w:type="spellStart"/>
      <w:r w:rsidRPr="002338A1">
        <w:rPr>
          <w:sz w:val="20"/>
          <w:szCs w:val="20"/>
        </w:rPr>
        <w:t>suicidal</w:t>
      </w:r>
      <w:proofErr w:type="spellEnd"/>
      <w:r w:rsidRPr="002338A1">
        <w:rPr>
          <w:sz w:val="20"/>
          <w:szCs w:val="20"/>
        </w:rPr>
        <w:t xml:space="preserve"> </w:t>
      </w:r>
      <w:proofErr w:type="spellStart"/>
      <w:r w:rsidRPr="002338A1">
        <w:rPr>
          <w:sz w:val="20"/>
          <w:szCs w:val="20"/>
        </w:rPr>
        <w:t>ideation</w:t>
      </w:r>
      <w:proofErr w:type="spellEnd"/>
      <w:r w:rsidRPr="002338A1">
        <w:rPr>
          <w:sz w:val="20"/>
          <w:szCs w:val="20"/>
        </w:rPr>
        <w:t xml:space="preserve">. </w:t>
      </w:r>
      <w:proofErr w:type="spellStart"/>
      <w:r w:rsidRPr="002338A1">
        <w:rPr>
          <w:sz w:val="20"/>
          <w:szCs w:val="20"/>
        </w:rPr>
        <w:t>The</w:t>
      </w:r>
      <w:proofErr w:type="spellEnd"/>
      <w:r w:rsidRPr="002338A1">
        <w:rPr>
          <w:sz w:val="20"/>
          <w:szCs w:val="20"/>
        </w:rPr>
        <w:t xml:space="preserve"> </w:t>
      </w:r>
      <w:proofErr w:type="spellStart"/>
      <w:r w:rsidRPr="002338A1">
        <w:rPr>
          <w:sz w:val="20"/>
          <w:szCs w:val="20"/>
        </w:rPr>
        <w:t>design</w:t>
      </w:r>
      <w:proofErr w:type="spellEnd"/>
      <w:r w:rsidRPr="002338A1">
        <w:rPr>
          <w:sz w:val="20"/>
          <w:szCs w:val="20"/>
        </w:rPr>
        <w:t xml:space="preserve"> </w:t>
      </w:r>
      <w:proofErr w:type="spellStart"/>
      <w:r w:rsidRPr="002338A1">
        <w:rPr>
          <w:sz w:val="20"/>
          <w:szCs w:val="20"/>
        </w:rPr>
        <w:t>was</w:t>
      </w:r>
      <w:proofErr w:type="spellEnd"/>
      <w:r w:rsidRPr="002338A1">
        <w:rPr>
          <w:sz w:val="20"/>
          <w:szCs w:val="20"/>
        </w:rPr>
        <w:t xml:space="preserve"> </w:t>
      </w:r>
      <w:proofErr w:type="spellStart"/>
      <w:r w:rsidRPr="002338A1">
        <w:rPr>
          <w:sz w:val="20"/>
          <w:szCs w:val="20"/>
        </w:rPr>
        <w:t>cross-sectional</w:t>
      </w:r>
      <w:proofErr w:type="spellEnd"/>
      <w:r w:rsidRPr="002338A1">
        <w:rPr>
          <w:sz w:val="20"/>
          <w:szCs w:val="20"/>
        </w:rPr>
        <w:t xml:space="preserve">, </w:t>
      </w:r>
      <w:proofErr w:type="spellStart"/>
      <w:r w:rsidRPr="002338A1">
        <w:rPr>
          <w:sz w:val="20"/>
          <w:szCs w:val="20"/>
        </w:rPr>
        <w:t>correlational</w:t>
      </w:r>
      <w:proofErr w:type="spellEnd"/>
      <w:r w:rsidRPr="002338A1">
        <w:rPr>
          <w:sz w:val="20"/>
          <w:szCs w:val="20"/>
        </w:rPr>
        <w:t xml:space="preserve">, and </w:t>
      </w:r>
      <w:proofErr w:type="spellStart"/>
      <w:r w:rsidRPr="002338A1">
        <w:rPr>
          <w:sz w:val="20"/>
          <w:szCs w:val="20"/>
        </w:rPr>
        <w:t>the</w:t>
      </w:r>
      <w:proofErr w:type="spellEnd"/>
      <w:r w:rsidRPr="002338A1">
        <w:rPr>
          <w:sz w:val="20"/>
          <w:szCs w:val="20"/>
        </w:rPr>
        <w:t xml:space="preserve"> </w:t>
      </w:r>
      <w:proofErr w:type="spellStart"/>
      <w:r w:rsidRPr="002338A1">
        <w:rPr>
          <w:sz w:val="20"/>
          <w:szCs w:val="20"/>
        </w:rPr>
        <w:t>required</w:t>
      </w:r>
      <w:proofErr w:type="spellEnd"/>
      <w:r w:rsidRPr="002338A1">
        <w:rPr>
          <w:sz w:val="20"/>
          <w:szCs w:val="20"/>
        </w:rPr>
        <w:t xml:space="preserve"> </w:t>
      </w:r>
      <w:proofErr w:type="spellStart"/>
      <w:r w:rsidRPr="002338A1">
        <w:rPr>
          <w:sz w:val="20"/>
          <w:szCs w:val="20"/>
        </w:rPr>
        <w:t>ethical</w:t>
      </w:r>
      <w:proofErr w:type="spellEnd"/>
      <w:r w:rsidRPr="002338A1">
        <w:rPr>
          <w:sz w:val="20"/>
          <w:szCs w:val="20"/>
        </w:rPr>
        <w:t xml:space="preserve"> </w:t>
      </w:r>
      <w:proofErr w:type="spellStart"/>
      <w:r w:rsidRPr="002338A1">
        <w:rPr>
          <w:sz w:val="20"/>
          <w:szCs w:val="20"/>
        </w:rPr>
        <w:t>considerations</w:t>
      </w:r>
      <w:proofErr w:type="spellEnd"/>
      <w:r w:rsidRPr="002338A1">
        <w:rPr>
          <w:sz w:val="20"/>
          <w:szCs w:val="20"/>
        </w:rPr>
        <w:t xml:space="preserve"> </w:t>
      </w:r>
      <w:proofErr w:type="spellStart"/>
      <w:r w:rsidRPr="002338A1">
        <w:rPr>
          <w:sz w:val="20"/>
          <w:szCs w:val="20"/>
        </w:rPr>
        <w:t>were</w:t>
      </w:r>
      <w:proofErr w:type="spellEnd"/>
      <w:r w:rsidRPr="002338A1">
        <w:rPr>
          <w:sz w:val="20"/>
          <w:szCs w:val="20"/>
        </w:rPr>
        <w:t xml:space="preserve"> </w:t>
      </w:r>
      <w:proofErr w:type="spellStart"/>
      <w:r w:rsidRPr="002338A1">
        <w:rPr>
          <w:sz w:val="20"/>
          <w:szCs w:val="20"/>
        </w:rPr>
        <w:t>met</w:t>
      </w:r>
      <w:proofErr w:type="spellEnd"/>
      <w:r w:rsidRPr="002338A1">
        <w:rPr>
          <w:sz w:val="20"/>
          <w:szCs w:val="20"/>
        </w:rPr>
        <w:t xml:space="preserve">, </w:t>
      </w:r>
      <w:proofErr w:type="spellStart"/>
      <w:r w:rsidRPr="002338A1">
        <w:rPr>
          <w:sz w:val="20"/>
          <w:szCs w:val="20"/>
        </w:rPr>
        <w:t>including</w:t>
      </w:r>
      <w:proofErr w:type="spellEnd"/>
      <w:r w:rsidRPr="002338A1">
        <w:rPr>
          <w:sz w:val="20"/>
          <w:szCs w:val="20"/>
        </w:rPr>
        <w:t xml:space="preserve"> </w:t>
      </w:r>
      <w:proofErr w:type="spellStart"/>
      <w:r w:rsidRPr="002338A1">
        <w:rPr>
          <w:sz w:val="20"/>
          <w:szCs w:val="20"/>
        </w:rPr>
        <w:t>informed</w:t>
      </w:r>
      <w:proofErr w:type="spellEnd"/>
      <w:r w:rsidRPr="002338A1">
        <w:rPr>
          <w:sz w:val="20"/>
          <w:szCs w:val="20"/>
        </w:rPr>
        <w:t xml:space="preserve"> </w:t>
      </w:r>
      <w:proofErr w:type="spellStart"/>
      <w:r w:rsidRPr="002338A1">
        <w:rPr>
          <w:sz w:val="20"/>
          <w:szCs w:val="20"/>
        </w:rPr>
        <w:t>consent</w:t>
      </w:r>
      <w:proofErr w:type="spellEnd"/>
      <w:r w:rsidRPr="002338A1">
        <w:rPr>
          <w:sz w:val="20"/>
          <w:szCs w:val="20"/>
        </w:rPr>
        <w:t xml:space="preserve">. </w:t>
      </w:r>
      <w:proofErr w:type="spellStart"/>
      <w:r w:rsidRPr="002338A1">
        <w:rPr>
          <w:sz w:val="20"/>
          <w:szCs w:val="20"/>
        </w:rPr>
        <w:t>The</w:t>
      </w:r>
      <w:proofErr w:type="spellEnd"/>
      <w:r w:rsidRPr="002338A1">
        <w:rPr>
          <w:sz w:val="20"/>
          <w:szCs w:val="20"/>
        </w:rPr>
        <w:t xml:space="preserve"> </w:t>
      </w:r>
      <w:proofErr w:type="spellStart"/>
      <w:r w:rsidRPr="002338A1">
        <w:rPr>
          <w:sz w:val="20"/>
          <w:szCs w:val="20"/>
        </w:rPr>
        <w:t>results</w:t>
      </w:r>
      <w:proofErr w:type="spellEnd"/>
      <w:r w:rsidRPr="002338A1">
        <w:rPr>
          <w:sz w:val="20"/>
          <w:szCs w:val="20"/>
        </w:rPr>
        <w:t xml:space="preserve"> </w:t>
      </w:r>
      <w:proofErr w:type="spellStart"/>
      <w:r w:rsidRPr="002338A1">
        <w:rPr>
          <w:sz w:val="20"/>
          <w:szCs w:val="20"/>
        </w:rPr>
        <w:t>showed</w:t>
      </w:r>
      <w:proofErr w:type="spellEnd"/>
      <w:r w:rsidRPr="002338A1">
        <w:rPr>
          <w:sz w:val="20"/>
          <w:szCs w:val="20"/>
        </w:rPr>
        <w:t xml:space="preserve"> </w:t>
      </w:r>
      <w:proofErr w:type="spellStart"/>
      <w:r w:rsidRPr="002338A1">
        <w:rPr>
          <w:sz w:val="20"/>
          <w:szCs w:val="20"/>
        </w:rPr>
        <w:t>significant</w:t>
      </w:r>
      <w:proofErr w:type="spellEnd"/>
      <w:r w:rsidRPr="002338A1">
        <w:rPr>
          <w:sz w:val="20"/>
          <w:szCs w:val="20"/>
        </w:rPr>
        <w:t xml:space="preserve">, negative </w:t>
      </w:r>
      <w:proofErr w:type="spellStart"/>
      <w:r w:rsidRPr="002338A1">
        <w:rPr>
          <w:sz w:val="20"/>
          <w:szCs w:val="20"/>
        </w:rPr>
        <w:t>correlations</w:t>
      </w:r>
      <w:proofErr w:type="spellEnd"/>
      <w:r w:rsidRPr="002338A1">
        <w:rPr>
          <w:sz w:val="20"/>
          <w:szCs w:val="20"/>
        </w:rPr>
        <w:t xml:space="preserve"> </w:t>
      </w:r>
      <w:proofErr w:type="spellStart"/>
      <w:r w:rsidRPr="002338A1">
        <w:rPr>
          <w:sz w:val="20"/>
          <w:szCs w:val="20"/>
        </w:rPr>
        <w:t>between</w:t>
      </w:r>
      <w:proofErr w:type="spellEnd"/>
      <w:r w:rsidRPr="002338A1">
        <w:rPr>
          <w:sz w:val="20"/>
          <w:szCs w:val="20"/>
        </w:rPr>
        <w:t xml:space="preserve"> </w:t>
      </w:r>
      <w:proofErr w:type="spellStart"/>
      <w:r w:rsidRPr="002338A1">
        <w:rPr>
          <w:sz w:val="20"/>
          <w:szCs w:val="20"/>
        </w:rPr>
        <w:t>family</w:t>
      </w:r>
      <w:proofErr w:type="spellEnd"/>
      <w:r w:rsidRPr="002338A1">
        <w:rPr>
          <w:sz w:val="20"/>
          <w:szCs w:val="20"/>
        </w:rPr>
        <w:t xml:space="preserve"> </w:t>
      </w:r>
      <w:proofErr w:type="spellStart"/>
      <w:r w:rsidRPr="002338A1">
        <w:rPr>
          <w:sz w:val="20"/>
          <w:szCs w:val="20"/>
        </w:rPr>
        <w:t>functioning</w:t>
      </w:r>
      <w:proofErr w:type="spellEnd"/>
      <w:r w:rsidRPr="002338A1">
        <w:rPr>
          <w:sz w:val="20"/>
          <w:szCs w:val="20"/>
        </w:rPr>
        <w:t xml:space="preserve"> and </w:t>
      </w:r>
      <w:proofErr w:type="spellStart"/>
      <w:r w:rsidRPr="002338A1">
        <w:rPr>
          <w:sz w:val="20"/>
          <w:szCs w:val="20"/>
        </w:rPr>
        <w:t>suicidal</w:t>
      </w:r>
      <w:proofErr w:type="spellEnd"/>
      <w:r w:rsidRPr="002338A1">
        <w:rPr>
          <w:sz w:val="20"/>
          <w:szCs w:val="20"/>
        </w:rPr>
        <w:t xml:space="preserve"> </w:t>
      </w:r>
      <w:proofErr w:type="spellStart"/>
      <w:r w:rsidRPr="002338A1">
        <w:rPr>
          <w:sz w:val="20"/>
          <w:szCs w:val="20"/>
        </w:rPr>
        <w:t>ideation</w:t>
      </w:r>
      <w:proofErr w:type="spellEnd"/>
      <w:r w:rsidRPr="002338A1">
        <w:rPr>
          <w:sz w:val="20"/>
          <w:szCs w:val="20"/>
        </w:rPr>
        <w:t xml:space="preserve">, as </w:t>
      </w:r>
      <w:proofErr w:type="spellStart"/>
      <w:r w:rsidRPr="002338A1">
        <w:rPr>
          <w:sz w:val="20"/>
          <w:szCs w:val="20"/>
        </w:rPr>
        <w:t>well</w:t>
      </w:r>
      <w:proofErr w:type="spellEnd"/>
      <w:r w:rsidRPr="002338A1">
        <w:rPr>
          <w:sz w:val="20"/>
          <w:szCs w:val="20"/>
        </w:rPr>
        <w:t xml:space="preserve"> as positive </w:t>
      </w:r>
      <w:proofErr w:type="spellStart"/>
      <w:r w:rsidRPr="002338A1">
        <w:rPr>
          <w:sz w:val="20"/>
          <w:szCs w:val="20"/>
        </w:rPr>
        <w:t>correlations</w:t>
      </w:r>
      <w:proofErr w:type="spellEnd"/>
      <w:r w:rsidRPr="002338A1">
        <w:rPr>
          <w:sz w:val="20"/>
          <w:szCs w:val="20"/>
        </w:rPr>
        <w:t xml:space="preserve"> </w:t>
      </w:r>
      <w:proofErr w:type="spellStart"/>
      <w:r w:rsidRPr="002338A1">
        <w:rPr>
          <w:sz w:val="20"/>
          <w:szCs w:val="20"/>
        </w:rPr>
        <w:t>between</w:t>
      </w:r>
      <w:proofErr w:type="spellEnd"/>
      <w:r w:rsidRPr="002338A1">
        <w:rPr>
          <w:sz w:val="20"/>
          <w:szCs w:val="20"/>
        </w:rPr>
        <w:t xml:space="preserve"> </w:t>
      </w:r>
      <w:proofErr w:type="spellStart"/>
      <w:r w:rsidRPr="002338A1">
        <w:rPr>
          <w:sz w:val="20"/>
          <w:szCs w:val="20"/>
        </w:rPr>
        <w:t>exposure</w:t>
      </w:r>
      <w:proofErr w:type="spellEnd"/>
      <w:r w:rsidRPr="002338A1">
        <w:rPr>
          <w:sz w:val="20"/>
          <w:szCs w:val="20"/>
        </w:rPr>
        <w:t xml:space="preserve"> </w:t>
      </w:r>
      <w:proofErr w:type="spellStart"/>
      <w:r w:rsidRPr="002338A1">
        <w:rPr>
          <w:sz w:val="20"/>
          <w:szCs w:val="20"/>
        </w:rPr>
        <w:t>to</w:t>
      </w:r>
      <w:proofErr w:type="spellEnd"/>
      <w:r w:rsidRPr="002338A1">
        <w:rPr>
          <w:sz w:val="20"/>
          <w:szCs w:val="20"/>
        </w:rPr>
        <w:t xml:space="preserve"> </w:t>
      </w:r>
      <w:proofErr w:type="spellStart"/>
      <w:r w:rsidRPr="002338A1">
        <w:rPr>
          <w:sz w:val="20"/>
          <w:szCs w:val="20"/>
        </w:rPr>
        <w:t>violence</w:t>
      </w:r>
      <w:proofErr w:type="spellEnd"/>
      <w:r w:rsidRPr="002338A1">
        <w:rPr>
          <w:sz w:val="20"/>
          <w:szCs w:val="20"/>
        </w:rPr>
        <w:t xml:space="preserve"> and </w:t>
      </w:r>
      <w:proofErr w:type="spellStart"/>
      <w:r w:rsidRPr="002338A1">
        <w:rPr>
          <w:sz w:val="20"/>
          <w:szCs w:val="20"/>
        </w:rPr>
        <w:t>suicidal</w:t>
      </w:r>
      <w:proofErr w:type="spellEnd"/>
      <w:r w:rsidRPr="002338A1">
        <w:rPr>
          <w:sz w:val="20"/>
          <w:szCs w:val="20"/>
        </w:rPr>
        <w:t xml:space="preserve"> </w:t>
      </w:r>
      <w:proofErr w:type="spellStart"/>
      <w:r w:rsidRPr="002338A1">
        <w:rPr>
          <w:sz w:val="20"/>
          <w:szCs w:val="20"/>
        </w:rPr>
        <w:t>ideation</w:t>
      </w:r>
      <w:proofErr w:type="spellEnd"/>
      <w:r w:rsidRPr="002338A1">
        <w:rPr>
          <w:sz w:val="20"/>
          <w:szCs w:val="20"/>
        </w:rPr>
        <w:t xml:space="preserve">. </w:t>
      </w:r>
      <w:proofErr w:type="spellStart"/>
      <w:r w:rsidRPr="002338A1">
        <w:rPr>
          <w:sz w:val="20"/>
          <w:szCs w:val="20"/>
        </w:rPr>
        <w:t>The</w:t>
      </w:r>
      <w:proofErr w:type="spellEnd"/>
      <w:r w:rsidRPr="002338A1">
        <w:rPr>
          <w:sz w:val="20"/>
          <w:szCs w:val="20"/>
        </w:rPr>
        <w:t xml:space="preserve"> </w:t>
      </w:r>
      <w:proofErr w:type="spellStart"/>
      <w:r w:rsidRPr="002338A1">
        <w:rPr>
          <w:sz w:val="20"/>
          <w:szCs w:val="20"/>
        </w:rPr>
        <w:t>implications</w:t>
      </w:r>
      <w:proofErr w:type="spellEnd"/>
      <w:r w:rsidRPr="002338A1">
        <w:rPr>
          <w:sz w:val="20"/>
          <w:szCs w:val="20"/>
        </w:rPr>
        <w:t xml:space="preserve"> </w:t>
      </w:r>
      <w:proofErr w:type="spellStart"/>
      <w:r w:rsidRPr="002338A1">
        <w:rPr>
          <w:sz w:val="20"/>
          <w:szCs w:val="20"/>
        </w:rPr>
        <w:t>of</w:t>
      </w:r>
      <w:proofErr w:type="spellEnd"/>
      <w:r w:rsidRPr="002338A1">
        <w:rPr>
          <w:sz w:val="20"/>
          <w:szCs w:val="20"/>
        </w:rPr>
        <w:t xml:space="preserve"> </w:t>
      </w:r>
      <w:proofErr w:type="spellStart"/>
      <w:r w:rsidRPr="002338A1">
        <w:rPr>
          <w:sz w:val="20"/>
          <w:szCs w:val="20"/>
        </w:rPr>
        <w:t>these</w:t>
      </w:r>
      <w:proofErr w:type="spellEnd"/>
      <w:r w:rsidRPr="002338A1">
        <w:rPr>
          <w:sz w:val="20"/>
          <w:szCs w:val="20"/>
        </w:rPr>
        <w:t xml:space="preserve"> </w:t>
      </w:r>
      <w:proofErr w:type="spellStart"/>
      <w:r w:rsidRPr="002338A1">
        <w:rPr>
          <w:sz w:val="20"/>
          <w:szCs w:val="20"/>
        </w:rPr>
        <w:t>findings</w:t>
      </w:r>
      <w:proofErr w:type="spellEnd"/>
      <w:r w:rsidRPr="002338A1">
        <w:rPr>
          <w:sz w:val="20"/>
          <w:szCs w:val="20"/>
        </w:rPr>
        <w:t xml:space="preserve"> </w:t>
      </w:r>
      <w:proofErr w:type="spellStart"/>
      <w:r w:rsidRPr="002338A1">
        <w:rPr>
          <w:sz w:val="20"/>
          <w:szCs w:val="20"/>
        </w:rPr>
        <w:t>for</w:t>
      </w:r>
      <w:proofErr w:type="spellEnd"/>
      <w:r w:rsidRPr="002338A1">
        <w:rPr>
          <w:sz w:val="20"/>
          <w:szCs w:val="20"/>
        </w:rPr>
        <w:t xml:space="preserve"> suicide </w:t>
      </w:r>
      <w:proofErr w:type="spellStart"/>
      <w:r w:rsidRPr="002338A1">
        <w:rPr>
          <w:sz w:val="20"/>
          <w:szCs w:val="20"/>
        </w:rPr>
        <w:t>risk</w:t>
      </w:r>
      <w:proofErr w:type="spellEnd"/>
      <w:r w:rsidRPr="002338A1">
        <w:rPr>
          <w:sz w:val="20"/>
          <w:szCs w:val="20"/>
        </w:rPr>
        <w:t xml:space="preserve"> </w:t>
      </w:r>
      <w:proofErr w:type="spellStart"/>
      <w:r w:rsidRPr="002338A1">
        <w:rPr>
          <w:sz w:val="20"/>
          <w:szCs w:val="20"/>
        </w:rPr>
        <w:t>prevention</w:t>
      </w:r>
      <w:proofErr w:type="spellEnd"/>
      <w:r w:rsidRPr="002338A1">
        <w:rPr>
          <w:sz w:val="20"/>
          <w:szCs w:val="20"/>
        </w:rPr>
        <w:t xml:space="preserve"> in </w:t>
      </w:r>
      <w:proofErr w:type="spellStart"/>
      <w:r w:rsidRPr="002338A1">
        <w:rPr>
          <w:sz w:val="20"/>
          <w:szCs w:val="20"/>
        </w:rPr>
        <w:t>adolescents</w:t>
      </w:r>
      <w:proofErr w:type="spellEnd"/>
      <w:r w:rsidRPr="002338A1">
        <w:rPr>
          <w:sz w:val="20"/>
          <w:szCs w:val="20"/>
        </w:rPr>
        <w:t xml:space="preserve"> and </w:t>
      </w:r>
      <w:proofErr w:type="spellStart"/>
      <w:r w:rsidRPr="002338A1">
        <w:rPr>
          <w:sz w:val="20"/>
          <w:szCs w:val="20"/>
        </w:rPr>
        <w:t>the</w:t>
      </w:r>
      <w:proofErr w:type="spellEnd"/>
      <w:r w:rsidRPr="002338A1">
        <w:rPr>
          <w:sz w:val="20"/>
          <w:szCs w:val="20"/>
        </w:rPr>
        <w:t xml:space="preserve"> </w:t>
      </w:r>
      <w:proofErr w:type="spellStart"/>
      <w:r w:rsidRPr="002338A1">
        <w:rPr>
          <w:sz w:val="20"/>
          <w:szCs w:val="20"/>
        </w:rPr>
        <w:t>importance</w:t>
      </w:r>
      <w:proofErr w:type="spellEnd"/>
      <w:r w:rsidRPr="002338A1">
        <w:rPr>
          <w:sz w:val="20"/>
          <w:szCs w:val="20"/>
        </w:rPr>
        <w:t xml:space="preserve"> </w:t>
      </w:r>
      <w:proofErr w:type="spellStart"/>
      <w:r w:rsidRPr="002338A1">
        <w:rPr>
          <w:sz w:val="20"/>
          <w:szCs w:val="20"/>
        </w:rPr>
        <w:t>of</w:t>
      </w:r>
      <w:proofErr w:type="spellEnd"/>
      <w:r w:rsidRPr="002338A1">
        <w:rPr>
          <w:sz w:val="20"/>
          <w:szCs w:val="20"/>
        </w:rPr>
        <w:t xml:space="preserve"> </w:t>
      </w:r>
      <w:proofErr w:type="spellStart"/>
      <w:r w:rsidRPr="002338A1">
        <w:rPr>
          <w:sz w:val="20"/>
          <w:szCs w:val="20"/>
        </w:rPr>
        <w:t>family</w:t>
      </w:r>
      <w:proofErr w:type="spellEnd"/>
      <w:r w:rsidRPr="002338A1">
        <w:rPr>
          <w:sz w:val="20"/>
          <w:szCs w:val="20"/>
        </w:rPr>
        <w:t xml:space="preserve"> </w:t>
      </w:r>
      <w:proofErr w:type="spellStart"/>
      <w:r w:rsidRPr="002338A1">
        <w:rPr>
          <w:sz w:val="20"/>
          <w:szCs w:val="20"/>
        </w:rPr>
        <w:t>strengthening</w:t>
      </w:r>
      <w:proofErr w:type="spellEnd"/>
      <w:r w:rsidRPr="002338A1">
        <w:rPr>
          <w:sz w:val="20"/>
          <w:szCs w:val="20"/>
        </w:rPr>
        <w:t xml:space="preserve"> and </w:t>
      </w:r>
      <w:proofErr w:type="spellStart"/>
      <w:r w:rsidRPr="002338A1">
        <w:rPr>
          <w:sz w:val="20"/>
          <w:szCs w:val="20"/>
        </w:rPr>
        <w:t>violence</w:t>
      </w:r>
      <w:proofErr w:type="spellEnd"/>
      <w:r w:rsidRPr="002338A1">
        <w:rPr>
          <w:sz w:val="20"/>
          <w:szCs w:val="20"/>
        </w:rPr>
        <w:t xml:space="preserve"> </w:t>
      </w:r>
      <w:proofErr w:type="spellStart"/>
      <w:r w:rsidRPr="002338A1">
        <w:rPr>
          <w:sz w:val="20"/>
          <w:szCs w:val="20"/>
        </w:rPr>
        <w:t>reduction</w:t>
      </w:r>
      <w:proofErr w:type="spellEnd"/>
      <w:r w:rsidRPr="002338A1">
        <w:rPr>
          <w:sz w:val="20"/>
          <w:szCs w:val="20"/>
        </w:rPr>
        <w:t xml:space="preserve"> in </w:t>
      </w:r>
      <w:proofErr w:type="spellStart"/>
      <w:r w:rsidRPr="002338A1">
        <w:rPr>
          <w:sz w:val="20"/>
          <w:szCs w:val="20"/>
        </w:rPr>
        <w:t>school</w:t>
      </w:r>
      <w:proofErr w:type="spellEnd"/>
      <w:r w:rsidRPr="002338A1">
        <w:rPr>
          <w:sz w:val="20"/>
          <w:szCs w:val="20"/>
        </w:rPr>
        <w:t xml:space="preserve"> and </w:t>
      </w:r>
      <w:proofErr w:type="spellStart"/>
      <w:r w:rsidRPr="002338A1">
        <w:rPr>
          <w:sz w:val="20"/>
          <w:szCs w:val="20"/>
        </w:rPr>
        <w:t>community</w:t>
      </w:r>
      <w:proofErr w:type="spellEnd"/>
      <w:r w:rsidRPr="002338A1">
        <w:rPr>
          <w:sz w:val="20"/>
          <w:szCs w:val="20"/>
        </w:rPr>
        <w:t xml:space="preserve"> </w:t>
      </w:r>
      <w:proofErr w:type="spellStart"/>
      <w:r w:rsidRPr="002338A1">
        <w:rPr>
          <w:sz w:val="20"/>
          <w:szCs w:val="20"/>
        </w:rPr>
        <w:t>settings</w:t>
      </w:r>
      <w:proofErr w:type="spellEnd"/>
      <w:r w:rsidRPr="002338A1">
        <w:rPr>
          <w:sz w:val="20"/>
          <w:szCs w:val="20"/>
        </w:rPr>
        <w:t xml:space="preserve"> are </w:t>
      </w:r>
      <w:proofErr w:type="spellStart"/>
      <w:r w:rsidRPr="002338A1">
        <w:rPr>
          <w:sz w:val="20"/>
          <w:szCs w:val="20"/>
        </w:rPr>
        <w:t>discussed</w:t>
      </w:r>
      <w:proofErr w:type="spellEnd"/>
      <w:r w:rsidRPr="002338A1">
        <w:rPr>
          <w:sz w:val="20"/>
          <w:szCs w:val="20"/>
        </w:rPr>
        <w:t>.</w:t>
      </w:r>
    </w:p>
    <w:p w14:paraId="727B8D13" w14:textId="77777777" w:rsidR="00017F59" w:rsidRDefault="00017F59">
      <w:pPr>
        <w:rPr>
          <w:sz w:val="20"/>
          <w:szCs w:val="20"/>
        </w:rPr>
      </w:pPr>
    </w:p>
    <w:p w14:paraId="08E00765" w14:textId="08054020" w:rsidR="00017F59" w:rsidRDefault="00577237">
      <w:pPr>
        <w:jc w:val="both"/>
        <w:rPr>
          <w:b/>
          <w:sz w:val="20"/>
          <w:szCs w:val="20"/>
        </w:rPr>
      </w:pPr>
      <w:proofErr w:type="spellStart"/>
      <w:r>
        <w:rPr>
          <w:b/>
          <w:sz w:val="20"/>
          <w:szCs w:val="20"/>
        </w:rPr>
        <w:t>Keywords</w:t>
      </w:r>
      <w:proofErr w:type="spellEnd"/>
      <w:r>
        <w:rPr>
          <w:b/>
          <w:sz w:val="20"/>
          <w:szCs w:val="20"/>
        </w:rPr>
        <w:t>:</w:t>
      </w:r>
    </w:p>
    <w:p w14:paraId="41BDC236" w14:textId="594CB6E2" w:rsidR="00577237" w:rsidRPr="00577237" w:rsidRDefault="00577237">
      <w:pPr>
        <w:jc w:val="both"/>
        <w:rPr>
          <w:bCs/>
          <w:sz w:val="20"/>
          <w:szCs w:val="20"/>
        </w:rPr>
      </w:pPr>
      <w:proofErr w:type="spellStart"/>
      <w:r w:rsidRPr="00577237">
        <w:rPr>
          <w:bCs/>
          <w:sz w:val="20"/>
          <w:szCs w:val="20"/>
        </w:rPr>
        <w:t>Family</w:t>
      </w:r>
      <w:proofErr w:type="spellEnd"/>
      <w:r w:rsidRPr="00577237">
        <w:rPr>
          <w:bCs/>
          <w:sz w:val="20"/>
          <w:szCs w:val="20"/>
        </w:rPr>
        <w:t xml:space="preserve">, </w:t>
      </w:r>
      <w:proofErr w:type="spellStart"/>
      <w:r w:rsidRPr="00577237">
        <w:rPr>
          <w:bCs/>
          <w:sz w:val="20"/>
          <w:szCs w:val="20"/>
        </w:rPr>
        <w:t>violence</w:t>
      </w:r>
      <w:proofErr w:type="spellEnd"/>
      <w:r w:rsidRPr="00577237">
        <w:rPr>
          <w:bCs/>
          <w:sz w:val="20"/>
          <w:szCs w:val="20"/>
        </w:rPr>
        <w:t xml:space="preserve">, suicide, </w:t>
      </w:r>
      <w:proofErr w:type="spellStart"/>
      <w:r w:rsidRPr="00577237">
        <w:rPr>
          <w:bCs/>
          <w:sz w:val="20"/>
          <w:szCs w:val="20"/>
        </w:rPr>
        <w:t>adolescence</w:t>
      </w:r>
      <w:proofErr w:type="spellEnd"/>
      <w:r w:rsidRPr="00577237">
        <w:rPr>
          <w:bCs/>
          <w:sz w:val="20"/>
          <w:szCs w:val="20"/>
        </w:rPr>
        <w:t>.</w:t>
      </w:r>
    </w:p>
    <w:p w14:paraId="2AF08CB6" w14:textId="77777777" w:rsidR="00017F59" w:rsidRDefault="00017F59">
      <w:pPr>
        <w:rPr>
          <w:b/>
        </w:rPr>
      </w:pPr>
    </w:p>
    <w:p w14:paraId="42E7767C" w14:textId="2FAB1774" w:rsidR="00577237" w:rsidRPr="00577237" w:rsidRDefault="00000000" w:rsidP="007F47B2">
      <w:pPr>
        <w:pBdr>
          <w:top w:val="nil"/>
          <w:left w:val="nil"/>
          <w:bottom w:val="nil"/>
          <w:right w:val="nil"/>
          <w:between w:val="nil"/>
        </w:pBdr>
        <w:spacing w:after="160" w:line="360" w:lineRule="auto"/>
        <w:jc w:val="center"/>
        <w:rPr>
          <w:b/>
          <w:color w:val="000000"/>
        </w:rPr>
      </w:pPr>
      <w:r>
        <w:br w:type="page"/>
      </w:r>
      <w:r w:rsidR="00577237" w:rsidRPr="00577237">
        <w:rPr>
          <w:b/>
          <w:color w:val="000000"/>
        </w:rPr>
        <w:lastRenderedPageBreak/>
        <w:t>Relación entre funcionamiento familiar, violencia e ideación suicida en adolescentes escolares de Ventanilla</w:t>
      </w:r>
    </w:p>
    <w:p w14:paraId="2B93A5FA" w14:textId="7CC73334" w:rsidR="00017F59" w:rsidRDefault="00000000" w:rsidP="007F47B2">
      <w:pPr>
        <w:pBdr>
          <w:top w:val="nil"/>
          <w:left w:val="nil"/>
          <w:bottom w:val="nil"/>
          <w:right w:val="nil"/>
          <w:between w:val="nil"/>
        </w:pBdr>
        <w:spacing w:after="160" w:line="360" w:lineRule="auto"/>
        <w:jc w:val="center"/>
        <w:rPr>
          <w:b/>
          <w:color w:val="000000"/>
        </w:rPr>
      </w:pPr>
      <w:r>
        <w:rPr>
          <w:b/>
          <w:color w:val="000000"/>
        </w:rPr>
        <w:t>Introduc</w:t>
      </w:r>
      <w:r w:rsidR="00577237">
        <w:rPr>
          <w:b/>
          <w:color w:val="000000"/>
        </w:rPr>
        <w:t>ción</w:t>
      </w:r>
    </w:p>
    <w:p w14:paraId="5A532C61" w14:textId="7D7DBC5D" w:rsidR="00017F59" w:rsidRDefault="00826CF3" w:rsidP="007F47B2">
      <w:pPr>
        <w:pBdr>
          <w:top w:val="nil"/>
          <w:left w:val="nil"/>
          <w:bottom w:val="nil"/>
          <w:right w:val="nil"/>
          <w:between w:val="nil"/>
        </w:pBdr>
        <w:spacing w:after="160" w:line="360" w:lineRule="auto"/>
        <w:ind w:firstLine="708"/>
        <w:jc w:val="both"/>
        <w:rPr>
          <w:color w:val="000000"/>
        </w:rPr>
      </w:pPr>
      <w:r>
        <w:rPr>
          <w:color w:val="000000"/>
        </w:rPr>
        <w:t xml:space="preserve">La ideación suicida </w:t>
      </w:r>
      <w:r w:rsidR="0099669C">
        <w:rPr>
          <w:color w:val="000000"/>
        </w:rPr>
        <w:t>constituye</w:t>
      </w:r>
      <w:r>
        <w:rPr>
          <w:color w:val="000000"/>
        </w:rPr>
        <w:t xml:space="preserve"> un problema de gran relevancia social y sanitaria, al ser considerada una señal de alerta frente a la posibilidad de desenlaces fatales. En la adolescencia, este fenómeno adquiere particular importancia debido a las </w:t>
      </w:r>
      <w:r w:rsidR="0099669C">
        <w:rPr>
          <w:color w:val="000000"/>
        </w:rPr>
        <w:t>implicancias</w:t>
      </w:r>
      <w:r>
        <w:rPr>
          <w:color w:val="000000"/>
        </w:rPr>
        <w:t xml:space="preserve"> que tiene en el desarrollo emocional, social y académico </w:t>
      </w:r>
      <w:r w:rsidR="0099669C">
        <w:rPr>
          <w:color w:val="000000"/>
        </w:rPr>
        <w:t>de los adolescentes. Asimismo, su abordaje se vincula con los Objetivos de Desarrollo Sostenible, especialmente con la meta 3.4, que busca reducir la mortalidad prematura y promover la salud mental (Organización de las Naciones Unidas, 2020).</w:t>
      </w:r>
    </w:p>
    <w:p w14:paraId="147E3947" w14:textId="476E5EF8" w:rsidR="0099669C" w:rsidRDefault="0099669C" w:rsidP="007F47B2">
      <w:pPr>
        <w:pBdr>
          <w:top w:val="nil"/>
          <w:left w:val="nil"/>
          <w:bottom w:val="nil"/>
          <w:right w:val="nil"/>
          <w:between w:val="nil"/>
        </w:pBdr>
        <w:spacing w:after="160" w:line="360" w:lineRule="auto"/>
        <w:ind w:firstLine="708"/>
        <w:jc w:val="both"/>
        <w:rPr>
          <w:color w:val="000000"/>
        </w:rPr>
      </w:pPr>
      <w:r>
        <w:rPr>
          <w:color w:val="000000"/>
        </w:rPr>
        <w:t>A nivel global, el suicidio se ubica entre las principales causas de muerte en adolescentes y jóvenes, con una tasa mundial estimada de 9,2 por cada 100 000 habitantes (Organización Mundial de la Salud, 2024). En América, se reportan más de 97 000 muertes por suicido anuales, siendo los intentos más frecuentes (Organización Panamericana de la Salud</w:t>
      </w:r>
      <w:r w:rsidR="00081C4C">
        <w:rPr>
          <w:color w:val="000000"/>
        </w:rPr>
        <w:t>, 2021). En el Perú, los casos han mostrado un incremento sostenido en los últimos años: solo en 2025 se registraron más de 500 fallecimientos por suicido, con una tasa especialmente elevada en menores de 17 años (Ministerio de Salud, 2025). Estos datos evidencian la urgencia de comprender los factores que predisponen a la ideación suicida en adolescentes.</w:t>
      </w:r>
    </w:p>
    <w:p w14:paraId="43DA66CC" w14:textId="7DB2A4A2" w:rsidR="00017F59" w:rsidRDefault="00081C4C" w:rsidP="007F47B2">
      <w:pPr>
        <w:pBdr>
          <w:top w:val="nil"/>
          <w:left w:val="nil"/>
          <w:bottom w:val="nil"/>
          <w:right w:val="nil"/>
          <w:between w:val="nil"/>
        </w:pBdr>
        <w:spacing w:after="160" w:line="360" w:lineRule="auto"/>
        <w:ind w:firstLine="708"/>
        <w:jc w:val="both"/>
        <w:rPr>
          <w:color w:val="000000"/>
        </w:rPr>
      </w:pPr>
      <w:r>
        <w:rPr>
          <w:color w:val="000000"/>
        </w:rPr>
        <w:t>Entre los factores de riesgo más documentados se encuentran el funcionamiento familiar y la exposición a la violencia. Investigaciones previas destacan que los adolescentes que crecen en entornos familiares disfuncionales presentan mayores niveles de ideación suicida (Rodríguez-Arista et al., 2021; Alfaro-Ticona &amp; Centella-Centeno, 2021). De manera complementaria, la exposición directa o indirecta a la violencia ha sido identificada como un predictor relevante de pensamientos suicidas en población suicida</w:t>
      </w:r>
      <w:r w:rsidR="0019537C">
        <w:rPr>
          <w:color w:val="000000"/>
        </w:rPr>
        <w:t xml:space="preserve"> (</w:t>
      </w:r>
      <w:proofErr w:type="spellStart"/>
      <w:r w:rsidR="0019537C">
        <w:rPr>
          <w:color w:val="000000"/>
        </w:rPr>
        <w:t>Angelakis</w:t>
      </w:r>
      <w:proofErr w:type="spellEnd"/>
      <w:r w:rsidR="0019537C">
        <w:rPr>
          <w:color w:val="000000"/>
        </w:rPr>
        <w:t xml:space="preserve"> et al., 2020; Galán et al., 2022). Sin embargo, la mayoría de estos estudios se han desarrollado en contextos geográficos y socioculturales distintos, lo que limita la generalización de sus hallazgos a la realidad local. </w:t>
      </w:r>
    </w:p>
    <w:p w14:paraId="08D4EA03" w14:textId="77777777" w:rsidR="0019537C" w:rsidRDefault="0019537C" w:rsidP="007F47B2">
      <w:pPr>
        <w:pBdr>
          <w:top w:val="nil"/>
          <w:left w:val="nil"/>
          <w:bottom w:val="nil"/>
          <w:right w:val="nil"/>
          <w:between w:val="nil"/>
        </w:pBdr>
        <w:spacing w:after="160" w:line="360" w:lineRule="auto"/>
        <w:ind w:firstLine="708"/>
        <w:jc w:val="both"/>
        <w:rPr>
          <w:color w:val="000000"/>
        </w:rPr>
      </w:pPr>
      <w:r>
        <w:rPr>
          <w:color w:val="000000"/>
        </w:rPr>
        <w:t xml:space="preserve">En el distrito de Ventanilla, se han reportado elevados índices de violencia familiar (Gobierno Regional del Callao, 2021), lo que hace pertinente explorar cómo interactúan estas variables en la salud mental de los adolescentes escolarizados. No obstante, a la fecha no se cuenta </w:t>
      </w:r>
      <w:r>
        <w:rPr>
          <w:color w:val="000000"/>
        </w:rPr>
        <w:lastRenderedPageBreak/>
        <w:t xml:space="preserve">con estudios que analicen de manera empírica la relación entre el funcionamiento familiar, la exposición a la violencia y la ideación suicida en esta población especifica. </w:t>
      </w:r>
    </w:p>
    <w:p w14:paraId="33E24C3B" w14:textId="2C20FE9F" w:rsidR="0019537C" w:rsidRDefault="0019537C" w:rsidP="007F47B2">
      <w:pPr>
        <w:pBdr>
          <w:top w:val="nil"/>
          <w:left w:val="nil"/>
          <w:bottom w:val="nil"/>
          <w:right w:val="nil"/>
          <w:between w:val="nil"/>
        </w:pBdr>
        <w:spacing w:after="160" w:line="360" w:lineRule="auto"/>
        <w:ind w:firstLine="708"/>
        <w:jc w:val="both"/>
        <w:rPr>
          <w:rFonts w:eastAsia="Arial" w:cs="Arial"/>
          <w:color w:val="000000" w:themeColor="text1"/>
        </w:rPr>
      </w:pPr>
      <w:r>
        <w:rPr>
          <w:color w:val="000000"/>
        </w:rPr>
        <w:t xml:space="preserve">En este marco, el objetivo del presente estudio fue determinar la relación entre el funcionamiento familiar, la exposición a la violencia y la ideación suicida en adolescentes de instituciones educativas estatales del distrito de Ventanilla, 2025. En relación a los objetivos específicos fueron: </w:t>
      </w:r>
      <w:r w:rsidRPr="008C69D5">
        <w:rPr>
          <w:rFonts w:cs="Arial"/>
          <w:color w:val="000000" w:themeColor="text1"/>
          <w:shd w:val="clear" w:color="auto" w:fill="FFFFFF"/>
        </w:rPr>
        <w:t>a) Determinar los niveles de funcionamiento familiar en adolescentes en instituciones educativas estatales del distrito de Ventanilla, 2025. b</w:t>
      </w:r>
      <w:r w:rsidRPr="008C69D5">
        <w:rPr>
          <w:rFonts w:cs="Arial"/>
          <w:color w:val="000000" w:themeColor="text1"/>
          <w:shd w:val="clear" w:color="auto" w:fill="FFFFFF"/>
          <w:lang w:val="es-PE"/>
        </w:rPr>
        <w:t>)</w:t>
      </w:r>
      <w:r w:rsidRPr="008C69D5">
        <w:rPr>
          <w:rFonts w:cs="Arial"/>
          <w:color w:val="000000" w:themeColor="text1"/>
          <w:shd w:val="clear" w:color="auto" w:fill="FFFFFF"/>
        </w:rPr>
        <w:t xml:space="preserve"> Determinar los niveles de exposición a la violencia en adolescentes de instituciones educativas estatales del distrito de Ventanilla, 2025. c) Determinar la frecuencia de la ideación suicida en estudiantes de instituciones educativas estatales del distrito de Ventanilla, 2025. d)</w:t>
      </w:r>
      <w:r w:rsidRPr="008C69D5">
        <w:rPr>
          <w:rFonts w:cs="Arial"/>
          <w:color w:val="000000" w:themeColor="text1"/>
          <w:shd w:val="clear" w:color="auto" w:fill="FFFFFF"/>
          <w:lang w:val="es-PE"/>
        </w:rPr>
        <w:t xml:space="preserve"> </w:t>
      </w:r>
      <w:r w:rsidRPr="008C69D5">
        <w:rPr>
          <w:rFonts w:cs="Arial"/>
          <w:color w:val="000000" w:themeColor="text1"/>
          <w:shd w:val="clear" w:color="auto" w:fill="FFFFFF"/>
        </w:rPr>
        <w:t xml:space="preserve">Determinar el nivel de relación entre el funcionamiento familiar y la ideación suicida en adolescentes en instituciones educativas estatales del distrito de </w:t>
      </w:r>
      <w:r w:rsidRPr="008C69D5">
        <w:rPr>
          <w:rFonts w:eastAsia="Arial" w:cs="Arial"/>
          <w:color w:val="000000" w:themeColor="text1"/>
        </w:rPr>
        <w:t>Ventanilla, 2025</w:t>
      </w:r>
      <w:r w:rsidRPr="008C69D5">
        <w:rPr>
          <w:rFonts w:cs="Arial"/>
          <w:color w:val="000000" w:themeColor="text1"/>
          <w:shd w:val="clear" w:color="auto" w:fill="FFFFFF"/>
        </w:rPr>
        <w:t xml:space="preserve">. e) Determinar el nivel de relación entre la exposición a la violencia y la ideación suicida en estudiantes de secundaria de instituciones educativas estatales del distrito de </w:t>
      </w:r>
      <w:r w:rsidRPr="008C69D5">
        <w:rPr>
          <w:rFonts w:eastAsia="Arial" w:cs="Arial"/>
          <w:color w:val="000000" w:themeColor="text1"/>
        </w:rPr>
        <w:t>Ventanilla, 2025</w:t>
      </w:r>
      <w:r w:rsidRPr="008C69D5">
        <w:rPr>
          <w:rFonts w:cs="Arial"/>
          <w:color w:val="000000" w:themeColor="text1"/>
          <w:shd w:val="clear" w:color="auto" w:fill="FFFFFF"/>
        </w:rPr>
        <w:t xml:space="preserve">. f) Determinar el nivel de relación entre el funcionamiento familiar y la participación en la violencia en estudiantes de secundaria de instituciones educativas estatales del distrito de </w:t>
      </w:r>
      <w:r w:rsidRPr="008C69D5">
        <w:rPr>
          <w:rFonts w:eastAsia="Arial" w:cs="Arial"/>
          <w:color w:val="000000" w:themeColor="text1"/>
        </w:rPr>
        <w:t>Ventanilla, 2025</w:t>
      </w:r>
      <w:r w:rsidRPr="008C69D5">
        <w:rPr>
          <w:rFonts w:cs="Arial"/>
          <w:color w:val="000000" w:themeColor="text1"/>
          <w:shd w:val="clear" w:color="auto" w:fill="FFFFFF"/>
        </w:rPr>
        <w:t>.</w:t>
      </w:r>
      <w:r w:rsidRPr="008C69D5">
        <w:rPr>
          <w:rFonts w:eastAsia="Arial" w:cs="Arial"/>
          <w:color w:val="000000" w:themeColor="text1"/>
        </w:rPr>
        <w:t xml:space="preserve"> </w:t>
      </w:r>
    </w:p>
    <w:p w14:paraId="1423E11C" w14:textId="6B223D2B" w:rsidR="00017F59" w:rsidRDefault="0019537C" w:rsidP="007F47B2">
      <w:pPr>
        <w:pBdr>
          <w:top w:val="nil"/>
          <w:left w:val="nil"/>
          <w:bottom w:val="nil"/>
          <w:right w:val="nil"/>
          <w:between w:val="nil"/>
        </w:pBdr>
        <w:spacing w:after="160" w:line="360" w:lineRule="auto"/>
        <w:ind w:firstLine="708"/>
        <w:jc w:val="both"/>
        <w:rPr>
          <w:color w:val="000000"/>
        </w:rPr>
      </w:pPr>
      <w:r>
        <w:rPr>
          <w:color w:val="000000"/>
        </w:rPr>
        <w:t>Asimismo, se plantearon las siguientes hipótesis: a) Existe una relación significativa e inversa entre el funcionamiento familiar y la ideación suicida; b) Existe una relación significativa y directa entre la exposición a la violencia y la ideación suicida; y c) Existe una relación significativa e inversa entre el funcionamiento familiar y la exposición a la violencia.</w:t>
      </w:r>
    </w:p>
    <w:p w14:paraId="3F7FB920" w14:textId="2C8534FD" w:rsidR="00017F59" w:rsidRDefault="0019537C" w:rsidP="007F47B2">
      <w:pPr>
        <w:pBdr>
          <w:top w:val="nil"/>
          <w:left w:val="nil"/>
          <w:bottom w:val="nil"/>
          <w:right w:val="nil"/>
          <w:between w:val="nil"/>
        </w:pBdr>
        <w:spacing w:after="160" w:line="360" w:lineRule="auto"/>
        <w:jc w:val="center"/>
        <w:rPr>
          <w:b/>
          <w:color w:val="000000"/>
        </w:rPr>
      </w:pPr>
      <w:r>
        <w:rPr>
          <w:b/>
          <w:color w:val="000000"/>
        </w:rPr>
        <w:t>Metodología</w:t>
      </w:r>
    </w:p>
    <w:p w14:paraId="3E7DE669" w14:textId="6DA2BC63" w:rsidR="00017F59" w:rsidRDefault="00C44207" w:rsidP="007F47B2">
      <w:pPr>
        <w:pBdr>
          <w:top w:val="nil"/>
          <w:left w:val="nil"/>
          <w:bottom w:val="nil"/>
          <w:right w:val="nil"/>
          <w:between w:val="nil"/>
        </w:pBdr>
        <w:spacing w:after="160" w:line="360" w:lineRule="auto"/>
        <w:jc w:val="both"/>
        <w:rPr>
          <w:b/>
          <w:i/>
          <w:color w:val="000000"/>
        </w:rPr>
      </w:pPr>
      <w:r>
        <w:rPr>
          <w:b/>
          <w:i/>
          <w:color w:val="000000"/>
        </w:rPr>
        <w:t>Participantes</w:t>
      </w:r>
    </w:p>
    <w:p w14:paraId="1D4E65F9" w14:textId="59802D83" w:rsidR="00C44207" w:rsidRDefault="00C44207" w:rsidP="007F47B2">
      <w:pPr>
        <w:pBdr>
          <w:top w:val="nil"/>
          <w:left w:val="nil"/>
          <w:bottom w:val="nil"/>
          <w:right w:val="nil"/>
          <w:between w:val="nil"/>
        </w:pBdr>
        <w:spacing w:after="160" w:line="360" w:lineRule="auto"/>
        <w:ind w:firstLine="708"/>
        <w:jc w:val="both"/>
        <w:rPr>
          <w:color w:val="000000"/>
        </w:rPr>
      </w:pPr>
      <w:r>
        <w:rPr>
          <w:color w:val="000000"/>
        </w:rPr>
        <w:t>La muestra final estuvo conformada por 374 adolescentes, con edades entre 12 y 17 años, matriculados en instituciones educativas estatales del distrito de Ventanilla durante el 2025.</w:t>
      </w:r>
      <w:r w:rsidR="007F47B2">
        <w:rPr>
          <w:color w:val="000000"/>
        </w:rPr>
        <w:t xml:space="preserve"> </w:t>
      </w:r>
      <w:r>
        <w:rPr>
          <w:color w:val="000000"/>
        </w:rPr>
        <w:t>El procedimiento de selección fue no probabilístico por conveniencia, considerando a quienes contaban con consentimiento informada de padres o tutores y asentimiento de los estudiantes. Inicialmente se aplicaron los instrumentos a 447 participantes, pero se excluyeron aquellos cuestionarios incompletos, con respuestas inconsistentes o sin consentimiento o asentimiento informado.</w:t>
      </w:r>
    </w:p>
    <w:p w14:paraId="4E3544EB" w14:textId="4FCFD8E8" w:rsidR="00017F59" w:rsidRDefault="00C44207" w:rsidP="007F47B2">
      <w:pPr>
        <w:pBdr>
          <w:top w:val="nil"/>
          <w:left w:val="nil"/>
          <w:bottom w:val="nil"/>
          <w:right w:val="nil"/>
          <w:between w:val="nil"/>
        </w:pBdr>
        <w:spacing w:after="160" w:line="360" w:lineRule="auto"/>
        <w:jc w:val="both"/>
        <w:rPr>
          <w:b/>
          <w:i/>
          <w:color w:val="000000"/>
        </w:rPr>
      </w:pPr>
      <w:r>
        <w:rPr>
          <w:b/>
          <w:i/>
          <w:color w:val="000000"/>
        </w:rPr>
        <w:lastRenderedPageBreak/>
        <w:t>Diseño</w:t>
      </w:r>
    </w:p>
    <w:p w14:paraId="6CA1D8B0" w14:textId="75897D28" w:rsidR="00017F59" w:rsidRDefault="00C44207" w:rsidP="007F47B2">
      <w:pPr>
        <w:pBdr>
          <w:top w:val="nil"/>
          <w:left w:val="nil"/>
          <w:bottom w:val="nil"/>
          <w:right w:val="nil"/>
          <w:between w:val="nil"/>
        </w:pBdr>
        <w:spacing w:after="160" w:line="360" w:lineRule="auto"/>
        <w:ind w:firstLine="708"/>
        <w:jc w:val="both"/>
        <w:rPr>
          <w:color w:val="000000"/>
        </w:rPr>
      </w:pPr>
      <w:r>
        <w:rPr>
          <w:color w:val="000000"/>
        </w:rPr>
        <w:t>El estudio adoptó un diseño no experimental, transversal y correlacional. Se analizaron las asociaciones entre el funcionamiento familiar, exposición a la violencia e ideación suicida en adolescentes, sin manipular variables independientes.</w:t>
      </w:r>
    </w:p>
    <w:p w14:paraId="1802D8AB" w14:textId="03FAEE8C" w:rsidR="00017F59" w:rsidRDefault="00C44207" w:rsidP="007F47B2">
      <w:pPr>
        <w:pBdr>
          <w:top w:val="nil"/>
          <w:left w:val="nil"/>
          <w:bottom w:val="nil"/>
          <w:right w:val="nil"/>
          <w:between w:val="nil"/>
        </w:pBdr>
        <w:spacing w:after="160" w:line="360" w:lineRule="auto"/>
        <w:jc w:val="both"/>
        <w:rPr>
          <w:b/>
          <w:i/>
          <w:color w:val="000000"/>
        </w:rPr>
      </w:pPr>
      <w:r>
        <w:rPr>
          <w:b/>
          <w:i/>
          <w:color w:val="000000"/>
        </w:rPr>
        <w:t>Materiales</w:t>
      </w:r>
    </w:p>
    <w:p w14:paraId="403ECDFF" w14:textId="2B9F9DAD" w:rsidR="00017F59" w:rsidRDefault="009C2BFA" w:rsidP="007F47B2">
      <w:pPr>
        <w:pBdr>
          <w:top w:val="nil"/>
          <w:left w:val="nil"/>
          <w:bottom w:val="nil"/>
          <w:right w:val="nil"/>
          <w:between w:val="nil"/>
        </w:pBdr>
        <w:spacing w:after="160" w:line="360" w:lineRule="auto"/>
        <w:ind w:firstLine="708"/>
        <w:jc w:val="both"/>
        <w:rPr>
          <w:color w:val="000000"/>
        </w:rPr>
      </w:pPr>
      <w:r>
        <w:rPr>
          <w:color w:val="000000"/>
        </w:rPr>
        <w:t xml:space="preserve">Se utilizaron tres cuestionarios estandarizados, adaptados y validados en población adolescente: </w:t>
      </w:r>
    </w:p>
    <w:p w14:paraId="7824E37D" w14:textId="7FE07602" w:rsidR="009C2BFA" w:rsidRDefault="009C2BFA" w:rsidP="007F47B2">
      <w:pPr>
        <w:pStyle w:val="Prrafodelista"/>
        <w:numPr>
          <w:ilvl w:val="0"/>
          <w:numId w:val="3"/>
        </w:numPr>
        <w:pBdr>
          <w:top w:val="nil"/>
          <w:left w:val="nil"/>
          <w:bottom w:val="nil"/>
          <w:right w:val="nil"/>
          <w:between w:val="nil"/>
        </w:pBdr>
        <w:spacing w:after="160" w:line="360" w:lineRule="auto"/>
        <w:jc w:val="both"/>
        <w:rPr>
          <w:color w:val="000000"/>
        </w:rPr>
      </w:pPr>
      <w:r>
        <w:rPr>
          <w:color w:val="000000"/>
        </w:rPr>
        <w:t>APGAR Familiar (</w:t>
      </w:r>
      <w:proofErr w:type="spellStart"/>
      <w:r>
        <w:rPr>
          <w:color w:val="000000"/>
        </w:rPr>
        <w:t>Smilkestein</w:t>
      </w:r>
      <w:proofErr w:type="spellEnd"/>
      <w:r>
        <w:rPr>
          <w:color w:val="000000"/>
        </w:rPr>
        <w:t>, 1978), de 5 ítems tipo Likert, que evalúa cinco dimensiones: adaptación, participación, crecimiento, afecto y resolución. Permite clasificar la dinámica familiar en niveles de disfunción severa, moderada, leve y buena función familiar. En población peruana ha mostrado adecuada confiabilidad (</w:t>
      </w:r>
      <w:r w:rsidRPr="009C2BFA">
        <w:rPr>
          <w:color w:val="000000"/>
        </w:rPr>
        <w:t>α</w:t>
      </w:r>
      <w:r>
        <w:rPr>
          <w:color w:val="000000"/>
        </w:rPr>
        <w:t xml:space="preserve"> = .78).</w:t>
      </w:r>
    </w:p>
    <w:p w14:paraId="77538E0C" w14:textId="73138831" w:rsidR="009C2BFA" w:rsidRDefault="009C2BFA" w:rsidP="007F47B2">
      <w:pPr>
        <w:pStyle w:val="Prrafodelista"/>
        <w:numPr>
          <w:ilvl w:val="0"/>
          <w:numId w:val="3"/>
        </w:numPr>
        <w:pBdr>
          <w:top w:val="nil"/>
          <w:left w:val="nil"/>
          <w:bottom w:val="nil"/>
          <w:right w:val="nil"/>
          <w:between w:val="nil"/>
        </w:pBdr>
        <w:spacing w:after="160" w:line="360" w:lineRule="auto"/>
        <w:jc w:val="both"/>
        <w:rPr>
          <w:color w:val="000000"/>
        </w:rPr>
      </w:pPr>
      <w:r>
        <w:rPr>
          <w:color w:val="000000"/>
        </w:rPr>
        <w:t xml:space="preserve">Cuestionario de Exposición a la Violencia </w:t>
      </w:r>
      <w:r w:rsidR="001B5D61">
        <w:rPr>
          <w:color w:val="000000"/>
        </w:rPr>
        <w:t>(CEV) (</w:t>
      </w:r>
      <w:proofErr w:type="spellStart"/>
      <w:r w:rsidR="001B5D61">
        <w:rPr>
          <w:color w:val="000000"/>
        </w:rPr>
        <w:t>Orue</w:t>
      </w:r>
      <w:proofErr w:type="spellEnd"/>
      <w:r w:rsidR="001B5D61">
        <w:rPr>
          <w:color w:val="000000"/>
        </w:rPr>
        <w:t xml:space="preserve"> &amp; Calvete, 2010), compuesto por 21 ítems que miden la frecuencia de experiencia de victimización y observación de violencia en escuela, vecindario, hogar y televisión. Utiliza una escala Likert de 5 puntos (0 = nunca a 4 = siempre). Estudios previos en Perú reportan altos niveles de validez y confiabilidad (</w:t>
      </w:r>
      <w:r w:rsidR="001B5D61" w:rsidRPr="009C2BFA">
        <w:rPr>
          <w:color w:val="000000"/>
        </w:rPr>
        <w:t>α</w:t>
      </w:r>
      <w:r w:rsidR="001B5D61">
        <w:rPr>
          <w:color w:val="000000"/>
        </w:rPr>
        <w:t xml:space="preserve"> </w:t>
      </w:r>
      <w:r w:rsidR="001B5D61" w:rsidRPr="001B5D61">
        <w:rPr>
          <w:color w:val="000000"/>
        </w:rPr>
        <w:t>&gt;</w:t>
      </w:r>
      <w:r w:rsidR="001B5D61">
        <w:rPr>
          <w:color w:val="000000"/>
        </w:rPr>
        <w:t>.86).</w:t>
      </w:r>
    </w:p>
    <w:p w14:paraId="54AAFDB3" w14:textId="74357E90" w:rsidR="001B5D61" w:rsidRPr="001B5D61" w:rsidRDefault="001B5D61" w:rsidP="007F47B2">
      <w:pPr>
        <w:pStyle w:val="Prrafodelista"/>
        <w:numPr>
          <w:ilvl w:val="0"/>
          <w:numId w:val="3"/>
        </w:numPr>
        <w:pBdr>
          <w:top w:val="nil"/>
          <w:left w:val="nil"/>
          <w:bottom w:val="nil"/>
          <w:right w:val="nil"/>
          <w:between w:val="nil"/>
        </w:pBdr>
        <w:spacing w:after="160" w:line="360" w:lineRule="auto"/>
        <w:jc w:val="both"/>
        <w:rPr>
          <w:color w:val="000000"/>
        </w:rPr>
      </w:pPr>
      <w:r>
        <w:rPr>
          <w:color w:val="000000"/>
        </w:rPr>
        <w:t>Escala de Ideación Suicida de Roberts (</w:t>
      </w:r>
      <w:r w:rsidR="00172819">
        <w:rPr>
          <w:color w:val="000000"/>
        </w:rPr>
        <w:t>Baños-Chaparro &amp; Fuster, 2023</w:t>
      </w:r>
      <w:r>
        <w:rPr>
          <w:color w:val="000000"/>
        </w:rPr>
        <w:t xml:space="preserve">), con 4 ítems que indagan la frecuencia de pensamientos suicidas en la ultima semana. La escala se responde en formato ordinal (0 a 3) y alcanza puntajes totales de 0 a 12, donde valores mayores reflejan mayor gravedad. En población peruana ha demostrado excelente consistencia interna </w:t>
      </w:r>
      <w:r>
        <w:rPr>
          <w:color w:val="000000"/>
        </w:rPr>
        <w:t>(</w:t>
      </w:r>
      <w:r w:rsidRPr="009C2BFA">
        <w:rPr>
          <w:color w:val="000000"/>
        </w:rPr>
        <w:t>α</w:t>
      </w:r>
      <w:r>
        <w:rPr>
          <w:color w:val="000000"/>
        </w:rPr>
        <w:t xml:space="preserve"> = .</w:t>
      </w:r>
      <w:r>
        <w:rPr>
          <w:color w:val="000000"/>
        </w:rPr>
        <w:t>94)</w:t>
      </w:r>
      <w:r>
        <w:rPr>
          <w:color w:val="000000"/>
        </w:rPr>
        <w:t>.</w:t>
      </w:r>
    </w:p>
    <w:p w14:paraId="44717A1E" w14:textId="173B5E2A" w:rsidR="00017F59" w:rsidRDefault="001B5D61" w:rsidP="007F47B2">
      <w:pPr>
        <w:pBdr>
          <w:top w:val="nil"/>
          <w:left w:val="nil"/>
          <w:bottom w:val="nil"/>
          <w:right w:val="nil"/>
          <w:between w:val="nil"/>
        </w:pBdr>
        <w:spacing w:after="160" w:line="360" w:lineRule="auto"/>
        <w:jc w:val="both"/>
        <w:rPr>
          <w:b/>
          <w:i/>
          <w:color w:val="000000"/>
        </w:rPr>
      </w:pPr>
      <w:r>
        <w:rPr>
          <w:b/>
          <w:i/>
          <w:color w:val="000000"/>
        </w:rPr>
        <w:t>Procedimiento</w:t>
      </w:r>
    </w:p>
    <w:p w14:paraId="50669981" w14:textId="7CE8DA40" w:rsidR="00017F59" w:rsidRDefault="001B5D61" w:rsidP="007F47B2">
      <w:pPr>
        <w:pBdr>
          <w:top w:val="nil"/>
          <w:left w:val="nil"/>
          <w:bottom w:val="nil"/>
          <w:right w:val="nil"/>
          <w:between w:val="nil"/>
        </w:pBdr>
        <w:spacing w:after="160" w:line="360" w:lineRule="auto"/>
        <w:ind w:firstLine="708"/>
        <w:jc w:val="both"/>
        <w:rPr>
          <w:color w:val="000000"/>
        </w:rPr>
      </w:pPr>
      <w:r>
        <w:rPr>
          <w:color w:val="000000"/>
        </w:rPr>
        <w:t>Se gestionaron los permisos institucionales con las direcciones escolares y se obtuvieron los consentimientos de los padres y el asentimiento de los adolescentes. La aplicación se realizó en las aulas, de manera grupal y presencial, en un tiempo de 30 a 40 minutos. Los cuestionarios fueron administrados en formato papel y bajo la supervisión del equipo investigador, garantizando anonimato y confidencialidad.</w:t>
      </w:r>
    </w:p>
    <w:p w14:paraId="0B1BC415" w14:textId="0A96AFC1" w:rsidR="00017F59" w:rsidRDefault="001B5D61" w:rsidP="007F47B2">
      <w:pPr>
        <w:pBdr>
          <w:top w:val="nil"/>
          <w:left w:val="nil"/>
          <w:bottom w:val="nil"/>
          <w:right w:val="nil"/>
          <w:between w:val="nil"/>
        </w:pBdr>
        <w:spacing w:after="160" w:line="360" w:lineRule="auto"/>
        <w:jc w:val="both"/>
        <w:rPr>
          <w:b/>
          <w:i/>
          <w:color w:val="000000"/>
        </w:rPr>
      </w:pPr>
      <w:r>
        <w:rPr>
          <w:b/>
          <w:i/>
          <w:color w:val="000000"/>
        </w:rPr>
        <w:t>Análisis de datos</w:t>
      </w:r>
    </w:p>
    <w:p w14:paraId="433E016A" w14:textId="5F5726F9" w:rsidR="00017F59" w:rsidRDefault="001B5D61" w:rsidP="007F47B2">
      <w:pPr>
        <w:pBdr>
          <w:top w:val="nil"/>
          <w:left w:val="nil"/>
          <w:bottom w:val="nil"/>
          <w:right w:val="nil"/>
          <w:between w:val="nil"/>
        </w:pBdr>
        <w:spacing w:after="160" w:line="360" w:lineRule="auto"/>
        <w:ind w:firstLine="708"/>
        <w:jc w:val="both"/>
        <w:rPr>
          <w:color w:val="000000"/>
        </w:rPr>
      </w:pPr>
      <w:r>
        <w:rPr>
          <w:color w:val="000000"/>
        </w:rPr>
        <w:lastRenderedPageBreak/>
        <w:t xml:space="preserve">Los datos se procesaron con el software. Se realizaron análisis descriptivos como medias, desviaciones estándares y frecuencias y análisis correlaciones mediante el coeficiente de Pearson, con un nivel de significancia de p </w:t>
      </w:r>
      <w:r w:rsidRPr="001B5D61">
        <w:rPr>
          <w:color w:val="000000"/>
        </w:rPr>
        <w:t>&lt;</w:t>
      </w:r>
      <w:r w:rsidRPr="001B5D61">
        <w:rPr>
          <w:color w:val="000000"/>
        </w:rPr>
        <w:t>.05</w:t>
      </w:r>
      <w:r>
        <w:rPr>
          <w:color w:val="000000"/>
        </w:rPr>
        <w:t xml:space="preserve">. Se verificaron previamente los supuestos de normalidad para garantizar la validez de los análisis. </w:t>
      </w:r>
    </w:p>
    <w:p w14:paraId="3CC92AA8" w14:textId="11BE01DB" w:rsidR="00017F59" w:rsidRDefault="00FD60E0" w:rsidP="007F47B2">
      <w:pPr>
        <w:pBdr>
          <w:top w:val="nil"/>
          <w:left w:val="nil"/>
          <w:bottom w:val="nil"/>
          <w:right w:val="nil"/>
          <w:between w:val="nil"/>
        </w:pBdr>
        <w:spacing w:after="160" w:line="360" w:lineRule="auto"/>
        <w:jc w:val="both"/>
        <w:rPr>
          <w:b/>
          <w:i/>
          <w:color w:val="000000"/>
        </w:rPr>
      </w:pPr>
      <w:r>
        <w:rPr>
          <w:b/>
          <w:i/>
          <w:color w:val="000000"/>
        </w:rPr>
        <w:t>Consideraciones éticas</w:t>
      </w:r>
    </w:p>
    <w:p w14:paraId="487C3C07" w14:textId="23F15F02" w:rsidR="00BE7D68" w:rsidRDefault="00FD60E0" w:rsidP="007F47B2">
      <w:pPr>
        <w:pBdr>
          <w:top w:val="nil"/>
          <w:left w:val="nil"/>
          <w:bottom w:val="nil"/>
          <w:right w:val="nil"/>
          <w:between w:val="nil"/>
        </w:pBdr>
        <w:spacing w:after="160" w:line="360" w:lineRule="auto"/>
        <w:ind w:firstLine="708"/>
        <w:jc w:val="both"/>
        <w:rPr>
          <w:color w:val="000000"/>
        </w:rPr>
      </w:pPr>
      <w:r>
        <w:rPr>
          <w:color w:val="000000"/>
        </w:rPr>
        <w:t xml:space="preserve">El estudio se condujo conforme a los principios del Código de Ética del Colegio de Psicólogos del Perú (2017), el Informe Belmont y la Declaración de Helsinki </w:t>
      </w:r>
      <w:r w:rsidR="00172819">
        <w:rPr>
          <w:color w:val="000000"/>
        </w:rPr>
        <w:t>(Comisión Nacional para la Protección de Sujetos Humanos de Investigación Biomédica, 1979; Asociación</w:t>
      </w:r>
      <w:r w:rsidR="00BE7D68">
        <w:rPr>
          <w:color w:val="000000"/>
        </w:rPr>
        <w:t xml:space="preserve"> Médica Mundial, 2024</w:t>
      </w:r>
      <w:r w:rsidR="00172819">
        <w:rPr>
          <w:color w:val="000000"/>
        </w:rPr>
        <w:t>).</w:t>
      </w:r>
    </w:p>
    <w:p w14:paraId="43E57C2A" w14:textId="5A8F594B" w:rsidR="007F47B2" w:rsidRDefault="00FD60E0" w:rsidP="007F47B2">
      <w:pPr>
        <w:pBdr>
          <w:top w:val="nil"/>
          <w:left w:val="nil"/>
          <w:bottom w:val="nil"/>
          <w:right w:val="nil"/>
          <w:between w:val="nil"/>
        </w:pBdr>
        <w:spacing w:after="160" w:line="360" w:lineRule="auto"/>
        <w:ind w:firstLine="708"/>
        <w:jc w:val="both"/>
        <w:rPr>
          <w:color w:val="000000"/>
        </w:rPr>
      </w:pPr>
      <w:r>
        <w:rPr>
          <w:color w:val="000000"/>
        </w:rPr>
        <w:t>Se aseguro la participaron voluntaria, el derecho a retirarse en cualquier momento, así como confidencialidad y anonimato de los datos. La investigación conto con la aprobación del Comité de Ética de la Universidad César Vallejo (202</w:t>
      </w:r>
      <w:r w:rsidR="00172819">
        <w:rPr>
          <w:color w:val="000000"/>
        </w:rPr>
        <w:t>4</w:t>
      </w:r>
      <w:r>
        <w:rPr>
          <w:color w:val="000000"/>
        </w:rPr>
        <w:t>).</w:t>
      </w:r>
    </w:p>
    <w:p w14:paraId="753ED728" w14:textId="77777777" w:rsidR="005875CA" w:rsidRDefault="00FD60E0" w:rsidP="007F47B2">
      <w:pPr>
        <w:pBdr>
          <w:top w:val="nil"/>
          <w:left w:val="nil"/>
          <w:bottom w:val="nil"/>
          <w:right w:val="nil"/>
          <w:between w:val="nil"/>
        </w:pBdr>
        <w:spacing w:after="160" w:line="360" w:lineRule="auto"/>
        <w:jc w:val="center"/>
        <w:rPr>
          <w:b/>
          <w:color w:val="000000"/>
        </w:rPr>
      </w:pPr>
      <w:r>
        <w:rPr>
          <w:b/>
          <w:color w:val="000000"/>
        </w:rPr>
        <w:t>Resultados</w:t>
      </w:r>
    </w:p>
    <w:p w14:paraId="3F6B3B1B" w14:textId="69FF5A4C" w:rsidR="005875CA" w:rsidRDefault="005875CA" w:rsidP="007F47B2">
      <w:pPr>
        <w:pBdr>
          <w:top w:val="nil"/>
          <w:left w:val="nil"/>
          <w:bottom w:val="nil"/>
          <w:right w:val="nil"/>
          <w:between w:val="nil"/>
        </w:pBdr>
        <w:spacing w:after="160" w:line="360" w:lineRule="auto"/>
        <w:ind w:firstLine="708"/>
        <w:jc w:val="both"/>
        <w:rPr>
          <w:bCs/>
          <w:color w:val="000000"/>
        </w:rPr>
      </w:pPr>
      <w:r w:rsidRPr="005875CA">
        <w:rPr>
          <w:bCs/>
          <w:color w:val="000000"/>
        </w:rPr>
        <w:t>Los análisis mostraron que una proporción considerable de los adolescentes reportó dificultades en el funcionamiento familiar, mientras que la exposición a la violencia fue mas frecuente a través de los contenidos televisivos. Asimismo, se detecto un grupo con niveles moderados y altos de ideación suicida que representa un</w:t>
      </w:r>
      <w:r>
        <w:rPr>
          <w:bCs/>
          <w:color w:val="000000"/>
        </w:rPr>
        <w:t xml:space="preserve"> indicador de riesgo importante. En termino correlaciones, se observó que un mayor nivel de funcionamiento familiar se asocia con menor ideación suicida y menor exposición a la violencia, mientras que la exposición a la violencia se relaciona de manera positiva con la ideación suicida.</w:t>
      </w:r>
    </w:p>
    <w:p w14:paraId="73E39E2D" w14:textId="0D365E25" w:rsidR="005875CA" w:rsidRDefault="00C62913" w:rsidP="007F47B2">
      <w:pPr>
        <w:pBdr>
          <w:top w:val="nil"/>
          <w:left w:val="nil"/>
          <w:bottom w:val="nil"/>
          <w:right w:val="nil"/>
          <w:between w:val="nil"/>
        </w:pBdr>
        <w:spacing w:after="160" w:line="360" w:lineRule="auto"/>
        <w:jc w:val="both"/>
        <w:rPr>
          <w:b/>
          <w:i/>
          <w:iCs/>
          <w:color w:val="000000"/>
        </w:rPr>
      </w:pPr>
      <w:r>
        <w:rPr>
          <w:b/>
          <w:i/>
          <w:iCs/>
          <w:color w:val="000000"/>
        </w:rPr>
        <w:t xml:space="preserve">Objetivo general: </w:t>
      </w:r>
      <w:r w:rsidR="005875CA" w:rsidRPr="005875CA">
        <w:rPr>
          <w:b/>
          <w:i/>
          <w:iCs/>
          <w:color w:val="000000"/>
        </w:rPr>
        <w:t>Correlación entre el funcionamiento familiar, la exposición a la violencia y la ideación suicida en adolescentes de instituciones educativas estatales del distrito de Ventanilla, 2025.</w:t>
      </w:r>
    </w:p>
    <w:p w14:paraId="394E3AC5" w14:textId="468E5E06" w:rsidR="005875CA" w:rsidRDefault="005875CA" w:rsidP="007F47B2">
      <w:pPr>
        <w:pBdr>
          <w:top w:val="nil"/>
          <w:left w:val="nil"/>
          <w:bottom w:val="nil"/>
          <w:right w:val="nil"/>
          <w:between w:val="nil"/>
        </w:pBdr>
        <w:spacing w:after="160" w:line="360" w:lineRule="auto"/>
        <w:ind w:firstLine="708"/>
        <w:jc w:val="both"/>
        <w:rPr>
          <w:rFonts w:cs="Arial"/>
          <w:bCs/>
        </w:rPr>
      </w:pPr>
      <w:r w:rsidRPr="005875CA">
        <w:rPr>
          <w:bCs/>
          <w:color w:val="000000"/>
        </w:rPr>
        <w:t xml:space="preserve">Se encontró una relación negativa y significativa entre el </w:t>
      </w:r>
      <w:r>
        <w:rPr>
          <w:bCs/>
          <w:color w:val="000000"/>
        </w:rPr>
        <w:t>f</w:t>
      </w:r>
      <w:r w:rsidRPr="005875CA">
        <w:rPr>
          <w:bCs/>
          <w:color w:val="000000"/>
        </w:rPr>
        <w:t>uncionamiento familiar y la exposición a la violencia (</w:t>
      </w:r>
      <w:r w:rsidRPr="005875CA">
        <w:rPr>
          <w:rFonts w:cs="Arial"/>
          <w:bCs/>
        </w:rPr>
        <w:t>r = -.289, p &lt;.001</w:t>
      </w:r>
      <w:r>
        <w:rPr>
          <w:rFonts w:cs="Arial"/>
          <w:bCs/>
        </w:rPr>
        <w:t>), lo que sugiere que, a mayor percepción de funcionalidad familiar, menor es la exposición a situaciones violentas. Asimismo, se halló una correlación negativa entre el funcionamiento familiar y la ideación suicida (</w:t>
      </w:r>
      <w:r w:rsidR="00F40B11" w:rsidRPr="008C69D5">
        <w:rPr>
          <w:rFonts w:cs="Arial"/>
        </w:rPr>
        <w:t>r = -.341, p &lt;.001</w:t>
      </w:r>
      <w:r>
        <w:rPr>
          <w:rFonts w:cs="Arial"/>
          <w:bCs/>
        </w:rPr>
        <w:t xml:space="preserve">), indicando que un ambiente familiar mas adaptativo disminuye la probabilidad de aparición de </w:t>
      </w:r>
      <w:r>
        <w:rPr>
          <w:rFonts w:cs="Arial"/>
          <w:bCs/>
        </w:rPr>
        <w:lastRenderedPageBreak/>
        <w:t>pensamientos suicidas. Finalmente, la exposición a la violencia se asocio positivamente con la ideación suicida (</w:t>
      </w:r>
      <w:r w:rsidR="00F40B11" w:rsidRPr="008C69D5">
        <w:rPr>
          <w:rFonts w:cs="Arial"/>
        </w:rPr>
        <w:t>r = .412, p &lt;.001</w:t>
      </w:r>
      <w:r>
        <w:rPr>
          <w:rFonts w:cs="Arial"/>
          <w:bCs/>
        </w:rPr>
        <w:t>), evidenciando que una mayor exposición a contextos violentos incrementa la presencia de ideación suicida en adolescentes</w:t>
      </w:r>
      <w:r w:rsidR="00F40B11">
        <w:rPr>
          <w:rFonts w:cs="Arial"/>
          <w:bCs/>
        </w:rPr>
        <w:t xml:space="preserve"> (Tabla 1).</w:t>
      </w:r>
    </w:p>
    <w:p w14:paraId="55D62F5B" w14:textId="3759D27B" w:rsidR="00F40B11" w:rsidRPr="00F40B11" w:rsidRDefault="00F40B11" w:rsidP="007F47B2">
      <w:pPr>
        <w:pStyle w:val="Ttulo2"/>
        <w:spacing w:after="160" w:line="360" w:lineRule="auto"/>
        <w:jc w:val="both"/>
        <w:rPr>
          <w:rFonts w:ascii="Times New Roman" w:hAnsi="Times New Roman" w:cs="Times New Roman"/>
          <w:b/>
          <w:bCs/>
          <w:color w:val="auto"/>
          <w:sz w:val="24"/>
          <w:szCs w:val="24"/>
        </w:rPr>
      </w:pPr>
      <w:r w:rsidRPr="00F40B11">
        <w:rPr>
          <w:rFonts w:ascii="Times New Roman" w:hAnsi="Times New Roman" w:cs="Times New Roman"/>
          <w:b/>
          <w:bCs/>
          <w:color w:val="auto"/>
          <w:sz w:val="24"/>
          <w:szCs w:val="24"/>
        </w:rPr>
        <w:t>Tabla 1</w:t>
      </w:r>
    </w:p>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1833"/>
        <w:gridCol w:w="1806"/>
        <w:gridCol w:w="1806"/>
        <w:gridCol w:w="1861"/>
      </w:tblGrid>
      <w:tr w:rsidR="00F40B11" w:rsidRPr="008C69D5" w14:paraId="7D612AB1" w14:textId="77777777" w:rsidTr="00556659">
        <w:tc>
          <w:tcPr>
            <w:tcW w:w="9072" w:type="dxa"/>
            <w:gridSpan w:val="5"/>
            <w:tcBorders>
              <w:top w:val="single" w:sz="4" w:space="0" w:color="auto"/>
              <w:bottom w:val="single" w:sz="4" w:space="0" w:color="auto"/>
            </w:tcBorders>
            <w:vAlign w:val="center"/>
          </w:tcPr>
          <w:p w14:paraId="14E3AC99" w14:textId="5DD8B883" w:rsidR="00F40B11" w:rsidRPr="00F40B11" w:rsidRDefault="00F40B11" w:rsidP="007F47B2">
            <w:pPr>
              <w:pBdr>
                <w:top w:val="nil"/>
                <w:left w:val="nil"/>
                <w:bottom w:val="nil"/>
                <w:right w:val="nil"/>
                <w:between w:val="nil"/>
              </w:pBdr>
              <w:spacing w:line="360" w:lineRule="auto"/>
              <w:jc w:val="both"/>
              <w:rPr>
                <w:i/>
                <w:iCs/>
                <w:color w:val="000000"/>
              </w:rPr>
            </w:pPr>
            <w:r>
              <w:rPr>
                <w:rFonts w:cs="Arial"/>
                <w:i/>
                <w:iCs/>
              </w:rPr>
              <w:t>Matriz de correlación</w:t>
            </w:r>
          </w:p>
        </w:tc>
      </w:tr>
      <w:tr w:rsidR="00F40B11" w:rsidRPr="008C69D5" w14:paraId="5F76AAD2" w14:textId="77777777" w:rsidTr="00556659">
        <w:tc>
          <w:tcPr>
            <w:tcW w:w="1766" w:type="dxa"/>
            <w:tcBorders>
              <w:top w:val="single" w:sz="4" w:space="0" w:color="auto"/>
            </w:tcBorders>
            <w:vAlign w:val="center"/>
          </w:tcPr>
          <w:p w14:paraId="13AFC296" w14:textId="77777777" w:rsidR="00F40B11" w:rsidRPr="008C69D5" w:rsidRDefault="00F40B11" w:rsidP="007F47B2">
            <w:pPr>
              <w:spacing w:line="360" w:lineRule="auto"/>
              <w:jc w:val="both"/>
              <w:rPr>
                <w:rFonts w:cs="Arial"/>
              </w:rPr>
            </w:pPr>
          </w:p>
        </w:tc>
        <w:tc>
          <w:tcPr>
            <w:tcW w:w="1833" w:type="dxa"/>
            <w:tcBorders>
              <w:top w:val="single" w:sz="4" w:space="0" w:color="auto"/>
            </w:tcBorders>
            <w:vAlign w:val="center"/>
          </w:tcPr>
          <w:p w14:paraId="58C8B8C0" w14:textId="77777777" w:rsidR="00F40B11" w:rsidRPr="008C69D5" w:rsidRDefault="00F40B11" w:rsidP="007F47B2">
            <w:pPr>
              <w:spacing w:line="360" w:lineRule="auto"/>
              <w:jc w:val="both"/>
              <w:rPr>
                <w:rFonts w:cs="Arial"/>
              </w:rPr>
            </w:pPr>
          </w:p>
        </w:tc>
        <w:tc>
          <w:tcPr>
            <w:tcW w:w="1806" w:type="dxa"/>
            <w:tcBorders>
              <w:top w:val="single" w:sz="4" w:space="0" w:color="auto"/>
            </w:tcBorders>
            <w:vAlign w:val="center"/>
          </w:tcPr>
          <w:p w14:paraId="276489CC" w14:textId="77777777" w:rsidR="00F40B11" w:rsidRPr="008C69D5" w:rsidRDefault="00F40B11" w:rsidP="007F47B2">
            <w:pPr>
              <w:spacing w:line="360" w:lineRule="auto"/>
              <w:jc w:val="both"/>
              <w:rPr>
                <w:rFonts w:cs="Arial"/>
              </w:rPr>
            </w:pPr>
            <w:r w:rsidRPr="008C69D5">
              <w:rPr>
                <w:rFonts w:cs="Arial"/>
              </w:rPr>
              <w:t>APGAR</w:t>
            </w:r>
          </w:p>
        </w:tc>
        <w:tc>
          <w:tcPr>
            <w:tcW w:w="1806" w:type="dxa"/>
            <w:tcBorders>
              <w:top w:val="single" w:sz="4" w:space="0" w:color="auto"/>
            </w:tcBorders>
            <w:vAlign w:val="center"/>
          </w:tcPr>
          <w:p w14:paraId="57072E1A" w14:textId="77777777" w:rsidR="00F40B11" w:rsidRPr="008C69D5" w:rsidRDefault="00F40B11" w:rsidP="007F47B2">
            <w:pPr>
              <w:spacing w:line="360" w:lineRule="auto"/>
              <w:jc w:val="both"/>
              <w:rPr>
                <w:rFonts w:cs="Arial"/>
              </w:rPr>
            </w:pPr>
            <w:r w:rsidRPr="008C69D5">
              <w:rPr>
                <w:rFonts w:cs="Arial"/>
              </w:rPr>
              <w:t>CEV</w:t>
            </w:r>
          </w:p>
        </w:tc>
        <w:tc>
          <w:tcPr>
            <w:tcW w:w="1861" w:type="dxa"/>
            <w:tcBorders>
              <w:top w:val="single" w:sz="4" w:space="0" w:color="auto"/>
            </w:tcBorders>
            <w:vAlign w:val="center"/>
          </w:tcPr>
          <w:p w14:paraId="498070DD" w14:textId="77777777" w:rsidR="00F40B11" w:rsidRPr="008C69D5" w:rsidRDefault="00F40B11" w:rsidP="007F47B2">
            <w:pPr>
              <w:spacing w:line="360" w:lineRule="auto"/>
              <w:jc w:val="both"/>
              <w:rPr>
                <w:rFonts w:cs="Arial"/>
              </w:rPr>
            </w:pPr>
            <w:r w:rsidRPr="008C69D5">
              <w:rPr>
                <w:rFonts w:cs="Arial"/>
              </w:rPr>
              <w:t>IS</w:t>
            </w:r>
          </w:p>
        </w:tc>
      </w:tr>
      <w:tr w:rsidR="00F40B11" w:rsidRPr="008C69D5" w14:paraId="0E9158CE" w14:textId="77777777" w:rsidTr="00556659">
        <w:tc>
          <w:tcPr>
            <w:tcW w:w="1766" w:type="dxa"/>
            <w:vAlign w:val="center"/>
          </w:tcPr>
          <w:p w14:paraId="668420A4" w14:textId="77777777" w:rsidR="00F40B11" w:rsidRPr="008C69D5" w:rsidRDefault="00F40B11" w:rsidP="007F47B2">
            <w:pPr>
              <w:spacing w:line="360" w:lineRule="auto"/>
              <w:jc w:val="both"/>
              <w:rPr>
                <w:rFonts w:cs="Arial"/>
              </w:rPr>
            </w:pPr>
            <w:r w:rsidRPr="008C69D5">
              <w:rPr>
                <w:rFonts w:cs="Arial"/>
              </w:rPr>
              <w:t>APGAR</w:t>
            </w:r>
          </w:p>
        </w:tc>
        <w:tc>
          <w:tcPr>
            <w:tcW w:w="1833" w:type="dxa"/>
            <w:vAlign w:val="center"/>
          </w:tcPr>
          <w:p w14:paraId="75E5120F" w14:textId="77777777" w:rsidR="00F40B11" w:rsidRPr="008C69D5" w:rsidRDefault="00F40B11" w:rsidP="007F47B2">
            <w:pPr>
              <w:spacing w:line="360" w:lineRule="auto"/>
              <w:jc w:val="both"/>
              <w:rPr>
                <w:rFonts w:cs="Arial"/>
              </w:rPr>
            </w:pPr>
            <w:r w:rsidRPr="008C69D5">
              <w:rPr>
                <w:rFonts w:cs="Arial"/>
              </w:rPr>
              <w:t>R de Pearson</w:t>
            </w:r>
          </w:p>
        </w:tc>
        <w:tc>
          <w:tcPr>
            <w:tcW w:w="1806" w:type="dxa"/>
            <w:vAlign w:val="center"/>
          </w:tcPr>
          <w:p w14:paraId="6FF2CB86" w14:textId="77777777" w:rsidR="00F40B11" w:rsidRPr="008C69D5" w:rsidRDefault="00F40B11" w:rsidP="007F47B2">
            <w:pPr>
              <w:spacing w:line="360" w:lineRule="auto"/>
              <w:jc w:val="both"/>
              <w:rPr>
                <w:rFonts w:cs="Arial"/>
              </w:rPr>
            </w:pPr>
            <w:r w:rsidRPr="008C69D5">
              <w:rPr>
                <w:rFonts w:cs="Arial"/>
              </w:rPr>
              <w:t>--</w:t>
            </w:r>
          </w:p>
        </w:tc>
        <w:tc>
          <w:tcPr>
            <w:tcW w:w="1806" w:type="dxa"/>
            <w:vAlign w:val="center"/>
          </w:tcPr>
          <w:p w14:paraId="5076BA1B" w14:textId="77777777" w:rsidR="00F40B11" w:rsidRPr="008C69D5" w:rsidRDefault="00F40B11" w:rsidP="007F47B2">
            <w:pPr>
              <w:spacing w:line="360" w:lineRule="auto"/>
              <w:jc w:val="both"/>
              <w:rPr>
                <w:rFonts w:cs="Arial"/>
              </w:rPr>
            </w:pPr>
          </w:p>
        </w:tc>
        <w:tc>
          <w:tcPr>
            <w:tcW w:w="1861" w:type="dxa"/>
            <w:vAlign w:val="center"/>
          </w:tcPr>
          <w:p w14:paraId="75CE8355" w14:textId="77777777" w:rsidR="00F40B11" w:rsidRPr="008C69D5" w:rsidRDefault="00F40B11" w:rsidP="007F47B2">
            <w:pPr>
              <w:spacing w:line="360" w:lineRule="auto"/>
              <w:jc w:val="both"/>
              <w:rPr>
                <w:rFonts w:cs="Arial"/>
              </w:rPr>
            </w:pPr>
          </w:p>
        </w:tc>
      </w:tr>
      <w:tr w:rsidR="00F40B11" w:rsidRPr="008C69D5" w14:paraId="78BEBE3E" w14:textId="77777777" w:rsidTr="00556659">
        <w:tc>
          <w:tcPr>
            <w:tcW w:w="1766" w:type="dxa"/>
            <w:vAlign w:val="center"/>
          </w:tcPr>
          <w:p w14:paraId="7908934D" w14:textId="77777777" w:rsidR="00F40B11" w:rsidRPr="008C69D5" w:rsidRDefault="00F40B11" w:rsidP="007F47B2">
            <w:pPr>
              <w:spacing w:line="360" w:lineRule="auto"/>
              <w:jc w:val="both"/>
              <w:rPr>
                <w:rFonts w:cs="Arial"/>
              </w:rPr>
            </w:pPr>
          </w:p>
        </w:tc>
        <w:tc>
          <w:tcPr>
            <w:tcW w:w="1833" w:type="dxa"/>
            <w:vAlign w:val="center"/>
          </w:tcPr>
          <w:p w14:paraId="5907E137" w14:textId="77777777" w:rsidR="00F40B11" w:rsidRPr="008C69D5" w:rsidRDefault="00F40B11" w:rsidP="007F47B2">
            <w:pPr>
              <w:spacing w:line="360" w:lineRule="auto"/>
              <w:jc w:val="both"/>
              <w:rPr>
                <w:rFonts w:cs="Arial"/>
              </w:rPr>
            </w:pPr>
            <w:proofErr w:type="spellStart"/>
            <w:r w:rsidRPr="008C69D5">
              <w:rPr>
                <w:rFonts w:cs="Arial"/>
              </w:rPr>
              <w:t>gl</w:t>
            </w:r>
            <w:proofErr w:type="spellEnd"/>
          </w:p>
        </w:tc>
        <w:tc>
          <w:tcPr>
            <w:tcW w:w="1806" w:type="dxa"/>
            <w:vAlign w:val="center"/>
          </w:tcPr>
          <w:p w14:paraId="1E57D8B8" w14:textId="77777777" w:rsidR="00F40B11" w:rsidRPr="008C69D5" w:rsidRDefault="00F40B11" w:rsidP="007F47B2">
            <w:pPr>
              <w:spacing w:line="360" w:lineRule="auto"/>
              <w:jc w:val="both"/>
              <w:rPr>
                <w:rFonts w:cs="Arial"/>
              </w:rPr>
            </w:pPr>
            <w:r w:rsidRPr="008C69D5">
              <w:rPr>
                <w:rFonts w:cs="Arial"/>
              </w:rPr>
              <w:t>--</w:t>
            </w:r>
          </w:p>
        </w:tc>
        <w:tc>
          <w:tcPr>
            <w:tcW w:w="1806" w:type="dxa"/>
            <w:vAlign w:val="center"/>
          </w:tcPr>
          <w:p w14:paraId="2B21C73D" w14:textId="77777777" w:rsidR="00F40B11" w:rsidRPr="008C69D5" w:rsidRDefault="00F40B11" w:rsidP="007F47B2">
            <w:pPr>
              <w:spacing w:line="360" w:lineRule="auto"/>
              <w:jc w:val="both"/>
              <w:rPr>
                <w:rFonts w:cs="Arial"/>
              </w:rPr>
            </w:pPr>
          </w:p>
        </w:tc>
        <w:tc>
          <w:tcPr>
            <w:tcW w:w="1861" w:type="dxa"/>
            <w:vAlign w:val="center"/>
          </w:tcPr>
          <w:p w14:paraId="49E53212" w14:textId="77777777" w:rsidR="00F40B11" w:rsidRPr="008C69D5" w:rsidRDefault="00F40B11" w:rsidP="007F47B2">
            <w:pPr>
              <w:spacing w:line="360" w:lineRule="auto"/>
              <w:jc w:val="both"/>
              <w:rPr>
                <w:rFonts w:cs="Arial"/>
              </w:rPr>
            </w:pPr>
          </w:p>
        </w:tc>
      </w:tr>
      <w:tr w:rsidR="00F40B11" w:rsidRPr="008C69D5" w14:paraId="792A4F4D" w14:textId="77777777" w:rsidTr="00556659">
        <w:tc>
          <w:tcPr>
            <w:tcW w:w="1766" w:type="dxa"/>
            <w:vAlign w:val="center"/>
          </w:tcPr>
          <w:p w14:paraId="48954B55" w14:textId="77777777" w:rsidR="00F40B11" w:rsidRPr="008C69D5" w:rsidRDefault="00F40B11" w:rsidP="007F47B2">
            <w:pPr>
              <w:spacing w:line="360" w:lineRule="auto"/>
              <w:jc w:val="both"/>
              <w:rPr>
                <w:rFonts w:cs="Arial"/>
              </w:rPr>
            </w:pPr>
          </w:p>
        </w:tc>
        <w:tc>
          <w:tcPr>
            <w:tcW w:w="1833" w:type="dxa"/>
            <w:vAlign w:val="center"/>
          </w:tcPr>
          <w:p w14:paraId="2277CAA1" w14:textId="77777777" w:rsidR="00F40B11" w:rsidRPr="008C69D5" w:rsidRDefault="00F40B11" w:rsidP="007F47B2">
            <w:pPr>
              <w:spacing w:line="360" w:lineRule="auto"/>
              <w:jc w:val="both"/>
              <w:rPr>
                <w:rFonts w:cs="Arial"/>
              </w:rPr>
            </w:pPr>
            <w:r w:rsidRPr="008C69D5">
              <w:rPr>
                <w:rFonts w:cs="Arial"/>
              </w:rPr>
              <w:t>Valor p</w:t>
            </w:r>
          </w:p>
        </w:tc>
        <w:tc>
          <w:tcPr>
            <w:tcW w:w="1806" w:type="dxa"/>
            <w:vAlign w:val="center"/>
          </w:tcPr>
          <w:p w14:paraId="68A558A7" w14:textId="77777777" w:rsidR="00F40B11" w:rsidRPr="008C69D5" w:rsidRDefault="00F40B11" w:rsidP="007F47B2">
            <w:pPr>
              <w:spacing w:line="360" w:lineRule="auto"/>
              <w:jc w:val="both"/>
              <w:rPr>
                <w:rFonts w:cs="Arial"/>
              </w:rPr>
            </w:pPr>
            <w:r w:rsidRPr="008C69D5">
              <w:rPr>
                <w:rFonts w:cs="Arial"/>
              </w:rPr>
              <w:t>--</w:t>
            </w:r>
          </w:p>
        </w:tc>
        <w:tc>
          <w:tcPr>
            <w:tcW w:w="1806" w:type="dxa"/>
            <w:vAlign w:val="center"/>
          </w:tcPr>
          <w:p w14:paraId="2A46FA87" w14:textId="77777777" w:rsidR="00F40B11" w:rsidRPr="008C69D5" w:rsidRDefault="00F40B11" w:rsidP="007F47B2">
            <w:pPr>
              <w:spacing w:line="360" w:lineRule="auto"/>
              <w:jc w:val="both"/>
              <w:rPr>
                <w:rFonts w:cs="Arial"/>
              </w:rPr>
            </w:pPr>
          </w:p>
        </w:tc>
        <w:tc>
          <w:tcPr>
            <w:tcW w:w="1861" w:type="dxa"/>
            <w:vAlign w:val="center"/>
          </w:tcPr>
          <w:p w14:paraId="0005CA30" w14:textId="77777777" w:rsidR="00F40B11" w:rsidRPr="008C69D5" w:rsidRDefault="00F40B11" w:rsidP="007F47B2">
            <w:pPr>
              <w:spacing w:line="360" w:lineRule="auto"/>
              <w:jc w:val="both"/>
              <w:rPr>
                <w:rFonts w:cs="Arial"/>
              </w:rPr>
            </w:pPr>
          </w:p>
        </w:tc>
      </w:tr>
      <w:tr w:rsidR="00F40B11" w:rsidRPr="008C69D5" w14:paraId="5414A107" w14:textId="77777777" w:rsidTr="00556659">
        <w:tc>
          <w:tcPr>
            <w:tcW w:w="1766" w:type="dxa"/>
            <w:vAlign w:val="center"/>
          </w:tcPr>
          <w:p w14:paraId="67314232" w14:textId="77777777" w:rsidR="00F40B11" w:rsidRPr="008C69D5" w:rsidRDefault="00F40B11" w:rsidP="007F47B2">
            <w:pPr>
              <w:spacing w:line="360" w:lineRule="auto"/>
              <w:jc w:val="both"/>
              <w:rPr>
                <w:rFonts w:cs="Arial"/>
              </w:rPr>
            </w:pPr>
          </w:p>
        </w:tc>
        <w:tc>
          <w:tcPr>
            <w:tcW w:w="1833" w:type="dxa"/>
            <w:vAlign w:val="center"/>
          </w:tcPr>
          <w:p w14:paraId="67C55E4A" w14:textId="77777777" w:rsidR="00F40B11" w:rsidRPr="008C69D5" w:rsidRDefault="00F40B11" w:rsidP="007F47B2">
            <w:pPr>
              <w:spacing w:line="360" w:lineRule="auto"/>
              <w:jc w:val="both"/>
              <w:rPr>
                <w:rFonts w:cs="Arial"/>
              </w:rPr>
            </w:pPr>
            <w:r w:rsidRPr="008C69D5">
              <w:rPr>
                <w:rFonts w:cs="Arial"/>
              </w:rPr>
              <w:t>IC 95% Superior</w:t>
            </w:r>
          </w:p>
        </w:tc>
        <w:tc>
          <w:tcPr>
            <w:tcW w:w="1806" w:type="dxa"/>
            <w:vAlign w:val="center"/>
          </w:tcPr>
          <w:p w14:paraId="19BF2CD4" w14:textId="77777777" w:rsidR="00F40B11" w:rsidRPr="008C69D5" w:rsidRDefault="00F40B11" w:rsidP="007F47B2">
            <w:pPr>
              <w:spacing w:line="360" w:lineRule="auto"/>
              <w:jc w:val="both"/>
              <w:rPr>
                <w:rFonts w:cs="Arial"/>
              </w:rPr>
            </w:pPr>
            <w:r w:rsidRPr="008C69D5">
              <w:rPr>
                <w:rFonts w:cs="Arial"/>
              </w:rPr>
              <w:t>--</w:t>
            </w:r>
          </w:p>
        </w:tc>
        <w:tc>
          <w:tcPr>
            <w:tcW w:w="1806" w:type="dxa"/>
            <w:vAlign w:val="center"/>
          </w:tcPr>
          <w:p w14:paraId="562782BA" w14:textId="77777777" w:rsidR="00F40B11" w:rsidRPr="008C69D5" w:rsidRDefault="00F40B11" w:rsidP="007F47B2">
            <w:pPr>
              <w:spacing w:line="360" w:lineRule="auto"/>
              <w:jc w:val="both"/>
              <w:rPr>
                <w:rFonts w:cs="Arial"/>
              </w:rPr>
            </w:pPr>
          </w:p>
        </w:tc>
        <w:tc>
          <w:tcPr>
            <w:tcW w:w="1861" w:type="dxa"/>
            <w:vAlign w:val="center"/>
          </w:tcPr>
          <w:p w14:paraId="44CEFEE0" w14:textId="77777777" w:rsidR="00F40B11" w:rsidRPr="008C69D5" w:rsidRDefault="00F40B11" w:rsidP="007F47B2">
            <w:pPr>
              <w:spacing w:line="360" w:lineRule="auto"/>
              <w:jc w:val="both"/>
              <w:rPr>
                <w:rFonts w:cs="Arial"/>
              </w:rPr>
            </w:pPr>
          </w:p>
        </w:tc>
      </w:tr>
      <w:tr w:rsidR="00F40B11" w:rsidRPr="008C69D5" w14:paraId="3DE5F0CB" w14:textId="77777777" w:rsidTr="00556659">
        <w:tc>
          <w:tcPr>
            <w:tcW w:w="1766" w:type="dxa"/>
            <w:vAlign w:val="center"/>
          </w:tcPr>
          <w:p w14:paraId="36727896" w14:textId="77777777" w:rsidR="00F40B11" w:rsidRPr="008C69D5" w:rsidRDefault="00F40B11" w:rsidP="007F47B2">
            <w:pPr>
              <w:spacing w:line="360" w:lineRule="auto"/>
              <w:jc w:val="both"/>
              <w:rPr>
                <w:rFonts w:cs="Arial"/>
              </w:rPr>
            </w:pPr>
          </w:p>
        </w:tc>
        <w:tc>
          <w:tcPr>
            <w:tcW w:w="1833" w:type="dxa"/>
            <w:vAlign w:val="center"/>
          </w:tcPr>
          <w:p w14:paraId="6088F3AC" w14:textId="77777777" w:rsidR="00F40B11" w:rsidRPr="008C69D5" w:rsidRDefault="00F40B11" w:rsidP="007F47B2">
            <w:pPr>
              <w:spacing w:line="360" w:lineRule="auto"/>
              <w:jc w:val="both"/>
              <w:rPr>
                <w:rFonts w:cs="Arial"/>
              </w:rPr>
            </w:pPr>
            <w:r w:rsidRPr="008C69D5">
              <w:rPr>
                <w:rFonts w:cs="Arial"/>
              </w:rPr>
              <w:t>IC 95% Inferior</w:t>
            </w:r>
          </w:p>
        </w:tc>
        <w:tc>
          <w:tcPr>
            <w:tcW w:w="1806" w:type="dxa"/>
            <w:vAlign w:val="center"/>
          </w:tcPr>
          <w:p w14:paraId="00F8FDE2" w14:textId="77777777" w:rsidR="00F40B11" w:rsidRPr="008C69D5" w:rsidRDefault="00F40B11" w:rsidP="007F47B2">
            <w:pPr>
              <w:spacing w:line="360" w:lineRule="auto"/>
              <w:jc w:val="both"/>
              <w:rPr>
                <w:rFonts w:cs="Arial"/>
              </w:rPr>
            </w:pPr>
            <w:r w:rsidRPr="008C69D5">
              <w:rPr>
                <w:rFonts w:cs="Arial"/>
              </w:rPr>
              <w:t>--</w:t>
            </w:r>
          </w:p>
        </w:tc>
        <w:tc>
          <w:tcPr>
            <w:tcW w:w="1806" w:type="dxa"/>
            <w:vAlign w:val="center"/>
          </w:tcPr>
          <w:p w14:paraId="6B3065E5" w14:textId="77777777" w:rsidR="00F40B11" w:rsidRPr="008C69D5" w:rsidRDefault="00F40B11" w:rsidP="007F47B2">
            <w:pPr>
              <w:spacing w:line="360" w:lineRule="auto"/>
              <w:jc w:val="both"/>
              <w:rPr>
                <w:rFonts w:cs="Arial"/>
              </w:rPr>
            </w:pPr>
          </w:p>
        </w:tc>
        <w:tc>
          <w:tcPr>
            <w:tcW w:w="1861" w:type="dxa"/>
            <w:vAlign w:val="center"/>
          </w:tcPr>
          <w:p w14:paraId="3AC1F522" w14:textId="77777777" w:rsidR="00F40B11" w:rsidRPr="008C69D5" w:rsidRDefault="00F40B11" w:rsidP="007F47B2">
            <w:pPr>
              <w:spacing w:line="360" w:lineRule="auto"/>
              <w:jc w:val="both"/>
              <w:rPr>
                <w:rFonts w:cs="Arial"/>
              </w:rPr>
            </w:pPr>
          </w:p>
        </w:tc>
      </w:tr>
      <w:tr w:rsidR="00F40B11" w:rsidRPr="008C69D5" w14:paraId="0EBC933E" w14:textId="77777777" w:rsidTr="00556659">
        <w:tc>
          <w:tcPr>
            <w:tcW w:w="1766" w:type="dxa"/>
            <w:vAlign w:val="center"/>
          </w:tcPr>
          <w:p w14:paraId="3953749D" w14:textId="77777777" w:rsidR="00F40B11" w:rsidRPr="008C69D5" w:rsidRDefault="00F40B11" w:rsidP="007F47B2">
            <w:pPr>
              <w:spacing w:line="360" w:lineRule="auto"/>
              <w:jc w:val="both"/>
              <w:rPr>
                <w:rFonts w:cs="Arial"/>
              </w:rPr>
            </w:pPr>
            <w:r w:rsidRPr="008C69D5">
              <w:rPr>
                <w:rFonts w:cs="Arial"/>
              </w:rPr>
              <w:t>CEV</w:t>
            </w:r>
          </w:p>
        </w:tc>
        <w:tc>
          <w:tcPr>
            <w:tcW w:w="1833" w:type="dxa"/>
            <w:vAlign w:val="center"/>
          </w:tcPr>
          <w:p w14:paraId="51AD6ED8" w14:textId="77777777" w:rsidR="00F40B11" w:rsidRPr="008C69D5" w:rsidRDefault="00F40B11" w:rsidP="007F47B2">
            <w:pPr>
              <w:spacing w:line="360" w:lineRule="auto"/>
              <w:jc w:val="both"/>
              <w:rPr>
                <w:rFonts w:cs="Arial"/>
              </w:rPr>
            </w:pPr>
            <w:r w:rsidRPr="008C69D5">
              <w:rPr>
                <w:rFonts w:cs="Arial"/>
              </w:rPr>
              <w:t>R de Pearson</w:t>
            </w:r>
          </w:p>
        </w:tc>
        <w:tc>
          <w:tcPr>
            <w:tcW w:w="1806" w:type="dxa"/>
            <w:vAlign w:val="center"/>
          </w:tcPr>
          <w:p w14:paraId="05823D13" w14:textId="77777777" w:rsidR="00F40B11" w:rsidRPr="008C69D5" w:rsidRDefault="00F40B11" w:rsidP="007F47B2">
            <w:pPr>
              <w:spacing w:line="360" w:lineRule="auto"/>
              <w:jc w:val="both"/>
              <w:rPr>
                <w:rFonts w:cs="Arial"/>
              </w:rPr>
            </w:pPr>
            <w:r w:rsidRPr="00BE6977">
              <w:rPr>
                <w:rFonts w:cs="Arial"/>
              </w:rPr>
              <w:t>-.289***</w:t>
            </w:r>
          </w:p>
        </w:tc>
        <w:tc>
          <w:tcPr>
            <w:tcW w:w="1806" w:type="dxa"/>
            <w:vAlign w:val="center"/>
          </w:tcPr>
          <w:p w14:paraId="706DA4E4" w14:textId="77777777" w:rsidR="00F40B11" w:rsidRPr="008C69D5" w:rsidRDefault="00F40B11" w:rsidP="007F47B2">
            <w:pPr>
              <w:spacing w:line="360" w:lineRule="auto"/>
              <w:jc w:val="both"/>
              <w:rPr>
                <w:rFonts w:cs="Arial"/>
              </w:rPr>
            </w:pPr>
            <w:r w:rsidRPr="008C69D5">
              <w:rPr>
                <w:rFonts w:cs="Arial"/>
              </w:rPr>
              <w:t>--</w:t>
            </w:r>
          </w:p>
        </w:tc>
        <w:tc>
          <w:tcPr>
            <w:tcW w:w="1861" w:type="dxa"/>
            <w:vAlign w:val="center"/>
          </w:tcPr>
          <w:p w14:paraId="395BB85D" w14:textId="77777777" w:rsidR="00F40B11" w:rsidRPr="008C69D5" w:rsidRDefault="00F40B11" w:rsidP="007F47B2">
            <w:pPr>
              <w:spacing w:line="360" w:lineRule="auto"/>
              <w:jc w:val="both"/>
              <w:rPr>
                <w:rFonts w:cs="Arial"/>
              </w:rPr>
            </w:pPr>
          </w:p>
        </w:tc>
      </w:tr>
      <w:tr w:rsidR="00F40B11" w:rsidRPr="008C69D5" w14:paraId="0B6D036C" w14:textId="77777777" w:rsidTr="00556659">
        <w:tc>
          <w:tcPr>
            <w:tcW w:w="1766" w:type="dxa"/>
            <w:vAlign w:val="center"/>
          </w:tcPr>
          <w:p w14:paraId="736961A0" w14:textId="77777777" w:rsidR="00F40B11" w:rsidRPr="008C69D5" w:rsidRDefault="00F40B11" w:rsidP="007F47B2">
            <w:pPr>
              <w:spacing w:line="360" w:lineRule="auto"/>
              <w:jc w:val="both"/>
              <w:rPr>
                <w:rFonts w:cs="Arial"/>
              </w:rPr>
            </w:pPr>
          </w:p>
        </w:tc>
        <w:tc>
          <w:tcPr>
            <w:tcW w:w="1833" w:type="dxa"/>
            <w:vAlign w:val="center"/>
          </w:tcPr>
          <w:p w14:paraId="2CD3287E" w14:textId="77777777" w:rsidR="00F40B11" w:rsidRPr="008C69D5" w:rsidRDefault="00F40B11" w:rsidP="007F47B2">
            <w:pPr>
              <w:spacing w:line="360" w:lineRule="auto"/>
              <w:jc w:val="both"/>
              <w:rPr>
                <w:rFonts w:cs="Arial"/>
              </w:rPr>
            </w:pPr>
            <w:proofErr w:type="spellStart"/>
            <w:r w:rsidRPr="008C69D5">
              <w:rPr>
                <w:rFonts w:cs="Arial"/>
              </w:rPr>
              <w:t>gl</w:t>
            </w:r>
            <w:proofErr w:type="spellEnd"/>
          </w:p>
        </w:tc>
        <w:tc>
          <w:tcPr>
            <w:tcW w:w="1806" w:type="dxa"/>
            <w:vAlign w:val="center"/>
          </w:tcPr>
          <w:p w14:paraId="3BC53CDF" w14:textId="77777777" w:rsidR="00F40B11" w:rsidRPr="008C69D5" w:rsidRDefault="00F40B11" w:rsidP="007F47B2">
            <w:pPr>
              <w:spacing w:line="360" w:lineRule="auto"/>
              <w:jc w:val="both"/>
              <w:rPr>
                <w:rFonts w:cs="Arial"/>
              </w:rPr>
            </w:pPr>
            <w:r w:rsidRPr="008C69D5">
              <w:rPr>
                <w:rFonts w:cs="Arial"/>
              </w:rPr>
              <w:t>372</w:t>
            </w:r>
          </w:p>
        </w:tc>
        <w:tc>
          <w:tcPr>
            <w:tcW w:w="1806" w:type="dxa"/>
            <w:vAlign w:val="center"/>
          </w:tcPr>
          <w:p w14:paraId="18BCFB59" w14:textId="77777777" w:rsidR="00F40B11" w:rsidRPr="008C69D5" w:rsidRDefault="00F40B11" w:rsidP="007F47B2">
            <w:pPr>
              <w:spacing w:line="360" w:lineRule="auto"/>
              <w:jc w:val="both"/>
              <w:rPr>
                <w:rFonts w:cs="Arial"/>
              </w:rPr>
            </w:pPr>
            <w:r w:rsidRPr="008C69D5">
              <w:rPr>
                <w:rFonts w:cs="Arial"/>
              </w:rPr>
              <w:t>--</w:t>
            </w:r>
          </w:p>
        </w:tc>
        <w:tc>
          <w:tcPr>
            <w:tcW w:w="1861" w:type="dxa"/>
            <w:vAlign w:val="center"/>
          </w:tcPr>
          <w:p w14:paraId="250351FC" w14:textId="77777777" w:rsidR="00F40B11" w:rsidRPr="008C69D5" w:rsidRDefault="00F40B11" w:rsidP="007F47B2">
            <w:pPr>
              <w:spacing w:line="360" w:lineRule="auto"/>
              <w:jc w:val="both"/>
              <w:rPr>
                <w:rFonts w:cs="Arial"/>
              </w:rPr>
            </w:pPr>
          </w:p>
        </w:tc>
      </w:tr>
      <w:tr w:rsidR="00F40B11" w:rsidRPr="008C69D5" w14:paraId="63151770" w14:textId="77777777" w:rsidTr="00556659">
        <w:tc>
          <w:tcPr>
            <w:tcW w:w="1766" w:type="dxa"/>
            <w:vAlign w:val="center"/>
          </w:tcPr>
          <w:p w14:paraId="7028F5A9" w14:textId="77777777" w:rsidR="00F40B11" w:rsidRPr="008C69D5" w:rsidRDefault="00F40B11" w:rsidP="007F47B2">
            <w:pPr>
              <w:spacing w:line="360" w:lineRule="auto"/>
              <w:jc w:val="both"/>
              <w:rPr>
                <w:rFonts w:cs="Arial"/>
              </w:rPr>
            </w:pPr>
          </w:p>
        </w:tc>
        <w:tc>
          <w:tcPr>
            <w:tcW w:w="1833" w:type="dxa"/>
            <w:vAlign w:val="center"/>
          </w:tcPr>
          <w:p w14:paraId="6E6553C5" w14:textId="77777777" w:rsidR="00F40B11" w:rsidRPr="008C69D5" w:rsidRDefault="00F40B11" w:rsidP="007F47B2">
            <w:pPr>
              <w:spacing w:line="360" w:lineRule="auto"/>
              <w:jc w:val="both"/>
              <w:rPr>
                <w:rFonts w:cs="Arial"/>
              </w:rPr>
            </w:pPr>
            <w:r w:rsidRPr="008C69D5">
              <w:rPr>
                <w:rFonts w:cs="Arial"/>
              </w:rPr>
              <w:t>Valor p</w:t>
            </w:r>
          </w:p>
        </w:tc>
        <w:tc>
          <w:tcPr>
            <w:tcW w:w="1806" w:type="dxa"/>
            <w:vAlign w:val="center"/>
          </w:tcPr>
          <w:p w14:paraId="404BA4AD" w14:textId="77777777" w:rsidR="00F40B11" w:rsidRPr="008C69D5" w:rsidRDefault="00F40B11" w:rsidP="007F47B2">
            <w:pPr>
              <w:spacing w:line="360" w:lineRule="auto"/>
              <w:jc w:val="both"/>
              <w:rPr>
                <w:rFonts w:cs="Arial"/>
              </w:rPr>
            </w:pPr>
            <w:r w:rsidRPr="008C69D5">
              <w:rPr>
                <w:rFonts w:cs="Arial"/>
              </w:rPr>
              <w:t>&lt;.001</w:t>
            </w:r>
          </w:p>
        </w:tc>
        <w:tc>
          <w:tcPr>
            <w:tcW w:w="1806" w:type="dxa"/>
            <w:vAlign w:val="center"/>
          </w:tcPr>
          <w:p w14:paraId="30F96148" w14:textId="77777777" w:rsidR="00F40B11" w:rsidRPr="008C69D5" w:rsidRDefault="00F40B11" w:rsidP="007F47B2">
            <w:pPr>
              <w:spacing w:line="360" w:lineRule="auto"/>
              <w:jc w:val="both"/>
              <w:rPr>
                <w:rFonts w:cs="Arial"/>
              </w:rPr>
            </w:pPr>
            <w:r w:rsidRPr="008C69D5">
              <w:rPr>
                <w:rFonts w:cs="Arial"/>
              </w:rPr>
              <w:t>--</w:t>
            </w:r>
          </w:p>
        </w:tc>
        <w:tc>
          <w:tcPr>
            <w:tcW w:w="1861" w:type="dxa"/>
            <w:vAlign w:val="center"/>
          </w:tcPr>
          <w:p w14:paraId="6A15D83A" w14:textId="77777777" w:rsidR="00F40B11" w:rsidRPr="008C69D5" w:rsidRDefault="00F40B11" w:rsidP="007F47B2">
            <w:pPr>
              <w:spacing w:line="360" w:lineRule="auto"/>
              <w:jc w:val="both"/>
              <w:rPr>
                <w:rFonts w:cs="Arial"/>
              </w:rPr>
            </w:pPr>
          </w:p>
        </w:tc>
      </w:tr>
      <w:tr w:rsidR="00F40B11" w:rsidRPr="008C69D5" w14:paraId="56804B52" w14:textId="77777777" w:rsidTr="00556659">
        <w:tc>
          <w:tcPr>
            <w:tcW w:w="1766" w:type="dxa"/>
            <w:vAlign w:val="center"/>
          </w:tcPr>
          <w:p w14:paraId="3B3112E2" w14:textId="77777777" w:rsidR="00F40B11" w:rsidRPr="008C69D5" w:rsidRDefault="00F40B11" w:rsidP="007F47B2">
            <w:pPr>
              <w:spacing w:line="360" w:lineRule="auto"/>
              <w:jc w:val="both"/>
              <w:rPr>
                <w:rFonts w:cs="Arial"/>
              </w:rPr>
            </w:pPr>
          </w:p>
        </w:tc>
        <w:tc>
          <w:tcPr>
            <w:tcW w:w="1833" w:type="dxa"/>
            <w:vAlign w:val="center"/>
          </w:tcPr>
          <w:p w14:paraId="64AE30DB" w14:textId="77777777" w:rsidR="00F40B11" w:rsidRPr="008C69D5" w:rsidRDefault="00F40B11" w:rsidP="007F47B2">
            <w:pPr>
              <w:spacing w:line="360" w:lineRule="auto"/>
              <w:jc w:val="both"/>
              <w:rPr>
                <w:rFonts w:cs="Arial"/>
              </w:rPr>
            </w:pPr>
            <w:r w:rsidRPr="008C69D5">
              <w:rPr>
                <w:rFonts w:cs="Arial"/>
              </w:rPr>
              <w:t>IC 95% Superior</w:t>
            </w:r>
          </w:p>
        </w:tc>
        <w:tc>
          <w:tcPr>
            <w:tcW w:w="1806" w:type="dxa"/>
            <w:vAlign w:val="center"/>
          </w:tcPr>
          <w:p w14:paraId="099529B6" w14:textId="77777777" w:rsidR="00F40B11" w:rsidRPr="008C69D5" w:rsidRDefault="00F40B11" w:rsidP="007F47B2">
            <w:pPr>
              <w:spacing w:line="360" w:lineRule="auto"/>
              <w:jc w:val="both"/>
              <w:rPr>
                <w:rFonts w:cs="Arial"/>
              </w:rPr>
            </w:pPr>
            <w:r w:rsidRPr="008C69D5">
              <w:rPr>
                <w:rFonts w:cs="Arial"/>
              </w:rPr>
              <w:t>-.193</w:t>
            </w:r>
          </w:p>
        </w:tc>
        <w:tc>
          <w:tcPr>
            <w:tcW w:w="1806" w:type="dxa"/>
            <w:vAlign w:val="center"/>
          </w:tcPr>
          <w:p w14:paraId="3A6DF107" w14:textId="77777777" w:rsidR="00F40B11" w:rsidRPr="008C69D5" w:rsidRDefault="00F40B11" w:rsidP="007F47B2">
            <w:pPr>
              <w:spacing w:line="360" w:lineRule="auto"/>
              <w:jc w:val="both"/>
              <w:rPr>
                <w:rFonts w:cs="Arial"/>
              </w:rPr>
            </w:pPr>
            <w:r w:rsidRPr="008C69D5">
              <w:rPr>
                <w:rFonts w:cs="Arial"/>
              </w:rPr>
              <w:t>--</w:t>
            </w:r>
          </w:p>
        </w:tc>
        <w:tc>
          <w:tcPr>
            <w:tcW w:w="1861" w:type="dxa"/>
            <w:vAlign w:val="center"/>
          </w:tcPr>
          <w:p w14:paraId="26C45F14" w14:textId="77777777" w:rsidR="00F40B11" w:rsidRPr="008C69D5" w:rsidRDefault="00F40B11" w:rsidP="007F47B2">
            <w:pPr>
              <w:spacing w:line="360" w:lineRule="auto"/>
              <w:jc w:val="both"/>
              <w:rPr>
                <w:rFonts w:cs="Arial"/>
              </w:rPr>
            </w:pPr>
          </w:p>
        </w:tc>
      </w:tr>
      <w:tr w:rsidR="00F40B11" w:rsidRPr="008C69D5" w14:paraId="1510D449" w14:textId="77777777" w:rsidTr="00556659">
        <w:tc>
          <w:tcPr>
            <w:tcW w:w="1766" w:type="dxa"/>
            <w:vAlign w:val="center"/>
          </w:tcPr>
          <w:p w14:paraId="12D66674" w14:textId="77777777" w:rsidR="00F40B11" w:rsidRPr="008C69D5" w:rsidRDefault="00F40B11" w:rsidP="007F47B2">
            <w:pPr>
              <w:spacing w:line="360" w:lineRule="auto"/>
              <w:jc w:val="both"/>
              <w:rPr>
                <w:rFonts w:cs="Arial"/>
              </w:rPr>
            </w:pPr>
          </w:p>
        </w:tc>
        <w:tc>
          <w:tcPr>
            <w:tcW w:w="1833" w:type="dxa"/>
            <w:vAlign w:val="center"/>
          </w:tcPr>
          <w:p w14:paraId="46252590" w14:textId="77777777" w:rsidR="00F40B11" w:rsidRPr="008C69D5" w:rsidRDefault="00F40B11" w:rsidP="007F47B2">
            <w:pPr>
              <w:spacing w:line="360" w:lineRule="auto"/>
              <w:jc w:val="both"/>
              <w:rPr>
                <w:rFonts w:cs="Arial"/>
              </w:rPr>
            </w:pPr>
            <w:r w:rsidRPr="008C69D5">
              <w:rPr>
                <w:rFonts w:cs="Arial"/>
              </w:rPr>
              <w:t>IC 95% Inferior</w:t>
            </w:r>
          </w:p>
        </w:tc>
        <w:tc>
          <w:tcPr>
            <w:tcW w:w="1806" w:type="dxa"/>
            <w:vAlign w:val="center"/>
          </w:tcPr>
          <w:p w14:paraId="1A1EF2B6" w14:textId="77777777" w:rsidR="00F40B11" w:rsidRPr="008C69D5" w:rsidRDefault="00F40B11" w:rsidP="007F47B2">
            <w:pPr>
              <w:spacing w:line="360" w:lineRule="auto"/>
              <w:jc w:val="both"/>
              <w:rPr>
                <w:rFonts w:cs="Arial"/>
              </w:rPr>
            </w:pPr>
            <w:r w:rsidRPr="008C69D5">
              <w:rPr>
                <w:rFonts w:cs="Arial"/>
              </w:rPr>
              <w:t>-.379</w:t>
            </w:r>
          </w:p>
        </w:tc>
        <w:tc>
          <w:tcPr>
            <w:tcW w:w="1806" w:type="dxa"/>
            <w:vAlign w:val="center"/>
          </w:tcPr>
          <w:p w14:paraId="3051EB16" w14:textId="77777777" w:rsidR="00F40B11" w:rsidRPr="008C69D5" w:rsidRDefault="00F40B11" w:rsidP="007F47B2">
            <w:pPr>
              <w:spacing w:line="360" w:lineRule="auto"/>
              <w:jc w:val="both"/>
              <w:rPr>
                <w:rFonts w:cs="Arial"/>
              </w:rPr>
            </w:pPr>
            <w:r w:rsidRPr="008C69D5">
              <w:rPr>
                <w:rFonts w:cs="Arial"/>
              </w:rPr>
              <w:t>--</w:t>
            </w:r>
          </w:p>
        </w:tc>
        <w:tc>
          <w:tcPr>
            <w:tcW w:w="1861" w:type="dxa"/>
            <w:vAlign w:val="center"/>
          </w:tcPr>
          <w:p w14:paraId="51B482F5" w14:textId="77777777" w:rsidR="00F40B11" w:rsidRPr="008C69D5" w:rsidRDefault="00F40B11" w:rsidP="007F47B2">
            <w:pPr>
              <w:spacing w:line="360" w:lineRule="auto"/>
              <w:jc w:val="both"/>
              <w:rPr>
                <w:rFonts w:cs="Arial"/>
              </w:rPr>
            </w:pPr>
          </w:p>
        </w:tc>
      </w:tr>
      <w:tr w:rsidR="00F40B11" w:rsidRPr="008C69D5" w14:paraId="75B4EACC" w14:textId="77777777" w:rsidTr="00556659">
        <w:tc>
          <w:tcPr>
            <w:tcW w:w="1766" w:type="dxa"/>
            <w:vAlign w:val="center"/>
          </w:tcPr>
          <w:p w14:paraId="41ACC1D9" w14:textId="77777777" w:rsidR="00F40B11" w:rsidRPr="008C69D5" w:rsidRDefault="00F40B11" w:rsidP="007F47B2">
            <w:pPr>
              <w:spacing w:line="360" w:lineRule="auto"/>
              <w:jc w:val="both"/>
              <w:rPr>
                <w:rFonts w:cs="Arial"/>
              </w:rPr>
            </w:pPr>
            <w:r w:rsidRPr="008C69D5">
              <w:rPr>
                <w:rFonts w:cs="Arial"/>
              </w:rPr>
              <w:t>IS</w:t>
            </w:r>
          </w:p>
        </w:tc>
        <w:tc>
          <w:tcPr>
            <w:tcW w:w="1833" w:type="dxa"/>
            <w:vAlign w:val="center"/>
          </w:tcPr>
          <w:p w14:paraId="1B9566B2" w14:textId="77777777" w:rsidR="00F40B11" w:rsidRPr="008C69D5" w:rsidRDefault="00F40B11" w:rsidP="007F47B2">
            <w:pPr>
              <w:spacing w:line="360" w:lineRule="auto"/>
              <w:jc w:val="both"/>
              <w:rPr>
                <w:rFonts w:cs="Arial"/>
              </w:rPr>
            </w:pPr>
            <w:r w:rsidRPr="008C69D5">
              <w:rPr>
                <w:rFonts w:cs="Arial"/>
              </w:rPr>
              <w:t>R de Pearson</w:t>
            </w:r>
          </w:p>
        </w:tc>
        <w:tc>
          <w:tcPr>
            <w:tcW w:w="1806" w:type="dxa"/>
            <w:vAlign w:val="center"/>
          </w:tcPr>
          <w:p w14:paraId="4D916B5E" w14:textId="77777777" w:rsidR="00F40B11" w:rsidRPr="008C69D5" w:rsidRDefault="00F40B11" w:rsidP="007F47B2">
            <w:pPr>
              <w:spacing w:line="360" w:lineRule="auto"/>
              <w:jc w:val="both"/>
              <w:rPr>
                <w:rFonts w:cs="Arial"/>
              </w:rPr>
            </w:pPr>
            <w:r w:rsidRPr="008C69D5">
              <w:rPr>
                <w:rFonts w:cs="Arial"/>
              </w:rPr>
              <w:t>-.341***</w:t>
            </w:r>
          </w:p>
        </w:tc>
        <w:tc>
          <w:tcPr>
            <w:tcW w:w="1806" w:type="dxa"/>
            <w:vAlign w:val="center"/>
          </w:tcPr>
          <w:p w14:paraId="5ED0D189" w14:textId="77777777" w:rsidR="00F40B11" w:rsidRPr="008C69D5" w:rsidRDefault="00F40B11" w:rsidP="007F47B2">
            <w:pPr>
              <w:spacing w:line="360" w:lineRule="auto"/>
              <w:jc w:val="both"/>
              <w:rPr>
                <w:rFonts w:cs="Arial"/>
              </w:rPr>
            </w:pPr>
            <w:r w:rsidRPr="008C69D5">
              <w:rPr>
                <w:rFonts w:cs="Arial"/>
              </w:rPr>
              <w:t>.412***</w:t>
            </w:r>
          </w:p>
        </w:tc>
        <w:tc>
          <w:tcPr>
            <w:tcW w:w="1861" w:type="dxa"/>
            <w:vAlign w:val="center"/>
          </w:tcPr>
          <w:p w14:paraId="0C034D30" w14:textId="77777777" w:rsidR="00F40B11" w:rsidRPr="008C69D5" w:rsidRDefault="00F40B11" w:rsidP="007F47B2">
            <w:pPr>
              <w:spacing w:line="360" w:lineRule="auto"/>
              <w:jc w:val="both"/>
              <w:rPr>
                <w:rFonts w:cs="Arial"/>
              </w:rPr>
            </w:pPr>
            <w:r w:rsidRPr="008C69D5">
              <w:rPr>
                <w:rFonts w:cs="Arial"/>
              </w:rPr>
              <w:t>--</w:t>
            </w:r>
          </w:p>
        </w:tc>
      </w:tr>
      <w:tr w:rsidR="00F40B11" w:rsidRPr="008C69D5" w14:paraId="208F9D67" w14:textId="77777777" w:rsidTr="00556659">
        <w:tc>
          <w:tcPr>
            <w:tcW w:w="1766" w:type="dxa"/>
            <w:vAlign w:val="center"/>
          </w:tcPr>
          <w:p w14:paraId="38A09570" w14:textId="77777777" w:rsidR="00F40B11" w:rsidRPr="008C69D5" w:rsidRDefault="00F40B11" w:rsidP="007F47B2">
            <w:pPr>
              <w:spacing w:line="360" w:lineRule="auto"/>
              <w:jc w:val="both"/>
              <w:rPr>
                <w:rFonts w:cs="Arial"/>
              </w:rPr>
            </w:pPr>
          </w:p>
        </w:tc>
        <w:tc>
          <w:tcPr>
            <w:tcW w:w="1833" w:type="dxa"/>
            <w:vAlign w:val="center"/>
          </w:tcPr>
          <w:p w14:paraId="0391B0F3" w14:textId="77777777" w:rsidR="00F40B11" w:rsidRPr="008C69D5" w:rsidRDefault="00F40B11" w:rsidP="007F47B2">
            <w:pPr>
              <w:spacing w:line="360" w:lineRule="auto"/>
              <w:jc w:val="both"/>
              <w:rPr>
                <w:rFonts w:cs="Arial"/>
              </w:rPr>
            </w:pPr>
            <w:proofErr w:type="spellStart"/>
            <w:r w:rsidRPr="008C69D5">
              <w:rPr>
                <w:rFonts w:cs="Arial"/>
              </w:rPr>
              <w:t>gl</w:t>
            </w:r>
            <w:proofErr w:type="spellEnd"/>
          </w:p>
        </w:tc>
        <w:tc>
          <w:tcPr>
            <w:tcW w:w="1806" w:type="dxa"/>
            <w:vAlign w:val="center"/>
          </w:tcPr>
          <w:p w14:paraId="073E03CB" w14:textId="77777777" w:rsidR="00F40B11" w:rsidRPr="008C69D5" w:rsidRDefault="00F40B11" w:rsidP="007F47B2">
            <w:pPr>
              <w:spacing w:line="360" w:lineRule="auto"/>
              <w:jc w:val="both"/>
              <w:rPr>
                <w:rFonts w:cs="Arial"/>
              </w:rPr>
            </w:pPr>
            <w:r w:rsidRPr="008C69D5">
              <w:rPr>
                <w:rFonts w:cs="Arial"/>
              </w:rPr>
              <w:t>372</w:t>
            </w:r>
          </w:p>
        </w:tc>
        <w:tc>
          <w:tcPr>
            <w:tcW w:w="1806" w:type="dxa"/>
            <w:vAlign w:val="center"/>
          </w:tcPr>
          <w:p w14:paraId="712427FC" w14:textId="77777777" w:rsidR="00F40B11" w:rsidRPr="008C69D5" w:rsidRDefault="00F40B11" w:rsidP="007F47B2">
            <w:pPr>
              <w:spacing w:line="360" w:lineRule="auto"/>
              <w:jc w:val="both"/>
              <w:rPr>
                <w:rFonts w:cs="Arial"/>
              </w:rPr>
            </w:pPr>
            <w:r w:rsidRPr="008C69D5">
              <w:rPr>
                <w:rFonts w:cs="Arial"/>
              </w:rPr>
              <w:t>372</w:t>
            </w:r>
          </w:p>
        </w:tc>
        <w:tc>
          <w:tcPr>
            <w:tcW w:w="1861" w:type="dxa"/>
            <w:vAlign w:val="center"/>
          </w:tcPr>
          <w:p w14:paraId="131ED2F4" w14:textId="77777777" w:rsidR="00F40B11" w:rsidRPr="008C69D5" w:rsidRDefault="00F40B11" w:rsidP="007F47B2">
            <w:pPr>
              <w:spacing w:line="360" w:lineRule="auto"/>
              <w:jc w:val="both"/>
              <w:rPr>
                <w:rFonts w:cs="Arial"/>
              </w:rPr>
            </w:pPr>
            <w:r w:rsidRPr="008C69D5">
              <w:rPr>
                <w:rFonts w:cs="Arial"/>
              </w:rPr>
              <w:t>--</w:t>
            </w:r>
          </w:p>
        </w:tc>
      </w:tr>
      <w:tr w:rsidR="00F40B11" w:rsidRPr="008C69D5" w14:paraId="4F6F68AF" w14:textId="77777777" w:rsidTr="00556659">
        <w:tc>
          <w:tcPr>
            <w:tcW w:w="1766" w:type="dxa"/>
            <w:vAlign w:val="center"/>
          </w:tcPr>
          <w:p w14:paraId="40964C30" w14:textId="77777777" w:rsidR="00F40B11" w:rsidRPr="008C69D5" w:rsidRDefault="00F40B11" w:rsidP="007F47B2">
            <w:pPr>
              <w:spacing w:line="360" w:lineRule="auto"/>
              <w:jc w:val="both"/>
              <w:rPr>
                <w:rFonts w:cs="Arial"/>
              </w:rPr>
            </w:pPr>
          </w:p>
        </w:tc>
        <w:tc>
          <w:tcPr>
            <w:tcW w:w="1833" w:type="dxa"/>
            <w:vAlign w:val="center"/>
          </w:tcPr>
          <w:p w14:paraId="60F5AA1F" w14:textId="77777777" w:rsidR="00F40B11" w:rsidRPr="008C69D5" w:rsidRDefault="00F40B11" w:rsidP="007F47B2">
            <w:pPr>
              <w:spacing w:line="360" w:lineRule="auto"/>
              <w:jc w:val="both"/>
              <w:rPr>
                <w:rFonts w:cs="Arial"/>
              </w:rPr>
            </w:pPr>
            <w:r w:rsidRPr="008C69D5">
              <w:rPr>
                <w:rFonts w:cs="Arial"/>
              </w:rPr>
              <w:t>Valor p</w:t>
            </w:r>
          </w:p>
        </w:tc>
        <w:tc>
          <w:tcPr>
            <w:tcW w:w="1806" w:type="dxa"/>
            <w:vAlign w:val="center"/>
          </w:tcPr>
          <w:p w14:paraId="4B8C5B8D" w14:textId="77777777" w:rsidR="00F40B11" w:rsidRPr="008C69D5" w:rsidRDefault="00F40B11" w:rsidP="007F47B2">
            <w:pPr>
              <w:spacing w:line="360" w:lineRule="auto"/>
              <w:jc w:val="both"/>
              <w:rPr>
                <w:rFonts w:cs="Arial"/>
              </w:rPr>
            </w:pPr>
            <w:r w:rsidRPr="008C69D5">
              <w:rPr>
                <w:rFonts w:cs="Arial"/>
              </w:rPr>
              <w:t>&lt;.001</w:t>
            </w:r>
          </w:p>
        </w:tc>
        <w:tc>
          <w:tcPr>
            <w:tcW w:w="1806" w:type="dxa"/>
            <w:vAlign w:val="center"/>
          </w:tcPr>
          <w:p w14:paraId="62A10677" w14:textId="77777777" w:rsidR="00F40B11" w:rsidRPr="008C69D5" w:rsidRDefault="00F40B11" w:rsidP="007F47B2">
            <w:pPr>
              <w:spacing w:line="360" w:lineRule="auto"/>
              <w:jc w:val="both"/>
              <w:rPr>
                <w:rFonts w:cs="Arial"/>
              </w:rPr>
            </w:pPr>
            <w:r w:rsidRPr="008C69D5">
              <w:rPr>
                <w:rFonts w:cs="Arial"/>
              </w:rPr>
              <w:t>&lt;.001</w:t>
            </w:r>
          </w:p>
        </w:tc>
        <w:tc>
          <w:tcPr>
            <w:tcW w:w="1861" w:type="dxa"/>
            <w:vAlign w:val="center"/>
          </w:tcPr>
          <w:p w14:paraId="5681DFB1" w14:textId="77777777" w:rsidR="00F40B11" w:rsidRPr="008C69D5" w:rsidRDefault="00F40B11" w:rsidP="007F47B2">
            <w:pPr>
              <w:spacing w:line="360" w:lineRule="auto"/>
              <w:jc w:val="both"/>
              <w:rPr>
                <w:rFonts w:cs="Arial"/>
              </w:rPr>
            </w:pPr>
            <w:r w:rsidRPr="008C69D5">
              <w:rPr>
                <w:rFonts w:cs="Arial"/>
              </w:rPr>
              <w:t>--</w:t>
            </w:r>
          </w:p>
        </w:tc>
      </w:tr>
      <w:tr w:rsidR="00F40B11" w:rsidRPr="008C69D5" w14:paraId="76909E12" w14:textId="77777777" w:rsidTr="00556659">
        <w:tc>
          <w:tcPr>
            <w:tcW w:w="1766" w:type="dxa"/>
            <w:vAlign w:val="center"/>
          </w:tcPr>
          <w:p w14:paraId="000FE42F" w14:textId="77777777" w:rsidR="00F40B11" w:rsidRPr="008C69D5" w:rsidRDefault="00F40B11" w:rsidP="007F47B2">
            <w:pPr>
              <w:spacing w:line="360" w:lineRule="auto"/>
              <w:jc w:val="both"/>
              <w:rPr>
                <w:rFonts w:cs="Arial"/>
              </w:rPr>
            </w:pPr>
          </w:p>
        </w:tc>
        <w:tc>
          <w:tcPr>
            <w:tcW w:w="1833" w:type="dxa"/>
            <w:vAlign w:val="center"/>
          </w:tcPr>
          <w:p w14:paraId="7CB1940C" w14:textId="77777777" w:rsidR="00F40B11" w:rsidRPr="008C69D5" w:rsidRDefault="00F40B11" w:rsidP="007F47B2">
            <w:pPr>
              <w:spacing w:line="360" w:lineRule="auto"/>
              <w:jc w:val="both"/>
              <w:rPr>
                <w:rFonts w:cs="Arial"/>
              </w:rPr>
            </w:pPr>
            <w:r w:rsidRPr="008C69D5">
              <w:rPr>
                <w:rFonts w:cs="Arial"/>
              </w:rPr>
              <w:t>IC 95% Superior</w:t>
            </w:r>
          </w:p>
        </w:tc>
        <w:tc>
          <w:tcPr>
            <w:tcW w:w="1806" w:type="dxa"/>
            <w:vAlign w:val="center"/>
          </w:tcPr>
          <w:p w14:paraId="43897A4F" w14:textId="77777777" w:rsidR="00F40B11" w:rsidRPr="008C69D5" w:rsidRDefault="00F40B11" w:rsidP="007F47B2">
            <w:pPr>
              <w:spacing w:line="360" w:lineRule="auto"/>
              <w:jc w:val="both"/>
              <w:rPr>
                <w:rFonts w:cs="Arial"/>
              </w:rPr>
            </w:pPr>
            <w:r w:rsidRPr="008C69D5">
              <w:rPr>
                <w:rFonts w:cs="Arial"/>
              </w:rPr>
              <w:t>-.248</w:t>
            </w:r>
          </w:p>
        </w:tc>
        <w:tc>
          <w:tcPr>
            <w:tcW w:w="1806" w:type="dxa"/>
            <w:vAlign w:val="center"/>
          </w:tcPr>
          <w:p w14:paraId="0C260A2F" w14:textId="77777777" w:rsidR="00F40B11" w:rsidRPr="008C69D5" w:rsidRDefault="00F40B11" w:rsidP="007F47B2">
            <w:pPr>
              <w:spacing w:line="360" w:lineRule="auto"/>
              <w:jc w:val="both"/>
              <w:rPr>
                <w:rFonts w:cs="Arial"/>
              </w:rPr>
            </w:pPr>
            <w:r w:rsidRPr="008C69D5">
              <w:rPr>
                <w:rFonts w:cs="Arial"/>
              </w:rPr>
              <w:t>.493</w:t>
            </w:r>
          </w:p>
        </w:tc>
        <w:tc>
          <w:tcPr>
            <w:tcW w:w="1861" w:type="dxa"/>
            <w:vAlign w:val="center"/>
          </w:tcPr>
          <w:p w14:paraId="2A616C9D" w14:textId="77777777" w:rsidR="00F40B11" w:rsidRPr="008C69D5" w:rsidRDefault="00F40B11" w:rsidP="007F47B2">
            <w:pPr>
              <w:spacing w:line="360" w:lineRule="auto"/>
              <w:jc w:val="both"/>
              <w:rPr>
                <w:rFonts w:cs="Arial"/>
              </w:rPr>
            </w:pPr>
            <w:r w:rsidRPr="008C69D5">
              <w:rPr>
                <w:rFonts w:cs="Arial"/>
              </w:rPr>
              <w:t>--</w:t>
            </w:r>
          </w:p>
        </w:tc>
      </w:tr>
      <w:tr w:rsidR="00F40B11" w:rsidRPr="008C69D5" w14:paraId="000F4785" w14:textId="77777777" w:rsidTr="00556659">
        <w:tc>
          <w:tcPr>
            <w:tcW w:w="1766" w:type="dxa"/>
            <w:tcBorders>
              <w:bottom w:val="single" w:sz="4" w:space="0" w:color="auto"/>
            </w:tcBorders>
            <w:vAlign w:val="center"/>
          </w:tcPr>
          <w:p w14:paraId="250D0CFB" w14:textId="77777777" w:rsidR="00F40B11" w:rsidRPr="008C69D5" w:rsidRDefault="00F40B11" w:rsidP="007F47B2">
            <w:pPr>
              <w:spacing w:line="360" w:lineRule="auto"/>
              <w:jc w:val="both"/>
              <w:rPr>
                <w:rFonts w:cs="Arial"/>
              </w:rPr>
            </w:pPr>
          </w:p>
        </w:tc>
        <w:tc>
          <w:tcPr>
            <w:tcW w:w="1833" w:type="dxa"/>
            <w:tcBorders>
              <w:bottom w:val="single" w:sz="4" w:space="0" w:color="auto"/>
            </w:tcBorders>
            <w:vAlign w:val="center"/>
          </w:tcPr>
          <w:p w14:paraId="00B7B727" w14:textId="77777777" w:rsidR="00F40B11" w:rsidRPr="008C69D5" w:rsidRDefault="00F40B11" w:rsidP="007F47B2">
            <w:pPr>
              <w:spacing w:line="360" w:lineRule="auto"/>
              <w:jc w:val="both"/>
              <w:rPr>
                <w:rFonts w:cs="Arial"/>
              </w:rPr>
            </w:pPr>
            <w:r w:rsidRPr="008C69D5">
              <w:rPr>
                <w:rFonts w:cs="Arial"/>
              </w:rPr>
              <w:t>IC 95% Inferior</w:t>
            </w:r>
          </w:p>
        </w:tc>
        <w:tc>
          <w:tcPr>
            <w:tcW w:w="1806" w:type="dxa"/>
            <w:tcBorders>
              <w:bottom w:val="single" w:sz="4" w:space="0" w:color="auto"/>
            </w:tcBorders>
            <w:vAlign w:val="center"/>
          </w:tcPr>
          <w:p w14:paraId="22FA0EF6" w14:textId="77777777" w:rsidR="00F40B11" w:rsidRPr="008C69D5" w:rsidRDefault="00F40B11" w:rsidP="007F47B2">
            <w:pPr>
              <w:spacing w:line="360" w:lineRule="auto"/>
              <w:jc w:val="both"/>
              <w:rPr>
                <w:rFonts w:cs="Arial"/>
              </w:rPr>
            </w:pPr>
            <w:r w:rsidRPr="008C69D5">
              <w:rPr>
                <w:rFonts w:cs="Arial"/>
              </w:rPr>
              <w:t>-.427</w:t>
            </w:r>
          </w:p>
        </w:tc>
        <w:tc>
          <w:tcPr>
            <w:tcW w:w="1806" w:type="dxa"/>
            <w:tcBorders>
              <w:bottom w:val="single" w:sz="4" w:space="0" w:color="auto"/>
            </w:tcBorders>
            <w:vAlign w:val="center"/>
          </w:tcPr>
          <w:p w14:paraId="6E1CCB42" w14:textId="77777777" w:rsidR="00F40B11" w:rsidRPr="008C69D5" w:rsidRDefault="00F40B11" w:rsidP="007F47B2">
            <w:pPr>
              <w:spacing w:line="360" w:lineRule="auto"/>
              <w:jc w:val="both"/>
              <w:rPr>
                <w:rFonts w:cs="Arial"/>
              </w:rPr>
            </w:pPr>
            <w:r w:rsidRPr="008C69D5">
              <w:rPr>
                <w:rFonts w:cs="Arial"/>
              </w:rPr>
              <w:t>.324</w:t>
            </w:r>
          </w:p>
        </w:tc>
        <w:tc>
          <w:tcPr>
            <w:tcW w:w="1861" w:type="dxa"/>
            <w:tcBorders>
              <w:bottom w:val="single" w:sz="4" w:space="0" w:color="auto"/>
            </w:tcBorders>
            <w:vAlign w:val="center"/>
          </w:tcPr>
          <w:p w14:paraId="61AE8ACA" w14:textId="77777777" w:rsidR="00F40B11" w:rsidRPr="008C69D5" w:rsidRDefault="00F40B11" w:rsidP="007F47B2">
            <w:pPr>
              <w:spacing w:line="360" w:lineRule="auto"/>
              <w:jc w:val="both"/>
              <w:rPr>
                <w:rFonts w:cs="Arial"/>
              </w:rPr>
            </w:pPr>
            <w:r w:rsidRPr="008C69D5">
              <w:rPr>
                <w:rFonts w:cs="Arial"/>
              </w:rPr>
              <w:t>--</w:t>
            </w:r>
          </w:p>
        </w:tc>
      </w:tr>
      <w:tr w:rsidR="00F40B11" w:rsidRPr="008C69D5" w14:paraId="1A979673" w14:textId="77777777" w:rsidTr="00556659">
        <w:tc>
          <w:tcPr>
            <w:tcW w:w="9072" w:type="dxa"/>
            <w:gridSpan w:val="5"/>
            <w:tcBorders>
              <w:top w:val="single" w:sz="4" w:space="0" w:color="auto"/>
            </w:tcBorders>
            <w:vAlign w:val="center"/>
          </w:tcPr>
          <w:p w14:paraId="65376E83" w14:textId="77777777" w:rsidR="00F40B11" w:rsidRPr="008C69D5" w:rsidRDefault="00F40B11" w:rsidP="007F47B2">
            <w:pPr>
              <w:spacing w:line="360" w:lineRule="auto"/>
              <w:jc w:val="both"/>
              <w:rPr>
                <w:rFonts w:cs="Arial"/>
              </w:rPr>
            </w:pPr>
            <w:r w:rsidRPr="008C69D5">
              <w:rPr>
                <w:i/>
                <w:iCs/>
                <w:sz w:val="20"/>
                <w:szCs w:val="20"/>
              </w:rPr>
              <w:t>Nota.</w:t>
            </w:r>
            <w:r w:rsidRPr="008C69D5">
              <w:rPr>
                <w:sz w:val="20"/>
                <w:szCs w:val="20"/>
              </w:rPr>
              <w:t xml:space="preserve"> * p &lt; .05, ** p &lt; .01, *** p &lt; .001</w:t>
            </w:r>
          </w:p>
        </w:tc>
      </w:tr>
    </w:tbl>
    <w:p w14:paraId="1B20D69E" w14:textId="77777777" w:rsidR="00F40B11" w:rsidRDefault="00F40B11" w:rsidP="007F47B2">
      <w:pPr>
        <w:pBdr>
          <w:top w:val="nil"/>
          <w:left w:val="nil"/>
          <w:bottom w:val="nil"/>
          <w:right w:val="nil"/>
          <w:between w:val="nil"/>
        </w:pBdr>
        <w:spacing w:after="160" w:line="360" w:lineRule="auto"/>
        <w:ind w:firstLine="708"/>
        <w:jc w:val="both"/>
        <w:rPr>
          <w:rFonts w:cs="Arial"/>
          <w:bCs/>
        </w:rPr>
      </w:pPr>
    </w:p>
    <w:p w14:paraId="1B139280" w14:textId="2BB7509D" w:rsidR="00F40B11" w:rsidRPr="00171500" w:rsidRDefault="00171500" w:rsidP="007F47B2">
      <w:pPr>
        <w:pBdr>
          <w:top w:val="nil"/>
          <w:left w:val="nil"/>
          <w:bottom w:val="nil"/>
          <w:right w:val="nil"/>
          <w:between w:val="nil"/>
        </w:pBdr>
        <w:spacing w:after="160" w:line="360" w:lineRule="auto"/>
        <w:jc w:val="both"/>
        <w:rPr>
          <w:b/>
          <w:i/>
          <w:iCs/>
          <w:color w:val="000000"/>
        </w:rPr>
      </w:pPr>
      <w:r>
        <w:rPr>
          <w:b/>
          <w:i/>
          <w:iCs/>
          <w:color w:val="000000"/>
        </w:rPr>
        <w:t xml:space="preserve">Objetivo 1: </w:t>
      </w:r>
      <w:r w:rsidR="00F40B11" w:rsidRPr="00171500">
        <w:rPr>
          <w:b/>
          <w:i/>
          <w:iCs/>
          <w:color w:val="000000"/>
        </w:rPr>
        <w:t>Niveles de funcionamiento familiar</w:t>
      </w:r>
    </w:p>
    <w:p w14:paraId="1FDD55F3" w14:textId="3AD1107D" w:rsidR="00F40B11" w:rsidRDefault="00F40B11" w:rsidP="007F47B2">
      <w:pPr>
        <w:pBdr>
          <w:top w:val="nil"/>
          <w:left w:val="nil"/>
          <w:bottom w:val="nil"/>
          <w:right w:val="nil"/>
          <w:between w:val="nil"/>
        </w:pBdr>
        <w:spacing w:after="160" w:line="360" w:lineRule="auto"/>
        <w:ind w:firstLine="708"/>
        <w:jc w:val="both"/>
        <w:rPr>
          <w:bCs/>
          <w:color w:val="000000"/>
        </w:rPr>
      </w:pPr>
      <w:r>
        <w:rPr>
          <w:bCs/>
          <w:color w:val="000000"/>
        </w:rPr>
        <w:t>Los datos revelaron que la mayoría de los adolescentes perciben algún grado de disfuncionalidad familiar. El 26% manifestó disfunción severa, otro 26% reportó disfunción moderada, el 31% presentó disfunción leve y solo el 18% indicó contar con una buena funcionalidad familiar. Esto refleja que, si bien un sector reducido experimenta un entorno familiar positivo, la mayor parte convive en contextos con distintos niveles de dificultades en la dinámica familiar (Tabla 2).</w:t>
      </w:r>
    </w:p>
    <w:p w14:paraId="5E4438B6" w14:textId="2AF8D808" w:rsidR="00F40B11" w:rsidRPr="00F40B11" w:rsidRDefault="00F40B11" w:rsidP="007F47B2">
      <w:pPr>
        <w:pBdr>
          <w:top w:val="nil"/>
          <w:left w:val="nil"/>
          <w:bottom w:val="nil"/>
          <w:right w:val="nil"/>
          <w:between w:val="nil"/>
        </w:pBdr>
        <w:spacing w:after="160" w:line="360" w:lineRule="auto"/>
        <w:jc w:val="both"/>
        <w:rPr>
          <w:b/>
          <w:color w:val="000000"/>
        </w:rPr>
      </w:pPr>
      <w:r w:rsidRPr="00F40B11">
        <w:rPr>
          <w:b/>
          <w:color w:val="000000"/>
        </w:rPr>
        <w:t>Tabla 2</w:t>
      </w:r>
    </w:p>
    <w:p w14:paraId="452308A4" w14:textId="77777777" w:rsidR="00F40B11" w:rsidRPr="00F40B11" w:rsidRDefault="00F40B11" w:rsidP="007F47B2">
      <w:pPr>
        <w:pStyle w:val="Ttulo2"/>
        <w:spacing w:after="160" w:line="360" w:lineRule="auto"/>
        <w:jc w:val="both"/>
        <w:rPr>
          <w:rFonts w:ascii="Times New Roman" w:hAnsi="Times New Roman" w:cs="Times New Roman"/>
          <w:b/>
          <w:bCs/>
          <w:i/>
          <w:iCs/>
        </w:rPr>
      </w:pPr>
      <w:bookmarkStart w:id="0" w:name="_Toc209030930"/>
      <w:bookmarkStart w:id="1" w:name="_Toc209049004"/>
      <w:bookmarkStart w:id="2" w:name="_Toc209077320"/>
      <w:bookmarkStart w:id="3" w:name="_Toc210049818"/>
      <w:r w:rsidRPr="00F40B11">
        <w:rPr>
          <w:rFonts w:ascii="Times New Roman" w:hAnsi="Times New Roman" w:cs="Times New Roman"/>
          <w:bCs/>
          <w:i/>
          <w:iCs/>
          <w:color w:val="000000" w:themeColor="text1"/>
          <w:shd w:val="clear" w:color="auto" w:fill="FFFFFF"/>
        </w:rPr>
        <w:lastRenderedPageBreak/>
        <w:t>Niveles de funcionamiento familiar</w:t>
      </w:r>
      <w:bookmarkEnd w:id="0"/>
      <w:bookmarkEnd w:id="1"/>
      <w:bookmarkEnd w:id="2"/>
      <w:bookmarkEnd w:id="3"/>
    </w:p>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552"/>
        <w:gridCol w:w="2976"/>
      </w:tblGrid>
      <w:tr w:rsidR="00F40B11" w:rsidRPr="00F40B11" w14:paraId="72006F9C" w14:textId="77777777" w:rsidTr="00556659">
        <w:tc>
          <w:tcPr>
            <w:tcW w:w="3544" w:type="dxa"/>
            <w:tcBorders>
              <w:top w:val="single" w:sz="4" w:space="0" w:color="auto"/>
              <w:bottom w:val="single" w:sz="4" w:space="0" w:color="auto"/>
            </w:tcBorders>
            <w:vAlign w:val="center"/>
          </w:tcPr>
          <w:p w14:paraId="6C0F61A1" w14:textId="77777777" w:rsidR="00F40B11" w:rsidRPr="00F40B11" w:rsidRDefault="00F40B11" w:rsidP="007F47B2">
            <w:pPr>
              <w:spacing w:line="360" w:lineRule="auto"/>
              <w:jc w:val="both"/>
            </w:pPr>
            <w:r w:rsidRPr="00F40B11">
              <w:t>APGAR</w:t>
            </w:r>
          </w:p>
        </w:tc>
        <w:tc>
          <w:tcPr>
            <w:tcW w:w="2552" w:type="dxa"/>
            <w:tcBorders>
              <w:top w:val="single" w:sz="4" w:space="0" w:color="auto"/>
              <w:bottom w:val="single" w:sz="4" w:space="0" w:color="auto"/>
            </w:tcBorders>
            <w:vAlign w:val="center"/>
          </w:tcPr>
          <w:p w14:paraId="25214677" w14:textId="77777777" w:rsidR="00F40B11" w:rsidRPr="00F40B11" w:rsidRDefault="00F40B11" w:rsidP="007F47B2">
            <w:pPr>
              <w:spacing w:line="360" w:lineRule="auto"/>
              <w:jc w:val="both"/>
            </w:pPr>
            <w:r w:rsidRPr="00F40B11">
              <w:t>f</w:t>
            </w:r>
          </w:p>
        </w:tc>
        <w:tc>
          <w:tcPr>
            <w:tcW w:w="2976" w:type="dxa"/>
            <w:tcBorders>
              <w:top w:val="single" w:sz="4" w:space="0" w:color="auto"/>
              <w:bottom w:val="single" w:sz="4" w:space="0" w:color="auto"/>
            </w:tcBorders>
            <w:vAlign w:val="center"/>
          </w:tcPr>
          <w:p w14:paraId="08990924" w14:textId="77777777" w:rsidR="00F40B11" w:rsidRPr="00F40B11" w:rsidRDefault="00F40B11" w:rsidP="007F47B2">
            <w:pPr>
              <w:spacing w:line="360" w:lineRule="auto"/>
              <w:jc w:val="both"/>
            </w:pPr>
            <w:r w:rsidRPr="00F40B11">
              <w:t xml:space="preserve">% </w:t>
            </w:r>
          </w:p>
        </w:tc>
      </w:tr>
      <w:tr w:rsidR="00F40B11" w:rsidRPr="00F40B11" w14:paraId="4CB5FB72" w14:textId="77777777" w:rsidTr="00556659">
        <w:tc>
          <w:tcPr>
            <w:tcW w:w="3544" w:type="dxa"/>
            <w:tcBorders>
              <w:top w:val="single" w:sz="4" w:space="0" w:color="auto"/>
            </w:tcBorders>
            <w:vAlign w:val="center"/>
          </w:tcPr>
          <w:p w14:paraId="15C6A318" w14:textId="77777777" w:rsidR="00F40B11" w:rsidRPr="00F40B11" w:rsidRDefault="00F40B11" w:rsidP="007F47B2">
            <w:pPr>
              <w:spacing w:line="360" w:lineRule="auto"/>
              <w:jc w:val="both"/>
            </w:pPr>
            <w:r w:rsidRPr="00F40B11">
              <w:t>Disfunción severa</w:t>
            </w:r>
          </w:p>
        </w:tc>
        <w:tc>
          <w:tcPr>
            <w:tcW w:w="2552" w:type="dxa"/>
            <w:tcBorders>
              <w:top w:val="single" w:sz="4" w:space="0" w:color="auto"/>
            </w:tcBorders>
            <w:vAlign w:val="center"/>
          </w:tcPr>
          <w:p w14:paraId="006B8718" w14:textId="77777777" w:rsidR="00F40B11" w:rsidRPr="00F40B11" w:rsidRDefault="00F40B11" w:rsidP="007F47B2">
            <w:pPr>
              <w:spacing w:line="360" w:lineRule="auto"/>
              <w:jc w:val="both"/>
            </w:pPr>
            <w:r w:rsidRPr="00F40B11">
              <w:t>97</w:t>
            </w:r>
          </w:p>
        </w:tc>
        <w:tc>
          <w:tcPr>
            <w:tcW w:w="2976" w:type="dxa"/>
            <w:tcBorders>
              <w:top w:val="single" w:sz="4" w:space="0" w:color="auto"/>
            </w:tcBorders>
            <w:vAlign w:val="center"/>
          </w:tcPr>
          <w:p w14:paraId="382A601D" w14:textId="77777777" w:rsidR="00F40B11" w:rsidRPr="00F40B11" w:rsidRDefault="00F40B11" w:rsidP="007F47B2">
            <w:pPr>
              <w:spacing w:line="360" w:lineRule="auto"/>
              <w:jc w:val="both"/>
            </w:pPr>
            <w:r w:rsidRPr="00F40B11">
              <w:t>26%</w:t>
            </w:r>
          </w:p>
        </w:tc>
      </w:tr>
      <w:tr w:rsidR="00F40B11" w:rsidRPr="00F40B11" w14:paraId="0AB86F30" w14:textId="77777777" w:rsidTr="00556659">
        <w:tc>
          <w:tcPr>
            <w:tcW w:w="3544" w:type="dxa"/>
            <w:vAlign w:val="center"/>
          </w:tcPr>
          <w:p w14:paraId="7C7C3195" w14:textId="77777777" w:rsidR="00F40B11" w:rsidRPr="00F40B11" w:rsidRDefault="00F40B11" w:rsidP="007F47B2">
            <w:pPr>
              <w:spacing w:line="360" w:lineRule="auto"/>
              <w:jc w:val="both"/>
            </w:pPr>
            <w:r w:rsidRPr="00F40B11">
              <w:t>Disfunción moderada</w:t>
            </w:r>
          </w:p>
        </w:tc>
        <w:tc>
          <w:tcPr>
            <w:tcW w:w="2552" w:type="dxa"/>
            <w:vAlign w:val="center"/>
          </w:tcPr>
          <w:p w14:paraId="438713EB" w14:textId="77777777" w:rsidR="00F40B11" w:rsidRPr="00F40B11" w:rsidRDefault="00F40B11" w:rsidP="007F47B2">
            <w:pPr>
              <w:spacing w:line="360" w:lineRule="auto"/>
              <w:jc w:val="both"/>
            </w:pPr>
            <w:r w:rsidRPr="00F40B11">
              <w:t>97</w:t>
            </w:r>
          </w:p>
        </w:tc>
        <w:tc>
          <w:tcPr>
            <w:tcW w:w="2976" w:type="dxa"/>
            <w:vAlign w:val="center"/>
          </w:tcPr>
          <w:p w14:paraId="301402B4" w14:textId="77777777" w:rsidR="00F40B11" w:rsidRPr="00F40B11" w:rsidRDefault="00F40B11" w:rsidP="007F47B2">
            <w:pPr>
              <w:spacing w:line="360" w:lineRule="auto"/>
              <w:jc w:val="both"/>
            </w:pPr>
            <w:r w:rsidRPr="00F40B11">
              <w:t>26%</w:t>
            </w:r>
          </w:p>
        </w:tc>
      </w:tr>
      <w:tr w:rsidR="00F40B11" w:rsidRPr="00F40B11" w14:paraId="0CC0FDE7" w14:textId="77777777" w:rsidTr="00556659">
        <w:tc>
          <w:tcPr>
            <w:tcW w:w="3544" w:type="dxa"/>
            <w:vAlign w:val="center"/>
          </w:tcPr>
          <w:p w14:paraId="608E35F7" w14:textId="77777777" w:rsidR="00F40B11" w:rsidRPr="00F40B11" w:rsidRDefault="00F40B11" w:rsidP="007F47B2">
            <w:pPr>
              <w:spacing w:line="360" w:lineRule="auto"/>
              <w:jc w:val="both"/>
            </w:pPr>
            <w:r w:rsidRPr="00F40B11">
              <w:t>Disfunción leve</w:t>
            </w:r>
          </w:p>
        </w:tc>
        <w:tc>
          <w:tcPr>
            <w:tcW w:w="2552" w:type="dxa"/>
            <w:vAlign w:val="center"/>
          </w:tcPr>
          <w:p w14:paraId="4AB9210B" w14:textId="77777777" w:rsidR="00F40B11" w:rsidRPr="00F40B11" w:rsidRDefault="00F40B11" w:rsidP="007F47B2">
            <w:pPr>
              <w:spacing w:line="360" w:lineRule="auto"/>
              <w:jc w:val="both"/>
            </w:pPr>
            <w:r w:rsidRPr="00F40B11">
              <w:t>114</w:t>
            </w:r>
          </w:p>
        </w:tc>
        <w:tc>
          <w:tcPr>
            <w:tcW w:w="2976" w:type="dxa"/>
            <w:vAlign w:val="center"/>
          </w:tcPr>
          <w:p w14:paraId="3B357472" w14:textId="77777777" w:rsidR="00F40B11" w:rsidRPr="00F40B11" w:rsidRDefault="00F40B11" w:rsidP="007F47B2">
            <w:pPr>
              <w:spacing w:line="360" w:lineRule="auto"/>
              <w:jc w:val="both"/>
            </w:pPr>
            <w:r w:rsidRPr="00F40B11">
              <w:t>31%</w:t>
            </w:r>
          </w:p>
        </w:tc>
      </w:tr>
      <w:tr w:rsidR="00F40B11" w:rsidRPr="00F40B11" w14:paraId="78446999" w14:textId="77777777" w:rsidTr="00556659">
        <w:tc>
          <w:tcPr>
            <w:tcW w:w="3544" w:type="dxa"/>
            <w:vAlign w:val="center"/>
          </w:tcPr>
          <w:p w14:paraId="62D93B24" w14:textId="77777777" w:rsidR="00F40B11" w:rsidRPr="00F40B11" w:rsidRDefault="00F40B11" w:rsidP="007F47B2">
            <w:pPr>
              <w:spacing w:line="360" w:lineRule="auto"/>
              <w:jc w:val="both"/>
            </w:pPr>
            <w:r w:rsidRPr="00F40B11">
              <w:t>Buena función familiar</w:t>
            </w:r>
          </w:p>
        </w:tc>
        <w:tc>
          <w:tcPr>
            <w:tcW w:w="2552" w:type="dxa"/>
            <w:vAlign w:val="center"/>
          </w:tcPr>
          <w:p w14:paraId="42BEC512" w14:textId="77777777" w:rsidR="00F40B11" w:rsidRPr="00F40B11" w:rsidRDefault="00F40B11" w:rsidP="007F47B2">
            <w:pPr>
              <w:spacing w:line="360" w:lineRule="auto"/>
              <w:jc w:val="both"/>
            </w:pPr>
            <w:r w:rsidRPr="00F40B11">
              <w:t>66</w:t>
            </w:r>
          </w:p>
        </w:tc>
        <w:tc>
          <w:tcPr>
            <w:tcW w:w="2976" w:type="dxa"/>
            <w:vAlign w:val="center"/>
          </w:tcPr>
          <w:p w14:paraId="2B9B1A15" w14:textId="77777777" w:rsidR="00F40B11" w:rsidRPr="00F40B11" w:rsidRDefault="00F40B11" w:rsidP="007F47B2">
            <w:pPr>
              <w:spacing w:line="360" w:lineRule="auto"/>
              <w:jc w:val="both"/>
            </w:pPr>
            <w:r w:rsidRPr="00F40B11">
              <w:t>18%</w:t>
            </w:r>
          </w:p>
        </w:tc>
      </w:tr>
      <w:tr w:rsidR="00F40B11" w:rsidRPr="00F40B11" w14:paraId="3B2D2DAF" w14:textId="77777777" w:rsidTr="00556659">
        <w:tc>
          <w:tcPr>
            <w:tcW w:w="3544" w:type="dxa"/>
            <w:tcBorders>
              <w:bottom w:val="single" w:sz="4" w:space="0" w:color="auto"/>
            </w:tcBorders>
            <w:vAlign w:val="center"/>
          </w:tcPr>
          <w:p w14:paraId="739407D8" w14:textId="77777777" w:rsidR="00F40B11" w:rsidRPr="00F40B11" w:rsidRDefault="00F40B11" w:rsidP="007F47B2">
            <w:pPr>
              <w:spacing w:line="360" w:lineRule="auto"/>
              <w:jc w:val="both"/>
            </w:pPr>
            <w:r w:rsidRPr="00F40B11">
              <w:t>Total</w:t>
            </w:r>
          </w:p>
        </w:tc>
        <w:tc>
          <w:tcPr>
            <w:tcW w:w="2552" w:type="dxa"/>
            <w:tcBorders>
              <w:bottom w:val="single" w:sz="4" w:space="0" w:color="auto"/>
            </w:tcBorders>
            <w:vAlign w:val="center"/>
          </w:tcPr>
          <w:p w14:paraId="10FDCDA7" w14:textId="77777777" w:rsidR="00F40B11" w:rsidRPr="00F40B11" w:rsidRDefault="00F40B11" w:rsidP="007F47B2">
            <w:pPr>
              <w:spacing w:line="360" w:lineRule="auto"/>
              <w:jc w:val="both"/>
            </w:pPr>
            <w:r w:rsidRPr="00F40B11">
              <w:t>374</w:t>
            </w:r>
          </w:p>
        </w:tc>
        <w:tc>
          <w:tcPr>
            <w:tcW w:w="2976" w:type="dxa"/>
            <w:tcBorders>
              <w:bottom w:val="single" w:sz="4" w:space="0" w:color="auto"/>
            </w:tcBorders>
            <w:vAlign w:val="center"/>
          </w:tcPr>
          <w:p w14:paraId="73C72D99" w14:textId="77777777" w:rsidR="00F40B11" w:rsidRPr="00F40B11" w:rsidRDefault="00F40B11" w:rsidP="007F47B2">
            <w:pPr>
              <w:spacing w:line="360" w:lineRule="auto"/>
              <w:jc w:val="both"/>
            </w:pPr>
            <w:r w:rsidRPr="00F40B11">
              <w:t>100%</w:t>
            </w:r>
          </w:p>
        </w:tc>
      </w:tr>
    </w:tbl>
    <w:p w14:paraId="4F3E6A04" w14:textId="77777777" w:rsidR="00F40B11" w:rsidRPr="00F40B11" w:rsidRDefault="00F40B11" w:rsidP="007F47B2">
      <w:pPr>
        <w:spacing w:after="160" w:line="360" w:lineRule="auto"/>
        <w:jc w:val="both"/>
        <w:rPr>
          <w:sz w:val="20"/>
          <w:szCs w:val="20"/>
        </w:rPr>
      </w:pPr>
      <w:r w:rsidRPr="00F40B11">
        <w:rPr>
          <w:i/>
          <w:iCs/>
          <w:sz w:val="20"/>
          <w:szCs w:val="20"/>
        </w:rPr>
        <w:t xml:space="preserve">Nota. </w:t>
      </w:r>
      <w:r w:rsidRPr="00F40B11">
        <w:rPr>
          <w:sz w:val="20"/>
          <w:szCs w:val="20"/>
        </w:rPr>
        <w:t>f=frecuencia, %=porcentaje</w:t>
      </w:r>
    </w:p>
    <w:p w14:paraId="00DA13D0" w14:textId="7B9FD6E0" w:rsidR="00F40B11" w:rsidRPr="00171500" w:rsidRDefault="00171500" w:rsidP="007F47B2">
      <w:pPr>
        <w:pBdr>
          <w:top w:val="nil"/>
          <w:left w:val="nil"/>
          <w:bottom w:val="nil"/>
          <w:right w:val="nil"/>
          <w:between w:val="nil"/>
        </w:pBdr>
        <w:spacing w:after="160" w:line="360" w:lineRule="auto"/>
        <w:jc w:val="both"/>
        <w:rPr>
          <w:b/>
          <w:i/>
          <w:iCs/>
          <w:color w:val="000000"/>
        </w:rPr>
      </w:pPr>
      <w:r>
        <w:rPr>
          <w:b/>
          <w:i/>
          <w:iCs/>
          <w:color w:val="000000"/>
        </w:rPr>
        <w:t xml:space="preserve">Objetivo 2: </w:t>
      </w:r>
      <w:r w:rsidR="00F40B11" w:rsidRPr="00171500">
        <w:rPr>
          <w:b/>
          <w:i/>
          <w:iCs/>
          <w:color w:val="000000"/>
        </w:rPr>
        <w:t>Niveles de exposición a violencia</w:t>
      </w:r>
    </w:p>
    <w:p w14:paraId="6D9AB8FB" w14:textId="71B55853" w:rsidR="00CD0BC0" w:rsidRDefault="00F40B11" w:rsidP="007F47B2">
      <w:pPr>
        <w:pBdr>
          <w:top w:val="nil"/>
          <w:left w:val="nil"/>
          <w:bottom w:val="nil"/>
          <w:right w:val="nil"/>
          <w:between w:val="nil"/>
        </w:pBdr>
        <w:spacing w:after="160" w:line="360" w:lineRule="auto"/>
        <w:jc w:val="both"/>
        <w:rPr>
          <w:bCs/>
          <w:color w:val="000000"/>
        </w:rPr>
      </w:pPr>
      <w:r>
        <w:rPr>
          <w:bCs/>
          <w:color w:val="000000"/>
        </w:rPr>
        <w:t>En relación con los contextos de exposición a la violencia, se observó que el colegio fue percibido como relativamente seguro, con un 57.2% de los estudiantes en nivel bajo, aunque un 37.7% indicó una exposición media y un 5.1% alta. En el hogar, la mayoría (65.5%) reporto un nivel bajo, mientras que un tercio manifestó niveles medio o alto. Respecto a la calle, casi 8 de cada 10 adolescentes señalaron un nivel bajo de violencia. En contraste, la televisión presentó los niveles mas elevados: solo el 22% refirió una baja exposición, frente a un 41.1% en un nivel medio y un 36.9% en nivel alto, lo que pone de relieve el rol de los medios de comunicación como fuente significativa de violencia percibida</w:t>
      </w:r>
      <w:bookmarkStart w:id="4" w:name="_Toc209030931"/>
      <w:bookmarkStart w:id="5" w:name="_Toc209049005"/>
      <w:bookmarkStart w:id="6" w:name="_Toc209077321"/>
      <w:bookmarkStart w:id="7" w:name="_Toc210049819"/>
      <w:r w:rsidR="00171500">
        <w:rPr>
          <w:bCs/>
          <w:color w:val="000000"/>
        </w:rPr>
        <w:t xml:space="preserve"> (Tabla 3).</w:t>
      </w:r>
    </w:p>
    <w:p w14:paraId="1C253EBC" w14:textId="77777777" w:rsidR="00CD0BC0" w:rsidRDefault="00CD0BC0" w:rsidP="007F47B2">
      <w:pPr>
        <w:pBdr>
          <w:top w:val="nil"/>
          <w:left w:val="nil"/>
          <w:bottom w:val="nil"/>
          <w:right w:val="nil"/>
          <w:between w:val="nil"/>
        </w:pBdr>
        <w:spacing w:after="160" w:line="360" w:lineRule="auto"/>
        <w:jc w:val="both"/>
        <w:rPr>
          <w:b/>
          <w:bCs/>
        </w:rPr>
      </w:pPr>
      <w:r w:rsidRPr="00CD0BC0">
        <w:rPr>
          <w:b/>
          <w:bCs/>
        </w:rPr>
        <w:t>Tabla 0</w:t>
      </w:r>
      <w:bookmarkEnd w:id="4"/>
      <w:bookmarkEnd w:id="5"/>
      <w:bookmarkEnd w:id="6"/>
      <w:r w:rsidRPr="00CD0BC0">
        <w:rPr>
          <w:b/>
          <w:bCs/>
        </w:rPr>
        <w:t>3</w:t>
      </w:r>
      <w:bookmarkStart w:id="8" w:name="_Toc209030932"/>
      <w:bookmarkStart w:id="9" w:name="_Toc209049006"/>
      <w:bookmarkStart w:id="10" w:name="_Toc209077322"/>
      <w:bookmarkStart w:id="11" w:name="_Toc210049820"/>
      <w:bookmarkEnd w:id="7"/>
    </w:p>
    <w:p w14:paraId="310BC4CA" w14:textId="06A251B5" w:rsidR="00CD0BC0" w:rsidRPr="00CD0BC0" w:rsidRDefault="00CD0BC0" w:rsidP="007F47B2">
      <w:pPr>
        <w:pBdr>
          <w:top w:val="nil"/>
          <w:left w:val="nil"/>
          <w:bottom w:val="nil"/>
          <w:right w:val="nil"/>
          <w:between w:val="nil"/>
        </w:pBdr>
        <w:spacing w:after="160" w:line="360" w:lineRule="auto"/>
        <w:jc w:val="both"/>
        <w:rPr>
          <w:bCs/>
          <w:color w:val="000000"/>
        </w:rPr>
      </w:pPr>
      <w:r w:rsidRPr="00CD0BC0">
        <w:rPr>
          <w:bCs/>
          <w:i/>
          <w:iCs/>
        </w:rPr>
        <w:t>Niveles de exposición a violencia</w:t>
      </w:r>
      <w:bookmarkEnd w:id="8"/>
      <w:bookmarkEnd w:id="9"/>
      <w:bookmarkEnd w:id="10"/>
      <w:bookmarkEnd w:id="11"/>
    </w:p>
    <w:tbl>
      <w:tblPr>
        <w:tblStyle w:val="Tablaconcuadrcula"/>
        <w:tblpPr w:leftFromText="141" w:rightFromText="141" w:vertAnchor="text" w:horzAnchor="margin" w:tblpY="1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1"/>
        <w:gridCol w:w="1377"/>
        <w:gridCol w:w="993"/>
        <w:gridCol w:w="1134"/>
        <w:gridCol w:w="992"/>
        <w:gridCol w:w="992"/>
        <w:gridCol w:w="992"/>
        <w:gridCol w:w="709"/>
        <w:gridCol w:w="992"/>
      </w:tblGrid>
      <w:tr w:rsidR="00CD0BC0" w:rsidRPr="00CD0BC0" w14:paraId="0EBFA094" w14:textId="77777777" w:rsidTr="00556659">
        <w:trPr>
          <w:trHeight w:val="221"/>
        </w:trPr>
        <w:tc>
          <w:tcPr>
            <w:tcW w:w="891" w:type="dxa"/>
            <w:tcBorders>
              <w:top w:val="single" w:sz="4" w:space="0" w:color="auto"/>
              <w:bottom w:val="single" w:sz="4" w:space="0" w:color="auto"/>
            </w:tcBorders>
            <w:vAlign w:val="center"/>
          </w:tcPr>
          <w:p w14:paraId="2B8933FA" w14:textId="77777777" w:rsidR="00CD0BC0" w:rsidRPr="00CD0BC0" w:rsidRDefault="00CD0BC0" w:rsidP="007F47B2">
            <w:pPr>
              <w:spacing w:after="160" w:line="360" w:lineRule="auto"/>
              <w:jc w:val="both"/>
              <w:rPr>
                <w:sz w:val="24"/>
                <w:szCs w:val="24"/>
              </w:rPr>
            </w:pPr>
          </w:p>
        </w:tc>
        <w:tc>
          <w:tcPr>
            <w:tcW w:w="1377" w:type="dxa"/>
            <w:tcBorders>
              <w:top w:val="single" w:sz="4" w:space="0" w:color="auto"/>
              <w:bottom w:val="single" w:sz="4" w:space="0" w:color="auto"/>
            </w:tcBorders>
            <w:vAlign w:val="center"/>
          </w:tcPr>
          <w:p w14:paraId="499BD94F" w14:textId="77777777" w:rsidR="00CD0BC0" w:rsidRPr="00CD0BC0" w:rsidRDefault="00CD0BC0" w:rsidP="007F47B2">
            <w:pPr>
              <w:spacing w:after="160" w:line="360" w:lineRule="auto"/>
              <w:jc w:val="both"/>
              <w:rPr>
                <w:sz w:val="24"/>
                <w:szCs w:val="24"/>
              </w:rPr>
            </w:pPr>
            <w:r w:rsidRPr="00CD0BC0">
              <w:rPr>
                <w:sz w:val="24"/>
                <w:szCs w:val="24"/>
              </w:rPr>
              <w:t>Colegio</w:t>
            </w:r>
          </w:p>
        </w:tc>
        <w:tc>
          <w:tcPr>
            <w:tcW w:w="993" w:type="dxa"/>
            <w:tcBorders>
              <w:top w:val="single" w:sz="4" w:space="0" w:color="auto"/>
              <w:bottom w:val="single" w:sz="4" w:space="0" w:color="auto"/>
            </w:tcBorders>
            <w:vAlign w:val="center"/>
          </w:tcPr>
          <w:p w14:paraId="7AEC7D38" w14:textId="77777777" w:rsidR="00CD0BC0" w:rsidRPr="00CD0BC0" w:rsidRDefault="00CD0BC0" w:rsidP="007F47B2">
            <w:pPr>
              <w:spacing w:after="160" w:line="360" w:lineRule="auto"/>
              <w:jc w:val="both"/>
              <w:rPr>
                <w:sz w:val="24"/>
                <w:szCs w:val="24"/>
              </w:rPr>
            </w:pPr>
            <w:r w:rsidRPr="00CD0BC0">
              <w:rPr>
                <w:sz w:val="24"/>
                <w:szCs w:val="24"/>
              </w:rPr>
              <w:t>%</w:t>
            </w:r>
          </w:p>
        </w:tc>
        <w:tc>
          <w:tcPr>
            <w:tcW w:w="1134" w:type="dxa"/>
            <w:tcBorders>
              <w:top w:val="single" w:sz="4" w:space="0" w:color="auto"/>
              <w:bottom w:val="single" w:sz="4" w:space="0" w:color="auto"/>
            </w:tcBorders>
            <w:vAlign w:val="center"/>
          </w:tcPr>
          <w:p w14:paraId="5D8CBF29" w14:textId="77777777" w:rsidR="00CD0BC0" w:rsidRPr="00CD0BC0" w:rsidRDefault="00CD0BC0" w:rsidP="007F47B2">
            <w:pPr>
              <w:spacing w:after="160" w:line="360" w:lineRule="auto"/>
              <w:jc w:val="both"/>
              <w:rPr>
                <w:sz w:val="24"/>
                <w:szCs w:val="24"/>
              </w:rPr>
            </w:pPr>
            <w:r w:rsidRPr="00CD0BC0">
              <w:rPr>
                <w:sz w:val="24"/>
                <w:szCs w:val="24"/>
              </w:rPr>
              <w:t>Casa</w:t>
            </w:r>
          </w:p>
        </w:tc>
        <w:tc>
          <w:tcPr>
            <w:tcW w:w="992" w:type="dxa"/>
            <w:tcBorders>
              <w:top w:val="single" w:sz="4" w:space="0" w:color="auto"/>
              <w:bottom w:val="single" w:sz="4" w:space="0" w:color="auto"/>
            </w:tcBorders>
            <w:vAlign w:val="center"/>
          </w:tcPr>
          <w:p w14:paraId="7B8E5E6F" w14:textId="77777777" w:rsidR="00CD0BC0" w:rsidRPr="00CD0BC0" w:rsidRDefault="00CD0BC0" w:rsidP="007F47B2">
            <w:pPr>
              <w:spacing w:after="160" w:line="360" w:lineRule="auto"/>
              <w:jc w:val="both"/>
              <w:rPr>
                <w:sz w:val="24"/>
                <w:szCs w:val="24"/>
              </w:rPr>
            </w:pPr>
            <w:r w:rsidRPr="00CD0BC0">
              <w:rPr>
                <w:sz w:val="24"/>
                <w:szCs w:val="24"/>
              </w:rPr>
              <w:t>%</w:t>
            </w:r>
          </w:p>
        </w:tc>
        <w:tc>
          <w:tcPr>
            <w:tcW w:w="992" w:type="dxa"/>
            <w:tcBorders>
              <w:top w:val="single" w:sz="4" w:space="0" w:color="auto"/>
              <w:bottom w:val="single" w:sz="4" w:space="0" w:color="auto"/>
            </w:tcBorders>
            <w:vAlign w:val="center"/>
          </w:tcPr>
          <w:p w14:paraId="1FC9C0A9" w14:textId="77777777" w:rsidR="00CD0BC0" w:rsidRPr="00CD0BC0" w:rsidRDefault="00CD0BC0" w:rsidP="007F47B2">
            <w:pPr>
              <w:spacing w:after="160" w:line="360" w:lineRule="auto"/>
              <w:jc w:val="both"/>
              <w:rPr>
                <w:sz w:val="24"/>
                <w:szCs w:val="24"/>
              </w:rPr>
            </w:pPr>
            <w:r w:rsidRPr="00CD0BC0">
              <w:rPr>
                <w:sz w:val="24"/>
                <w:szCs w:val="24"/>
              </w:rPr>
              <w:t>Calle</w:t>
            </w:r>
          </w:p>
        </w:tc>
        <w:tc>
          <w:tcPr>
            <w:tcW w:w="992" w:type="dxa"/>
            <w:tcBorders>
              <w:top w:val="single" w:sz="4" w:space="0" w:color="auto"/>
              <w:bottom w:val="single" w:sz="4" w:space="0" w:color="auto"/>
            </w:tcBorders>
            <w:vAlign w:val="center"/>
          </w:tcPr>
          <w:p w14:paraId="19F0E272" w14:textId="77777777" w:rsidR="00CD0BC0" w:rsidRPr="00CD0BC0" w:rsidRDefault="00CD0BC0" w:rsidP="007F47B2">
            <w:pPr>
              <w:spacing w:after="160" w:line="360" w:lineRule="auto"/>
              <w:jc w:val="both"/>
              <w:rPr>
                <w:sz w:val="24"/>
                <w:szCs w:val="24"/>
              </w:rPr>
            </w:pPr>
            <w:r w:rsidRPr="00CD0BC0">
              <w:rPr>
                <w:sz w:val="24"/>
                <w:szCs w:val="24"/>
              </w:rPr>
              <w:t>%</w:t>
            </w:r>
          </w:p>
        </w:tc>
        <w:tc>
          <w:tcPr>
            <w:tcW w:w="709" w:type="dxa"/>
            <w:tcBorders>
              <w:top w:val="single" w:sz="4" w:space="0" w:color="auto"/>
              <w:bottom w:val="single" w:sz="4" w:space="0" w:color="auto"/>
            </w:tcBorders>
            <w:vAlign w:val="center"/>
          </w:tcPr>
          <w:p w14:paraId="492BFB17" w14:textId="77777777" w:rsidR="00CD0BC0" w:rsidRPr="00CD0BC0" w:rsidRDefault="00CD0BC0" w:rsidP="007F47B2">
            <w:pPr>
              <w:spacing w:after="160" w:line="360" w:lineRule="auto"/>
              <w:jc w:val="both"/>
              <w:rPr>
                <w:sz w:val="24"/>
                <w:szCs w:val="24"/>
              </w:rPr>
            </w:pPr>
            <w:r w:rsidRPr="00CD0BC0">
              <w:rPr>
                <w:sz w:val="24"/>
                <w:szCs w:val="24"/>
              </w:rPr>
              <w:t>Tv</w:t>
            </w:r>
          </w:p>
        </w:tc>
        <w:tc>
          <w:tcPr>
            <w:tcW w:w="992" w:type="dxa"/>
            <w:tcBorders>
              <w:top w:val="single" w:sz="4" w:space="0" w:color="auto"/>
              <w:bottom w:val="single" w:sz="4" w:space="0" w:color="auto"/>
            </w:tcBorders>
            <w:vAlign w:val="center"/>
          </w:tcPr>
          <w:p w14:paraId="374C8CBB" w14:textId="77777777" w:rsidR="00CD0BC0" w:rsidRPr="00CD0BC0" w:rsidRDefault="00CD0BC0" w:rsidP="007F47B2">
            <w:pPr>
              <w:spacing w:after="160" w:line="360" w:lineRule="auto"/>
              <w:jc w:val="both"/>
              <w:rPr>
                <w:sz w:val="24"/>
                <w:szCs w:val="24"/>
              </w:rPr>
            </w:pPr>
            <w:r w:rsidRPr="00CD0BC0">
              <w:rPr>
                <w:sz w:val="24"/>
                <w:szCs w:val="24"/>
              </w:rPr>
              <w:t>%</w:t>
            </w:r>
          </w:p>
        </w:tc>
      </w:tr>
      <w:tr w:rsidR="00CD0BC0" w:rsidRPr="00CD0BC0" w14:paraId="5A450BD1" w14:textId="77777777" w:rsidTr="00556659">
        <w:trPr>
          <w:trHeight w:val="221"/>
        </w:trPr>
        <w:tc>
          <w:tcPr>
            <w:tcW w:w="891" w:type="dxa"/>
            <w:tcBorders>
              <w:top w:val="single" w:sz="4" w:space="0" w:color="auto"/>
            </w:tcBorders>
            <w:vAlign w:val="center"/>
          </w:tcPr>
          <w:p w14:paraId="687FFB8B" w14:textId="77777777" w:rsidR="00CD0BC0" w:rsidRPr="00CD0BC0" w:rsidRDefault="00CD0BC0" w:rsidP="007F47B2">
            <w:pPr>
              <w:spacing w:after="160" w:line="360" w:lineRule="auto"/>
              <w:jc w:val="both"/>
              <w:rPr>
                <w:sz w:val="24"/>
                <w:szCs w:val="24"/>
              </w:rPr>
            </w:pPr>
            <w:r w:rsidRPr="00CD0BC0">
              <w:rPr>
                <w:sz w:val="24"/>
                <w:szCs w:val="24"/>
              </w:rPr>
              <w:t>Baja</w:t>
            </w:r>
          </w:p>
        </w:tc>
        <w:tc>
          <w:tcPr>
            <w:tcW w:w="1377" w:type="dxa"/>
            <w:tcBorders>
              <w:top w:val="single" w:sz="4" w:space="0" w:color="auto"/>
            </w:tcBorders>
            <w:vAlign w:val="center"/>
          </w:tcPr>
          <w:p w14:paraId="10E20307" w14:textId="77777777" w:rsidR="00CD0BC0" w:rsidRPr="00CD0BC0" w:rsidRDefault="00CD0BC0" w:rsidP="007F47B2">
            <w:pPr>
              <w:spacing w:after="160" w:line="360" w:lineRule="auto"/>
              <w:jc w:val="both"/>
              <w:rPr>
                <w:sz w:val="24"/>
                <w:szCs w:val="24"/>
              </w:rPr>
            </w:pPr>
            <w:r w:rsidRPr="00CD0BC0">
              <w:rPr>
                <w:sz w:val="24"/>
                <w:szCs w:val="24"/>
              </w:rPr>
              <w:t>214</w:t>
            </w:r>
          </w:p>
        </w:tc>
        <w:tc>
          <w:tcPr>
            <w:tcW w:w="993" w:type="dxa"/>
            <w:tcBorders>
              <w:top w:val="single" w:sz="4" w:space="0" w:color="auto"/>
            </w:tcBorders>
            <w:vAlign w:val="center"/>
          </w:tcPr>
          <w:p w14:paraId="499ADCDD" w14:textId="77777777" w:rsidR="00CD0BC0" w:rsidRPr="00CD0BC0" w:rsidRDefault="00CD0BC0" w:rsidP="007F47B2">
            <w:pPr>
              <w:spacing w:after="160" w:line="360" w:lineRule="auto"/>
              <w:jc w:val="both"/>
              <w:rPr>
                <w:sz w:val="24"/>
                <w:szCs w:val="24"/>
              </w:rPr>
            </w:pPr>
            <w:r w:rsidRPr="00CD0BC0">
              <w:rPr>
                <w:sz w:val="24"/>
                <w:szCs w:val="24"/>
              </w:rPr>
              <w:t>57.2%</w:t>
            </w:r>
          </w:p>
        </w:tc>
        <w:tc>
          <w:tcPr>
            <w:tcW w:w="1134" w:type="dxa"/>
            <w:tcBorders>
              <w:top w:val="single" w:sz="4" w:space="0" w:color="auto"/>
            </w:tcBorders>
            <w:vAlign w:val="center"/>
          </w:tcPr>
          <w:p w14:paraId="5517E266" w14:textId="77777777" w:rsidR="00CD0BC0" w:rsidRPr="00CD0BC0" w:rsidRDefault="00CD0BC0" w:rsidP="007F47B2">
            <w:pPr>
              <w:spacing w:after="160" w:line="360" w:lineRule="auto"/>
              <w:jc w:val="both"/>
              <w:rPr>
                <w:sz w:val="24"/>
                <w:szCs w:val="24"/>
              </w:rPr>
            </w:pPr>
            <w:r w:rsidRPr="00CD0BC0">
              <w:rPr>
                <w:sz w:val="24"/>
                <w:szCs w:val="24"/>
              </w:rPr>
              <w:t>245</w:t>
            </w:r>
          </w:p>
        </w:tc>
        <w:tc>
          <w:tcPr>
            <w:tcW w:w="992" w:type="dxa"/>
            <w:tcBorders>
              <w:top w:val="single" w:sz="4" w:space="0" w:color="auto"/>
            </w:tcBorders>
            <w:vAlign w:val="center"/>
          </w:tcPr>
          <w:p w14:paraId="10555446" w14:textId="77777777" w:rsidR="00CD0BC0" w:rsidRPr="00CD0BC0" w:rsidRDefault="00CD0BC0" w:rsidP="007F47B2">
            <w:pPr>
              <w:spacing w:after="160" w:line="360" w:lineRule="auto"/>
              <w:jc w:val="both"/>
              <w:rPr>
                <w:sz w:val="24"/>
                <w:szCs w:val="24"/>
              </w:rPr>
            </w:pPr>
            <w:r w:rsidRPr="00CD0BC0">
              <w:rPr>
                <w:sz w:val="24"/>
                <w:szCs w:val="24"/>
              </w:rPr>
              <w:t>65.5%</w:t>
            </w:r>
          </w:p>
        </w:tc>
        <w:tc>
          <w:tcPr>
            <w:tcW w:w="992" w:type="dxa"/>
            <w:tcBorders>
              <w:top w:val="single" w:sz="4" w:space="0" w:color="auto"/>
            </w:tcBorders>
            <w:vAlign w:val="center"/>
          </w:tcPr>
          <w:p w14:paraId="348EC684" w14:textId="77777777" w:rsidR="00CD0BC0" w:rsidRPr="00CD0BC0" w:rsidRDefault="00CD0BC0" w:rsidP="007F47B2">
            <w:pPr>
              <w:spacing w:after="160" w:line="360" w:lineRule="auto"/>
              <w:jc w:val="both"/>
              <w:rPr>
                <w:sz w:val="24"/>
                <w:szCs w:val="24"/>
              </w:rPr>
            </w:pPr>
            <w:r w:rsidRPr="00CD0BC0">
              <w:rPr>
                <w:sz w:val="24"/>
                <w:szCs w:val="24"/>
              </w:rPr>
              <w:t>298</w:t>
            </w:r>
          </w:p>
        </w:tc>
        <w:tc>
          <w:tcPr>
            <w:tcW w:w="992" w:type="dxa"/>
            <w:tcBorders>
              <w:top w:val="single" w:sz="4" w:space="0" w:color="auto"/>
            </w:tcBorders>
            <w:vAlign w:val="center"/>
          </w:tcPr>
          <w:p w14:paraId="64627B8F" w14:textId="77777777" w:rsidR="00CD0BC0" w:rsidRPr="00CD0BC0" w:rsidRDefault="00CD0BC0" w:rsidP="007F47B2">
            <w:pPr>
              <w:spacing w:after="160" w:line="360" w:lineRule="auto"/>
              <w:jc w:val="both"/>
              <w:rPr>
                <w:sz w:val="24"/>
                <w:szCs w:val="24"/>
              </w:rPr>
            </w:pPr>
            <w:r w:rsidRPr="00CD0BC0">
              <w:rPr>
                <w:sz w:val="24"/>
                <w:szCs w:val="24"/>
              </w:rPr>
              <w:t>79.9%</w:t>
            </w:r>
          </w:p>
        </w:tc>
        <w:tc>
          <w:tcPr>
            <w:tcW w:w="709" w:type="dxa"/>
            <w:tcBorders>
              <w:top w:val="single" w:sz="4" w:space="0" w:color="auto"/>
            </w:tcBorders>
            <w:vAlign w:val="center"/>
          </w:tcPr>
          <w:p w14:paraId="312B1356" w14:textId="77777777" w:rsidR="00CD0BC0" w:rsidRPr="00CD0BC0" w:rsidRDefault="00CD0BC0" w:rsidP="007F47B2">
            <w:pPr>
              <w:spacing w:after="160" w:line="360" w:lineRule="auto"/>
              <w:jc w:val="both"/>
              <w:rPr>
                <w:sz w:val="24"/>
                <w:szCs w:val="24"/>
              </w:rPr>
            </w:pPr>
            <w:r w:rsidRPr="00CD0BC0">
              <w:rPr>
                <w:sz w:val="24"/>
                <w:szCs w:val="24"/>
              </w:rPr>
              <w:t>81</w:t>
            </w:r>
          </w:p>
        </w:tc>
        <w:tc>
          <w:tcPr>
            <w:tcW w:w="992" w:type="dxa"/>
            <w:tcBorders>
              <w:top w:val="single" w:sz="4" w:space="0" w:color="auto"/>
            </w:tcBorders>
            <w:vAlign w:val="center"/>
          </w:tcPr>
          <w:p w14:paraId="5C91A3C8" w14:textId="77777777" w:rsidR="00CD0BC0" w:rsidRPr="00CD0BC0" w:rsidRDefault="00CD0BC0" w:rsidP="007F47B2">
            <w:pPr>
              <w:spacing w:after="160" w:line="360" w:lineRule="auto"/>
              <w:jc w:val="both"/>
              <w:rPr>
                <w:sz w:val="24"/>
                <w:szCs w:val="24"/>
              </w:rPr>
            </w:pPr>
            <w:r w:rsidRPr="00CD0BC0">
              <w:rPr>
                <w:sz w:val="24"/>
                <w:szCs w:val="24"/>
              </w:rPr>
              <w:t>22%</w:t>
            </w:r>
          </w:p>
        </w:tc>
      </w:tr>
      <w:tr w:rsidR="00CD0BC0" w:rsidRPr="00CD0BC0" w14:paraId="1697841F" w14:textId="77777777" w:rsidTr="00556659">
        <w:trPr>
          <w:trHeight w:val="221"/>
        </w:trPr>
        <w:tc>
          <w:tcPr>
            <w:tcW w:w="891" w:type="dxa"/>
            <w:vAlign w:val="center"/>
          </w:tcPr>
          <w:p w14:paraId="25E33ACD" w14:textId="77777777" w:rsidR="00CD0BC0" w:rsidRPr="00CD0BC0" w:rsidRDefault="00CD0BC0" w:rsidP="007F47B2">
            <w:pPr>
              <w:spacing w:after="160" w:line="360" w:lineRule="auto"/>
              <w:jc w:val="both"/>
              <w:rPr>
                <w:sz w:val="24"/>
                <w:szCs w:val="24"/>
              </w:rPr>
            </w:pPr>
            <w:r w:rsidRPr="00CD0BC0">
              <w:rPr>
                <w:sz w:val="24"/>
                <w:szCs w:val="24"/>
              </w:rPr>
              <w:t>Media</w:t>
            </w:r>
          </w:p>
        </w:tc>
        <w:tc>
          <w:tcPr>
            <w:tcW w:w="1377" w:type="dxa"/>
            <w:vAlign w:val="center"/>
          </w:tcPr>
          <w:p w14:paraId="19539734" w14:textId="77777777" w:rsidR="00CD0BC0" w:rsidRPr="00CD0BC0" w:rsidRDefault="00CD0BC0" w:rsidP="007F47B2">
            <w:pPr>
              <w:spacing w:after="160" w:line="360" w:lineRule="auto"/>
              <w:jc w:val="both"/>
              <w:rPr>
                <w:sz w:val="24"/>
                <w:szCs w:val="24"/>
              </w:rPr>
            </w:pPr>
            <w:r w:rsidRPr="00CD0BC0">
              <w:rPr>
                <w:sz w:val="24"/>
                <w:szCs w:val="24"/>
              </w:rPr>
              <w:t>141</w:t>
            </w:r>
          </w:p>
        </w:tc>
        <w:tc>
          <w:tcPr>
            <w:tcW w:w="993" w:type="dxa"/>
            <w:vAlign w:val="center"/>
          </w:tcPr>
          <w:p w14:paraId="36DC595E" w14:textId="77777777" w:rsidR="00CD0BC0" w:rsidRPr="00CD0BC0" w:rsidRDefault="00CD0BC0" w:rsidP="007F47B2">
            <w:pPr>
              <w:spacing w:after="160" w:line="360" w:lineRule="auto"/>
              <w:jc w:val="both"/>
              <w:rPr>
                <w:sz w:val="24"/>
                <w:szCs w:val="24"/>
              </w:rPr>
            </w:pPr>
            <w:r w:rsidRPr="00CD0BC0">
              <w:rPr>
                <w:sz w:val="24"/>
                <w:szCs w:val="24"/>
              </w:rPr>
              <w:t>37.7%</w:t>
            </w:r>
          </w:p>
        </w:tc>
        <w:tc>
          <w:tcPr>
            <w:tcW w:w="1134" w:type="dxa"/>
            <w:vAlign w:val="center"/>
          </w:tcPr>
          <w:p w14:paraId="3E5D3CD2" w14:textId="77777777" w:rsidR="00CD0BC0" w:rsidRPr="00CD0BC0" w:rsidRDefault="00CD0BC0" w:rsidP="007F47B2">
            <w:pPr>
              <w:spacing w:after="160" w:line="360" w:lineRule="auto"/>
              <w:jc w:val="both"/>
              <w:rPr>
                <w:sz w:val="24"/>
                <w:szCs w:val="24"/>
              </w:rPr>
            </w:pPr>
            <w:r w:rsidRPr="00CD0BC0">
              <w:rPr>
                <w:sz w:val="24"/>
                <w:szCs w:val="24"/>
              </w:rPr>
              <w:t>112</w:t>
            </w:r>
          </w:p>
        </w:tc>
        <w:tc>
          <w:tcPr>
            <w:tcW w:w="992" w:type="dxa"/>
            <w:vAlign w:val="center"/>
          </w:tcPr>
          <w:p w14:paraId="19F31DAE" w14:textId="77777777" w:rsidR="00CD0BC0" w:rsidRPr="00CD0BC0" w:rsidRDefault="00CD0BC0" w:rsidP="007F47B2">
            <w:pPr>
              <w:spacing w:after="160" w:line="360" w:lineRule="auto"/>
              <w:jc w:val="both"/>
              <w:rPr>
                <w:sz w:val="24"/>
                <w:szCs w:val="24"/>
              </w:rPr>
            </w:pPr>
            <w:r w:rsidRPr="00CD0BC0">
              <w:rPr>
                <w:sz w:val="24"/>
                <w:szCs w:val="24"/>
              </w:rPr>
              <w:t>29.9%</w:t>
            </w:r>
          </w:p>
        </w:tc>
        <w:tc>
          <w:tcPr>
            <w:tcW w:w="992" w:type="dxa"/>
            <w:vAlign w:val="center"/>
          </w:tcPr>
          <w:p w14:paraId="1EC66A70" w14:textId="77777777" w:rsidR="00CD0BC0" w:rsidRPr="00CD0BC0" w:rsidRDefault="00CD0BC0" w:rsidP="007F47B2">
            <w:pPr>
              <w:spacing w:after="160" w:line="360" w:lineRule="auto"/>
              <w:jc w:val="both"/>
              <w:rPr>
                <w:sz w:val="24"/>
                <w:szCs w:val="24"/>
              </w:rPr>
            </w:pPr>
            <w:r w:rsidRPr="00CD0BC0">
              <w:rPr>
                <w:sz w:val="24"/>
                <w:szCs w:val="24"/>
              </w:rPr>
              <w:t>64</w:t>
            </w:r>
          </w:p>
        </w:tc>
        <w:tc>
          <w:tcPr>
            <w:tcW w:w="992" w:type="dxa"/>
            <w:vAlign w:val="center"/>
          </w:tcPr>
          <w:p w14:paraId="3CEE1671" w14:textId="77777777" w:rsidR="00CD0BC0" w:rsidRPr="00CD0BC0" w:rsidRDefault="00CD0BC0" w:rsidP="007F47B2">
            <w:pPr>
              <w:spacing w:after="160" w:line="360" w:lineRule="auto"/>
              <w:jc w:val="both"/>
              <w:rPr>
                <w:sz w:val="24"/>
                <w:szCs w:val="24"/>
              </w:rPr>
            </w:pPr>
            <w:r w:rsidRPr="00CD0BC0">
              <w:rPr>
                <w:sz w:val="24"/>
                <w:szCs w:val="24"/>
              </w:rPr>
              <w:t>17.1%</w:t>
            </w:r>
          </w:p>
        </w:tc>
        <w:tc>
          <w:tcPr>
            <w:tcW w:w="709" w:type="dxa"/>
            <w:vAlign w:val="center"/>
          </w:tcPr>
          <w:p w14:paraId="14DFB908" w14:textId="77777777" w:rsidR="00CD0BC0" w:rsidRPr="00CD0BC0" w:rsidRDefault="00CD0BC0" w:rsidP="007F47B2">
            <w:pPr>
              <w:spacing w:after="160" w:line="360" w:lineRule="auto"/>
              <w:jc w:val="both"/>
              <w:rPr>
                <w:sz w:val="24"/>
                <w:szCs w:val="24"/>
              </w:rPr>
            </w:pPr>
            <w:r w:rsidRPr="00CD0BC0">
              <w:rPr>
                <w:sz w:val="24"/>
                <w:szCs w:val="24"/>
              </w:rPr>
              <w:t>155</w:t>
            </w:r>
          </w:p>
        </w:tc>
        <w:tc>
          <w:tcPr>
            <w:tcW w:w="992" w:type="dxa"/>
            <w:vAlign w:val="center"/>
          </w:tcPr>
          <w:p w14:paraId="65CA226C" w14:textId="77777777" w:rsidR="00CD0BC0" w:rsidRPr="00CD0BC0" w:rsidRDefault="00CD0BC0" w:rsidP="007F47B2">
            <w:pPr>
              <w:spacing w:after="160" w:line="360" w:lineRule="auto"/>
              <w:jc w:val="both"/>
              <w:rPr>
                <w:sz w:val="24"/>
                <w:szCs w:val="24"/>
              </w:rPr>
            </w:pPr>
            <w:r w:rsidRPr="00CD0BC0">
              <w:rPr>
                <w:sz w:val="24"/>
                <w:szCs w:val="24"/>
              </w:rPr>
              <w:t>41.4%</w:t>
            </w:r>
          </w:p>
        </w:tc>
      </w:tr>
      <w:tr w:rsidR="00CD0BC0" w:rsidRPr="00CD0BC0" w14:paraId="43824A57" w14:textId="77777777" w:rsidTr="00556659">
        <w:trPr>
          <w:trHeight w:val="221"/>
        </w:trPr>
        <w:tc>
          <w:tcPr>
            <w:tcW w:w="891" w:type="dxa"/>
            <w:vAlign w:val="center"/>
          </w:tcPr>
          <w:p w14:paraId="4DB4488A" w14:textId="77777777" w:rsidR="00CD0BC0" w:rsidRPr="00CD0BC0" w:rsidRDefault="00CD0BC0" w:rsidP="007F47B2">
            <w:pPr>
              <w:spacing w:after="160" w:line="360" w:lineRule="auto"/>
              <w:jc w:val="both"/>
              <w:rPr>
                <w:sz w:val="24"/>
                <w:szCs w:val="24"/>
              </w:rPr>
            </w:pPr>
            <w:r w:rsidRPr="00CD0BC0">
              <w:rPr>
                <w:sz w:val="24"/>
                <w:szCs w:val="24"/>
              </w:rPr>
              <w:t>Alta</w:t>
            </w:r>
          </w:p>
        </w:tc>
        <w:tc>
          <w:tcPr>
            <w:tcW w:w="1377" w:type="dxa"/>
            <w:vAlign w:val="center"/>
          </w:tcPr>
          <w:p w14:paraId="184FC794" w14:textId="77777777" w:rsidR="00CD0BC0" w:rsidRPr="00CD0BC0" w:rsidRDefault="00CD0BC0" w:rsidP="007F47B2">
            <w:pPr>
              <w:spacing w:after="160" w:line="360" w:lineRule="auto"/>
              <w:jc w:val="both"/>
              <w:rPr>
                <w:sz w:val="24"/>
                <w:szCs w:val="24"/>
              </w:rPr>
            </w:pPr>
            <w:r w:rsidRPr="00CD0BC0">
              <w:rPr>
                <w:sz w:val="24"/>
                <w:szCs w:val="24"/>
              </w:rPr>
              <w:t>19</w:t>
            </w:r>
          </w:p>
        </w:tc>
        <w:tc>
          <w:tcPr>
            <w:tcW w:w="993" w:type="dxa"/>
            <w:vAlign w:val="center"/>
          </w:tcPr>
          <w:p w14:paraId="47A82C64" w14:textId="77777777" w:rsidR="00CD0BC0" w:rsidRPr="00CD0BC0" w:rsidRDefault="00CD0BC0" w:rsidP="007F47B2">
            <w:pPr>
              <w:spacing w:after="160" w:line="360" w:lineRule="auto"/>
              <w:jc w:val="both"/>
              <w:rPr>
                <w:sz w:val="24"/>
                <w:szCs w:val="24"/>
              </w:rPr>
            </w:pPr>
            <w:r w:rsidRPr="00CD0BC0">
              <w:rPr>
                <w:sz w:val="24"/>
                <w:szCs w:val="24"/>
              </w:rPr>
              <w:t>5.1%</w:t>
            </w:r>
          </w:p>
        </w:tc>
        <w:tc>
          <w:tcPr>
            <w:tcW w:w="1134" w:type="dxa"/>
            <w:vAlign w:val="center"/>
          </w:tcPr>
          <w:p w14:paraId="19BBD7F0" w14:textId="77777777" w:rsidR="00CD0BC0" w:rsidRPr="00CD0BC0" w:rsidRDefault="00CD0BC0" w:rsidP="007F47B2">
            <w:pPr>
              <w:spacing w:after="160" w:line="360" w:lineRule="auto"/>
              <w:jc w:val="both"/>
              <w:rPr>
                <w:sz w:val="24"/>
                <w:szCs w:val="24"/>
              </w:rPr>
            </w:pPr>
            <w:r w:rsidRPr="00CD0BC0">
              <w:rPr>
                <w:sz w:val="24"/>
                <w:szCs w:val="24"/>
              </w:rPr>
              <w:t>17</w:t>
            </w:r>
          </w:p>
        </w:tc>
        <w:tc>
          <w:tcPr>
            <w:tcW w:w="992" w:type="dxa"/>
            <w:vAlign w:val="center"/>
          </w:tcPr>
          <w:p w14:paraId="5657E355" w14:textId="77777777" w:rsidR="00CD0BC0" w:rsidRPr="00CD0BC0" w:rsidRDefault="00CD0BC0" w:rsidP="007F47B2">
            <w:pPr>
              <w:spacing w:after="160" w:line="360" w:lineRule="auto"/>
              <w:jc w:val="both"/>
              <w:rPr>
                <w:sz w:val="24"/>
                <w:szCs w:val="24"/>
              </w:rPr>
            </w:pPr>
            <w:r w:rsidRPr="00CD0BC0">
              <w:rPr>
                <w:sz w:val="24"/>
                <w:szCs w:val="24"/>
              </w:rPr>
              <w:t>4.5%</w:t>
            </w:r>
          </w:p>
        </w:tc>
        <w:tc>
          <w:tcPr>
            <w:tcW w:w="992" w:type="dxa"/>
            <w:vAlign w:val="center"/>
          </w:tcPr>
          <w:p w14:paraId="04B92938" w14:textId="77777777" w:rsidR="00CD0BC0" w:rsidRPr="00CD0BC0" w:rsidRDefault="00CD0BC0" w:rsidP="007F47B2">
            <w:pPr>
              <w:spacing w:after="160" w:line="360" w:lineRule="auto"/>
              <w:jc w:val="both"/>
              <w:rPr>
                <w:sz w:val="24"/>
                <w:szCs w:val="24"/>
              </w:rPr>
            </w:pPr>
            <w:r w:rsidRPr="00CD0BC0">
              <w:rPr>
                <w:sz w:val="24"/>
                <w:szCs w:val="24"/>
              </w:rPr>
              <w:t>12</w:t>
            </w:r>
          </w:p>
        </w:tc>
        <w:tc>
          <w:tcPr>
            <w:tcW w:w="992" w:type="dxa"/>
            <w:vAlign w:val="center"/>
          </w:tcPr>
          <w:p w14:paraId="4E6F0E0D" w14:textId="77777777" w:rsidR="00CD0BC0" w:rsidRPr="00CD0BC0" w:rsidRDefault="00CD0BC0" w:rsidP="007F47B2">
            <w:pPr>
              <w:spacing w:after="160" w:line="360" w:lineRule="auto"/>
              <w:jc w:val="both"/>
              <w:rPr>
                <w:sz w:val="24"/>
                <w:szCs w:val="24"/>
              </w:rPr>
            </w:pPr>
            <w:r w:rsidRPr="00CD0BC0">
              <w:rPr>
                <w:sz w:val="24"/>
                <w:szCs w:val="24"/>
              </w:rPr>
              <w:t>3.2%</w:t>
            </w:r>
          </w:p>
        </w:tc>
        <w:tc>
          <w:tcPr>
            <w:tcW w:w="709" w:type="dxa"/>
            <w:vAlign w:val="center"/>
          </w:tcPr>
          <w:p w14:paraId="157AF838" w14:textId="77777777" w:rsidR="00CD0BC0" w:rsidRPr="00CD0BC0" w:rsidRDefault="00CD0BC0" w:rsidP="007F47B2">
            <w:pPr>
              <w:spacing w:after="160" w:line="360" w:lineRule="auto"/>
              <w:jc w:val="both"/>
              <w:rPr>
                <w:sz w:val="24"/>
                <w:szCs w:val="24"/>
              </w:rPr>
            </w:pPr>
            <w:r w:rsidRPr="00CD0BC0">
              <w:rPr>
                <w:sz w:val="24"/>
                <w:szCs w:val="24"/>
              </w:rPr>
              <w:t>138</w:t>
            </w:r>
          </w:p>
        </w:tc>
        <w:tc>
          <w:tcPr>
            <w:tcW w:w="992" w:type="dxa"/>
            <w:vAlign w:val="center"/>
          </w:tcPr>
          <w:p w14:paraId="29913A9C" w14:textId="77777777" w:rsidR="00CD0BC0" w:rsidRPr="00CD0BC0" w:rsidRDefault="00CD0BC0" w:rsidP="007F47B2">
            <w:pPr>
              <w:spacing w:after="160" w:line="360" w:lineRule="auto"/>
              <w:jc w:val="both"/>
              <w:rPr>
                <w:sz w:val="24"/>
                <w:szCs w:val="24"/>
              </w:rPr>
            </w:pPr>
            <w:r w:rsidRPr="00CD0BC0">
              <w:rPr>
                <w:sz w:val="24"/>
                <w:szCs w:val="24"/>
              </w:rPr>
              <w:t>36.9%</w:t>
            </w:r>
          </w:p>
        </w:tc>
      </w:tr>
      <w:tr w:rsidR="00CD0BC0" w:rsidRPr="00CD0BC0" w14:paraId="5DABF063" w14:textId="77777777" w:rsidTr="00556659">
        <w:trPr>
          <w:trHeight w:val="221"/>
        </w:trPr>
        <w:tc>
          <w:tcPr>
            <w:tcW w:w="891" w:type="dxa"/>
            <w:tcBorders>
              <w:bottom w:val="single" w:sz="4" w:space="0" w:color="auto"/>
            </w:tcBorders>
            <w:vAlign w:val="center"/>
          </w:tcPr>
          <w:p w14:paraId="786AB302" w14:textId="77777777" w:rsidR="00CD0BC0" w:rsidRPr="00CD0BC0" w:rsidRDefault="00CD0BC0" w:rsidP="007F47B2">
            <w:pPr>
              <w:spacing w:after="160" w:line="360" w:lineRule="auto"/>
              <w:jc w:val="both"/>
              <w:rPr>
                <w:sz w:val="24"/>
                <w:szCs w:val="24"/>
              </w:rPr>
            </w:pPr>
          </w:p>
        </w:tc>
        <w:tc>
          <w:tcPr>
            <w:tcW w:w="1377" w:type="dxa"/>
            <w:tcBorders>
              <w:bottom w:val="single" w:sz="4" w:space="0" w:color="auto"/>
            </w:tcBorders>
            <w:vAlign w:val="center"/>
          </w:tcPr>
          <w:p w14:paraId="306257E7" w14:textId="77777777" w:rsidR="00CD0BC0" w:rsidRPr="00CD0BC0" w:rsidRDefault="00CD0BC0" w:rsidP="007F47B2">
            <w:pPr>
              <w:spacing w:after="160" w:line="360" w:lineRule="auto"/>
              <w:jc w:val="both"/>
              <w:rPr>
                <w:sz w:val="24"/>
                <w:szCs w:val="24"/>
              </w:rPr>
            </w:pPr>
            <w:r w:rsidRPr="00CD0BC0">
              <w:rPr>
                <w:sz w:val="24"/>
                <w:szCs w:val="24"/>
              </w:rPr>
              <w:t>374</w:t>
            </w:r>
          </w:p>
        </w:tc>
        <w:tc>
          <w:tcPr>
            <w:tcW w:w="993" w:type="dxa"/>
            <w:tcBorders>
              <w:bottom w:val="single" w:sz="4" w:space="0" w:color="auto"/>
            </w:tcBorders>
            <w:vAlign w:val="center"/>
          </w:tcPr>
          <w:p w14:paraId="47D2FC47" w14:textId="77777777" w:rsidR="00CD0BC0" w:rsidRPr="00CD0BC0" w:rsidRDefault="00CD0BC0" w:rsidP="007F47B2">
            <w:pPr>
              <w:spacing w:after="160" w:line="360" w:lineRule="auto"/>
              <w:jc w:val="both"/>
              <w:rPr>
                <w:sz w:val="24"/>
                <w:szCs w:val="24"/>
              </w:rPr>
            </w:pPr>
            <w:r w:rsidRPr="00CD0BC0">
              <w:rPr>
                <w:sz w:val="24"/>
                <w:szCs w:val="24"/>
              </w:rPr>
              <w:t>100%</w:t>
            </w:r>
          </w:p>
        </w:tc>
        <w:tc>
          <w:tcPr>
            <w:tcW w:w="1134" w:type="dxa"/>
            <w:tcBorders>
              <w:bottom w:val="single" w:sz="4" w:space="0" w:color="auto"/>
            </w:tcBorders>
            <w:vAlign w:val="center"/>
          </w:tcPr>
          <w:p w14:paraId="042514F3" w14:textId="77777777" w:rsidR="00CD0BC0" w:rsidRPr="00CD0BC0" w:rsidRDefault="00CD0BC0" w:rsidP="007F47B2">
            <w:pPr>
              <w:spacing w:after="160" w:line="360" w:lineRule="auto"/>
              <w:jc w:val="both"/>
              <w:rPr>
                <w:sz w:val="24"/>
                <w:szCs w:val="24"/>
              </w:rPr>
            </w:pPr>
            <w:r w:rsidRPr="00CD0BC0">
              <w:rPr>
                <w:sz w:val="24"/>
                <w:szCs w:val="24"/>
              </w:rPr>
              <w:t>374</w:t>
            </w:r>
          </w:p>
        </w:tc>
        <w:tc>
          <w:tcPr>
            <w:tcW w:w="992" w:type="dxa"/>
            <w:tcBorders>
              <w:bottom w:val="single" w:sz="4" w:space="0" w:color="auto"/>
            </w:tcBorders>
            <w:vAlign w:val="center"/>
          </w:tcPr>
          <w:p w14:paraId="1DA169FF" w14:textId="77777777" w:rsidR="00CD0BC0" w:rsidRPr="00CD0BC0" w:rsidRDefault="00CD0BC0" w:rsidP="007F47B2">
            <w:pPr>
              <w:spacing w:after="160" w:line="360" w:lineRule="auto"/>
              <w:jc w:val="both"/>
              <w:rPr>
                <w:sz w:val="24"/>
                <w:szCs w:val="24"/>
              </w:rPr>
            </w:pPr>
            <w:r w:rsidRPr="00CD0BC0">
              <w:rPr>
                <w:sz w:val="24"/>
                <w:szCs w:val="24"/>
              </w:rPr>
              <w:t>100%</w:t>
            </w:r>
          </w:p>
        </w:tc>
        <w:tc>
          <w:tcPr>
            <w:tcW w:w="992" w:type="dxa"/>
            <w:tcBorders>
              <w:bottom w:val="single" w:sz="4" w:space="0" w:color="auto"/>
            </w:tcBorders>
            <w:vAlign w:val="center"/>
          </w:tcPr>
          <w:p w14:paraId="546C2C8F" w14:textId="77777777" w:rsidR="00CD0BC0" w:rsidRPr="00CD0BC0" w:rsidRDefault="00CD0BC0" w:rsidP="007F47B2">
            <w:pPr>
              <w:spacing w:after="160" w:line="360" w:lineRule="auto"/>
              <w:jc w:val="both"/>
              <w:rPr>
                <w:sz w:val="24"/>
                <w:szCs w:val="24"/>
              </w:rPr>
            </w:pPr>
            <w:r w:rsidRPr="00CD0BC0">
              <w:rPr>
                <w:sz w:val="24"/>
                <w:szCs w:val="24"/>
              </w:rPr>
              <w:t>374</w:t>
            </w:r>
          </w:p>
        </w:tc>
        <w:tc>
          <w:tcPr>
            <w:tcW w:w="992" w:type="dxa"/>
            <w:tcBorders>
              <w:bottom w:val="single" w:sz="4" w:space="0" w:color="auto"/>
            </w:tcBorders>
            <w:vAlign w:val="center"/>
          </w:tcPr>
          <w:p w14:paraId="54F64A62" w14:textId="77777777" w:rsidR="00CD0BC0" w:rsidRPr="00CD0BC0" w:rsidRDefault="00CD0BC0" w:rsidP="007F47B2">
            <w:pPr>
              <w:spacing w:after="160" w:line="360" w:lineRule="auto"/>
              <w:jc w:val="both"/>
              <w:rPr>
                <w:sz w:val="24"/>
                <w:szCs w:val="24"/>
              </w:rPr>
            </w:pPr>
            <w:r w:rsidRPr="00CD0BC0">
              <w:rPr>
                <w:sz w:val="24"/>
                <w:szCs w:val="24"/>
              </w:rPr>
              <w:t>100%</w:t>
            </w:r>
          </w:p>
        </w:tc>
        <w:tc>
          <w:tcPr>
            <w:tcW w:w="709" w:type="dxa"/>
            <w:tcBorders>
              <w:bottom w:val="single" w:sz="4" w:space="0" w:color="auto"/>
            </w:tcBorders>
            <w:vAlign w:val="center"/>
          </w:tcPr>
          <w:p w14:paraId="079062AE" w14:textId="77777777" w:rsidR="00CD0BC0" w:rsidRPr="00CD0BC0" w:rsidRDefault="00CD0BC0" w:rsidP="007F47B2">
            <w:pPr>
              <w:spacing w:after="160" w:line="360" w:lineRule="auto"/>
              <w:jc w:val="both"/>
              <w:rPr>
                <w:sz w:val="24"/>
                <w:szCs w:val="24"/>
              </w:rPr>
            </w:pPr>
            <w:r w:rsidRPr="00CD0BC0">
              <w:rPr>
                <w:sz w:val="24"/>
                <w:szCs w:val="24"/>
              </w:rPr>
              <w:t>374</w:t>
            </w:r>
          </w:p>
        </w:tc>
        <w:tc>
          <w:tcPr>
            <w:tcW w:w="992" w:type="dxa"/>
            <w:tcBorders>
              <w:bottom w:val="single" w:sz="4" w:space="0" w:color="auto"/>
            </w:tcBorders>
            <w:vAlign w:val="center"/>
          </w:tcPr>
          <w:p w14:paraId="49264EDA" w14:textId="77777777" w:rsidR="00CD0BC0" w:rsidRPr="00CD0BC0" w:rsidRDefault="00CD0BC0" w:rsidP="007F47B2">
            <w:pPr>
              <w:spacing w:after="160" w:line="360" w:lineRule="auto"/>
              <w:jc w:val="both"/>
              <w:rPr>
                <w:sz w:val="24"/>
                <w:szCs w:val="24"/>
              </w:rPr>
            </w:pPr>
            <w:r w:rsidRPr="00CD0BC0">
              <w:rPr>
                <w:sz w:val="24"/>
                <w:szCs w:val="24"/>
              </w:rPr>
              <w:t>100%</w:t>
            </w:r>
          </w:p>
        </w:tc>
      </w:tr>
    </w:tbl>
    <w:p w14:paraId="2831F516" w14:textId="77777777" w:rsidR="00CD0BC0" w:rsidRPr="00CD0BC0" w:rsidRDefault="00CD0BC0" w:rsidP="007F47B2">
      <w:pPr>
        <w:spacing w:after="160" w:line="360" w:lineRule="auto"/>
        <w:jc w:val="both"/>
        <w:rPr>
          <w:sz w:val="20"/>
          <w:szCs w:val="20"/>
        </w:rPr>
      </w:pPr>
      <w:r w:rsidRPr="00CD0BC0">
        <w:rPr>
          <w:i/>
          <w:iCs/>
          <w:sz w:val="20"/>
          <w:szCs w:val="20"/>
        </w:rPr>
        <w:t>Nota.</w:t>
      </w:r>
      <w:r w:rsidRPr="00CD0BC0">
        <w:rPr>
          <w:sz w:val="20"/>
          <w:szCs w:val="20"/>
        </w:rPr>
        <w:t xml:space="preserve"> %=porcentaje</w:t>
      </w:r>
    </w:p>
    <w:p w14:paraId="3C0BBD3F" w14:textId="1CBDD8CC" w:rsidR="005875CA" w:rsidRPr="00171500" w:rsidRDefault="00171500" w:rsidP="007F47B2">
      <w:pPr>
        <w:pBdr>
          <w:top w:val="nil"/>
          <w:left w:val="nil"/>
          <w:bottom w:val="nil"/>
          <w:right w:val="nil"/>
          <w:between w:val="nil"/>
        </w:pBdr>
        <w:spacing w:after="160" w:line="360" w:lineRule="auto"/>
        <w:jc w:val="both"/>
        <w:rPr>
          <w:b/>
          <w:i/>
          <w:iCs/>
          <w:color w:val="000000"/>
        </w:rPr>
      </w:pPr>
      <w:r w:rsidRPr="00171500">
        <w:rPr>
          <w:b/>
          <w:i/>
          <w:iCs/>
          <w:color w:val="000000"/>
        </w:rPr>
        <w:t xml:space="preserve">Objetivo 3: </w:t>
      </w:r>
      <w:r w:rsidR="00CD0BC0" w:rsidRPr="00171500">
        <w:rPr>
          <w:b/>
          <w:i/>
          <w:iCs/>
          <w:color w:val="000000"/>
        </w:rPr>
        <w:t>Niveles de frecuencia de ideación suicida</w:t>
      </w:r>
    </w:p>
    <w:p w14:paraId="41C39C47" w14:textId="66158867" w:rsidR="00171500" w:rsidRDefault="00C62913" w:rsidP="007F47B2">
      <w:pPr>
        <w:pBdr>
          <w:top w:val="nil"/>
          <w:left w:val="nil"/>
          <w:bottom w:val="nil"/>
          <w:right w:val="nil"/>
          <w:between w:val="nil"/>
        </w:pBdr>
        <w:spacing w:after="160" w:line="360" w:lineRule="auto"/>
        <w:ind w:firstLine="708"/>
        <w:jc w:val="both"/>
        <w:rPr>
          <w:bCs/>
          <w:color w:val="000000"/>
        </w:rPr>
      </w:pPr>
      <w:r>
        <w:rPr>
          <w:bCs/>
          <w:color w:val="000000"/>
        </w:rPr>
        <w:lastRenderedPageBreak/>
        <w:t xml:space="preserve">La mayoría de los </w:t>
      </w:r>
      <w:r w:rsidR="00171500">
        <w:rPr>
          <w:bCs/>
          <w:color w:val="000000"/>
        </w:rPr>
        <w:t>adolescentes</w:t>
      </w:r>
      <w:r>
        <w:rPr>
          <w:bCs/>
          <w:color w:val="000000"/>
        </w:rPr>
        <w:t xml:space="preserve"> se ubico en el nivel bajo de ideación suicida (82.7%). Sin embargo, un 14.1% se </w:t>
      </w:r>
      <w:r w:rsidR="00171500">
        <w:rPr>
          <w:bCs/>
          <w:color w:val="000000"/>
        </w:rPr>
        <w:t>situó</w:t>
      </w:r>
      <w:r>
        <w:rPr>
          <w:bCs/>
          <w:color w:val="000000"/>
        </w:rPr>
        <w:t xml:space="preserve"> en la categoría </w:t>
      </w:r>
      <w:r w:rsidR="00171500">
        <w:rPr>
          <w:bCs/>
          <w:color w:val="000000"/>
        </w:rPr>
        <w:t>moderada</w:t>
      </w:r>
      <w:r>
        <w:rPr>
          <w:bCs/>
          <w:color w:val="000000"/>
        </w:rPr>
        <w:t xml:space="preserve"> y un 2.9% en </w:t>
      </w:r>
      <w:r w:rsidR="00171500">
        <w:rPr>
          <w:bCs/>
          <w:color w:val="000000"/>
        </w:rPr>
        <w:t>el alta</w:t>
      </w:r>
      <w:r>
        <w:rPr>
          <w:bCs/>
          <w:color w:val="000000"/>
        </w:rPr>
        <w:t xml:space="preserve">. Aunque la mayor parte no presenta riesgo elevado, la </w:t>
      </w:r>
      <w:r w:rsidR="00171500">
        <w:rPr>
          <w:bCs/>
          <w:color w:val="000000"/>
        </w:rPr>
        <w:t>proporción</w:t>
      </w:r>
      <w:r>
        <w:rPr>
          <w:bCs/>
          <w:color w:val="000000"/>
        </w:rPr>
        <w:t xml:space="preserve"> de quienes se ubican en niveles superiores constituye una señal de alerta que requiere atención</w:t>
      </w:r>
      <w:r w:rsidR="00171500">
        <w:rPr>
          <w:bCs/>
          <w:color w:val="000000"/>
        </w:rPr>
        <w:t xml:space="preserve"> (Tabla 4).</w:t>
      </w:r>
      <w:r>
        <w:rPr>
          <w:bCs/>
          <w:color w:val="000000"/>
        </w:rPr>
        <w:t xml:space="preserve"> </w:t>
      </w:r>
      <w:bookmarkStart w:id="12" w:name="_Toc208178462"/>
      <w:bookmarkStart w:id="13" w:name="_Toc209030933"/>
      <w:bookmarkStart w:id="14" w:name="_Toc209049007"/>
      <w:bookmarkStart w:id="15" w:name="_Toc209077323"/>
      <w:bookmarkStart w:id="16" w:name="_Toc210049821"/>
    </w:p>
    <w:p w14:paraId="30951E0F" w14:textId="56787D22" w:rsidR="00171500" w:rsidRDefault="00171500" w:rsidP="007F47B2">
      <w:pPr>
        <w:pBdr>
          <w:top w:val="nil"/>
          <w:left w:val="nil"/>
          <w:bottom w:val="nil"/>
          <w:right w:val="nil"/>
          <w:between w:val="nil"/>
        </w:pBdr>
        <w:spacing w:after="160" w:line="360" w:lineRule="auto"/>
        <w:jc w:val="both"/>
        <w:rPr>
          <w:b/>
          <w:bCs/>
        </w:rPr>
      </w:pPr>
      <w:r w:rsidRPr="00171500">
        <w:rPr>
          <w:b/>
          <w:bCs/>
        </w:rPr>
        <w:t xml:space="preserve">Tabla </w:t>
      </w:r>
      <w:bookmarkEnd w:id="12"/>
      <w:bookmarkEnd w:id="13"/>
      <w:bookmarkEnd w:id="14"/>
      <w:bookmarkEnd w:id="15"/>
      <w:r w:rsidRPr="00171500">
        <w:rPr>
          <w:b/>
          <w:bCs/>
        </w:rPr>
        <w:t>4</w:t>
      </w:r>
      <w:bookmarkStart w:id="17" w:name="_Toc209030934"/>
      <w:bookmarkStart w:id="18" w:name="_Toc209049008"/>
      <w:bookmarkStart w:id="19" w:name="_Toc209077324"/>
      <w:bookmarkStart w:id="20" w:name="_Toc210049822"/>
      <w:bookmarkEnd w:id="16"/>
    </w:p>
    <w:p w14:paraId="15B7921B" w14:textId="7503DF29" w:rsidR="00171500" w:rsidRPr="00171500" w:rsidRDefault="00171500" w:rsidP="007F47B2">
      <w:pPr>
        <w:pBdr>
          <w:top w:val="nil"/>
          <w:left w:val="nil"/>
          <w:bottom w:val="nil"/>
          <w:right w:val="nil"/>
          <w:between w:val="nil"/>
        </w:pBdr>
        <w:spacing w:after="160" w:line="360" w:lineRule="auto"/>
        <w:jc w:val="both"/>
        <w:rPr>
          <w:bCs/>
          <w:color w:val="000000"/>
        </w:rPr>
      </w:pPr>
      <w:r w:rsidRPr="00171500">
        <w:rPr>
          <w:bCs/>
          <w:i/>
          <w:iCs/>
        </w:rPr>
        <w:t>Niveles de frecuencia de ideación suicida</w:t>
      </w:r>
      <w:bookmarkEnd w:id="17"/>
      <w:bookmarkEnd w:id="18"/>
      <w:bookmarkEnd w:id="19"/>
      <w:bookmarkEnd w:id="20"/>
    </w:p>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233"/>
        <w:gridCol w:w="4004"/>
      </w:tblGrid>
      <w:tr w:rsidR="00171500" w:rsidRPr="00171500" w14:paraId="5689B08D" w14:textId="77777777" w:rsidTr="00556659">
        <w:trPr>
          <w:trHeight w:val="343"/>
        </w:trPr>
        <w:tc>
          <w:tcPr>
            <w:tcW w:w="2835" w:type="dxa"/>
            <w:tcBorders>
              <w:top w:val="single" w:sz="4" w:space="0" w:color="auto"/>
              <w:bottom w:val="single" w:sz="4" w:space="0" w:color="auto"/>
            </w:tcBorders>
            <w:vAlign w:val="center"/>
          </w:tcPr>
          <w:p w14:paraId="3E6CE05D" w14:textId="77777777" w:rsidR="00171500" w:rsidRPr="00171500" w:rsidRDefault="00171500" w:rsidP="007F47B2">
            <w:pPr>
              <w:spacing w:line="360" w:lineRule="auto"/>
              <w:ind w:left="709"/>
              <w:jc w:val="both"/>
              <w:rPr>
                <w:sz w:val="24"/>
                <w:szCs w:val="24"/>
              </w:rPr>
            </w:pPr>
            <w:r w:rsidRPr="00171500">
              <w:rPr>
                <w:sz w:val="24"/>
                <w:szCs w:val="24"/>
              </w:rPr>
              <w:t>IS</w:t>
            </w:r>
          </w:p>
        </w:tc>
        <w:tc>
          <w:tcPr>
            <w:tcW w:w="2233" w:type="dxa"/>
            <w:tcBorders>
              <w:top w:val="single" w:sz="4" w:space="0" w:color="auto"/>
              <w:bottom w:val="single" w:sz="4" w:space="0" w:color="auto"/>
            </w:tcBorders>
            <w:vAlign w:val="center"/>
          </w:tcPr>
          <w:p w14:paraId="71E81F5B" w14:textId="08A33BA5" w:rsidR="00171500" w:rsidRPr="00171500" w:rsidRDefault="00171500" w:rsidP="007F47B2">
            <w:pPr>
              <w:spacing w:line="360" w:lineRule="auto"/>
              <w:ind w:left="709"/>
              <w:jc w:val="both"/>
              <w:rPr>
                <w:sz w:val="24"/>
                <w:szCs w:val="24"/>
              </w:rPr>
            </w:pPr>
            <w:r w:rsidRPr="00171500">
              <w:rPr>
                <w:sz w:val="24"/>
                <w:szCs w:val="24"/>
              </w:rPr>
              <w:t>F</w:t>
            </w:r>
          </w:p>
        </w:tc>
        <w:tc>
          <w:tcPr>
            <w:tcW w:w="4004" w:type="dxa"/>
            <w:tcBorders>
              <w:top w:val="single" w:sz="4" w:space="0" w:color="auto"/>
              <w:bottom w:val="single" w:sz="4" w:space="0" w:color="auto"/>
            </w:tcBorders>
            <w:vAlign w:val="center"/>
          </w:tcPr>
          <w:p w14:paraId="7107E283" w14:textId="77777777" w:rsidR="00171500" w:rsidRPr="00171500" w:rsidRDefault="00171500" w:rsidP="007F47B2">
            <w:pPr>
              <w:spacing w:line="360" w:lineRule="auto"/>
              <w:ind w:left="709"/>
              <w:jc w:val="both"/>
              <w:rPr>
                <w:sz w:val="24"/>
                <w:szCs w:val="24"/>
              </w:rPr>
            </w:pPr>
            <w:r w:rsidRPr="00171500">
              <w:rPr>
                <w:sz w:val="24"/>
                <w:szCs w:val="24"/>
              </w:rPr>
              <w:t>%</w:t>
            </w:r>
          </w:p>
        </w:tc>
      </w:tr>
      <w:tr w:rsidR="00171500" w:rsidRPr="00171500" w14:paraId="39436B5B" w14:textId="77777777" w:rsidTr="00556659">
        <w:trPr>
          <w:trHeight w:val="343"/>
        </w:trPr>
        <w:tc>
          <w:tcPr>
            <w:tcW w:w="2835" w:type="dxa"/>
            <w:tcBorders>
              <w:top w:val="single" w:sz="4" w:space="0" w:color="auto"/>
            </w:tcBorders>
            <w:vAlign w:val="center"/>
          </w:tcPr>
          <w:p w14:paraId="7B46FFE3" w14:textId="77777777" w:rsidR="00171500" w:rsidRPr="00171500" w:rsidRDefault="00171500" w:rsidP="007F47B2">
            <w:pPr>
              <w:spacing w:line="360" w:lineRule="auto"/>
              <w:ind w:left="709"/>
              <w:jc w:val="both"/>
              <w:rPr>
                <w:sz w:val="24"/>
                <w:szCs w:val="24"/>
              </w:rPr>
            </w:pPr>
            <w:r w:rsidRPr="00171500">
              <w:rPr>
                <w:sz w:val="24"/>
                <w:szCs w:val="24"/>
              </w:rPr>
              <w:t>Bajo</w:t>
            </w:r>
          </w:p>
        </w:tc>
        <w:tc>
          <w:tcPr>
            <w:tcW w:w="2233" w:type="dxa"/>
            <w:tcBorders>
              <w:top w:val="single" w:sz="4" w:space="0" w:color="auto"/>
            </w:tcBorders>
            <w:vAlign w:val="center"/>
          </w:tcPr>
          <w:p w14:paraId="6DD3B287" w14:textId="77777777" w:rsidR="00171500" w:rsidRPr="00171500" w:rsidRDefault="00171500" w:rsidP="007F47B2">
            <w:pPr>
              <w:spacing w:line="360" w:lineRule="auto"/>
              <w:ind w:left="709"/>
              <w:jc w:val="both"/>
              <w:rPr>
                <w:sz w:val="24"/>
                <w:szCs w:val="24"/>
              </w:rPr>
            </w:pPr>
            <w:r w:rsidRPr="00171500">
              <w:rPr>
                <w:sz w:val="24"/>
                <w:szCs w:val="24"/>
              </w:rPr>
              <w:t>310</w:t>
            </w:r>
          </w:p>
        </w:tc>
        <w:tc>
          <w:tcPr>
            <w:tcW w:w="4004" w:type="dxa"/>
            <w:tcBorders>
              <w:top w:val="single" w:sz="4" w:space="0" w:color="auto"/>
            </w:tcBorders>
            <w:vAlign w:val="center"/>
          </w:tcPr>
          <w:p w14:paraId="6D74EA0A" w14:textId="77777777" w:rsidR="00171500" w:rsidRPr="00171500" w:rsidRDefault="00171500" w:rsidP="007F47B2">
            <w:pPr>
              <w:spacing w:line="360" w:lineRule="auto"/>
              <w:ind w:left="709"/>
              <w:jc w:val="both"/>
              <w:rPr>
                <w:sz w:val="24"/>
                <w:szCs w:val="24"/>
              </w:rPr>
            </w:pPr>
            <w:r w:rsidRPr="00171500">
              <w:rPr>
                <w:sz w:val="24"/>
                <w:szCs w:val="24"/>
              </w:rPr>
              <w:t>82.7%</w:t>
            </w:r>
          </w:p>
        </w:tc>
      </w:tr>
      <w:tr w:rsidR="00171500" w:rsidRPr="00171500" w14:paraId="7E3E55FC" w14:textId="77777777" w:rsidTr="00556659">
        <w:trPr>
          <w:trHeight w:val="343"/>
        </w:trPr>
        <w:tc>
          <w:tcPr>
            <w:tcW w:w="2835" w:type="dxa"/>
            <w:vAlign w:val="center"/>
          </w:tcPr>
          <w:p w14:paraId="6A7A6749" w14:textId="77777777" w:rsidR="00171500" w:rsidRPr="00171500" w:rsidRDefault="00171500" w:rsidP="007F47B2">
            <w:pPr>
              <w:spacing w:line="360" w:lineRule="auto"/>
              <w:ind w:left="709"/>
              <w:jc w:val="both"/>
              <w:rPr>
                <w:sz w:val="24"/>
                <w:szCs w:val="24"/>
              </w:rPr>
            </w:pPr>
            <w:r w:rsidRPr="00171500">
              <w:rPr>
                <w:sz w:val="24"/>
                <w:szCs w:val="24"/>
              </w:rPr>
              <w:t>Moderado</w:t>
            </w:r>
          </w:p>
        </w:tc>
        <w:tc>
          <w:tcPr>
            <w:tcW w:w="2233" w:type="dxa"/>
            <w:vAlign w:val="center"/>
          </w:tcPr>
          <w:p w14:paraId="74D94491" w14:textId="77777777" w:rsidR="00171500" w:rsidRPr="00171500" w:rsidRDefault="00171500" w:rsidP="007F47B2">
            <w:pPr>
              <w:spacing w:line="360" w:lineRule="auto"/>
              <w:ind w:left="709"/>
              <w:jc w:val="both"/>
              <w:rPr>
                <w:sz w:val="24"/>
                <w:szCs w:val="24"/>
              </w:rPr>
            </w:pPr>
            <w:r w:rsidRPr="00171500">
              <w:rPr>
                <w:sz w:val="24"/>
                <w:szCs w:val="24"/>
              </w:rPr>
              <w:t>53</w:t>
            </w:r>
          </w:p>
        </w:tc>
        <w:tc>
          <w:tcPr>
            <w:tcW w:w="4004" w:type="dxa"/>
            <w:vAlign w:val="center"/>
          </w:tcPr>
          <w:p w14:paraId="4E2861D7" w14:textId="77777777" w:rsidR="00171500" w:rsidRPr="00171500" w:rsidRDefault="00171500" w:rsidP="007F47B2">
            <w:pPr>
              <w:spacing w:line="360" w:lineRule="auto"/>
              <w:ind w:left="709"/>
              <w:jc w:val="both"/>
              <w:rPr>
                <w:sz w:val="24"/>
                <w:szCs w:val="24"/>
              </w:rPr>
            </w:pPr>
            <w:r w:rsidRPr="00171500">
              <w:rPr>
                <w:sz w:val="24"/>
                <w:szCs w:val="24"/>
              </w:rPr>
              <w:t>14.1%</w:t>
            </w:r>
          </w:p>
        </w:tc>
      </w:tr>
      <w:tr w:rsidR="00171500" w:rsidRPr="00171500" w14:paraId="394534F4" w14:textId="77777777" w:rsidTr="00556659">
        <w:trPr>
          <w:trHeight w:val="343"/>
        </w:trPr>
        <w:tc>
          <w:tcPr>
            <w:tcW w:w="2835" w:type="dxa"/>
            <w:vAlign w:val="center"/>
          </w:tcPr>
          <w:p w14:paraId="38759F6E" w14:textId="77777777" w:rsidR="00171500" w:rsidRPr="00171500" w:rsidRDefault="00171500" w:rsidP="007F47B2">
            <w:pPr>
              <w:spacing w:line="360" w:lineRule="auto"/>
              <w:ind w:left="709"/>
              <w:jc w:val="both"/>
              <w:rPr>
                <w:sz w:val="24"/>
                <w:szCs w:val="24"/>
              </w:rPr>
            </w:pPr>
            <w:r w:rsidRPr="00171500">
              <w:rPr>
                <w:sz w:val="24"/>
                <w:szCs w:val="24"/>
              </w:rPr>
              <w:t>Alto</w:t>
            </w:r>
          </w:p>
        </w:tc>
        <w:tc>
          <w:tcPr>
            <w:tcW w:w="2233" w:type="dxa"/>
            <w:vAlign w:val="center"/>
          </w:tcPr>
          <w:p w14:paraId="1372149B" w14:textId="77777777" w:rsidR="00171500" w:rsidRPr="00171500" w:rsidRDefault="00171500" w:rsidP="007F47B2">
            <w:pPr>
              <w:spacing w:line="360" w:lineRule="auto"/>
              <w:ind w:left="709"/>
              <w:jc w:val="both"/>
              <w:rPr>
                <w:sz w:val="24"/>
                <w:szCs w:val="24"/>
              </w:rPr>
            </w:pPr>
            <w:r w:rsidRPr="00171500">
              <w:rPr>
                <w:sz w:val="24"/>
                <w:szCs w:val="24"/>
              </w:rPr>
              <w:t>11</w:t>
            </w:r>
          </w:p>
        </w:tc>
        <w:tc>
          <w:tcPr>
            <w:tcW w:w="4004" w:type="dxa"/>
            <w:vAlign w:val="center"/>
          </w:tcPr>
          <w:p w14:paraId="1A8D4964" w14:textId="77777777" w:rsidR="00171500" w:rsidRPr="00171500" w:rsidRDefault="00171500" w:rsidP="007F47B2">
            <w:pPr>
              <w:spacing w:line="360" w:lineRule="auto"/>
              <w:ind w:left="709"/>
              <w:jc w:val="both"/>
              <w:rPr>
                <w:sz w:val="24"/>
                <w:szCs w:val="24"/>
              </w:rPr>
            </w:pPr>
            <w:r w:rsidRPr="00171500">
              <w:rPr>
                <w:sz w:val="24"/>
                <w:szCs w:val="24"/>
              </w:rPr>
              <w:t>2.9%</w:t>
            </w:r>
          </w:p>
        </w:tc>
      </w:tr>
      <w:tr w:rsidR="00171500" w:rsidRPr="00171500" w14:paraId="1814FB9E" w14:textId="77777777" w:rsidTr="00556659">
        <w:trPr>
          <w:trHeight w:val="323"/>
        </w:trPr>
        <w:tc>
          <w:tcPr>
            <w:tcW w:w="2835" w:type="dxa"/>
            <w:tcBorders>
              <w:bottom w:val="single" w:sz="4" w:space="0" w:color="auto"/>
            </w:tcBorders>
            <w:vAlign w:val="center"/>
          </w:tcPr>
          <w:p w14:paraId="2F0D5440" w14:textId="77777777" w:rsidR="00171500" w:rsidRPr="00171500" w:rsidRDefault="00171500" w:rsidP="007F47B2">
            <w:pPr>
              <w:spacing w:line="360" w:lineRule="auto"/>
              <w:ind w:left="709"/>
              <w:jc w:val="both"/>
              <w:rPr>
                <w:sz w:val="24"/>
                <w:szCs w:val="24"/>
              </w:rPr>
            </w:pPr>
            <w:r w:rsidRPr="00171500">
              <w:rPr>
                <w:sz w:val="24"/>
                <w:szCs w:val="24"/>
              </w:rPr>
              <w:t>Total</w:t>
            </w:r>
          </w:p>
        </w:tc>
        <w:tc>
          <w:tcPr>
            <w:tcW w:w="2233" w:type="dxa"/>
            <w:tcBorders>
              <w:bottom w:val="single" w:sz="4" w:space="0" w:color="auto"/>
            </w:tcBorders>
            <w:vAlign w:val="center"/>
          </w:tcPr>
          <w:p w14:paraId="2D65EC66" w14:textId="77777777" w:rsidR="00171500" w:rsidRPr="00171500" w:rsidRDefault="00171500" w:rsidP="007F47B2">
            <w:pPr>
              <w:spacing w:line="360" w:lineRule="auto"/>
              <w:ind w:left="709"/>
              <w:jc w:val="both"/>
              <w:rPr>
                <w:sz w:val="24"/>
                <w:szCs w:val="24"/>
              </w:rPr>
            </w:pPr>
            <w:r w:rsidRPr="00171500">
              <w:rPr>
                <w:sz w:val="24"/>
                <w:szCs w:val="24"/>
              </w:rPr>
              <w:t>374</w:t>
            </w:r>
          </w:p>
        </w:tc>
        <w:tc>
          <w:tcPr>
            <w:tcW w:w="4004" w:type="dxa"/>
            <w:tcBorders>
              <w:bottom w:val="single" w:sz="4" w:space="0" w:color="auto"/>
            </w:tcBorders>
            <w:vAlign w:val="center"/>
          </w:tcPr>
          <w:p w14:paraId="3A2AD408" w14:textId="77777777" w:rsidR="00171500" w:rsidRPr="00171500" w:rsidRDefault="00171500" w:rsidP="007F47B2">
            <w:pPr>
              <w:spacing w:line="360" w:lineRule="auto"/>
              <w:ind w:left="709"/>
              <w:jc w:val="both"/>
              <w:rPr>
                <w:sz w:val="24"/>
                <w:szCs w:val="24"/>
              </w:rPr>
            </w:pPr>
            <w:r w:rsidRPr="00171500">
              <w:rPr>
                <w:sz w:val="24"/>
                <w:szCs w:val="24"/>
              </w:rPr>
              <w:t>100%</w:t>
            </w:r>
          </w:p>
        </w:tc>
      </w:tr>
    </w:tbl>
    <w:p w14:paraId="7805A586" w14:textId="77777777" w:rsidR="00171500" w:rsidRPr="00171500" w:rsidRDefault="00171500" w:rsidP="007F47B2">
      <w:pPr>
        <w:spacing w:after="160" w:line="360" w:lineRule="auto"/>
        <w:jc w:val="both"/>
        <w:rPr>
          <w:sz w:val="20"/>
          <w:szCs w:val="20"/>
        </w:rPr>
      </w:pPr>
      <w:r w:rsidRPr="00171500">
        <w:rPr>
          <w:i/>
          <w:iCs/>
          <w:sz w:val="20"/>
          <w:szCs w:val="20"/>
        </w:rPr>
        <w:t>Nota</w:t>
      </w:r>
      <w:r w:rsidRPr="00171500">
        <w:rPr>
          <w:sz w:val="20"/>
          <w:szCs w:val="20"/>
        </w:rPr>
        <w:t>. f=frecuencia, %=porcentaje</w:t>
      </w:r>
    </w:p>
    <w:p w14:paraId="5DD55D10" w14:textId="476F175D" w:rsidR="00171500" w:rsidRPr="00171500" w:rsidRDefault="00171500" w:rsidP="007F47B2">
      <w:pPr>
        <w:pBdr>
          <w:top w:val="nil"/>
          <w:left w:val="nil"/>
          <w:bottom w:val="nil"/>
          <w:right w:val="nil"/>
          <w:between w:val="nil"/>
        </w:pBdr>
        <w:spacing w:after="160" w:line="360" w:lineRule="auto"/>
        <w:jc w:val="both"/>
        <w:rPr>
          <w:b/>
          <w:i/>
          <w:iCs/>
          <w:color w:val="000000"/>
        </w:rPr>
      </w:pPr>
      <w:r w:rsidRPr="00171500">
        <w:rPr>
          <w:b/>
          <w:i/>
          <w:iCs/>
          <w:color w:val="000000"/>
        </w:rPr>
        <w:t>Objetivo 4: Correlación entre el funcionamiento familiar y la ideación suicida</w:t>
      </w:r>
    </w:p>
    <w:p w14:paraId="6AAA6048" w14:textId="0C39D458" w:rsidR="008A2763" w:rsidRDefault="00171500" w:rsidP="007F47B2">
      <w:pPr>
        <w:pBdr>
          <w:top w:val="nil"/>
          <w:left w:val="nil"/>
          <w:bottom w:val="nil"/>
          <w:right w:val="nil"/>
          <w:between w:val="nil"/>
        </w:pBdr>
        <w:spacing w:after="160" w:line="360" w:lineRule="auto"/>
        <w:jc w:val="both"/>
        <w:rPr>
          <w:bCs/>
          <w:color w:val="000000"/>
        </w:rPr>
      </w:pPr>
      <w:r>
        <w:rPr>
          <w:bCs/>
          <w:color w:val="000000"/>
        </w:rPr>
        <w:t>La correlación de Pearson mostro una asociación negativa y significativa entre el funcionamiento familiar e ideación suicida, lo que sugiere que una mejor precepción del funcionamiento familiar se relaciona con menores niveles de ideación suicida en los adolescentes (Tabla 5).</w:t>
      </w:r>
    </w:p>
    <w:tbl>
      <w:tblPr>
        <w:tblStyle w:val="Tablaconcuadrcula"/>
        <w:tblW w:w="0" w:type="auto"/>
        <w:tblLook w:val="04A0" w:firstRow="1" w:lastRow="0" w:firstColumn="1" w:lastColumn="0" w:noHBand="0" w:noVBand="1"/>
      </w:tblPr>
      <w:tblGrid>
        <w:gridCol w:w="1776"/>
        <w:gridCol w:w="1532"/>
        <w:gridCol w:w="1497"/>
        <w:gridCol w:w="1509"/>
        <w:gridCol w:w="1521"/>
        <w:gridCol w:w="1525"/>
      </w:tblGrid>
      <w:tr w:rsidR="00171500" w:rsidRPr="000253DD" w14:paraId="07EBCB56" w14:textId="77777777" w:rsidTr="000253DD">
        <w:tc>
          <w:tcPr>
            <w:tcW w:w="9350" w:type="dxa"/>
            <w:gridSpan w:val="6"/>
            <w:tcBorders>
              <w:top w:val="nil"/>
              <w:left w:val="nil"/>
              <w:bottom w:val="nil"/>
              <w:right w:val="nil"/>
            </w:tcBorders>
          </w:tcPr>
          <w:p w14:paraId="714F3D33" w14:textId="50E0954C" w:rsidR="00171500" w:rsidRPr="000253DD" w:rsidRDefault="00171500" w:rsidP="007F47B2">
            <w:pPr>
              <w:spacing w:line="360" w:lineRule="auto"/>
              <w:jc w:val="both"/>
              <w:rPr>
                <w:b/>
                <w:color w:val="000000"/>
                <w:sz w:val="24"/>
                <w:szCs w:val="24"/>
              </w:rPr>
            </w:pPr>
            <w:r w:rsidRPr="000253DD">
              <w:rPr>
                <w:b/>
                <w:color w:val="000000"/>
                <w:sz w:val="24"/>
                <w:szCs w:val="24"/>
              </w:rPr>
              <w:t>Tabla 5</w:t>
            </w:r>
          </w:p>
        </w:tc>
      </w:tr>
      <w:tr w:rsidR="00171500" w:rsidRPr="000253DD" w14:paraId="5ADF8240" w14:textId="77777777" w:rsidTr="008A2763">
        <w:tc>
          <w:tcPr>
            <w:tcW w:w="9350" w:type="dxa"/>
            <w:gridSpan w:val="6"/>
            <w:tcBorders>
              <w:top w:val="nil"/>
              <w:left w:val="nil"/>
              <w:bottom w:val="single" w:sz="4" w:space="0" w:color="auto"/>
              <w:right w:val="nil"/>
            </w:tcBorders>
          </w:tcPr>
          <w:p w14:paraId="5D492A10" w14:textId="253C95AE" w:rsidR="000253DD" w:rsidRPr="000253DD" w:rsidRDefault="008A2763" w:rsidP="007F47B2">
            <w:pPr>
              <w:spacing w:line="360" w:lineRule="auto"/>
              <w:jc w:val="both"/>
              <w:rPr>
                <w:bCs/>
                <w:i/>
                <w:iCs/>
                <w:color w:val="000000"/>
                <w:sz w:val="24"/>
                <w:szCs w:val="24"/>
              </w:rPr>
            </w:pPr>
            <w:r w:rsidRPr="000253DD">
              <w:rPr>
                <w:bCs/>
                <w:i/>
                <w:iCs/>
                <w:color w:val="000000"/>
                <w:sz w:val="24"/>
                <w:szCs w:val="24"/>
              </w:rPr>
              <w:t>Correlación</w:t>
            </w:r>
            <w:r w:rsidR="00171500" w:rsidRPr="000253DD">
              <w:rPr>
                <w:bCs/>
                <w:i/>
                <w:iCs/>
                <w:color w:val="000000"/>
                <w:sz w:val="24"/>
                <w:szCs w:val="24"/>
              </w:rPr>
              <w:t xml:space="preserve"> entre el funcionamiento familiar e ideación suicida</w:t>
            </w:r>
          </w:p>
        </w:tc>
      </w:tr>
      <w:tr w:rsidR="008A2763" w:rsidRPr="000253DD" w14:paraId="3245C091" w14:textId="77777777" w:rsidTr="008A2763">
        <w:trPr>
          <w:trHeight w:val="719"/>
        </w:trPr>
        <w:tc>
          <w:tcPr>
            <w:tcW w:w="1558" w:type="dxa"/>
            <w:tcBorders>
              <w:top w:val="single" w:sz="4" w:space="0" w:color="auto"/>
              <w:left w:val="nil"/>
              <w:bottom w:val="single" w:sz="4" w:space="0" w:color="auto"/>
              <w:right w:val="nil"/>
            </w:tcBorders>
            <w:vAlign w:val="center"/>
          </w:tcPr>
          <w:p w14:paraId="4B94B44E" w14:textId="48052782" w:rsidR="00171500" w:rsidRPr="000253DD" w:rsidRDefault="00171500" w:rsidP="007F47B2">
            <w:pPr>
              <w:spacing w:line="360" w:lineRule="auto"/>
              <w:jc w:val="both"/>
              <w:rPr>
                <w:bCs/>
                <w:color w:val="000000"/>
                <w:sz w:val="24"/>
                <w:szCs w:val="24"/>
              </w:rPr>
            </w:pPr>
            <w:r w:rsidRPr="000253DD">
              <w:rPr>
                <w:bCs/>
                <w:color w:val="000000"/>
                <w:sz w:val="24"/>
                <w:szCs w:val="24"/>
              </w:rPr>
              <w:t>Variable</w:t>
            </w:r>
          </w:p>
        </w:tc>
        <w:tc>
          <w:tcPr>
            <w:tcW w:w="1558" w:type="dxa"/>
            <w:tcBorders>
              <w:top w:val="single" w:sz="4" w:space="0" w:color="auto"/>
              <w:left w:val="nil"/>
              <w:bottom w:val="single" w:sz="4" w:space="0" w:color="auto"/>
              <w:right w:val="nil"/>
            </w:tcBorders>
            <w:vAlign w:val="center"/>
          </w:tcPr>
          <w:p w14:paraId="22D5F31F" w14:textId="74911FA4" w:rsidR="00171500" w:rsidRPr="000253DD" w:rsidRDefault="00171500" w:rsidP="007F47B2">
            <w:pPr>
              <w:spacing w:line="360" w:lineRule="auto"/>
              <w:jc w:val="both"/>
              <w:rPr>
                <w:bCs/>
                <w:color w:val="000000"/>
                <w:sz w:val="24"/>
                <w:szCs w:val="24"/>
              </w:rPr>
            </w:pPr>
            <w:r w:rsidRPr="000253DD">
              <w:rPr>
                <w:bCs/>
                <w:color w:val="000000"/>
                <w:sz w:val="24"/>
                <w:szCs w:val="24"/>
              </w:rPr>
              <w:t>R (Pearson)</w:t>
            </w:r>
          </w:p>
        </w:tc>
        <w:tc>
          <w:tcPr>
            <w:tcW w:w="1558" w:type="dxa"/>
            <w:tcBorders>
              <w:top w:val="single" w:sz="4" w:space="0" w:color="auto"/>
              <w:left w:val="nil"/>
              <w:bottom w:val="single" w:sz="4" w:space="0" w:color="auto"/>
              <w:right w:val="nil"/>
            </w:tcBorders>
            <w:vAlign w:val="center"/>
          </w:tcPr>
          <w:p w14:paraId="04DCBD7D" w14:textId="55C2707A" w:rsidR="00171500" w:rsidRPr="000253DD" w:rsidRDefault="00171500" w:rsidP="007F47B2">
            <w:pPr>
              <w:spacing w:line="360" w:lineRule="auto"/>
              <w:jc w:val="both"/>
              <w:rPr>
                <w:bCs/>
                <w:color w:val="000000"/>
                <w:sz w:val="24"/>
                <w:szCs w:val="24"/>
              </w:rPr>
            </w:pPr>
            <w:proofErr w:type="spellStart"/>
            <w:r w:rsidRPr="000253DD">
              <w:rPr>
                <w:bCs/>
                <w:color w:val="000000"/>
                <w:sz w:val="24"/>
                <w:szCs w:val="24"/>
              </w:rPr>
              <w:t>gl</w:t>
            </w:r>
            <w:proofErr w:type="spellEnd"/>
          </w:p>
        </w:tc>
        <w:tc>
          <w:tcPr>
            <w:tcW w:w="1558" w:type="dxa"/>
            <w:tcBorders>
              <w:top w:val="single" w:sz="4" w:space="0" w:color="auto"/>
              <w:left w:val="nil"/>
              <w:bottom w:val="single" w:sz="4" w:space="0" w:color="auto"/>
              <w:right w:val="nil"/>
            </w:tcBorders>
            <w:vAlign w:val="center"/>
          </w:tcPr>
          <w:p w14:paraId="235E13FE" w14:textId="1F61C8DF" w:rsidR="00171500" w:rsidRPr="000253DD" w:rsidRDefault="00171500" w:rsidP="007F47B2">
            <w:pPr>
              <w:spacing w:line="360" w:lineRule="auto"/>
              <w:jc w:val="both"/>
              <w:rPr>
                <w:bCs/>
                <w:color w:val="000000"/>
                <w:sz w:val="24"/>
                <w:szCs w:val="24"/>
              </w:rPr>
            </w:pPr>
            <w:r w:rsidRPr="000253DD">
              <w:rPr>
                <w:bCs/>
                <w:color w:val="000000"/>
                <w:sz w:val="24"/>
                <w:szCs w:val="24"/>
              </w:rPr>
              <w:t>p</w:t>
            </w:r>
          </w:p>
        </w:tc>
        <w:tc>
          <w:tcPr>
            <w:tcW w:w="1559" w:type="dxa"/>
            <w:tcBorders>
              <w:top w:val="single" w:sz="4" w:space="0" w:color="auto"/>
              <w:left w:val="nil"/>
              <w:bottom w:val="single" w:sz="4" w:space="0" w:color="auto"/>
              <w:right w:val="nil"/>
            </w:tcBorders>
            <w:vAlign w:val="center"/>
          </w:tcPr>
          <w:p w14:paraId="6B31B7DC" w14:textId="7F50488F" w:rsidR="00171500" w:rsidRPr="000253DD" w:rsidRDefault="00171500" w:rsidP="007F47B2">
            <w:pPr>
              <w:spacing w:line="360" w:lineRule="auto"/>
              <w:jc w:val="both"/>
              <w:rPr>
                <w:bCs/>
                <w:color w:val="000000"/>
                <w:sz w:val="24"/>
                <w:szCs w:val="24"/>
              </w:rPr>
            </w:pPr>
            <w:r w:rsidRPr="000253DD">
              <w:rPr>
                <w:bCs/>
                <w:color w:val="000000"/>
                <w:sz w:val="24"/>
                <w:szCs w:val="24"/>
              </w:rPr>
              <w:t>IC 95% inferior</w:t>
            </w:r>
          </w:p>
        </w:tc>
        <w:tc>
          <w:tcPr>
            <w:tcW w:w="1559" w:type="dxa"/>
            <w:tcBorders>
              <w:top w:val="single" w:sz="4" w:space="0" w:color="auto"/>
              <w:left w:val="nil"/>
              <w:bottom w:val="single" w:sz="4" w:space="0" w:color="auto"/>
              <w:right w:val="nil"/>
            </w:tcBorders>
            <w:vAlign w:val="center"/>
          </w:tcPr>
          <w:p w14:paraId="6D6762CA" w14:textId="1FC0F1B3" w:rsidR="00171500" w:rsidRPr="000253DD" w:rsidRDefault="00171500" w:rsidP="007F47B2">
            <w:pPr>
              <w:spacing w:line="360" w:lineRule="auto"/>
              <w:jc w:val="both"/>
              <w:rPr>
                <w:bCs/>
                <w:color w:val="000000"/>
                <w:sz w:val="24"/>
                <w:szCs w:val="24"/>
              </w:rPr>
            </w:pPr>
            <w:r w:rsidRPr="000253DD">
              <w:rPr>
                <w:bCs/>
                <w:color w:val="000000"/>
                <w:sz w:val="24"/>
                <w:szCs w:val="24"/>
              </w:rPr>
              <w:t>IC 95% superior</w:t>
            </w:r>
          </w:p>
        </w:tc>
      </w:tr>
      <w:tr w:rsidR="007F47B2" w:rsidRPr="000253DD" w14:paraId="7265E8B3" w14:textId="77777777" w:rsidTr="008A2763">
        <w:tc>
          <w:tcPr>
            <w:tcW w:w="1558" w:type="dxa"/>
            <w:tcBorders>
              <w:top w:val="single" w:sz="4" w:space="0" w:color="auto"/>
              <w:left w:val="nil"/>
              <w:bottom w:val="single" w:sz="4" w:space="0" w:color="auto"/>
              <w:right w:val="nil"/>
            </w:tcBorders>
            <w:vAlign w:val="center"/>
          </w:tcPr>
          <w:p w14:paraId="38F944C8" w14:textId="08C06EC3" w:rsidR="00171500" w:rsidRPr="000253DD" w:rsidRDefault="00171500" w:rsidP="007F47B2">
            <w:pPr>
              <w:spacing w:line="360" w:lineRule="auto"/>
              <w:jc w:val="both"/>
              <w:rPr>
                <w:bCs/>
                <w:color w:val="000000"/>
                <w:sz w:val="24"/>
                <w:szCs w:val="24"/>
              </w:rPr>
            </w:pPr>
            <w:r w:rsidRPr="000253DD">
              <w:rPr>
                <w:bCs/>
                <w:color w:val="000000"/>
                <w:sz w:val="24"/>
                <w:szCs w:val="24"/>
              </w:rPr>
              <w:t xml:space="preserve">Funcionamiento familiar – </w:t>
            </w:r>
            <w:r w:rsidR="008A2763" w:rsidRPr="000253DD">
              <w:rPr>
                <w:bCs/>
                <w:color w:val="000000"/>
                <w:sz w:val="24"/>
                <w:szCs w:val="24"/>
              </w:rPr>
              <w:t>Ideación</w:t>
            </w:r>
            <w:r w:rsidRPr="000253DD">
              <w:rPr>
                <w:bCs/>
                <w:color w:val="000000"/>
                <w:sz w:val="24"/>
                <w:szCs w:val="24"/>
              </w:rPr>
              <w:t xml:space="preserve"> suicida</w:t>
            </w:r>
          </w:p>
        </w:tc>
        <w:tc>
          <w:tcPr>
            <w:tcW w:w="1558" w:type="dxa"/>
            <w:tcBorders>
              <w:top w:val="single" w:sz="4" w:space="0" w:color="auto"/>
              <w:left w:val="nil"/>
              <w:bottom w:val="single" w:sz="4" w:space="0" w:color="auto"/>
              <w:right w:val="nil"/>
            </w:tcBorders>
            <w:vAlign w:val="center"/>
          </w:tcPr>
          <w:p w14:paraId="4DD078C8" w14:textId="10AFACCA" w:rsidR="00171500" w:rsidRPr="000253DD" w:rsidRDefault="00171500" w:rsidP="007F47B2">
            <w:pPr>
              <w:spacing w:line="360" w:lineRule="auto"/>
              <w:jc w:val="both"/>
              <w:rPr>
                <w:bCs/>
                <w:color w:val="000000"/>
                <w:sz w:val="24"/>
                <w:szCs w:val="24"/>
              </w:rPr>
            </w:pPr>
            <w:r w:rsidRPr="000253DD">
              <w:rPr>
                <w:bCs/>
                <w:color w:val="000000"/>
                <w:sz w:val="24"/>
                <w:szCs w:val="24"/>
              </w:rPr>
              <w:t>-.341</w:t>
            </w:r>
          </w:p>
        </w:tc>
        <w:tc>
          <w:tcPr>
            <w:tcW w:w="1558" w:type="dxa"/>
            <w:tcBorders>
              <w:top w:val="single" w:sz="4" w:space="0" w:color="auto"/>
              <w:left w:val="nil"/>
              <w:bottom w:val="single" w:sz="4" w:space="0" w:color="auto"/>
              <w:right w:val="nil"/>
            </w:tcBorders>
            <w:vAlign w:val="center"/>
          </w:tcPr>
          <w:p w14:paraId="51B67F79" w14:textId="4DB8FE40" w:rsidR="00171500" w:rsidRPr="000253DD" w:rsidRDefault="00171500" w:rsidP="007F47B2">
            <w:pPr>
              <w:spacing w:line="360" w:lineRule="auto"/>
              <w:jc w:val="both"/>
              <w:rPr>
                <w:bCs/>
                <w:color w:val="000000"/>
                <w:sz w:val="24"/>
                <w:szCs w:val="24"/>
              </w:rPr>
            </w:pPr>
            <w:r w:rsidRPr="000253DD">
              <w:rPr>
                <w:bCs/>
                <w:color w:val="000000"/>
                <w:sz w:val="24"/>
                <w:szCs w:val="24"/>
              </w:rPr>
              <w:t>372</w:t>
            </w:r>
          </w:p>
        </w:tc>
        <w:tc>
          <w:tcPr>
            <w:tcW w:w="1558" w:type="dxa"/>
            <w:tcBorders>
              <w:top w:val="single" w:sz="4" w:space="0" w:color="auto"/>
              <w:left w:val="nil"/>
              <w:bottom w:val="single" w:sz="4" w:space="0" w:color="auto"/>
              <w:right w:val="nil"/>
            </w:tcBorders>
            <w:vAlign w:val="center"/>
          </w:tcPr>
          <w:p w14:paraId="61453798" w14:textId="0C55C53E" w:rsidR="00171500" w:rsidRPr="000253DD" w:rsidRDefault="008A2763" w:rsidP="007F47B2">
            <w:pPr>
              <w:spacing w:line="360" w:lineRule="auto"/>
              <w:jc w:val="both"/>
              <w:rPr>
                <w:bCs/>
                <w:color w:val="000000"/>
                <w:sz w:val="24"/>
                <w:szCs w:val="24"/>
              </w:rPr>
            </w:pPr>
            <w:r w:rsidRPr="008A2763">
              <w:rPr>
                <w:bCs/>
                <w:color w:val="000000"/>
                <w:sz w:val="24"/>
                <w:szCs w:val="24"/>
              </w:rPr>
              <w:t>&lt;</w:t>
            </w:r>
            <w:r>
              <w:rPr>
                <w:bCs/>
                <w:color w:val="000000"/>
                <w:sz w:val="24"/>
                <w:szCs w:val="24"/>
              </w:rPr>
              <w:t>.001</w:t>
            </w:r>
          </w:p>
        </w:tc>
        <w:tc>
          <w:tcPr>
            <w:tcW w:w="1559" w:type="dxa"/>
            <w:tcBorders>
              <w:top w:val="single" w:sz="4" w:space="0" w:color="auto"/>
              <w:left w:val="nil"/>
              <w:bottom w:val="single" w:sz="4" w:space="0" w:color="auto"/>
              <w:right w:val="nil"/>
            </w:tcBorders>
            <w:vAlign w:val="center"/>
          </w:tcPr>
          <w:p w14:paraId="3772BEFA" w14:textId="56BBCA42" w:rsidR="00171500" w:rsidRPr="000253DD" w:rsidRDefault="000253DD" w:rsidP="007F47B2">
            <w:pPr>
              <w:spacing w:line="360" w:lineRule="auto"/>
              <w:jc w:val="both"/>
              <w:rPr>
                <w:bCs/>
                <w:color w:val="000000"/>
                <w:sz w:val="24"/>
                <w:szCs w:val="24"/>
              </w:rPr>
            </w:pPr>
            <w:r w:rsidRPr="000253DD">
              <w:rPr>
                <w:bCs/>
                <w:color w:val="000000"/>
                <w:sz w:val="24"/>
                <w:szCs w:val="24"/>
              </w:rPr>
              <w:t>-.427</w:t>
            </w:r>
          </w:p>
        </w:tc>
        <w:tc>
          <w:tcPr>
            <w:tcW w:w="1559" w:type="dxa"/>
            <w:tcBorders>
              <w:top w:val="single" w:sz="4" w:space="0" w:color="auto"/>
              <w:left w:val="nil"/>
              <w:bottom w:val="single" w:sz="4" w:space="0" w:color="auto"/>
              <w:right w:val="nil"/>
            </w:tcBorders>
            <w:vAlign w:val="center"/>
          </w:tcPr>
          <w:p w14:paraId="481540DB" w14:textId="5932E1EF" w:rsidR="00171500" w:rsidRPr="000253DD" w:rsidRDefault="000253DD" w:rsidP="007F47B2">
            <w:pPr>
              <w:spacing w:line="360" w:lineRule="auto"/>
              <w:jc w:val="both"/>
              <w:rPr>
                <w:bCs/>
                <w:color w:val="000000"/>
                <w:sz w:val="24"/>
                <w:szCs w:val="24"/>
              </w:rPr>
            </w:pPr>
            <w:r w:rsidRPr="000253DD">
              <w:rPr>
                <w:bCs/>
                <w:color w:val="000000"/>
                <w:sz w:val="24"/>
                <w:szCs w:val="24"/>
              </w:rPr>
              <w:t>-.248</w:t>
            </w:r>
          </w:p>
        </w:tc>
      </w:tr>
    </w:tbl>
    <w:p w14:paraId="52AF1049" w14:textId="77777777" w:rsidR="00171500" w:rsidRDefault="00171500" w:rsidP="007F47B2">
      <w:pPr>
        <w:pBdr>
          <w:top w:val="nil"/>
          <w:left w:val="nil"/>
          <w:bottom w:val="nil"/>
          <w:right w:val="nil"/>
          <w:between w:val="nil"/>
        </w:pBdr>
        <w:spacing w:after="160" w:line="360" w:lineRule="auto"/>
        <w:jc w:val="both"/>
        <w:rPr>
          <w:bCs/>
          <w:color w:val="000000"/>
        </w:rPr>
      </w:pPr>
    </w:p>
    <w:p w14:paraId="6FBDAB08" w14:textId="2FD8CC16" w:rsidR="00171500" w:rsidRPr="001A10DB" w:rsidRDefault="008A2763" w:rsidP="007F47B2">
      <w:pPr>
        <w:pBdr>
          <w:top w:val="nil"/>
          <w:left w:val="nil"/>
          <w:bottom w:val="nil"/>
          <w:right w:val="nil"/>
          <w:between w:val="nil"/>
        </w:pBdr>
        <w:spacing w:after="160" w:line="360" w:lineRule="auto"/>
        <w:jc w:val="both"/>
        <w:rPr>
          <w:b/>
          <w:i/>
          <w:iCs/>
          <w:color w:val="000000"/>
        </w:rPr>
      </w:pPr>
      <w:r w:rsidRPr="001A10DB">
        <w:rPr>
          <w:b/>
          <w:i/>
          <w:iCs/>
          <w:color w:val="000000"/>
        </w:rPr>
        <w:t xml:space="preserve">Objetivo 5: </w:t>
      </w:r>
      <w:r w:rsidR="001A10DB" w:rsidRPr="001A10DB">
        <w:rPr>
          <w:b/>
          <w:i/>
          <w:iCs/>
          <w:color w:val="000000"/>
        </w:rPr>
        <w:t>Correlación</w:t>
      </w:r>
      <w:r w:rsidRPr="001A10DB">
        <w:rPr>
          <w:b/>
          <w:i/>
          <w:iCs/>
          <w:color w:val="000000"/>
        </w:rPr>
        <w:t xml:space="preserve"> entre </w:t>
      </w:r>
      <w:r w:rsidR="001A10DB" w:rsidRPr="001A10DB">
        <w:rPr>
          <w:b/>
          <w:i/>
          <w:iCs/>
          <w:color w:val="000000"/>
        </w:rPr>
        <w:t>la exposición a la violencia y la ideación suicida</w:t>
      </w:r>
    </w:p>
    <w:p w14:paraId="0B135C7F" w14:textId="19BAF1E8" w:rsidR="001A10DB" w:rsidRDefault="001A10DB" w:rsidP="007F47B2">
      <w:pPr>
        <w:pBdr>
          <w:top w:val="nil"/>
          <w:left w:val="nil"/>
          <w:bottom w:val="nil"/>
          <w:right w:val="nil"/>
          <w:between w:val="nil"/>
        </w:pBdr>
        <w:spacing w:after="160" w:line="360" w:lineRule="auto"/>
        <w:jc w:val="both"/>
        <w:rPr>
          <w:bCs/>
          <w:color w:val="000000"/>
        </w:rPr>
      </w:pPr>
      <w:r>
        <w:rPr>
          <w:bCs/>
          <w:color w:val="000000"/>
        </w:rPr>
        <w:t>La exposición a la violencia (CEV) se asoció positivamente con la ideación suicida; es decir, a mayor exposición a situaciones violentas (en conjunto), mayor fue la ideación suicida reportada por los adolescentes (Tabla 6).</w:t>
      </w:r>
    </w:p>
    <w:tbl>
      <w:tblPr>
        <w:tblStyle w:val="Tablaconcuadrcula"/>
        <w:tblW w:w="0" w:type="auto"/>
        <w:tblLook w:val="04A0" w:firstRow="1" w:lastRow="0" w:firstColumn="1" w:lastColumn="0" w:noHBand="0" w:noVBand="1"/>
      </w:tblPr>
      <w:tblGrid>
        <w:gridCol w:w="1558"/>
        <w:gridCol w:w="1558"/>
        <w:gridCol w:w="1558"/>
        <w:gridCol w:w="1558"/>
        <w:gridCol w:w="1559"/>
        <w:gridCol w:w="1559"/>
      </w:tblGrid>
      <w:tr w:rsidR="001A10DB" w:rsidRPr="000253DD" w14:paraId="287FF628" w14:textId="77777777" w:rsidTr="00556659">
        <w:tc>
          <w:tcPr>
            <w:tcW w:w="9350" w:type="dxa"/>
            <w:gridSpan w:val="6"/>
            <w:tcBorders>
              <w:top w:val="nil"/>
              <w:left w:val="nil"/>
              <w:bottom w:val="nil"/>
              <w:right w:val="nil"/>
            </w:tcBorders>
          </w:tcPr>
          <w:p w14:paraId="2B66F98A" w14:textId="0F644587" w:rsidR="001A10DB" w:rsidRPr="000253DD" w:rsidRDefault="001A10DB" w:rsidP="007F47B2">
            <w:pPr>
              <w:spacing w:line="360" w:lineRule="auto"/>
              <w:jc w:val="both"/>
              <w:rPr>
                <w:b/>
                <w:color w:val="000000"/>
                <w:sz w:val="24"/>
                <w:szCs w:val="24"/>
              </w:rPr>
            </w:pPr>
            <w:r w:rsidRPr="000253DD">
              <w:rPr>
                <w:b/>
                <w:color w:val="000000"/>
                <w:sz w:val="24"/>
                <w:szCs w:val="24"/>
              </w:rPr>
              <w:lastRenderedPageBreak/>
              <w:t xml:space="preserve">Tabla </w:t>
            </w:r>
            <w:r>
              <w:rPr>
                <w:b/>
                <w:color w:val="000000"/>
                <w:sz w:val="24"/>
                <w:szCs w:val="24"/>
              </w:rPr>
              <w:t>6</w:t>
            </w:r>
          </w:p>
        </w:tc>
      </w:tr>
      <w:tr w:rsidR="001A10DB" w:rsidRPr="000253DD" w14:paraId="07D55D55" w14:textId="77777777" w:rsidTr="00556659">
        <w:tc>
          <w:tcPr>
            <w:tcW w:w="9350" w:type="dxa"/>
            <w:gridSpan w:val="6"/>
            <w:tcBorders>
              <w:top w:val="nil"/>
              <w:left w:val="nil"/>
              <w:bottom w:val="single" w:sz="4" w:space="0" w:color="auto"/>
              <w:right w:val="nil"/>
            </w:tcBorders>
          </w:tcPr>
          <w:p w14:paraId="501319E6" w14:textId="7BD9B996" w:rsidR="001A10DB" w:rsidRPr="000253DD" w:rsidRDefault="001A10DB" w:rsidP="007F47B2">
            <w:pPr>
              <w:spacing w:line="360" w:lineRule="auto"/>
              <w:jc w:val="both"/>
              <w:rPr>
                <w:bCs/>
                <w:i/>
                <w:iCs/>
                <w:color w:val="000000"/>
                <w:sz w:val="24"/>
                <w:szCs w:val="24"/>
              </w:rPr>
            </w:pPr>
            <w:r w:rsidRPr="000253DD">
              <w:rPr>
                <w:bCs/>
                <w:i/>
                <w:iCs/>
                <w:color w:val="000000"/>
                <w:sz w:val="24"/>
                <w:szCs w:val="24"/>
              </w:rPr>
              <w:t xml:space="preserve">Correlación entre </w:t>
            </w:r>
            <w:r>
              <w:rPr>
                <w:bCs/>
                <w:i/>
                <w:iCs/>
                <w:color w:val="000000"/>
                <w:sz w:val="24"/>
                <w:szCs w:val="24"/>
              </w:rPr>
              <w:t>la exposición a la violencia y la</w:t>
            </w:r>
            <w:r w:rsidRPr="000253DD">
              <w:rPr>
                <w:bCs/>
                <w:i/>
                <w:iCs/>
                <w:color w:val="000000"/>
                <w:sz w:val="24"/>
                <w:szCs w:val="24"/>
              </w:rPr>
              <w:t xml:space="preserve"> ideación suicida</w:t>
            </w:r>
          </w:p>
        </w:tc>
      </w:tr>
      <w:tr w:rsidR="001A10DB" w:rsidRPr="000253DD" w14:paraId="3E2202FF" w14:textId="77777777" w:rsidTr="00556659">
        <w:trPr>
          <w:trHeight w:val="719"/>
        </w:trPr>
        <w:tc>
          <w:tcPr>
            <w:tcW w:w="1558" w:type="dxa"/>
            <w:tcBorders>
              <w:top w:val="single" w:sz="4" w:space="0" w:color="auto"/>
              <w:left w:val="nil"/>
              <w:bottom w:val="single" w:sz="4" w:space="0" w:color="auto"/>
              <w:right w:val="nil"/>
            </w:tcBorders>
            <w:vAlign w:val="center"/>
          </w:tcPr>
          <w:p w14:paraId="1F6A3204" w14:textId="77777777" w:rsidR="001A10DB" w:rsidRPr="000253DD" w:rsidRDefault="001A10DB" w:rsidP="007F47B2">
            <w:pPr>
              <w:spacing w:line="360" w:lineRule="auto"/>
              <w:jc w:val="both"/>
              <w:rPr>
                <w:bCs/>
                <w:color w:val="000000"/>
                <w:sz w:val="24"/>
                <w:szCs w:val="24"/>
              </w:rPr>
            </w:pPr>
            <w:r w:rsidRPr="000253DD">
              <w:rPr>
                <w:bCs/>
                <w:color w:val="000000"/>
                <w:sz w:val="24"/>
                <w:szCs w:val="24"/>
              </w:rPr>
              <w:t>Variable</w:t>
            </w:r>
          </w:p>
        </w:tc>
        <w:tc>
          <w:tcPr>
            <w:tcW w:w="1558" w:type="dxa"/>
            <w:tcBorders>
              <w:top w:val="single" w:sz="4" w:space="0" w:color="auto"/>
              <w:left w:val="nil"/>
              <w:bottom w:val="single" w:sz="4" w:space="0" w:color="auto"/>
              <w:right w:val="nil"/>
            </w:tcBorders>
            <w:vAlign w:val="center"/>
          </w:tcPr>
          <w:p w14:paraId="480D7667" w14:textId="77777777" w:rsidR="001A10DB" w:rsidRPr="000253DD" w:rsidRDefault="001A10DB" w:rsidP="007F47B2">
            <w:pPr>
              <w:spacing w:line="360" w:lineRule="auto"/>
              <w:jc w:val="both"/>
              <w:rPr>
                <w:bCs/>
                <w:color w:val="000000"/>
                <w:sz w:val="24"/>
                <w:szCs w:val="24"/>
              </w:rPr>
            </w:pPr>
            <w:r w:rsidRPr="000253DD">
              <w:rPr>
                <w:bCs/>
                <w:color w:val="000000"/>
                <w:sz w:val="24"/>
                <w:szCs w:val="24"/>
              </w:rPr>
              <w:t>R (Pearson)</w:t>
            </w:r>
          </w:p>
        </w:tc>
        <w:tc>
          <w:tcPr>
            <w:tcW w:w="1558" w:type="dxa"/>
            <w:tcBorders>
              <w:top w:val="single" w:sz="4" w:space="0" w:color="auto"/>
              <w:left w:val="nil"/>
              <w:bottom w:val="single" w:sz="4" w:space="0" w:color="auto"/>
              <w:right w:val="nil"/>
            </w:tcBorders>
            <w:vAlign w:val="center"/>
          </w:tcPr>
          <w:p w14:paraId="47843B0A" w14:textId="77777777" w:rsidR="001A10DB" w:rsidRPr="000253DD" w:rsidRDefault="001A10DB" w:rsidP="007F47B2">
            <w:pPr>
              <w:spacing w:line="360" w:lineRule="auto"/>
              <w:jc w:val="both"/>
              <w:rPr>
                <w:bCs/>
                <w:color w:val="000000"/>
                <w:sz w:val="24"/>
                <w:szCs w:val="24"/>
              </w:rPr>
            </w:pPr>
            <w:proofErr w:type="spellStart"/>
            <w:r w:rsidRPr="000253DD">
              <w:rPr>
                <w:bCs/>
                <w:color w:val="000000"/>
                <w:sz w:val="24"/>
                <w:szCs w:val="24"/>
              </w:rPr>
              <w:t>gl</w:t>
            </w:r>
            <w:proofErr w:type="spellEnd"/>
          </w:p>
        </w:tc>
        <w:tc>
          <w:tcPr>
            <w:tcW w:w="1558" w:type="dxa"/>
            <w:tcBorders>
              <w:top w:val="single" w:sz="4" w:space="0" w:color="auto"/>
              <w:left w:val="nil"/>
              <w:bottom w:val="single" w:sz="4" w:space="0" w:color="auto"/>
              <w:right w:val="nil"/>
            </w:tcBorders>
            <w:vAlign w:val="center"/>
          </w:tcPr>
          <w:p w14:paraId="36D9BE82" w14:textId="77777777" w:rsidR="001A10DB" w:rsidRPr="000253DD" w:rsidRDefault="001A10DB" w:rsidP="007F47B2">
            <w:pPr>
              <w:spacing w:line="360" w:lineRule="auto"/>
              <w:jc w:val="both"/>
              <w:rPr>
                <w:bCs/>
                <w:color w:val="000000"/>
                <w:sz w:val="24"/>
                <w:szCs w:val="24"/>
              </w:rPr>
            </w:pPr>
            <w:r w:rsidRPr="000253DD">
              <w:rPr>
                <w:bCs/>
                <w:color w:val="000000"/>
                <w:sz w:val="24"/>
                <w:szCs w:val="24"/>
              </w:rPr>
              <w:t>p</w:t>
            </w:r>
          </w:p>
        </w:tc>
        <w:tc>
          <w:tcPr>
            <w:tcW w:w="1559" w:type="dxa"/>
            <w:tcBorders>
              <w:top w:val="single" w:sz="4" w:space="0" w:color="auto"/>
              <w:left w:val="nil"/>
              <w:bottom w:val="single" w:sz="4" w:space="0" w:color="auto"/>
              <w:right w:val="nil"/>
            </w:tcBorders>
            <w:vAlign w:val="center"/>
          </w:tcPr>
          <w:p w14:paraId="5A6E4CD4" w14:textId="77777777" w:rsidR="001A10DB" w:rsidRPr="000253DD" w:rsidRDefault="001A10DB" w:rsidP="007F47B2">
            <w:pPr>
              <w:spacing w:line="360" w:lineRule="auto"/>
              <w:jc w:val="both"/>
              <w:rPr>
                <w:bCs/>
                <w:color w:val="000000"/>
                <w:sz w:val="24"/>
                <w:szCs w:val="24"/>
              </w:rPr>
            </w:pPr>
            <w:r w:rsidRPr="000253DD">
              <w:rPr>
                <w:bCs/>
                <w:color w:val="000000"/>
                <w:sz w:val="24"/>
                <w:szCs w:val="24"/>
              </w:rPr>
              <w:t>IC 95% inferior</w:t>
            </w:r>
          </w:p>
        </w:tc>
        <w:tc>
          <w:tcPr>
            <w:tcW w:w="1559" w:type="dxa"/>
            <w:tcBorders>
              <w:top w:val="single" w:sz="4" w:space="0" w:color="auto"/>
              <w:left w:val="nil"/>
              <w:bottom w:val="single" w:sz="4" w:space="0" w:color="auto"/>
              <w:right w:val="nil"/>
            </w:tcBorders>
            <w:vAlign w:val="center"/>
          </w:tcPr>
          <w:p w14:paraId="5486456B" w14:textId="77777777" w:rsidR="001A10DB" w:rsidRPr="000253DD" w:rsidRDefault="001A10DB" w:rsidP="007F47B2">
            <w:pPr>
              <w:spacing w:line="360" w:lineRule="auto"/>
              <w:jc w:val="both"/>
              <w:rPr>
                <w:bCs/>
                <w:color w:val="000000"/>
                <w:sz w:val="24"/>
                <w:szCs w:val="24"/>
              </w:rPr>
            </w:pPr>
            <w:r w:rsidRPr="000253DD">
              <w:rPr>
                <w:bCs/>
                <w:color w:val="000000"/>
                <w:sz w:val="24"/>
                <w:szCs w:val="24"/>
              </w:rPr>
              <w:t>IC 95% superior</w:t>
            </w:r>
          </w:p>
        </w:tc>
      </w:tr>
      <w:tr w:rsidR="001A10DB" w:rsidRPr="000253DD" w14:paraId="3E6C21A6" w14:textId="77777777" w:rsidTr="00556659">
        <w:tc>
          <w:tcPr>
            <w:tcW w:w="1558" w:type="dxa"/>
            <w:tcBorders>
              <w:top w:val="single" w:sz="4" w:space="0" w:color="auto"/>
              <w:left w:val="nil"/>
              <w:bottom w:val="single" w:sz="4" w:space="0" w:color="auto"/>
              <w:right w:val="nil"/>
            </w:tcBorders>
            <w:vAlign w:val="center"/>
          </w:tcPr>
          <w:p w14:paraId="39D9C468" w14:textId="5562D29D" w:rsidR="001A10DB" w:rsidRPr="000253DD" w:rsidRDefault="001A10DB" w:rsidP="007F47B2">
            <w:pPr>
              <w:spacing w:line="360" w:lineRule="auto"/>
              <w:jc w:val="both"/>
              <w:rPr>
                <w:bCs/>
                <w:color w:val="000000"/>
                <w:sz w:val="24"/>
                <w:szCs w:val="24"/>
              </w:rPr>
            </w:pPr>
            <w:r>
              <w:rPr>
                <w:bCs/>
                <w:color w:val="000000"/>
                <w:sz w:val="24"/>
                <w:szCs w:val="24"/>
              </w:rPr>
              <w:t xml:space="preserve">Exposición a la violencia </w:t>
            </w:r>
            <w:r w:rsidRPr="000253DD">
              <w:rPr>
                <w:bCs/>
                <w:color w:val="000000"/>
                <w:sz w:val="24"/>
                <w:szCs w:val="24"/>
              </w:rPr>
              <w:t>– Ideación suicida</w:t>
            </w:r>
          </w:p>
        </w:tc>
        <w:tc>
          <w:tcPr>
            <w:tcW w:w="1558" w:type="dxa"/>
            <w:tcBorders>
              <w:top w:val="single" w:sz="4" w:space="0" w:color="auto"/>
              <w:left w:val="nil"/>
              <w:bottom w:val="single" w:sz="4" w:space="0" w:color="auto"/>
              <w:right w:val="nil"/>
            </w:tcBorders>
            <w:vAlign w:val="center"/>
          </w:tcPr>
          <w:p w14:paraId="7250A677" w14:textId="3D99DCBE" w:rsidR="001A10DB" w:rsidRPr="000253DD" w:rsidRDefault="001A10DB" w:rsidP="007F47B2">
            <w:pPr>
              <w:spacing w:line="360" w:lineRule="auto"/>
              <w:jc w:val="both"/>
              <w:rPr>
                <w:bCs/>
                <w:color w:val="000000"/>
                <w:sz w:val="24"/>
                <w:szCs w:val="24"/>
              </w:rPr>
            </w:pPr>
            <w:r>
              <w:rPr>
                <w:bCs/>
                <w:color w:val="000000"/>
                <w:sz w:val="24"/>
                <w:szCs w:val="24"/>
              </w:rPr>
              <w:t>.412</w:t>
            </w:r>
          </w:p>
        </w:tc>
        <w:tc>
          <w:tcPr>
            <w:tcW w:w="1558" w:type="dxa"/>
            <w:tcBorders>
              <w:top w:val="single" w:sz="4" w:space="0" w:color="auto"/>
              <w:left w:val="nil"/>
              <w:bottom w:val="single" w:sz="4" w:space="0" w:color="auto"/>
              <w:right w:val="nil"/>
            </w:tcBorders>
            <w:vAlign w:val="center"/>
          </w:tcPr>
          <w:p w14:paraId="1B0F1786" w14:textId="77777777" w:rsidR="001A10DB" w:rsidRPr="000253DD" w:rsidRDefault="001A10DB" w:rsidP="007F47B2">
            <w:pPr>
              <w:spacing w:line="360" w:lineRule="auto"/>
              <w:jc w:val="both"/>
              <w:rPr>
                <w:bCs/>
                <w:color w:val="000000"/>
                <w:sz w:val="24"/>
                <w:szCs w:val="24"/>
              </w:rPr>
            </w:pPr>
            <w:r w:rsidRPr="000253DD">
              <w:rPr>
                <w:bCs/>
                <w:color w:val="000000"/>
                <w:sz w:val="24"/>
                <w:szCs w:val="24"/>
              </w:rPr>
              <w:t>372</w:t>
            </w:r>
          </w:p>
        </w:tc>
        <w:tc>
          <w:tcPr>
            <w:tcW w:w="1558" w:type="dxa"/>
            <w:tcBorders>
              <w:top w:val="single" w:sz="4" w:space="0" w:color="auto"/>
              <w:left w:val="nil"/>
              <w:bottom w:val="single" w:sz="4" w:space="0" w:color="auto"/>
              <w:right w:val="nil"/>
            </w:tcBorders>
            <w:vAlign w:val="center"/>
          </w:tcPr>
          <w:p w14:paraId="2D061F8F" w14:textId="77777777" w:rsidR="001A10DB" w:rsidRPr="000253DD" w:rsidRDefault="001A10DB" w:rsidP="007F47B2">
            <w:pPr>
              <w:spacing w:line="360" w:lineRule="auto"/>
              <w:jc w:val="both"/>
              <w:rPr>
                <w:bCs/>
                <w:color w:val="000000"/>
                <w:sz w:val="24"/>
                <w:szCs w:val="24"/>
              </w:rPr>
            </w:pPr>
            <w:r w:rsidRPr="008A2763">
              <w:rPr>
                <w:bCs/>
                <w:color w:val="000000"/>
                <w:sz w:val="24"/>
                <w:szCs w:val="24"/>
              </w:rPr>
              <w:t>&lt;</w:t>
            </w:r>
            <w:r>
              <w:rPr>
                <w:bCs/>
                <w:color w:val="000000"/>
                <w:sz w:val="24"/>
                <w:szCs w:val="24"/>
              </w:rPr>
              <w:t>.001</w:t>
            </w:r>
          </w:p>
        </w:tc>
        <w:tc>
          <w:tcPr>
            <w:tcW w:w="1559" w:type="dxa"/>
            <w:tcBorders>
              <w:top w:val="single" w:sz="4" w:space="0" w:color="auto"/>
              <w:left w:val="nil"/>
              <w:bottom w:val="single" w:sz="4" w:space="0" w:color="auto"/>
              <w:right w:val="nil"/>
            </w:tcBorders>
            <w:vAlign w:val="center"/>
          </w:tcPr>
          <w:p w14:paraId="5EF58D69" w14:textId="1D005358" w:rsidR="001A10DB" w:rsidRPr="000253DD" w:rsidRDefault="001A10DB" w:rsidP="007F47B2">
            <w:pPr>
              <w:spacing w:line="360" w:lineRule="auto"/>
              <w:jc w:val="both"/>
              <w:rPr>
                <w:bCs/>
                <w:color w:val="000000"/>
                <w:sz w:val="24"/>
                <w:szCs w:val="24"/>
              </w:rPr>
            </w:pPr>
            <w:r w:rsidRPr="000253DD">
              <w:rPr>
                <w:bCs/>
                <w:color w:val="000000"/>
                <w:sz w:val="24"/>
                <w:szCs w:val="24"/>
              </w:rPr>
              <w:t>-.</w:t>
            </w:r>
            <w:r>
              <w:rPr>
                <w:bCs/>
                <w:color w:val="000000"/>
                <w:sz w:val="24"/>
                <w:szCs w:val="24"/>
              </w:rPr>
              <w:t>324</w:t>
            </w:r>
          </w:p>
        </w:tc>
        <w:tc>
          <w:tcPr>
            <w:tcW w:w="1559" w:type="dxa"/>
            <w:tcBorders>
              <w:top w:val="single" w:sz="4" w:space="0" w:color="auto"/>
              <w:left w:val="nil"/>
              <w:bottom w:val="single" w:sz="4" w:space="0" w:color="auto"/>
              <w:right w:val="nil"/>
            </w:tcBorders>
            <w:vAlign w:val="center"/>
          </w:tcPr>
          <w:p w14:paraId="0D3ED488" w14:textId="38919A4D" w:rsidR="001A10DB" w:rsidRPr="000253DD" w:rsidRDefault="001A10DB" w:rsidP="007F47B2">
            <w:pPr>
              <w:spacing w:line="360" w:lineRule="auto"/>
              <w:jc w:val="both"/>
              <w:rPr>
                <w:bCs/>
                <w:color w:val="000000"/>
                <w:sz w:val="24"/>
                <w:szCs w:val="24"/>
              </w:rPr>
            </w:pPr>
            <w:r>
              <w:rPr>
                <w:bCs/>
                <w:color w:val="000000"/>
                <w:sz w:val="24"/>
                <w:szCs w:val="24"/>
              </w:rPr>
              <w:t>.493</w:t>
            </w:r>
          </w:p>
        </w:tc>
      </w:tr>
    </w:tbl>
    <w:p w14:paraId="6F5EA944" w14:textId="77777777" w:rsidR="001A10DB" w:rsidRDefault="001A10DB" w:rsidP="007F47B2">
      <w:pPr>
        <w:pBdr>
          <w:top w:val="nil"/>
          <w:left w:val="nil"/>
          <w:bottom w:val="nil"/>
          <w:right w:val="nil"/>
          <w:between w:val="nil"/>
        </w:pBdr>
        <w:spacing w:after="160" w:line="360" w:lineRule="auto"/>
        <w:jc w:val="both"/>
        <w:rPr>
          <w:b/>
          <w:i/>
          <w:iCs/>
          <w:color w:val="000000"/>
        </w:rPr>
      </w:pPr>
    </w:p>
    <w:p w14:paraId="1F9A4855" w14:textId="24B92F77" w:rsidR="001A10DB" w:rsidRPr="001A10DB" w:rsidRDefault="001A10DB" w:rsidP="007F47B2">
      <w:pPr>
        <w:pBdr>
          <w:top w:val="nil"/>
          <w:left w:val="nil"/>
          <w:bottom w:val="nil"/>
          <w:right w:val="nil"/>
          <w:between w:val="nil"/>
        </w:pBdr>
        <w:spacing w:after="160" w:line="360" w:lineRule="auto"/>
        <w:jc w:val="both"/>
        <w:rPr>
          <w:b/>
          <w:i/>
          <w:iCs/>
          <w:color w:val="000000"/>
        </w:rPr>
      </w:pPr>
      <w:r w:rsidRPr="001A10DB">
        <w:rPr>
          <w:b/>
          <w:i/>
          <w:iCs/>
          <w:color w:val="000000"/>
        </w:rPr>
        <w:t xml:space="preserve">Objetivo </w:t>
      </w:r>
      <w:r>
        <w:rPr>
          <w:b/>
          <w:i/>
          <w:iCs/>
          <w:color w:val="000000"/>
        </w:rPr>
        <w:t>6</w:t>
      </w:r>
      <w:r w:rsidRPr="001A10DB">
        <w:rPr>
          <w:b/>
          <w:i/>
          <w:iCs/>
          <w:color w:val="000000"/>
        </w:rPr>
        <w:t xml:space="preserve">: Correlación entre </w:t>
      </w:r>
      <w:r w:rsidRPr="001A10DB">
        <w:rPr>
          <w:b/>
          <w:i/>
          <w:iCs/>
          <w:color w:val="000000"/>
        </w:rPr>
        <w:t>el funcionamiento familiar</w:t>
      </w:r>
      <w:r w:rsidRPr="001A10DB">
        <w:rPr>
          <w:b/>
          <w:i/>
          <w:iCs/>
          <w:color w:val="000000"/>
        </w:rPr>
        <w:t xml:space="preserve"> y la </w:t>
      </w:r>
      <w:r>
        <w:rPr>
          <w:b/>
          <w:i/>
          <w:iCs/>
          <w:color w:val="000000"/>
        </w:rPr>
        <w:t>exposición a la violencia</w:t>
      </w:r>
    </w:p>
    <w:p w14:paraId="7CD5B6B2" w14:textId="240534C4" w:rsidR="001A10DB" w:rsidRDefault="001A10DB" w:rsidP="007F47B2">
      <w:pPr>
        <w:pBdr>
          <w:top w:val="nil"/>
          <w:left w:val="nil"/>
          <w:bottom w:val="nil"/>
          <w:right w:val="nil"/>
          <w:between w:val="nil"/>
        </w:pBdr>
        <w:spacing w:after="160" w:line="360" w:lineRule="auto"/>
        <w:jc w:val="both"/>
        <w:rPr>
          <w:bCs/>
          <w:color w:val="000000"/>
        </w:rPr>
      </w:pPr>
      <w:r>
        <w:rPr>
          <w:bCs/>
          <w:color w:val="000000"/>
        </w:rPr>
        <w:t>Se halló una correlación negativa y significativa entre el funcionamiento familiar y la exposición a la violencia, lo que indica que adolescentes que perciben mejor funcionamiento familiar tienden a reportar menor exposición a contextos o contenidos violentos (Tabla 7).</w:t>
      </w:r>
    </w:p>
    <w:tbl>
      <w:tblPr>
        <w:tblStyle w:val="Tablaconcuadrcula"/>
        <w:tblW w:w="0" w:type="auto"/>
        <w:tblLook w:val="04A0" w:firstRow="1" w:lastRow="0" w:firstColumn="1" w:lastColumn="0" w:noHBand="0" w:noVBand="1"/>
      </w:tblPr>
      <w:tblGrid>
        <w:gridCol w:w="1776"/>
        <w:gridCol w:w="1532"/>
        <w:gridCol w:w="1497"/>
        <w:gridCol w:w="1509"/>
        <w:gridCol w:w="1521"/>
        <w:gridCol w:w="1525"/>
      </w:tblGrid>
      <w:tr w:rsidR="001A10DB" w:rsidRPr="000253DD" w14:paraId="734EE11D" w14:textId="77777777" w:rsidTr="00556659">
        <w:tc>
          <w:tcPr>
            <w:tcW w:w="9350" w:type="dxa"/>
            <w:gridSpan w:val="6"/>
            <w:tcBorders>
              <w:top w:val="nil"/>
              <w:left w:val="nil"/>
              <w:bottom w:val="nil"/>
              <w:right w:val="nil"/>
            </w:tcBorders>
          </w:tcPr>
          <w:p w14:paraId="2DCED85B" w14:textId="27BFB2E8" w:rsidR="001A10DB" w:rsidRPr="000253DD" w:rsidRDefault="001A10DB" w:rsidP="007F47B2">
            <w:pPr>
              <w:spacing w:line="360" w:lineRule="auto"/>
              <w:jc w:val="both"/>
              <w:rPr>
                <w:b/>
                <w:color w:val="000000"/>
                <w:sz w:val="24"/>
                <w:szCs w:val="24"/>
              </w:rPr>
            </w:pPr>
            <w:r w:rsidRPr="000253DD">
              <w:rPr>
                <w:b/>
                <w:color w:val="000000"/>
                <w:sz w:val="24"/>
                <w:szCs w:val="24"/>
              </w:rPr>
              <w:t xml:space="preserve">Tabla </w:t>
            </w:r>
            <w:r>
              <w:rPr>
                <w:b/>
                <w:color w:val="000000"/>
                <w:sz w:val="24"/>
                <w:szCs w:val="24"/>
              </w:rPr>
              <w:t>7</w:t>
            </w:r>
          </w:p>
        </w:tc>
      </w:tr>
      <w:tr w:rsidR="001A10DB" w:rsidRPr="000253DD" w14:paraId="269D707A" w14:textId="77777777" w:rsidTr="00556659">
        <w:tc>
          <w:tcPr>
            <w:tcW w:w="9350" w:type="dxa"/>
            <w:gridSpan w:val="6"/>
            <w:tcBorders>
              <w:top w:val="nil"/>
              <w:left w:val="nil"/>
              <w:bottom w:val="single" w:sz="4" w:space="0" w:color="auto"/>
              <w:right w:val="nil"/>
            </w:tcBorders>
          </w:tcPr>
          <w:p w14:paraId="341F0F5F" w14:textId="003F2702" w:rsidR="001A10DB" w:rsidRPr="000253DD" w:rsidRDefault="001A10DB" w:rsidP="007F47B2">
            <w:pPr>
              <w:spacing w:line="360" w:lineRule="auto"/>
              <w:jc w:val="both"/>
              <w:rPr>
                <w:bCs/>
                <w:i/>
                <w:iCs/>
                <w:color w:val="000000"/>
                <w:sz w:val="24"/>
                <w:szCs w:val="24"/>
              </w:rPr>
            </w:pPr>
            <w:r w:rsidRPr="000253DD">
              <w:rPr>
                <w:bCs/>
                <w:i/>
                <w:iCs/>
                <w:color w:val="000000"/>
                <w:sz w:val="24"/>
                <w:szCs w:val="24"/>
              </w:rPr>
              <w:t xml:space="preserve">Correlación entre </w:t>
            </w:r>
            <w:r>
              <w:rPr>
                <w:bCs/>
                <w:i/>
                <w:iCs/>
                <w:color w:val="000000"/>
                <w:sz w:val="24"/>
                <w:szCs w:val="24"/>
              </w:rPr>
              <w:t xml:space="preserve">el funcionamiento familiar </w:t>
            </w:r>
            <w:r>
              <w:rPr>
                <w:bCs/>
                <w:i/>
                <w:iCs/>
                <w:color w:val="000000"/>
                <w:sz w:val="24"/>
                <w:szCs w:val="24"/>
              </w:rPr>
              <w:t>y la</w:t>
            </w:r>
            <w:r>
              <w:rPr>
                <w:bCs/>
                <w:i/>
                <w:iCs/>
                <w:color w:val="000000"/>
                <w:sz w:val="24"/>
                <w:szCs w:val="24"/>
              </w:rPr>
              <w:t xml:space="preserve"> exposición a la violencia </w:t>
            </w:r>
          </w:p>
        </w:tc>
      </w:tr>
      <w:tr w:rsidR="001A10DB" w:rsidRPr="000253DD" w14:paraId="52504163" w14:textId="77777777" w:rsidTr="00556659">
        <w:trPr>
          <w:trHeight w:val="719"/>
        </w:trPr>
        <w:tc>
          <w:tcPr>
            <w:tcW w:w="1558" w:type="dxa"/>
            <w:tcBorders>
              <w:top w:val="single" w:sz="4" w:space="0" w:color="auto"/>
              <w:left w:val="nil"/>
              <w:bottom w:val="single" w:sz="4" w:space="0" w:color="auto"/>
              <w:right w:val="nil"/>
            </w:tcBorders>
            <w:vAlign w:val="center"/>
          </w:tcPr>
          <w:p w14:paraId="00F0BE4F" w14:textId="77777777" w:rsidR="001A10DB" w:rsidRPr="000253DD" w:rsidRDefault="001A10DB" w:rsidP="007F47B2">
            <w:pPr>
              <w:spacing w:line="360" w:lineRule="auto"/>
              <w:jc w:val="both"/>
              <w:rPr>
                <w:bCs/>
                <w:color w:val="000000"/>
                <w:sz w:val="24"/>
                <w:szCs w:val="24"/>
              </w:rPr>
            </w:pPr>
            <w:r w:rsidRPr="000253DD">
              <w:rPr>
                <w:bCs/>
                <w:color w:val="000000"/>
                <w:sz w:val="24"/>
                <w:szCs w:val="24"/>
              </w:rPr>
              <w:t>Variable</w:t>
            </w:r>
          </w:p>
        </w:tc>
        <w:tc>
          <w:tcPr>
            <w:tcW w:w="1558" w:type="dxa"/>
            <w:tcBorders>
              <w:top w:val="single" w:sz="4" w:space="0" w:color="auto"/>
              <w:left w:val="nil"/>
              <w:bottom w:val="single" w:sz="4" w:space="0" w:color="auto"/>
              <w:right w:val="nil"/>
            </w:tcBorders>
            <w:vAlign w:val="center"/>
          </w:tcPr>
          <w:p w14:paraId="2EC182D7" w14:textId="77777777" w:rsidR="001A10DB" w:rsidRPr="000253DD" w:rsidRDefault="001A10DB" w:rsidP="007F47B2">
            <w:pPr>
              <w:spacing w:line="360" w:lineRule="auto"/>
              <w:jc w:val="both"/>
              <w:rPr>
                <w:bCs/>
                <w:color w:val="000000"/>
                <w:sz w:val="24"/>
                <w:szCs w:val="24"/>
              </w:rPr>
            </w:pPr>
            <w:r w:rsidRPr="000253DD">
              <w:rPr>
                <w:bCs/>
                <w:color w:val="000000"/>
                <w:sz w:val="24"/>
                <w:szCs w:val="24"/>
              </w:rPr>
              <w:t>R (Pearson)</w:t>
            </w:r>
          </w:p>
        </w:tc>
        <w:tc>
          <w:tcPr>
            <w:tcW w:w="1558" w:type="dxa"/>
            <w:tcBorders>
              <w:top w:val="single" w:sz="4" w:space="0" w:color="auto"/>
              <w:left w:val="nil"/>
              <w:bottom w:val="single" w:sz="4" w:space="0" w:color="auto"/>
              <w:right w:val="nil"/>
            </w:tcBorders>
            <w:vAlign w:val="center"/>
          </w:tcPr>
          <w:p w14:paraId="50C5370A" w14:textId="44513C8B" w:rsidR="001A10DB" w:rsidRPr="000253DD" w:rsidRDefault="001A10DB" w:rsidP="007F47B2">
            <w:pPr>
              <w:spacing w:line="360" w:lineRule="auto"/>
              <w:jc w:val="both"/>
              <w:rPr>
                <w:bCs/>
                <w:color w:val="000000"/>
                <w:sz w:val="24"/>
                <w:szCs w:val="24"/>
              </w:rPr>
            </w:pPr>
            <w:proofErr w:type="spellStart"/>
            <w:r w:rsidRPr="000253DD">
              <w:rPr>
                <w:bCs/>
                <w:color w:val="000000"/>
                <w:sz w:val="24"/>
                <w:szCs w:val="24"/>
              </w:rPr>
              <w:t>G</w:t>
            </w:r>
            <w:r w:rsidRPr="000253DD">
              <w:rPr>
                <w:bCs/>
                <w:color w:val="000000"/>
                <w:sz w:val="24"/>
                <w:szCs w:val="24"/>
              </w:rPr>
              <w:t>l</w:t>
            </w:r>
            <w:proofErr w:type="spellEnd"/>
          </w:p>
        </w:tc>
        <w:tc>
          <w:tcPr>
            <w:tcW w:w="1558" w:type="dxa"/>
            <w:tcBorders>
              <w:top w:val="single" w:sz="4" w:space="0" w:color="auto"/>
              <w:left w:val="nil"/>
              <w:bottom w:val="single" w:sz="4" w:space="0" w:color="auto"/>
              <w:right w:val="nil"/>
            </w:tcBorders>
            <w:vAlign w:val="center"/>
          </w:tcPr>
          <w:p w14:paraId="38DD642C" w14:textId="77777777" w:rsidR="001A10DB" w:rsidRPr="000253DD" w:rsidRDefault="001A10DB" w:rsidP="007F47B2">
            <w:pPr>
              <w:spacing w:line="360" w:lineRule="auto"/>
              <w:jc w:val="both"/>
              <w:rPr>
                <w:bCs/>
                <w:color w:val="000000"/>
                <w:sz w:val="24"/>
                <w:szCs w:val="24"/>
              </w:rPr>
            </w:pPr>
            <w:r w:rsidRPr="000253DD">
              <w:rPr>
                <w:bCs/>
                <w:color w:val="000000"/>
                <w:sz w:val="24"/>
                <w:szCs w:val="24"/>
              </w:rPr>
              <w:t>p</w:t>
            </w:r>
          </w:p>
        </w:tc>
        <w:tc>
          <w:tcPr>
            <w:tcW w:w="1559" w:type="dxa"/>
            <w:tcBorders>
              <w:top w:val="single" w:sz="4" w:space="0" w:color="auto"/>
              <w:left w:val="nil"/>
              <w:bottom w:val="single" w:sz="4" w:space="0" w:color="auto"/>
              <w:right w:val="nil"/>
            </w:tcBorders>
            <w:vAlign w:val="center"/>
          </w:tcPr>
          <w:p w14:paraId="2058AC93" w14:textId="77777777" w:rsidR="001A10DB" w:rsidRPr="000253DD" w:rsidRDefault="001A10DB" w:rsidP="007F47B2">
            <w:pPr>
              <w:spacing w:line="360" w:lineRule="auto"/>
              <w:jc w:val="both"/>
              <w:rPr>
                <w:bCs/>
                <w:color w:val="000000"/>
                <w:sz w:val="24"/>
                <w:szCs w:val="24"/>
              </w:rPr>
            </w:pPr>
            <w:r w:rsidRPr="000253DD">
              <w:rPr>
                <w:bCs/>
                <w:color w:val="000000"/>
                <w:sz w:val="24"/>
                <w:szCs w:val="24"/>
              </w:rPr>
              <w:t>IC 95% inferior</w:t>
            </w:r>
          </w:p>
        </w:tc>
        <w:tc>
          <w:tcPr>
            <w:tcW w:w="1559" w:type="dxa"/>
            <w:tcBorders>
              <w:top w:val="single" w:sz="4" w:space="0" w:color="auto"/>
              <w:left w:val="nil"/>
              <w:bottom w:val="single" w:sz="4" w:space="0" w:color="auto"/>
              <w:right w:val="nil"/>
            </w:tcBorders>
            <w:vAlign w:val="center"/>
          </w:tcPr>
          <w:p w14:paraId="04E14CE9" w14:textId="77777777" w:rsidR="001A10DB" w:rsidRPr="000253DD" w:rsidRDefault="001A10DB" w:rsidP="007F47B2">
            <w:pPr>
              <w:spacing w:line="360" w:lineRule="auto"/>
              <w:jc w:val="both"/>
              <w:rPr>
                <w:bCs/>
                <w:color w:val="000000"/>
                <w:sz w:val="24"/>
                <w:szCs w:val="24"/>
              </w:rPr>
            </w:pPr>
            <w:r w:rsidRPr="000253DD">
              <w:rPr>
                <w:bCs/>
                <w:color w:val="000000"/>
                <w:sz w:val="24"/>
                <w:szCs w:val="24"/>
              </w:rPr>
              <w:t>IC 95% superior</w:t>
            </w:r>
          </w:p>
        </w:tc>
      </w:tr>
      <w:tr w:rsidR="001A10DB" w:rsidRPr="000253DD" w14:paraId="6473076E" w14:textId="77777777" w:rsidTr="00556659">
        <w:tc>
          <w:tcPr>
            <w:tcW w:w="1558" w:type="dxa"/>
            <w:tcBorders>
              <w:top w:val="single" w:sz="4" w:space="0" w:color="auto"/>
              <w:left w:val="nil"/>
              <w:bottom w:val="single" w:sz="4" w:space="0" w:color="auto"/>
              <w:right w:val="nil"/>
            </w:tcBorders>
            <w:vAlign w:val="center"/>
          </w:tcPr>
          <w:p w14:paraId="6BE95C63" w14:textId="46D82F98" w:rsidR="001A10DB" w:rsidRPr="000253DD" w:rsidRDefault="001A10DB" w:rsidP="007F47B2">
            <w:pPr>
              <w:spacing w:line="360" w:lineRule="auto"/>
              <w:jc w:val="both"/>
              <w:rPr>
                <w:bCs/>
                <w:color w:val="000000"/>
                <w:sz w:val="24"/>
                <w:szCs w:val="24"/>
              </w:rPr>
            </w:pPr>
            <w:r>
              <w:rPr>
                <w:bCs/>
                <w:color w:val="000000"/>
                <w:sz w:val="24"/>
                <w:szCs w:val="24"/>
              </w:rPr>
              <w:t xml:space="preserve">Funcionamiento familiar - </w:t>
            </w:r>
            <w:r>
              <w:rPr>
                <w:bCs/>
                <w:color w:val="000000"/>
                <w:sz w:val="24"/>
                <w:szCs w:val="24"/>
              </w:rPr>
              <w:t xml:space="preserve">Exposición a la violencia </w:t>
            </w:r>
          </w:p>
        </w:tc>
        <w:tc>
          <w:tcPr>
            <w:tcW w:w="1558" w:type="dxa"/>
            <w:tcBorders>
              <w:top w:val="single" w:sz="4" w:space="0" w:color="auto"/>
              <w:left w:val="nil"/>
              <w:bottom w:val="single" w:sz="4" w:space="0" w:color="auto"/>
              <w:right w:val="nil"/>
            </w:tcBorders>
            <w:vAlign w:val="center"/>
          </w:tcPr>
          <w:p w14:paraId="728A319B" w14:textId="25EC64BC" w:rsidR="001A10DB" w:rsidRPr="000253DD" w:rsidRDefault="001A10DB" w:rsidP="007F47B2">
            <w:pPr>
              <w:spacing w:line="360" w:lineRule="auto"/>
              <w:jc w:val="both"/>
              <w:rPr>
                <w:bCs/>
                <w:color w:val="000000"/>
                <w:sz w:val="24"/>
                <w:szCs w:val="24"/>
              </w:rPr>
            </w:pPr>
            <w:r>
              <w:rPr>
                <w:bCs/>
                <w:color w:val="000000"/>
                <w:sz w:val="24"/>
                <w:szCs w:val="24"/>
              </w:rPr>
              <w:t>-.289</w:t>
            </w:r>
          </w:p>
        </w:tc>
        <w:tc>
          <w:tcPr>
            <w:tcW w:w="1558" w:type="dxa"/>
            <w:tcBorders>
              <w:top w:val="single" w:sz="4" w:space="0" w:color="auto"/>
              <w:left w:val="nil"/>
              <w:bottom w:val="single" w:sz="4" w:space="0" w:color="auto"/>
              <w:right w:val="nil"/>
            </w:tcBorders>
            <w:vAlign w:val="center"/>
          </w:tcPr>
          <w:p w14:paraId="3A9DFA06" w14:textId="77777777" w:rsidR="001A10DB" w:rsidRPr="000253DD" w:rsidRDefault="001A10DB" w:rsidP="007F47B2">
            <w:pPr>
              <w:spacing w:line="360" w:lineRule="auto"/>
              <w:jc w:val="both"/>
              <w:rPr>
                <w:bCs/>
                <w:color w:val="000000"/>
                <w:sz w:val="24"/>
                <w:szCs w:val="24"/>
              </w:rPr>
            </w:pPr>
            <w:r w:rsidRPr="000253DD">
              <w:rPr>
                <w:bCs/>
                <w:color w:val="000000"/>
                <w:sz w:val="24"/>
                <w:szCs w:val="24"/>
              </w:rPr>
              <w:t>372</w:t>
            </w:r>
          </w:p>
        </w:tc>
        <w:tc>
          <w:tcPr>
            <w:tcW w:w="1558" w:type="dxa"/>
            <w:tcBorders>
              <w:top w:val="single" w:sz="4" w:space="0" w:color="auto"/>
              <w:left w:val="nil"/>
              <w:bottom w:val="single" w:sz="4" w:space="0" w:color="auto"/>
              <w:right w:val="nil"/>
            </w:tcBorders>
            <w:vAlign w:val="center"/>
          </w:tcPr>
          <w:p w14:paraId="598D959D" w14:textId="77777777" w:rsidR="001A10DB" w:rsidRPr="000253DD" w:rsidRDefault="001A10DB" w:rsidP="007F47B2">
            <w:pPr>
              <w:spacing w:line="360" w:lineRule="auto"/>
              <w:jc w:val="both"/>
              <w:rPr>
                <w:bCs/>
                <w:color w:val="000000"/>
                <w:sz w:val="24"/>
                <w:szCs w:val="24"/>
              </w:rPr>
            </w:pPr>
            <w:r w:rsidRPr="008A2763">
              <w:rPr>
                <w:bCs/>
                <w:color w:val="000000"/>
                <w:sz w:val="24"/>
                <w:szCs w:val="24"/>
              </w:rPr>
              <w:t>&lt;</w:t>
            </w:r>
            <w:r>
              <w:rPr>
                <w:bCs/>
                <w:color w:val="000000"/>
                <w:sz w:val="24"/>
                <w:szCs w:val="24"/>
              </w:rPr>
              <w:t>.001</w:t>
            </w:r>
          </w:p>
        </w:tc>
        <w:tc>
          <w:tcPr>
            <w:tcW w:w="1559" w:type="dxa"/>
            <w:tcBorders>
              <w:top w:val="single" w:sz="4" w:space="0" w:color="auto"/>
              <w:left w:val="nil"/>
              <w:bottom w:val="single" w:sz="4" w:space="0" w:color="auto"/>
              <w:right w:val="nil"/>
            </w:tcBorders>
            <w:vAlign w:val="center"/>
          </w:tcPr>
          <w:p w14:paraId="27B19548" w14:textId="79D2E34C" w:rsidR="001A10DB" w:rsidRPr="000253DD" w:rsidRDefault="001A10DB" w:rsidP="007F47B2">
            <w:pPr>
              <w:spacing w:line="360" w:lineRule="auto"/>
              <w:jc w:val="both"/>
              <w:rPr>
                <w:bCs/>
                <w:color w:val="000000"/>
                <w:sz w:val="24"/>
                <w:szCs w:val="24"/>
              </w:rPr>
            </w:pPr>
            <w:r w:rsidRPr="000253DD">
              <w:rPr>
                <w:bCs/>
                <w:color w:val="000000"/>
                <w:sz w:val="24"/>
                <w:szCs w:val="24"/>
              </w:rPr>
              <w:t>-.</w:t>
            </w:r>
            <w:r>
              <w:rPr>
                <w:bCs/>
                <w:color w:val="000000"/>
                <w:sz w:val="24"/>
                <w:szCs w:val="24"/>
              </w:rPr>
              <w:t>3</w:t>
            </w:r>
            <w:r>
              <w:rPr>
                <w:bCs/>
                <w:color w:val="000000"/>
                <w:sz w:val="24"/>
                <w:szCs w:val="24"/>
              </w:rPr>
              <w:t>79</w:t>
            </w:r>
          </w:p>
        </w:tc>
        <w:tc>
          <w:tcPr>
            <w:tcW w:w="1559" w:type="dxa"/>
            <w:tcBorders>
              <w:top w:val="single" w:sz="4" w:space="0" w:color="auto"/>
              <w:left w:val="nil"/>
              <w:bottom w:val="single" w:sz="4" w:space="0" w:color="auto"/>
              <w:right w:val="nil"/>
            </w:tcBorders>
            <w:vAlign w:val="center"/>
          </w:tcPr>
          <w:p w14:paraId="62B8BE8D" w14:textId="1A5D66B4" w:rsidR="001A10DB" w:rsidRPr="000253DD" w:rsidRDefault="001A10DB" w:rsidP="007F47B2">
            <w:pPr>
              <w:spacing w:line="360" w:lineRule="auto"/>
              <w:jc w:val="both"/>
              <w:rPr>
                <w:bCs/>
                <w:color w:val="000000"/>
                <w:sz w:val="24"/>
                <w:szCs w:val="24"/>
              </w:rPr>
            </w:pPr>
            <w:r>
              <w:rPr>
                <w:bCs/>
                <w:color w:val="000000"/>
                <w:sz w:val="24"/>
                <w:szCs w:val="24"/>
              </w:rPr>
              <w:t>-.193</w:t>
            </w:r>
          </w:p>
        </w:tc>
      </w:tr>
    </w:tbl>
    <w:p w14:paraId="3EB1CC15" w14:textId="77777777" w:rsidR="001A10DB" w:rsidRPr="005875CA" w:rsidRDefault="001A10DB" w:rsidP="007F47B2">
      <w:pPr>
        <w:pBdr>
          <w:top w:val="nil"/>
          <w:left w:val="nil"/>
          <w:bottom w:val="nil"/>
          <w:right w:val="nil"/>
          <w:between w:val="nil"/>
        </w:pBdr>
        <w:spacing w:after="160" w:line="360" w:lineRule="auto"/>
        <w:jc w:val="both"/>
        <w:rPr>
          <w:bCs/>
          <w:color w:val="000000"/>
        </w:rPr>
      </w:pPr>
    </w:p>
    <w:p w14:paraId="60CB0FA2" w14:textId="01AD1B31" w:rsidR="00017F59" w:rsidRDefault="001A10DB" w:rsidP="007F47B2">
      <w:pPr>
        <w:pBdr>
          <w:top w:val="nil"/>
          <w:left w:val="nil"/>
          <w:bottom w:val="nil"/>
          <w:right w:val="nil"/>
          <w:between w:val="nil"/>
        </w:pBdr>
        <w:spacing w:after="160" w:line="360" w:lineRule="auto"/>
        <w:jc w:val="center"/>
        <w:rPr>
          <w:b/>
          <w:color w:val="000000"/>
        </w:rPr>
      </w:pPr>
      <w:r>
        <w:rPr>
          <w:b/>
          <w:color w:val="000000"/>
        </w:rPr>
        <w:t>Discusión</w:t>
      </w:r>
    </w:p>
    <w:p w14:paraId="662B1769" w14:textId="77777777" w:rsidR="007F47B2" w:rsidRP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 xml:space="preserve">El presente estudio tuvo como objetivo general determinar la correlación entre el funcionamiento familiar, la exposición a la violencia y la ideación suicida en adolescentes de instituciones educativas estatales del distrito de Ventanilla en el año 2025. Los resultados obtenidos confirmaron las hipótesis planteadas: se encontró una correlación negativa y significativa entre el funcionamiento familiar y la ideación suicida, así como entre el funcionamiento familiar y la exposición a la violencia; además, se halló una correlación positiva </w:t>
      </w:r>
      <w:r w:rsidRPr="007F47B2">
        <w:rPr>
          <w:color w:val="000000"/>
        </w:rPr>
        <w:lastRenderedPageBreak/>
        <w:t>entre la exposición a la violencia y la ideación suicida. Estos hallazgos refuerzan la premisa de que los factores contextuales inmediatos, como la familia y el ambiente social, desempeñan un papel central en el bienestar emocional del adolescente.</w:t>
      </w:r>
    </w:p>
    <w:p w14:paraId="63BF2280" w14:textId="77777777" w:rsidR="007F47B2" w:rsidRPr="007F47B2" w:rsidRDefault="007F47B2" w:rsidP="007F47B2">
      <w:pPr>
        <w:pBdr>
          <w:top w:val="nil"/>
          <w:left w:val="nil"/>
          <w:bottom w:val="nil"/>
          <w:right w:val="nil"/>
          <w:between w:val="nil"/>
        </w:pBdr>
        <w:spacing w:after="160" w:line="360" w:lineRule="auto"/>
        <w:rPr>
          <w:b/>
          <w:bCs/>
          <w:i/>
          <w:iCs/>
          <w:color w:val="000000"/>
        </w:rPr>
      </w:pPr>
      <w:r w:rsidRPr="007F47B2">
        <w:rPr>
          <w:b/>
          <w:bCs/>
          <w:i/>
          <w:iCs/>
          <w:color w:val="000000"/>
        </w:rPr>
        <w:t>Revisión de las hipótesis y hallazgos</w:t>
      </w:r>
    </w:p>
    <w:p w14:paraId="064E64C9" w14:textId="77777777" w:rsidR="007F47B2" w:rsidRP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La primera hipótesis planteaba que un funcionamiento familiar deficiente estaría asociado a un incremento en la ideación suicida. Los resultados respaldaron esta afirmación, mostrando una correlación significativa entre ambas variables. De manera similar, la segunda hipótesis, que proponía la relación negativa entre funcionamiento familiar y exposición a la violencia, también fue confirmada. En cuanto a la tercera hipótesis, referida a la relación positiva entre exposición a la violencia e ideación suicida, los datos empíricos también la apoyaron, sugiriendo que la exposición a contextos violentos constituye un factor de riesgo relevante para la salud mental de los adolescentes.</w:t>
      </w:r>
    </w:p>
    <w:p w14:paraId="42889B56" w14:textId="77777777" w:rsidR="007F47B2" w:rsidRPr="007F47B2" w:rsidRDefault="007F47B2" w:rsidP="007F47B2">
      <w:pPr>
        <w:pBdr>
          <w:top w:val="nil"/>
          <w:left w:val="nil"/>
          <w:bottom w:val="nil"/>
          <w:right w:val="nil"/>
          <w:between w:val="nil"/>
        </w:pBdr>
        <w:spacing w:after="160" w:line="360" w:lineRule="auto"/>
        <w:jc w:val="both"/>
        <w:rPr>
          <w:b/>
          <w:bCs/>
          <w:i/>
          <w:iCs/>
          <w:color w:val="000000"/>
        </w:rPr>
      </w:pPr>
      <w:r w:rsidRPr="007F47B2">
        <w:rPr>
          <w:b/>
          <w:bCs/>
          <w:i/>
          <w:iCs/>
          <w:color w:val="000000"/>
        </w:rPr>
        <w:t>Comparación con estudios previos</w:t>
      </w:r>
    </w:p>
    <w:p w14:paraId="4FC060B7" w14:textId="77777777" w:rsid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Los hallazgos coinciden con estudios previos que han evidenciado la relevancia del entorno familiar y social en la emergencia de la ideación suicida. Huamani (2022) y Torres-Mullo y Barzallo-Núñez (2024) reportan que la disfunción familiar se relaciona significativamente con mayores niveles de ideación suicida en adolescentes, lo cual se observa también en la presente investigación. Rueda y Suárez (2022), por su parte, destacan la asociación entre la violencia y la ideación suicida, reforzando la importancia de los contextos agresivos como factores de riesgo.</w:t>
      </w:r>
    </w:p>
    <w:p w14:paraId="567E65B5" w14:textId="5AE9A088" w:rsidR="007F47B2" w:rsidRP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No obstante, existen investigaciones que difieren de los resultados aquí obtenidos. Godínez et al. (2023) reportaron la ausencia de una relación significativa entre los distintos tipos de familia y la ideación suicida, mientras que Quispe-Prieto et al. (2025) tampoco hallaron asociación entre disfunción familiar e ideación suicida. Estas discrepancias podrían explicarse por diferencias en el diseño metodológico, el tamaño de muestra, los instrumentos empleados o incluso las características socioculturales de la población evaluada.</w:t>
      </w:r>
    </w:p>
    <w:p w14:paraId="7B59674D" w14:textId="77777777" w:rsidR="007F47B2" w:rsidRPr="007F47B2" w:rsidRDefault="007F47B2" w:rsidP="007F47B2">
      <w:pPr>
        <w:pBdr>
          <w:top w:val="nil"/>
          <w:left w:val="nil"/>
          <w:bottom w:val="nil"/>
          <w:right w:val="nil"/>
          <w:between w:val="nil"/>
        </w:pBdr>
        <w:spacing w:after="160" w:line="360" w:lineRule="auto"/>
        <w:jc w:val="both"/>
        <w:rPr>
          <w:b/>
          <w:bCs/>
          <w:i/>
          <w:iCs/>
          <w:color w:val="000000"/>
        </w:rPr>
      </w:pPr>
      <w:r w:rsidRPr="007F47B2">
        <w:rPr>
          <w:b/>
          <w:bCs/>
          <w:i/>
          <w:iCs/>
          <w:color w:val="000000"/>
        </w:rPr>
        <w:t>Explicaciones teóricas</w:t>
      </w:r>
    </w:p>
    <w:p w14:paraId="4C713D2E" w14:textId="77777777" w:rsidR="007F47B2" w:rsidRP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Los resultados hallados pueden interpretarse desde distintos marcos teóricos. La Teoría Ecológica del Desarrollo Humano de Bronfenbrenner (1979) sostiene que el entorno inmediato —</w:t>
      </w:r>
      <w:r w:rsidRPr="007F47B2">
        <w:rPr>
          <w:color w:val="000000"/>
        </w:rPr>
        <w:lastRenderedPageBreak/>
        <w:t>particularmente la familia y la escuela— ejerce una influencia determinante sobre el desarrollo socioemocional del adolescente. Una familia disfuncional puede debilitar los recursos internos del menor, predisponiéndolo a mayores niveles de vulnerabilidad psicológica, mientras que la exposición a la violencia en contextos sociales refuerza patrones de inestabilidad emocional.</w:t>
      </w:r>
    </w:p>
    <w:p w14:paraId="7F4ED698" w14:textId="0DEF4667" w:rsidR="007F47B2" w:rsidRP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Asimismo, la Teoría del Aprendizaje Social de Bandura</w:t>
      </w:r>
      <w:r w:rsidR="00172819">
        <w:rPr>
          <w:color w:val="000000"/>
        </w:rPr>
        <w:t xml:space="preserve"> </w:t>
      </w:r>
      <w:r w:rsidRPr="007F47B2">
        <w:rPr>
          <w:color w:val="000000"/>
        </w:rPr>
        <w:t>permite comprender cómo la observación e imitación de conductas violentas, ya sea en la televisión, en la escuela o en el hogar, facilitan la interiorización de patrones agresivos que pueden generar malestar emocional y desesperanza.</w:t>
      </w:r>
    </w:p>
    <w:p w14:paraId="16B312C7" w14:textId="1E418C43" w:rsidR="007F47B2" w:rsidRP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 xml:space="preserve">Por otro lado, el Modelo Cognitivo del Suicidio de Beck et al. (1979) explica que los pensamientos suicidas surgen como consecuencia de distorsiones cognitivas, esquemas negativos y percepciones de un futuro sin salida. En este marco, la exposición a la violencia y la disfunción familiar actúan como factores desencadenantes y mantenedores de dichas cogniciones. Finalmente, el Modelo Cognitivo-Contextual de </w:t>
      </w:r>
      <w:proofErr w:type="spellStart"/>
      <w:r w:rsidRPr="007F47B2">
        <w:rPr>
          <w:color w:val="000000"/>
        </w:rPr>
        <w:t>Grych</w:t>
      </w:r>
      <w:proofErr w:type="spellEnd"/>
      <w:r w:rsidRPr="007F47B2">
        <w:rPr>
          <w:color w:val="000000"/>
        </w:rPr>
        <w:t xml:space="preserve"> y </w:t>
      </w:r>
      <w:proofErr w:type="spellStart"/>
      <w:r w:rsidRPr="007F47B2">
        <w:rPr>
          <w:color w:val="000000"/>
        </w:rPr>
        <w:t>Fincham</w:t>
      </w:r>
      <w:proofErr w:type="spellEnd"/>
      <w:r w:rsidRPr="007F47B2">
        <w:rPr>
          <w:color w:val="000000"/>
        </w:rPr>
        <w:t xml:space="preserve"> aporta que la interpretación que los adolescentes hacen de los conflictos y situaciones violentas condiciona su impacto en la esfera emocional: si los perciben como incontrolables o amenazantes, aumenta la probabilidad de desarrollar ideación suicida</w:t>
      </w:r>
      <w:r w:rsidR="00D7523E">
        <w:rPr>
          <w:color w:val="000000"/>
        </w:rPr>
        <w:t xml:space="preserve"> (</w:t>
      </w:r>
      <w:proofErr w:type="spellStart"/>
      <w:r w:rsidR="00D7523E">
        <w:rPr>
          <w:color w:val="000000"/>
        </w:rPr>
        <w:t>Iraurgi</w:t>
      </w:r>
      <w:proofErr w:type="spellEnd"/>
      <w:r w:rsidR="00D7523E">
        <w:rPr>
          <w:color w:val="000000"/>
        </w:rPr>
        <w:t xml:space="preserve"> et al., 2011).</w:t>
      </w:r>
    </w:p>
    <w:p w14:paraId="4148C731" w14:textId="77777777" w:rsidR="007F47B2" w:rsidRPr="007F47B2" w:rsidRDefault="007F47B2" w:rsidP="007F47B2">
      <w:pPr>
        <w:pBdr>
          <w:top w:val="nil"/>
          <w:left w:val="nil"/>
          <w:bottom w:val="nil"/>
          <w:right w:val="nil"/>
          <w:between w:val="nil"/>
        </w:pBdr>
        <w:spacing w:after="160" w:line="360" w:lineRule="auto"/>
        <w:jc w:val="both"/>
        <w:rPr>
          <w:b/>
          <w:bCs/>
          <w:i/>
          <w:iCs/>
          <w:color w:val="000000"/>
        </w:rPr>
      </w:pPr>
      <w:r w:rsidRPr="007F47B2">
        <w:rPr>
          <w:b/>
          <w:bCs/>
          <w:i/>
          <w:iCs/>
          <w:color w:val="000000"/>
        </w:rPr>
        <w:t>Discusión de los objetivos específicos</w:t>
      </w:r>
    </w:p>
    <w:p w14:paraId="661E3944" w14:textId="77777777" w:rsidR="007F47B2" w:rsidRP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Respecto al primer objetivo específico, se encontró una proporción elevada de adolescentes provenientes de familias disfuncionales. Este hallazgo es consistente con estudios como el de Quispe et al. (2025) y Espinoza et al. (2022), que evidencian porcentajes similares de adolescentes con baja funcionalidad familiar. Desde la Teoría Sistémica de la Familia de Minuchin (1974), estos resultados reflejan la presencia de sistemas familiares caracterizados por roles difusos, límites poco claros y escasa adaptabilidad, lo cual se traduce en una mayor vulnerabilidad para la salud mental de los hijos.</w:t>
      </w:r>
    </w:p>
    <w:p w14:paraId="66865E3B" w14:textId="77777777" w:rsidR="007F47B2" w:rsidRP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En cuanto al segundo objetivo, se observó que la exposición a la violencia se presenta con mayor frecuencia en el ámbito mediático, particularmente en la televisión. Este hallazgo refuerza la importancia de los medios como agentes socializadores y la necesidad de un consumo mediático crítico. López-</w:t>
      </w:r>
      <w:proofErr w:type="spellStart"/>
      <w:r w:rsidRPr="007F47B2">
        <w:rPr>
          <w:color w:val="000000"/>
        </w:rPr>
        <w:t>Mesia</w:t>
      </w:r>
      <w:proofErr w:type="spellEnd"/>
      <w:r w:rsidRPr="007F47B2">
        <w:rPr>
          <w:color w:val="000000"/>
        </w:rPr>
        <w:t xml:space="preserve"> et al. (2024) y Espinoza et al. (2022) coinciden en que la violencia escolar y mediática tienen un impacto directo sobre el bienestar de los adolescentes.</w:t>
      </w:r>
    </w:p>
    <w:p w14:paraId="4BD9E3B6" w14:textId="77777777" w:rsidR="007F47B2" w:rsidRPr="007F47B2" w:rsidRDefault="007F47B2" w:rsidP="007F47B2">
      <w:pPr>
        <w:pBdr>
          <w:top w:val="nil"/>
          <w:left w:val="nil"/>
          <w:bottom w:val="nil"/>
          <w:right w:val="nil"/>
          <w:between w:val="nil"/>
        </w:pBdr>
        <w:spacing w:after="160" w:line="360" w:lineRule="auto"/>
        <w:ind w:firstLine="708"/>
        <w:jc w:val="both"/>
        <w:rPr>
          <w:color w:val="000000"/>
        </w:rPr>
      </w:pPr>
    </w:p>
    <w:p w14:paraId="010194A3" w14:textId="77777777" w:rsidR="007F47B2" w:rsidRP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Con relación al tercer objetivo, los resultados mostraron que, aunque la mayoría de adolescentes presenta niveles bajos o nulos de ideación suicida, un 17% se encuentra en niveles moderados o altos. Este dato, aunque minoritario, resulta clínicamente relevante, ya que incluso niveles moderados de ideación pueden constituir un riesgo para el desarrollo de conductas suicidas en el futuro. En comparación, Huamani (2022) reportó un predominio de niveles medios de ideación suicida, lo cual pone de manifiesto la variabilidad de los hallazgos según el contexto evaluado.</w:t>
      </w:r>
    </w:p>
    <w:p w14:paraId="5BCB21A0" w14:textId="77777777" w:rsidR="007F47B2" w:rsidRP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Los análisis relacionados con el cuarto y quinto objetivo específico confirmaron la relación significativa entre la disfunción familiar y la ideación suicida, así como entre la exposición a la violencia y la ideación suicida. Estos resultados refuerzan la idea de que los adolescentes no solo son vulnerables a factores internos, sino que la calidad de su entorno familiar y social desempeña un papel decisivo en su bienestar emocional.</w:t>
      </w:r>
    </w:p>
    <w:p w14:paraId="1BBC4778" w14:textId="77777777" w:rsidR="007F47B2" w:rsidRP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Finalmente, en relación con el sexto objetivo, los datos evidenciaron la asociación entre disfunción familiar y exposición a la violencia. La Teoría del Aprendizaje Social de Bandura aporta una explicación para este hallazgo: la normalización de la violencia en el entorno familiar puede favorecer su reproducción en otros escenarios, como la escuela o la comunidad.</w:t>
      </w:r>
    </w:p>
    <w:p w14:paraId="42CCDD74" w14:textId="77777777" w:rsidR="007F47B2" w:rsidRPr="007F47B2" w:rsidRDefault="007F47B2" w:rsidP="007F47B2">
      <w:pPr>
        <w:pBdr>
          <w:top w:val="nil"/>
          <w:left w:val="nil"/>
          <w:bottom w:val="nil"/>
          <w:right w:val="nil"/>
          <w:between w:val="nil"/>
        </w:pBdr>
        <w:spacing w:after="160" w:line="360" w:lineRule="auto"/>
        <w:jc w:val="both"/>
        <w:rPr>
          <w:b/>
          <w:bCs/>
          <w:i/>
          <w:iCs/>
          <w:color w:val="000000"/>
        </w:rPr>
      </w:pPr>
      <w:r w:rsidRPr="007F47B2">
        <w:rPr>
          <w:b/>
          <w:bCs/>
          <w:i/>
          <w:iCs/>
          <w:color w:val="000000"/>
        </w:rPr>
        <w:t>Validez, limitaciones y futuras investigaciones</w:t>
      </w:r>
    </w:p>
    <w:p w14:paraId="785418BA" w14:textId="29080234" w:rsid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A pesar de los aportes del presente estudio, es necesario reconocer ciertas limitaciones. En primer lugar, la muestra se restringió a adolescentes escolarizados de instituciones estatales del distrito de Ventanilla, lo cual limita la generalización de los hallazgos a otros contextos socioculturales. En segundo lugar, los datos fueron obtenidos mediante cuestionarios autoadministrados, lo que puede introducir sesgos de deseabilidad social o de comprensión de ítems. Además, no se consideraron variables adicionales como antecedentes de salud mental, apoyo social o nivel socioeconómico, que podrían tener un papel modulador en la relación entre las variables estudiadas.</w:t>
      </w:r>
    </w:p>
    <w:p w14:paraId="003B8B82" w14:textId="067A9DE5" w:rsid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En investigaciones futuras sería pertinente incorporar muestras más heterogéneas, utilizar metodologías mixtas (cuantitativas y cualitativas) y ampliar el análisis a variables protectoras, como resiliencia o apoyo social, que podrían mitigar el riesgo de ideación suicida.</w:t>
      </w:r>
    </w:p>
    <w:p w14:paraId="7A268CD8" w14:textId="77777777" w:rsidR="007F47B2" w:rsidRPr="007F47B2" w:rsidRDefault="007F47B2" w:rsidP="007F47B2">
      <w:pPr>
        <w:pBdr>
          <w:top w:val="nil"/>
          <w:left w:val="nil"/>
          <w:bottom w:val="nil"/>
          <w:right w:val="nil"/>
          <w:between w:val="nil"/>
        </w:pBdr>
        <w:spacing w:after="160" w:line="360" w:lineRule="auto"/>
        <w:ind w:firstLine="708"/>
        <w:jc w:val="both"/>
        <w:rPr>
          <w:color w:val="000000"/>
        </w:rPr>
      </w:pPr>
    </w:p>
    <w:p w14:paraId="15A148DA" w14:textId="0D83705F" w:rsidR="007F47B2" w:rsidRPr="007F47B2" w:rsidRDefault="007F47B2" w:rsidP="007F47B2">
      <w:pPr>
        <w:pBdr>
          <w:top w:val="nil"/>
          <w:left w:val="nil"/>
          <w:bottom w:val="nil"/>
          <w:right w:val="nil"/>
          <w:between w:val="nil"/>
        </w:pBdr>
        <w:spacing w:after="160" w:line="360" w:lineRule="auto"/>
        <w:jc w:val="both"/>
        <w:rPr>
          <w:b/>
          <w:bCs/>
          <w:i/>
          <w:iCs/>
          <w:color w:val="000000"/>
        </w:rPr>
      </w:pPr>
      <w:r w:rsidRPr="007F47B2">
        <w:rPr>
          <w:b/>
          <w:bCs/>
          <w:i/>
          <w:iCs/>
          <w:color w:val="000000"/>
        </w:rPr>
        <w:t>Contribuciones e implicancias prácticas</w:t>
      </w:r>
    </w:p>
    <w:p w14:paraId="6774939F" w14:textId="33F633A1" w:rsidR="007F47B2" w:rsidRPr="007F47B2"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Los resultados de este estudio contribuyen al conocimiento científico al demostrar empíricamente que el funcionamiento familiar saludable constituye un factor protector frente a la ideación suicida y la exposición a contextos violentos. De igual forma, la investigación subraya la necesidad de adoptar un enfoque integral y ecológico en las estrategias de prevención del suicidio adolescente.</w:t>
      </w:r>
    </w:p>
    <w:p w14:paraId="2163DB9C" w14:textId="7A32E4E0" w:rsidR="00017F59" w:rsidRDefault="007F47B2" w:rsidP="007F47B2">
      <w:pPr>
        <w:pBdr>
          <w:top w:val="nil"/>
          <w:left w:val="nil"/>
          <w:bottom w:val="nil"/>
          <w:right w:val="nil"/>
          <w:between w:val="nil"/>
        </w:pBdr>
        <w:spacing w:after="160" w:line="360" w:lineRule="auto"/>
        <w:ind w:firstLine="708"/>
        <w:jc w:val="both"/>
        <w:rPr>
          <w:color w:val="000000"/>
        </w:rPr>
      </w:pPr>
      <w:r w:rsidRPr="007F47B2">
        <w:rPr>
          <w:color w:val="000000"/>
        </w:rPr>
        <w:t>En el ámbito práctico, los hallazgos evidencian la urgencia de implementar programas de fortalecimiento familiar en escuelas y comunidades, promover campañas de sensibilización sobre violencia y salud mental, y desarrollar protocolos de detección temprana para adolescentes en riesgo.</w:t>
      </w:r>
      <w:r w:rsidR="00000000">
        <w:br w:type="page"/>
      </w:r>
    </w:p>
    <w:p w14:paraId="0EECA8C5" w14:textId="09D8FC64" w:rsidR="00017F59" w:rsidRDefault="00F73B6B">
      <w:pPr>
        <w:pBdr>
          <w:top w:val="nil"/>
          <w:left w:val="nil"/>
          <w:bottom w:val="nil"/>
          <w:right w:val="nil"/>
          <w:between w:val="nil"/>
        </w:pBdr>
        <w:jc w:val="center"/>
        <w:rPr>
          <w:b/>
          <w:color w:val="000000"/>
        </w:rPr>
      </w:pPr>
      <w:r>
        <w:rPr>
          <w:b/>
          <w:color w:val="000000"/>
        </w:rPr>
        <w:lastRenderedPageBreak/>
        <w:t>Referencias</w:t>
      </w:r>
    </w:p>
    <w:p w14:paraId="456FD37B" w14:textId="77777777" w:rsidR="00D7523E" w:rsidRPr="00D7523E" w:rsidRDefault="00D7523E" w:rsidP="00D7523E">
      <w:pPr>
        <w:spacing w:line="360" w:lineRule="auto"/>
        <w:ind w:left="709" w:hanging="709"/>
        <w:jc w:val="both"/>
        <w:rPr>
          <w:rFonts w:cs="Arial"/>
          <w:color w:val="000000" w:themeColor="text1"/>
        </w:rPr>
      </w:pPr>
      <w:r w:rsidRPr="00D7523E">
        <w:rPr>
          <w:rStyle w:val="Hipervnculo"/>
          <w:rFonts w:cs="Arial"/>
          <w:color w:val="000000" w:themeColor="text1"/>
          <w:u w:val="none"/>
        </w:rPr>
        <w:t xml:space="preserve">Alfaro-Ticona, M., &amp; Centella-Centeno, D. M. (2021) Sintomatología depresiva y el funcionamiento familiar con ideación suicida en estudiantes de una institución educativa estatal de Tacna. </w:t>
      </w:r>
      <w:r w:rsidRPr="00D7523E">
        <w:rPr>
          <w:rStyle w:val="Hipervnculo"/>
          <w:rFonts w:cs="Arial"/>
          <w:i/>
          <w:iCs/>
          <w:color w:val="000000" w:themeColor="text1"/>
          <w:u w:val="none"/>
        </w:rPr>
        <w:t>Investigación e innovación, 1</w:t>
      </w:r>
      <w:r w:rsidRPr="00D7523E">
        <w:rPr>
          <w:rStyle w:val="Hipervnculo"/>
          <w:rFonts w:cs="Arial"/>
          <w:color w:val="000000" w:themeColor="text1"/>
          <w:u w:val="none"/>
        </w:rPr>
        <w:t xml:space="preserve">(2), 150-157. </w:t>
      </w:r>
      <w:hyperlink r:id="rId9" w:history="1">
        <w:r w:rsidRPr="00D7523E">
          <w:rPr>
            <w:rStyle w:val="Hipervnculo"/>
            <w:rFonts w:cs="Arial"/>
          </w:rPr>
          <w:t>https://doi.org/10.33326/27905543.2021.2.1232</w:t>
        </w:r>
      </w:hyperlink>
      <w:r w:rsidRPr="00D7523E">
        <w:rPr>
          <w:rFonts w:cs="Arial"/>
          <w:color w:val="000000" w:themeColor="text1"/>
        </w:rPr>
        <w:t xml:space="preserve"> </w:t>
      </w:r>
    </w:p>
    <w:p w14:paraId="6E10F537" w14:textId="77777777" w:rsidR="00D7523E" w:rsidRPr="00D7523E" w:rsidRDefault="00D7523E" w:rsidP="00D7523E">
      <w:pPr>
        <w:spacing w:line="360" w:lineRule="auto"/>
        <w:ind w:left="709" w:hanging="709"/>
        <w:jc w:val="both"/>
        <w:rPr>
          <w:rFonts w:cs="Arial"/>
          <w:color w:val="0563C1" w:themeColor="hyperlink"/>
          <w:u w:val="single"/>
        </w:rPr>
      </w:pPr>
      <w:proofErr w:type="spellStart"/>
      <w:r w:rsidRPr="00D7523E">
        <w:rPr>
          <w:rFonts w:cs="Arial"/>
        </w:rPr>
        <w:t>Angelakis</w:t>
      </w:r>
      <w:proofErr w:type="spellEnd"/>
      <w:r w:rsidRPr="00D7523E">
        <w:rPr>
          <w:rFonts w:cs="Arial"/>
        </w:rPr>
        <w:t xml:space="preserve"> I., Austin, J. L., &amp; </w:t>
      </w:r>
      <w:proofErr w:type="spellStart"/>
      <w:r w:rsidRPr="00D7523E">
        <w:rPr>
          <w:rFonts w:cs="Arial"/>
        </w:rPr>
        <w:t>Gooding</w:t>
      </w:r>
      <w:proofErr w:type="spellEnd"/>
      <w:r w:rsidRPr="00D7523E">
        <w:rPr>
          <w:rFonts w:cs="Arial"/>
        </w:rPr>
        <w:t xml:space="preserve">, P. (2020). </w:t>
      </w:r>
      <w:proofErr w:type="spellStart"/>
      <w:r w:rsidRPr="00D7523E">
        <w:rPr>
          <w:rFonts w:cs="Arial"/>
        </w:rPr>
        <w:t>Association</w:t>
      </w:r>
      <w:proofErr w:type="spellEnd"/>
      <w:r w:rsidRPr="00D7523E">
        <w:rPr>
          <w:rFonts w:cs="Arial"/>
        </w:rPr>
        <w:t xml:space="preserve"> </w:t>
      </w:r>
      <w:proofErr w:type="spellStart"/>
      <w:r w:rsidRPr="00D7523E">
        <w:rPr>
          <w:rFonts w:cs="Arial"/>
        </w:rPr>
        <w:t>of</w:t>
      </w:r>
      <w:proofErr w:type="spellEnd"/>
      <w:r w:rsidRPr="00D7523E">
        <w:rPr>
          <w:rFonts w:cs="Arial"/>
        </w:rPr>
        <w:t xml:space="preserve"> </w:t>
      </w:r>
      <w:proofErr w:type="spellStart"/>
      <w:r w:rsidRPr="00D7523E">
        <w:rPr>
          <w:rFonts w:cs="Arial"/>
        </w:rPr>
        <w:t>childhood</w:t>
      </w:r>
      <w:proofErr w:type="spellEnd"/>
      <w:r w:rsidRPr="00D7523E">
        <w:rPr>
          <w:rFonts w:cs="Arial"/>
        </w:rPr>
        <w:t xml:space="preserve"> </w:t>
      </w:r>
      <w:proofErr w:type="spellStart"/>
      <w:r w:rsidRPr="00D7523E">
        <w:rPr>
          <w:rFonts w:cs="Arial"/>
        </w:rPr>
        <w:t>maltreatment</w:t>
      </w:r>
      <w:proofErr w:type="spellEnd"/>
      <w:r w:rsidRPr="00D7523E">
        <w:rPr>
          <w:rFonts w:cs="Arial"/>
        </w:rPr>
        <w:t xml:space="preserve"> </w:t>
      </w:r>
      <w:proofErr w:type="spellStart"/>
      <w:r w:rsidRPr="00D7523E">
        <w:rPr>
          <w:rFonts w:cs="Arial"/>
        </w:rPr>
        <w:t>with</w:t>
      </w:r>
      <w:proofErr w:type="spellEnd"/>
      <w:r w:rsidRPr="00D7523E">
        <w:rPr>
          <w:rFonts w:cs="Arial"/>
        </w:rPr>
        <w:t xml:space="preserve"> suicide </w:t>
      </w:r>
      <w:proofErr w:type="spellStart"/>
      <w:r w:rsidRPr="00D7523E">
        <w:rPr>
          <w:rFonts w:cs="Arial"/>
        </w:rPr>
        <w:t>behaviors</w:t>
      </w:r>
      <w:proofErr w:type="spellEnd"/>
      <w:r w:rsidRPr="00D7523E">
        <w:rPr>
          <w:rFonts w:cs="Arial"/>
        </w:rPr>
        <w:t xml:space="preserve"> </w:t>
      </w:r>
      <w:proofErr w:type="spellStart"/>
      <w:r w:rsidRPr="00D7523E">
        <w:rPr>
          <w:rFonts w:cs="Arial"/>
        </w:rPr>
        <w:t>among</w:t>
      </w:r>
      <w:proofErr w:type="spellEnd"/>
      <w:r w:rsidRPr="00D7523E">
        <w:rPr>
          <w:rFonts w:cs="Arial"/>
        </w:rPr>
        <w:t xml:space="preserve"> </w:t>
      </w:r>
      <w:proofErr w:type="spellStart"/>
      <w:r w:rsidRPr="00D7523E">
        <w:rPr>
          <w:rFonts w:cs="Arial"/>
        </w:rPr>
        <w:t>young</w:t>
      </w:r>
      <w:proofErr w:type="spellEnd"/>
      <w:r w:rsidRPr="00D7523E">
        <w:rPr>
          <w:rFonts w:cs="Arial"/>
        </w:rPr>
        <w:t xml:space="preserve"> </w:t>
      </w:r>
      <w:proofErr w:type="spellStart"/>
      <w:r w:rsidRPr="00D7523E">
        <w:rPr>
          <w:rFonts w:cs="Arial"/>
        </w:rPr>
        <w:t>people</w:t>
      </w:r>
      <w:proofErr w:type="spellEnd"/>
      <w:r w:rsidRPr="00D7523E">
        <w:rPr>
          <w:rFonts w:cs="Arial"/>
        </w:rPr>
        <w:t xml:space="preserve">: A </w:t>
      </w:r>
      <w:proofErr w:type="spellStart"/>
      <w:r w:rsidRPr="00D7523E">
        <w:rPr>
          <w:rFonts w:cs="Arial"/>
        </w:rPr>
        <w:t>systematic</w:t>
      </w:r>
      <w:proofErr w:type="spellEnd"/>
      <w:r w:rsidRPr="00D7523E">
        <w:rPr>
          <w:rFonts w:cs="Arial"/>
        </w:rPr>
        <w:t xml:space="preserve"> </w:t>
      </w:r>
      <w:proofErr w:type="spellStart"/>
      <w:r w:rsidRPr="00D7523E">
        <w:rPr>
          <w:rFonts w:cs="Arial"/>
        </w:rPr>
        <w:t>review</w:t>
      </w:r>
      <w:proofErr w:type="spellEnd"/>
      <w:r w:rsidRPr="00D7523E">
        <w:rPr>
          <w:rFonts w:cs="Arial"/>
        </w:rPr>
        <w:t xml:space="preserve"> and meta-</w:t>
      </w:r>
      <w:proofErr w:type="spellStart"/>
      <w:r w:rsidRPr="00D7523E">
        <w:rPr>
          <w:rFonts w:cs="Arial"/>
        </w:rPr>
        <w:t>analysis</w:t>
      </w:r>
      <w:proofErr w:type="spellEnd"/>
      <w:r w:rsidRPr="00D7523E">
        <w:rPr>
          <w:rFonts w:cs="Arial"/>
        </w:rPr>
        <w:t>. </w:t>
      </w:r>
      <w:r w:rsidRPr="00D7523E">
        <w:rPr>
          <w:rFonts w:cs="Arial"/>
          <w:i/>
          <w:iCs/>
        </w:rPr>
        <w:t>JAMA Network Open.</w:t>
      </w:r>
      <w:r w:rsidRPr="00D7523E">
        <w:rPr>
          <w:rFonts w:cs="Arial"/>
        </w:rPr>
        <w:t xml:space="preserve"> 3(8).</w:t>
      </w:r>
      <w:r w:rsidRPr="00D7523E">
        <w:rPr>
          <w:rFonts w:cs="Arial"/>
          <w:u w:val="single"/>
        </w:rPr>
        <w:t xml:space="preserve"> </w:t>
      </w:r>
      <w:hyperlink r:id="rId10" w:tgtFrame="_blank" w:history="1">
        <w:r w:rsidRPr="00D7523E">
          <w:rPr>
            <w:rStyle w:val="Hipervnculo"/>
            <w:rFonts w:cs="Arial"/>
          </w:rPr>
          <w:t>10.1001/jamanetworkopen.2020.12563</w:t>
        </w:r>
      </w:hyperlink>
    </w:p>
    <w:p w14:paraId="1B9C3AFD" w14:textId="77777777" w:rsidR="00D7523E" w:rsidRPr="00D7523E" w:rsidRDefault="00D7523E" w:rsidP="00D7523E">
      <w:pPr>
        <w:spacing w:line="360" w:lineRule="auto"/>
        <w:ind w:left="709" w:hanging="709"/>
        <w:jc w:val="both"/>
        <w:rPr>
          <w:rFonts w:cs="Arial"/>
        </w:rPr>
      </w:pPr>
      <w:r w:rsidRPr="00D7523E">
        <w:rPr>
          <w:rFonts w:cs="Arial"/>
        </w:rPr>
        <w:t xml:space="preserve">Asociación Médica Mundial. (2024, octubre). </w:t>
      </w:r>
      <w:r w:rsidRPr="00D7523E">
        <w:rPr>
          <w:rFonts w:cs="Arial"/>
          <w:i/>
          <w:iCs/>
        </w:rPr>
        <w:t>Declaración de Helsinki de la AMM: Principios éticos para las investigaciones médicas en seres humanos.</w:t>
      </w:r>
      <w:r w:rsidRPr="00D7523E">
        <w:rPr>
          <w:rFonts w:cs="Arial"/>
        </w:rPr>
        <w:t xml:space="preserve"> </w:t>
      </w:r>
      <w:proofErr w:type="spellStart"/>
      <w:r w:rsidRPr="00D7523E">
        <w:rPr>
          <w:rFonts w:cs="Arial"/>
        </w:rPr>
        <w:t>World</w:t>
      </w:r>
      <w:proofErr w:type="spellEnd"/>
      <w:r w:rsidRPr="00D7523E">
        <w:rPr>
          <w:rFonts w:cs="Arial"/>
        </w:rPr>
        <w:t xml:space="preserve"> Medical </w:t>
      </w:r>
      <w:proofErr w:type="spellStart"/>
      <w:r w:rsidRPr="00D7523E">
        <w:rPr>
          <w:rFonts w:cs="Arial"/>
        </w:rPr>
        <w:t>Association</w:t>
      </w:r>
      <w:proofErr w:type="spellEnd"/>
      <w:r w:rsidRPr="00D7523E">
        <w:rPr>
          <w:rFonts w:cs="Arial"/>
        </w:rPr>
        <w:t xml:space="preserve">. </w:t>
      </w:r>
      <w:hyperlink r:id="rId11" w:history="1">
        <w:r w:rsidRPr="00D7523E">
          <w:rPr>
            <w:rStyle w:val="Hipervnculo"/>
            <w:rFonts w:cs="Arial"/>
          </w:rPr>
          <w:t>https://www.wma.net/es/policies-post/declaracion-de-helsinki-de-la-amm-principios-eticos-para-las-investigaciones-medicas-en-seres-humanos/</w:t>
        </w:r>
      </w:hyperlink>
      <w:r w:rsidRPr="00D7523E">
        <w:rPr>
          <w:rFonts w:cs="Arial"/>
        </w:rPr>
        <w:t xml:space="preserve"> </w:t>
      </w:r>
    </w:p>
    <w:p w14:paraId="538FC710" w14:textId="77777777" w:rsidR="00D7523E" w:rsidRPr="00D7523E" w:rsidRDefault="00D7523E" w:rsidP="00D7523E">
      <w:pPr>
        <w:spacing w:line="360" w:lineRule="auto"/>
        <w:ind w:left="709" w:hanging="709"/>
        <w:jc w:val="both"/>
        <w:rPr>
          <w:rFonts w:cs="Arial"/>
        </w:rPr>
      </w:pPr>
      <w:bookmarkStart w:id="21" w:name="_Hlk194683466"/>
      <w:r w:rsidRPr="00D7523E">
        <w:rPr>
          <w:rFonts w:cs="Arial"/>
        </w:rPr>
        <w:t xml:space="preserve">Baños-Chaparro, J., y Fuster Guillen, F. G. (2023). Evidencias psicométricas de la Escala de Ideación suicida de Roberts en adolescentes peruanos. </w:t>
      </w:r>
      <w:r w:rsidRPr="00D7523E">
        <w:rPr>
          <w:rFonts w:cs="Arial"/>
          <w:i/>
          <w:iCs/>
        </w:rPr>
        <w:t>Interdisciplinaria, 40</w:t>
      </w:r>
      <w:r w:rsidRPr="00D7523E">
        <w:rPr>
          <w:rFonts w:cs="Arial"/>
        </w:rPr>
        <w:t>(1), 159-171.</w:t>
      </w:r>
      <w:r w:rsidRPr="00D7523E">
        <w:rPr>
          <w:rFonts w:cs="Arial"/>
          <w:u w:val="single"/>
        </w:rPr>
        <w:t xml:space="preserve"> </w:t>
      </w:r>
      <w:r w:rsidRPr="00D7523E">
        <w:rPr>
          <w:rFonts w:cs="Arial"/>
          <w:color w:val="0563C1" w:themeColor="hyperlink"/>
          <w:u w:val="single"/>
        </w:rPr>
        <w:t>https://doi.org/10.16888/interd.2023.40.1.10</w:t>
      </w:r>
    </w:p>
    <w:bookmarkEnd w:id="21"/>
    <w:p w14:paraId="4DD491C5" w14:textId="77777777" w:rsidR="00D7523E" w:rsidRPr="00D7523E" w:rsidRDefault="00D7523E" w:rsidP="00D7523E">
      <w:pPr>
        <w:spacing w:line="360" w:lineRule="auto"/>
        <w:ind w:left="709" w:hanging="709"/>
        <w:jc w:val="both"/>
        <w:rPr>
          <w:rFonts w:cs="Arial"/>
        </w:rPr>
      </w:pPr>
      <w:r w:rsidRPr="00D7523E">
        <w:rPr>
          <w:rFonts w:cs="Arial"/>
        </w:rPr>
        <w:t xml:space="preserve">Beck, A. T., Kovacs, M., &amp; Weissman, A. (1979). </w:t>
      </w:r>
      <w:proofErr w:type="spellStart"/>
      <w:r w:rsidRPr="00D7523E">
        <w:rPr>
          <w:rFonts w:cs="Arial"/>
        </w:rPr>
        <w:t>Assessment</w:t>
      </w:r>
      <w:proofErr w:type="spellEnd"/>
      <w:r w:rsidRPr="00D7523E">
        <w:rPr>
          <w:rFonts w:cs="Arial"/>
        </w:rPr>
        <w:t xml:space="preserve"> </w:t>
      </w:r>
      <w:proofErr w:type="spellStart"/>
      <w:r w:rsidRPr="00D7523E">
        <w:rPr>
          <w:rFonts w:cs="Arial"/>
        </w:rPr>
        <w:t>of</w:t>
      </w:r>
      <w:proofErr w:type="spellEnd"/>
      <w:r w:rsidRPr="00D7523E">
        <w:rPr>
          <w:rFonts w:cs="Arial"/>
        </w:rPr>
        <w:t xml:space="preserve"> </w:t>
      </w:r>
      <w:proofErr w:type="spellStart"/>
      <w:r w:rsidRPr="00D7523E">
        <w:rPr>
          <w:rFonts w:cs="Arial"/>
        </w:rPr>
        <w:t>suicidal</w:t>
      </w:r>
      <w:proofErr w:type="spellEnd"/>
      <w:r w:rsidRPr="00D7523E">
        <w:rPr>
          <w:rFonts w:cs="Arial"/>
        </w:rPr>
        <w:t xml:space="preserve"> </w:t>
      </w:r>
      <w:proofErr w:type="spellStart"/>
      <w:r w:rsidRPr="00D7523E">
        <w:rPr>
          <w:rFonts w:cs="Arial"/>
        </w:rPr>
        <w:t>intention</w:t>
      </w:r>
      <w:proofErr w:type="spellEnd"/>
      <w:r w:rsidRPr="00D7523E">
        <w:rPr>
          <w:rFonts w:cs="Arial"/>
        </w:rPr>
        <w:t xml:space="preserve">: </w:t>
      </w:r>
      <w:proofErr w:type="spellStart"/>
      <w:r w:rsidRPr="00D7523E">
        <w:rPr>
          <w:rFonts w:cs="Arial"/>
        </w:rPr>
        <w:t>The</w:t>
      </w:r>
      <w:proofErr w:type="spellEnd"/>
      <w:r w:rsidRPr="00D7523E">
        <w:rPr>
          <w:rFonts w:cs="Arial"/>
        </w:rPr>
        <w:t xml:space="preserve"> </w:t>
      </w:r>
      <w:proofErr w:type="spellStart"/>
      <w:r w:rsidRPr="00D7523E">
        <w:rPr>
          <w:rFonts w:cs="Arial"/>
        </w:rPr>
        <w:t>Scale</w:t>
      </w:r>
      <w:proofErr w:type="spellEnd"/>
      <w:r w:rsidRPr="00D7523E">
        <w:rPr>
          <w:rFonts w:cs="Arial"/>
        </w:rPr>
        <w:t xml:space="preserve"> </w:t>
      </w:r>
      <w:proofErr w:type="spellStart"/>
      <w:r w:rsidRPr="00D7523E">
        <w:rPr>
          <w:rFonts w:cs="Arial"/>
        </w:rPr>
        <w:t>for</w:t>
      </w:r>
      <w:proofErr w:type="spellEnd"/>
      <w:r w:rsidRPr="00D7523E">
        <w:rPr>
          <w:rFonts w:cs="Arial"/>
        </w:rPr>
        <w:t xml:space="preserve"> Suicide </w:t>
      </w:r>
      <w:proofErr w:type="spellStart"/>
      <w:r w:rsidRPr="00D7523E">
        <w:rPr>
          <w:rFonts w:cs="Arial"/>
        </w:rPr>
        <w:t>Ideation</w:t>
      </w:r>
      <w:proofErr w:type="spellEnd"/>
      <w:r w:rsidRPr="00D7523E">
        <w:rPr>
          <w:rFonts w:cs="Arial"/>
        </w:rPr>
        <w:t>.</w:t>
      </w:r>
      <w:r w:rsidRPr="00D7523E">
        <w:rPr>
          <w:rFonts w:cs="Arial"/>
          <w:i/>
          <w:iCs/>
        </w:rPr>
        <w:t xml:space="preserve"> </w:t>
      </w:r>
      <w:proofErr w:type="spellStart"/>
      <w:r w:rsidRPr="00D7523E">
        <w:rPr>
          <w:rFonts w:cs="Arial"/>
          <w:i/>
          <w:iCs/>
        </w:rPr>
        <w:t>Journal</w:t>
      </w:r>
      <w:proofErr w:type="spellEnd"/>
      <w:r w:rsidRPr="00D7523E">
        <w:rPr>
          <w:rFonts w:cs="Arial"/>
          <w:i/>
          <w:iCs/>
        </w:rPr>
        <w:t xml:space="preserve"> </w:t>
      </w:r>
      <w:proofErr w:type="spellStart"/>
      <w:r w:rsidRPr="00D7523E">
        <w:rPr>
          <w:rFonts w:cs="Arial"/>
          <w:i/>
          <w:iCs/>
        </w:rPr>
        <w:t>of</w:t>
      </w:r>
      <w:proofErr w:type="spellEnd"/>
      <w:r w:rsidRPr="00D7523E">
        <w:rPr>
          <w:rFonts w:cs="Arial"/>
          <w:i/>
          <w:iCs/>
        </w:rPr>
        <w:t xml:space="preserve"> </w:t>
      </w:r>
      <w:proofErr w:type="spellStart"/>
      <w:r w:rsidRPr="00D7523E">
        <w:rPr>
          <w:rFonts w:cs="Arial"/>
          <w:i/>
          <w:iCs/>
        </w:rPr>
        <w:t>Consulting</w:t>
      </w:r>
      <w:proofErr w:type="spellEnd"/>
      <w:r w:rsidRPr="00D7523E">
        <w:rPr>
          <w:rFonts w:cs="Arial"/>
          <w:i/>
          <w:iCs/>
        </w:rPr>
        <w:t xml:space="preserve"> and </w:t>
      </w:r>
      <w:proofErr w:type="spellStart"/>
      <w:r w:rsidRPr="00D7523E">
        <w:rPr>
          <w:rFonts w:cs="Arial"/>
          <w:i/>
          <w:iCs/>
        </w:rPr>
        <w:t>Clinical</w:t>
      </w:r>
      <w:proofErr w:type="spellEnd"/>
      <w:r w:rsidRPr="00D7523E">
        <w:rPr>
          <w:rFonts w:cs="Arial"/>
          <w:i/>
          <w:iCs/>
        </w:rPr>
        <w:t xml:space="preserve"> </w:t>
      </w:r>
      <w:proofErr w:type="spellStart"/>
      <w:r w:rsidRPr="00D7523E">
        <w:rPr>
          <w:rFonts w:cs="Arial"/>
          <w:i/>
          <w:iCs/>
        </w:rPr>
        <w:t>Psychology</w:t>
      </w:r>
      <w:proofErr w:type="spellEnd"/>
      <w:r w:rsidRPr="00D7523E">
        <w:rPr>
          <w:rFonts w:cs="Arial"/>
          <w:i/>
          <w:iCs/>
        </w:rPr>
        <w:t>, 47</w:t>
      </w:r>
      <w:r w:rsidRPr="00D7523E">
        <w:rPr>
          <w:rFonts w:cs="Arial"/>
        </w:rPr>
        <w:t xml:space="preserve">(2), 343-352. </w:t>
      </w:r>
      <w:hyperlink r:id="rId12" w:history="1">
        <w:r w:rsidRPr="00D7523E">
          <w:rPr>
            <w:rStyle w:val="Hipervnculo"/>
            <w:rFonts w:cs="Arial"/>
          </w:rPr>
          <w:t>https://www.academia.edu/19012079/Assessment_of_suicidal_intention_The_Scale_for_Suicide_Ideation</w:t>
        </w:r>
      </w:hyperlink>
      <w:r w:rsidRPr="00D7523E">
        <w:rPr>
          <w:rFonts w:cs="Arial"/>
        </w:rPr>
        <w:t xml:space="preserve"> </w:t>
      </w:r>
    </w:p>
    <w:p w14:paraId="6EE90E0D" w14:textId="77777777" w:rsidR="00D7523E" w:rsidRPr="00D7523E" w:rsidRDefault="00D7523E" w:rsidP="00D7523E">
      <w:pPr>
        <w:spacing w:line="360" w:lineRule="auto"/>
        <w:ind w:left="709" w:hanging="709"/>
        <w:jc w:val="both"/>
        <w:rPr>
          <w:rFonts w:cs="Arial"/>
          <w:color w:val="000000" w:themeColor="text1"/>
        </w:rPr>
      </w:pPr>
      <w:r w:rsidRPr="00D7523E">
        <w:rPr>
          <w:rFonts w:cs="Arial"/>
          <w:color w:val="000000" w:themeColor="text1"/>
        </w:rPr>
        <w:t xml:space="preserve">Bronfenbrenner, U. (1979). </w:t>
      </w:r>
      <w:r w:rsidRPr="00D7523E">
        <w:rPr>
          <w:rFonts w:cs="Arial"/>
          <w:i/>
          <w:iCs/>
          <w:color w:val="000000" w:themeColor="text1"/>
        </w:rPr>
        <w:t>La ecología del desarrollo humano. Experimentos en entornos naturales y diseñados.</w:t>
      </w:r>
      <w:r w:rsidRPr="00D7523E">
        <w:rPr>
          <w:rFonts w:cs="Arial"/>
        </w:rPr>
        <w:t xml:space="preserve"> </w:t>
      </w:r>
      <w:r w:rsidRPr="00D7523E">
        <w:rPr>
          <w:rFonts w:cs="Arial"/>
          <w:i/>
          <w:iCs/>
        </w:rPr>
        <w:t xml:space="preserve">Paidós. </w:t>
      </w:r>
      <w:hyperlink r:id="rId13" w:history="1">
        <w:r w:rsidRPr="00D7523E">
          <w:rPr>
            <w:rStyle w:val="Hipervnculo"/>
            <w:rFonts w:cs="Arial"/>
          </w:rPr>
          <w:t>https://proyectos.javerianacali.edu.co/cursos_virtuales/posgrado/maestria_asesoria_familiar/familia_contemporanea/modulo1/la-ecologia-del-desarrollo-humano-bronfenbrenner-copia.pdf</w:t>
        </w:r>
      </w:hyperlink>
      <w:r w:rsidRPr="00D7523E">
        <w:rPr>
          <w:rFonts w:cs="Arial"/>
          <w:color w:val="000000" w:themeColor="text1"/>
        </w:rPr>
        <w:t xml:space="preserve"> </w:t>
      </w:r>
    </w:p>
    <w:p w14:paraId="7DCD009B" w14:textId="77777777" w:rsidR="00D7523E" w:rsidRPr="00D7523E" w:rsidRDefault="00D7523E" w:rsidP="00D7523E">
      <w:pPr>
        <w:spacing w:line="360" w:lineRule="auto"/>
        <w:ind w:left="709" w:hanging="709"/>
        <w:jc w:val="both"/>
        <w:rPr>
          <w:i/>
        </w:rPr>
      </w:pPr>
      <w:r w:rsidRPr="00D7523E">
        <w:t xml:space="preserve">Código de Ética de la Universidad César Vallejo (2024). </w:t>
      </w:r>
      <w:r w:rsidRPr="00D7523E">
        <w:rPr>
          <w:i/>
        </w:rPr>
        <w:t>Código de ética en investigación de la Universidad César Vallejo.</w:t>
      </w:r>
    </w:p>
    <w:p w14:paraId="3C9D2C20" w14:textId="77777777" w:rsidR="00D7523E" w:rsidRPr="00D7523E" w:rsidRDefault="00D7523E" w:rsidP="00D7523E">
      <w:pPr>
        <w:spacing w:line="360" w:lineRule="auto"/>
        <w:ind w:left="709" w:hanging="709"/>
        <w:jc w:val="both"/>
        <w:rPr>
          <w:rStyle w:val="Hipervnculo"/>
          <w:rFonts w:cs="Arial"/>
        </w:rPr>
      </w:pPr>
      <w:r w:rsidRPr="00D7523E">
        <w:rPr>
          <w:rStyle w:val="Hipervnculo"/>
          <w:rFonts w:cs="Arial"/>
          <w:color w:val="000000" w:themeColor="text1"/>
          <w:u w:val="none"/>
        </w:rPr>
        <w:t xml:space="preserve">Colegio de Psicólogos del Perú. (2017). </w:t>
      </w:r>
      <w:r w:rsidRPr="00D7523E">
        <w:rPr>
          <w:rStyle w:val="Hipervnculo"/>
          <w:rFonts w:cs="Arial"/>
          <w:i/>
          <w:iCs/>
          <w:color w:val="000000" w:themeColor="text1"/>
          <w:u w:val="none"/>
        </w:rPr>
        <w:t>Código de ética y deontología del psicólogo en el Perú.</w:t>
      </w:r>
      <w:r w:rsidRPr="00D7523E">
        <w:rPr>
          <w:rStyle w:val="Hipervnculo"/>
          <w:rFonts w:cs="Arial"/>
          <w:color w:val="000000" w:themeColor="text1"/>
          <w:u w:val="none"/>
        </w:rPr>
        <w:t xml:space="preserve"> Colegio de Psicólogos del Perú.</w:t>
      </w:r>
      <w:r w:rsidRPr="00D7523E">
        <w:rPr>
          <w:rFonts w:cs="Arial"/>
          <w:color w:val="000000" w:themeColor="text1"/>
        </w:rPr>
        <w:t xml:space="preserve"> </w:t>
      </w:r>
      <w:hyperlink r:id="rId14" w:history="1">
        <w:r w:rsidRPr="00D7523E">
          <w:rPr>
            <w:rStyle w:val="Hipervnculo"/>
            <w:rFonts w:cs="Arial"/>
          </w:rPr>
          <w:t>https://www.cpsp.pe/codigo-de-etica-y-deontologia</w:t>
        </w:r>
      </w:hyperlink>
      <w:r w:rsidRPr="00D7523E">
        <w:rPr>
          <w:rStyle w:val="Hipervnculo"/>
          <w:rFonts w:cs="Arial"/>
        </w:rPr>
        <w:t xml:space="preserve"> </w:t>
      </w:r>
    </w:p>
    <w:p w14:paraId="74B29E2A" w14:textId="77777777" w:rsidR="00D7523E" w:rsidRPr="00D7523E" w:rsidRDefault="00D7523E" w:rsidP="00D7523E">
      <w:pPr>
        <w:spacing w:line="360" w:lineRule="auto"/>
        <w:ind w:left="709" w:hanging="709"/>
        <w:jc w:val="both"/>
        <w:rPr>
          <w:rFonts w:cs="Arial"/>
        </w:rPr>
      </w:pPr>
      <w:r w:rsidRPr="00D7523E">
        <w:rPr>
          <w:rFonts w:cs="Arial"/>
          <w:color w:val="000000" w:themeColor="text1"/>
        </w:rPr>
        <w:t xml:space="preserve">Comisión Nacional para la Protección de Sujetos Humanos de Investigación Biomédica. (1979). </w:t>
      </w:r>
      <w:r w:rsidRPr="00D7523E">
        <w:rPr>
          <w:rFonts w:cs="Arial"/>
          <w:i/>
          <w:iCs/>
          <w:color w:val="000000" w:themeColor="text1"/>
        </w:rPr>
        <w:t xml:space="preserve">Informe Belmont: Principios éticos y directrices para la protección de sujetos humanos de </w:t>
      </w:r>
      <w:r w:rsidRPr="00D7523E">
        <w:rPr>
          <w:rFonts w:cs="Arial"/>
          <w:i/>
          <w:iCs/>
          <w:color w:val="000000" w:themeColor="text1"/>
        </w:rPr>
        <w:lastRenderedPageBreak/>
        <w:t>investigación.</w:t>
      </w:r>
      <w:r w:rsidRPr="00D7523E">
        <w:rPr>
          <w:rFonts w:cs="Arial"/>
          <w:color w:val="000000" w:themeColor="text1"/>
        </w:rPr>
        <w:t xml:space="preserve"> Departamento de Salud, Educación y Bienestar de los EE.UU. </w:t>
      </w:r>
      <w:hyperlink r:id="rId15" w:history="1">
        <w:r w:rsidRPr="00D7523E">
          <w:rPr>
            <w:rStyle w:val="Hipervnculo"/>
            <w:rFonts w:cs="Arial"/>
          </w:rPr>
          <w:t>https://www.paho.org/sites/default/files/2023-10/belmont-informe.pdf</w:t>
        </w:r>
      </w:hyperlink>
      <w:r w:rsidRPr="00D7523E">
        <w:rPr>
          <w:rFonts w:cs="Arial"/>
          <w:color w:val="000000" w:themeColor="text1"/>
        </w:rPr>
        <w:t xml:space="preserve"> </w:t>
      </w:r>
    </w:p>
    <w:p w14:paraId="036AA999" w14:textId="77777777" w:rsidR="00D7523E" w:rsidRPr="00D7523E" w:rsidRDefault="00D7523E" w:rsidP="00D7523E">
      <w:pPr>
        <w:spacing w:line="360" w:lineRule="auto"/>
        <w:ind w:left="709" w:hanging="709"/>
        <w:jc w:val="both"/>
        <w:rPr>
          <w:rFonts w:cs="Arial"/>
        </w:rPr>
      </w:pPr>
      <w:r w:rsidRPr="00D7523E">
        <w:rPr>
          <w:rFonts w:cs="Arial"/>
        </w:rPr>
        <w:t xml:space="preserve">Espinoza Núñez, J. M., Rosales Trabuco, J. E., Romero Huayta, L. S., Pinedo-Yzaguirre, E. A., &amp; Pizarro-Moncada, C. D. (2022). Funcionamiento familiar y </w:t>
      </w:r>
      <w:proofErr w:type="spellStart"/>
      <w:r w:rsidRPr="00D7523E">
        <w:rPr>
          <w:rFonts w:cs="Arial"/>
        </w:rPr>
        <w:t>bullying</w:t>
      </w:r>
      <w:proofErr w:type="spellEnd"/>
      <w:r w:rsidRPr="00D7523E">
        <w:rPr>
          <w:rFonts w:cs="Arial"/>
        </w:rPr>
        <w:t xml:space="preserve"> en estudiantes de Educación Secundaria de instituciones educativas públicas de Lima-Perú. </w:t>
      </w:r>
      <w:r w:rsidRPr="00D7523E">
        <w:rPr>
          <w:rFonts w:cs="Arial"/>
          <w:i/>
          <w:iCs/>
        </w:rPr>
        <w:t>Revista Universidad y Sociedad, 14</w:t>
      </w:r>
      <w:r w:rsidRPr="00D7523E">
        <w:rPr>
          <w:rFonts w:cs="Arial"/>
        </w:rPr>
        <w:t xml:space="preserve">(6), 269-285. </w:t>
      </w:r>
      <w:hyperlink r:id="rId16" w:history="1">
        <w:r w:rsidRPr="00D7523E">
          <w:rPr>
            <w:rStyle w:val="Hipervnculo"/>
            <w:rFonts w:cs="Arial"/>
          </w:rPr>
          <w:t>https://rus.ucf.edu.cu/index.php/rus/article/view/3457/3401</w:t>
        </w:r>
      </w:hyperlink>
      <w:r w:rsidRPr="00D7523E">
        <w:rPr>
          <w:rFonts w:cs="Arial"/>
        </w:rPr>
        <w:t xml:space="preserve"> </w:t>
      </w:r>
    </w:p>
    <w:p w14:paraId="2DF8FB45" w14:textId="77777777" w:rsidR="00D7523E" w:rsidRPr="00D7523E" w:rsidRDefault="00D7523E" w:rsidP="00D7523E">
      <w:pPr>
        <w:spacing w:line="360" w:lineRule="auto"/>
        <w:ind w:left="709" w:hanging="709"/>
        <w:jc w:val="both"/>
        <w:rPr>
          <w:rFonts w:cs="Arial"/>
          <w:lang w:val="es-PE"/>
        </w:rPr>
      </w:pPr>
      <w:r w:rsidRPr="00D7523E">
        <w:rPr>
          <w:rFonts w:cs="Arial"/>
          <w:lang w:val="es-PE"/>
        </w:rPr>
        <w:t xml:space="preserve">Galán Jiménez, J. S. F., Calderón </w:t>
      </w:r>
      <w:proofErr w:type="spellStart"/>
      <w:r w:rsidRPr="00D7523E">
        <w:rPr>
          <w:rFonts w:cs="Arial"/>
          <w:lang w:val="es-PE"/>
        </w:rPr>
        <w:t>Mafud</w:t>
      </w:r>
      <w:proofErr w:type="spellEnd"/>
      <w:r w:rsidRPr="00D7523E">
        <w:rPr>
          <w:rFonts w:cs="Arial"/>
          <w:lang w:val="es-PE"/>
        </w:rPr>
        <w:t>, J. L., Sánchez-</w:t>
      </w:r>
      <w:proofErr w:type="spellStart"/>
      <w:r w:rsidRPr="00D7523E">
        <w:rPr>
          <w:rFonts w:cs="Arial"/>
          <w:lang w:val="es-PE"/>
        </w:rPr>
        <w:t>Armáss</w:t>
      </w:r>
      <w:proofErr w:type="spellEnd"/>
      <w:r w:rsidRPr="00D7523E">
        <w:rPr>
          <w:rFonts w:cs="Arial"/>
          <w:lang w:val="es-PE"/>
        </w:rPr>
        <w:t xml:space="preserve"> Capello, O., &amp; Guzmán </w:t>
      </w:r>
      <w:proofErr w:type="spellStart"/>
      <w:r w:rsidRPr="00D7523E">
        <w:rPr>
          <w:rFonts w:cs="Arial"/>
          <w:lang w:val="es-PE"/>
        </w:rPr>
        <w:t>Sescosse</w:t>
      </w:r>
      <w:proofErr w:type="spellEnd"/>
      <w:r w:rsidRPr="00D7523E">
        <w:rPr>
          <w:rFonts w:cs="Arial"/>
          <w:lang w:val="es-PE"/>
        </w:rPr>
        <w:t xml:space="preserve">. (2022) Exposición y desensibilización a la violencia en jóvenes mexicanos en distintos contextos sociales. </w:t>
      </w:r>
      <w:r w:rsidRPr="00D7523E">
        <w:rPr>
          <w:rFonts w:cs="Arial"/>
          <w:i/>
          <w:iCs/>
          <w:lang w:val="es-PE"/>
        </w:rPr>
        <w:t>Acta de investigación psicológica, 12</w:t>
      </w:r>
      <w:r w:rsidRPr="00D7523E">
        <w:rPr>
          <w:rFonts w:cs="Arial"/>
          <w:lang w:val="es-PE"/>
        </w:rPr>
        <w:t xml:space="preserve">(3), 5-17. </w:t>
      </w:r>
      <w:hyperlink r:id="rId17" w:history="1">
        <w:r w:rsidRPr="00D7523E">
          <w:rPr>
            <w:rStyle w:val="Hipervnculo"/>
            <w:rFonts w:cs="Arial"/>
            <w:lang w:val="es-PE"/>
          </w:rPr>
          <w:t>https://doi.org/10.22201/fpsi.20074719e.2022.3.458</w:t>
        </w:r>
      </w:hyperlink>
      <w:r w:rsidRPr="00D7523E">
        <w:rPr>
          <w:rFonts w:cs="Arial"/>
          <w:lang w:val="es-PE"/>
        </w:rPr>
        <w:t> </w:t>
      </w:r>
    </w:p>
    <w:p w14:paraId="43CC51BE" w14:textId="77777777" w:rsidR="00D7523E" w:rsidRPr="00D7523E" w:rsidRDefault="00D7523E" w:rsidP="00D7523E">
      <w:pPr>
        <w:spacing w:line="360" w:lineRule="auto"/>
        <w:ind w:left="709" w:hanging="709"/>
        <w:jc w:val="both"/>
        <w:rPr>
          <w:rFonts w:cs="Arial"/>
        </w:rPr>
      </w:pPr>
      <w:r w:rsidRPr="00D7523E">
        <w:rPr>
          <w:rFonts w:cs="Arial"/>
        </w:rPr>
        <w:t xml:space="preserve">Gobierno Regional del Callao. (2021). </w:t>
      </w:r>
      <w:r w:rsidRPr="00D7523E">
        <w:rPr>
          <w:rFonts w:cs="Arial"/>
          <w:i/>
          <w:iCs/>
        </w:rPr>
        <w:t>Boletín semestral de violencia familiar: Enero a junio 2021.</w:t>
      </w:r>
      <w:r w:rsidRPr="00D7523E">
        <w:rPr>
          <w:rFonts w:cs="Arial"/>
        </w:rPr>
        <w:t xml:space="preserve"> Observatorio Regional de Seguridad Ciudadana. </w:t>
      </w:r>
      <w:hyperlink r:id="rId18" w:history="1">
        <w:r w:rsidRPr="00D7523E">
          <w:rPr>
            <w:rStyle w:val="Hipervnculo"/>
            <w:rFonts w:cs="Arial"/>
          </w:rPr>
          <w:t>https://web.regioncallao.gob.pe/wp-content/uploads/2021/08/2021-06-VIOLENCIA-FAMILIAR.pdf</w:t>
        </w:r>
      </w:hyperlink>
      <w:r w:rsidRPr="00D7523E">
        <w:rPr>
          <w:rFonts w:cs="Arial"/>
        </w:rPr>
        <w:t xml:space="preserve"> </w:t>
      </w:r>
    </w:p>
    <w:p w14:paraId="1068D166" w14:textId="77777777" w:rsidR="00D7523E" w:rsidRPr="00D7523E" w:rsidRDefault="00D7523E" w:rsidP="00D7523E">
      <w:pPr>
        <w:spacing w:line="360" w:lineRule="auto"/>
        <w:ind w:left="709" w:hanging="709"/>
        <w:jc w:val="both"/>
        <w:rPr>
          <w:rFonts w:cs="Arial"/>
          <w:lang w:val="es-PE"/>
        </w:rPr>
      </w:pPr>
      <w:proofErr w:type="spellStart"/>
      <w:r w:rsidRPr="00D7523E">
        <w:rPr>
          <w:rFonts w:cs="Arial"/>
        </w:rPr>
        <w:t>Godinez</w:t>
      </w:r>
      <w:proofErr w:type="spellEnd"/>
      <w:r w:rsidRPr="00D7523E">
        <w:rPr>
          <w:rFonts w:cs="Arial"/>
        </w:rPr>
        <w:t xml:space="preserve"> Salazar, A., Roque Chino, D., Garay Flores, G., Romaní Allende, F. &amp; Vivanco Burgos, R. (2023). Tipos de familia e ideación suicida en estudiantes de secundaria de una institución educativa de Tacna-Perú, 2019. </w:t>
      </w:r>
      <w:r w:rsidRPr="00D7523E">
        <w:rPr>
          <w:rFonts w:cs="Arial"/>
          <w:i/>
          <w:iCs/>
        </w:rPr>
        <w:t>Ciencia Latina Revista Científica Multidisciplinar, 7</w:t>
      </w:r>
      <w:r w:rsidRPr="00D7523E">
        <w:rPr>
          <w:rFonts w:cs="Arial"/>
        </w:rPr>
        <w:t xml:space="preserve">(2). </w:t>
      </w:r>
      <w:hyperlink r:id="rId19" w:history="1">
        <w:r w:rsidRPr="00D7523E">
          <w:rPr>
            <w:rStyle w:val="Hipervnculo"/>
            <w:rFonts w:cs="Arial"/>
          </w:rPr>
          <w:t>https://doi.org/10.37811/cl_rcm.v7i2.5390</w:t>
        </w:r>
      </w:hyperlink>
      <w:r w:rsidRPr="00D7523E">
        <w:rPr>
          <w:rFonts w:cs="Arial"/>
        </w:rPr>
        <w:t xml:space="preserve"> </w:t>
      </w:r>
    </w:p>
    <w:p w14:paraId="2035F4B2" w14:textId="77777777" w:rsidR="00D7523E" w:rsidRPr="00D7523E" w:rsidRDefault="00D7523E" w:rsidP="00D7523E">
      <w:pPr>
        <w:spacing w:line="360" w:lineRule="auto"/>
        <w:ind w:left="720" w:hanging="720"/>
        <w:jc w:val="both"/>
        <w:rPr>
          <w:rFonts w:cs="Arial"/>
        </w:rPr>
      </w:pPr>
      <w:r w:rsidRPr="00D7523E">
        <w:rPr>
          <w:rFonts w:cs="Arial"/>
          <w:lang w:val="es-PE"/>
        </w:rPr>
        <w:t xml:space="preserve">Huamani, S. (2022). Funcionamiento familiar e ideación suicida en estudiantes de tres instituciones educativas estatales de Villa El Salvador. </w:t>
      </w:r>
      <w:r w:rsidRPr="00D7523E">
        <w:rPr>
          <w:rFonts w:cs="Arial"/>
          <w:i/>
          <w:iCs/>
          <w:lang w:val="es-PE"/>
        </w:rPr>
        <w:t>Acta psicológica peruana, 7</w:t>
      </w:r>
      <w:r w:rsidRPr="00D7523E">
        <w:rPr>
          <w:rFonts w:cs="Arial"/>
          <w:lang w:val="es-PE"/>
        </w:rPr>
        <w:t xml:space="preserve">(2), 152-170. </w:t>
      </w:r>
      <w:hyperlink r:id="rId20" w:history="1">
        <w:r w:rsidRPr="00D7523E">
          <w:rPr>
            <w:rStyle w:val="Hipervnculo"/>
            <w:rFonts w:cs="Arial"/>
          </w:rPr>
          <w:t>https://doi.org/10.56891/acpp.v7i2.376</w:t>
        </w:r>
      </w:hyperlink>
      <w:r w:rsidRPr="00D7523E">
        <w:rPr>
          <w:rFonts w:cs="Arial"/>
        </w:rPr>
        <w:t xml:space="preserve"> </w:t>
      </w:r>
    </w:p>
    <w:p w14:paraId="50F924CF" w14:textId="77777777" w:rsidR="00D7523E" w:rsidRPr="00D7523E" w:rsidRDefault="00D7523E" w:rsidP="00D7523E">
      <w:pPr>
        <w:spacing w:line="360" w:lineRule="auto"/>
        <w:ind w:left="709" w:hanging="709"/>
        <w:jc w:val="both"/>
        <w:rPr>
          <w:rFonts w:cs="Arial"/>
          <w:lang w:val="es-PE"/>
        </w:rPr>
      </w:pPr>
      <w:proofErr w:type="spellStart"/>
      <w:r w:rsidRPr="00D7523E">
        <w:rPr>
          <w:rFonts w:eastAsia="Arial" w:cs="Arial"/>
          <w:color w:val="000000" w:themeColor="text1"/>
        </w:rPr>
        <w:t>Iraurgi</w:t>
      </w:r>
      <w:proofErr w:type="spellEnd"/>
      <w:r w:rsidRPr="00D7523E">
        <w:rPr>
          <w:rFonts w:eastAsia="Arial" w:cs="Arial"/>
          <w:color w:val="000000" w:themeColor="text1"/>
        </w:rPr>
        <w:t xml:space="preserve">, I., Martínez-Pampliega, A., Iriarte, L., &amp; </w:t>
      </w:r>
      <w:proofErr w:type="spellStart"/>
      <w:r w:rsidRPr="00D7523E">
        <w:rPr>
          <w:rFonts w:eastAsia="Arial" w:cs="Arial"/>
          <w:color w:val="000000" w:themeColor="text1"/>
        </w:rPr>
        <w:t>Saenz</w:t>
      </w:r>
      <w:proofErr w:type="spellEnd"/>
      <w:r w:rsidRPr="00D7523E">
        <w:rPr>
          <w:rFonts w:eastAsia="Arial" w:cs="Arial"/>
          <w:color w:val="000000" w:themeColor="text1"/>
        </w:rPr>
        <w:t xml:space="preserve">, M. (2011). Modelo cognitivo-contextual del conflicto </w:t>
      </w:r>
      <w:proofErr w:type="spellStart"/>
      <w:r w:rsidRPr="00D7523E">
        <w:rPr>
          <w:rFonts w:eastAsia="Arial" w:cs="Arial"/>
          <w:color w:val="000000" w:themeColor="text1"/>
        </w:rPr>
        <w:t>interparental</w:t>
      </w:r>
      <w:proofErr w:type="spellEnd"/>
      <w:r w:rsidRPr="00D7523E">
        <w:rPr>
          <w:rFonts w:eastAsia="Arial" w:cs="Arial"/>
          <w:color w:val="000000" w:themeColor="text1"/>
        </w:rPr>
        <w:t xml:space="preserve"> y la adaptación de los hijos</w:t>
      </w:r>
      <w:r w:rsidRPr="00D7523E">
        <w:rPr>
          <w:rFonts w:eastAsia="Arial" w:cs="Arial"/>
          <w:i/>
          <w:iCs/>
          <w:color w:val="000000" w:themeColor="text1"/>
        </w:rPr>
        <w:t>. Anales de Psicología, 27</w:t>
      </w:r>
      <w:r w:rsidRPr="00D7523E">
        <w:rPr>
          <w:rFonts w:eastAsia="Arial" w:cs="Arial"/>
          <w:color w:val="000000" w:themeColor="text1"/>
        </w:rPr>
        <w:t xml:space="preserve">(2), 562-573. </w:t>
      </w:r>
      <w:hyperlink r:id="rId21" w:history="1">
        <w:r w:rsidRPr="00D7523E">
          <w:rPr>
            <w:rStyle w:val="Hipervnculo"/>
            <w:rFonts w:eastAsia="Arial" w:cs="Arial"/>
          </w:rPr>
          <w:t>https://www.redalyc.org/pdf/167/16720051032.pdf</w:t>
        </w:r>
      </w:hyperlink>
      <w:r w:rsidRPr="00D7523E">
        <w:rPr>
          <w:rFonts w:eastAsia="Arial" w:cs="Arial"/>
          <w:color w:val="000000" w:themeColor="text1"/>
        </w:rPr>
        <w:t xml:space="preserve"> </w:t>
      </w:r>
    </w:p>
    <w:p w14:paraId="0105F25E" w14:textId="77777777" w:rsidR="00D7523E" w:rsidRPr="00D7523E" w:rsidRDefault="00D7523E" w:rsidP="00D7523E">
      <w:pPr>
        <w:tabs>
          <w:tab w:val="left" w:pos="567"/>
        </w:tabs>
        <w:spacing w:line="360" w:lineRule="auto"/>
        <w:ind w:left="709" w:hanging="709"/>
        <w:jc w:val="both"/>
        <w:rPr>
          <w:rFonts w:cs="Arial"/>
          <w:lang w:val="es-PE"/>
        </w:rPr>
      </w:pPr>
      <w:r w:rsidRPr="00D7523E">
        <w:rPr>
          <w:rFonts w:cs="Arial"/>
          <w:lang w:val="es-PE"/>
        </w:rPr>
        <w:t>López-</w:t>
      </w:r>
      <w:proofErr w:type="spellStart"/>
      <w:r w:rsidRPr="00D7523E">
        <w:rPr>
          <w:rFonts w:cs="Arial"/>
          <w:lang w:val="es-PE"/>
        </w:rPr>
        <w:t>Mesia</w:t>
      </w:r>
      <w:proofErr w:type="spellEnd"/>
      <w:r w:rsidRPr="00D7523E">
        <w:rPr>
          <w:rFonts w:cs="Arial"/>
          <w:lang w:val="es-PE"/>
        </w:rPr>
        <w:t>, J., Wilhelm-</w:t>
      </w:r>
      <w:proofErr w:type="spellStart"/>
      <w:r w:rsidRPr="00D7523E">
        <w:rPr>
          <w:rFonts w:cs="Arial"/>
          <w:lang w:val="es-PE"/>
        </w:rPr>
        <w:t>Jimenez</w:t>
      </w:r>
      <w:proofErr w:type="spellEnd"/>
      <w:r w:rsidRPr="00D7523E">
        <w:rPr>
          <w:rFonts w:cs="Arial"/>
          <w:lang w:val="es-PE"/>
        </w:rPr>
        <w:t xml:space="preserve">, J., y Silva-Delgado, H. (2024). Asociación entre funcionalidad familiar y violencia adolescente en estudiantes de una institución pública peruana. </w:t>
      </w:r>
      <w:r w:rsidRPr="00D7523E">
        <w:rPr>
          <w:rFonts w:cs="Arial"/>
          <w:i/>
          <w:iCs/>
          <w:lang w:val="es-PE"/>
        </w:rPr>
        <w:t>Revista Cubana de Pediatría</w:t>
      </w:r>
      <w:r w:rsidRPr="00D7523E">
        <w:rPr>
          <w:rFonts w:cs="Arial"/>
          <w:lang w:val="es-PE"/>
        </w:rPr>
        <w:t xml:space="preserve">, 96. </w:t>
      </w:r>
      <w:hyperlink r:id="rId22" w:history="1">
        <w:r w:rsidRPr="00D7523E">
          <w:rPr>
            <w:rStyle w:val="Hipervnculo"/>
            <w:rFonts w:cs="Arial"/>
            <w:lang w:val="es-PE"/>
          </w:rPr>
          <w:t>https://revpediatria.sld.cu/index.php/ped/article/view/5585</w:t>
        </w:r>
      </w:hyperlink>
      <w:r w:rsidRPr="00D7523E">
        <w:rPr>
          <w:rFonts w:cs="Arial"/>
          <w:lang w:val="es-PE"/>
        </w:rPr>
        <w:t xml:space="preserve"> </w:t>
      </w:r>
    </w:p>
    <w:p w14:paraId="5C2FB978" w14:textId="77777777" w:rsidR="00D7523E" w:rsidRPr="00D7523E" w:rsidRDefault="00D7523E" w:rsidP="00D7523E">
      <w:pPr>
        <w:spacing w:line="360" w:lineRule="auto"/>
        <w:ind w:left="709" w:hanging="709"/>
        <w:jc w:val="both"/>
        <w:rPr>
          <w:rFonts w:cs="Arial"/>
          <w:lang w:val="es-PE"/>
        </w:rPr>
      </w:pPr>
      <w:r w:rsidRPr="00D7523E">
        <w:rPr>
          <w:rFonts w:cs="Arial"/>
          <w:lang w:val="es-PE"/>
        </w:rPr>
        <w:t xml:space="preserve">Ministerio de Salud. (2025). </w:t>
      </w:r>
      <w:r w:rsidRPr="00D7523E">
        <w:rPr>
          <w:rFonts w:cs="Arial"/>
          <w:i/>
          <w:iCs/>
          <w:lang w:val="es-PE"/>
        </w:rPr>
        <w:t xml:space="preserve">Defunciones registradas. </w:t>
      </w:r>
      <w:hyperlink r:id="rId23" w:history="1">
        <w:r w:rsidRPr="00D7523E">
          <w:rPr>
            <w:rStyle w:val="Hipervnculo"/>
            <w:rFonts w:cs="Arial"/>
            <w:lang w:val="es-PE"/>
          </w:rPr>
          <w:t>https://www.minsa.gob.pe/reunis/?op=1&amp;niv=1&amp;tbl=1</w:t>
        </w:r>
      </w:hyperlink>
      <w:r w:rsidRPr="00D7523E">
        <w:rPr>
          <w:rFonts w:cs="Arial"/>
          <w:lang w:val="es-PE"/>
        </w:rPr>
        <w:t xml:space="preserve"> </w:t>
      </w:r>
    </w:p>
    <w:p w14:paraId="2DEB08B6" w14:textId="77777777" w:rsidR="00D7523E" w:rsidRPr="00D7523E" w:rsidRDefault="00D7523E" w:rsidP="00D7523E">
      <w:pPr>
        <w:spacing w:line="360" w:lineRule="auto"/>
        <w:ind w:left="709" w:hanging="709"/>
        <w:jc w:val="both"/>
        <w:rPr>
          <w:rFonts w:cs="Arial"/>
        </w:rPr>
      </w:pPr>
      <w:r w:rsidRPr="00D7523E">
        <w:rPr>
          <w:rFonts w:cs="Arial"/>
          <w:lang w:val="es-PE"/>
        </w:rPr>
        <w:t xml:space="preserve">Minuchin, S. (1974) </w:t>
      </w:r>
      <w:r w:rsidRPr="00D7523E">
        <w:rPr>
          <w:rFonts w:cs="Arial"/>
          <w:i/>
          <w:iCs/>
          <w:lang w:val="es-PE"/>
        </w:rPr>
        <w:t>Familias y terapia familiar.</w:t>
      </w:r>
      <w:r w:rsidRPr="00D7523E">
        <w:rPr>
          <w:rFonts w:cs="Arial"/>
          <w:lang w:val="es-PE"/>
        </w:rPr>
        <w:t xml:space="preserve"> Gedisa. </w:t>
      </w:r>
      <w:hyperlink r:id="rId24" w:history="1">
        <w:r w:rsidRPr="00D7523E">
          <w:rPr>
            <w:rStyle w:val="Hipervnculo"/>
            <w:rFonts w:cs="Arial"/>
            <w:lang w:val="es-PE"/>
          </w:rPr>
          <w:t>https://www.cphbidean.net/wp-content/uploads/2017/11/Salvador-Minuchin-Familias-y-terapia-familiar.pdf</w:t>
        </w:r>
      </w:hyperlink>
      <w:r w:rsidRPr="00D7523E">
        <w:rPr>
          <w:rFonts w:cs="Arial"/>
          <w:lang w:val="es-PE"/>
        </w:rPr>
        <w:t xml:space="preserve"> </w:t>
      </w:r>
    </w:p>
    <w:p w14:paraId="2CBA0470" w14:textId="77777777" w:rsidR="00D7523E" w:rsidRPr="00D7523E" w:rsidRDefault="00D7523E" w:rsidP="00D7523E">
      <w:pPr>
        <w:spacing w:line="360" w:lineRule="auto"/>
        <w:ind w:left="709" w:hanging="709"/>
        <w:jc w:val="both"/>
        <w:rPr>
          <w:rFonts w:cs="Arial"/>
        </w:rPr>
      </w:pPr>
      <w:r w:rsidRPr="00D7523E">
        <w:rPr>
          <w:rFonts w:cs="Arial"/>
        </w:rPr>
        <w:lastRenderedPageBreak/>
        <w:t xml:space="preserve">Organización de las Naciones Unidas. (16 de enero del 2020). </w:t>
      </w:r>
      <w:r w:rsidRPr="00D7523E">
        <w:rPr>
          <w:rFonts w:cs="Arial"/>
          <w:i/>
          <w:iCs/>
        </w:rPr>
        <w:t xml:space="preserve">Objetivo 3: Garantizar una vida sana y promover el bienestar para todos en todas las edades. </w:t>
      </w:r>
      <w:hyperlink r:id="rId25" w:history="1">
        <w:r w:rsidRPr="00D7523E">
          <w:rPr>
            <w:rStyle w:val="Hipervnculo"/>
            <w:rFonts w:cs="Arial"/>
          </w:rPr>
          <w:t>https://www.un.org/sustainabledevelopment/es/health/</w:t>
        </w:r>
      </w:hyperlink>
      <w:r w:rsidRPr="00D7523E">
        <w:rPr>
          <w:rFonts w:cs="Arial"/>
        </w:rPr>
        <w:t xml:space="preserve"> </w:t>
      </w:r>
    </w:p>
    <w:p w14:paraId="7748F9C0" w14:textId="77777777" w:rsidR="00D7523E" w:rsidRPr="00D7523E" w:rsidRDefault="00D7523E" w:rsidP="00D7523E">
      <w:pPr>
        <w:spacing w:line="360" w:lineRule="auto"/>
        <w:ind w:left="709" w:hanging="709"/>
        <w:jc w:val="both"/>
        <w:rPr>
          <w:rFonts w:cs="Arial"/>
          <w:lang w:val="es-PE"/>
        </w:rPr>
      </w:pPr>
      <w:r w:rsidRPr="00D7523E">
        <w:rPr>
          <w:rFonts w:cs="Arial"/>
          <w:lang w:val="es-PE"/>
        </w:rPr>
        <w:t>Organización Mundial de la Salud. (</w:t>
      </w:r>
      <w:r w:rsidRPr="00D7523E">
        <w:rPr>
          <w:rFonts w:cs="Arial"/>
        </w:rPr>
        <w:t xml:space="preserve">10 de octubre de </w:t>
      </w:r>
      <w:r w:rsidRPr="00D7523E">
        <w:rPr>
          <w:rFonts w:cs="Arial"/>
          <w:lang w:val="es-PE"/>
        </w:rPr>
        <w:t xml:space="preserve">2024). </w:t>
      </w:r>
      <w:r w:rsidRPr="00D7523E">
        <w:rPr>
          <w:rFonts w:cs="Arial"/>
          <w:i/>
          <w:iCs/>
          <w:lang w:val="es-PE"/>
        </w:rPr>
        <w:t>La salud mental de los adolescentes.</w:t>
      </w:r>
      <w:r w:rsidRPr="00D7523E">
        <w:rPr>
          <w:rFonts w:cs="Arial"/>
          <w:lang w:val="es-PE"/>
        </w:rPr>
        <w:t xml:space="preserve"> </w:t>
      </w:r>
      <w:hyperlink r:id="rId26" w:history="1">
        <w:r w:rsidRPr="00D7523E">
          <w:rPr>
            <w:rStyle w:val="Hipervnculo"/>
            <w:rFonts w:cs="Arial"/>
            <w:lang w:val="es-PE"/>
          </w:rPr>
          <w:t>https://www.who.int/es/news-room/fact-sheets/detail/adolescent-mental-health</w:t>
        </w:r>
      </w:hyperlink>
      <w:r w:rsidRPr="00D7523E">
        <w:rPr>
          <w:rFonts w:cs="Arial"/>
          <w:lang w:val="es-PE"/>
        </w:rPr>
        <w:t xml:space="preserve"> </w:t>
      </w:r>
    </w:p>
    <w:p w14:paraId="45A23C60" w14:textId="77777777" w:rsidR="00D7523E" w:rsidRPr="00D7523E" w:rsidRDefault="00D7523E" w:rsidP="00D7523E">
      <w:pPr>
        <w:spacing w:line="360" w:lineRule="auto"/>
        <w:ind w:left="709" w:hanging="709"/>
        <w:jc w:val="both"/>
        <w:rPr>
          <w:rFonts w:cs="Arial"/>
          <w:lang w:val="es-PE"/>
        </w:rPr>
      </w:pPr>
      <w:r w:rsidRPr="00D7523E">
        <w:rPr>
          <w:rFonts w:cs="Arial"/>
          <w:lang w:val="es-PE"/>
        </w:rPr>
        <w:t xml:space="preserve">Organización Panamericana de la Salud (2021) </w:t>
      </w:r>
      <w:r w:rsidRPr="00D7523E">
        <w:rPr>
          <w:rFonts w:cs="Arial"/>
          <w:i/>
          <w:iCs/>
          <w:lang w:val="es-PE"/>
        </w:rPr>
        <w:t xml:space="preserve">La OPS insta a priorizar la prevención del suicidio tras 18 meses de pandemia por COVID-19. </w:t>
      </w:r>
      <w:hyperlink r:id="rId27" w:history="1">
        <w:r w:rsidRPr="00D7523E">
          <w:rPr>
            <w:rStyle w:val="Hipervnculo"/>
            <w:rFonts w:cs="Arial"/>
            <w:lang w:val="es-PE"/>
          </w:rPr>
          <w:t>https://www.paho.org/es/noticias/9-9-2021-ops-insta-priorizar-prevencion-suicidio-tras-18-meses-pandemia-por-covid-19</w:t>
        </w:r>
      </w:hyperlink>
      <w:r w:rsidRPr="00D7523E">
        <w:rPr>
          <w:rFonts w:cs="Arial"/>
          <w:lang w:val="es-PE"/>
        </w:rPr>
        <w:t xml:space="preserve"> </w:t>
      </w:r>
    </w:p>
    <w:p w14:paraId="7BF31200" w14:textId="77777777" w:rsidR="00D7523E" w:rsidRPr="00D7523E" w:rsidRDefault="00D7523E" w:rsidP="00D7523E">
      <w:pPr>
        <w:spacing w:line="360" w:lineRule="auto"/>
        <w:ind w:left="709" w:hanging="709"/>
        <w:jc w:val="both"/>
        <w:rPr>
          <w:rFonts w:cs="Arial"/>
          <w:lang w:val="es-PE"/>
        </w:rPr>
      </w:pPr>
      <w:bookmarkStart w:id="22" w:name="_Hlk194683370"/>
      <w:proofErr w:type="spellStart"/>
      <w:r w:rsidRPr="00D7523E">
        <w:rPr>
          <w:rFonts w:cs="Arial"/>
          <w:lang w:val="es-PE"/>
        </w:rPr>
        <w:t>Orue</w:t>
      </w:r>
      <w:proofErr w:type="spellEnd"/>
      <w:r w:rsidRPr="00D7523E">
        <w:rPr>
          <w:rFonts w:cs="Arial"/>
          <w:lang w:val="es-PE"/>
        </w:rPr>
        <w:t xml:space="preserve">, I. &amp; Calvete, E. (2010). Elaboración y validación de un cuestionario para medir la exposición a la violencia en infancia y adolescencia. </w:t>
      </w:r>
      <w:r w:rsidRPr="00D7523E">
        <w:rPr>
          <w:rFonts w:cs="Arial"/>
          <w:i/>
          <w:iCs/>
          <w:lang w:val="es-PE"/>
        </w:rPr>
        <w:t xml:space="preserve">International </w:t>
      </w:r>
      <w:proofErr w:type="spellStart"/>
      <w:r w:rsidRPr="00D7523E">
        <w:rPr>
          <w:rFonts w:cs="Arial"/>
          <w:i/>
          <w:iCs/>
          <w:lang w:val="es-PE"/>
        </w:rPr>
        <w:t>Journal</w:t>
      </w:r>
      <w:proofErr w:type="spellEnd"/>
      <w:r w:rsidRPr="00D7523E">
        <w:rPr>
          <w:rFonts w:cs="Arial"/>
          <w:i/>
          <w:iCs/>
          <w:lang w:val="es-PE"/>
        </w:rPr>
        <w:t xml:space="preserve"> </w:t>
      </w:r>
      <w:proofErr w:type="spellStart"/>
      <w:r w:rsidRPr="00D7523E">
        <w:rPr>
          <w:rFonts w:cs="Arial"/>
          <w:i/>
          <w:iCs/>
          <w:lang w:val="es-PE"/>
        </w:rPr>
        <w:t>of</w:t>
      </w:r>
      <w:proofErr w:type="spellEnd"/>
      <w:r w:rsidRPr="00D7523E">
        <w:rPr>
          <w:rFonts w:cs="Arial"/>
          <w:i/>
          <w:iCs/>
          <w:lang w:val="es-PE"/>
        </w:rPr>
        <w:t xml:space="preserve"> </w:t>
      </w:r>
      <w:proofErr w:type="spellStart"/>
      <w:r w:rsidRPr="00D7523E">
        <w:rPr>
          <w:rFonts w:cs="Arial"/>
          <w:i/>
          <w:iCs/>
          <w:lang w:val="es-PE"/>
        </w:rPr>
        <w:t>Psychology</w:t>
      </w:r>
      <w:proofErr w:type="spellEnd"/>
      <w:r w:rsidRPr="00D7523E">
        <w:rPr>
          <w:rFonts w:cs="Arial"/>
          <w:i/>
          <w:iCs/>
          <w:lang w:val="es-PE"/>
        </w:rPr>
        <w:t xml:space="preserve"> and </w:t>
      </w:r>
      <w:proofErr w:type="spellStart"/>
      <w:r w:rsidRPr="00D7523E">
        <w:rPr>
          <w:rFonts w:cs="Arial"/>
          <w:i/>
          <w:iCs/>
          <w:lang w:val="es-PE"/>
        </w:rPr>
        <w:t>Psychological</w:t>
      </w:r>
      <w:proofErr w:type="spellEnd"/>
      <w:r w:rsidRPr="00D7523E">
        <w:rPr>
          <w:rFonts w:cs="Arial"/>
          <w:i/>
          <w:iCs/>
          <w:lang w:val="es-PE"/>
        </w:rPr>
        <w:t xml:space="preserve"> </w:t>
      </w:r>
      <w:proofErr w:type="spellStart"/>
      <w:r w:rsidRPr="00D7523E">
        <w:rPr>
          <w:rFonts w:cs="Arial"/>
          <w:i/>
          <w:iCs/>
          <w:lang w:val="es-PE"/>
        </w:rPr>
        <w:t>Therapy</w:t>
      </w:r>
      <w:proofErr w:type="spellEnd"/>
      <w:r w:rsidRPr="00D7523E">
        <w:rPr>
          <w:rFonts w:cs="Arial"/>
          <w:lang w:val="es-PE"/>
        </w:rPr>
        <w:t xml:space="preserve">, 2, 279-292. </w:t>
      </w:r>
      <w:hyperlink r:id="rId28" w:history="1">
        <w:r w:rsidRPr="00D7523E">
          <w:rPr>
            <w:rStyle w:val="Hipervnculo"/>
            <w:rFonts w:cs="Arial"/>
            <w:lang w:val="es-PE"/>
          </w:rPr>
          <w:t>https://www.ijpsy.com/volumen10/num2/262/elaboracin-y-validacin-de-un-cuestionario-ES.pdf</w:t>
        </w:r>
      </w:hyperlink>
      <w:bookmarkEnd w:id="22"/>
      <w:r w:rsidRPr="00D7523E">
        <w:rPr>
          <w:rFonts w:cs="Arial"/>
          <w:lang w:val="es-PE"/>
        </w:rPr>
        <w:t xml:space="preserve"> </w:t>
      </w:r>
    </w:p>
    <w:p w14:paraId="3706961E" w14:textId="77777777" w:rsidR="00D7523E" w:rsidRPr="00D7523E" w:rsidRDefault="00D7523E" w:rsidP="00D7523E">
      <w:pPr>
        <w:spacing w:line="360" w:lineRule="auto"/>
        <w:ind w:left="709" w:hanging="709"/>
        <w:jc w:val="both"/>
        <w:rPr>
          <w:rFonts w:cs="Arial"/>
          <w:color w:val="0563C1" w:themeColor="hyperlink"/>
          <w:u w:val="single"/>
        </w:rPr>
      </w:pPr>
      <w:r w:rsidRPr="00D7523E">
        <w:rPr>
          <w:rStyle w:val="Hipervnculo"/>
          <w:rFonts w:cs="Arial"/>
          <w:color w:val="000000" w:themeColor="text1"/>
        </w:rPr>
        <w:t xml:space="preserve">Quispe-Prieto, S., </w:t>
      </w:r>
      <w:proofErr w:type="spellStart"/>
      <w:r w:rsidRPr="00D7523E">
        <w:rPr>
          <w:rStyle w:val="Hipervnculo"/>
          <w:rFonts w:cs="Arial"/>
          <w:color w:val="000000" w:themeColor="text1"/>
        </w:rPr>
        <w:t>Paucar</w:t>
      </w:r>
      <w:proofErr w:type="spellEnd"/>
      <w:r w:rsidRPr="00D7523E">
        <w:rPr>
          <w:rStyle w:val="Hipervnculo"/>
          <w:rFonts w:cs="Arial"/>
          <w:color w:val="000000" w:themeColor="text1"/>
        </w:rPr>
        <w:t xml:space="preserve">-Cáceres, A., </w:t>
      </w:r>
      <w:proofErr w:type="spellStart"/>
      <w:r w:rsidRPr="00D7523E">
        <w:rPr>
          <w:rStyle w:val="Hipervnculo"/>
          <w:rFonts w:cs="Arial"/>
          <w:color w:val="000000" w:themeColor="text1"/>
        </w:rPr>
        <w:t>Vizcacho-Jimenez</w:t>
      </w:r>
      <w:proofErr w:type="spellEnd"/>
      <w:r w:rsidRPr="00D7523E">
        <w:rPr>
          <w:rStyle w:val="Hipervnculo"/>
          <w:rFonts w:cs="Arial"/>
          <w:color w:val="000000" w:themeColor="text1"/>
        </w:rPr>
        <w:t xml:space="preserve">, E., Werner-Masters, K., &amp; </w:t>
      </w:r>
      <w:proofErr w:type="spellStart"/>
      <w:r w:rsidRPr="00D7523E">
        <w:rPr>
          <w:rStyle w:val="Hipervnculo"/>
          <w:rFonts w:cs="Arial"/>
          <w:color w:val="000000" w:themeColor="text1"/>
        </w:rPr>
        <w:t>Caipa</w:t>
      </w:r>
      <w:proofErr w:type="spellEnd"/>
      <w:r w:rsidRPr="00D7523E">
        <w:rPr>
          <w:rStyle w:val="Hipervnculo"/>
          <w:rFonts w:cs="Arial"/>
          <w:color w:val="000000" w:themeColor="text1"/>
        </w:rPr>
        <w:t>-Ramos, M. (2025).</w:t>
      </w:r>
      <w:r w:rsidRPr="00D7523E">
        <w:rPr>
          <w:rFonts w:cs="Arial"/>
          <w:color w:val="000000" w:themeColor="text1"/>
        </w:rPr>
        <w:t xml:space="preserve"> </w:t>
      </w:r>
      <w:proofErr w:type="spellStart"/>
      <w:r w:rsidRPr="00D7523E">
        <w:rPr>
          <w:rFonts w:cs="Arial"/>
          <w:color w:val="000000" w:themeColor="text1"/>
        </w:rPr>
        <w:t>Family</w:t>
      </w:r>
      <w:proofErr w:type="spellEnd"/>
      <w:r w:rsidRPr="00D7523E">
        <w:rPr>
          <w:rFonts w:cs="Arial"/>
          <w:color w:val="000000" w:themeColor="text1"/>
        </w:rPr>
        <w:t xml:space="preserve"> </w:t>
      </w:r>
      <w:proofErr w:type="spellStart"/>
      <w:r w:rsidRPr="00D7523E">
        <w:rPr>
          <w:rFonts w:cs="Arial"/>
          <w:color w:val="000000" w:themeColor="text1"/>
        </w:rPr>
        <w:t>Functionality</w:t>
      </w:r>
      <w:proofErr w:type="spellEnd"/>
      <w:r w:rsidRPr="00D7523E">
        <w:rPr>
          <w:rFonts w:cs="Arial"/>
          <w:color w:val="000000" w:themeColor="text1"/>
        </w:rPr>
        <w:t xml:space="preserve"> and </w:t>
      </w:r>
      <w:proofErr w:type="spellStart"/>
      <w:r w:rsidRPr="00D7523E">
        <w:rPr>
          <w:rFonts w:cs="Arial"/>
          <w:color w:val="000000" w:themeColor="text1"/>
        </w:rPr>
        <w:t>Dating</w:t>
      </w:r>
      <w:proofErr w:type="spellEnd"/>
      <w:r w:rsidRPr="00D7523E">
        <w:rPr>
          <w:rFonts w:cs="Arial"/>
          <w:color w:val="000000" w:themeColor="text1"/>
        </w:rPr>
        <w:t xml:space="preserve"> </w:t>
      </w:r>
      <w:proofErr w:type="spellStart"/>
      <w:r w:rsidRPr="00D7523E">
        <w:rPr>
          <w:rFonts w:cs="Arial"/>
          <w:color w:val="000000" w:themeColor="text1"/>
        </w:rPr>
        <w:t>Violence</w:t>
      </w:r>
      <w:proofErr w:type="spellEnd"/>
      <w:r w:rsidRPr="00D7523E">
        <w:rPr>
          <w:rFonts w:cs="Arial"/>
          <w:color w:val="000000" w:themeColor="text1"/>
        </w:rPr>
        <w:t xml:space="preserve"> </w:t>
      </w:r>
      <w:proofErr w:type="spellStart"/>
      <w:r w:rsidRPr="00D7523E">
        <w:rPr>
          <w:rFonts w:cs="Arial"/>
          <w:color w:val="000000" w:themeColor="text1"/>
        </w:rPr>
        <w:t>Among</w:t>
      </w:r>
      <w:proofErr w:type="spellEnd"/>
      <w:r w:rsidRPr="00D7523E">
        <w:rPr>
          <w:rFonts w:cs="Arial"/>
          <w:color w:val="000000" w:themeColor="text1"/>
        </w:rPr>
        <w:t xml:space="preserve"> High </w:t>
      </w:r>
      <w:proofErr w:type="spellStart"/>
      <w:r w:rsidRPr="00D7523E">
        <w:rPr>
          <w:rFonts w:cs="Arial"/>
          <w:color w:val="000000" w:themeColor="text1"/>
        </w:rPr>
        <w:t>School</w:t>
      </w:r>
      <w:proofErr w:type="spellEnd"/>
      <w:r w:rsidRPr="00D7523E">
        <w:rPr>
          <w:rFonts w:cs="Arial"/>
          <w:color w:val="000000" w:themeColor="text1"/>
        </w:rPr>
        <w:t xml:space="preserve"> </w:t>
      </w:r>
      <w:proofErr w:type="spellStart"/>
      <w:r w:rsidRPr="00D7523E">
        <w:rPr>
          <w:rFonts w:cs="Arial"/>
          <w:color w:val="000000" w:themeColor="text1"/>
        </w:rPr>
        <w:t>Studentes</w:t>
      </w:r>
      <w:proofErr w:type="spellEnd"/>
      <w:r w:rsidRPr="00D7523E">
        <w:rPr>
          <w:rFonts w:cs="Arial"/>
          <w:color w:val="000000" w:themeColor="text1"/>
        </w:rPr>
        <w:t xml:space="preserve"> in </w:t>
      </w:r>
      <w:proofErr w:type="spellStart"/>
      <w:r w:rsidRPr="00D7523E">
        <w:rPr>
          <w:rFonts w:cs="Arial"/>
          <w:color w:val="000000" w:themeColor="text1"/>
        </w:rPr>
        <w:t>Southern</w:t>
      </w:r>
      <w:proofErr w:type="spellEnd"/>
      <w:r w:rsidRPr="00D7523E">
        <w:rPr>
          <w:rFonts w:cs="Arial"/>
          <w:color w:val="000000" w:themeColor="text1"/>
        </w:rPr>
        <w:t xml:space="preserve"> </w:t>
      </w:r>
      <w:proofErr w:type="spellStart"/>
      <w:r w:rsidRPr="00D7523E">
        <w:rPr>
          <w:rFonts w:cs="Arial"/>
          <w:color w:val="000000" w:themeColor="text1"/>
        </w:rPr>
        <w:t>Peru</w:t>
      </w:r>
      <w:proofErr w:type="spellEnd"/>
      <w:r w:rsidRPr="00D7523E">
        <w:rPr>
          <w:rFonts w:cs="Arial"/>
          <w:color w:val="000000" w:themeColor="text1"/>
        </w:rPr>
        <w:t xml:space="preserve">. </w:t>
      </w:r>
      <w:proofErr w:type="spellStart"/>
      <w:r w:rsidRPr="00D7523E">
        <w:rPr>
          <w:rFonts w:cs="Arial"/>
          <w:i/>
          <w:iCs/>
          <w:color w:val="000000" w:themeColor="text1"/>
        </w:rPr>
        <w:t>Adolescents</w:t>
      </w:r>
      <w:proofErr w:type="spellEnd"/>
      <w:r w:rsidRPr="00D7523E">
        <w:rPr>
          <w:rFonts w:cs="Arial"/>
          <w:i/>
          <w:iCs/>
          <w:color w:val="000000" w:themeColor="text1"/>
        </w:rPr>
        <w:t>, 5</w:t>
      </w:r>
      <w:r w:rsidRPr="00D7523E">
        <w:rPr>
          <w:rFonts w:cs="Arial"/>
          <w:color w:val="000000" w:themeColor="text1"/>
        </w:rPr>
        <w:t xml:space="preserve">(1), 9. </w:t>
      </w:r>
      <w:hyperlink r:id="rId29" w:history="1">
        <w:r w:rsidRPr="00D7523E">
          <w:rPr>
            <w:rStyle w:val="Hipervnculo"/>
            <w:rFonts w:cs="Arial"/>
          </w:rPr>
          <w:t>https://doi.org/10.3390/adolescents5010009</w:t>
        </w:r>
      </w:hyperlink>
      <w:r w:rsidRPr="00D7523E">
        <w:rPr>
          <w:rFonts w:cs="Arial"/>
          <w:color w:val="0563C1" w:themeColor="hyperlink"/>
          <w:u w:val="single"/>
        </w:rPr>
        <w:t xml:space="preserve"> </w:t>
      </w:r>
    </w:p>
    <w:p w14:paraId="12B9CA27" w14:textId="77777777" w:rsidR="00D7523E" w:rsidRPr="00D7523E" w:rsidRDefault="00D7523E" w:rsidP="00D7523E">
      <w:pPr>
        <w:spacing w:line="360" w:lineRule="auto"/>
        <w:ind w:left="709" w:hanging="709"/>
        <w:jc w:val="both"/>
        <w:rPr>
          <w:rFonts w:cs="Arial"/>
          <w:lang w:val="es-PE"/>
        </w:rPr>
      </w:pPr>
      <w:r w:rsidRPr="00D7523E">
        <w:rPr>
          <w:rFonts w:cs="Arial"/>
          <w:lang w:val="es-PE"/>
        </w:rPr>
        <w:t xml:space="preserve">Rodríguez-Arista, G. E., Rodríguez-Díaz, D. R. &amp; Correa-Arangoitia, A. E. (2021) Relación entre disfunción familiar y trastorno de ansiedad e ideación suicida en escolares. </w:t>
      </w:r>
      <w:r w:rsidRPr="00D7523E">
        <w:rPr>
          <w:rFonts w:cs="Arial"/>
          <w:i/>
          <w:iCs/>
          <w:lang w:val="es-PE"/>
        </w:rPr>
        <w:t xml:space="preserve">UCV </w:t>
      </w:r>
      <w:proofErr w:type="spellStart"/>
      <w:r w:rsidRPr="00D7523E">
        <w:rPr>
          <w:rFonts w:cs="Arial"/>
          <w:i/>
          <w:iCs/>
          <w:lang w:val="es-PE"/>
        </w:rPr>
        <w:t>Sci</w:t>
      </w:r>
      <w:proofErr w:type="spellEnd"/>
      <w:r w:rsidRPr="00D7523E">
        <w:rPr>
          <w:rFonts w:cs="Arial"/>
          <w:i/>
          <w:iCs/>
          <w:lang w:val="es-PE"/>
        </w:rPr>
        <w:t xml:space="preserve">. </w:t>
      </w:r>
      <w:proofErr w:type="spellStart"/>
      <w:r w:rsidRPr="00D7523E">
        <w:rPr>
          <w:rFonts w:cs="Arial"/>
          <w:i/>
          <w:iCs/>
          <w:lang w:val="es-PE"/>
        </w:rPr>
        <w:t>Biomed</w:t>
      </w:r>
      <w:proofErr w:type="spellEnd"/>
      <w:r w:rsidRPr="00D7523E">
        <w:rPr>
          <w:rFonts w:cs="Arial"/>
          <w:i/>
          <w:iCs/>
          <w:lang w:val="es-PE"/>
        </w:rPr>
        <w:t>. 4</w:t>
      </w:r>
      <w:r w:rsidRPr="00D7523E">
        <w:rPr>
          <w:rFonts w:cs="Arial"/>
          <w:lang w:val="es-PE"/>
        </w:rPr>
        <w:t xml:space="preserve">(1), 7-14. </w:t>
      </w:r>
      <w:hyperlink r:id="rId30" w:history="1">
        <w:r w:rsidRPr="00D7523E">
          <w:rPr>
            <w:rStyle w:val="Hipervnculo"/>
            <w:rFonts w:cs="Arial"/>
            <w:lang w:val="es-PE"/>
          </w:rPr>
          <w:t>https://doi.org/10.18050/ucvscientiabiomedica.v4i1.01</w:t>
        </w:r>
      </w:hyperlink>
      <w:r w:rsidRPr="00D7523E">
        <w:rPr>
          <w:rFonts w:cs="Arial"/>
          <w:lang w:val="es-PE"/>
        </w:rPr>
        <w:t xml:space="preserve"> </w:t>
      </w:r>
    </w:p>
    <w:p w14:paraId="7C8CF80E" w14:textId="77777777" w:rsidR="00D7523E" w:rsidRPr="00D7523E" w:rsidRDefault="00D7523E" w:rsidP="00D7523E">
      <w:pPr>
        <w:spacing w:line="360" w:lineRule="auto"/>
        <w:ind w:left="709" w:hanging="709"/>
        <w:jc w:val="both"/>
        <w:rPr>
          <w:rFonts w:cs="Arial"/>
        </w:rPr>
      </w:pPr>
      <w:r w:rsidRPr="00D7523E">
        <w:rPr>
          <w:rFonts w:cs="Arial"/>
          <w:lang w:val="es-PE"/>
        </w:rPr>
        <w:t xml:space="preserve">Rueda Espinoza, K. M. &amp; Suárez López, A. G. (2022). Relación entre la ideación suicida y violencia de parejas en redes sociales en adolescentes. </w:t>
      </w:r>
      <w:r w:rsidRPr="00D7523E">
        <w:rPr>
          <w:rFonts w:cs="Arial"/>
          <w:i/>
          <w:iCs/>
          <w:lang w:val="es-PE"/>
        </w:rPr>
        <w:t>Revista psicología UNEMI, 7</w:t>
      </w:r>
      <w:r w:rsidRPr="00D7523E">
        <w:rPr>
          <w:rFonts w:cs="Arial"/>
          <w:lang w:val="es-PE"/>
        </w:rPr>
        <w:t xml:space="preserve">(12), 77-87. </w:t>
      </w:r>
      <w:hyperlink r:id="rId31" w:history="1">
        <w:r w:rsidRPr="00D7523E">
          <w:rPr>
            <w:rStyle w:val="Hipervnculo"/>
            <w:rFonts w:cs="Arial"/>
          </w:rPr>
          <w:t>https://doi.org/10.29076/issn.2602-8379vol7iss12.2023pp77-87p</w:t>
        </w:r>
      </w:hyperlink>
      <w:r w:rsidRPr="00D7523E">
        <w:rPr>
          <w:rFonts w:cs="Arial"/>
        </w:rPr>
        <w:t xml:space="preserve"> </w:t>
      </w:r>
    </w:p>
    <w:p w14:paraId="471532A3" w14:textId="77777777" w:rsidR="00D7523E" w:rsidRPr="00D7523E" w:rsidRDefault="00D7523E" w:rsidP="00D7523E">
      <w:pPr>
        <w:spacing w:line="360" w:lineRule="auto"/>
        <w:ind w:left="709" w:hanging="709"/>
        <w:jc w:val="both"/>
        <w:rPr>
          <w:rFonts w:cs="Arial"/>
          <w:lang w:val="es-PE"/>
        </w:rPr>
      </w:pPr>
      <w:proofErr w:type="spellStart"/>
      <w:r w:rsidRPr="00D7523E">
        <w:rPr>
          <w:rFonts w:cs="Arial"/>
          <w:lang w:val="es-PE"/>
        </w:rPr>
        <w:t>Smilkstein</w:t>
      </w:r>
      <w:proofErr w:type="spellEnd"/>
      <w:r w:rsidRPr="00D7523E">
        <w:rPr>
          <w:rFonts w:cs="Arial"/>
          <w:lang w:val="es-PE"/>
        </w:rPr>
        <w:t xml:space="preserve">, G. (1978). </w:t>
      </w:r>
      <w:proofErr w:type="spellStart"/>
      <w:r w:rsidRPr="00D7523E">
        <w:rPr>
          <w:rFonts w:cs="Arial"/>
          <w:lang w:val="es-PE"/>
        </w:rPr>
        <w:t>The</w:t>
      </w:r>
      <w:proofErr w:type="spellEnd"/>
      <w:r w:rsidRPr="00D7523E">
        <w:rPr>
          <w:rFonts w:cs="Arial"/>
          <w:lang w:val="es-PE"/>
        </w:rPr>
        <w:t xml:space="preserve"> </w:t>
      </w:r>
      <w:proofErr w:type="spellStart"/>
      <w:r w:rsidRPr="00D7523E">
        <w:rPr>
          <w:rFonts w:cs="Arial"/>
          <w:lang w:val="es-PE"/>
        </w:rPr>
        <w:t>family</w:t>
      </w:r>
      <w:proofErr w:type="spellEnd"/>
      <w:r w:rsidRPr="00D7523E">
        <w:rPr>
          <w:rFonts w:cs="Arial"/>
          <w:lang w:val="es-PE"/>
        </w:rPr>
        <w:t xml:space="preserve"> APGAR: a </w:t>
      </w:r>
      <w:proofErr w:type="spellStart"/>
      <w:r w:rsidRPr="00D7523E">
        <w:rPr>
          <w:rFonts w:cs="Arial"/>
          <w:lang w:val="es-PE"/>
        </w:rPr>
        <w:t>proposal</w:t>
      </w:r>
      <w:proofErr w:type="spellEnd"/>
      <w:r w:rsidRPr="00D7523E">
        <w:rPr>
          <w:rFonts w:cs="Arial"/>
          <w:lang w:val="es-PE"/>
        </w:rPr>
        <w:t xml:space="preserve"> </w:t>
      </w:r>
      <w:proofErr w:type="spellStart"/>
      <w:r w:rsidRPr="00D7523E">
        <w:rPr>
          <w:rFonts w:cs="Arial"/>
          <w:lang w:val="es-PE"/>
        </w:rPr>
        <w:t>for</w:t>
      </w:r>
      <w:proofErr w:type="spellEnd"/>
      <w:r w:rsidRPr="00D7523E">
        <w:rPr>
          <w:rFonts w:cs="Arial"/>
          <w:lang w:val="es-PE"/>
        </w:rPr>
        <w:t xml:space="preserve"> a </w:t>
      </w:r>
      <w:proofErr w:type="spellStart"/>
      <w:r w:rsidRPr="00D7523E">
        <w:rPr>
          <w:rFonts w:cs="Arial"/>
          <w:lang w:val="es-PE"/>
        </w:rPr>
        <w:t>family</w:t>
      </w:r>
      <w:proofErr w:type="spellEnd"/>
      <w:r w:rsidRPr="00D7523E">
        <w:rPr>
          <w:rFonts w:cs="Arial"/>
          <w:lang w:val="es-PE"/>
        </w:rPr>
        <w:t xml:space="preserve"> </w:t>
      </w:r>
      <w:proofErr w:type="spellStart"/>
      <w:r w:rsidRPr="00D7523E">
        <w:rPr>
          <w:rFonts w:cs="Arial"/>
          <w:lang w:val="es-PE"/>
        </w:rPr>
        <w:t>function</w:t>
      </w:r>
      <w:proofErr w:type="spellEnd"/>
      <w:r w:rsidRPr="00D7523E">
        <w:rPr>
          <w:rFonts w:cs="Arial"/>
          <w:lang w:val="es-PE"/>
        </w:rPr>
        <w:t xml:space="preserve"> test and </w:t>
      </w:r>
      <w:proofErr w:type="spellStart"/>
      <w:r w:rsidRPr="00D7523E">
        <w:rPr>
          <w:rFonts w:cs="Arial"/>
          <w:lang w:val="es-PE"/>
        </w:rPr>
        <w:t>its</w:t>
      </w:r>
      <w:proofErr w:type="spellEnd"/>
      <w:r w:rsidRPr="00D7523E">
        <w:rPr>
          <w:rFonts w:cs="Arial"/>
          <w:lang w:val="es-PE"/>
        </w:rPr>
        <w:t xml:space="preserve"> use </w:t>
      </w:r>
      <w:proofErr w:type="spellStart"/>
      <w:r w:rsidRPr="00D7523E">
        <w:rPr>
          <w:rFonts w:cs="Arial"/>
          <w:lang w:val="es-PE"/>
        </w:rPr>
        <w:t>by</w:t>
      </w:r>
      <w:proofErr w:type="spellEnd"/>
      <w:r w:rsidRPr="00D7523E">
        <w:rPr>
          <w:rFonts w:cs="Arial"/>
          <w:lang w:val="es-PE"/>
        </w:rPr>
        <w:t xml:space="preserve"> </w:t>
      </w:r>
      <w:proofErr w:type="spellStart"/>
      <w:r w:rsidRPr="00D7523E">
        <w:rPr>
          <w:rFonts w:cs="Arial"/>
          <w:lang w:val="es-PE"/>
        </w:rPr>
        <w:t>physicians</w:t>
      </w:r>
      <w:proofErr w:type="spellEnd"/>
      <w:r w:rsidRPr="00D7523E">
        <w:rPr>
          <w:rFonts w:cs="Arial"/>
          <w:lang w:val="es-PE"/>
        </w:rPr>
        <w:t xml:space="preserve">. </w:t>
      </w:r>
      <w:proofErr w:type="spellStart"/>
      <w:r w:rsidRPr="00D7523E">
        <w:rPr>
          <w:rFonts w:cs="Arial"/>
          <w:i/>
          <w:iCs/>
          <w:lang w:val="es-PE"/>
        </w:rPr>
        <w:t>Journal</w:t>
      </w:r>
      <w:proofErr w:type="spellEnd"/>
      <w:r w:rsidRPr="00D7523E">
        <w:rPr>
          <w:rFonts w:cs="Arial"/>
          <w:i/>
          <w:iCs/>
          <w:lang w:val="es-PE"/>
        </w:rPr>
        <w:t xml:space="preserve"> </w:t>
      </w:r>
      <w:proofErr w:type="spellStart"/>
      <w:r w:rsidRPr="00D7523E">
        <w:rPr>
          <w:rFonts w:cs="Arial"/>
          <w:i/>
          <w:iCs/>
          <w:lang w:val="es-PE"/>
        </w:rPr>
        <w:t>of</w:t>
      </w:r>
      <w:proofErr w:type="spellEnd"/>
      <w:r w:rsidRPr="00D7523E">
        <w:rPr>
          <w:rFonts w:cs="Arial"/>
          <w:i/>
          <w:iCs/>
          <w:lang w:val="es-PE"/>
        </w:rPr>
        <w:t xml:space="preserve"> </w:t>
      </w:r>
      <w:proofErr w:type="spellStart"/>
      <w:r w:rsidRPr="00D7523E">
        <w:rPr>
          <w:rFonts w:cs="Arial"/>
          <w:i/>
          <w:iCs/>
          <w:lang w:val="es-PE"/>
        </w:rPr>
        <w:t>Family</w:t>
      </w:r>
      <w:proofErr w:type="spellEnd"/>
      <w:r w:rsidRPr="00D7523E">
        <w:rPr>
          <w:rFonts w:cs="Arial"/>
          <w:i/>
          <w:iCs/>
          <w:lang w:val="es-PE"/>
        </w:rPr>
        <w:t xml:space="preserve"> </w:t>
      </w:r>
      <w:proofErr w:type="spellStart"/>
      <w:r w:rsidRPr="00D7523E">
        <w:rPr>
          <w:rFonts w:cs="Arial"/>
          <w:i/>
          <w:iCs/>
          <w:lang w:val="es-PE"/>
        </w:rPr>
        <w:t>Practice</w:t>
      </w:r>
      <w:proofErr w:type="spellEnd"/>
      <w:r w:rsidRPr="00D7523E">
        <w:rPr>
          <w:rFonts w:cs="Arial"/>
          <w:i/>
          <w:iCs/>
          <w:lang w:val="es-PE"/>
        </w:rPr>
        <w:t>,</w:t>
      </w:r>
      <w:r w:rsidRPr="00D7523E">
        <w:rPr>
          <w:rFonts w:cs="Arial"/>
          <w:lang w:val="es-PE"/>
        </w:rPr>
        <w:t xml:space="preserve"> </w:t>
      </w:r>
      <w:r w:rsidRPr="00D7523E">
        <w:rPr>
          <w:rFonts w:cs="Arial"/>
          <w:i/>
          <w:iCs/>
          <w:lang w:val="es-PE"/>
        </w:rPr>
        <w:t>6</w:t>
      </w:r>
      <w:r w:rsidRPr="00D7523E">
        <w:rPr>
          <w:rFonts w:cs="Arial"/>
          <w:lang w:val="es-PE"/>
        </w:rPr>
        <w:t xml:space="preserve">(6), 1231-1239. </w:t>
      </w:r>
      <w:hyperlink r:id="rId32" w:history="1">
        <w:r w:rsidRPr="00D7523E">
          <w:rPr>
            <w:rStyle w:val="Hipervnculo"/>
            <w:rFonts w:cs="Arial"/>
            <w:lang w:val="es-PE"/>
          </w:rPr>
          <w:t>https://cdn.mdedge.com/files/s3fs-public/jfp-archived-issues/1978-volume_6-7/JFP_1978-06_v6_i6_the-family-apgar-a-proposal-for-a-family.pdf</w:t>
        </w:r>
      </w:hyperlink>
      <w:r w:rsidRPr="00D7523E">
        <w:rPr>
          <w:rFonts w:cs="Arial"/>
          <w:lang w:val="es-PE"/>
        </w:rPr>
        <w:t xml:space="preserve"> </w:t>
      </w:r>
    </w:p>
    <w:p w14:paraId="1344734E" w14:textId="77777777" w:rsidR="00D7523E" w:rsidRPr="00D37604" w:rsidRDefault="00D7523E" w:rsidP="00D7523E">
      <w:pPr>
        <w:spacing w:line="360" w:lineRule="auto"/>
        <w:ind w:left="709" w:hanging="709"/>
        <w:jc w:val="both"/>
        <w:rPr>
          <w:rFonts w:cs="Arial"/>
          <w:color w:val="0563C1" w:themeColor="hyperlink"/>
          <w:u w:val="single"/>
        </w:rPr>
      </w:pPr>
      <w:r w:rsidRPr="00D7523E">
        <w:rPr>
          <w:rFonts w:cs="Arial"/>
          <w:lang w:val="es-PE"/>
        </w:rPr>
        <w:t xml:space="preserve">Torres-Mullo, M. A. &amp; Barzallo-Núñez, A. D. (2024) Funcionalidad familiar percibida y riesgo suicida en adolescentes de una unidad educativa de Ambato. </w:t>
      </w:r>
      <w:r w:rsidRPr="00D7523E">
        <w:rPr>
          <w:rFonts w:cs="Arial"/>
          <w:i/>
          <w:iCs/>
          <w:lang w:val="es-PE"/>
        </w:rPr>
        <w:t>Revista Multidisciplinaria Arbitrada de Investigación Científica, 8</w:t>
      </w:r>
      <w:r w:rsidRPr="00D7523E">
        <w:rPr>
          <w:rFonts w:cs="Arial"/>
          <w:lang w:val="es-PE"/>
        </w:rPr>
        <w:t xml:space="preserve">(4), </w:t>
      </w:r>
      <w:r w:rsidRPr="00D7523E">
        <w:rPr>
          <w:rFonts w:cs="Arial"/>
        </w:rPr>
        <w:t>3565–3583.</w:t>
      </w:r>
      <w:r w:rsidRPr="00D7523E">
        <w:rPr>
          <w:rFonts w:cs="Arial"/>
          <w:lang w:val="es-PE"/>
        </w:rPr>
        <w:t xml:space="preserve"> </w:t>
      </w:r>
      <w:hyperlink r:id="rId33" w:history="1">
        <w:r w:rsidRPr="00D7523E">
          <w:rPr>
            <w:rStyle w:val="Hipervnculo"/>
            <w:rFonts w:cs="Arial"/>
          </w:rPr>
          <w:t>https://doi.org/10.56048/MQR20225.8.4.2024.3565-3583</w:t>
        </w:r>
      </w:hyperlink>
    </w:p>
    <w:p w14:paraId="2FFA6ABC" w14:textId="00AE9AA8" w:rsidR="00F73B6B" w:rsidRPr="0072642A" w:rsidRDefault="00F73B6B" w:rsidP="00F73B6B">
      <w:pPr>
        <w:spacing w:line="360" w:lineRule="auto"/>
        <w:ind w:left="709" w:hanging="709"/>
        <w:jc w:val="both"/>
        <w:rPr>
          <w:rFonts w:cs="Arial"/>
          <w:color w:val="0563C1" w:themeColor="hyperlink"/>
          <w:u w:val="single"/>
        </w:rPr>
      </w:pPr>
      <w:r>
        <w:rPr>
          <w:rFonts w:cs="Arial"/>
          <w:color w:val="0563C1" w:themeColor="hyperlink"/>
          <w:u w:val="single"/>
        </w:rPr>
        <w:lastRenderedPageBreak/>
        <w:t xml:space="preserve"> </w:t>
      </w:r>
    </w:p>
    <w:p w14:paraId="34DD7CBF" w14:textId="77777777" w:rsidR="00F73B6B" w:rsidRDefault="00F73B6B" w:rsidP="00F73B6B">
      <w:pPr>
        <w:spacing w:line="360" w:lineRule="auto"/>
      </w:pPr>
    </w:p>
    <w:p w14:paraId="30078C0C" w14:textId="77777777" w:rsidR="00F73B6B" w:rsidRDefault="00F73B6B" w:rsidP="00F73B6B">
      <w:pPr>
        <w:spacing w:line="360" w:lineRule="auto"/>
      </w:pPr>
    </w:p>
    <w:p w14:paraId="2C9467FA" w14:textId="77777777" w:rsidR="00F73B6B" w:rsidRDefault="00F73B6B" w:rsidP="00F73B6B">
      <w:pPr>
        <w:spacing w:line="360" w:lineRule="auto"/>
      </w:pPr>
    </w:p>
    <w:p w14:paraId="54659D76" w14:textId="77777777" w:rsidR="00F73B6B" w:rsidRDefault="00F73B6B" w:rsidP="00F73B6B">
      <w:pPr>
        <w:spacing w:line="360" w:lineRule="auto"/>
      </w:pPr>
    </w:p>
    <w:p w14:paraId="5956A82F" w14:textId="77777777" w:rsidR="00F73B6B" w:rsidRDefault="00F73B6B" w:rsidP="00F73B6B">
      <w:pPr>
        <w:spacing w:line="360" w:lineRule="auto"/>
      </w:pPr>
    </w:p>
    <w:p w14:paraId="6C7EF7A0" w14:textId="77777777" w:rsidR="00F73B6B" w:rsidRDefault="00F73B6B" w:rsidP="00F73B6B">
      <w:pPr>
        <w:spacing w:line="360" w:lineRule="auto"/>
      </w:pPr>
    </w:p>
    <w:p w14:paraId="5DEEAC2F" w14:textId="77777777" w:rsidR="00F73B6B" w:rsidRDefault="00F73B6B" w:rsidP="00F73B6B">
      <w:pPr>
        <w:spacing w:line="360" w:lineRule="auto"/>
      </w:pPr>
    </w:p>
    <w:p w14:paraId="2850790B" w14:textId="77777777" w:rsidR="00F73B6B" w:rsidRDefault="00F73B6B" w:rsidP="00F73B6B">
      <w:pPr>
        <w:spacing w:line="360" w:lineRule="auto"/>
      </w:pPr>
    </w:p>
    <w:p w14:paraId="3240590A" w14:textId="77777777" w:rsidR="00F73B6B" w:rsidRDefault="00F73B6B" w:rsidP="00F73B6B">
      <w:pPr>
        <w:spacing w:line="360" w:lineRule="auto"/>
      </w:pPr>
    </w:p>
    <w:p w14:paraId="69A49764" w14:textId="77777777" w:rsidR="00F73B6B" w:rsidRDefault="00F73B6B" w:rsidP="00F73B6B">
      <w:pPr>
        <w:spacing w:line="360" w:lineRule="auto"/>
      </w:pPr>
    </w:p>
    <w:p w14:paraId="6A50D175" w14:textId="77777777" w:rsidR="00F73B6B" w:rsidRDefault="00F73B6B" w:rsidP="00F73B6B">
      <w:pPr>
        <w:spacing w:line="360" w:lineRule="auto"/>
      </w:pPr>
    </w:p>
    <w:p w14:paraId="3980788E" w14:textId="77777777" w:rsidR="00F73B6B" w:rsidRDefault="00F73B6B" w:rsidP="00F73B6B">
      <w:pPr>
        <w:spacing w:line="360" w:lineRule="auto"/>
      </w:pPr>
    </w:p>
    <w:p w14:paraId="1CA316F6" w14:textId="77777777" w:rsidR="00017F59" w:rsidRDefault="00017F59">
      <w:pPr>
        <w:ind w:left="720" w:hanging="720"/>
        <w:jc w:val="both"/>
      </w:pPr>
    </w:p>
    <w:p w14:paraId="37B49F07" w14:textId="77777777" w:rsidR="00017F59" w:rsidRDefault="00000000">
      <w:pPr>
        <w:shd w:val="clear" w:color="auto" w:fill="FFFFFF"/>
        <w:jc w:val="right"/>
        <w:rPr>
          <w:i/>
          <w:sz w:val="20"/>
          <w:szCs w:val="20"/>
        </w:rPr>
      </w:pPr>
      <w:proofErr w:type="spellStart"/>
      <w:r>
        <w:rPr>
          <w:i/>
          <w:sz w:val="20"/>
          <w:szCs w:val="20"/>
        </w:rPr>
        <w:t>Received</w:t>
      </w:r>
      <w:proofErr w:type="spellEnd"/>
      <w:r>
        <w:rPr>
          <w:i/>
          <w:sz w:val="20"/>
          <w:szCs w:val="20"/>
        </w:rPr>
        <w:t xml:space="preserve">: </w:t>
      </w:r>
    </w:p>
    <w:p w14:paraId="2745AA35" w14:textId="77777777" w:rsidR="00017F59" w:rsidRDefault="00000000">
      <w:pPr>
        <w:shd w:val="clear" w:color="auto" w:fill="FFFFFF"/>
        <w:jc w:val="right"/>
        <w:rPr>
          <w:i/>
          <w:sz w:val="20"/>
          <w:szCs w:val="20"/>
        </w:rPr>
      </w:pPr>
      <w:proofErr w:type="spellStart"/>
      <w:r>
        <w:rPr>
          <w:i/>
          <w:sz w:val="20"/>
          <w:szCs w:val="20"/>
        </w:rPr>
        <w:t>Accepted</w:t>
      </w:r>
      <w:proofErr w:type="spellEnd"/>
      <w:r>
        <w:rPr>
          <w:i/>
          <w:sz w:val="20"/>
          <w:szCs w:val="20"/>
        </w:rPr>
        <w:t>:</w:t>
      </w:r>
      <w:r>
        <w:rPr>
          <w:rFonts w:ascii="Quattrocento Sans" w:eastAsia="Quattrocento Sans" w:hAnsi="Quattrocento Sans" w:cs="Quattrocento Sans"/>
          <w:sz w:val="21"/>
          <w:szCs w:val="21"/>
          <w:highlight w:val="white"/>
        </w:rPr>
        <w:t xml:space="preserve"> </w:t>
      </w:r>
    </w:p>
    <w:p w14:paraId="5EC61140" w14:textId="2F2AD95C" w:rsidR="00017F59" w:rsidRPr="00D634B1" w:rsidRDefault="00017F59" w:rsidP="00D634B1">
      <w:pPr>
        <w:rPr>
          <w:i/>
          <w:sz w:val="28"/>
          <w:szCs w:val="28"/>
        </w:rPr>
      </w:pPr>
    </w:p>
    <w:sectPr w:rsidR="00017F59" w:rsidRPr="00D634B1">
      <w:headerReference w:type="even" r:id="rId34"/>
      <w:headerReference w:type="default" r:id="rId35"/>
      <w:footerReference w:type="even" r:id="rId36"/>
      <w:footerReference w:type="defaul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667B1" w14:textId="77777777" w:rsidR="00937A77" w:rsidRDefault="00937A77">
      <w:r>
        <w:separator/>
      </w:r>
    </w:p>
  </w:endnote>
  <w:endnote w:type="continuationSeparator" w:id="0">
    <w:p w14:paraId="4B2A447E" w14:textId="77777777" w:rsidR="00937A77" w:rsidRDefault="00937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A4DB84C0-959B-4F06-A5FE-9EFB870AE81E}"/>
  </w:font>
  <w:font w:name="Calibri">
    <w:panose1 w:val="020F0502020204030204"/>
    <w:charset w:val="00"/>
    <w:family w:val="swiss"/>
    <w:pitch w:val="variable"/>
    <w:sig w:usb0="E4002EFF" w:usb1="C000247B" w:usb2="00000009" w:usb3="00000000" w:csb0="000001FF" w:csb1="00000000"/>
    <w:embedRegular r:id="rId2" w:fontKey="{387A8F4D-25BE-47E5-9A77-F4EF09937B55}"/>
  </w:font>
  <w:font w:name="Times">
    <w:panose1 w:val="02020603050405020304"/>
    <w:charset w:val="00"/>
    <w:family w:val="roman"/>
    <w:pitch w:val="variable"/>
    <w:sig w:usb0="E0002EFF" w:usb1="C000785B" w:usb2="00000009" w:usb3="00000000" w:csb0="000001FF" w:csb1="00000000"/>
    <w:embedRegular r:id="rId3" w:fontKey="{17434EB3-3CD0-486F-B7FF-9AE7764A6334}"/>
    <w:embedItalic r:id="rId4" w:fontKey="{AD9CB8A5-58F9-4625-A41F-34AFD0ED9B8A}"/>
    <w:embedBoldItalic r:id="rId5" w:fontKey="{60E59506-D4C3-4AA0-B085-899A1410BDB8}"/>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B6F460D4-E8FB-4D93-B449-5634F561AF05}"/>
    <w:embedItalic r:id="rId7" w:fontKey="{7E99ABA5-AFE5-4DAC-AC37-FCABCB37BA31}"/>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8" w:fontKey="{9E9BB971-5A7E-4C4E-8DC3-86169FBE48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DA65" w14:textId="77777777" w:rsidR="00017F59"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2338A1">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2AF119DA" w14:textId="77777777" w:rsidR="00017F59" w:rsidRDefault="00017F59">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A53D6" w14:textId="77777777" w:rsidR="00017F59"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2338A1">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450EEC5E" w14:textId="77777777" w:rsidR="00017F59" w:rsidRDefault="00017F59">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2A9C8" w14:textId="77777777" w:rsidR="00937A77" w:rsidRDefault="00937A77">
      <w:r>
        <w:separator/>
      </w:r>
    </w:p>
  </w:footnote>
  <w:footnote w:type="continuationSeparator" w:id="0">
    <w:p w14:paraId="3ED13342" w14:textId="77777777" w:rsidR="00937A77" w:rsidRDefault="00937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9A4E" w14:textId="77777777" w:rsidR="00017F59"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roofErr w:type="spellStart"/>
    <w:r>
      <w:rPr>
        <w:rFonts w:ascii="Times" w:eastAsia="Times" w:hAnsi="Times" w:cs="Times"/>
        <w:smallCaps/>
        <w:color w:val="000000"/>
        <w:sz w:val="20"/>
        <w:szCs w:val="20"/>
      </w:rPr>
      <w:t>Manuscript</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submission</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model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25DA" w14:textId="77777777" w:rsidR="00017F59"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30C4391A" wp14:editId="72CF5F27">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1619D585" w14:textId="77777777" w:rsidR="00017F59"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model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E620B"/>
    <w:multiLevelType w:val="hybridMultilevel"/>
    <w:tmpl w:val="DE2490F2"/>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 w15:restartNumberingAfterBreak="0">
    <w:nsid w:val="6ADE14A2"/>
    <w:multiLevelType w:val="multilevel"/>
    <w:tmpl w:val="5B842A52"/>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 w15:restartNumberingAfterBreak="0">
    <w:nsid w:val="71B878A1"/>
    <w:multiLevelType w:val="multilevel"/>
    <w:tmpl w:val="06FC40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65756534">
    <w:abstractNumId w:val="2"/>
  </w:num>
  <w:num w:numId="2" w16cid:durableId="575166361">
    <w:abstractNumId w:val="1"/>
  </w:num>
  <w:num w:numId="3" w16cid:durableId="1377393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F59"/>
    <w:rsid w:val="00017F59"/>
    <w:rsid w:val="000253DD"/>
    <w:rsid w:val="00081C4C"/>
    <w:rsid w:val="00171500"/>
    <w:rsid w:val="00172819"/>
    <w:rsid w:val="0019537C"/>
    <w:rsid w:val="001A10DB"/>
    <w:rsid w:val="001B5D61"/>
    <w:rsid w:val="001F0EDE"/>
    <w:rsid w:val="002338A1"/>
    <w:rsid w:val="00577237"/>
    <w:rsid w:val="005875CA"/>
    <w:rsid w:val="007F47B2"/>
    <w:rsid w:val="00826CF3"/>
    <w:rsid w:val="008A2763"/>
    <w:rsid w:val="00937A77"/>
    <w:rsid w:val="0099669C"/>
    <w:rsid w:val="009C2BFA"/>
    <w:rsid w:val="00BE7D68"/>
    <w:rsid w:val="00C2103A"/>
    <w:rsid w:val="00C44207"/>
    <w:rsid w:val="00C62913"/>
    <w:rsid w:val="00CD0BC0"/>
    <w:rsid w:val="00D634B1"/>
    <w:rsid w:val="00D7523E"/>
    <w:rsid w:val="00F40B11"/>
    <w:rsid w:val="00F73B6B"/>
    <w:rsid w:val="00FD60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BB29"/>
  <w15:docId w15:val="{B9C92888-730F-46F1-91E1-F8CC3EC93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uentedeprrafopredeter"/>
    <w:link w:val="SubtituloInterno1"/>
    <w:rsid w:val="0078702D"/>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paragraph" w:styleId="Prrafodelista">
    <w:name w:val="List Paragraph"/>
    <w:basedOn w:val="Normal"/>
    <w:uiPriority w:val="34"/>
    <w:qFormat/>
    <w:rsid w:val="009C2BFA"/>
    <w:pPr>
      <w:ind w:left="720"/>
      <w:contextualSpacing/>
    </w:pPr>
  </w:style>
  <w:style w:type="paragraph" w:customStyle="1" w:styleId="Estilo1">
    <w:name w:val="Estilo1"/>
    <w:basedOn w:val="Normal"/>
    <w:next w:val="Normal"/>
    <w:link w:val="Estilo1Car"/>
    <w:qFormat/>
    <w:rsid w:val="00F73B6B"/>
    <w:pPr>
      <w:widowControl w:val="0"/>
      <w:spacing w:after="160" w:line="360" w:lineRule="auto"/>
      <w:ind w:left="720" w:hanging="720"/>
      <w:jc w:val="both"/>
    </w:pPr>
    <w:rPr>
      <w:rFonts w:ascii="Arial" w:eastAsia="Arial" w:hAnsi="Arial" w:cs="Arial"/>
      <w:szCs w:val="22"/>
      <w:lang w:val="es-ES" w:eastAsia="en-US"/>
    </w:rPr>
  </w:style>
  <w:style w:type="character" w:customStyle="1" w:styleId="Estilo1Car">
    <w:name w:val="Estilo1 Car"/>
    <w:basedOn w:val="Fuentedeprrafopredeter"/>
    <w:link w:val="Estilo1"/>
    <w:rsid w:val="00F73B6B"/>
    <w:rPr>
      <w:rFonts w:ascii="Arial" w:eastAsia="Arial" w:hAnsi="Arial" w:cs="Arial"/>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proyectos.javerianacali.edu.co/cursos_virtuales/posgrado/maestria_asesoria_familiar/familia_contemporanea/modulo1/la-ecologia-del-desarrollo-humano-bronfenbrenner-copia.pdf" TargetMode="External"/><Relationship Id="rId18" Type="http://schemas.openxmlformats.org/officeDocument/2006/relationships/hyperlink" Target="https://web.regioncallao.gob.pe/wp-content/uploads/2021/08/2021-06-VIOLENCIA-FAMILIAR.pdf" TargetMode="External"/><Relationship Id="rId26" Type="http://schemas.openxmlformats.org/officeDocument/2006/relationships/hyperlink" Target="https://www.who.int/es/news-room/fact-sheets/detail/adolescent-mental-health" TargetMode="External"/><Relationship Id="rId39" Type="http://schemas.openxmlformats.org/officeDocument/2006/relationships/theme" Target="theme/theme1.xml"/><Relationship Id="rId21" Type="http://schemas.openxmlformats.org/officeDocument/2006/relationships/hyperlink" Target="https://www.redalyc.org/pdf/167/16720051032.pd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cademia.edu/19012079/Assessment_of_suicidal_intention_The_Scale_for_Suicide_Ideation" TargetMode="External"/><Relationship Id="rId17" Type="http://schemas.openxmlformats.org/officeDocument/2006/relationships/hyperlink" Target="https://doi.org/10.22201/fpsi.20074719e.2022.3.458" TargetMode="External"/><Relationship Id="rId25" Type="http://schemas.openxmlformats.org/officeDocument/2006/relationships/hyperlink" Target="https://www.un.org/sustainabledevelopment/es/health/" TargetMode="External"/><Relationship Id="rId33" Type="http://schemas.openxmlformats.org/officeDocument/2006/relationships/hyperlink" Target="https://doi.org/10.56048/MQR20225.8.4.2024.3565-3583"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s.ucf.edu.cu/index.php/rus/article/view/3457/3401" TargetMode="External"/><Relationship Id="rId20" Type="http://schemas.openxmlformats.org/officeDocument/2006/relationships/hyperlink" Target="https://doi.org/10.56891/acpp.v7i2.376" TargetMode="External"/><Relationship Id="rId29" Type="http://schemas.openxmlformats.org/officeDocument/2006/relationships/hyperlink" Target="https://doi.org/10.3390/adolescents5010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ma.net/es/policies-post/declaracion-de-helsinki-de-la-amm-principios-eticos-para-las-investigaciones-medicas-en-seres-humanos/" TargetMode="External"/><Relationship Id="rId24" Type="http://schemas.openxmlformats.org/officeDocument/2006/relationships/hyperlink" Target="https://www.cphbidean.net/wp-content/uploads/2017/11/Salvador-Minuchin-Familias-y-terapia-familiar.pdf" TargetMode="External"/><Relationship Id="rId32" Type="http://schemas.openxmlformats.org/officeDocument/2006/relationships/hyperlink" Target="https://cdn.mdedge.com/files/s3fs-public/jfp-archived-issues/1978-volume_6-7/JFP_1978-06_v6_i6_the-family-apgar-a-proposal-for-a-family.pdf"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aho.org/sites/default/files/2023-10/belmont-informe.pdf" TargetMode="External"/><Relationship Id="rId23" Type="http://schemas.openxmlformats.org/officeDocument/2006/relationships/hyperlink" Target="https://www.minsa.gob.pe/reunis/?op=1&amp;niv=1&amp;tbl=1" TargetMode="External"/><Relationship Id="rId28" Type="http://schemas.openxmlformats.org/officeDocument/2006/relationships/hyperlink" Target="https://www.ijpsy.com/volumen10/num2/262/elaboracin-y-validacin-de-un-cuestionario-ES.pdf" TargetMode="External"/><Relationship Id="rId36" Type="http://schemas.openxmlformats.org/officeDocument/2006/relationships/footer" Target="footer1.xml"/><Relationship Id="rId10" Type="http://schemas.openxmlformats.org/officeDocument/2006/relationships/hyperlink" Target="https://doi.org/10.1001/jamanetworkopen.2020.12563" TargetMode="External"/><Relationship Id="rId19" Type="http://schemas.openxmlformats.org/officeDocument/2006/relationships/hyperlink" Target="https://doi.org/10.37811/cl_rcm.v7i2.5390" TargetMode="External"/><Relationship Id="rId31" Type="http://schemas.openxmlformats.org/officeDocument/2006/relationships/hyperlink" Target="https://doi.org/10.29076/issn.2602-8379vol7iss12.2023pp77-87p" TargetMode="External"/><Relationship Id="rId4" Type="http://schemas.openxmlformats.org/officeDocument/2006/relationships/settings" Target="settings.xml"/><Relationship Id="rId9" Type="http://schemas.openxmlformats.org/officeDocument/2006/relationships/hyperlink" Target="https://doi.org/10.33326/27905543.2021.2.1232" TargetMode="External"/><Relationship Id="rId14" Type="http://schemas.openxmlformats.org/officeDocument/2006/relationships/hyperlink" Target="https://www.cpsp.pe/codigo-de-etica-y-deontologia" TargetMode="External"/><Relationship Id="rId22" Type="http://schemas.openxmlformats.org/officeDocument/2006/relationships/hyperlink" Target="https://revpediatria.sld.cu/index.php/ped/article/view/5585" TargetMode="External"/><Relationship Id="rId27" Type="http://schemas.openxmlformats.org/officeDocument/2006/relationships/hyperlink" Target="https://www.paho.org/es/noticias/9-9-2021-ops-insta-priorizar-prevencion-suicidio-tras-18-meses-pandemia-por-covid-19" TargetMode="External"/><Relationship Id="rId30" Type="http://schemas.openxmlformats.org/officeDocument/2006/relationships/hyperlink" Target="https://doi.org/10.18050/ucvscientiabiomedica.v4i1.01" TargetMode="External"/><Relationship Id="rId35" Type="http://schemas.openxmlformats.org/officeDocument/2006/relationships/header" Target="header2.xml"/><Relationship Id="rId8" Type="http://schemas.openxmlformats.org/officeDocument/2006/relationships/image" Target="media/image3.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5162</Words>
  <Characters>28396</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Gelssy Chero</cp:lastModifiedBy>
  <cp:revision>2</cp:revision>
  <dcterms:created xsi:type="dcterms:W3CDTF">2025-10-20T01:43:00Z</dcterms:created>
  <dcterms:modified xsi:type="dcterms:W3CDTF">2025-10-20T01:43:00Z</dcterms:modified>
</cp:coreProperties>
</file>