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4068B" w14:textId="77777777" w:rsidR="00B245DC" w:rsidRPr="00B245DC" w:rsidRDefault="00000000" w:rsidP="00B245DC">
      <w:pPr>
        <w:pBdr>
          <w:top w:val="nil"/>
          <w:left w:val="nil"/>
          <w:bottom w:val="nil"/>
          <w:right w:val="nil"/>
          <w:between w:val="nil"/>
        </w:pBdr>
        <w:jc w:val="center"/>
        <w:rPr>
          <w:b/>
          <w:color w:val="000000"/>
          <w:sz w:val="36"/>
          <w:szCs w:val="36"/>
        </w:rPr>
      </w:pPr>
      <w:r>
        <w:rPr>
          <w:b/>
          <w:color w:val="000000"/>
          <w:sz w:val="36"/>
          <w:szCs w:val="36"/>
        </w:rPr>
        <w:t xml:space="preserve"> </w:t>
      </w:r>
      <w:r w:rsidR="00B245DC" w:rsidRPr="00B245DC">
        <w:rPr>
          <w:b/>
          <w:color w:val="000000"/>
          <w:sz w:val="36"/>
          <w:szCs w:val="36"/>
        </w:rPr>
        <w:t xml:space="preserve">The Effect of Inequalities and Social Networks: Models of Moderation and Mediation </w:t>
      </w:r>
    </w:p>
    <w:p w14:paraId="2EC79024" w14:textId="77777777" w:rsidR="003A3413" w:rsidRDefault="003A3413">
      <w:pPr>
        <w:rPr>
          <w:b/>
        </w:rPr>
      </w:pPr>
    </w:p>
    <w:p w14:paraId="38F19211" w14:textId="77777777" w:rsidR="003A3413" w:rsidRDefault="003A3413">
      <w:pPr>
        <w:rPr>
          <w:i/>
          <w:sz w:val="28"/>
          <w:szCs w:val="28"/>
        </w:rPr>
      </w:pPr>
    </w:p>
    <w:p w14:paraId="267D599D" w14:textId="77777777" w:rsidR="003A3413" w:rsidRDefault="00000000">
      <w:pPr>
        <w:rPr>
          <w:rFonts w:ascii="Times" w:eastAsia="Times" w:hAnsi="Times" w:cs="Times"/>
          <w:i/>
          <w:sz w:val="28"/>
          <w:szCs w:val="28"/>
        </w:rPr>
      </w:pPr>
      <w:r>
        <w:rPr>
          <w:noProof/>
        </w:rPr>
        <mc:AlternateContent>
          <mc:Choice Requires="wpg">
            <w:drawing>
              <wp:anchor distT="4294967295" distB="4294967295" distL="114300" distR="114300" simplePos="0" relativeHeight="251658240" behindDoc="0" locked="0" layoutInCell="1" hidden="0" allowOverlap="1" wp14:anchorId="0FA03983" wp14:editId="10CB0F77">
                <wp:simplePos x="0" y="0"/>
                <wp:positionH relativeFrom="column">
                  <wp:posOffset>1</wp:posOffset>
                </wp:positionH>
                <wp:positionV relativeFrom="paragraph">
                  <wp:posOffset>55896</wp:posOffset>
                </wp:positionV>
                <wp:extent cx="6172200" cy="25400"/>
                <wp:effectExtent l="0" t="0" r="0" b="0"/>
                <wp:wrapNone/>
                <wp:docPr id="23" name="Straight Arrow Connector 2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6172200" cy="25400"/>
                <wp:effectExtent b="0" l="0" r="0" t="0"/>
                <wp:wrapNone/>
                <wp:docPr id="2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172200" cy="25400"/>
                        </a:xfrm>
                        <a:prstGeom prst="rect"/>
                        <a:ln/>
                      </pic:spPr>
                    </pic:pic>
                  </a:graphicData>
                </a:graphic>
              </wp:anchor>
            </w:drawing>
          </mc:Fallback>
        </mc:AlternateContent>
      </w:r>
    </w:p>
    <w:p w14:paraId="31E3A1CB" w14:textId="77777777" w:rsidR="003A3413" w:rsidRDefault="003A3413">
      <w:pPr>
        <w:rPr>
          <w:b/>
          <w:sz w:val="20"/>
          <w:szCs w:val="20"/>
        </w:rPr>
      </w:pPr>
    </w:p>
    <w:p w14:paraId="04C2C6B6" w14:textId="77777777" w:rsidR="003A3413" w:rsidRDefault="00000000">
      <w:pPr>
        <w:pBdr>
          <w:top w:val="nil"/>
          <w:left w:val="nil"/>
          <w:bottom w:val="nil"/>
          <w:right w:val="nil"/>
          <w:between w:val="nil"/>
        </w:pBdr>
        <w:spacing w:after="120"/>
        <w:jc w:val="center"/>
        <w:rPr>
          <w:b/>
          <w:smallCaps/>
          <w:color w:val="000000"/>
          <w:sz w:val="20"/>
          <w:szCs w:val="20"/>
        </w:rPr>
      </w:pPr>
      <w:r>
        <w:rPr>
          <w:b/>
          <w:smallCaps/>
          <w:color w:val="000000"/>
          <w:sz w:val="20"/>
          <w:szCs w:val="20"/>
        </w:rPr>
        <w:t>Abstract</w:t>
      </w:r>
    </w:p>
    <w:p w14:paraId="3F4DDF0D" w14:textId="316A0461" w:rsidR="003A3413" w:rsidRDefault="00E90F69">
      <w:pPr>
        <w:jc w:val="both"/>
        <w:rPr>
          <w:sz w:val="20"/>
          <w:szCs w:val="20"/>
        </w:rPr>
      </w:pPr>
      <w:r w:rsidRPr="00E90F69">
        <w:rPr>
          <w:sz w:val="20"/>
          <w:szCs w:val="20"/>
        </w:rPr>
        <w:t>This study analyzes data from the ISSP 2017 round (n = 1733) to explore the relationships between the perception of social inequalities, social integration, social support, and subjective well-being in the Spanish population. Using moderation and mediation models, it was found that the perception of inequality negatively predicts social integration (B = -0.077; p &lt; 0.001), and this relationship is moderated by subjective well-being (B = 0.040; p &lt; 0.001). In parallel, the mediation hypothesis was sustained: social support did not have a significant direct effect on subjective well-being (B = 0.003; p = 0.874), but had a substantial indirect impact via social integration (B = -0.043; 95%CI [-0.068; -0.018]). These findings highlight the central role of relational structures and social recognition in the promotion of well-being, beyond material resources or support perceived in isolation. The study contributes to a more complex understanding of the interactions between structural and psychosocial factors, underlining the importance of policies that articulate economic redistribution and the strengthening of social cohesion</w:t>
      </w:r>
      <w:r>
        <w:rPr>
          <w:sz w:val="20"/>
          <w:szCs w:val="20"/>
        </w:rPr>
        <w:t>.</w:t>
      </w:r>
    </w:p>
    <w:p w14:paraId="2972D2A3" w14:textId="77777777" w:rsidR="003A3413" w:rsidRDefault="003A3413">
      <w:pPr>
        <w:rPr>
          <w:sz w:val="20"/>
          <w:szCs w:val="20"/>
        </w:rPr>
      </w:pPr>
    </w:p>
    <w:p w14:paraId="350773AF" w14:textId="77777777" w:rsidR="003A3413" w:rsidRDefault="00000000">
      <w:pPr>
        <w:rPr>
          <w:b/>
          <w:sz w:val="20"/>
          <w:szCs w:val="20"/>
        </w:rPr>
      </w:pPr>
      <w:r>
        <w:rPr>
          <w:b/>
          <w:sz w:val="20"/>
          <w:szCs w:val="20"/>
        </w:rPr>
        <w:t>Keywords</w:t>
      </w:r>
    </w:p>
    <w:p w14:paraId="79EDCA73" w14:textId="14BF60D7" w:rsidR="003A3413" w:rsidRDefault="00E90F69">
      <w:pPr>
        <w:jc w:val="both"/>
        <w:rPr>
          <w:sz w:val="20"/>
          <w:szCs w:val="20"/>
        </w:rPr>
      </w:pPr>
      <w:r>
        <w:rPr>
          <w:sz w:val="20"/>
          <w:szCs w:val="20"/>
        </w:rPr>
        <w:t>s</w:t>
      </w:r>
      <w:r w:rsidRPr="00E90F69">
        <w:rPr>
          <w:sz w:val="20"/>
          <w:szCs w:val="20"/>
        </w:rPr>
        <w:t>ocial inequalities</w:t>
      </w:r>
      <w:r>
        <w:rPr>
          <w:sz w:val="20"/>
          <w:szCs w:val="20"/>
        </w:rPr>
        <w:t>, s</w:t>
      </w:r>
      <w:r w:rsidRPr="00E90F69">
        <w:rPr>
          <w:sz w:val="20"/>
          <w:szCs w:val="20"/>
        </w:rPr>
        <w:t>ubjective well-being</w:t>
      </w:r>
      <w:r>
        <w:rPr>
          <w:sz w:val="20"/>
          <w:szCs w:val="20"/>
        </w:rPr>
        <w:t>, s</w:t>
      </w:r>
      <w:r w:rsidRPr="00E90F69">
        <w:rPr>
          <w:sz w:val="20"/>
          <w:szCs w:val="20"/>
        </w:rPr>
        <w:t>upport networks</w:t>
      </w:r>
      <w:r>
        <w:rPr>
          <w:sz w:val="20"/>
          <w:szCs w:val="20"/>
        </w:rPr>
        <w:t>, i</w:t>
      </w:r>
      <w:r w:rsidRPr="00E90F69">
        <w:rPr>
          <w:sz w:val="20"/>
          <w:szCs w:val="20"/>
        </w:rPr>
        <w:t>ntegration</w:t>
      </w:r>
      <w:r>
        <w:rPr>
          <w:sz w:val="20"/>
          <w:szCs w:val="20"/>
        </w:rPr>
        <w:t>, m</w:t>
      </w:r>
      <w:r w:rsidRPr="00E90F69">
        <w:rPr>
          <w:sz w:val="20"/>
          <w:szCs w:val="20"/>
        </w:rPr>
        <w:t xml:space="preserve">oderation and </w:t>
      </w:r>
      <w:r w:rsidR="00B245DC">
        <w:rPr>
          <w:sz w:val="20"/>
          <w:szCs w:val="20"/>
        </w:rPr>
        <w:t>m</w:t>
      </w:r>
      <w:r w:rsidRPr="00E90F69">
        <w:rPr>
          <w:sz w:val="20"/>
          <w:szCs w:val="20"/>
        </w:rPr>
        <w:t>ediation</w:t>
      </w:r>
    </w:p>
    <w:p w14:paraId="327CA1BA" w14:textId="77777777" w:rsidR="003A3413" w:rsidRDefault="003A3413">
      <w:pPr>
        <w:jc w:val="both"/>
        <w:rPr>
          <w:sz w:val="20"/>
          <w:szCs w:val="20"/>
        </w:rPr>
      </w:pPr>
    </w:p>
    <w:p w14:paraId="72553176" w14:textId="7B7A28B2" w:rsidR="003A3413" w:rsidRDefault="00000000">
      <w:pPr>
        <w:pBdr>
          <w:top w:val="nil"/>
          <w:left w:val="nil"/>
          <w:bottom w:val="nil"/>
          <w:right w:val="nil"/>
          <w:between w:val="nil"/>
        </w:pBdr>
        <w:spacing w:after="120"/>
        <w:jc w:val="center"/>
        <w:rPr>
          <w:b/>
          <w:smallCaps/>
          <w:color w:val="000000"/>
          <w:sz w:val="20"/>
          <w:szCs w:val="20"/>
        </w:rPr>
      </w:pPr>
      <w:r>
        <w:rPr>
          <w:b/>
          <w:smallCaps/>
          <w:color w:val="000000"/>
          <w:sz w:val="20"/>
          <w:szCs w:val="20"/>
        </w:rPr>
        <w:t>Resumen</w:t>
      </w:r>
    </w:p>
    <w:p w14:paraId="4957745A" w14:textId="14884A84" w:rsidR="003A3413" w:rsidRDefault="00B245DC">
      <w:pPr>
        <w:jc w:val="both"/>
        <w:rPr>
          <w:i/>
          <w:sz w:val="20"/>
          <w:szCs w:val="20"/>
        </w:rPr>
      </w:pPr>
      <w:r w:rsidRPr="00B245DC">
        <w:rPr>
          <w:sz w:val="20"/>
          <w:szCs w:val="20"/>
        </w:rPr>
        <w:t>Este estudio analiza los datos de la ronda ISSP 2017 (n = 1733) para explorar las relaciones entre las desigualdades sociales percibidas, la integración social, el apoyo social y el bienestar subjetivo en la población española. Utilizando modelos de moderación y mediación, se encontró que la desigualdad percibida predice negativamente la integración social (B = -0,077; p &lt; 0,001), y esta relación está moderada por el bienestar subjetivo (B = 0,040; p &lt; 0,001). Al mismo tiempo, se apoyó la hipótesis de mediación: el apoyo social no tuvo un efecto directo significativo sobre el bienestar subjetivo (B = 0,003; p = 0,874), pero mostró un efecto indirecto significativo a través de la integración social (B = -0,043; IC 95% [-0,068; -0,018]). Estos resultados ponen de relieve el papel central de las estructuras relacionales y el reconocimiento social en la promoción del bienestar, más allá de los recursos materiales o el apoyo percibido por sí solos. El estudio contribuye a una comprensión más compleja de las interacciones entre factores estructurales y psicosociales, y subraya la importancia de las políticas que combinan la redistribución económica y el refuerzo de la cohesión social</w:t>
      </w:r>
      <w:r>
        <w:rPr>
          <w:sz w:val="20"/>
          <w:szCs w:val="20"/>
        </w:rPr>
        <w:t>.</w:t>
      </w:r>
    </w:p>
    <w:p w14:paraId="3B177D88" w14:textId="77777777" w:rsidR="003A3413" w:rsidRDefault="003A3413">
      <w:pPr>
        <w:rPr>
          <w:sz w:val="20"/>
          <w:szCs w:val="20"/>
        </w:rPr>
      </w:pPr>
    </w:p>
    <w:p w14:paraId="0F37A646" w14:textId="4288833F" w:rsidR="003A3413" w:rsidRDefault="00000000">
      <w:pPr>
        <w:jc w:val="both"/>
        <w:rPr>
          <w:b/>
          <w:sz w:val="20"/>
          <w:szCs w:val="20"/>
        </w:rPr>
      </w:pPr>
      <w:r>
        <w:rPr>
          <w:b/>
          <w:sz w:val="20"/>
          <w:szCs w:val="20"/>
        </w:rPr>
        <w:t>Palabras clave</w:t>
      </w:r>
    </w:p>
    <w:p w14:paraId="64F27311" w14:textId="5E43431A" w:rsidR="003A3413" w:rsidRDefault="00B245DC" w:rsidP="00B245DC">
      <w:pPr>
        <w:rPr>
          <w:sz w:val="20"/>
          <w:szCs w:val="20"/>
        </w:rPr>
      </w:pPr>
      <w:r>
        <w:rPr>
          <w:sz w:val="20"/>
          <w:szCs w:val="20"/>
        </w:rPr>
        <w:t>d</w:t>
      </w:r>
      <w:r w:rsidRPr="00B245DC">
        <w:rPr>
          <w:sz w:val="20"/>
          <w:szCs w:val="20"/>
        </w:rPr>
        <w:t>esigualdades sociales</w:t>
      </w:r>
      <w:r>
        <w:rPr>
          <w:sz w:val="20"/>
          <w:szCs w:val="20"/>
        </w:rPr>
        <w:t>, b</w:t>
      </w:r>
      <w:r w:rsidRPr="00B245DC">
        <w:rPr>
          <w:sz w:val="20"/>
          <w:szCs w:val="20"/>
        </w:rPr>
        <w:t>ienestar subjetivo</w:t>
      </w:r>
      <w:r>
        <w:rPr>
          <w:sz w:val="20"/>
          <w:szCs w:val="20"/>
        </w:rPr>
        <w:t>, r</w:t>
      </w:r>
      <w:r w:rsidRPr="00B245DC">
        <w:rPr>
          <w:sz w:val="20"/>
          <w:szCs w:val="20"/>
        </w:rPr>
        <w:t>edes de apoyo</w:t>
      </w:r>
      <w:r>
        <w:rPr>
          <w:sz w:val="20"/>
          <w:szCs w:val="20"/>
        </w:rPr>
        <w:t>, i</w:t>
      </w:r>
      <w:r w:rsidRPr="00B245DC">
        <w:rPr>
          <w:sz w:val="20"/>
          <w:szCs w:val="20"/>
        </w:rPr>
        <w:t>ntegración</w:t>
      </w:r>
      <w:r>
        <w:rPr>
          <w:sz w:val="20"/>
          <w:szCs w:val="20"/>
        </w:rPr>
        <w:t>, m</w:t>
      </w:r>
      <w:r w:rsidRPr="00B245DC">
        <w:rPr>
          <w:sz w:val="20"/>
          <w:szCs w:val="20"/>
        </w:rPr>
        <w:t xml:space="preserve">oderación y </w:t>
      </w:r>
      <w:r>
        <w:rPr>
          <w:sz w:val="20"/>
          <w:szCs w:val="20"/>
        </w:rPr>
        <w:t>m</w:t>
      </w:r>
      <w:r w:rsidRPr="00B245DC">
        <w:rPr>
          <w:sz w:val="20"/>
          <w:szCs w:val="20"/>
        </w:rPr>
        <w:t>ediació</w:t>
      </w:r>
      <w:r>
        <w:rPr>
          <w:sz w:val="20"/>
          <w:szCs w:val="20"/>
        </w:rPr>
        <w:t xml:space="preserve">n </w:t>
      </w:r>
      <w:r>
        <w:rPr>
          <w:noProof/>
        </w:rPr>
        <w:drawing>
          <wp:anchor distT="0" distB="0" distL="114300" distR="114300" simplePos="0" relativeHeight="251659264" behindDoc="0" locked="0" layoutInCell="1" hidden="0" allowOverlap="1" wp14:anchorId="591CF689" wp14:editId="472AC959">
            <wp:simplePos x="0" y="0"/>
            <wp:positionH relativeFrom="column">
              <wp:posOffset>5400675</wp:posOffset>
            </wp:positionH>
            <wp:positionV relativeFrom="paragraph">
              <wp:posOffset>0</wp:posOffset>
            </wp:positionV>
            <wp:extent cx="396000" cy="259200"/>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96000" cy="259200"/>
                    </a:xfrm>
                    <a:prstGeom prst="rect">
                      <a:avLst/>
                    </a:prstGeom>
                    <a:ln/>
                  </pic:spPr>
                </pic:pic>
              </a:graphicData>
            </a:graphic>
          </wp:anchor>
        </w:drawing>
      </w:r>
    </w:p>
    <w:p w14:paraId="44353063" w14:textId="77777777" w:rsidR="003A3413" w:rsidRDefault="003A3413">
      <w:pPr>
        <w:rPr>
          <w:b/>
        </w:rPr>
      </w:pPr>
    </w:p>
    <w:p w14:paraId="478E1E4E" w14:textId="048D43A0" w:rsidR="003A3413" w:rsidRDefault="00000000">
      <w:pPr>
        <w:pBdr>
          <w:top w:val="nil"/>
          <w:left w:val="nil"/>
          <w:bottom w:val="nil"/>
          <w:right w:val="nil"/>
          <w:between w:val="nil"/>
        </w:pBdr>
        <w:jc w:val="center"/>
        <w:rPr>
          <w:color w:val="000000"/>
        </w:rPr>
      </w:pPr>
      <w:r>
        <w:br w:type="page"/>
      </w:r>
      <w:r w:rsidR="00B245DC" w:rsidRPr="00B245DC">
        <w:rPr>
          <w:color w:val="000000"/>
        </w:rPr>
        <w:lastRenderedPageBreak/>
        <w:t>El efecto de las desigualdades y las redes de apoyo social: modelos de moderación y mediación</w:t>
      </w:r>
    </w:p>
    <w:p w14:paraId="45850299" w14:textId="77777777" w:rsidR="00B245DC" w:rsidRDefault="00B245DC">
      <w:pPr>
        <w:pBdr>
          <w:top w:val="nil"/>
          <w:left w:val="nil"/>
          <w:bottom w:val="nil"/>
          <w:right w:val="nil"/>
          <w:between w:val="nil"/>
        </w:pBdr>
        <w:jc w:val="center"/>
        <w:rPr>
          <w:color w:val="000000"/>
        </w:rPr>
      </w:pPr>
    </w:p>
    <w:p w14:paraId="322D7618" w14:textId="77777777" w:rsidR="003A3413" w:rsidRDefault="00000000">
      <w:pPr>
        <w:pBdr>
          <w:top w:val="nil"/>
          <w:left w:val="nil"/>
          <w:bottom w:val="nil"/>
          <w:right w:val="nil"/>
          <w:between w:val="nil"/>
        </w:pBdr>
        <w:jc w:val="center"/>
        <w:rPr>
          <w:b/>
          <w:color w:val="000000"/>
        </w:rPr>
      </w:pPr>
      <w:r>
        <w:rPr>
          <w:b/>
          <w:color w:val="000000"/>
        </w:rPr>
        <w:t>Introduction</w:t>
      </w:r>
    </w:p>
    <w:p w14:paraId="0FEB569E" w14:textId="77777777" w:rsidR="00DD1D25" w:rsidRPr="00DD1D25" w:rsidRDefault="00DD1D25" w:rsidP="008015D6">
      <w:pPr>
        <w:pBdr>
          <w:top w:val="nil"/>
          <w:left w:val="nil"/>
          <w:bottom w:val="nil"/>
          <w:right w:val="nil"/>
          <w:between w:val="nil"/>
        </w:pBdr>
        <w:spacing w:line="360" w:lineRule="auto"/>
        <w:ind w:firstLine="709"/>
        <w:jc w:val="both"/>
        <w:rPr>
          <w:color w:val="000000"/>
        </w:rPr>
      </w:pPr>
      <w:r w:rsidRPr="00DD1D25">
        <w:rPr>
          <w:color w:val="000000"/>
        </w:rPr>
        <w:t>Several studies have sought to understand the relationship between social support networks, subjective well-being, life satisfaction, and inequalities, whether the latter be economic, structural, or gendered. In this constellation of approaches, the premise that social support plays a key role in promoting well-being stands out (French et al., 2018), operating through mechanisms that involve both direct effects and indirect and interactive effects (Shin &amp; Park, 2022; Tannous-Haddad et al., 2024).</w:t>
      </w:r>
    </w:p>
    <w:p w14:paraId="5266A518"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According to authors such as Cohen &amp; Wills (1985), Thoits (1995), and Rui &amp; Guo (2022), perceived support – especially from family, spouses, and friends – is positively associated with positive affect, and negatively correlates with symptoms of anxiety and depression.</w:t>
      </w:r>
    </w:p>
    <w:p w14:paraId="46D85E50"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When perceived as emotional or instrumental, social support can also exert a mediating effect, strengthening the positive association between social networks and subjective well-being, promoting satisfaction and quality of life, as well as reducing adverse affects (Silva &amp; Heleno, 2012; Silva and Dutra &amp; Silva, 2014; Baronio, 2019; Loayza-Rivas &amp; Fernández-Castro, 2020). It is assumed that social support contributes not only to improving mental health, but also to reducing loneliness and reinforcing positive affects, in multiple sociocultural contexts (Macdonald &amp; Hülür, 2020; Zhang &amp; Sun, 2024).</w:t>
      </w:r>
    </w:p>
    <w:p w14:paraId="75A6FFAC"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However, recent research has highlighted the influence of contextual factors, such as perceptions of social inequality, which can undermine the expected positive effects of these psychosocial networks. Some studies question how the perception of social injustice or inequality often negatively impacts subjective well-being (OECD, 2020; Benson et al., 2024). This relationship is sometimes influenced by interpersonal resources, including the level of social integration of individuals (Whelan &amp; Maître, 2010; Layte, 2012).</w:t>
      </w:r>
    </w:p>
    <w:p w14:paraId="22AB56CF"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 xml:space="preserve">In this context, data from the OECD Better Life Index (OECD, 2017; 2020) reveal an ambivalent picture regarding well-being in Spain. Although the country performs positively in areas such as health, safety, and work-life balance, there is an average satisfaction with life below the OECD average (6.3 vs. 6.5), which indicates a possible decoupling between objective indicators of well-being and their subjective perception. In addition to these data, other structural factors are added, such as the low level of formal education (59% of adults with complete </w:t>
      </w:r>
      <w:r w:rsidRPr="00DD1D25">
        <w:rPr>
          <w:color w:val="000000"/>
        </w:rPr>
        <w:lastRenderedPageBreak/>
        <w:t xml:space="preserve">secondary education) and high income inequality, in which the wealthiest 20% receive about seven times more than the poorest 20%. </w:t>
      </w:r>
    </w:p>
    <w:p w14:paraId="222DF747"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This scenario can be a catalyst for perverse effects of the absence (or not) of support networks on well-being, especially among the most vulnerable populations and their territories (Sánchez-Moreno et al., 2024).</w:t>
      </w:r>
    </w:p>
    <w:p w14:paraId="58741B7C"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 xml:space="preserve">In this context, Spain – characterised by traditionally strong family ties and with a specific social policy landscape (Arrondo et al., 2021) – offers fertile ground to explore how psychosocial resources (such as social support and integration) are articulated with structural factors (such as perceived inequality), in explaining subjective well-being or integration itself. </w:t>
      </w:r>
    </w:p>
    <w:p w14:paraId="794F42D4"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Our research seeks precisely to clarify how these dynamics manifest themselves in this specific cultural and socio-economic context, investigating the perception, experiences, and attitudes of Spanish citizens participating in the ISSP Round 2017, regarding social inequalities and their support networks.</w:t>
      </w:r>
    </w:p>
    <w:p w14:paraId="32F28046" w14:textId="2D7B69FE" w:rsidR="003A3413" w:rsidRDefault="00DD1D25" w:rsidP="00DD1D25">
      <w:pPr>
        <w:pBdr>
          <w:top w:val="nil"/>
          <w:left w:val="nil"/>
          <w:bottom w:val="nil"/>
          <w:right w:val="nil"/>
          <w:between w:val="nil"/>
        </w:pBdr>
        <w:spacing w:line="360" w:lineRule="auto"/>
        <w:ind w:firstLine="708"/>
        <w:jc w:val="both"/>
        <w:rPr>
          <w:color w:val="000000"/>
        </w:rPr>
      </w:pPr>
      <w:r w:rsidRPr="00DD1D25">
        <w:rPr>
          <w:color w:val="000000"/>
        </w:rPr>
        <w:t>This study aims to analyze how psychosocial resources – namely, social support and social integration – interact with the perception of inequalities in the explanation of subjective well-being. Given the complexity of these relationships, two central research questions are formulated: (i) how does the perception of social inequalities influence social integration, and what is the moderating role of subjective well-being in this relationship? and (ii) to what extent does social integration mediate the association between perceived social support and subjective well-being? These questions seek to contribute to the academic debate on the determinants of well-being, valuing an interactive and situated reading of inequalities in specific social contexts such as the Spanish one.</w:t>
      </w:r>
    </w:p>
    <w:p w14:paraId="31276634" w14:textId="77777777" w:rsidR="00DD1D25" w:rsidRDefault="00DD1D25" w:rsidP="00DD1D25">
      <w:pPr>
        <w:pBdr>
          <w:top w:val="nil"/>
          <w:left w:val="nil"/>
          <w:bottom w:val="nil"/>
          <w:right w:val="nil"/>
          <w:between w:val="nil"/>
        </w:pBdr>
        <w:spacing w:line="360" w:lineRule="auto"/>
        <w:ind w:firstLine="708"/>
        <w:jc w:val="both"/>
        <w:rPr>
          <w:color w:val="000000"/>
        </w:rPr>
      </w:pPr>
    </w:p>
    <w:p w14:paraId="280BDC12" w14:textId="242FEEAC" w:rsidR="00DD1D25" w:rsidRDefault="00DD1D25" w:rsidP="00DD1D25">
      <w:pPr>
        <w:pBdr>
          <w:top w:val="nil"/>
          <w:left w:val="nil"/>
          <w:bottom w:val="nil"/>
          <w:right w:val="nil"/>
          <w:between w:val="nil"/>
        </w:pBdr>
        <w:jc w:val="center"/>
        <w:rPr>
          <w:b/>
          <w:color w:val="000000"/>
        </w:rPr>
      </w:pPr>
      <w:r w:rsidRPr="00DD1D25">
        <w:rPr>
          <w:b/>
          <w:color w:val="000000"/>
        </w:rPr>
        <w:t>Theoretical Framework</w:t>
      </w:r>
    </w:p>
    <w:p w14:paraId="16742B17" w14:textId="77777777" w:rsidR="00DD1D25" w:rsidRPr="00DD1D25" w:rsidRDefault="00DD1D25" w:rsidP="00DD1D25">
      <w:pPr>
        <w:pBdr>
          <w:top w:val="nil"/>
          <w:left w:val="nil"/>
          <w:bottom w:val="nil"/>
          <w:right w:val="nil"/>
          <w:between w:val="nil"/>
        </w:pBdr>
        <w:spacing w:line="360" w:lineRule="auto"/>
        <w:jc w:val="both"/>
        <w:rPr>
          <w:b/>
          <w:bCs/>
          <w:color w:val="000000"/>
        </w:rPr>
      </w:pPr>
      <w:r w:rsidRPr="00DD1D25">
        <w:rPr>
          <w:b/>
          <w:bCs/>
          <w:color w:val="000000"/>
        </w:rPr>
        <w:t>The Effect of Inequalities on Social Integration</w:t>
      </w:r>
    </w:p>
    <w:p w14:paraId="01A5CE6D"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Although the complexity and slippery nature of the concept of inequality are recognized in the social sciences, I consider Machado's definition (2015, p.2) to be rigorously substantive: "social inequalities are systematic and persistent differences in access to goods, resources and opportunities, which are established between people, social groups or even entire populations".</w:t>
      </w:r>
    </w:p>
    <w:p w14:paraId="50ECE07F"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 xml:space="preserve">As such, these limitations and differences of multiple resources, whether material or immaterial, compile a structural inequality that corresponds to a type of social asymmetry that </w:t>
      </w:r>
      <w:r w:rsidRPr="00DD1D25">
        <w:rPr>
          <w:color w:val="000000"/>
        </w:rPr>
        <w:lastRenderedPageBreak/>
        <w:t>does not result from individual merit or personal choices, but from systematic constraints associated with social origin, territory of birth, gender, ethnicity, among other socially imposed determinants (Sen,  1992; Roemer, 1998). This type of inequality not only limits access to resources and opportunities but also undermines the fundamental principles of distributive justice and equal opportunities.</w:t>
      </w:r>
    </w:p>
    <w:p w14:paraId="2A6D4B1F"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Unlike inequalities resulting from individual effort – often more socially accepted – structurally determined inequalities arouse greater rejection and perception of injustice (Machado, 2015; Mauritti et al., 2022). People tend to distinguish between inequalities attributable to merit and those generated by factors beyond individual control, the latter being seen as illegitimate (Cappelen et al., 2014; García-Sánchez et al., 2018).</w:t>
      </w:r>
    </w:p>
    <w:p w14:paraId="3DE7A12E"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When elements such as place of birth, inherited social capital, or unequal access to public services condition opportunities for social mobility, the meritocratic principle, although quite ambiguous in sociology itself, is dislodged, generating a "lock-in effect" – a dissociation between effort and return (Yu &amp; Chen, 2016). In this process, inequalities assume a cumulative and self-reproductive character, as demonstrated by Bourdieu (1986), who underlines the role of economic, social, and cultural capital in maintaining social stratification.</w:t>
      </w:r>
    </w:p>
    <w:p w14:paraId="7A1F2F09"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Despite this, the impact of inequality goes beyond the material or distributive sphere. It is a phenomenon that compromises the relational and symbolic conditions that sustain social integration – that is, the ability of individuals to feel that they belong to significant social networks and to a collectivity that recognizes them as a legitimate, active, and productive part (member?) (Ge et al., 2021; Gao et al., 2022).</w:t>
      </w:r>
    </w:p>
    <w:p w14:paraId="195C577F"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Haslam et al. (2009) and Greenaway et al. (2016) suggest that social identities serve as structures of recognition that fulfill fundamental needs, including self-esteem, meaning, and control. That is, when these identities are hierarchized structurally and arbitrarily, the feeling of social exclusion tends to be more intense.</w:t>
      </w:r>
    </w:p>
    <w:p w14:paraId="069553EB"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It is precisely at this point that the concept of social integration gains centrality. In the Durkheimian tradition, integration is a key element for understanding social phenomena such as suicide, isolation, or loneliness, categorized as the expression of the failure of the social bonds that keep individuals anchored to collective life (Durkheim, 2006). Although criticisms have been leveled about the applicability of the original model (Kushner &amp; Sterk, 2005), the idea that a lack of belonging and cohesion contributes to social suffering remains relevant.</w:t>
      </w:r>
    </w:p>
    <w:p w14:paraId="29C11B5D"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lastRenderedPageBreak/>
        <w:t>Recent studies have sought to operationalize social integration through the concept of social capital, understanding it as the density, quality, and reciprocity of interpersonal networks. Smith &amp; Kawachi (2014) demonstrate that higher levels of social capital are consistently associated with lower suicide rates, reinforcing the idea that integration functions as a protective factor. However, the same authors warn that, conversely, contexts marked by structural inequality tend to fragment the bonds of trust, participation, and solidarity – essential pillars of social cohesion.</w:t>
      </w:r>
    </w:p>
    <w:p w14:paraId="70439314"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 xml:space="preserve">It is widely recognized that the intensification of economic inequality makes the processes of social comparison more salient. In this regard, Cheung and Lucas (2016) demonstrate that, in contexts marked by inequalities, individuals tend to evaluate their well-being in terms of their relative status, and not only in terms of their absolute conditions. This process feeds a dynamic of inter-individual competition centered on available material resources, as argued by Melita et al. (2021). </w:t>
      </w:r>
    </w:p>
    <w:p w14:paraId="6B6E4D5D"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The literature that points to the association between social inequalities and social integration remains little explored. However, there is empirical and theoretical evidence available that points to phenomena with which they are related and can be perceived and analyzed with relative certainty, including: the negative impact of structural inequality on subjective well-being (Zhang &amp; Churchill, 2020; He et al., 2022); the particularly pronounced effect upon an individual’s sense of well-being when inequality is perceived as unfair, arbitrary, and detached from individual effort (Ge et al., 2021); the robust association between economic and social indicators and suicide rates (Milner et al., 2012; Rajkumar, 2023); the effect of support on distribution to reduce economic inequalities (García-Sánchez et al., 2022); or even the effect of wealth inequality on happiness (Gao et al., 2022).</w:t>
      </w:r>
    </w:p>
    <w:p w14:paraId="019AE698"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In the light of these debates, the research proposes(ed) the following hypotheses:</w:t>
      </w:r>
    </w:p>
    <w:p w14:paraId="2E8D07CC"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Hypothesis 1 (H1): The perception of social inequalities is negatively associated with social integration.</w:t>
      </w:r>
    </w:p>
    <w:p w14:paraId="7370E7E3"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Hypothesis 2 (H2): Although the perception of social inequalities negatively affects social integration, it is assumed that this relationship can be attenuated by subjective well-being.</w:t>
      </w:r>
    </w:p>
    <w:p w14:paraId="4D7CDF72" w14:textId="77777777" w:rsidR="00DD1D25" w:rsidRPr="00DD1D25" w:rsidRDefault="00DD1D25" w:rsidP="00DD1D25">
      <w:pPr>
        <w:pBdr>
          <w:top w:val="nil"/>
          <w:left w:val="nil"/>
          <w:bottom w:val="nil"/>
          <w:right w:val="nil"/>
          <w:between w:val="nil"/>
        </w:pBdr>
        <w:spacing w:line="360" w:lineRule="auto"/>
        <w:jc w:val="both"/>
        <w:rPr>
          <w:b/>
          <w:bCs/>
          <w:color w:val="000000"/>
        </w:rPr>
      </w:pPr>
      <w:r w:rsidRPr="00DD1D25">
        <w:rPr>
          <w:b/>
          <w:bCs/>
          <w:color w:val="000000"/>
        </w:rPr>
        <w:t xml:space="preserve">The Effect of Support Networks on Subjective Well-Being </w:t>
      </w:r>
    </w:p>
    <w:p w14:paraId="4A94F0C1"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 xml:space="preserve">Social support networks, also known as social support or simply social support, play a central role in promoting subjective well-being and are often described as sources of emotional, </w:t>
      </w:r>
      <w:r w:rsidRPr="00DD1D25">
        <w:rPr>
          <w:color w:val="000000"/>
        </w:rPr>
        <w:lastRenderedPageBreak/>
        <w:t>instrumental, and symbolic support that help the individual to face the challenges of daily life (House, 1981; Cohen &amp; Wills, 1985). In the context of work-family relationships, these networks can include colleagues, supervisors, friends, and, above all, family members, who contribute to the balance between the different domains of life and the maintenance of higher levels of life satisfaction (King et al., 1995; Odle-Dusseau et al., 2012).</w:t>
      </w:r>
    </w:p>
    <w:p w14:paraId="4EE4FBDF"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The literature identifies two fundamental mechanisms through which support networks influence subjective well-being: (1) direct effects and (2) mediated effects (Cohen &amp; Wills, 1985; King et al., 1995). In direct terms, regular social interactions provide emotional stability and recognition of personal worth, facilitating a more positive perception of life (Cohen &amp; Wills, 1985; Shin &amp; Park, 2022). This main effect reinforces the idea that integration into a consistent social network already contributes to well-being, regardless of external stressors.</w:t>
      </w:r>
    </w:p>
    <w:p w14:paraId="419F7919"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From the point of view of mediation processes, "recent" (why inverted commas?) evidence suggests that support networks act as protective mechanisms, attenuating the perception of stress and, consequently, favoring more positive emotional states (Cohen &amp; Wills, 1985; King et al., 1995; Rui &amp; Guo, 2022). This perspective is in line with the Resource Conservation Theory (COR), according to which individuals use social resources, such as family support, to conserve or restore psychic and emotional energy in contexts of strain and adversity (Hobfoll, 1989; Halbesleben et al., 2012; Sörensen et al., 2019).</w:t>
      </w:r>
    </w:p>
    <w:p w14:paraId="1DF57AD1"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In addition, there is evidence that the effect of social support on subjective well-being can be moderated by variables such as social integration, i.e., the degree to which the individual feels included and emotionally connected to their support network (Thoits, 1995; Rui &amp; Guo, 2022). People with greater social integration not only receive more tangible support, but also interpret that support more positively, which maximizes its emotional benefits (King et al., 1995).</w:t>
      </w:r>
    </w:p>
    <w:p w14:paraId="6D756962"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 xml:space="preserve">Studies that analyze these relationships in daily or longitudinal designs (Hammer et al., 2009; Straub, 2012) show that both family support and support from family-sensitive supervisors (FSSB) fluctuate over time (Hammer et al., 2009; Xu et al., 2020; Shin &amp; Park, 2022), and that these variations are significantly associated with how individuals invest in their work, recover their energy, and experience life satisfaction (French et al., 2018). </w:t>
      </w:r>
    </w:p>
    <w:p w14:paraId="4C58BD0D"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 xml:space="preserve">There is also the recognition that social support can act as a protective factor, mitigating the adverse effects of stress (Dunbar et al., 1998; Ribeiro, 1999). There is also evidence that, in </w:t>
      </w:r>
      <w:r w:rsidRPr="00DD1D25">
        <w:rPr>
          <w:color w:val="000000"/>
        </w:rPr>
        <w:lastRenderedPageBreak/>
        <w:t>specific contexts, this social support may be related to a decrease in well-being or even intensify the impact of stressors (Deelstra et al., 2003).</w:t>
      </w:r>
    </w:p>
    <w:p w14:paraId="03597D82"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Be that as it may, as a rule, it is understood that support or social support networks not only mitigate the effects of stress, but also promote subjective well-being through multiple interactive pathways, that are influenced by contextual variables (such as the type of support), individual variables (such as social integration) [(Shin &amp; Park, 2022)] and by mediating variables (such as perceived stress) [(Acoba,  2024; Tannous-Haddad et al., 2024)].</w:t>
      </w:r>
    </w:p>
    <w:p w14:paraId="1B309947"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These debates have contributed towards the following hypotheses:</w:t>
      </w:r>
    </w:p>
    <w:p w14:paraId="32750359"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Hypothesis 3 (H3): Social support on social networks is positively associated with subjective well-being.</w:t>
      </w:r>
    </w:p>
    <w:p w14:paraId="4A7CBEC3" w14:textId="5AE96997" w:rsid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Hypothesis 4 (H4): Social integration is expected to mediate the positive association between social support in social networks and subjective well-being, indicating a significant indirect effect.</w:t>
      </w:r>
    </w:p>
    <w:p w14:paraId="4A9432C1" w14:textId="77777777" w:rsidR="003A3413" w:rsidRDefault="003A3413">
      <w:pPr>
        <w:pBdr>
          <w:top w:val="nil"/>
          <w:left w:val="nil"/>
          <w:bottom w:val="nil"/>
          <w:right w:val="nil"/>
          <w:between w:val="nil"/>
        </w:pBdr>
        <w:spacing w:line="360" w:lineRule="auto"/>
        <w:ind w:firstLine="708"/>
        <w:jc w:val="both"/>
        <w:rPr>
          <w:color w:val="000000"/>
        </w:rPr>
      </w:pPr>
    </w:p>
    <w:p w14:paraId="326BEC35" w14:textId="77777777" w:rsidR="003A3413" w:rsidRDefault="00000000">
      <w:pPr>
        <w:pBdr>
          <w:top w:val="nil"/>
          <w:left w:val="nil"/>
          <w:bottom w:val="nil"/>
          <w:right w:val="nil"/>
          <w:between w:val="nil"/>
        </w:pBdr>
        <w:jc w:val="center"/>
        <w:rPr>
          <w:b/>
          <w:color w:val="000000"/>
        </w:rPr>
      </w:pPr>
      <w:r>
        <w:rPr>
          <w:b/>
          <w:color w:val="000000"/>
        </w:rPr>
        <w:t>Method</w:t>
      </w:r>
    </w:p>
    <w:p w14:paraId="5E0668EB" w14:textId="01A41307" w:rsidR="003A3413" w:rsidRPr="00DD1D25" w:rsidRDefault="00DD1D25">
      <w:pPr>
        <w:pBdr>
          <w:top w:val="nil"/>
          <w:left w:val="nil"/>
          <w:bottom w:val="nil"/>
          <w:right w:val="nil"/>
          <w:between w:val="nil"/>
        </w:pBdr>
        <w:spacing w:line="360" w:lineRule="auto"/>
        <w:jc w:val="both"/>
        <w:rPr>
          <w:b/>
          <w:iCs/>
          <w:color w:val="000000"/>
        </w:rPr>
      </w:pPr>
      <w:r w:rsidRPr="00DD1D25">
        <w:rPr>
          <w:b/>
          <w:iCs/>
          <w:color w:val="000000"/>
        </w:rPr>
        <w:t>Sample</w:t>
      </w:r>
    </w:p>
    <w:p w14:paraId="37CB651E"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We use research data from the ISSP 2017 round, produced by GESIS – Leibniz Institute for the Social Sciences (2019), which covers the dimensions related to diversity and verticality, perception and justification of inequalities, social networks and resources (emotional and material support), social and political participation, empowerment, health and well-being,  the State and the market, among other dimensions, referring to 32 countries, including Spain.</w:t>
      </w:r>
    </w:p>
    <w:p w14:paraId="36F3E14E" w14:textId="54EF1EAB" w:rsidR="003A3413" w:rsidRDefault="00DD1D25" w:rsidP="00DD1D25">
      <w:pPr>
        <w:pBdr>
          <w:top w:val="nil"/>
          <w:left w:val="nil"/>
          <w:bottom w:val="nil"/>
          <w:right w:val="nil"/>
          <w:between w:val="nil"/>
        </w:pBdr>
        <w:spacing w:line="360" w:lineRule="auto"/>
        <w:ind w:firstLine="708"/>
        <w:jc w:val="both"/>
        <w:rPr>
          <w:color w:val="000000"/>
        </w:rPr>
      </w:pPr>
      <w:r w:rsidRPr="00DD1D25">
        <w:rPr>
          <w:color w:val="000000"/>
        </w:rPr>
        <w:t>The data were collected between October and December 2015. In the exploratory phase, 150 indicators were initially considered, which were subsequently reduced to 60 after validation and refinement. The final dataset comprised responses from 1,733 individuals, aged between 18 and 96 years.</w:t>
      </w:r>
    </w:p>
    <w:p w14:paraId="45173052" w14:textId="49DE2594" w:rsidR="003A3413" w:rsidRPr="00DD1D25" w:rsidRDefault="00DD1D25">
      <w:pPr>
        <w:pBdr>
          <w:top w:val="nil"/>
          <w:left w:val="nil"/>
          <w:bottom w:val="nil"/>
          <w:right w:val="nil"/>
          <w:between w:val="nil"/>
        </w:pBdr>
        <w:spacing w:line="360" w:lineRule="auto"/>
        <w:jc w:val="both"/>
        <w:rPr>
          <w:b/>
          <w:iCs/>
          <w:color w:val="000000"/>
        </w:rPr>
      </w:pPr>
      <w:r w:rsidRPr="00DD1D25">
        <w:rPr>
          <w:b/>
          <w:iCs/>
          <w:color w:val="000000"/>
        </w:rPr>
        <w:t>Moderation and Mediation Measures</w:t>
      </w:r>
    </w:p>
    <w:p w14:paraId="1E36AD62"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 xml:space="preserve">The moderation model is based on two assumptions to be tested: i)  the test assumes a negative association between the perception of social inequalities and social integration, and ii)  the moderating effect of subjective well-being in the direct relationship between the perception of social inequalities and social integration is tested. For the mediation model, the following rationale was followed: i) firstly, the positive association between social support networks (also called social </w:t>
      </w:r>
      <w:r w:rsidRPr="00DD1D25">
        <w:rPr>
          <w:color w:val="000000"/>
        </w:rPr>
        <w:lastRenderedPageBreak/>
        <w:t xml:space="preserve">support) and subjective well-being is tested; ii) secondly, the model tests a partial mediation exerted by social integration in the significant indirect effect of social support networks on subjective well-being. </w:t>
      </w:r>
    </w:p>
    <w:p w14:paraId="32A650FC" w14:textId="77777777" w:rsidR="00DD1D25" w:rsidRPr="00DD1D25" w:rsidRDefault="00DD1D25" w:rsidP="00DD1D25">
      <w:pPr>
        <w:pBdr>
          <w:top w:val="nil"/>
          <w:left w:val="nil"/>
          <w:bottom w:val="nil"/>
          <w:right w:val="nil"/>
          <w:between w:val="nil"/>
        </w:pBdr>
        <w:spacing w:line="360" w:lineRule="auto"/>
        <w:ind w:firstLine="708"/>
        <w:jc w:val="both"/>
        <w:rPr>
          <w:b/>
          <w:bCs/>
          <w:i/>
          <w:iCs/>
          <w:color w:val="000000"/>
        </w:rPr>
      </w:pPr>
      <w:r w:rsidRPr="00DD1D25">
        <w:rPr>
          <w:b/>
          <w:bCs/>
          <w:i/>
          <w:iCs/>
          <w:color w:val="000000"/>
        </w:rPr>
        <w:t>Perception of Social Inequalities</w:t>
      </w:r>
    </w:p>
    <w:p w14:paraId="317D98DB"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The predictor variable "perception of social inequalities" (Zhang &amp; Churchill, 2020; He et al., 2022) was evaluated with four statements related to distributive justice and the role of the State: a) "The differences in income  (country) are very large"; b) "For a society to be fair, the differences in people's standard of living must be small"; c) "It is the government's responsibility to reduce the income gap between people with high income and those with low incomes"; d) "Social benefits  (country) make people lazy". Responses were recorded on a 5-point Likert-type scale (1 = Strongly agree; 5 = Strongly disagree),  with the additional option "8 = Can't choose." In the internal consistency analysis, a total of 135 missing cases (approximately 7.8%) were observed. Considering only the first three items (a, b, and c), Cronbach's alpha was 0.651 (which is quite questionable).</w:t>
      </w:r>
    </w:p>
    <w:p w14:paraId="3A5DE413"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 xml:space="preserve">To mitigate data losses and improve internal consistency, multiple imputation was initially performed based on three iterations (base 3). The result was an increase in Cronbach's alpha to 0.667 (items a, b, and c), with only 16 cases excluded (0.9%). Item d, whose formulation is opposite to that of the other items, was previously excluded because it did not contribute positively to the consistency of the scale. </w:t>
      </w:r>
    </w:p>
    <w:p w14:paraId="3F037090"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However, it was concluded that the improvement resulting from multiple imputation was not enough to substantially change the consistency classification (Kline, 2011, p.70), despite the slight increase observed (from α = 0.651 to α = 0.667). Thus, it was decided to maintain the original value of α=0.651, based on the theoretical argument of the mean inter-item correlation (0.39), a value considered acceptable because it is in the recommended range between 0.15 and 0.50 (Clark &amp; Watson, 1995).</w:t>
      </w:r>
    </w:p>
    <w:p w14:paraId="02021EFB" w14:textId="77777777" w:rsidR="00DD1D25" w:rsidRPr="00DD1D25" w:rsidRDefault="00DD1D25" w:rsidP="00DD1D25">
      <w:pPr>
        <w:pBdr>
          <w:top w:val="nil"/>
          <w:left w:val="nil"/>
          <w:bottom w:val="nil"/>
          <w:right w:val="nil"/>
          <w:between w:val="nil"/>
        </w:pBdr>
        <w:spacing w:line="360" w:lineRule="auto"/>
        <w:ind w:firstLine="708"/>
        <w:jc w:val="both"/>
        <w:rPr>
          <w:b/>
          <w:bCs/>
          <w:i/>
          <w:iCs/>
          <w:color w:val="000000"/>
        </w:rPr>
      </w:pPr>
      <w:r w:rsidRPr="00DD1D25">
        <w:rPr>
          <w:b/>
          <w:bCs/>
          <w:i/>
          <w:iCs/>
          <w:color w:val="000000"/>
        </w:rPr>
        <w:t>Social integration</w:t>
      </w:r>
    </w:p>
    <w:p w14:paraId="266B2E6B"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Social integration, as a mediator, is also an outcome in the moderation model, – also referred to as loneliness or perception of subjective integration in certain studies (Tomás et al, 2019; Macdonald &amp; Hülür, 2020). It was assessed using three items that measure feelings of loneliness and social distancing in the last four weeks: a) "... don't you have company?", b) "... did you feel isolated from others?" and c) "... Were you left out?" The answers were recorded on a 5-</w:t>
      </w:r>
      <w:r w:rsidRPr="00DD1D25">
        <w:rPr>
          <w:color w:val="000000"/>
        </w:rPr>
        <w:lastRenderedPageBreak/>
        <w:t>point Likert scale: 1 (Never); 2 (Rarely); 3 (Sometimes); 4 (Frequently); 5 (Very often); 8 (I can't choose), reflecting the frequency of such experiences.</w:t>
      </w:r>
    </w:p>
    <w:p w14:paraId="78E0914B"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 xml:space="preserve">The internal consistency of the scale was initially analyzed using Cronbach's alpha, which presented a value of 0.777. However, the item "Don't you have company?" revealed a lower correlation with the others, which led to its exclusion. With the remaining two items, reliability was reassessed with the Spearman-Brown coefficient, which is more appropriate in this context, resulting in a value of 0.811, which is considered good (by whom?). </w:t>
      </w:r>
    </w:p>
    <w:p w14:paraId="5A32D398"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 xml:space="preserve">The scale was inverted, so that the high values began to indicate greater social integration, rather than loneliness or social exclusion previously observed. Initially, the values ranged from 1 (Never) to 5 (Very often), but after the inversion, the order was reversed to 1 (Very often) to 5 (Never). </w:t>
      </w:r>
    </w:p>
    <w:p w14:paraId="6AEC56E4" w14:textId="77777777" w:rsidR="00DD1D25" w:rsidRPr="00DD1D25" w:rsidRDefault="00DD1D25" w:rsidP="00DD1D25">
      <w:pPr>
        <w:pBdr>
          <w:top w:val="nil"/>
          <w:left w:val="nil"/>
          <w:bottom w:val="nil"/>
          <w:right w:val="nil"/>
          <w:between w:val="nil"/>
        </w:pBdr>
        <w:spacing w:line="360" w:lineRule="auto"/>
        <w:ind w:firstLine="708"/>
        <w:jc w:val="both"/>
        <w:rPr>
          <w:b/>
          <w:bCs/>
          <w:i/>
          <w:iCs/>
          <w:color w:val="000000"/>
        </w:rPr>
      </w:pPr>
      <w:r w:rsidRPr="00DD1D25">
        <w:rPr>
          <w:b/>
          <w:bCs/>
          <w:i/>
          <w:iCs/>
          <w:color w:val="000000"/>
        </w:rPr>
        <w:t>Subjective Well-Being</w:t>
      </w:r>
    </w:p>
    <w:p w14:paraId="07CE5F85"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ab/>
        <w:t xml:space="preserve">Subjective well-being, a moderating variable and also an outcome in the mediation model, was assessed based on two items, which investigate negative emotional experiences in the last four weeks. However, some similar studies explore other aspects (such as security, capabilities, achievement, or personal value, among others) and with 4-point Likert scales (cf.,  for example, González et al., 2021). Each participant answered the frequency with which: a) "Have you ever felt unhappy and depressed?"; b) "Did you feel that the difficulties were accumulating so much that you could not overcome them?" Both items indicate higher levels of psychological distress with higher scores. </w:t>
      </w:r>
    </w:p>
    <w:p w14:paraId="13331A01"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ab/>
        <w:t xml:space="preserve">Therefore, for analytical purposes, in this article, the scores were inverted so that the highest values represented the lowest subjective well-being experiences. Thus, the internal consistency of the scale was adequate (SB = 0.818), indicating good reliability for subsequent analyses. The answer options were presented on a 5-point Likert scale: 1 (Never), 2 (Rarely), 3 (Sometimes), 4 (Often), and 5 (Very often), in addition to option "8" (I can't choose), considered as a missing value.  </w:t>
      </w:r>
    </w:p>
    <w:p w14:paraId="2A79640B" w14:textId="77777777" w:rsidR="00DD1D25" w:rsidRPr="00DD1D25" w:rsidRDefault="00DD1D25" w:rsidP="00DD1D25">
      <w:pPr>
        <w:pBdr>
          <w:top w:val="nil"/>
          <w:left w:val="nil"/>
          <w:bottom w:val="nil"/>
          <w:right w:val="nil"/>
          <w:between w:val="nil"/>
        </w:pBdr>
        <w:spacing w:line="360" w:lineRule="auto"/>
        <w:ind w:firstLine="708"/>
        <w:jc w:val="both"/>
        <w:rPr>
          <w:b/>
          <w:bCs/>
          <w:i/>
          <w:iCs/>
          <w:color w:val="000000"/>
        </w:rPr>
      </w:pPr>
      <w:r w:rsidRPr="00DD1D25">
        <w:rPr>
          <w:b/>
          <w:bCs/>
          <w:i/>
          <w:iCs/>
          <w:color w:val="000000"/>
        </w:rPr>
        <w:t>Social Support – also called Social Support or Social Networks</w:t>
      </w:r>
    </w:p>
    <w:p w14:paraId="0DFFBF02" w14:textId="77777777" w:rsidR="00DD1D25" w:rsidRPr="00DD1D25" w:rsidRDefault="00DD1D25" w:rsidP="00DD1D25">
      <w:pPr>
        <w:pBdr>
          <w:top w:val="nil"/>
          <w:left w:val="nil"/>
          <w:bottom w:val="nil"/>
          <w:right w:val="nil"/>
          <w:between w:val="nil"/>
        </w:pBdr>
        <w:spacing w:line="360" w:lineRule="auto"/>
        <w:ind w:firstLine="708"/>
        <w:jc w:val="both"/>
        <w:rPr>
          <w:color w:val="000000"/>
        </w:rPr>
      </w:pPr>
      <w:r w:rsidRPr="00DD1D25">
        <w:rPr>
          <w:color w:val="000000"/>
        </w:rPr>
        <w:t xml:space="preserve">The social support variable, predictor of the mediation model (French et al., 2018; Shin &amp; Park, 2022), was assessed based on three items adapted from internationally validated scales, which investigate the perception of emotional and instrumental support on social networks (Ribeiro, 1999). The participants indicated who they would turn to first in the following situations: </w:t>
      </w:r>
      <w:r w:rsidRPr="00DD1D25">
        <w:rPr>
          <w:color w:val="000000"/>
        </w:rPr>
        <w:lastRenderedPageBreak/>
        <w:t>c) "... Be there for you if you feel a little down or depressed and want to talk about it? d) “…seeking advice on family problems?"; e) “… enjoy a pleasant social occasion?". It is worth noting that two items (a and b) were excluded because they contributed very little to the internal consistency of the construct.</w:t>
      </w:r>
    </w:p>
    <w:p w14:paraId="25A5A277" w14:textId="73D80162" w:rsidR="003A3413" w:rsidRDefault="00DD1D25" w:rsidP="00DD1D25">
      <w:pPr>
        <w:pBdr>
          <w:top w:val="nil"/>
          <w:left w:val="nil"/>
          <w:bottom w:val="nil"/>
          <w:right w:val="nil"/>
          <w:between w:val="nil"/>
        </w:pBdr>
        <w:spacing w:line="360" w:lineRule="auto"/>
        <w:ind w:firstLine="708"/>
        <w:jc w:val="both"/>
        <w:rPr>
          <w:color w:val="000000"/>
        </w:rPr>
      </w:pPr>
      <w:r w:rsidRPr="00DD1D25">
        <w:rPr>
          <w:color w:val="000000"/>
        </w:rPr>
        <w:t>Response options were presented on a 7-point Likert scale: 1 (Close family member), 2 (Most distant family member), 3 (Close friend), 4 (Neighbor), 5 (Someone I work with), 6 (Someone else), and 7 (Nobody), with the additional option 8 (Can't choose), treated as a missing value. All items reflect higher levels of perceived social support, as indicated by higher scores. The internal consistency of the scale was adequate (Cronbach's α = 0.721), indicating sufficient reliability for the analyses.</w:t>
      </w:r>
    </w:p>
    <w:p w14:paraId="5E567F8D" w14:textId="0F188FED" w:rsidR="003A3413" w:rsidRPr="00092BEB" w:rsidRDefault="00DD1D25">
      <w:pPr>
        <w:pBdr>
          <w:top w:val="nil"/>
          <w:left w:val="nil"/>
          <w:bottom w:val="nil"/>
          <w:right w:val="nil"/>
          <w:between w:val="nil"/>
        </w:pBdr>
        <w:spacing w:line="360" w:lineRule="auto"/>
        <w:jc w:val="both"/>
        <w:rPr>
          <w:b/>
          <w:iCs/>
          <w:color w:val="000000"/>
        </w:rPr>
      </w:pPr>
      <w:r w:rsidRPr="00092BEB">
        <w:rPr>
          <w:b/>
          <w:iCs/>
          <w:color w:val="000000"/>
        </w:rPr>
        <w:t>Analysis Strategy</w:t>
      </w:r>
    </w:p>
    <w:p w14:paraId="44678F55" w14:textId="77777777" w:rsidR="00DD1D25" w:rsidRPr="00DD1D25" w:rsidRDefault="00DD1D25" w:rsidP="00DD1D25">
      <w:pPr>
        <w:spacing w:line="360" w:lineRule="auto"/>
        <w:ind w:firstLine="720"/>
        <w:jc w:val="both"/>
        <w:rPr>
          <w:color w:val="000000"/>
          <w:lang w:val="en-US"/>
        </w:rPr>
      </w:pPr>
      <w:r w:rsidRPr="00DD1D25">
        <w:rPr>
          <w:color w:val="000000"/>
        </w:rPr>
        <w:t>Statistical analyses were performed with the aid of the SPSS software (29.0), which allowed descriptive procedures, evaluation of internal consistency, reliability of the scales, and preliminary correlation between variables. For the mediation and moderation models, the JASP (0.19.3.0) and SPSS (29.0) software were used</w:t>
      </w:r>
      <w:r w:rsidRPr="00DD1D25">
        <w:rPr>
          <w:color w:val="000000"/>
          <w:lang w:val="en-GB"/>
        </w:rPr>
        <w:t>.</w:t>
      </w:r>
      <w:r w:rsidRPr="00DD1D25">
        <w:rPr>
          <w:color w:val="000000"/>
        </w:rPr>
        <w:t xml:space="preserve">  </w:t>
      </w:r>
      <w:r w:rsidRPr="00DD1D25">
        <w:rPr>
          <w:color w:val="000000"/>
          <w:lang w:val="en-GB"/>
        </w:rPr>
        <w:t xml:space="preserve">In the case of </w:t>
      </w:r>
      <w:r w:rsidRPr="00DD1D25">
        <w:rPr>
          <w:color w:val="000000"/>
        </w:rPr>
        <w:t xml:space="preserve">the mediation model, </w:t>
      </w:r>
      <w:r w:rsidRPr="00DD1D25">
        <w:rPr>
          <w:color w:val="000000"/>
          <w:lang w:val="en-GB"/>
        </w:rPr>
        <w:t xml:space="preserve">recourse was taken to </w:t>
      </w:r>
      <w:r w:rsidRPr="00DD1D25">
        <w:rPr>
          <w:color w:val="000000"/>
        </w:rPr>
        <w:t xml:space="preserve">bootstrapping (5000 resamples, 95% CI). The strategy aimed to test </w:t>
      </w:r>
      <w:r w:rsidRPr="00DD1D25">
        <w:rPr>
          <w:color w:val="000000"/>
          <w:lang w:val="en-GB"/>
        </w:rPr>
        <w:t xml:space="preserve">the </w:t>
      </w:r>
      <w:r w:rsidRPr="00DD1D25">
        <w:rPr>
          <w:color w:val="000000"/>
        </w:rPr>
        <w:t>four main hypotheses</w:t>
      </w:r>
      <w:r w:rsidRPr="00DD1D25">
        <w:rPr>
          <w:color w:val="000000"/>
          <w:lang w:val="en-GB"/>
        </w:rPr>
        <w:t xml:space="preserve"> outlined below</w:t>
      </w:r>
      <w:r w:rsidRPr="00DD1D25">
        <w:rPr>
          <w:color w:val="000000"/>
        </w:rPr>
        <w:t>, organized into two distinct analytical blocks: H1, H2, H3, and H4.</w:t>
      </w:r>
    </w:p>
    <w:p w14:paraId="53F27C4E" w14:textId="77777777" w:rsidR="00DD1D25" w:rsidRPr="00DD1D25" w:rsidRDefault="00DD1D25" w:rsidP="00DD1D25">
      <w:pPr>
        <w:spacing w:line="360" w:lineRule="auto"/>
        <w:ind w:left="426" w:firstLine="294"/>
        <w:jc w:val="both"/>
        <w:outlineLvl w:val="2"/>
        <w:rPr>
          <w:b/>
          <w:bCs/>
          <w:i/>
          <w:iCs/>
          <w:color w:val="000000"/>
          <w:lang w:val="en-US"/>
        </w:rPr>
      </w:pPr>
      <w:r w:rsidRPr="00DD1D25">
        <w:rPr>
          <w:b/>
          <w:bCs/>
          <w:i/>
          <w:iCs/>
          <w:color w:val="000000"/>
        </w:rPr>
        <w:t>Moderation Analytics</w:t>
      </w:r>
    </w:p>
    <w:p w14:paraId="1897A0AB" w14:textId="77777777" w:rsidR="00DD1D25" w:rsidRPr="00DD1D25" w:rsidRDefault="00DD1D25" w:rsidP="00DD1D25">
      <w:pPr>
        <w:spacing w:line="360" w:lineRule="auto"/>
        <w:ind w:firstLine="720"/>
        <w:jc w:val="both"/>
        <w:rPr>
          <w:color w:val="000000"/>
          <w:lang w:val="en-US"/>
        </w:rPr>
      </w:pPr>
      <w:r w:rsidRPr="00DD1D25">
        <w:rPr>
          <w:color w:val="000000"/>
        </w:rPr>
        <w:t>Two moderation analyses were performed to test H1 and H2:</w:t>
      </w:r>
    </w:p>
    <w:p w14:paraId="0BFB7BEB" w14:textId="77777777" w:rsidR="00DD1D25" w:rsidRPr="00DD1D25" w:rsidRDefault="00DD1D25" w:rsidP="00DD1D25">
      <w:pPr>
        <w:numPr>
          <w:ilvl w:val="0"/>
          <w:numId w:val="3"/>
        </w:numPr>
        <w:spacing w:line="360" w:lineRule="auto"/>
        <w:ind w:hanging="294"/>
        <w:jc w:val="both"/>
        <w:rPr>
          <w:color w:val="000000"/>
          <w:lang w:val="en-US"/>
        </w:rPr>
      </w:pPr>
      <w:r w:rsidRPr="00DD1D25">
        <w:rPr>
          <w:color w:val="000000"/>
        </w:rPr>
        <w:t>Direct effect model (H1): evaluated the direct association between the perception of social inequalities and social integration.</w:t>
      </w:r>
    </w:p>
    <w:p w14:paraId="49CD97E6" w14:textId="77777777" w:rsidR="00DD1D25" w:rsidRPr="00DD1D25" w:rsidRDefault="00DD1D25" w:rsidP="00DD1D25">
      <w:pPr>
        <w:numPr>
          <w:ilvl w:val="0"/>
          <w:numId w:val="3"/>
        </w:numPr>
        <w:spacing w:before="100" w:beforeAutospacing="1" w:line="360" w:lineRule="auto"/>
        <w:ind w:hanging="294"/>
        <w:jc w:val="both"/>
        <w:rPr>
          <w:color w:val="000000"/>
          <w:lang w:val="en-US"/>
        </w:rPr>
      </w:pPr>
      <w:r w:rsidRPr="00DD1D25">
        <w:rPr>
          <w:color w:val="000000"/>
        </w:rPr>
        <w:t>Moderator model (H2): tested the moderating effect of subjective well-being on this relationship. The interaction between perceived social inequalities and subjective well-being was analyzed, and the significance of the interaction term was complemented with a total effect analysis.</w:t>
      </w:r>
    </w:p>
    <w:p w14:paraId="6F492EDD" w14:textId="77777777" w:rsidR="00DD1D25" w:rsidRPr="00DD1D25" w:rsidRDefault="00DD1D25" w:rsidP="00DD1D25">
      <w:pPr>
        <w:spacing w:line="360" w:lineRule="auto"/>
        <w:ind w:left="360" w:firstLine="360"/>
        <w:jc w:val="both"/>
        <w:outlineLvl w:val="2"/>
        <w:rPr>
          <w:b/>
          <w:bCs/>
          <w:i/>
          <w:iCs/>
          <w:color w:val="000000"/>
          <w:lang w:val="en-US"/>
        </w:rPr>
      </w:pPr>
      <w:r w:rsidRPr="00DD1D25">
        <w:rPr>
          <w:b/>
          <w:bCs/>
          <w:i/>
          <w:iCs/>
          <w:color w:val="000000"/>
        </w:rPr>
        <w:t>Mediation Analysis</w:t>
      </w:r>
    </w:p>
    <w:p w14:paraId="6597CC18" w14:textId="77777777" w:rsidR="00DD1D25" w:rsidRPr="00DD1D25" w:rsidRDefault="00DD1D25" w:rsidP="00DD1D25">
      <w:pPr>
        <w:spacing w:line="360" w:lineRule="auto"/>
        <w:ind w:firstLine="720"/>
        <w:jc w:val="both"/>
        <w:rPr>
          <w:color w:val="000000"/>
          <w:lang w:val="en-US"/>
        </w:rPr>
      </w:pPr>
      <w:r w:rsidRPr="00DD1D25">
        <w:rPr>
          <w:color w:val="000000"/>
        </w:rPr>
        <w:t>To test H3 and H4, a simple mediation model was estimated:</w:t>
      </w:r>
    </w:p>
    <w:p w14:paraId="0B7D9FA5" w14:textId="77777777" w:rsidR="00DD1D25" w:rsidRPr="00DD1D25" w:rsidRDefault="00DD1D25" w:rsidP="00DD1D25">
      <w:pPr>
        <w:spacing w:line="360" w:lineRule="auto"/>
        <w:ind w:firstLine="709"/>
        <w:jc w:val="both"/>
        <w:rPr>
          <w:color w:val="000000"/>
          <w:lang w:val="pt-PT"/>
        </w:rPr>
      </w:pPr>
      <w:r w:rsidRPr="00DD1D25">
        <w:rPr>
          <w:color w:val="000000"/>
        </w:rPr>
        <w:t>Mediation model (H4): tested whether life satisfaction mediates the relationship between social support on social networks and subjective well-being. The mediating model unfolded in three stages:</w:t>
      </w:r>
    </w:p>
    <w:p w14:paraId="6D623822" w14:textId="77777777" w:rsidR="00DD1D25" w:rsidRPr="00DD1D25" w:rsidRDefault="00DD1D25" w:rsidP="00DD1D25">
      <w:pPr>
        <w:numPr>
          <w:ilvl w:val="1"/>
          <w:numId w:val="4"/>
        </w:numPr>
        <w:spacing w:line="360" w:lineRule="auto"/>
        <w:ind w:left="709" w:hanging="283"/>
        <w:jc w:val="both"/>
        <w:rPr>
          <w:color w:val="000000"/>
          <w:lang w:val="en-US"/>
        </w:rPr>
      </w:pPr>
      <w:r w:rsidRPr="00DD1D25">
        <w:rPr>
          <w:color w:val="000000"/>
        </w:rPr>
        <w:lastRenderedPageBreak/>
        <w:t>Model 1: direct effect of social support on subjective well-being (controlled mediating variable).</w:t>
      </w:r>
    </w:p>
    <w:p w14:paraId="6C105D38" w14:textId="77777777" w:rsidR="00DD1D25" w:rsidRPr="00DD1D25" w:rsidRDefault="00DD1D25" w:rsidP="00DD1D25">
      <w:pPr>
        <w:numPr>
          <w:ilvl w:val="1"/>
          <w:numId w:val="4"/>
        </w:numPr>
        <w:spacing w:line="360" w:lineRule="auto"/>
        <w:ind w:left="709" w:hanging="283"/>
        <w:jc w:val="both"/>
        <w:rPr>
          <w:color w:val="000000"/>
          <w:lang w:val="en-US"/>
        </w:rPr>
      </w:pPr>
      <w:r w:rsidRPr="00DD1D25">
        <w:rPr>
          <w:color w:val="000000"/>
        </w:rPr>
        <w:t>Model 2: inclusion of the mediating variable (social integration), allowing the indirect effect to be estimated.</w:t>
      </w:r>
    </w:p>
    <w:p w14:paraId="4AD52AB3" w14:textId="77777777" w:rsidR="00DD1D25" w:rsidRPr="00DD1D25" w:rsidRDefault="00DD1D25" w:rsidP="00DD1D25">
      <w:pPr>
        <w:numPr>
          <w:ilvl w:val="1"/>
          <w:numId w:val="4"/>
        </w:numPr>
        <w:spacing w:line="360" w:lineRule="auto"/>
        <w:ind w:left="709" w:hanging="283"/>
        <w:jc w:val="both"/>
        <w:rPr>
          <w:color w:val="000000"/>
          <w:lang w:val="en-US"/>
        </w:rPr>
      </w:pPr>
      <w:r w:rsidRPr="00DD1D25">
        <w:rPr>
          <w:color w:val="000000"/>
        </w:rPr>
        <w:t>Total effects: replication of the model to validate the stability of the observed effects.</w:t>
      </w:r>
    </w:p>
    <w:p w14:paraId="6ED3EA85" w14:textId="77777777" w:rsidR="00DD1D25" w:rsidRPr="00DD1D25" w:rsidRDefault="00DD1D25" w:rsidP="00DD1D25">
      <w:pPr>
        <w:spacing w:line="360" w:lineRule="auto"/>
        <w:ind w:firstLine="426"/>
        <w:jc w:val="both"/>
        <w:rPr>
          <w:color w:val="000000"/>
          <w:lang w:val="en-US"/>
        </w:rPr>
      </w:pPr>
      <w:r w:rsidRPr="00DD1D25">
        <w:rPr>
          <w:color w:val="000000"/>
        </w:rPr>
        <w:t>The mediating effect was, from the outset, considered significant when the bootstrap confidence interval did not include the value zero.</w:t>
      </w:r>
    </w:p>
    <w:p w14:paraId="52D8D3D2" w14:textId="77777777" w:rsidR="00DD1D25" w:rsidRPr="00DD1D25" w:rsidRDefault="00DD1D25" w:rsidP="00DD1D25">
      <w:pPr>
        <w:spacing w:line="360" w:lineRule="auto"/>
        <w:ind w:left="426" w:firstLine="294"/>
        <w:jc w:val="both"/>
        <w:outlineLvl w:val="2"/>
        <w:rPr>
          <w:b/>
          <w:bCs/>
          <w:i/>
          <w:iCs/>
          <w:color w:val="000000"/>
          <w:lang w:val="en-US"/>
        </w:rPr>
      </w:pPr>
      <w:r w:rsidRPr="00DD1D25">
        <w:rPr>
          <w:b/>
          <w:bCs/>
          <w:i/>
          <w:iCs/>
          <w:color w:val="000000"/>
        </w:rPr>
        <w:t>Evaluation of the Reliability of Scales</w:t>
      </w:r>
    </w:p>
    <w:p w14:paraId="63430185" w14:textId="77777777" w:rsidR="00DD1D25" w:rsidRPr="00DD1D25" w:rsidRDefault="00DD1D25" w:rsidP="00DD1D25">
      <w:pPr>
        <w:spacing w:line="360" w:lineRule="auto"/>
        <w:ind w:firstLine="720"/>
        <w:jc w:val="both"/>
        <w:rPr>
          <w:color w:val="000000"/>
          <w:lang w:val="en-US"/>
        </w:rPr>
      </w:pPr>
      <w:r w:rsidRPr="00DD1D25">
        <w:rPr>
          <w:color w:val="000000"/>
        </w:rPr>
        <w:t>The reliability of the scales was evaluated using Cronbach's alpha (α) and the Spearman-Brown coefficient (SB). In summary, as a precondition, the following values were considered:</w:t>
      </w:r>
    </w:p>
    <w:p w14:paraId="1C9E2A2E" w14:textId="77777777" w:rsidR="00DD1D25" w:rsidRPr="00DD1D25" w:rsidRDefault="00DD1D25" w:rsidP="00DD1D25">
      <w:pPr>
        <w:numPr>
          <w:ilvl w:val="0"/>
          <w:numId w:val="5"/>
        </w:numPr>
        <w:spacing w:line="360" w:lineRule="auto"/>
        <w:ind w:hanging="294"/>
        <w:jc w:val="both"/>
        <w:rPr>
          <w:color w:val="000000"/>
          <w:lang w:val="en-US"/>
        </w:rPr>
      </w:pPr>
      <w:r w:rsidRPr="00DD1D25">
        <w:rPr>
          <w:color w:val="000000"/>
        </w:rPr>
        <w:t>Social inequalities perception scale (items a, b, and c): α = 0.651, given the mean inter-item correlation of 0.39 (Clark &amp; Watson, 1995).</w:t>
      </w:r>
    </w:p>
    <w:p w14:paraId="7AC4D889" w14:textId="77777777" w:rsidR="00DD1D25" w:rsidRPr="00DD1D25" w:rsidRDefault="00DD1D25" w:rsidP="00DD1D25">
      <w:pPr>
        <w:numPr>
          <w:ilvl w:val="0"/>
          <w:numId w:val="5"/>
        </w:numPr>
        <w:spacing w:before="100" w:beforeAutospacing="1" w:line="360" w:lineRule="auto"/>
        <w:ind w:hanging="294"/>
        <w:jc w:val="both"/>
        <w:rPr>
          <w:color w:val="000000"/>
          <w:lang w:val="en-US"/>
        </w:rPr>
      </w:pPr>
      <w:r w:rsidRPr="00DD1D25">
        <w:rPr>
          <w:color w:val="000000"/>
        </w:rPr>
        <w:t>Subjective well-being scale (with inverted scores): SB = 0.818.</w:t>
      </w:r>
    </w:p>
    <w:p w14:paraId="6CB3F7F4" w14:textId="77777777" w:rsidR="00DD1D25" w:rsidRPr="00DD1D25" w:rsidRDefault="00DD1D25" w:rsidP="00DD1D25">
      <w:pPr>
        <w:numPr>
          <w:ilvl w:val="0"/>
          <w:numId w:val="5"/>
        </w:numPr>
        <w:spacing w:before="100" w:beforeAutospacing="1" w:line="360" w:lineRule="auto"/>
        <w:ind w:hanging="294"/>
        <w:jc w:val="both"/>
        <w:rPr>
          <w:color w:val="000000"/>
          <w:lang w:val="en-US"/>
        </w:rPr>
      </w:pPr>
      <w:r w:rsidRPr="00DD1D25">
        <w:rPr>
          <w:color w:val="000000"/>
        </w:rPr>
        <w:t>Social integration scale (with inverted scores and after excluding an item with the lowest correlation): SB = 0.811.</w:t>
      </w:r>
    </w:p>
    <w:p w14:paraId="798F30A5" w14:textId="28358908" w:rsidR="003A3413" w:rsidRPr="003B574D" w:rsidRDefault="00DD1D25" w:rsidP="00DD1D25">
      <w:pPr>
        <w:numPr>
          <w:ilvl w:val="0"/>
          <w:numId w:val="5"/>
        </w:numPr>
        <w:spacing w:before="100" w:beforeAutospacing="1" w:line="360" w:lineRule="auto"/>
        <w:ind w:hanging="294"/>
        <w:jc w:val="both"/>
        <w:rPr>
          <w:color w:val="000000"/>
          <w:lang w:val="en-US"/>
        </w:rPr>
      </w:pPr>
      <w:r w:rsidRPr="00DD1D25">
        <w:rPr>
          <w:color w:val="000000"/>
        </w:rPr>
        <w:t>Support or social support scale: α = 0.721.</w:t>
      </w:r>
    </w:p>
    <w:p w14:paraId="3C872CA3" w14:textId="77777777" w:rsidR="003B574D" w:rsidRPr="00DD1D25" w:rsidRDefault="003B574D" w:rsidP="003B574D">
      <w:pPr>
        <w:spacing w:line="360" w:lineRule="auto"/>
        <w:ind w:left="720"/>
        <w:jc w:val="both"/>
        <w:rPr>
          <w:color w:val="000000"/>
          <w:lang w:val="en-US"/>
        </w:rPr>
      </w:pPr>
    </w:p>
    <w:p w14:paraId="054A286D" w14:textId="77777777" w:rsidR="003A3413" w:rsidRDefault="00000000">
      <w:pPr>
        <w:pBdr>
          <w:top w:val="nil"/>
          <w:left w:val="nil"/>
          <w:bottom w:val="nil"/>
          <w:right w:val="nil"/>
          <w:between w:val="nil"/>
        </w:pBdr>
        <w:jc w:val="center"/>
        <w:rPr>
          <w:b/>
          <w:color w:val="000000"/>
        </w:rPr>
      </w:pPr>
      <w:r>
        <w:rPr>
          <w:b/>
          <w:color w:val="000000"/>
        </w:rPr>
        <w:t>Results</w:t>
      </w:r>
    </w:p>
    <w:p w14:paraId="1EF8F540" w14:textId="77777777" w:rsidR="008015D6" w:rsidRPr="008015D6" w:rsidRDefault="008015D6" w:rsidP="008015D6">
      <w:pPr>
        <w:spacing w:line="360" w:lineRule="auto"/>
        <w:ind w:firstLine="720"/>
        <w:jc w:val="both"/>
        <w:rPr>
          <w:color w:val="000000"/>
          <w:lang w:val="en-US"/>
        </w:rPr>
      </w:pPr>
      <w:r w:rsidRPr="008015D6">
        <w:rPr>
          <w:color w:val="000000"/>
        </w:rPr>
        <w:t>In this section, we present, firstly, the results of the descriptive statistics of the sociodemographic variables of the sample and the correlations between the variables under study, which were subsequently tested in the models. The results of the regression analyses are presented below, including the mediation (direct and indirect effects) and moderation (interaction effects) models.</w:t>
      </w:r>
    </w:p>
    <w:p w14:paraId="4FE54D43" w14:textId="77777777" w:rsidR="008015D6" w:rsidRPr="008015D6" w:rsidRDefault="008015D6" w:rsidP="008015D6">
      <w:pPr>
        <w:spacing w:after="240"/>
        <w:jc w:val="both"/>
        <w:rPr>
          <w:b/>
          <w:bCs/>
          <w:color w:val="000000"/>
          <w:lang w:val="en-US"/>
        </w:rPr>
      </w:pPr>
      <w:r w:rsidRPr="008015D6">
        <w:rPr>
          <w:b/>
          <w:bCs/>
          <w:color w:val="000000"/>
        </w:rPr>
        <w:t>Profile of Participants</w:t>
      </w:r>
    </w:p>
    <w:p w14:paraId="2AD1DD98" w14:textId="77777777" w:rsidR="008015D6" w:rsidRPr="008015D6" w:rsidRDefault="008015D6" w:rsidP="00092BEB">
      <w:pPr>
        <w:spacing w:line="360" w:lineRule="auto"/>
        <w:ind w:firstLine="720"/>
        <w:jc w:val="both"/>
        <w:rPr>
          <w:color w:val="000000"/>
          <w:lang w:val="en-US"/>
        </w:rPr>
      </w:pPr>
      <w:r w:rsidRPr="008015D6">
        <w:rPr>
          <w:color w:val="000000"/>
        </w:rPr>
        <w:t>The data in Table 1 show</w:t>
      </w:r>
      <w:r w:rsidRPr="008015D6">
        <w:rPr>
          <w:color w:val="000000"/>
          <w:lang w:val="en-GB"/>
        </w:rPr>
        <w:t>s</w:t>
      </w:r>
      <w:r w:rsidRPr="008015D6">
        <w:rPr>
          <w:color w:val="000000"/>
        </w:rPr>
        <w:t xml:space="preserve"> that the study sample is composed of 1733 participants, with a balanced distribution between women (50.8%) and men (49.2%). Most are in the age group between 35 and 64 years. In terms of marital status, more than half of the respondents are married (59.4%). The majority live in households without children (74%) and identify with the Christian religion (68.5%), although a considerable proportion report not professing any religion (28.6%).</w:t>
      </w:r>
    </w:p>
    <w:p w14:paraId="73197D62" w14:textId="77777777" w:rsidR="008015D6" w:rsidRPr="00092BEB" w:rsidRDefault="008015D6" w:rsidP="00092BEB">
      <w:pPr>
        <w:spacing w:line="360" w:lineRule="auto"/>
        <w:rPr>
          <w:color w:val="000000"/>
        </w:rPr>
      </w:pPr>
      <w:r w:rsidRPr="00092BEB">
        <w:rPr>
          <w:b/>
          <w:bCs/>
          <w:color w:val="000000"/>
        </w:rPr>
        <w:t>Table 1</w:t>
      </w:r>
      <w:r w:rsidRPr="00092BEB">
        <w:rPr>
          <w:color w:val="000000"/>
        </w:rPr>
        <w:t xml:space="preserve"> </w:t>
      </w:r>
    </w:p>
    <w:p w14:paraId="502ECEB5" w14:textId="11974407" w:rsidR="008015D6" w:rsidRPr="00092BEB" w:rsidRDefault="008015D6" w:rsidP="008015D6">
      <w:pPr>
        <w:spacing w:line="360" w:lineRule="auto"/>
        <w:rPr>
          <w:i/>
          <w:iCs/>
          <w:color w:val="000000"/>
          <w:lang w:val="en-US"/>
        </w:rPr>
      </w:pPr>
      <w:r w:rsidRPr="00092BEB">
        <w:rPr>
          <w:i/>
          <w:iCs/>
          <w:color w:val="000000"/>
        </w:rPr>
        <w:t>Descriptive statistics of the sociodemographic characteristics of the respondents (N = 1733)</w:t>
      </w:r>
    </w:p>
    <w:tbl>
      <w:tblPr>
        <w:tblStyle w:val="PlainTable2"/>
        <w:tblpPr w:leftFromText="180" w:rightFromText="180" w:vertAnchor="text" w:tblpY="1"/>
        <w:tblOverlap w:val="never"/>
        <w:tblW w:w="0" w:type="auto"/>
        <w:tblLook w:val="04A0" w:firstRow="1" w:lastRow="0" w:firstColumn="1" w:lastColumn="0" w:noHBand="0" w:noVBand="1"/>
      </w:tblPr>
      <w:tblGrid>
        <w:gridCol w:w="3402"/>
        <w:gridCol w:w="2268"/>
        <w:gridCol w:w="1396"/>
      </w:tblGrid>
      <w:tr w:rsidR="008015D6" w:rsidRPr="00F64ED6" w14:paraId="34DA5C43" w14:textId="77777777" w:rsidTr="00F64E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18" w:space="0" w:color="auto"/>
              <w:bottom w:val="single" w:sz="18" w:space="0" w:color="auto"/>
            </w:tcBorders>
          </w:tcPr>
          <w:p w14:paraId="2EBCE254" w14:textId="77777777" w:rsidR="008015D6" w:rsidRPr="00F64ED6" w:rsidRDefault="008015D6" w:rsidP="00F64ED6">
            <w:pPr>
              <w:spacing w:before="100" w:beforeAutospacing="1" w:after="100" w:afterAutospacing="1"/>
              <w:jc w:val="both"/>
              <w:rPr>
                <w:rFonts w:ascii="Times New Roman" w:hAnsi="Times New Roman" w:cs="Times New Roman"/>
                <w:color w:val="000000"/>
                <w:sz w:val="22"/>
                <w:szCs w:val="22"/>
                <w:lang w:val="pt-PT"/>
              </w:rPr>
            </w:pPr>
            <w:r w:rsidRPr="00F64ED6">
              <w:rPr>
                <w:rFonts w:ascii="Times New Roman" w:hAnsi="Times New Roman" w:cs="Times New Roman"/>
                <w:color w:val="000000"/>
                <w:sz w:val="22"/>
                <w:szCs w:val="22"/>
              </w:rPr>
              <w:lastRenderedPageBreak/>
              <w:t>Variables</w:t>
            </w:r>
          </w:p>
        </w:tc>
        <w:tc>
          <w:tcPr>
            <w:tcW w:w="2268" w:type="dxa"/>
            <w:tcBorders>
              <w:top w:val="single" w:sz="18" w:space="0" w:color="auto"/>
              <w:bottom w:val="single" w:sz="18" w:space="0" w:color="auto"/>
            </w:tcBorders>
          </w:tcPr>
          <w:p w14:paraId="1F436B90" w14:textId="77777777" w:rsidR="008015D6" w:rsidRPr="00F64ED6" w:rsidRDefault="008015D6" w:rsidP="00F64ED6">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lang w:val="pt-PT"/>
              </w:rPr>
            </w:pPr>
            <w:r w:rsidRPr="00F64ED6">
              <w:rPr>
                <w:rFonts w:ascii="Times New Roman" w:hAnsi="Times New Roman" w:cs="Times New Roman"/>
                <w:color w:val="000000"/>
                <w:sz w:val="22"/>
                <w:szCs w:val="22"/>
              </w:rPr>
              <w:t>F(%)</w:t>
            </w:r>
          </w:p>
        </w:tc>
        <w:tc>
          <w:tcPr>
            <w:tcW w:w="1396" w:type="dxa"/>
            <w:tcBorders>
              <w:top w:val="single" w:sz="18" w:space="0" w:color="auto"/>
              <w:bottom w:val="single" w:sz="18" w:space="0" w:color="auto"/>
            </w:tcBorders>
          </w:tcPr>
          <w:p w14:paraId="78822BE1" w14:textId="77777777" w:rsidR="008015D6" w:rsidRPr="00F64ED6" w:rsidRDefault="008015D6" w:rsidP="00F64ED6">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lang w:val="pt-PT"/>
              </w:rPr>
            </w:pPr>
            <w:r w:rsidRPr="00F64ED6">
              <w:rPr>
                <w:rFonts w:ascii="Times New Roman" w:hAnsi="Times New Roman" w:cs="Times New Roman"/>
                <w:color w:val="000000"/>
                <w:sz w:val="22"/>
                <w:szCs w:val="22"/>
              </w:rPr>
              <w:t>N Valid(%)</w:t>
            </w:r>
          </w:p>
        </w:tc>
      </w:tr>
      <w:tr w:rsidR="008015D6" w:rsidRPr="00F64ED6" w14:paraId="64CBFBA6" w14:textId="77777777" w:rsidTr="00F64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18" w:space="0" w:color="auto"/>
              <w:bottom w:val="nil"/>
            </w:tcBorders>
          </w:tcPr>
          <w:p w14:paraId="3812440B" w14:textId="77777777" w:rsidR="008015D6" w:rsidRPr="00F64ED6" w:rsidRDefault="008015D6" w:rsidP="00F64ED6">
            <w:pPr>
              <w:spacing w:before="100" w:beforeAutospacing="1" w:after="100" w:afterAutospacing="1"/>
              <w:jc w:val="both"/>
              <w:rPr>
                <w:rFonts w:ascii="Times New Roman" w:hAnsi="Times New Roman" w:cs="Times New Roman"/>
                <w:b w:val="0"/>
                <w:bCs w:val="0"/>
                <w:i/>
                <w:iCs/>
                <w:color w:val="000000"/>
                <w:sz w:val="22"/>
                <w:szCs w:val="22"/>
                <w:lang w:val="pt-PT"/>
              </w:rPr>
            </w:pPr>
            <w:r w:rsidRPr="00F64ED6">
              <w:rPr>
                <w:rFonts w:ascii="Times New Roman" w:hAnsi="Times New Roman" w:cs="Times New Roman"/>
                <w:b w:val="0"/>
                <w:bCs w:val="0"/>
                <w:i/>
                <w:iCs/>
                <w:color w:val="000000"/>
                <w:sz w:val="22"/>
                <w:szCs w:val="22"/>
              </w:rPr>
              <w:t>Sex</w:t>
            </w:r>
          </w:p>
        </w:tc>
        <w:tc>
          <w:tcPr>
            <w:tcW w:w="2268" w:type="dxa"/>
            <w:tcBorders>
              <w:top w:val="single" w:sz="18" w:space="0" w:color="auto"/>
              <w:bottom w:val="nil"/>
            </w:tcBorders>
          </w:tcPr>
          <w:p w14:paraId="2FC91B56" w14:textId="77777777" w:rsidR="008015D6" w:rsidRPr="00F64ED6" w:rsidRDefault="008015D6" w:rsidP="00F64ED6">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lang w:val="pt-PT"/>
              </w:rPr>
            </w:pPr>
          </w:p>
        </w:tc>
        <w:tc>
          <w:tcPr>
            <w:tcW w:w="1396" w:type="dxa"/>
            <w:tcBorders>
              <w:top w:val="single" w:sz="18" w:space="0" w:color="auto"/>
              <w:bottom w:val="nil"/>
            </w:tcBorders>
          </w:tcPr>
          <w:p w14:paraId="512A74B4" w14:textId="77777777" w:rsidR="008015D6" w:rsidRPr="00F64ED6" w:rsidRDefault="008015D6" w:rsidP="00F64ED6">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lang w:val="pt-PT"/>
              </w:rPr>
            </w:pPr>
            <w:r w:rsidRPr="00F64ED6">
              <w:rPr>
                <w:rFonts w:ascii="Times New Roman" w:hAnsi="Times New Roman" w:cs="Times New Roman"/>
                <w:color w:val="000000"/>
                <w:sz w:val="22"/>
                <w:szCs w:val="22"/>
              </w:rPr>
              <w:t>1733(100)</w:t>
            </w:r>
          </w:p>
        </w:tc>
      </w:tr>
      <w:tr w:rsidR="008015D6" w:rsidRPr="00F64ED6" w14:paraId="0F439124" w14:textId="77777777" w:rsidTr="00F64ED6">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0081FC7B" w14:textId="77777777" w:rsidR="008015D6" w:rsidRPr="00F64ED6" w:rsidRDefault="008015D6" w:rsidP="00F64ED6">
            <w:pPr>
              <w:spacing w:before="100" w:beforeAutospacing="1" w:after="100" w:afterAutospacing="1"/>
              <w:ind w:left="720"/>
              <w:jc w:val="both"/>
              <w:rPr>
                <w:rFonts w:ascii="Times New Roman" w:hAnsi="Times New Roman" w:cs="Times New Roman"/>
                <w:b w:val="0"/>
                <w:bCs w:val="0"/>
                <w:color w:val="000000"/>
                <w:sz w:val="22"/>
                <w:szCs w:val="22"/>
                <w:lang w:val="pt-PT"/>
              </w:rPr>
            </w:pPr>
            <w:r w:rsidRPr="00F64ED6">
              <w:rPr>
                <w:rFonts w:ascii="Times New Roman" w:hAnsi="Times New Roman" w:cs="Times New Roman"/>
                <w:b w:val="0"/>
                <w:bCs w:val="0"/>
                <w:color w:val="000000"/>
                <w:sz w:val="22"/>
                <w:szCs w:val="22"/>
              </w:rPr>
              <w:t>Woman</w:t>
            </w:r>
          </w:p>
        </w:tc>
        <w:tc>
          <w:tcPr>
            <w:tcW w:w="2268" w:type="dxa"/>
            <w:tcBorders>
              <w:top w:val="nil"/>
              <w:bottom w:val="nil"/>
            </w:tcBorders>
          </w:tcPr>
          <w:p w14:paraId="15BFA0C0" w14:textId="77777777" w:rsidR="008015D6" w:rsidRPr="00F64ED6" w:rsidRDefault="008015D6" w:rsidP="00F64ED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lang w:val="pt-PT"/>
              </w:rPr>
            </w:pPr>
            <w:r w:rsidRPr="00F64ED6">
              <w:rPr>
                <w:rFonts w:ascii="Times New Roman" w:hAnsi="Times New Roman" w:cs="Times New Roman"/>
                <w:color w:val="000000"/>
                <w:sz w:val="22"/>
                <w:szCs w:val="22"/>
              </w:rPr>
              <w:t>881(50,8)</w:t>
            </w:r>
          </w:p>
        </w:tc>
        <w:tc>
          <w:tcPr>
            <w:tcW w:w="1396" w:type="dxa"/>
            <w:tcBorders>
              <w:top w:val="nil"/>
              <w:bottom w:val="nil"/>
            </w:tcBorders>
          </w:tcPr>
          <w:p w14:paraId="7386A3B7" w14:textId="77777777" w:rsidR="008015D6" w:rsidRPr="00F64ED6" w:rsidRDefault="008015D6" w:rsidP="00F64ED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lang w:val="pt-PT"/>
              </w:rPr>
            </w:pPr>
          </w:p>
        </w:tc>
      </w:tr>
      <w:tr w:rsidR="008015D6" w:rsidRPr="00F64ED6" w14:paraId="5BEE49D8" w14:textId="77777777" w:rsidTr="00F64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2E23D24B" w14:textId="77777777" w:rsidR="008015D6" w:rsidRPr="00F64ED6" w:rsidRDefault="008015D6" w:rsidP="00F64ED6">
            <w:pPr>
              <w:spacing w:before="100" w:beforeAutospacing="1" w:after="100" w:afterAutospacing="1"/>
              <w:ind w:left="720"/>
              <w:jc w:val="both"/>
              <w:rPr>
                <w:rFonts w:ascii="Times New Roman" w:hAnsi="Times New Roman" w:cs="Times New Roman"/>
                <w:b w:val="0"/>
                <w:bCs w:val="0"/>
                <w:color w:val="000000"/>
                <w:sz w:val="22"/>
                <w:szCs w:val="22"/>
                <w:lang w:val="pt-PT"/>
              </w:rPr>
            </w:pPr>
            <w:r w:rsidRPr="00F64ED6">
              <w:rPr>
                <w:rFonts w:ascii="Times New Roman" w:hAnsi="Times New Roman" w:cs="Times New Roman"/>
                <w:b w:val="0"/>
                <w:bCs w:val="0"/>
                <w:color w:val="000000"/>
                <w:sz w:val="22"/>
                <w:szCs w:val="22"/>
              </w:rPr>
              <w:t>Man</w:t>
            </w:r>
          </w:p>
        </w:tc>
        <w:tc>
          <w:tcPr>
            <w:tcW w:w="2268" w:type="dxa"/>
            <w:tcBorders>
              <w:top w:val="nil"/>
              <w:bottom w:val="nil"/>
            </w:tcBorders>
          </w:tcPr>
          <w:p w14:paraId="2F475446" w14:textId="77777777" w:rsidR="008015D6" w:rsidRPr="00F64ED6" w:rsidRDefault="008015D6" w:rsidP="00F64ED6">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lang w:val="pt-PT"/>
              </w:rPr>
            </w:pPr>
            <w:r w:rsidRPr="00F64ED6">
              <w:rPr>
                <w:rFonts w:ascii="Times New Roman" w:hAnsi="Times New Roman" w:cs="Times New Roman"/>
                <w:color w:val="000000"/>
                <w:sz w:val="22"/>
                <w:szCs w:val="22"/>
              </w:rPr>
              <w:t>852(49,2)</w:t>
            </w:r>
          </w:p>
        </w:tc>
        <w:tc>
          <w:tcPr>
            <w:tcW w:w="1396" w:type="dxa"/>
            <w:tcBorders>
              <w:top w:val="nil"/>
              <w:bottom w:val="nil"/>
            </w:tcBorders>
          </w:tcPr>
          <w:p w14:paraId="5E78D0C7" w14:textId="77777777" w:rsidR="008015D6" w:rsidRPr="00F64ED6" w:rsidRDefault="008015D6" w:rsidP="00F64ED6">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lang w:val="pt-PT"/>
              </w:rPr>
            </w:pPr>
          </w:p>
        </w:tc>
      </w:tr>
      <w:tr w:rsidR="008015D6" w:rsidRPr="00F64ED6" w14:paraId="0A3F08FC" w14:textId="77777777" w:rsidTr="00F64ED6">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5F93BE5B" w14:textId="77777777" w:rsidR="008015D6" w:rsidRPr="00F64ED6" w:rsidRDefault="008015D6" w:rsidP="00F64ED6">
            <w:pPr>
              <w:spacing w:before="100" w:beforeAutospacing="1" w:after="100" w:afterAutospacing="1"/>
              <w:jc w:val="both"/>
              <w:rPr>
                <w:rFonts w:ascii="Times New Roman" w:hAnsi="Times New Roman" w:cs="Times New Roman"/>
                <w:b w:val="0"/>
                <w:bCs w:val="0"/>
                <w:i/>
                <w:iCs/>
                <w:color w:val="000000"/>
                <w:sz w:val="22"/>
                <w:szCs w:val="22"/>
                <w:lang w:val="pt-PT"/>
              </w:rPr>
            </w:pPr>
            <w:r w:rsidRPr="00F64ED6">
              <w:rPr>
                <w:rFonts w:ascii="Times New Roman" w:hAnsi="Times New Roman" w:cs="Times New Roman"/>
                <w:b w:val="0"/>
                <w:bCs w:val="0"/>
                <w:i/>
                <w:iCs/>
                <w:color w:val="000000"/>
                <w:sz w:val="22"/>
                <w:szCs w:val="22"/>
              </w:rPr>
              <w:t>Age Group</w:t>
            </w:r>
          </w:p>
        </w:tc>
        <w:tc>
          <w:tcPr>
            <w:tcW w:w="2268" w:type="dxa"/>
            <w:tcBorders>
              <w:top w:val="nil"/>
              <w:bottom w:val="nil"/>
            </w:tcBorders>
          </w:tcPr>
          <w:p w14:paraId="41FA8F90" w14:textId="77777777" w:rsidR="008015D6" w:rsidRPr="00F64ED6" w:rsidRDefault="008015D6" w:rsidP="00F64ED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lang w:val="pt-PT"/>
              </w:rPr>
            </w:pPr>
          </w:p>
        </w:tc>
        <w:tc>
          <w:tcPr>
            <w:tcW w:w="1396" w:type="dxa"/>
            <w:tcBorders>
              <w:top w:val="nil"/>
              <w:bottom w:val="nil"/>
            </w:tcBorders>
          </w:tcPr>
          <w:p w14:paraId="44624D5F" w14:textId="77777777" w:rsidR="008015D6" w:rsidRPr="00F64ED6" w:rsidRDefault="008015D6" w:rsidP="00F64ED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lang w:val="pt-PT"/>
              </w:rPr>
            </w:pPr>
            <w:r w:rsidRPr="00F64ED6">
              <w:rPr>
                <w:rFonts w:ascii="Times New Roman" w:hAnsi="Times New Roman" w:cs="Times New Roman"/>
                <w:color w:val="000000"/>
                <w:sz w:val="22"/>
                <w:szCs w:val="22"/>
              </w:rPr>
              <w:t>1733(100)</w:t>
            </w:r>
          </w:p>
        </w:tc>
      </w:tr>
      <w:tr w:rsidR="008015D6" w:rsidRPr="00F64ED6" w14:paraId="31D58AD0" w14:textId="77777777" w:rsidTr="00F64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2F486C5C" w14:textId="77777777" w:rsidR="008015D6" w:rsidRPr="00F64ED6" w:rsidRDefault="008015D6" w:rsidP="00F64ED6">
            <w:pPr>
              <w:spacing w:before="100" w:beforeAutospacing="1" w:after="100" w:afterAutospacing="1"/>
              <w:ind w:left="720"/>
              <w:jc w:val="both"/>
              <w:rPr>
                <w:rFonts w:ascii="Times New Roman" w:hAnsi="Times New Roman" w:cs="Times New Roman"/>
                <w:b w:val="0"/>
                <w:bCs w:val="0"/>
                <w:color w:val="000000"/>
                <w:sz w:val="22"/>
                <w:szCs w:val="22"/>
                <w:lang w:val="pt-PT"/>
              </w:rPr>
            </w:pPr>
            <w:r w:rsidRPr="00F64ED6">
              <w:rPr>
                <w:rFonts w:ascii="Times New Roman" w:hAnsi="Times New Roman" w:cs="Times New Roman"/>
                <w:b w:val="0"/>
                <w:bCs w:val="0"/>
                <w:color w:val="000000"/>
                <w:sz w:val="22"/>
                <w:szCs w:val="22"/>
              </w:rPr>
              <w:t>18-34</w:t>
            </w:r>
          </w:p>
        </w:tc>
        <w:tc>
          <w:tcPr>
            <w:tcW w:w="2268" w:type="dxa"/>
            <w:tcBorders>
              <w:top w:val="nil"/>
              <w:bottom w:val="nil"/>
            </w:tcBorders>
          </w:tcPr>
          <w:p w14:paraId="0871E3D6" w14:textId="77777777" w:rsidR="008015D6" w:rsidRPr="00F64ED6" w:rsidRDefault="008015D6" w:rsidP="00F64ED6">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lang w:val="pt-PT"/>
              </w:rPr>
            </w:pPr>
            <w:r w:rsidRPr="00F64ED6">
              <w:rPr>
                <w:rFonts w:ascii="Times New Roman" w:hAnsi="Times New Roman" w:cs="Times New Roman"/>
                <w:color w:val="000000"/>
                <w:sz w:val="22"/>
                <w:szCs w:val="22"/>
              </w:rPr>
              <w:t>375(21,6)</w:t>
            </w:r>
          </w:p>
        </w:tc>
        <w:tc>
          <w:tcPr>
            <w:tcW w:w="1396" w:type="dxa"/>
            <w:tcBorders>
              <w:top w:val="nil"/>
              <w:bottom w:val="nil"/>
            </w:tcBorders>
          </w:tcPr>
          <w:p w14:paraId="143E3720" w14:textId="77777777" w:rsidR="008015D6" w:rsidRPr="00F64ED6" w:rsidRDefault="008015D6" w:rsidP="00F64ED6">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lang w:val="pt-PT"/>
              </w:rPr>
            </w:pPr>
          </w:p>
        </w:tc>
      </w:tr>
      <w:tr w:rsidR="008015D6" w:rsidRPr="00F64ED6" w14:paraId="3A190F36" w14:textId="77777777" w:rsidTr="00F64ED6">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683B0C46" w14:textId="77777777" w:rsidR="008015D6" w:rsidRPr="00F64ED6" w:rsidRDefault="008015D6" w:rsidP="00F64ED6">
            <w:pPr>
              <w:spacing w:before="100" w:beforeAutospacing="1" w:after="100" w:afterAutospacing="1"/>
              <w:ind w:left="720"/>
              <w:jc w:val="both"/>
              <w:rPr>
                <w:rFonts w:ascii="Times New Roman" w:hAnsi="Times New Roman" w:cs="Times New Roman"/>
                <w:b w:val="0"/>
                <w:bCs w:val="0"/>
                <w:color w:val="000000"/>
                <w:sz w:val="22"/>
                <w:szCs w:val="22"/>
                <w:lang w:val="pt-PT"/>
              </w:rPr>
            </w:pPr>
            <w:r w:rsidRPr="00F64ED6">
              <w:rPr>
                <w:rFonts w:ascii="Times New Roman" w:hAnsi="Times New Roman" w:cs="Times New Roman"/>
                <w:b w:val="0"/>
                <w:bCs w:val="0"/>
                <w:color w:val="000000"/>
                <w:sz w:val="22"/>
                <w:szCs w:val="22"/>
              </w:rPr>
              <w:t>35-49</w:t>
            </w:r>
          </w:p>
        </w:tc>
        <w:tc>
          <w:tcPr>
            <w:tcW w:w="2268" w:type="dxa"/>
            <w:tcBorders>
              <w:top w:val="nil"/>
              <w:bottom w:val="nil"/>
            </w:tcBorders>
          </w:tcPr>
          <w:p w14:paraId="3C52DAE8" w14:textId="77777777" w:rsidR="008015D6" w:rsidRPr="00F64ED6" w:rsidRDefault="008015D6" w:rsidP="00F64ED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lang w:val="pt-PT"/>
              </w:rPr>
            </w:pPr>
            <w:r w:rsidRPr="00F64ED6">
              <w:rPr>
                <w:rFonts w:ascii="Times New Roman" w:hAnsi="Times New Roman" w:cs="Times New Roman"/>
                <w:color w:val="000000"/>
                <w:sz w:val="22"/>
                <w:szCs w:val="22"/>
              </w:rPr>
              <w:t>512(29,5)</w:t>
            </w:r>
          </w:p>
        </w:tc>
        <w:tc>
          <w:tcPr>
            <w:tcW w:w="1396" w:type="dxa"/>
            <w:tcBorders>
              <w:top w:val="nil"/>
              <w:bottom w:val="nil"/>
            </w:tcBorders>
          </w:tcPr>
          <w:p w14:paraId="51A4CB53" w14:textId="77777777" w:rsidR="008015D6" w:rsidRPr="00F64ED6" w:rsidRDefault="008015D6" w:rsidP="00F64ED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lang w:val="pt-PT"/>
              </w:rPr>
            </w:pPr>
          </w:p>
        </w:tc>
      </w:tr>
      <w:tr w:rsidR="008015D6" w:rsidRPr="00F64ED6" w14:paraId="3648ABB1" w14:textId="77777777" w:rsidTr="00F64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6E695F35" w14:textId="77777777" w:rsidR="008015D6" w:rsidRPr="00F64ED6" w:rsidRDefault="008015D6" w:rsidP="00F64ED6">
            <w:pPr>
              <w:spacing w:before="100" w:beforeAutospacing="1" w:after="100" w:afterAutospacing="1"/>
              <w:ind w:left="720"/>
              <w:jc w:val="both"/>
              <w:rPr>
                <w:rFonts w:ascii="Times New Roman" w:hAnsi="Times New Roman" w:cs="Times New Roman"/>
                <w:b w:val="0"/>
                <w:bCs w:val="0"/>
                <w:color w:val="000000"/>
                <w:sz w:val="22"/>
                <w:szCs w:val="22"/>
                <w:lang w:val="pt-PT"/>
              </w:rPr>
            </w:pPr>
            <w:r w:rsidRPr="00F64ED6">
              <w:rPr>
                <w:rFonts w:ascii="Times New Roman" w:hAnsi="Times New Roman" w:cs="Times New Roman"/>
                <w:b w:val="0"/>
                <w:bCs w:val="0"/>
                <w:color w:val="000000"/>
                <w:sz w:val="22"/>
                <w:szCs w:val="22"/>
              </w:rPr>
              <w:t>50-64</w:t>
            </w:r>
          </w:p>
        </w:tc>
        <w:tc>
          <w:tcPr>
            <w:tcW w:w="2268" w:type="dxa"/>
            <w:tcBorders>
              <w:top w:val="nil"/>
              <w:bottom w:val="nil"/>
            </w:tcBorders>
          </w:tcPr>
          <w:p w14:paraId="5B76773A" w14:textId="77777777" w:rsidR="008015D6" w:rsidRPr="00F64ED6" w:rsidRDefault="008015D6" w:rsidP="00F64ED6">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lang w:val="pt-PT"/>
              </w:rPr>
            </w:pPr>
            <w:r w:rsidRPr="00F64ED6">
              <w:rPr>
                <w:rFonts w:ascii="Times New Roman" w:hAnsi="Times New Roman" w:cs="Times New Roman"/>
                <w:color w:val="000000"/>
                <w:sz w:val="22"/>
                <w:szCs w:val="22"/>
              </w:rPr>
              <w:t>451(26)</w:t>
            </w:r>
          </w:p>
        </w:tc>
        <w:tc>
          <w:tcPr>
            <w:tcW w:w="1396" w:type="dxa"/>
            <w:tcBorders>
              <w:top w:val="nil"/>
              <w:bottom w:val="nil"/>
            </w:tcBorders>
          </w:tcPr>
          <w:p w14:paraId="6AC8D963" w14:textId="77777777" w:rsidR="008015D6" w:rsidRPr="00F64ED6" w:rsidRDefault="008015D6" w:rsidP="00F64ED6">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lang w:val="pt-PT"/>
              </w:rPr>
            </w:pPr>
          </w:p>
        </w:tc>
      </w:tr>
      <w:tr w:rsidR="008015D6" w:rsidRPr="00F64ED6" w14:paraId="5FCC3D62" w14:textId="77777777" w:rsidTr="00F64ED6">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1CEF8164" w14:textId="77777777" w:rsidR="008015D6" w:rsidRPr="00F64ED6" w:rsidRDefault="008015D6" w:rsidP="00F64ED6">
            <w:pPr>
              <w:spacing w:before="100" w:beforeAutospacing="1" w:after="100" w:afterAutospacing="1"/>
              <w:ind w:left="720"/>
              <w:jc w:val="both"/>
              <w:rPr>
                <w:rFonts w:ascii="Times New Roman" w:hAnsi="Times New Roman" w:cs="Times New Roman"/>
                <w:b w:val="0"/>
                <w:bCs w:val="0"/>
                <w:color w:val="000000"/>
                <w:sz w:val="22"/>
                <w:szCs w:val="22"/>
                <w:lang w:val="pt-PT"/>
              </w:rPr>
            </w:pPr>
            <w:r w:rsidRPr="00F64ED6">
              <w:rPr>
                <w:rFonts w:ascii="Times New Roman" w:hAnsi="Times New Roman" w:cs="Times New Roman"/>
                <w:b w:val="0"/>
                <w:bCs w:val="0"/>
                <w:color w:val="000000"/>
                <w:sz w:val="22"/>
                <w:szCs w:val="22"/>
              </w:rPr>
              <w:t>+64 years</w:t>
            </w:r>
          </w:p>
        </w:tc>
        <w:tc>
          <w:tcPr>
            <w:tcW w:w="2268" w:type="dxa"/>
            <w:tcBorders>
              <w:top w:val="nil"/>
              <w:bottom w:val="nil"/>
            </w:tcBorders>
          </w:tcPr>
          <w:p w14:paraId="2B4395DF" w14:textId="77777777" w:rsidR="008015D6" w:rsidRPr="00F64ED6" w:rsidRDefault="008015D6" w:rsidP="00F64ED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lang w:val="pt-PT"/>
              </w:rPr>
            </w:pPr>
            <w:r w:rsidRPr="00F64ED6">
              <w:rPr>
                <w:rFonts w:ascii="Times New Roman" w:hAnsi="Times New Roman" w:cs="Times New Roman"/>
                <w:color w:val="000000"/>
                <w:sz w:val="22"/>
                <w:szCs w:val="22"/>
              </w:rPr>
              <w:t>395(22,8)</w:t>
            </w:r>
          </w:p>
        </w:tc>
        <w:tc>
          <w:tcPr>
            <w:tcW w:w="1396" w:type="dxa"/>
            <w:tcBorders>
              <w:top w:val="nil"/>
              <w:bottom w:val="nil"/>
            </w:tcBorders>
          </w:tcPr>
          <w:p w14:paraId="5AD95CDC" w14:textId="77777777" w:rsidR="008015D6" w:rsidRPr="00F64ED6" w:rsidRDefault="008015D6" w:rsidP="00F64ED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lang w:val="pt-PT"/>
              </w:rPr>
            </w:pPr>
          </w:p>
        </w:tc>
      </w:tr>
      <w:tr w:rsidR="008015D6" w:rsidRPr="00F64ED6" w14:paraId="43A7FB0D" w14:textId="77777777" w:rsidTr="00F64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395BD429" w14:textId="77777777" w:rsidR="008015D6" w:rsidRPr="00F64ED6" w:rsidRDefault="008015D6" w:rsidP="00F64ED6">
            <w:pPr>
              <w:spacing w:before="100" w:beforeAutospacing="1" w:after="100" w:afterAutospacing="1"/>
              <w:jc w:val="both"/>
              <w:rPr>
                <w:rFonts w:ascii="Times New Roman" w:hAnsi="Times New Roman" w:cs="Times New Roman"/>
                <w:b w:val="0"/>
                <w:bCs w:val="0"/>
                <w:i/>
                <w:iCs/>
                <w:color w:val="000000"/>
                <w:sz w:val="22"/>
                <w:szCs w:val="22"/>
                <w:lang w:val="pt-PT"/>
              </w:rPr>
            </w:pPr>
            <w:r w:rsidRPr="00F64ED6">
              <w:rPr>
                <w:rFonts w:ascii="Times New Roman" w:hAnsi="Times New Roman" w:cs="Times New Roman"/>
                <w:b w:val="0"/>
                <w:bCs w:val="0"/>
                <w:i/>
                <w:iCs/>
                <w:color w:val="000000"/>
                <w:sz w:val="22"/>
                <w:szCs w:val="22"/>
              </w:rPr>
              <w:t>Marital status</w:t>
            </w:r>
          </w:p>
        </w:tc>
        <w:tc>
          <w:tcPr>
            <w:tcW w:w="2268" w:type="dxa"/>
            <w:tcBorders>
              <w:top w:val="nil"/>
              <w:bottom w:val="nil"/>
            </w:tcBorders>
          </w:tcPr>
          <w:p w14:paraId="12E6F087" w14:textId="77777777" w:rsidR="008015D6" w:rsidRPr="00F64ED6" w:rsidRDefault="008015D6" w:rsidP="00F64ED6">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lang w:val="pt-PT"/>
              </w:rPr>
            </w:pPr>
          </w:p>
        </w:tc>
        <w:tc>
          <w:tcPr>
            <w:tcW w:w="1396" w:type="dxa"/>
            <w:tcBorders>
              <w:top w:val="nil"/>
              <w:bottom w:val="nil"/>
            </w:tcBorders>
          </w:tcPr>
          <w:p w14:paraId="40A63765" w14:textId="77777777" w:rsidR="008015D6" w:rsidRPr="00F64ED6" w:rsidRDefault="008015D6" w:rsidP="00F64ED6">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lang w:val="pt-PT"/>
              </w:rPr>
            </w:pPr>
            <w:r w:rsidRPr="00F64ED6">
              <w:rPr>
                <w:rFonts w:ascii="Times New Roman" w:hAnsi="Times New Roman" w:cs="Times New Roman"/>
                <w:color w:val="000000"/>
                <w:sz w:val="22"/>
                <w:szCs w:val="22"/>
              </w:rPr>
              <w:t>1733(100)</w:t>
            </w:r>
          </w:p>
        </w:tc>
      </w:tr>
      <w:tr w:rsidR="008015D6" w:rsidRPr="00F64ED6" w14:paraId="1D94A713" w14:textId="77777777" w:rsidTr="00F64ED6">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1E570801" w14:textId="77777777" w:rsidR="008015D6" w:rsidRPr="00F64ED6" w:rsidRDefault="008015D6" w:rsidP="00F64ED6">
            <w:pPr>
              <w:spacing w:before="100" w:beforeAutospacing="1" w:after="100" w:afterAutospacing="1"/>
              <w:ind w:left="720"/>
              <w:jc w:val="both"/>
              <w:rPr>
                <w:rFonts w:ascii="Times New Roman" w:hAnsi="Times New Roman" w:cs="Times New Roman"/>
                <w:b w:val="0"/>
                <w:bCs w:val="0"/>
                <w:color w:val="000000"/>
                <w:sz w:val="22"/>
                <w:szCs w:val="22"/>
                <w:lang w:val="pt-PT"/>
              </w:rPr>
            </w:pPr>
            <w:r w:rsidRPr="00F64ED6">
              <w:rPr>
                <w:rFonts w:ascii="Times New Roman" w:hAnsi="Times New Roman" w:cs="Times New Roman"/>
                <w:b w:val="0"/>
                <w:bCs w:val="0"/>
                <w:color w:val="000000"/>
                <w:sz w:val="22"/>
                <w:szCs w:val="22"/>
              </w:rPr>
              <w:t>Single</w:t>
            </w:r>
          </w:p>
        </w:tc>
        <w:tc>
          <w:tcPr>
            <w:tcW w:w="2268" w:type="dxa"/>
            <w:tcBorders>
              <w:top w:val="nil"/>
              <w:bottom w:val="nil"/>
            </w:tcBorders>
          </w:tcPr>
          <w:p w14:paraId="0BDABF85" w14:textId="77777777" w:rsidR="008015D6" w:rsidRPr="00F64ED6" w:rsidRDefault="008015D6" w:rsidP="00F64ED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lang w:val="pt-PT"/>
              </w:rPr>
            </w:pPr>
            <w:r w:rsidRPr="00F64ED6">
              <w:rPr>
                <w:rFonts w:ascii="Times New Roman" w:hAnsi="Times New Roman" w:cs="Times New Roman"/>
                <w:color w:val="000000"/>
                <w:sz w:val="22"/>
                <w:szCs w:val="22"/>
              </w:rPr>
              <w:t>486(28)</w:t>
            </w:r>
          </w:p>
        </w:tc>
        <w:tc>
          <w:tcPr>
            <w:tcW w:w="1396" w:type="dxa"/>
            <w:tcBorders>
              <w:top w:val="nil"/>
              <w:bottom w:val="nil"/>
            </w:tcBorders>
          </w:tcPr>
          <w:p w14:paraId="61F20AC9" w14:textId="77777777" w:rsidR="008015D6" w:rsidRPr="00F64ED6" w:rsidRDefault="008015D6" w:rsidP="00F64ED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lang w:val="pt-PT"/>
              </w:rPr>
            </w:pPr>
          </w:p>
        </w:tc>
      </w:tr>
      <w:tr w:rsidR="008015D6" w:rsidRPr="00F64ED6" w14:paraId="32DE6174" w14:textId="77777777" w:rsidTr="00F64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6ADA4683" w14:textId="77777777" w:rsidR="008015D6" w:rsidRPr="00F64ED6" w:rsidRDefault="008015D6" w:rsidP="00F64ED6">
            <w:pPr>
              <w:spacing w:before="100" w:beforeAutospacing="1" w:after="100" w:afterAutospacing="1"/>
              <w:ind w:left="720"/>
              <w:jc w:val="both"/>
              <w:rPr>
                <w:rFonts w:ascii="Times New Roman" w:hAnsi="Times New Roman" w:cs="Times New Roman"/>
                <w:b w:val="0"/>
                <w:bCs w:val="0"/>
                <w:color w:val="000000"/>
                <w:sz w:val="22"/>
                <w:szCs w:val="22"/>
                <w:lang w:val="pt-PT"/>
              </w:rPr>
            </w:pPr>
            <w:r w:rsidRPr="00F64ED6">
              <w:rPr>
                <w:rFonts w:ascii="Times New Roman" w:hAnsi="Times New Roman" w:cs="Times New Roman"/>
                <w:b w:val="0"/>
                <w:bCs w:val="0"/>
                <w:color w:val="000000"/>
                <w:sz w:val="22"/>
                <w:szCs w:val="22"/>
              </w:rPr>
              <w:t>Married</w:t>
            </w:r>
          </w:p>
        </w:tc>
        <w:tc>
          <w:tcPr>
            <w:tcW w:w="2268" w:type="dxa"/>
            <w:tcBorders>
              <w:top w:val="nil"/>
              <w:bottom w:val="nil"/>
            </w:tcBorders>
          </w:tcPr>
          <w:p w14:paraId="52CFFBC9" w14:textId="77777777" w:rsidR="008015D6" w:rsidRPr="00F64ED6" w:rsidRDefault="008015D6" w:rsidP="00F64ED6">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lang w:val="pt-PT"/>
              </w:rPr>
            </w:pPr>
            <w:r w:rsidRPr="00F64ED6">
              <w:rPr>
                <w:rFonts w:ascii="Times New Roman" w:hAnsi="Times New Roman" w:cs="Times New Roman"/>
                <w:color w:val="000000"/>
                <w:sz w:val="22"/>
                <w:szCs w:val="22"/>
              </w:rPr>
              <w:t>1029(59,4)</w:t>
            </w:r>
          </w:p>
        </w:tc>
        <w:tc>
          <w:tcPr>
            <w:tcW w:w="1396" w:type="dxa"/>
            <w:tcBorders>
              <w:top w:val="nil"/>
              <w:bottom w:val="nil"/>
            </w:tcBorders>
          </w:tcPr>
          <w:p w14:paraId="0FFB32F4" w14:textId="77777777" w:rsidR="008015D6" w:rsidRPr="00F64ED6" w:rsidRDefault="008015D6" w:rsidP="00F64ED6">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lang w:val="pt-PT"/>
              </w:rPr>
            </w:pPr>
          </w:p>
        </w:tc>
      </w:tr>
      <w:tr w:rsidR="008015D6" w:rsidRPr="00F64ED6" w14:paraId="68CC19E7" w14:textId="77777777" w:rsidTr="00F64ED6">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184D7C6E" w14:textId="77777777" w:rsidR="008015D6" w:rsidRPr="00F64ED6" w:rsidRDefault="008015D6" w:rsidP="00F64ED6">
            <w:pPr>
              <w:spacing w:before="100" w:beforeAutospacing="1" w:after="100" w:afterAutospacing="1"/>
              <w:ind w:left="720"/>
              <w:jc w:val="both"/>
              <w:rPr>
                <w:rFonts w:ascii="Times New Roman" w:hAnsi="Times New Roman" w:cs="Times New Roman"/>
                <w:b w:val="0"/>
                <w:bCs w:val="0"/>
                <w:color w:val="000000"/>
                <w:sz w:val="22"/>
                <w:szCs w:val="22"/>
                <w:lang w:val="pt-PT"/>
              </w:rPr>
            </w:pPr>
            <w:r w:rsidRPr="00F64ED6">
              <w:rPr>
                <w:rFonts w:ascii="Times New Roman" w:hAnsi="Times New Roman" w:cs="Times New Roman"/>
                <w:b w:val="0"/>
                <w:bCs w:val="0"/>
                <w:color w:val="000000"/>
                <w:sz w:val="22"/>
                <w:szCs w:val="22"/>
              </w:rPr>
              <w:t>Divorced</w:t>
            </w:r>
          </w:p>
        </w:tc>
        <w:tc>
          <w:tcPr>
            <w:tcW w:w="2268" w:type="dxa"/>
            <w:tcBorders>
              <w:top w:val="nil"/>
              <w:bottom w:val="nil"/>
            </w:tcBorders>
          </w:tcPr>
          <w:p w14:paraId="6FAB40E7" w14:textId="77777777" w:rsidR="008015D6" w:rsidRPr="00F64ED6" w:rsidRDefault="008015D6" w:rsidP="00F64ED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lang w:val="pt-PT"/>
              </w:rPr>
            </w:pPr>
            <w:r w:rsidRPr="00F64ED6">
              <w:rPr>
                <w:rFonts w:ascii="Times New Roman" w:hAnsi="Times New Roman" w:cs="Times New Roman"/>
                <w:color w:val="000000"/>
                <w:sz w:val="22"/>
                <w:szCs w:val="22"/>
              </w:rPr>
              <w:t>107(6,2)</w:t>
            </w:r>
          </w:p>
        </w:tc>
        <w:tc>
          <w:tcPr>
            <w:tcW w:w="1396" w:type="dxa"/>
            <w:tcBorders>
              <w:top w:val="nil"/>
              <w:bottom w:val="nil"/>
            </w:tcBorders>
          </w:tcPr>
          <w:p w14:paraId="17E5DFEC" w14:textId="77777777" w:rsidR="008015D6" w:rsidRPr="00F64ED6" w:rsidRDefault="008015D6" w:rsidP="00F64ED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lang w:val="pt-PT"/>
              </w:rPr>
            </w:pPr>
          </w:p>
        </w:tc>
      </w:tr>
      <w:tr w:rsidR="008015D6" w:rsidRPr="00F64ED6" w14:paraId="749558B2" w14:textId="77777777" w:rsidTr="00F64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790AA375" w14:textId="77777777" w:rsidR="008015D6" w:rsidRPr="00F64ED6" w:rsidRDefault="008015D6" w:rsidP="00F64ED6">
            <w:pPr>
              <w:spacing w:before="100" w:beforeAutospacing="1" w:after="100" w:afterAutospacing="1"/>
              <w:ind w:left="720"/>
              <w:jc w:val="both"/>
              <w:rPr>
                <w:rFonts w:ascii="Times New Roman" w:hAnsi="Times New Roman" w:cs="Times New Roman"/>
                <w:b w:val="0"/>
                <w:bCs w:val="0"/>
                <w:color w:val="000000"/>
                <w:sz w:val="22"/>
                <w:szCs w:val="22"/>
                <w:lang w:val="pt-PT"/>
              </w:rPr>
            </w:pPr>
            <w:r w:rsidRPr="00F64ED6">
              <w:rPr>
                <w:rFonts w:ascii="Times New Roman" w:hAnsi="Times New Roman" w:cs="Times New Roman"/>
                <w:b w:val="0"/>
                <w:bCs w:val="0"/>
                <w:color w:val="000000"/>
                <w:sz w:val="22"/>
                <w:szCs w:val="22"/>
              </w:rPr>
              <w:t>Widower</w:t>
            </w:r>
          </w:p>
        </w:tc>
        <w:tc>
          <w:tcPr>
            <w:tcW w:w="2268" w:type="dxa"/>
            <w:tcBorders>
              <w:top w:val="nil"/>
              <w:bottom w:val="nil"/>
            </w:tcBorders>
          </w:tcPr>
          <w:p w14:paraId="282DB8F7" w14:textId="77777777" w:rsidR="008015D6" w:rsidRPr="00F64ED6" w:rsidRDefault="008015D6" w:rsidP="00F64ED6">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lang w:val="pt-PT"/>
              </w:rPr>
            </w:pPr>
            <w:r w:rsidRPr="00F64ED6">
              <w:rPr>
                <w:rFonts w:ascii="Times New Roman" w:hAnsi="Times New Roman" w:cs="Times New Roman"/>
                <w:color w:val="000000"/>
                <w:sz w:val="22"/>
                <w:szCs w:val="22"/>
              </w:rPr>
              <w:t>111(6,4)</w:t>
            </w:r>
          </w:p>
        </w:tc>
        <w:tc>
          <w:tcPr>
            <w:tcW w:w="1396" w:type="dxa"/>
            <w:tcBorders>
              <w:top w:val="nil"/>
              <w:bottom w:val="nil"/>
            </w:tcBorders>
          </w:tcPr>
          <w:p w14:paraId="7D1DA023" w14:textId="77777777" w:rsidR="008015D6" w:rsidRPr="00F64ED6" w:rsidRDefault="008015D6" w:rsidP="00F64ED6">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lang w:val="pt-PT"/>
              </w:rPr>
            </w:pPr>
          </w:p>
        </w:tc>
      </w:tr>
      <w:tr w:rsidR="008015D6" w:rsidRPr="00F64ED6" w14:paraId="0A77EFD2" w14:textId="77777777" w:rsidTr="00F64ED6">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207899C7" w14:textId="77777777" w:rsidR="008015D6" w:rsidRPr="00F64ED6" w:rsidRDefault="008015D6" w:rsidP="00F64ED6">
            <w:pPr>
              <w:spacing w:before="100" w:beforeAutospacing="1" w:after="100" w:afterAutospacing="1"/>
              <w:jc w:val="both"/>
              <w:rPr>
                <w:rFonts w:ascii="Times New Roman" w:hAnsi="Times New Roman" w:cs="Times New Roman"/>
                <w:b w:val="0"/>
                <w:bCs w:val="0"/>
                <w:i/>
                <w:iCs/>
                <w:color w:val="000000"/>
                <w:sz w:val="22"/>
                <w:szCs w:val="22"/>
                <w:lang w:val="pt-PT"/>
              </w:rPr>
            </w:pPr>
            <w:r w:rsidRPr="00F64ED6">
              <w:rPr>
                <w:rFonts w:ascii="Times New Roman" w:hAnsi="Times New Roman" w:cs="Times New Roman"/>
                <w:b w:val="0"/>
                <w:bCs w:val="0"/>
                <w:i/>
                <w:iCs/>
                <w:color w:val="000000"/>
                <w:sz w:val="22"/>
                <w:szCs w:val="22"/>
              </w:rPr>
              <w:t>Family Attaché</w:t>
            </w:r>
          </w:p>
        </w:tc>
        <w:tc>
          <w:tcPr>
            <w:tcW w:w="2268" w:type="dxa"/>
            <w:tcBorders>
              <w:top w:val="nil"/>
              <w:bottom w:val="nil"/>
            </w:tcBorders>
          </w:tcPr>
          <w:p w14:paraId="4DB03D89" w14:textId="77777777" w:rsidR="008015D6" w:rsidRPr="00F64ED6" w:rsidRDefault="008015D6" w:rsidP="00F64ED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lang w:val="pt-PT"/>
              </w:rPr>
            </w:pPr>
          </w:p>
        </w:tc>
        <w:tc>
          <w:tcPr>
            <w:tcW w:w="1396" w:type="dxa"/>
            <w:tcBorders>
              <w:top w:val="nil"/>
              <w:bottom w:val="nil"/>
            </w:tcBorders>
          </w:tcPr>
          <w:p w14:paraId="7D358D3A" w14:textId="77777777" w:rsidR="008015D6" w:rsidRPr="00F64ED6" w:rsidRDefault="008015D6" w:rsidP="00F64ED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lang w:val="pt-PT"/>
              </w:rPr>
            </w:pPr>
            <w:r w:rsidRPr="00F64ED6">
              <w:rPr>
                <w:rFonts w:ascii="Times New Roman" w:hAnsi="Times New Roman" w:cs="Times New Roman"/>
                <w:color w:val="000000"/>
                <w:sz w:val="22"/>
                <w:szCs w:val="22"/>
              </w:rPr>
              <w:t>1725(99,5)</w:t>
            </w:r>
          </w:p>
        </w:tc>
      </w:tr>
      <w:tr w:rsidR="008015D6" w:rsidRPr="00F64ED6" w14:paraId="55074D5B" w14:textId="77777777" w:rsidTr="00F64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3638079B" w14:textId="77777777" w:rsidR="008015D6" w:rsidRPr="00F64ED6" w:rsidRDefault="008015D6" w:rsidP="00F64ED6">
            <w:pPr>
              <w:spacing w:before="100" w:beforeAutospacing="1" w:after="100" w:afterAutospacing="1"/>
              <w:ind w:left="720"/>
              <w:jc w:val="both"/>
              <w:rPr>
                <w:rFonts w:ascii="Times New Roman" w:hAnsi="Times New Roman" w:cs="Times New Roman"/>
                <w:b w:val="0"/>
                <w:bCs w:val="0"/>
                <w:color w:val="000000"/>
                <w:sz w:val="22"/>
                <w:szCs w:val="22"/>
                <w:lang w:val="pt-PT"/>
              </w:rPr>
            </w:pPr>
            <w:r w:rsidRPr="00F64ED6">
              <w:rPr>
                <w:rFonts w:ascii="Times New Roman" w:hAnsi="Times New Roman" w:cs="Times New Roman"/>
                <w:b w:val="0"/>
                <w:bCs w:val="0"/>
                <w:color w:val="000000"/>
                <w:sz w:val="22"/>
                <w:szCs w:val="22"/>
              </w:rPr>
              <w:t>Childless</w:t>
            </w:r>
          </w:p>
        </w:tc>
        <w:tc>
          <w:tcPr>
            <w:tcW w:w="2268" w:type="dxa"/>
            <w:tcBorders>
              <w:top w:val="nil"/>
              <w:bottom w:val="nil"/>
            </w:tcBorders>
          </w:tcPr>
          <w:p w14:paraId="1E88A79E" w14:textId="77777777" w:rsidR="008015D6" w:rsidRPr="00F64ED6" w:rsidRDefault="008015D6" w:rsidP="00F64ED6">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lang w:val="pt-PT"/>
              </w:rPr>
            </w:pPr>
            <w:r w:rsidRPr="00F64ED6">
              <w:rPr>
                <w:rFonts w:ascii="Times New Roman" w:hAnsi="Times New Roman" w:cs="Times New Roman"/>
                <w:color w:val="000000"/>
                <w:sz w:val="22"/>
                <w:szCs w:val="22"/>
              </w:rPr>
              <w:t>1283(74)</w:t>
            </w:r>
          </w:p>
        </w:tc>
        <w:tc>
          <w:tcPr>
            <w:tcW w:w="1396" w:type="dxa"/>
            <w:tcBorders>
              <w:top w:val="nil"/>
              <w:bottom w:val="nil"/>
            </w:tcBorders>
          </w:tcPr>
          <w:p w14:paraId="7B9317DC" w14:textId="77777777" w:rsidR="008015D6" w:rsidRPr="00F64ED6" w:rsidRDefault="008015D6" w:rsidP="00F64ED6">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lang w:val="pt-PT"/>
              </w:rPr>
            </w:pPr>
          </w:p>
        </w:tc>
      </w:tr>
      <w:tr w:rsidR="008015D6" w:rsidRPr="00F64ED6" w14:paraId="7360447B" w14:textId="77777777" w:rsidTr="00F64ED6">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142F6E42" w14:textId="77777777" w:rsidR="008015D6" w:rsidRPr="00F64ED6" w:rsidRDefault="008015D6" w:rsidP="00F64ED6">
            <w:pPr>
              <w:spacing w:before="100" w:beforeAutospacing="1" w:after="100" w:afterAutospacing="1"/>
              <w:ind w:left="720"/>
              <w:jc w:val="both"/>
              <w:rPr>
                <w:rFonts w:ascii="Times New Roman" w:hAnsi="Times New Roman" w:cs="Times New Roman"/>
                <w:b w:val="0"/>
                <w:bCs w:val="0"/>
                <w:color w:val="000000"/>
                <w:sz w:val="22"/>
                <w:szCs w:val="22"/>
                <w:lang w:val="pt-PT"/>
              </w:rPr>
            </w:pPr>
            <w:r w:rsidRPr="00F64ED6">
              <w:rPr>
                <w:rFonts w:ascii="Times New Roman" w:hAnsi="Times New Roman" w:cs="Times New Roman"/>
                <w:b w:val="0"/>
                <w:bCs w:val="0"/>
                <w:color w:val="000000"/>
                <w:sz w:val="22"/>
                <w:szCs w:val="22"/>
              </w:rPr>
              <w:t>With children</w:t>
            </w:r>
          </w:p>
        </w:tc>
        <w:tc>
          <w:tcPr>
            <w:tcW w:w="2268" w:type="dxa"/>
            <w:tcBorders>
              <w:top w:val="nil"/>
              <w:bottom w:val="nil"/>
            </w:tcBorders>
          </w:tcPr>
          <w:p w14:paraId="7AA5976A" w14:textId="77777777" w:rsidR="008015D6" w:rsidRPr="00F64ED6" w:rsidRDefault="008015D6" w:rsidP="00F64ED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lang w:val="pt-PT"/>
              </w:rPr>
            </w:pPr>
            <w:r w:rsidRPr="00F64ED6">
              <w:rPr>
                <w:rFonts w:ascii="Times New Roman" w:hAnsi="Times New Roman" w:cs="Times New Roman"/>
                <w:color w:val="000000"/>
                <w:sz w:val="22"/>
                <w:szCs w:val="22"/>
              </w:rPr>
              <w:t>442(25,5)</w:t>
            </w:r>
          </w:p>
        </w:tc>
        <w:tc>
          <w:tcPr>
            <w:tcW w:w="1396" w:type="dxa"/>
            <w:tcBorders>
              <w:top w:val="nil"/>
              <w:bottom w:val="nil"/>
            </w:tcBorders>
          </w:tcPr>
          <w:p w14:paraId="3DAEBB9D" w14:textId="77777777" w:rsidR="008015D6" w:rsidRPr="00F64ED6" w:rsidRDefault="008015D6" w:rsidP="00F64ED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lang w:val="pt-PT"/>
              </w:rPr>
            </w:pPr>
          </w:p>
        </w:tc>
      </w:tr>
      <w:tr w:rsidR="008015D6" w:rsidRPr="00F64ED6" w14:paraId="0E98C47D" w14:textId="77777777" w:rsidTr="00F64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4F3029B4" w14:textId="77777777" w:rsidR="008015D6" w:rsidRPr="00F64ED6" w:rsidRDefault="008015D6" w:rsidP="00F64ED6">
            <w:pPr>
              <w:spacing w:before="100" w:beforeAutospacing="1" w:after="100" w:afterAutospacing="1"/>
              <w:jc w:val="both"/>
              <w:rPr>
                <w:rFonts w:ascii="Times New Roman" w:hAnsi="Times New Roman" w:cs="Times New Roman"/>
                <w:b w:val="0"/>
                <w:bCs w:val="0"/>
                <w:i/>
                <w:iCs/>
                <w:color w:val="000000"/>
                <w:sz w:val="22"/>
                <w:szCs w:val="22"/>
                <w:lang w:val="pt-PT"/>
              </w:rPr>
            </w:pPr>
            <w:r w:rsidRPr="00F64ED6">
              <w:rPr>
                <w:rFonts w:ascii="Times New Roman" w:hAnsi="Times New Roman" w:cs="Times New Roman"/>
                <w:b w:val="0"/>
                <w:bCs w:val="0"/>
                <w:i/>
                <w:iCs/>
                <w:color w:val="000000"/>
                <w:sz w:val="22"/>
                <w:szCs w:val="22"/>
              </w:rPr>
              <w:t>Religion</w:t>
            </w:r>
          </w:p>
        </w:tc>
        <w:tc>
          <w:tcPr>
            <w:tcW w:w="2268" w:type="dxa"/>
            <w:tcBorders>
              <w:top w:val="nil"/>
              <w:bottom w:val="nil"/>
            </w:tcBorders>
          </w:tcPr>
          <w:p w14:paraId="05BCC45F" w14:textId="77777777" w:rsidR="008015D6" w:rsidRPr="00F64ED6" w:rsidRDefault="008015D6" w:rsidP="00F64ED6">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lang w:val="pt-PT"/>
              </w:rPr>
            </w:pPr>
          </w:p>
        </w:tc>
        <w:tc>
          <w:tcPr>
            <w:tcW w:w="1396" w:type="dxa"/>
            <w:tcBorders>
              <w:top w:val="nil"/>
              <w:bottom w:val="nil"/>
            </w:tcBorders>
          </w:tcPr>
          <w:p w14:paraId="35C62C28" w14:textId="77777777" w:rsidR="008015D6" w:rsidRPr="00F64ED6" w:rsidRDefault="008015D6" w:rsidP="00F64ED6">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lang w:val="pt-PT"/>
              </w:rPr>
            </w:pPr>
            <w:r w:rsidRPr="00F64ED6">
              <w:rPr>
                <w:rFonts w:ascii="Times New Roman" w:hAnsi="Times New Roman" w:cs="Times New Roman"/>
                <w:color w:val="000000"/>
                <w:sz w:val="22"/>
                <w:szCs w:val="22"/>
              </w:rPr>
              <w:t>1717(99,1)</w:t>
            </w:r>
          </w:p>
        </w:tc>
      </w:tr>
      <w:tr w:rsidR="008015D6" w:rsidRPr="00F64ED6" w14:paraId="2EB98F08" w14:textId="77777777" w:rsidTr="00F64ED6">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15B6AD9B" w14:textId="77777777" w:rsidR="008015D6" w:rsidRPr="00F64ED6" w:rsidRDefault="008015D6" w:rsidP="00F64ED6">
            <w:pPr>
              <w:spacing w:before="100" w:beforeAutospacing="1" w:after="100" w:afterAutospacing="1"/>
              <w:ind w:left="720"/>
              <w:jc w:val="both"/>
              <w:rPr>
                <w:rFonts w:ascii="Times New Roman" w:hAnsi="Times New Roman" w:cs="Times New Roman"/>
                <w:b w:val="0"/>
                <w:bCs w:val="0"/>
                <w:color w:val="000000"/>
                <w:sz w:val="22"/>
                <w:szCs w:val="22"/>
                <w:lang w:val="pt-PT"/>
              </w:rPr>
            </w:pPr>
            <w:r w:rsidRPr="00F64ED6">
              <w:rPr>
                <w:rFonts w:ascii="Times New Roman" w:hAnsi="Times New Roman" w:cs="Times New Roman"/>
                <w:b w:val="0"/>
                <w:bCs w:val="0"/>
                <w:color w:val="000000"/>
                <w:sz w:val="22"/>
                <w:szCs w:val="22"/>
              </w:rPr>
              <w:t>Christian</w:t>
            </w:r>
          </w:p>
        </w:tc>
        <w:tc>
          <w:tcPr>
            <w:tcW w:w="2268" w:type="dxa"/>
            <w:tcBorders>
              <w:top w:val="nil"/>
              <w:bottom w:val="nil"/>
            </w:tcBorders>
          </w:tcPr>
          <w:p w14:paraId="1C2EBDA5" w14:textId="77777777" w:rsidR="008015D6" w:rsidRPr="00F64ED6" w:rsidRDefault="008015D6" w:rsidP="00F64ED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lang w:val="pt-PT"/>
              </w:rPr>
            </w:pPr>
            <w:r w:rsidRPr="00F64ED6">
              <w:rPr>
                <w:rFonts w:ascii="Times New Roman" w:hAnsi="Times New Roman" w:cs="Times New Roman"/>
                <w:color w:val="000000"/>
                <w:sz w:val="22"/>
                <w:szCs w:val="22"/>
              </w:rPr>
              <w:t>1187(68,5)</w:t>
            </w:r>
          </w:p>
        </w:tc>
        <w:tc>
          <w:tcPr>
            <w:tcW w:w="1396" w:type="dxa"/>
            <w:tcBorders>
              <w:top w:val="nil"/>
              <w:bottom w:val="nil"/>
            </w:tcBorders>
          </w:tcPr>
          <w:p w14:paraId="482E2E78" w14:textId="77777777" w:rsidR="008015D6" w:rsidRPr="00F64ED6" w:rsidRDefault="008015D6" w:rsidP="00F64ED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lang w:val="pt-PT"/>
              </w:rPr>
            </w:pPr>
          </w:p>
        </w:tc>
      </w:tr>
      <w:tr w:rsidR="008015D6" w:rsidRPr="00F64ED6" w14:paraId="38712F08" w14:textId="77777777" w:rsidTr="00F64E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1FB0ECCA" w14:textId="77777777" w:rsidR="008015D6" w:rsidRPr="00F64ED6" w:rsidRDefault="008015D6" w:rsidP="00F64ED6">
            <w:pPr>
              <w:spacing w:before="100" w:beforeAutospacing="1" w:after="100" w:afterAutospacing="1"/>
              <w:ind w:left="720"/>
              <w:jc w:val="both"/>
              <w:rPr>
                <w:rFonts w:ascii="Times New Roman" w:hAnsi="Times New Roman" w:cs="Times New Roman"/>
                <w:b w:val="0"/>
                <w:bCs w:val="0"/>
                <w:color w:val="000000"/>
                <w:sz w:val="22"/>
                <w:szCs w:val="22"/>
                <w:lang w:val="pt-PT"/>
              </w:rPr>
            </w:pPr>
            <w:r w:rsidRPr="00F64ED6">
              <w:rPr>
                <w:rFonts w:ascii="Times New Roman" w:hAnsi="Times New Roman" w:cs="Times New Roman"/>
                <w:b w:val="0"/>
                <w:bCs w:val="0"/>
                <w:color w:val="000000"/>
                <w:sz w:val="22"/>
                <w:szCs w:val="22"/>
              </w:rPr>
              <w:t>Non-Christian</w:t>
            </w:r>
          </w:p>
        </w:tc>
        <w:tc>
          <w:tcPr>
            <w:tcW w:w="2268" w:type="dxa"/>
            <w:tcBorders>
              <w:top w:val="nil"/>
              <w:bottom w:val="nil"/>
            </w:tcBorders>
          </w:tcPr>
          <w:p w14:paraId="6178D4C7" w14:textId="77777777" w:rsidR="008015D6" w:rsidRPr="00F64ED6" w:rsidRDefault="008015D6" w:rsidP="00F64ED6">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lang w:val="pt-PT"/>
              </w:rPr>
            </w:pPr>
            <w:r w:rsidRPr="00F64ED6">
              <w:rPr>
                <w:rFonts w:ascii="Times New Roman" w:hAnsi="Times New Roman" w:cs="Times New Roman"/>
                <w:color w:val="000000"/>
                <w:sz w:val="22"/>
                <w:szCs w:val="22"/>
              </w:rPr>
              <w:t>34(2)</w:t>
            </w:r>
          </w:p>
        </w:tc>
        <w:tc>
          <w:tcPr>
            <w:tcW w:w="1396" w:type="dxa"/>
            <w:tcBorders>
              <w:top w:val="nil"/>
              <w:bottom w:val="nil"/>
            </w:tcBorders>
          </w:tcPr>
          <w:p w14:paraId="7387B680" w14:textId="77777777" w:rsidR="008015D6" w:rsidRPr="00F64ED6" w:rsidRDefault="008015D6" w:rsidP="00F64ED6">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lang w:val="pt-PT"/>
              </w:rPr>
            </w:pPr>
          </w:p>
        </w:tc>
      </w:tr>
      <w:tr w:rsidR="008015D6" w:rsidRPr="00F64ED6" w14:paraId="5DAF83CE" w14:textId="77777777" w:rsidTr="00F64ED6">
        <w:tc>
          <w:tcPr>
            <w:cnfStyle w:val="001000000000" w:firstRow="0" w:lastRow="0" w:firstColumn="1" w:lastColumn="0" w:oddVBand="0" w:evenVBand="0" w:oddHBand="0" w:evenHBand="0" w:firstRowFirstColumn="0" w:firstRowLastColumn="0" w:lastRowFirstColumn="0" w:lastRowLastColumn="0"/>
            <w:tcW w:w="3402" w:type="dxa"/>
            <w:tcBorders>
              <w:top w:val="nil"/>
              <w:bottom w:val="single" w:sz="18" w:space="0" w:color="auto"/>
            </w:tcBorders>
          </w:tcPr>
          <w:p w14:paraId="69261A59" w14:textId="77777777" w:rsidR="008015D6" w:rsidRPr="00F64ED6" w:rsidRDefault="008015D6" w:rsidP="00F64ED6">
            <w:pPr>
              <w:spacing w:before="100" w:beforeAutospacing="1" w:after="100" w:afterAutospacing="1"/>
              <w:ind w:left="720"/>
              <w:jc w:val="both"/>
              <w:rPr>
                <w:rFonts w:ascii="Times New Roman" w:hAnsi="Times New Roman" w:cs="Times New Roman"/>
                <w:b w:val="0"/>
                <w:bCs w:val="0"/>
                <w:color w:val="000000"/>
                <w:sz w:val="22"/>
                <w:szCs w:val="22"/>
                <w:lang w:val="pt-PT"/>
              </w:rPr>
            </w:pPr>
            <w:r w:rsidRPr="00F64ED6">
              <w:rPr>
                <w:rFonts w:ascii="Times New Roman" w:hAnsi="Times New Roman" w:cs="Times New Roman"/>
                <w:b w:val="0"/>
                <w:bCs w:val="0"/>
                <w:color w:val="000000"/>
                <w:sz w:val="22"/>
                <w:szCs w:val="22"/>
              </w:rPr>
              <w:t>No Religion</w:t>
            </w:r>
          </w:p>
        </w:tc>
        <w:tc>
          <w:tcPr>
            <w:tcW w:w="2268" w:type="dxa"/>
            <w:tcBorders>
              <w:top w:val="nil"/>
              <w:bottom w:val="single" w:sz="18" w:space="0" w:color="auto"/>
            </w:tcBorders>
          </w:tcPr>
          <w:p w14:paraId="75CDBD5E" w14:textId="77777777" w:rsidR="008015D6" w:rsidRPr="00F64ED6" w:rsidRDefault="008015D6" w:rsidP="00F64ED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lang w:val="pt-PT"/>
              </w:rPr>
            </w:pPr>
            <w:r w:rsidRPr="00F64ED6">
              <w:rPr>
                <w:rFonts w:ascii="Times New Roman" w:hAnsi="Times New Roman" w:cs="Times New Roman"/>
                <w:color w:val="000000"/>
                <w:sz w:val="22"/>
                <w:szCs w:val="22"/>
              </w:rPr>
              <w:t>496(28,6)</w:t>
            </w:r>
          </w:p>
        </w:tc>
        <w:tc>
          <w:tcPr>
            <w:tcW w:w="1396" w:type="dxa"/>
            <w:tcBorders>
              <w:top w:val="nil"/>
              <w:bottom w:val="single" w:sz="18" w:space="0" w:color="auto"/>
            </w:tcBorders>
          </w:tcPr>
          <w:p w14:paraId="70E6B4B5" w14:textId="77777777" w:rsidR="008015D6" w:rsidRPr="00F64ED6" w:rsidRDefault="008015D6" w:rsidP="00F64ED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lang w:val="pt-PT"/>
              </w:rPr>
            </w:pPr>
          </w:p>
        </w:tc>
      </w:tr>
    </w:tbl>
    <w:p w14:paraId="31606003" w14:textId="0245F33D" w:rsidR="008015D6" w:rsidRPr="008015D6" w:rsidRDefault="00F64ED6" w:rsidP="008015D6">
      <w:pPr>
        <w:spacing w:after="100" w:afterAutospacing="1" w:line="360" w:lineRule="auto"/>
        <w:rPr>
          <w:color w:val="000000"/>
          <w:sz w:val="18"/>
          <w:szCs w:val="18"/>
          <w:lang w:val="en-US"/>
        </w:rPr>
      </w:pPr>
      <w:r>
        <w:rPr>
          <w:color w:val="000000"/>
          <w:sz w:val="18"/>
          <w:szCs w:val="18"/>
        </w:rPr>
        <w:br w:type="textWrapping" w:clear="all"/>
      </w:r>
      <w:r w:rsidR="008015D6" w:rsidRPr="008015D6">
        <w:rPr>
          <w:color w:val="000000"/>
          <w:sz w:val="18"/>
          <w:szCs w:val="18"/>
        </w:rPr>
        <w:t>Source: Own construction based on survey data (Ronda ISSP 2017)</w:t>
      </w:r>
    </w:p>
    <w:p w14:paraId="59501553" w14:textId="77777777" w:rsidR="008015D6" w:rsidRPr="008015D6" w:rsidRDefault="008015D6" w:rsidP="00092BEB">
      <w:pPr>
        <w:spacing w:line="360" w:lineRule="auto"/>
        <w:ind w:firstLine="720"/>
        <w:jc w:val="both"/>
        <w:rPr>
          <w:color w:val="000000"/>
          <w:lang w:val="en-US"/>
        </w:rPr>
      </w:pPr>
      <w:r w:rsidRPr="008015D6">
        <w:rPr>
          <w:color w:val="000000"/>
        </w:rPr>
        <w:t xml:space="preserve">Correlation analyses – cf. Table 2, although </w:t>
      </w:r>
      <w:r w:rsidRPr="008015D6">
        <w:rPr>
          <w:color w:val="000000"/>
          <w:lang w:val="en-GB"/>
        </w:rPr>
        <w:t xml:space="preserve">presenting </w:t>
      </w:r>
      <w:r w:rsidRPr="008015D6">
        <w:rPr>
          <w:color w:val="000000"/>
        </w:rPr>
        <w:t>preliminary results, indicate</w:t>
      </w:r>
      <w:r w:rsidRPr="008015D6">
        <w:rPr>
          <w:color w:val="000000"/>
          <w:lang w:val="en-GB"/>
        </w:rPr>
        <w:t>s</w:t>
      </w:r>
      <w:r w:rsidRPr="008015D6">
        <w:rPr>
          <w:color w:val="000000"/>
        </w:rPr>
        <w:t xml:space="preserve"> a positive and significant association between subjective well-being and the perception of social inequalities (r = 0.050, p &lt; 0.05), suggesting that a greater perception of inequalities is associated with lower levels of subjective well-being. On the other hand, a moderate and significant negative correlation was observed between subjective well-being and social integration (r = -0.457, p &lt; 0.01), proposing that higher levels of social integration are associated with better subjective well-being. In addition, social support showed a weak but significant positive correlation with social integration (r = 0.101, p &lt; 0.01).</w:t>
      </w:r>
    </w:p>
    <w:p w14:paraId="704F00DE" w14:textId="77777777" w:rsidR="008015D6" w:rsidRPr="008015D6" w:rsidRDefault="008015D6" w:rsidP="00092BEB">
      <w:pPr>
        <w:spacing w:line="360" w:lineRule="auto"/>
        <w:ind w:firstLine="720"/>
        <w:jc w:val="both"/>
        <w:rPr>
          <w:color w:val="000000"/>
          <w:lang w:val="en-US"/>
        </w:rPr>
      </w:pPr>
      <w:r w:rsidRPr="008015D6">
        <w:rPr>
          <w:color w:val="000000"/>
        </w:rPr>
        <w:t xml:space="preserve">It is essential to highlight that the correlations observed, although statistically significant, are primarily of low magnitude, which suggests limited effects from a practical point of view. A priori, the data allow us to sustain, with relative certainty, the hypothesis that social integration can function as a protective factor of subjective well-being. In contrast, the perception of social inequalities is associated with greater malaise. However, no significant correlations were observed between the perception of inequalities and social support or social integration, which points to the relative autonomy of these dimensions. </w:t>
      </w:r>
    </w:p>
    <w:p w14:paraId="3852B9A2" w14:textId="77777777" w:rsidR="00142F45" w:rsidRPr="00092BEB" w:rsidRDefault="008015D6" w:rsidP="00092BEB">
      <w:pPr>
        <w:spacing w:line="360" w:lineRule="auto"/>
        <w:rPr>
          <w:color w:val="000000"/>
        </w:rPr>
      </w:pPr>
      <w:r w:rsidRPr="00092BEB">
        <w:rPr>
          <w:b/>
          <w:bCs/>
          <w:color w:val="000000"/>
        </w:rPr>
        <w:t>Table 2</w:t>
      </w:r>
      <w:r w:rsidRPr="00092BEB">
        <w:rPr>
          <w:color w:val="000000"/>
        </w:rPr>
        <w:t xml:space="preserve"> </w:t>
      </w:r>
    </w:p>
    <w:p w14:paraId="21E13E2F" w14:textId="53106DD7" w:rsidR="008015D6" w:rsidRPr="00092BEB" w:rsidRDefault="008015D6" w:rsidP="00142F45">
      <w:pPr>
        <w:rPr>
          <w:i/>
          <w:iCs/>
          <w:color w:val="000000"/>
          <w:lang w:val="en-US"/>
        </w:rPr>
      </w:pPr>
      <w:r w:rsidRPr="00092BEB">
        <w:rPr>
          <w:i/>
          <w:iCs/>
          <w:color w:val="000000"/>
        </w:rPr>
        <w:t>Reliability and Preliminary Correlation of the Model Variables</w:t>
      </w:r>
    </w:p>
    <w:tbl>
      <w:tblPr>
        <w:tblStyle w:val="PlainTable2"/>
        <w:tblW w:w="9356" w:type="dxa"/>
        <w:tblLayout w:type="fixed"/>
        <w:tblLook w:val="04A0" w:firstRow="1" w:lastRow="0" w:firstColumn="1" w:lastColumn="0" w:noHBand="0" w:noVBand="1"/>
      </w:tblPr>
      <w:tblGrid>
        <w:gridCol w:w="3402"/>
        <w:gridCol w:w="993"/>
        <w:gridCol w:w="992"/>
        <w:gridCol w:w="1134"/>
        <w:gridCol w:w="992"/>
        <w:gridCol w:w="1134"/>
        <w:gridCol w:w="709"/>
      </w:tblGrid>
      <w:tr w:rsidR="00092BEB" w:rsidRPr="00F64ED6" w14:paraId="2C4D1D85" w14:textId="77777777" w:rsidTr="00092BEB">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402" w:type="dxa"/>
            <w:tcBorders>
              <w:top w:val="single" w:sz="18" w:space="0" w:color="auto"/>
              <w:bottom w:val="single" w:sz="18" w:space="0" w:color="auto"/>
            </w:tcBorders>
            <w:hideMark/>
          </w:tcPr>
          <w:p w14:paraId="591B5C60" w14:textId="77777777" w:rsidR="008015D6" w:rsidRPr="00F64ED6" w:rsidRDefault="008015D6" w:rsidP="00845DE7">
            <w:pPr>
              <w:jc w:val="center"/>
              <w:rPr>
                <w:rFonts w:ascii="Times New Roman" w:hAnsi="Times New Roman" w:cs="Times New Roman"/>
                <w:sz w:val="22"/>
                <w:szCs w:val="22"/>
                <w:lang w:val="en-US"/>
              </w:rPr>
            </w:pPr>
          </w:p>
        </w:tc>
        <w:tc>
          <w:tcPr>
            <w:tcW w:w="993" w:type="dxa"/>
            <w:tcBorders>
              <w:top w:val="single" w:sz="18" w:space="0" w:color="auto"/>
              <w:bottom w:val="single" w:sz="18" w:space="0" w:color="auto"/>
            </w:tcBorders>
            <w:hideMark/>
          </w:tcPr>
          <w:p w14:paraId="09B3BDC6" w14:textId="77777777" w:rsidR="008015D6" w:rsidRPr="00F64ED6" w:rsidRDefault="008015D6" w:rsidP="00845DE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lang w:val="pt-PT"/>
              </w:rPr>
            </w:pPr>
            <w:r w:rsidRPr="00F64ED6">
              <w:rPr>
                <w:rFonts w:ascii="Times New Roman" w:hAnsi="Times New Roman" w:cs="Times New Roman"/>
                <w:b w:val="0"/>
                <w:bCs w:val="0"/>
                <w:sz w:val="22"/>
                <w:szCs w:val="22"/>
              </w:rPr>
              <w:t>M</w:t>
            </w:r>
          </w:p>
        </w:tc>
        <w:tc>
          <w:tcPr>
            <w:tcW w:w="992" w:type="dxa"/>
            <w:tcBorders>
              <w:top w:val="single" w:sz="18" w:space="0" w:color="auto"/>
              <w:bottom w:val="single" w:sz="18" w:space="0" w:color="auto"/>
            </w:tcBorders>
            <w:hideMark/>
          </w:tcPr>
          <w:p w14:paraId="4F8401D0" w14:textId="77777777" w:rsidR="008015D6" w:rsidRPr="00F64ED6" w:rsidRDefault="008015D6" w:rsidP="00845DE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lang w:val="pt-PT"/>
              </w:rPr>
            </w:pPr>
            <w:r w:rsidRPr="00F64ED6">
              <w:rPr>
                <w:rFonts w:ascii="Times New Roman" w:hAnsi="Times New Roman" w:cs="Times New Roman"/>
                <w:b w:val="0"/>
                <w:bCs w:val="0"/>
                <w:sz w:val="22"/>
                <w:szCs w:val="22"/>
              </w:rPr>
              <w:t>SD</w:t>
            </w:r>
          </w:p>
        </w:tc>
        <w:tc>
          <w:tcPr>
            <w:tcW w:w="1134" w:type="dxa"/>
            <w:tcBorders>
              <w:top w:val="single" w:sz="18" w:space="0" w:color="auto"/>
              <w:bottom w:val="single" w:sz="18" w:space="0" w:color="auto"/>
            </w:tcBorders>
            <w:hideMark/>
          </w:tcPr>
          <w:p w14:paraId="16465AD6" w14:textId="77777777" w:rsidR="008015D6" w:rsidRPr="00F64ED6" w:rsidRDefault="008015D6" w:rsidP="00845DE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lang w:val="pt-PT"/>
              </w:rPr>
            </w:pPr>
            <w:r w:rsidRPr="00F64ED6">
              <w:rPr>
                <w:rFonts w:ascii="Times New Roman" w:hAnsi="Times New Roman" w:cs="Times New Roman"/>
                <w:b w:val="0"/>
                <w:bCs w:val="0"/>
                <w:sz w:val="22"/>
                <w:szCs w:val="22"/>
              </w:rPr>
              <w:t>1</w:t>
            </w:r>
          </w:p>
        </w:tc>
        <w:tc>
          <w:tcPr>
            <w:tcW w:w="992" w:type="dxa"/>
            <w:tcBorders>
              <w:top w:val="single" w:sz="18" w:space="0" w:color="auto"/>
              <w:bottom w:val="single" w:sz="18" w:space="0" w:color="auto"/>
            </w:tcBorders>
            <w:hideMark/>
          </w:tcPr>
          <w:p w14:paraId="24178827" w14:textId="77777777" w:rsidR="008015D6" w:rsidRPr="00F64ED6" w:rsidRDefault="008015D6" w:rsidP="00845DE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lang w:val="pt-PT"/>
              </w:rPr>
            </w:pPr>
            <w:r w:rsidRPr="00F64ED6">
              <w:rPr>
                <w:rFonts w:ascii="Times New Roman" w:hAnsi="Times New Roman" w:cs="Times New Roman"/>
                <w:b w:val="0"/>
                <w:bCs w:val="0"/>
                <w:sz w:val="22"/>
                <w:szCs w:val="22"/>
              </w:rPr>
              <w:t>2</w:t>
            </w:r>
          </w:p>
        </w:tc>
        <w:tc>
          <w:tcPr>
            <w:tcW w:w="1134" w:type="dxa"/>
            <w:tcBorders>
              <w:top w:val="single" w:sz="18" w:space="0" w:color="auto"/>
              <w:bottom w:val="single" w:sz="18" w:space="0" w:color="auto"/>
            </w:tcBorders>
            <w:hideMark/>
          </w:tcPr>
          <w:p w14:paraId="35CF13CA" w14:textId="77777777" w:rsidR="008015D6" w:rsidRPr="00F64ED6" w:rsidRDefault="008015D6" w:rsidP="00845DE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lang w:val="pt-PT"/>
              </w:rPr>
            </w:pPr>
            <w:r w:rsidRPr="00F64ED6">
              <w:rPr>
                <w:rFonts w:ascii="Times New Roman" w:hAnsi="Times New Roman" w:cs="Times New Roman"/>
                <w:b w:val="0"/>
                <w:bCs w:val="0"/>
                <w:sz w:val="22"/>
                <w:szCs w:val="22"/>
              </w:rPr>
              <w:t>3</w:t>
            </w:r>
          </w:p>
        </w:tc>
        <w:tc>
          <w:tcPr>
            <w:tcW w:w="709" w:type="dxa"/>
            <w:tcBorders>
              <w:top w:val="single" w:sz="18" w:space="0" w:color="auto"/>
              <w:bottom w:val="single" w:sz="18" w:space="0" w:color="auto"/>
            </w:tcBorders>
            <w:hideMark/>
          </w:tcPr>
          <w:p w14:paraId="6436FB21" w14:textId="77777777" w:rsidR="008015D6" w:rsidRPr="00F64ED6" w:rsidRDefault="008015D6" w:rsidP="00845DE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lang w:val="pt-PT"/>
              </w:rPr>
            </w:pPr>
            <w:r w:rsidRPr="00F64ED6">
              <w:rPr>
                <w:rFonts w:ascii="Times New Roman" w:hAnsi="Times New Roman" w:cs="Times New Roman"/>
                <w:b w:val="0"/>
                <w:bCs w:val="0"/>
                <w:sz w:val="22"/>
                <w:szCs w:val="22"/>
              </w:rPr>
              <w:t>4</w:t>
            </w:r>
          </w:p>
        </w:tc>
      </w:tr>
      <w:tr w:rsidR="00092BEB" w:rsidRPr="00F64ED6" w14:paraId="2DCF0026" w14:textId="77777777" w:rsidTr="00092BEB">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hideMark/>
          </w:tcPr>
          <w:p w14:paraId="25724CD0" w14:textId="77777777" w:rsidR="008015D6" w:rsidRPr="00F64ED6" w:rsidRDefault="008015D6" w:rsidP="00845DE7">
            <w:pPr>
              <w:rPr>
                <w:rFonts w:ascii="Times New Roman" w:hAnsi="Times New Roman" w:cs="Times New Roman"/>
                <w:b w:val="0"/>
                <w:bCs w:val="0"/>
                <w:sz w:val="22"/>
                <w:szCs w:val="22"/>
                <w:lang w:val="pt-PT"/>
              </w:rPr>
            </w:pPr>
            <w:r w:rsidRPr="00F64ED6">
              <w:rPr>
                <w:rFonts w:ascii="Times New Roman" w:hAnsi="Times New Roman" w:cs="Times New Roman"/>
                <w:b w:val="0"/>
                <w:bCs w:val="0"/>
                <w:sz w:val="22"/>
                <w:szCs w:val="22"/>
              </w:rPr>
              <w:t>1. Subjective Well-Being (Inv)</w:t>
            </w:r>
          </w:p>
        </w:tc>
        <w:tc>
          <w:tcPr>
            <w:tcW w:w="993" w:type="dxa"/>
            <w:tcBorders>
              <w:top w:val="nil"/>
              <w:bottom w:val="nil"/>
            </w:tcBorders>
            <w:hideMark/>
          </w:tcPr>
          <w:p w14:paraId="2CF984B5" w14:textId="77777777" w:rsidR="008015D6" w:rsidRPr="00F64ED6" w:rsidRDefault="008015D6" w:rsidP="00845D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pt-PT"/>
              </w:rPr>
            </w:pPr>
            <w:r w:rsidRPr="00F64ED6">
              <w:rPr>
                <w:rFonts w:ascii="Times New Roman" w:hAnsi="Times New Roman" w:cs="Times New Roman"/>
                <w:sz w:val="22"/>
                <w:szCs w:val="22"/>
              </w:rPr>
              <w:t>4.179</w:t>
            </w:r>
          </w:p>
        </w:tc>
        <w:tc>
          <w:tcPr>
            <w:tcW w:w="992" w:type="dxa"/>
            <w:tcBorders>
              <w:top w:val="nil"/>
              <w:bottom w:val="nil"/>
            </w:tcBorders>
            <w:hideMark/>
          </w:tcPr>
          <w:p w14:paraId="7B64CF9E" w14:textId="77777777" w:rsidR="008015D6" w:rsidRPr="00F64ED6" w:rsidRDefault="008015D6" w:rsidP="00845D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pt-PT"/>
              </w:rPr>
            </w:pPr>
            <w:r w:rsidRPr="00F64ED6">
              <w:rPr>
                <w:rFonts w:ascii="Times New Roman" w:hAnsi="Times New Roman" w:cs="Times New Roman"/>
                <w:sz w:val="22"/>
                <w:szCs w:val="22"/>
              </w:rPr>
              <w:t>0.968</w:t>
            </w:r>
          </w:p>
        </w:tc>
        <w:tc>
          <w:tcPr>
            <w:tcW w:w="1134" w:type="dxa"/>
            <w:tcBorders>
              <w:top w:val="nil"/>
              <w:bottom w:val="nil"/>
            </w:tcBorders>
            <w:hideMark/>
          </w:tcPr>
          <w:p w14:paraId="657DE59E" w14:textId="77777777" w:rsidR="008015D6" w:rsidRPr="00F64ED6" w:rsidRDefault="008015D6" w:rsidP="00845D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pt-PT"/>
              </w:rPr>
            </w:pPr>
            <w:r w:rsidRPr="00F64ED6">
              <w:rPr>
                <w:rFonts w:ascii="Times New Roman" w:hAnsi="Times New Roman" w:cs="Times New Roman"/>
                <w:sz w:val="22"/>
                <w:szCs w:val="22"/>
              </w:rPr>
              <w:t>--</w:t>
            </w:r>
          </w:p>
        </w:tc>
        <w:tc>
          <w:tcPr>
            <w:tcW w:w="992" w:type="dxa"/>
            <w:tcBorders>
              <w:top w:val="nil"/>
              <w:bottom w:val="nil"/>
            </w:tcBorders>
          </w:tcPr>
          <w:p w14:paraId="29DEDCF4" w14:textId="77777777" w:rsidR="008015D6" w:rsidRPr="00F64ED6" w:rsidRDefault="008015D6" w:rsidP="00845D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pt-PT"/>
              </w:rPr>
            </w:pPr>
          </w:p>
        </w:tc>
        <w:tc>
          <w:tcPr>
            <w:tcW w:w="1134" w:type="dxa"/>
            <w:tcBorders>
              <w:top w:val="nil"/>
              <w:bottom w:val="nil"/>
            </w:tcBorders>
          </w:tcPr>
          <w:p w14:paraId="65CF4E76" w14:textId="77777777" w:rsidR="008015D6" w:rsidRPr="00F64ED6" w:rsidRDefault="008015D6" w:rsidP="00845D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pt-PT"/>
              </w:rPr>
            </w:pPr>
          </w:p>
        </w:tc>
        <w:tc>
          <w:tcPr>
            <w:tcW w:w="709" w:type="dxa"/>
            <w:tcBorders>
              <w:top w:val="nil"/>
              <w:bottom w:val="nil"/>
            </w:tcBorders>
            <w:hideMark/>
          </w:tcPr>
          <w:p w14:paraId="5D01EC31" w14:textId="77777777" w:rsidR="008015D6" w:rsidRPr="00F64ED6" w:rsidRDefault="008015D6" w:rsidP="00845D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pt-PT"/>
              </w:rPr>
            </w:pPr>
          </w:p>
        </w:tc>
      </w:tr>
      <w:tr w:rsidR="00092BEB" w:rsidRPr="00F64ED6" w14:paraId="57F727FF" w14:textId="77777777" w:rsidTr="00092BEB">
        <w:trPr>
          <w:trHeight w:val="407"/>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hideMark/>
          </w:tcPr>
          <w:p w14:paraId="79457E4E" w14:textId="77777777" w:rsidR="008015D6" w:rsidRPr="00F64ED6" w:rsidRDefault="008015D6" w:rsidP="00845DE7">
            <w:pPr>
              <w:rPr>
                <w:rFonts w:ascii="Times New Roman" w:hAnsi="Times New Roman" w:cs="Times New Roman"/>
                <w:b w:val="0"/>
                <w:bCs w:val="0"/>
                <w:sz w:val="22"/>
                <w:szCs w:val="22"/>
                <w:lang w:val="pt-PT"/>
              </w:rPr>
            </w:pPr>
            <w:r w:rsidRPr="00F64ED6">
              <w:rPr>
                <w:rFonts w:ascii="Times New Roman" w:hAnsi="Times New Roman" w:cs="Times New Roman"/>
                <w:b w:val="0"/>
                <w:bCs w:val="0"/>
                <w:sz w:val="22"/>
                <w:szCs w:val="22"/>
              </w:rPr>
              <w:t>2. Perception of Social Inequalities</w:t>
            </w:r>
          </w:p>
        </w:tc>
        <w:tc>
          <w:tcPr>
            <w:tcW w:w="993" w:type="dxa"/>
            <w:tcBorders>
              <w:top w:val="nil"/>
              <w:bottom w:val="nil"/>
            </w:tcBorders>
            <w:hideMark/>
          </w:tcPr>
          <w:p w14:paraId="7A0B61A1" w14:textId="77777777" w:rsidR="008015D6" w:rsidRPr="00F64ED6" w:rsidRDefault="008015D6" w:rsidP="00845D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pt-PT"/>
              </w:rPr>
            </w:pPr>
            <w:r w:rsidRPr="00F64ED6">
              <w:rPr>
                <w:rFonts w:ascii="Times New Roman" w:hAnsi="Times New Roman" w:cs="Times New Roman"/>
                <w:sz w:val="22"/>
                <w:szCs w:val="22"/>
              </w:rPr>
              <w:t>1.865</w:t>
            </w:r>
          </w:p>
        </w:tc>
        <w:tc>
          <w:tcPr>
            <w:tcW w:w="992" w:type="dxa"/>
            <w:tcBorders>
              <w:top w:val="nil"/>
              <w:bottom w:val="nil"/>
            </w:tcBorders>
            <w:hideMark/>
          </w:tcPr>
          <w:p w14:paraId="21AD61E4" w14:textId="77777777" w:rsidR="008015D6" w:rsidRPr="00F64ED6" w:rsidRDefault="008015D6" w:rsidP="00845D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pt-PT"/>
              </w:rPr>
            </w:pPr>
            <w:r w:rsidRPr="00F64ED6">
              <w:rPr>
                <w:rFonts w:ascii="Times New Roman" w:hAnsi="Times New Roman" w:cs="Times New Roman"/>
                <w:sz w:val="22"/>
                <w:szCs w:val="22"/>
              </w:rPr>
              <w:t>0.730</w:t>
            </w:r>
          </w:p>
        </w:tc>
        <w:tc>
          <w:tcPr>
            <w:tcW w:w="1134" w:type="dxa"/>
            <w:tcBorders>
              <w:top w:val="nil"/>
              <w:bottom w:val="nil"/>
            </w:tcBorders>
            <w:hideMark/>
          </w:tcPr>
          <w:p w14:paraId="139119CF" w14:textId="77777777" w:rsidR="008015D6" w:rsidRPr="00F64ED6" w:rsidRDefault="008015D6" w:rsidP="00845D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pt-PT"/>
              </w:rPr>
            </w:pPr>
            <w:r w:rsidRPr="00F64ED6">
              <w:rPr>
                <w:rFonts w:ascii="Times New Roman" w:hAnsi="Times New Roman" w:cs="Times New Roman"/>
                <w:sz w:val="22"/>
                <w:szCs w:val="22"/>
              </w:rPr>
              <w:t>0.050*</w:t>
            </w:r>
          </w:p>
        </w:tc>
        <w:tc>
          <w:tcPr>
            <w:tcW w:w="992" w:type="dxa"/>
            <w:tcBorders>
              <w:top w:val="nil"/>
              <w:bottom w:val="nil"/>
            </w:tcBorders>
            <w:hideMark/>
          </w:tcPr>
          <w:p w14:paraId="4097D398" w14:textId="77777777" w:rsidR="008015D6" w:rsidRPr="00F64ED6" w:rsidRDefault="008015D6" w:rsidP="00845D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pt-PT"/>
              </w:rPr>
            </w:pPr>
            <w:r w:rsidRPr="00F64ED6">
              <w:rPr>
                <w:rFonts w:ascii="Times New Roman" w:hAnsi="Times New Roman" w:cs="Times New Roman"/>
                <w:sz w:val="22"/>
                <w:szCs w:val="22"/>
              </w:rPr>
              <w:t>--</w:t>
            </w:r>
          </w:p>
        </w:tc>
        <w:tc>
          <w:tcPr>
            <w:tcW w:w="1134" w:type="dxa"/>
            <w:tcBorders>
              <w:top w:val="nil"/>
              <w:bottom w:val="nil"/>
            </w:tcBorders>
            <w:hideMark/>
          </w:tcPr>
          <w:p w14:paraId="1B9D4D4E" w14:textId="77777777" w:rsidR="008015D6" w:rsidRPr="00F64ED6" w:rsidRDefault="008015D6" w:rsidP="00845D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pt-PT"/>
              </w:rPr>
            </w:pPr>
          </w:p>
        </w:tc>
        <w:tc>
          <w:tcPr>
            <w:tcW w:w="709" w:type="dxa"/>
            <w:tcBorders>
              <w:top w:val="nil"/>
              <w:bottom w:val="nil"/>
            </w:tcBorders>
          </w:tcPr>
          <w:p w14:paraId="7CAB7011" w14:textId="77777777" w:rsidR="008015D6" w:rsidRPr="00F64ED6" w:rsidRDefault="008015D6" w:rsidP="00845D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pt-PT"/>
              </w:rPr>
            </w:pPr>
          </w:p>
        </w:tc>
      </w:tr>
      <w:tr w:rsidR="00092BEB" w:rsidRPr="00F64ED6" w14:paraId="008E1959" w14:textId="77777777" w:rsidTr="00092BEB">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hideMark/>
          </w:tcPr>
          <w:p w14:paraId="3FC64A29" w14:textId="77777777" w:rsidR="008015D6" w:rsidRPr="00F64ED6" w:rsidRDefault="008015D6" w:rsidP="00845DE7">
            <w:pPr>
              <w:rPr>
                <w:rFonts w:ascii="Times New Roman" w:hAnsi="Times New Roman" w:cs="Times New Roman"/>
                <w:b w:val="0"/>
                <w:bCs w:val="0"/>
                <w:sz w:val="22"/>
                <w:szCs w:val="22"/>
                <w:lang w:val="pt-PT"/>
              </w:rPr>
            </w:pPr>
            <w:r w:rsidRPr="00F64ED6">
              <w:rPr>
                <w:rFonts w:ascii="Times New Roman" w:hAnsi="Times New Roman" w:cs="Times New Roman"/>
                <w:b w:val="0"/>
                <w:bCs w:val="0"/>
                <w:sz w:val="22"/>
                <w:szCs w:val="22"/>
              </w:rPr>
              <w:t>3. Social Support</w:t>
            </w:r>
          </w:p>
        </w:tc>
        <w:tc>
          <w:tcPr>
            <w:tcW w:w="993" w:type="dxa"/>
            <w:tcBorders>
              <w:top w:val="nil"/>
              <w:bottom w:val="nil"/>
            </w:tcBorders>
            <w:hideMark/>
          </w:tcPr>
          <w:p w14:paraId="3517EFA5" w14:textId="77777777" w:rsidR="008015D6" w:rsidRPr="00F64ED6" w:rsidRDefault="008015D6" w:rsidP="00845D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pt-PT"/>
              </w:rPr>
            </w:pPr>
            <w:r w:rsidRPr="00F64ED6">
              <w:rPr>
                <w:rFonts w:ascii="Times New Roman" w:hAnsi="Times New Roman" w:cs="Times New Roman"/>
                <w:sz w:val="22"/>
                <w:szCs w:val="22"/>
              </w:rPr>
              <w:t>2.191</w:t>
            </w:r>
          </w:p>
        </w:tc>
        <w:tc>
          <w:tcPr>
            <w:tcW w:w="992" w:type="dxa"/>
            <w:tcBorders>
              <w:top w:val="nil"/>
              <w:bottom w:val="nil"/>
            </w:tcBorders>
            <w:hideMark/>
          </w:tcPr>
          <w:p w14:paraId="7251643B" w14:textId="77777777" w:rsidR="008015D6" w:rsidRPr="00F64ED6" w:rsidRDefault="008015D6" w:rsidP="00845D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pt-PT"/>
              </w:rPr>
            </w:pPr>
            <w:r w:rsidRPr="00F64ED6">
              <w:rPr>
                <w:rFonts w:ascii="Times New Roman" w:hAnsi="Times New Roman" w:cs="Times New Roman"/>
                <w:sz w:val="22"/>
                <w:szCs w:val="22"/>
              </w:rPr>
              <w:t>1.066</w:t>
            </w:r>
          </w:p>
        </w:tc>
        <w:tc>
          <w:tcPr>
            <w:tcW w:w="1134" w:type="dxa"/>
            <w:tcBorders>
              <w:top w:val="nil"/>
              <w:bottom w:val="nil"/>
            </w:tcBorders>
            <w:hideMark/>
          </w:tcPr>
          <w:p w14:paraId="377F1CBA" w14:textId="77777777" w:rsidR="008015D6" w:rsidRPr="00F64ED6" w:rsidRDefault="008015D6" w:rsidP="00845D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pt-PT"/>
              </w:rPr>
            </w:pPr>
            <w:r w:rsidRPr="00F64ED6">
              <w:rPr>
                <w:rFonts w:ascii="Times New Roman" w:hAnsi="Times New Roman" w:cs="Times New Roman"/>
                <w:sz w:val="22"/>
                <w:szCs w:val="22"/>
              </w:rPr>
              <w:t>-0.045</w:t>
            </w:r>
          </w:p>
        </w:tc>
        <w:tc>
          <w:tcPr>
            <w:tcW w:w="992" w:type="dxa"/>
            <w:tcBorders>
              <w:top w:val="nil"/>
              <w:bottom w:val="nil"/>
            </w:tcBorders>
            <w:hideMark/>
          </w:tcPr>
          <w:p w14:paraId="227DD7A0" w14:textId="77777777" w:rsidR="008015D6" w:rsidRPr="00F64ED6" w:rsidRDefault="008015D6" w:rsidP="00845D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pt-PT"/>
              </w:rPr>
            </w:pPr>
            <w:r w:rsidRPr="00F64ED6">
              <w:rPr>
                <w:rFonts w:ascii="Times New Roman" w:hAnsi="Times New Roman" w:cs="Times New Roman"/>
                <w:sz w:val="22"/>
                <w:szCs w:val="22"/>
              </w:rPr>
              <w:t>0.047</w:t>
            </w:r>
          </w:p>
        </w:tc>
        <w:tc>
          <w:tcPr>
            <w:tcW w:w="1134" w:type="dxa"/>
            <w:tcBorders>
              <w:top w:val="nil"/>
              <w:bottom w:val="nil"/>
            </w:tcBorders>
            <w:hideMark/>
          </w:tcPr>
          <w:p w14:paraId="50C5D69D" w14:textId="77777777" w:rsidR="008015D6" w:rsidRPr="00F64ED6" w:rsidRDefault="008015D6" w:rsidP="00845D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pt-PT"/>
              </w:rPr>
            </w:pPr>
            <w:r w:rsidRPr="00F64ED6">
              <w:rPr>
                <w:rFonts w:ascii="Times New Roman" w:hAnsi="Times New Roman" w:cs="Times New Roman"/>
                <w:sz w:val="22"/>
                <w:szCs w:val="22"/>
              </w:rPr>
              <w:t>--</w:t>
            </w:r>
          </w:p>
        </w:tc>
        <w:tc>
          <w:tcPr>
            <w:tcW w:w="709" w:type="dxa"/>
            <w:tcBorders>
              <w:top w:val="nil"/>
              <w:bottom w:val="nil"/>
            </w:tcBorders>
          </w:tcPr>
          <w:p w14:paraId="50C7156F" w14:textId="77777777" w:rsidR="008015D6" w:rsidRPr="00F64ED6" w:rsidRDefault="008015D6" w:rsidP="00845DE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pt-PT"/>
              </w:rPr>
            </w:pPr>
          </w:p>
        </w:tc>
      </w:tr>
      <w:tr w:rsidR="00092BEB" w:rsidRPr="00F64ED6" w14:paraId="543CC0D5" w14:textId="77777777" w:rsidTr="00092BEB">
        <w:trPr>
          <w:trHeight w:val="301"/>
        </w:trPr>
        <w:tc>
          <w:tcPr>
            <w:cnfStyle w:val="001000000000" w:firstRow="0" w:lastRow="0" w:firstColumn="1" w:lastColumn="0" w:oddVBand="0" w:evenVBand="0" w:oddHBand="0" w:evenHBand="0" w:firstRowFirstColumn="0" w:firstRowLastColumn="0" w:lastRowFirstColumn="0" w:lastRowLastColumn="0"/>
            <w:tcW w:w="3402" w:type="dxa"/>
            <w:tcBorders>
              <w:top w:val="nil"/>
              <w:bottom w:val="single" w:sz="18" w:space="0" w:color="000000" w:themeColor="text1"/>
            </w:tcBorders>
            <w:hideMark/>
          </w:tcPr>
          <w:p w14:paraId="666F0C86" w14:textId="77777777" w:rsidR="008015D6" w:rsidRPr="00F64ED6" w:rsidRDefault="008015D6" w:rsidP="00845DE7">
            <w:pPr>
              <w:rPr>
                <w:rFonts w:ascii="Times New Roman" w:hAnsi="Times New Roman" w:cs="Times New Roman"/>
                <w:b w:val="0"/>
                <w:bCs w:val="0"/>
                <w:sz w:val="22"/>
                <w:szCs w:val="22"/>
                <w:lang w:val="pt-PT"/>
              </w:rPr>
            </w:pPr>
            <w:r w:rsidRPr="00F64ED6">
              <w:rPr>
                <w:rFonts w:ascii="Times New Roman" w:hAnsi="Times New Roman" w:cs="Times New Roman"/>
                <w:b w:val="0"/>
                <w:bCs w:val="0"/>
                <w:sz w:val="22"/>
                <w:szCs w:val="22"/>
              </w:rPr>
              <w:t>4. Social Integration (Inv)</w:t>
            </w:r>
          </w:p>
        </w:tc>
        <w:tc>
          <w:tcPr>
            <w:tcW w:w="993" w:type="dxa"/>
            <w:tcBorders>
              <w:top w:val="nil"/>
              <w:bottom w:val="single" w:sz="18" w:space="0" w:color="000000" w:themeColor="text1"/>
            </w:tcBorders>
            <w:hideMark/>
          </w:tcPr>
          <w:p w14:paraId="4D405C6D" w14:textId="77777777" w:rsidR="008015D6" w:rsidRPr="00F64ED6" w:rsidRDefault="008015D6" w:rsidP="00845D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pt-PT"/>
              </w:rPr>
            </w:pPr>
            <w:r w:rsidRPr="00F64ED6">
              <w:rPr>
                <w:rFonts w:ascii="Times New Roman" w:hAnsi="Times New Roman" w:cs="Times New Roman"/>
                <w:sz w:val="22"/>
                <w:szCs w:val="22"/>
              </w:rPr>
              <w:t>1.487</w:t>
            </w:r>
          </w:p>
        </w:tc>
        <w:tc>
          <w:tcPr>
            <w:tcW w:w="992" w:type="dxa"/>
            <w:tcBorders>
              <w:top w:val="nil"/>
              <w:bottom w:val="single" w:sz="18" w:space="0" w:color="000000" w:themeColor="text1"/>
            </w:tcBorders>
            <w:hideMark/>
          </w:tcPr>
          <w:p w14:paraId="3926AE8B" w14:textId="77777777" w:rsidR="008015D6" w:rsidRPr="00F64ED6" w:rsidRDefault="008015D6" w:rsidP="00845D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pt-PT"/>
              </w:rPr>
            </w:pPr>
            <w:r w:rsidRPr="00F64ED6">
              <w:rPr>
                <w:rFonts w:ascii="Times New Roman" w:hAnsi="Times New Roman" w:cs="Times New Roman"/>
                <w:sz w:val="22"/>
                <w:szCs w:val="22"/>
              </w:rPr>
              <w:t>0.825</w:t>
            </w:r>
          </w:p>
        </w:tc>
        <w:tc>
          <w:tcPr>
            <w:tcW w:w="1134" w:type="dxa"/>
            <w:tcBorders>
              <w:top w:val="nil"/>
              <w:bottom w:val="single" w:sz="18" w:space="0" w:color="000000" w:themeColor="text1"/>
            </w:tcBorders>
            <w:hideMark/>
          </w:tcPr>
          <w:p w14:paraId="1C02E862" w14:textId="77777777" w:rsidR="008015D6" w:rsidRPr="00F64ED6" w:rsidRDefault="008015D6" w:rsidP="00845D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pt-PT"/>
              </w:rPr>
            </w:pPr>
            <w:r w:rsidRPr="00F64ED6">
              <w:rPr>
                <w:rFonts w:ascii="Times New Roman" w:hAnsi="Times New Roman" w:cs="Times New Roman"/>
                <w:sz w:val="22"/>
                <w:szCs w:val="22"/>
              </w:rPr>
              <w:t>-0.457**</w:t>
            </w:r>
          </w:p>
        </w:tc>
        <w:tc>
          <w:tcPr>
            <w:tcW w:w="992" w:type="dxa"/>
            <w:tcBorders>
              <w:top w:val="nil"/>
              <w:bottom w:val="single" w:sz="18" w:space="0" w:color="000000" w:themeColor="text1"/>
            </w:tcBorders>
            <w:hideMark/>
          </w:tcPr>
          <w:p w14:paraId="3699C1EE" w14:textId="77777777" w:rsidR="008015D6" w:rsidRPr="00F64ED6" w:rsidRDefault="008015D6" w:rsidP="00845D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pt-PT"/>
              </w:rPr>
            </w:pPr>
            <w:r w:rsidRPr="00F64ED6">
              <w:rPr>
                <w:rFonts w:ascii="Times New Roman" w:hAnsi="Times New Roman" w:cs="Times New Roman"/>
                <w:sz w:val="22"/>
                <w:szCs w:val="22"/>
              </w:rPr>
              <w:t>0.033</w:t>
            </w:r>
          </w:p>
        </w:tc>
        <w:tc>
          <w:tcPr>
            <w:tcW w:w="1134" w:type="dxa"/>
            <w:tcBorders>
              <w:top w:val="nil"/>
              <w:bottom w:val="single" w:sz="18" w:space="0" w:color="000000" w:themeColor="text1"/>
            </w:tcBorders>
            <w:hideMark/>
          </w:tcPr>
          <w:p w14:paraId="43B1A87E" w14:textId="77777777" w:rsidR="008015D6" w:rsidRPr="00F64ED6" w:rsidRDefault="008015D6" w:rsidP="00845D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pt-PT"/>
              </w:rPr>
            </w:pPr>
            <w:r w:rsidRPr="00F64ED6">
              <w:rPr>
                <w:rFonts w:ascii="Times New Roman" w:hAnsi="Times New Roman" w:cs="Times New Roman"/>
                <w:sz w:val="22"/>
                <w:szCs w:val="22"/>
              </w:rPr>
              <w:t>0.101**</w:t>
            </w:r>
          </w:p>
        </w:tc>
        <w:tc>
          <w:tcPr>
            <w:tcW w:w="709" w:type="dxa"/>
            <w:tcBorders>
              <w:top w:val="nil"/>
              <w:bottom w:val="single" w:sz="18" w:space="0" w:color="000000" w:themeColor="text1"/>
            </w:tcBorders>
          </w:tcPr>
          <w:p w14:paraId="1199CC3B" w14:textId="77777777" w:rsidR="008015D6" w:rsidRPr="00F64ED6" w:rsidRDefault="008015D6" w:rsidP="00845DE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pt-PT"/>
              </w:rPr>
            </w:pPr>
            <w:r w:rsidRPr="00F64ED6">
              <w:rPr>
                <w:rFonts w:ascii="Times New Roman" w:hAnsi="Times New Roman" w:cs="Times New Roman"/>
                <w:sz w:val="22"/>
                <w:szCs w:val="22"/>
              </w:rPr>
              <w:t>--</w:t>
            </w:r>
          </w:p>
        </w:tc>
      </w:tr>
      <w:tr w:rsidR="008015D6" w:rsidRPr="00F64ED6" w14:paraId="60AFBCFC" w14:textId="77777777" w:rsidTr="00092BEB">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9356" w:type="dxa"/>
            <w:gridSpan w:val="7"/>
            <w:tcBorders>
              <w:top w:val="single" w:sz="18" w:space="0" w:color="000000" w:themeColor="text1"/>
              <w:left w:val="single" w:sz="4" w:space="0" w:color="FFFFFF" w:themeColor="background1"/>
              <w:bottom w:val="single" w:sz="4" w:space="0" w:color="FFFFFF" w:themeColor="background1"/>
            </w:tcBorders>
          </w:tcPr>
          <w:p w14:paraId="39BE9D92" w14:textId="77777777" w:rsidR="008015D6" w:rsidRPr="00F64ED6" w:rsidRDefault="008015D6" w:rsidP="00845DE7">
            <w:pPr>
              <w:rPr>
                <w:rFonts w:ascii="Times New Roman" w:hAnsi="Times New Roman" w:cs="Times New Roman"/>
                <w:sz w:val="22"/>
                <w:szCs w:val="22"/>
                <w:lang w:val="en-US"/>
              </w:rPr>
            </w:pPr>
            <w:r w:rsidRPr="00F64ED6">
              <w:rPr>
                <w:rFonts w:ascii="Times New Roman" w:hAnsi="Times New Roman" w:cs="Times New Roman"/>
                <w:b w:val="0"/>
                <w:bCs w:val="0"/>
                <w:sz w:val="22"/>
                <w:szCs w:val="22"/>
              </w:rPr>
              <w:t>Note: *P&lt;0.05 **P&lt;0.01 M = Mean SD = Standard Deviation Inv = Variable with inverted scale</w:t>
            </w:r>
          </w:p>
        </w:tc>
      </w:tr>
    </w:tbl>
    <w:p w14:paraId="50F1EC4F" w14:textId="77777777" w:rsidR="008015D6" w:rsidRPr="008015D6" w:rsidRDefault="008015D6" w:rsidP="008015D6">
      <w:pPr>
        <w:spacing w:line="360" w:lineRule="auto"/>
        <w:rPr>
          <w:color w:val="000000"/>
          <w:sz w:val="22"/>
          <w:szCs w:val="22"/>
        </w:rPr>
      </w:pPr>
      <w:r w:rsidRPr="008015D6">
        <w:rPr>
          <w:sz w:val="18"/>
          <w:szCs w:val="18"/>
        </w:rPr>
        <w:t>Source: ISSP Round 2017 (GESIS, 2019). Own calculations</w:t>
      </w:r>
    </w:p>
    <w:p w14:paraId="6C036797" w14:textId="77777777" w:rsidR="008015D6" w:rsidRPr="00092BEB" w:rsidRDefault="008015D6" w:rsidP="00092BEB">
      <w:pPr>
        <w:spacing w:before="100" w:beforeAutospacing="1" w:after="240"/>
        <w:jc w:val="both"/>
        <w:rPr>
          <w:b/>
          <w:bCs/>
          <w:color w:val="000000"/>
          <w:lang w:val="en-US"/>
        </w:rPr>
      </w:pPr>
      <w:bookmarkStart w:id="0" w:name="OLE_LINK2"/>
      <w:r w:rsidRPr="00092BEB">
        <w:rPr>
          <w:b/>
          <w:bCs/>
          <w:color w:val="000000"/>
        </w:rPr>
        <w:t>Association between Study Variables</w:t>
      </w:r>
    </w:p>
    <w:p w14:paraId="59AA0457" w14:textId="77777777" w:rsidR="008015D6" w:rsidRPr="008015D6" w:rsidRDefault="008015D6" w:rsidP="00092BEB">
      <w:pPr>
        <w:spacing w:line="360" w:lineRule="auto"/>
        <w:ind w:firstLine="720"/>
        <w:jc w:val="both"/>
        <w:rPr>
          <w:color w:val="000000"/>
          <w:lang w:val="en-US"/>
        </w:rPr>
      </w:pPr>
      <w:r w:rsidRPr="008015D6">
        <w:rPr>
          <w:color w:val="000000"/>
        </w:rPr>
        <w:t>Hypothesis 1, which predicted a negative association between the perception of social inequalities and social integration, was supported (B = -0.063, Z = -2.616, p = 0.009). The interaction between the perception of social inequalities and subjective well-being contributed significantly to the prediction of social integration (B = 0.072, Z = 2.891, p = 0.004; Table 3), supporting Hypothesis 2.</w:t>
      </w:r>
    </w:p>
    <w:p w14:paraId="6A755A70" w14:textId="77777777" w:rsidR="008015D6" w:rsidRPr="008015D6" w:rsidRDefault="008015D6" w:rsidP="00092BEB">
      <w:pPr>
        <w:spacing w:line="360" w:lineRule="auto"/>
        <w:ind w:firstLine="720"/>
        <w:jc w:val="both"/>
        <w:rPr>
          <w:color w:val="000000"/>
          <w:lang w:val="en-US"/>
        </w:rPr>
      </w:pPr>
      <w:r w:rsidRPr="008015D6">
        <w:rPr>
          <w:color w:val="000000"/>
        </w:rPr>
        <w:t>These results indicate that the adverse effect of the perception of social inequalities on social integration is attenuated among those who experience higher levels of subjective well-being, that is, less psychological suffering. The inclusion of the interaction term in the model allowed</w:t>
      </w:r>
      <w:r w:rsidRPr="008015D6">
        <w:rPr>
          <w:color w:val="000000"/>
          <w:lang w:val="en-GB"/>
        </w:rPr>
        <w:t xml:space="preserve"> for</w:t>
      </w:r>
      <w:r w:rsidRPr="008015D6">
        <w:rPr>
          <w:color w:val="000000"/>
        </w:rPr>
        <w:t xml:space="preserve"> an additional gain in the explained variance (ΔR² = 0.004), increasing the R² from 0.210 (Model 1) to 0.214 (Model 2). </w:t>
      </w:r>
    </w:p>
    <w:p w14:paraId="12378743" w14:textId="77777777" w:rsidR="00092BEB" w:rsidRPr="00092BEB" w:rsidRDefault="008015D6" w:rsidP="00AB3C46">
      <w:pPr>
        <w:spacing w:line="360" w:lineRule="auto"/>
        <w:rPr>
          <w:b/>
          <w:bCs/>
        </w:rPr>
      </w:pPr>
      <w:r w:rsidRPr="00092BEB">
        <w:rPr>
          <w:b/>
          <w:bCs/>
        </w:rPr>
        <w:t>Table 3</w:t>
      </w:r>
    </w:p>
    <w:p w14:paraId="331B7CEA" w14:textId="1A5A3888" w:rsidR="008015D6" w:rsidRPr="00092BEB" w:rsidRDefault="008015D6" w:rsidP="00092BEB">
      <w:pPr>
        <w:spacing w:line="360" w:lineRule="auto"/>
      </w:pPr>
      <w:r w:rsidRPr="00092BEB">
        <w:t>Regression results for moderation</w:t>
      </w:r>
    </w:p>
    <w:tbl>
      <w:tblPr>
        <w:tblW w:w="8790" w:type="dxa"/>
        <w:tblLayout w:type="fixed"/>
        <w:tblCellMar>
          <w:left w:w="0" w:type="dxa"/>
          <w:right w:w="0" w:type="dxa"/>
        </w:tblCellMar>
        <w:tblLook w:val="0600" w:firstRow="0" w:lastRow="0" w:firstColumn="0" w:lastColumn="0" w:noHBand="1" w:noVBand="1"/>
      </w:tblPr>
      <w:tblGrid>
        <w:gridCol w:w="4112"/>
        <w:gridCol w:w="851"/>
        <w:gridCol w:w="1276"/>
        <w:gridCol w:w="708"/>
        <w:gridCol w:w="1418"/>
        <w:gridCol w:w="425"/>
      </w:tblGrid>
      <w:tr w:rsidR="008015D6" w:rsidRPr="00AB3C46" w14:paraId="20B13788" w14:textId="77777777" w:rsidTr="00092BEB">
        <w:trPr>
          <w:trHeight w:val="133"/>
        </w:trPr>
        <w:tc>
          <w:tcPr>
            <w:tcW w:w="8365" w:type="dxa"/>
            <w:gridSpan w:val="5"/>
            <w:tcBorders>
              <w:top w:val="single" w:sz="18" w:space="0" w:color="000000" w:themeColor="text1"/>
              <w:bottom w:val="single" w:sz="4" w:space="0" w:color="auto"/>
            </w:tcBorders>
            <w:tcMar>
              <w:top w:w="15" w:type="dxa"/>
              <w:left w:w="93" w:type="dxa"/>
              <w:bottom w:w="0" w:type="dxa"/>
              <w:right w:w="93" w:type="dxa"/>
            </w:tcMar>
            <w:vAlign w:val="bottom"/>
            <w:hideMark/>
          </w:tcPr>
          <w:p w14:paraId="4093EB02" w14:textId="77777777" w:rsidR="008015D6" w:rsidRPr="00AB3C46" w:rsidRDefault="008015D6" w:rsidP="00845DE7">
            <w:pPr>
              <w:jc w:val="center"/>
              <w:rPr>
                <w:sz w:val="22"/>
                <w:szCs w:val="22"/>
              </w:rPr>
            </w:pPr>
          </w:p>
        </w:tc>
        <w:tc>
          <w:tcPr>
            <w:tcW w:w="425" w:type="dxa"/>
            <w:tcBorders>
              <w:top w:val="single" w:sz="18" w:space="0" w:color="000000" w:themeColor="text1"/>
              <w:bottom w:val="single" w:sz="4" w:space="0" w:color="auto"/>
            </w:tcBorders>
            <w:vAlign w:val="center"/>
          </w:tcPr>
          <w:p w14:paraId="05AB88F1" w14:textId="77777777" w:rsidR="008015D6" w:rsidRPr="00AB3C46" w:rsidRDefault="008015D6" w:rsidP="00845DE7">
            <w:pPr>
              <w:spacing w:before="40" w:after="40"/>
              <w:jc w:val="center"/>
              <w:rPr>
                <w:sz w:val="22"/>
                <w:szCs w:val="22"/>
              </w:rPr>
            </w:pPr>
            <w:r w:rsidRPr="00AB3C46">
              <w:rPr>
                <w:sz w:val="22"/>
                <w:szCs w:val="22"/>
              </w:rPr>
              <w:t>R2</w:t>
            </w:r>
          </w:p>
        </w:tc>
      </w:tr>
      <w:tr w:rsidR="008015D6" w:rsidRPr="00AB3C46" w14:paraId="727B524D" w14:textId="77777777" w:rsidTr="00092BEB">
        <w:trPr>
          <w:trHeight w:val="363"/>
        </w:trPr>
        <w:tc>
          <w:tcPr>
            <w:tcW w:w="4112" w:type="dxa"/>
            <w:tcBorders>
              <w:top w:val="single" w:sz="18" w:space="0" w:color="000000" w:themeColor="text1"/>
            </w:tcBorders>
            <w:tcMar>
              <w:top w:w="15" w:type="dxa"/>
              <w:left w:w="93" w:type="dxa"/>
              <w:bottom w:w="0" w:type="dxa"/>
              <w:right w:w="93" w:type="dxa"/>
            </w:tcMar>
            <w:vAlign w:val="center"/>
          </w:tcPr>
          <w:p w14:paraId="49AC15CD" w14:textId="77777777" w:rsidR="008015D6" w:rsidRPr="00AB3C46" w:rsidRDefault="008015D6" w:rsidP="00845DE7">
            <w:pPr>
              <w:spacing w:before="60"/>
              <w:rPr>
                <w:i/>
                <w:sz w:val="22"/>
                <w:szCs w:val="22"/>
              </w:rPr>
            </w:pPr>
          </w:p>
        </w:tc>
        <w:tc>
          <w:tcPr>
            <w:tcW w:w="2127" w:type="dxa"/>
            <w:gridSpan w:val="2"/>
            <w:tcBorders>
              <w:top w:val="single" w:sz="18" w:space="0" w:color="000000" w:themeColor="text1"/>
            </w:tcBorders>
            <w:tcMar>
              <w:top w:w="15" w:type="dxa"/>
              <w:left w:w="93" w:type="dxa"/>
              <w:bottom w:w="0" w:type="dxa"/>
              <w:right w:w="93" w:type="dxa"/>
            </w:tcMar>
            <w:vAlign w:val="center"/>
          </w:tcPr>
          <w:p w14:paraId="69CD388E" w14:textId="77777777" w:rsidR="008015D6" w:rsidRPr="00AB3C46" w:rsidRDefault="008015D6" w:rsidP="00845DE7">
            <w:pPr>
              <w:rPr>
                <w:sz w:val="22"/>
                <w:szCs w:val="22"/>
              </w:rPr>
            </w:pPr>
            <w:r w:rsidRPr="00AB3C46">
              <w:rPr>
                <w:sz w:val="22"/>
                <w:szCs w:val="22"/>
              </w:rPr>
              <w:t>Outcome: Social integration</w:t>
            </w:r>
          </w:p>
        </w:tc>
        <w:tc>
          <w:tcPr>
            <w:tcW w:w="708" w:type="dxa"/>
            <w:tcBorders>
              <w:top w:val="single" w:sz="18" w:space="0" w:color="000000" w:themeColor="text1"/>
            </w:tcBorders>
            <w:vAlign w:val="center"/>
          </w:tcPr>
          <w:p w14:paraId="00FF8CB0" w14:textId="77777777" w:rsidR="008015D6" w:rsidRPr="00AB3C46" w:rsidRDefault="008015D6" w:rsidP="00845DE7">
            <w:pPr>
              <w:jc w:val="center"/>
              <w:rPr>
                <w:sz w:val="22"/>
                <w:szCs w:val="22"/>
              </w:rPr>
            </w:pPr>
          </w:p>
        </w:tc>
        <w:tc>
          <w:tcPr>
            <w:tcW w:w="1418" w:type="dxa"/>
            <w:tcBorders>
              <w:top w:val="single" w:sz="18" w:space="0" w:color="000000" w:themeColor="text1"/>
            </w:tcBorders>
            <w:vAlign w:val="center"/>
          </w:tcPr>
          <w:p w14:paraId="66C4DB08" w14:textId="77777777" w:rsidR="008015D6" w:rsidRPr="00AB3C46" w:rsidRDefault="008015D6" w:rsidP="00845DE7">
            <w:pPr>
              <w:jc w:val="center"/>
              <w:rPr>
                <w:sz w:val="22"/>
                <w:szCs w:val="22"/>
              </w:rPr>
            </w:pPr>
          </w:p>
        </w:tc>
        <w:tc>
          <w:tcPr>
            <w:tcW w:w="425" w:type="dxa"/>
            <w:tcBorders>
              <w:top w:val="single" w:sz="18" w:space="0" w:color="000000" w:themeColor="text1"/>
            </w:tcBorders>
          </w:tcPr>
          <w:p w14:paraId="2913AA5C" w14:textId="77777777" w:rsidR="008015D6" w:rsidRPr="00AB3C46" w:rsidRDefault="008015D6" w:rsidP="00845DE7">
            <w:pPr>
              <w:spacing w:before="60"/>
              <w:jc w:val="center"/>
              <w:rPr>
                <w:sz w:val="22"/>
                <w:szCs w:val="22"/>
              </w:rPr>
            </w:pPr>
            <w:r w:rsidRPr="00AB3C46">
              <w:rPr>
                <w:sz w:val="22"/>
                <w:szCs w:val="22"/>
              </w:rPr>
              <w:t>.214</w:t>
            </w:r>
          </w:p>
        </w:tc>
      </w:tr>
      <w:tr w:rsidR="008015D6" w:rsidRPr="00AB3C46" w14:paraId="20F88B2B" w14:textId="77777777" w:rsidTr="00092BEB">
        <w:trPr>
          <w:trHeight w:val="273"/>
        </w:trPr>
        <w:tc>
          <w:tcPr>
            <w:tcW w:w="4112" w:type="dxa"/>
            <w:tcMar>
              <w:top w:w="15" w:type="dxa"/>
              <w:left w:w="93" w:type="dxa"/>
              <w:bottom w:w="0" w:type="dxa"/>
              <w:right w:w="93" w:type="dxa"/>
            </w:tcMar>
            <w:vAlign w:val="center"/>
          </w:tcPr>
          <w:p w14:paraId="00114DBC" w14:textId="77777777" w:rsidR="008015D6" w:rsidRPr="00AB3C46" w:rsidRDefault="008015D6" w:rsidP="00845DE7">
            <w:pPr>
              <w:spacing w:before="60"/>
              <w:rPr>
                <w:iCs/>
                <w:sz w:val="22"/>
                <w:szCs w:val="22"/>
              </w:rPr>
            </w:pPr>
          </w:p>
        </w:tc>
        <w:tc>
          <w:tcPr>
            <w:tcW w:w="851" w:type="dxa"/>
            <w:tcMar>
              <w:top w:w="15" w:type="dxa"/>
              <w:left w:w="93" w:type="dxa"/>
              <w:bottom w:w="0" w:type="dxa"/>
              <w:right w:w="93" w:type="dxa"/>
            </w:tcMar>
            <w:vAlign w:val="center"/>
          </w:tcPr>
          <w:p w14:paraId="32DFDF38" w14:textId="77777777" w:rsidR="008015D6" w:rsidRPr="00AB3C46" w:rsidRDefault="008015D6" w:rsidP="00845DE7">
            <w:pPr>
              <w:jc w:val="center"/>
              <w:rPr>
                <w:sz w:val="22"/>
                <w:szCs w:val="22"/>
              </w:rPr>
            </w:pPr>
            <w:r w:rsidRPr="00AB3C46">
              <w:rPr>
                <w:sz w:val="22"/>
                <w:szCs w:val="22"/>
              </w:rPr>
              <w:t>Coef.</w:t>
            </w:r>
          </w:p>
        </w:tc>
        <w:tc>
          <w:tcPr>
            <w:tcW w:w="1276" w:type="dxa"/>
            <w:vAlign w:val="center"/>
          </w:tcPr>
          <w:p w14:paraId="51832A7B" w14:textId="77777777" w:rsidR="008015D6" w:rsidRPr="00AB3C46" w:rsidRDefault="008015D6" w:rsidP="00845DE7">
            <w:pPr>
              <w:jc w:val="center"/>
              <w:rPr>
                <w:sz w:val="22"/>
                <w:szCs w:val="22"/>
              </w:rPr>
            </w:pPr>
            <w:r w:rsidRPr="00AB3C46">
              <w:rPr>
                <w:sz w:val="22"/>
                <w:szCs w:val="22"/>
              </w:rPr>
              <w:t>Standard error</w:t>
            </w:r>
          </w:p>
        </w:tc>
        <w:tc>
          <w:tcPr>
            <w:tcW w:w="708" w:type="dxa"/>
            <w:vAlign w:val="center"/>
          </w:tcPr>
          <w:p w14:paraId="30018E92" w14:textId="77777777" w:rsidR="008015D6" w:rsidRPr="00AB3C46" w:rsidRDefault="008015D6" w:rsidP="00845DE7">
            <w:pPr>
              <w:jc w:val="center"/>
              <w:rPr>
                <w:sz w:val="22"/>
                <w:szCs w:val="22"/>
              </w:rPr>
            </w:pPr>
            <w:r w:rsidRPr="00AB3C46">
              <w:rPr>
                <w:i/>
                <w:iCs/>
                <w:sz w:val="22"/>
                <w:szCs w:val="22"/>
              </w:rPr>
              <w:t>Z</w:t>
            </w:r>
          </w:p>
        </w:tc>
        <w:tc>
          <w:tcPr>
            <w:tcW w:w="1418" w:type="dxa"/>
            <w:vAlign w:val="center"/>
          </w:tcPr>
          <w:p w14:paraId="46C7415E" w14:textId="77777777" w:rsidR="008015D6" w:rsidRPr="00AB3C46" w:rsidRDefault="008015D6" w:rsidP="00845DE7">
            <w:pPr>
              <w:jc w:val="center"/>
              <w:rPr>
                <w:sz w:val="22"/>
                <w:szCs w:val="22"/>
              </w:rPr>
            </w:pPr>
            <w:r w:rsidRPr="00AB3C46">
              <w:rPr>
                <w:i/>
                <w:iCs/>
                <w:sz w:val="22"/>
                <w:szCs w:val="22"/>
              </w:rPr>
              <w:t>p</w:t>
            </w:r>
          </w:p>
        </w:tc>
        <w:tc>
          <w:tcPr>
            <w:tcW w:w="425" w:type="dxa"/>
          </w:tcPr>
          <w:p w14:paraId="6523942E" w14:textId="77777777" w:rsidR="008015D6" w:rsidRPr="00AB3C46" w:rsidRDefault="008015D6" w:rsidP="00845DE7">
            <w:pPr>
              <w:spacing w:before="60"/>
              <w:jc w:val="center"/>
              <w:rPr>
                <w:sz w:val="22"/>
                <w:szCs w:val="22"/>
              </w:rPr>
            </w:pPr>
          </w:p>
        </w:tc>
      </w:tr>
      <w:tr w:rsidR="008015D6" w:rsidRPr="00AB3C46" w14:paraId="52271421" w14:textId="77777777" w:rsidTr="00092BEB">
        <w:trPr>
          <w:trHeight w:val="349"/>
        </w:trPr>
        <w:tc>
          <w:tcPr>
            <w:tcW w:w="4112" w:type="dxa"/>
            <w:tcMar>
              <w:top w:w="15" w:type="dxa"/>
              <w:left w:w="93" w:type="dxa"/>
              <w:bottom w:w="0" w:type="dxa"/>
              <w:right w:w="93" w:type="dxa"/>
            </w:tcMar>
            <w:vAlign w:val="center"/>
          </w:tcPr>
          <w:p w14:paraId="79FFBE05" w14:textId="77777777" w:rsidR="008015D6" w:rsidRPr="00AB3C46" w:rsidRDefault="008015D6" w:rsidP="00845DE7">
            <w:pPr>
              <w:spacing w:before="60" w:after="60"/>
              <w:rPr>
                <w:sz w:val="22"/>
                <w:szCs w:val="22"/>
              </w:rPr>
            </w:pPr>
            <w:r w:rsidRPr="00AB3C46">
              <w:rPr>
                <w:sz w:val="22"/>
                <w:szCs w:val="22"/>
              </w:rPr>
              <w:t>Perception of social inequalities</w:t>
            </w:r>
          </w:p>
        </w:tc>
        <w:tc>
          <w:tcPr>
            <w:tcW w:w="851" w:type="dxa"/>
            <w:tcMar>
              <w:top w:w="15" w:type="dxa"/>
              <w:left w:w="93" w:type="dxa"/>
              <w:bottom w:w="0" w:type="dxa"/>
              <w:right w:w="93" w:type="dxa"/>
            </w:tcMar>
            <w:vAlign w:val="center"/>
          </w:tcPr>
          <w:p w14:paraId="6329B801" w14:textId="77777777" w:rsidR="008015D6" w:rsidRPr="00AB3C46" w:rsidRDefault="008015D6" w:rsidP="00845DE7">
            <w:pPr>
              <w:spacing w:before="60" w:after="60"/>
              <w:jc w:val="center"/>
              <w:rPr>
                <w:sz w:val="22"/>
                <w:szCs w:val="22"/>
              </w:rPr>
            </w:pPr>
            <w:r w:rsidRPr="00AB3C46">
              <w:rPr>
                <w:sz w:val="22"/>
                <w:szCs w:val="22"/>
              </w:rPr>
              <w:t>-0.065</w:t>
            </w:r>
          </w:p>
        </w:tc>
        <w:tc>
          <w:tcPr>
            <w:tcW w:w="1276" w:type="dxa"/>
            <w:vAlign w:val="center"/>
          </w:tcPr>
          <w:p w14:paraId="5284F7AC" w14:textId="77777777" w:rsidR="008015D6" w:rsidRPr="00AB3C46" w:rsidRDefault="008015D6" w:rsidP="00845DE7">
            <w:pPr>
              <w:spacing w:before="60" w:after="60"/>
              <w:jc w:val="center"/>
              <w:rPr>
                <w:sz w:val="22"/>
                <w:szCs w:val="22"/>
              </w:rPr>
            </w:pPr>
            <w:r w:rsidRPr="00AB3C46">
              <w:rPr>
                <w:sz w:val="22"/>
                <w:szCs w:val="22"/>
              </w:rPr>
              <w:t>0.024</w:t>
            </w:r>
          </w:p>
        </w:tc>
        <w:tc>
          <w:tcPr>
            <w:tcW w:w="708" w:type="dxa"/>
            <w:vAlign w:val="center"/>
          </w:tcPr>
          <w:p w14:paraId="521E5E3F" w14:textId="77777777" w:rsidR="008015D6" w:rsidRPr="00AB3C46" w:rsidRDefault="008015D6" w:rsidP="00845DE7">
            <w:pPr>
              <w:tabs>
                <w:tab w:val="decimal" w:pos="425"/>
              </w:tabs>
              <w:spacing w:before="60" w:after="60"/>
              <w:jc w:val="center"/>
              <w:rPr>
                <w:sz w:val="22"/>
                <w:szCs w:val="22"/>
              </w:rPr>
            </w:pPr>
            <w:r w:rsidRPr="00AB3C46">
              <w:rPr>
                <w:sz w:val="22"/>
                <w:szCs w:val="22"/>
              </w:rPr>
              <w:t>-2.705</w:t>
            </w:r>
          </w:p>
        </w:tc>
        <w:tc>
          <w:tcPr>
            <w:tcW w:w="1418" w:type="dxa"/>
            <w:vAlign w:val="center"/>
          </w:tcPr>
          <w:p w14:paraId="72126BC7" w14:textId="77777777" w:rsidR="008015D6" w:rsidRPr="00AB3C46" w:rsidRDefault="008015D6" w:rsidP="00845DE7">
            <w:pPr>
              <w:spacing w:before="60" w:after="60"/>
              <w:jc w:val="center"/>
              <w:rPr>
                <w:sz w:val="22"/>
                <w:szCs w:val="22"/>
              </w:rPr>
            </w:pPr>
            <w:r w:rsidRPr="00AB3C46">
              <w:rPr>
                <w:sz w:val="22"/>
                <w:szCs w:val="22"/>
              </w:rPr>
              <w:t>.007</w:t>
            </w:r>
          </w:p>
        </w:tc>
        <w:tc>
          <w:tcPr>
            <w:tcW w:w="425" w:type="dxa"/>
          </w:tcPr>
          <w:p w14:paraId="47BDA9C7" w14:textId="77777777" w:rsidR="008015D6" w:rsidRPr="00AB3C46" w:rsidRDefault="008015D6" w:rsidP="00845DE7">
            <w:pPr>
              <w:spacing w:before="60" w:after="60"/>
              <w:jc w:val="center"/>
              <w:rPr>
                <w:sz w:val="22"/>
                <w:szCs w:val="22"/>
              </w:rPr>
            </w:pPr>
          </w:p>
        </w:tc>
      </w:tr>
      <w:tr w:rsidR="008015D6" w:rsidRPr="00AB3C46" w14:paraId="62E1181E" w14:textId="77777777" w:rsidTr="00092BEB">
        <w:trPr>
          <w:trHeight w:val="349"/>
        </w:trPr>
        <w:tc>
          <w:tcPr>
            <w:tcW w:w="4112" w:type="dxa"/>
            <w:tcMar>
              <w:top w:w="15" w:type="dxa"/>
              <w:left w:w="93" w:type="dxa"/>
              <w:bottom w:w="0" w:type="dxa"/>
              <w:right w:w="93" w:type="dxa"/>
            </w:tcMar>
            <w:vAlign w:val="center"/>
          </w:tcPr>
          <w:p w14:paraId="403C11DA" w14:textId="77777777" w:rsidR="008015D6" w:rsidRPr="00AB3C46" w:rsidRDefault="008015D6" w:rsidP="00845DE7">
            <w:pPr>
              <w:spacing w:before="60" w:after="60"/>
              <w:rPr>
                <w:sz w:val="22"/>
                <w:szCs w:val="22"/>
              </w:rPr>
            </w:pPr>
            <w:r w:rsidRPr="00AB3C46">
              <w:rPr>
                <w:sz w:val="22"/>
                <w:szCs w:val="22"/>
              </w:rPr>
              <w:t>Subjective well-being</w:t>
            </w:r>
          </w:p>
        </w:tc>
        <w:tc>
          <w:tcPr>
            <w:tcW w:w="851" w:type="dxa"/>
            <w:tcMar>
              <w:top w:w="15" w:type="dxa"/>
              <w:left w:w="93" w:type="dxa"/>
              <w:bottom w:w="0" w:type="dxa"/>
              <w:right w:w="93" w:type="dxa"/>
            </w:tcMar>
            <w:vAlign w:val="center"/>
          </w:tcPr>
          <w:p w14:paraId="5B85A632" w14:textId="77777777" w:rsidR="008015D6" w:rsidRPr="00AB3C46" w:rsidRDefault="008015D6" w:rsidP="00845DE7">
            <w:pPr>
              <w:spacing w:before="60" w:after="60"/>
              <w:jc w:val="center"/>
              <w:rPr>
                <w:sz w:val="22"/>
                <w:szCs w:val="22"/>
              </w:rPr>
            </w:pPr>
            <w:r w:rsidRPr="00AB3C46">
              <w:rPr>
                <w:sz w:val="22"/>
                <w:szCs w:val="22"/>
              </w:rPr>
              <w:t>0.393</w:t>
            </w:r>
          </w:p>
        </w:tc>
        <w:tc>
          <w:tcPr>
            <w:tcW w:w="1276" w:type="dxa"/>
            <w:vAlign w:val="center"/>
          </w:tcPr>
          <w:p w14:paraId="3145A960" w14:textId="77777777" w:rsidR="008015D6" w:rsidRPr="00AB3C46" w:rsidRDefault="008015D6" w:rsidP="00845DE7">
            <w:pPr>
              <w:spacing w:before="60" w:after="60"/>
              <w:jc w:val="center"/>
              <w:rPr>
                <w:sz w:val="22"/>
                <w:szCs w:val="22"/>
              </w:rPr>
            </w:pPr>
            <w:r w:rsidRPr="00AB3C46">
              <w:rPr>
                <w:sz w:val="22"/>
                <w:szCs w:val="22"/>
              </w:rPr>
              <w:t>0.018</w:t>
            </w:r>
          </w:p>
        </w:tc>
        <w:tc>
          <w:tcPr>
            <w:tcW w:w="708" w:type="dxa"/>
            <w:vAlign w:val="center"/>
          </w:tcPr>
          <w:p w14:paraId="587FA037" w14:textId="77777777" w:rsidR="008015D6" w:rsidRPr="00AB3C46" w:rsidRDefault="008015D6" w:rsidP="00845DE7">
            <w:pPr>
              <w:tabs>
                <w:tab w:val="decimal" w:pos="425"/>
              </w:tabs>
              <w:spacing w:before="60" w:after="60"/>
              <w:jc w:val="center"/>
              <w:rPr>
                <w:sz w:val="22"/>
                <w:szCs w:val="22"/>
              </w:rPr>
            </w:pPr>
            <w:r w:rsidRPr="00AB3C46">
              <w:rPr>
                <w:sz w:val="22"/>
                <w:szCs w:val="22"/>
              </w:rPr>
              <w:t>21.499</w:t>
            </w:r>
          </w:p>
        </w:tc>
        <w:tc>
          <w:tcPr>
            <w:tcW w:w="1418" w:type="dxa"/>
            <w:vAlign w:val="center"/>
          </w:tcPr>
          <w:p w14:paraId="33323DBD" w14:textId="77777777" w:rsidR="008015D6" w:rsidRPr="00AB3C46" w:rsidRDefault="008015D6" w:rsidP="00845DE7">
            <w:pPr>
              <w:spacing w:before="60" w:after="60"/>
              <w:jc w:val="center"/>
              <w:rPr>
                <w:sz w:val="22"/>
                <w:szCs w:val="22"/>
              </w:rPr>
            </w:pPr>
            <w:r w:rsidRPr="00AB3C46">
              <w:rPr>
                <w:sz w:val="22"/>
                <w:szCs w:val="22"/>
              </w:rPr>
              <w:t>&lt;.001</w:t>
            </w:r>
          </w:p>
        </w:tc>
        <w:tc>
          <w:tcPr>
            <w:tcW w:w="425" w:type="dxa"/>
          </w:tcPr>
          <w:p w14:paraId="29775ABF" w14:textId="77777777" w:rsidR="008015D6" w:rsidRPr="00AB3C46" w:rsidRDefault="008015D6" w:rsidP="00845DE7">
            <w:pPr>
              <w:spacing w:before="60" w:after="60"/>
              <w:jc w:val="center"/>
              <w:rPr>
                <w:sz w:val="22"/>
                <w:szCs w:val="22"/>
              </w:rPr>
            </w:pPr>
          </w:p>
        </w:tc>
      </w:tr>
      <w:tr w:rsidR="008015D6" w:rsidRPr="00AB3C46" w14:paraId="15225FC6" w14:textId="77777777" w:rsidTr="00092BEB">
        <w:trPr>
          <w:trHeight w:val="514"/>
        </w:trPr>
        <w:tc>
          <w:tcPr>
            <w:tcW w:w="4112" w:type="dxa"/>
            <w:tcBorders>
              <w:bottom w:val="single" w:sz="18" w:space="0" w:color="000000" w:themeColor="text1"/>
            </w:tcBorders>
            <w:tcMar>
              <w:top w:w="15" w:type="dxa"/>
              <w:left w:w="93" w:type="dxa"/>
              <w:bottom w:w="0" w:type="dxa"/>
              <w:right w:w="93" w:type="dxa"/>
            </w:tcMar>
            <w:vAlign w:val="center"/>
          </w:tcPr>
          <w:p w14:paraId="706722B8" w14:textId="77777777" w:rsidR="008015D6" w:rsidRPr="00AB3C46" w:rsidRDefault="008015D6" w:rsidP="00845DE7">
            <w:pPr>
              <w:spacing w:before="60" w:after="60"/>
              <w:rPr>
                <w:sz w:val="22"/>
                <w:szCs w:val="22"/>
              </w:rPr>
            </w:pPr>
            <w:r w:rsidRPr="00AB3C46">
              <w:rPr>
                <w:sz w:val="22"/>
                <w:szCs w:val="22"/>
              </w:rPr>
              <w:t xml:space="preserve">Perception of social inequalities </w:t>
            </w:r>
            <w:r w:rsidRPr="00AB3C46">
              <w:rPr>
                <w:color w:val="000000"/>
                <w:sz w:val="22"/>
                <w:szCs w:val="22"/>
              </w:rPr>
              <w:t>*</w:t>
            </w:r>
            <w:r w:rsidRPr="00AB3C46">
              <w:rPr>
                <w:sz w:val="22"/>
                <w:szCs w:val="22"/>
              </w:rPr>
              <w:t xml:space="preserve"> Subjective well-being</w:t>
            </w:r>
          </w:p>
        </w:tc>
        <w:tc>
          <w:tcPr>
            <w:tcW w:w="851" w:type="dxa"/>
            <w:tcBorders>
              <w:bottom w:val="single" w:sz="18" w:space="0" w:color="000000" w:themeColor="text1"/>
            </w:tcBorders>
            <w:tcMar>
              <w:top w:w="15" w:type="dxa"/>
              <w:left w:w="93" w:type="dxa"/>
              <w:bottom w:w="0" w:type="dxa"/>
              <w:right w:w="93" w:type="dxa"/>
            </w:tcMar>
            <w:vAlign w:val="center"/>
          </w:tcPr>
          <w:p w14:paraId="3FABD54B" w14:textId="77777777" w:rsidR="008015D6" w:rsidRPr="00AB3C46" w:rsidRDefault="008015D6" w:rsidP="00845DE7">
            <w:pPr>
              <w:spacing w:before="60" w:after="60"/>
              <w:jc w:val="center"/>
              <w:rPr>
                <w:sz w:val="22"/>
                <w:szCs w:val="22"/>
              </w:rPr>
            </w:pPr>
            <w:r w:rsidRPr="00AB3C46">
              <w:rPr>
                <w:sz w:val="22"/>
                <w:szCs w:val="22"/>
              </w:rPr>
              <w:t>0.072</w:t>
            </w:r>
          </w:p>
        </w:tc>
        <w:tc>
          <w:tcPr>
            <w:tcW w:w="1276" w:type="dxa"/>
            <w:tcBorders>
              <w:bottom w:val="single" w:sz="18" w:space="0" w:color="000000" w:themeColor="text1"/>
            </w:tcBorders>
            <w:vAlign w:val="center"/>
          </w:tcPr>
          <w:p w14:paraId="3E228007" w14:textId="77777777" w:rsidR="008015D6" w:rsidRPr="00AB3C46" w:rsidRDefault="008015D6" w:rsidP="00845DE7">
            <w:pPr>
              <w:spacing w:before="60" w:after="60"/>
              <w:jc w:val="center"/>
              <w:rPr>
                <w:sz w:val="22"/>
                <w:szCs w:val="22"/>
              </w:rPr>
            </w:pPr>
            <w:r w:rsidRPr="00AB3C46">
              <w:rPr>
                <w:sz w:val="22"/>
                <w:szCs w:val="22"/>
              </w:rPr>
              <w:t>0.025</w:t>
            </w:r>
          </w:p>
        </w:tc>
        <w:tc>
          <w:tcPr>
            <w:tcW w:w="708" w:type="dxa"/>
            <w:tcBorders>
              <w:bottom w:val="single" w:sz="18" w:space="0" w:color="000000" w:themeColor="text1"/>
            </w:tcBorders>
            <w:vAlign w:val="center"/>
          </w:tcPr>
          <w:p w14:paraId="4C9667F4" w14:textId="77777777" w:rsidR="008015D6" w:rsidRPr="00AB3C46" w:rsidRDefault="008015D6" w:rsidP="00845DE7">
            <w:pPr>
              <w:tabs>
                <w:tab w:val="decimal" w:pos="425"/>
              </w:tabs>
              <w:spacing w:before="60" w:after="60"/>
              <w:jc w:val="center"/>
              <w:rPr>
                <w:sz w:val="22"/>
                <w:szCs w:val="22"/>
              </w:rPr>
            </w:pPr>
            <w:r w:rsidRPr="00AB3C46">
              <w:rPr>
                <w:sz w:val="22"/>
                <w:szCs w:val="22"/>
              </w:rPr>
              <w:t>2.891</w:t>
            </w:r>
          </w:p>
        </w:tc>
        <w:tc>
          <w:tcPr>
            <w:tcW w:w="1418" w:type="dxa"/>
            <w:tcBorders>
              <w:bottom w:val="single" w:sz="18" w:space="0" w:color="000000" w:themeColor="text1"/>
            </w:tcBorders>
            <w:vAlign w:val="center"/>
          </w:tcPr>
          <w:p w14:paraId="411EEC8F" w14:textId="77777777" w:rsidR="008015D6" w:rsidRPr="00AB3C46" w:rsidRDefault="008015D6" w:rsidP="00845DE7">
            <w:pPr>
              <w:spacing w:before="60" w:after="60"/>
              <w:jc w:val="center"/>
              <w:rPr>
                <w:sz w:val="22"/>
                <w:szCs w:val="22"/>
              </w:rPr>
            </w:pPr>
            <w:r w:rsidRPr="00AB3C46">
              <w:rPr>
                <w:sz w:val="22"/>
                <w:szCs w:val="22"/>
              </w:rPr>
              <w:t>.004</w:t>
            </w:r>
          </w:p>
        </w:tc>
        <w:tc>
          <w:tcPr>
            <w:tcW w:w="425" w:type="dxa"/>
          </w:tcPr>
          <w:p w14:paraId="5A65F986" w14:textId="77777777" w:rsidR="008015D6" w:rsidRPr="00AB3C46" w:rsidRDefault="008015D6" w:rsidP="00845DE7">
            <w:pPr>
              <w:spacing w:before="60" w:after="60"/>
              <w:jc w:val="center"/>
              <w:rPr>
                <w:sz w:val="22"/>
                <w:szCs w:val="22"/>
              </w:rPr>
            </w:pPr>
          </w:p>
        </w:tc>
      </w:tr>
      <w:tr w:rsidR="008015D6" w:rsidRPr="00AB3C46" w14:paraId="20C832C5" w14:textId="77777777" w:rsidTr="00092BEB">
        <w:trPr>
          <w:trHeight w:val="165"/>
        </w:trPr>
        <w:tc>
          <w:tcPr>
            <w:tcW w:w="8790" w:type="dxa"/>
            <w:gridSpan w:val="6"/>
            <w:tcBorders>
              <w:top w:val="single" w:sz="18" w:space="0" w:color="000000" w:themeColor="text1"/>
            </w:tcBorders>
            <w:tcMar>
              <w:top w:w="15" w:type="dxa"/>
              <w:left w:w="93" w:type="dxa"/>
              <w:bottom w:w="0" w:type="dxa"/>
              <w:right w:w="93" w:type="dxa"/>
            </w:tcMar>
            <w:vAlign w:val="center"/>
          </w:tcPr>
          <w:p w14:paraId="62C0FD74" w14:textId="77777777" w:rsidR="008015D6" w:rsidRPr="00AB3C46" w:rsidRDefault="008015D6" w:rsidP="00092BEB">
            <w:pPr>
              <w:rPr>
                <w:sz w:val="22"/>
                <w:szCs w:val="22"/>
              </w:rPr>
            </w:pPr>
            <w:r w:rsidRPr="00AB3C46">
              <w:rPr>
                <w:sz w:val="22"/>
                <w:szCs w:val="22"/>
              </w:rPr>
              <w:t>Note: Valid N = 1712. Non-standardized regression coefficients are reported.</w:t>
            </w:r>
          </w:p>
        </w:tc>
      </w:tr>
    </w:tbl>
    <w:p w14:paraId="3B506B0F" w14:textId="77777777" w:rsidR="008015D6" w:rsidRPr="008015D6" w:rsidRDefault="008015D6" w:rsidP="008015D6">
      <w:pPr>
        <w:spacing w:line="360" w:lineRule="auto"/>
        <w:jc w:val="both"/>
        <w:rPr>
          <w:color w:val="000000"/>
        </w:rPr>
      </w:pPr>
      <w:r w:rsidRPr="008015D6">
        <w:rPr>
          <w:sz w:val="18"/>
          <w:szCs w:val="18"/>
        </w:rPr>
        <w:t>Source: ISSP Round 2017 (GESIS, 2019). Own calculations.</w:t>
      </w:r>
    </w:p>
    <w:p w14:paraId="172800D5" w14:textId="77777777" w:rsidR="008015D6" w:rsidRPr="008015D6" w:rsidRDefault="008015D6" w:rsidP="00092BEB">
      <w:pPr>
        <w:spacing w:before="100" w:beforeAutospacing="1" w:line="360" w:lineRule="auto"/>
        <w:ind w:firstLine="720"/>
        <w:jc w:val="both"/>
        <w:rPr>
          <w:color w:val="000000"/>
        </w:rPr>
      </w:pPr>
      <w:r w:rsidRPr="008015D6">
        <w:rPr>
          <w:color w:val="000000"/>
        </w:rPr>
        <w:t xml:space="preserve">For H2, Figure 1 graphically represents the moderating effect of subjective well-being on the relationship between the perception of social inequalities and social integration. To clarify this interaction, we analyzed the simple slopes of the perception of inequalities at three representative </w:t>
      </w:r>
      <w:r w:rsidRPr="008015D6">
        <w:rPr>
          <w:color w:val="000000"/>
        </w:rPr>
        <w:lastRenderedPageBreak/>
        <w:t>levels of subjective well-being: low (3.211; -1 standard deviation), medium (4.179; average), and high (5.147; +1 standard deviation).</w:t>
      </w:r>
    </w:p>
    <w:p w14:paraId="74B4B1CF" w14:textId="77777777" w:rsidR="008015D6" w:rsidRPr="008015D6" w:rsidRDefault="008015D6" w:rsidP="00092BEB">
      <w:pPr>
        <w:spacing w:line="360" w:lineRule="auto"/>
        <w:ind w:firstLine="720"/>
        <w:jc w:val="both"/>
        <w:rPr>
          <w:color w:val="000000"/>
        </w:rPr>
      </w:pPr>
      <w:r w:rsidRPr="008015D6">
        <w:rPr>
          <w:color w:val="000000"/>
        </w:rPr>
        <w:t>The results show that, for individuals with low levels of subjective well-being (continuous line), the perception of social inequalities is significantly associated with lower social integration (B = -0.150, p &lt; 0.001). At the mean level of subjective well-being (dashed line), the observed slope is slightly negative, but does not reach statistical significance (B = -0.042, p = 0.094), suggesting only a trend. For individuals with higher levels of subjective well-being (dotted line), the effect of the perception of inequalities on social integration is practically nil and not significant (B = -0.006, p = 0.844).</w:t>
      </w:r>
    </w:p>
    <w:p w14:paraId="2EBE910D" w14:textId="773EEAC2" w:rsidR="008015D6" w:rsidRPr="008015D6" w:rsidRDefault="008015D6" w:rsidP="00AB3C46">
      <w:pPr>
        <w:spacing w:line="360" w:lineRule="auto"/>
        <w:ind w:firstLine="720"/>
        <w:jc w:val="both"/>
        <w:rPr>
          <w:color w:val="000000"/>
        </w:rPr>
      </w:pPr>
      <w:r w:rsidRPr="008015D6">
        <w:rPr>
          <w:color w:val="000000"/>
        </w:rPr>
        <w:t xml:space="preserve">These results suggest that subjective well-being acts as a relevant moderator in this relationship, attenuating the negative impact of the perception of social inequalities on social integration. In particular, the perception of inequalities compromises more strongly the social integration of those who experience higher levels of psychological distress or lower subjective well-being. In contrast, individuals with higher well-being are less sensitive to the social effects of perceived inequalities. </w:t>
      </w:r>
    </w:p>
    <w:p w14:paraId="439CD041" w14:textId="77777777" w:rsidR="00092BEB" w:rsidRDefault="008015D6" w:rsidP="00092BEB">
      <w:pPr>
        <w:rPr>
          <w:b/>
          <w:bCs/>
          <w:color w:val="000000"/>
          <w:sz w:val="22"/>
          <w:szCs w:val="22"/>
        </w:rPr>
      </w:pPr>
      <w:r w:rsidRPr="008015D6">
        <w:rPr>
          <w:b/>
          <w:bCs/>
          <w:color w:val="000000"/>
          <w:sz w:val="22"/>
          <w:szCs w:val="22"/>
        </w:rPr>
        <w:t>Figure 1</w:t>
      </w:r>
    </w:p>
    <w:p w14:paraId="5FCF5EBC" w14:textId="1638DD6F" w:rsidR="008015D6" w:rsidRPr="00092BEB" w:rsidRDefault="008015D6" w:rsidP="00092BEB">
      <w:pPr>
        <w:rPr>
          <w:i/>
          <w:iCs/>
          <w:color w:val="000000"/>
          <w:sz w:val="22"/>
          <w:szCs w:val="22"/>
        </w:rPr>
      </w:pPr>
      <w:r w:rsidRPr="00092BEB">
        <w:rPr>
          <w:i/>
          <w:iCs/>
          <w:color w:val="000000"/>
          <w:sz w:val="22"/>
          <w:szCs w:val="22"/>
        </w:rPr>
        <w:t>Moderation of subjective well-being in the relationship between perception of social inequalities and social integration.</w:t>
      </w:r>
    </w:p>
    <w:p w14:paraId="31724949" w14:textId="77777777" w:rsidR="008015D6" w:rsidRPr="008015D6" w:rsidRDefault="008015D6" w:rsidP="008015D6">
      <w:pPr>
        <w:spacing w:before="100" w:beforeAutospacing="1"/>
        <w:jc w:val="both"/>
        <w:rPr>
          <w:color w:val="000000"/>
          <w:lang w:val="pt-PT"/>
        </w:rPr>
      </w:pPr>
      <w:r w:rsidRPr="008015D6">
        <w:rPr>
          <w:noProof/>
          <w:color w:val="000000"/>
          <w:lang w:val="pt-PT"/>
        </w:rPr>
        <w:drawing>
          <wp:inline distT="0" distB="0" distL="0" distR="0" wp14:anchorId="11638744" wp14:editId="7260567E">
            <wp:extent cx="5731510" cy="3190672"/>
            <wp:effectExtent l="0" t="0" r="0" b="0"/>
            <wp:docPr id="196129699" name="Picture 1" descr="A graph of a person's relationsh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9699" name="Picture 1" descr="A graph of a person's relationship&#10;&#10;AI-generated content may be incorrect."/>
                    <pic:cNvPicPr/>
                  </pic:nvPicPr>
                  <pic:blipFill>
                    <a:blip r:embed="rId10"/>
                    <a:stretch>
                      <a:fillRect/>
                    </a:stretch>
                  </pic:blipFill>
                  <pic:spPr>
                    <a:xfrm>
                      <a:off x="0" y="0"/>
                      <a:ext cx="5731510" cy="3190672"/>
                    </a:xfrm>
                    <a:prstGeom prst="rect">
                      <a:avLst/>
                    </a:prstGeom>
                  </pic:spPr>
                </pic:pic>
              </a:graphicData>
            </a:graphic>
          </wp:inline>
        </w:drawing>
      </w:r>
    </w:p>
    <w:bookmarkEnd w:id="0"/>
    <w:p w14:paraId="08723A15" w14:textId="77777777" w:rsidR="008015D6" w:rsidRPr="008015D6" w:rsidRDefault="008015D6" w:rsidP="008015D6">
      <w:pPr>
        <w:spacing w:after="240"/>
        <w:rPr>
          <w:color w:val="000000"/>
          <w:sz w:val="22"/>
          <w:szCs w:val="22"/>
        </w:rPr>
      </w:pPr>
      <w:r w:rsidRPr="008015D6">
        <w:rPr>
          <w:sz w:val="18"/>
          <w:szCs w:val="18"/>
        </w:rPr>
        <w:t>Source: ISSP Round 2017 (GESIS, 2019). Own calculations</w:t>
      </w:r>
    </w:p>
    <w:p w14:paraId="212AF2D3" w14:textId="77777777" w:rsidR="008015D6" w:rsidRPr="008015D6" w:rsidRDefault="008015D6" w:rsidP="00AB3C46">
      <w:pPr>
        <w:spacing w:line="360" w:lineRule="auto"/>
        <w:ind w:left="425"/>
        <w:rPr>
          <w:color w:val="000000"/>
          <w:sz w:val="22"/>
          <w:szCs w:val="22"/>
        </w:rPr>
      </w:pPr>
    </w:p>
    <w:p w14:paraId="07B24F2A" w14:textId="77777777" w:rsidR="008015D6" w:rsidRPr="008015D6" w:rsidRDefault="008015D6" w:rsidP="00AB3C46">
      <w:pPr>
        <w:spacing w:line="360" w:lineRule="auto"/>
        <w:ind w:firstLine="720"/>
        <w:jc w:val="both"/>
        <w:rPr>
          <w:color w:val="000000"/>
        </w:rPr>
      </w:pPr>
      <w:r w:rsidRPr="008015D6">
        <w:rPr>
          <w:color w:val="000000"/>
        </w:rPr>
        <w:t xml:space="preserve">Hypothesis 3 (H3) – see Table 4, which proposed a positive association between social support on social networks and subjective well-being, </w:t>
      </w:r>
      <w:r w:rsidRPr="00AB3C46">
        <w:rPr>
          <w:rStyle w:val="Strong"/>
          <w:rFonts w:eastAsiaTheme="majorEastAsia"/>
          <w:b w:val="0"/>
          <w:bCs w:val="0"/>
          <w:color w:val="000000"/>
        </w:rPr>
        <w:t>was not supported based on the</w:t>
      </w:r>
      <w:r w:rsidRPr="008015D6">
        <w:rPr>
          <w:rStyle w:val="Strong"/>
          <w:rFonts w:eastAsiaTheme="majorEastAsia"/>
          <w:color w:val="000000"/>
        </w:rPr>
        <w:t xml:space="preserve"> </w:t>
      </w:r>
      <w:r w:rsidRPr="008015D6">
        <w:rPr>
          <w:color w:val="000000"/>
        </w:rPr>
        <w:t xml:space="preserve">direct effect (B = 0.003; </w:t>
      </w:r>
      <w:r w:rsidRPr="008015D6">
        <w:rPr>
          <w:rStyle w:val="Emphasis"/>
          <w:rFonts w:eastAsiaTheme="majorEastAsia"/>
          <w:color w:val="000000"/>
        </w:rPr>
        <w:t xml:space="preserve">p </w:t>
      </w:r>
      <w:r w:rsidRPr="008015D6">
        <w:rPr>
          <w:color w:val="000000"/>
        </w:rPr>
        <w:t xml:space="preserve">= 0.874), which was not statistically significant. However, the relationship between the predictor and the outcome has a total effect.  However, Hypothesis 4 (H4), which provided for the mediation of this relationship by social integration, </w:t>
      </w:r>
      <w:r w:rsidRPr="00AB3C46">
        <w:rPr>
          <w:rStyle w:val="Strong"/>
          <w:rFonts w:eastAsiaTheme="majorEastAsia"/>
          <w:b w:val="0"/>
          <w:bCs w:val="0"/>
          <w:color w:val="000000"/>
        </w:rPr>
        <w:t>was sustained</w:t>
      </w:r>
      <w:r w:rsidRPr="008015D6">
        <w:rPr>
          <w:color w:val="000000"/>
        </w:rPr>
        <w:t xml:space="preserve">. Social support is positively associated with social integration (B = 0.080; </w:t>
      </w:r>
      <w:r w:rsidRPr="008015D6">
        <w:rPr>
          <w:rStyle w:val="Emphasis"/>
          <w:rFonts w:eastAsiaTheme="majorEastAsia"/>
          <w:color w:val="000000"/>
        </w:rPr>
        <w:t xml:space="preserve">p </w:t>
      </w:r>
      <w:r w:rsidRPr="008015D6">
        <w:rPr>
          <w:color w:val="000000"/>
        </w:rPr>
        <w:t xml:space="preserve">&lt; 0.001), and social integration, in turn, is negatively related to subjective well-being (B = -0.537; </w:t>
      </w:r>
      <w:r w:rsidRPr="008015D6">
        <w:rPr>
          <w:rStyle w:val="Emphasis"/>
          <w:rFonts w:eastAsiaTheme="majorEastAsia"/>
          <w:color w:val="000000"/>
        </w:rPr>
        <w:t xml:space="preserve">p </w:t>
      </w:r>
      <w:r w:rsidRPr="008015D6">
        <w:rPr>
          <w:color w:val="000000"/>
        </w:rPr>
        <w:t>&lt; 0.001). This chain of relationships suggests that greater social support contributes to greater social integration, which is associated with lower levels of psychological distress (subjective well-being).</w:t>
      </w:r>
    </w:p>
    <w:p w14:paraId="5E93AECF" w14:textId="77777777" w:rsidR="008015D6" w:rsidRPr="008015D6" w:rsidRDefault="008015D6" w:rsidP="00AB3C46">
      <w:pPr>
        <w:spacing w:line="360" w:lineRule="auto"/>
        <w:ind w:firstLine="720"/>
        <w:jc w:val="both"/>
        <w:rPr>
          <w:color w:val="000000"/>
        </w:rPr>
      </w:pPr>
      <w:r w:rsidRPr="008015D6">
        <w:rPr>
          <w:color w:val="000000"/>
        </w:rPr>
        <w:t xml:space="preserve">The indirect effect was significant (B = -0.043; 95% CI [LI = -0.068; LS = -0.018]), with the limits of the confidence interval </w:t>
      </w:r>
      <w:r w:rsidRPr="00AB3C46">
        <w:rPr>
          <w:rStyle w:val="Strong"/>
          <w:rFonts w:eastAsiaTheme="majorEastAsia"/>
          <w:b w:val="0"/>
          <w:bCs w:val="0"/>
          <w:color w:val="000000"/>
        </w:rPr>
        <w:t>not including the value zero</w:t>
      </w:r>
      <w:r w:rsidRPr="008015D6">
        <w:rPr>
          <w:color w:val="000000"/>
        </w:rPr>
        <w:t xml:space="preserve">, indicating a strong mediating effect. Although the total impact (B = -0.040; </w:t>
      </w:r>
      <w:r w:rsidRPr="008015D6">
        <w:rPr>
          <w:rStyle w:val="Emphasis"/>
          <w:rFonts w:eastAsiaTheme="majorEastAsia"/>
          <w:color w:val="000000"/>
        </w:rPr>
        <w:t xml:space="preserve">p </w:t>
      </w:r>
      <w:r w:rsidRPr="008015D6">
        <w:rPr>
          <w:color w:val="000000"/>
        </w:rPr>
        <w:t>= 0.069) has not reached conventional significance (</w:t>
      </w:r>
      <w:r w:rsidRPr="008015D6">
        <w:rPr>
          <w:rStyle w:val="Emphasis"/>
          <w:rFonts w:eastAsiaTheme="majorEastAsia"/>
          <w:color w:val="000000"/>
        </w:rPr>
        <w:t xml:space="preserve">p </w:t>
      </w:r>
      <w:r w:rsidRPr="008015D6">
        <w:rPr>
          <w:color w:val="000000"/>
        </w:rPr>
        <w:t>&gt; 0.05), in the absence of a direct effect, the significant indirect effect occurs exclusively through the mediating variable (social integration).</w:t>
      </w:r>
    </w:p>
    <w:p w14:paraId="62A63003" w14:textId="77777777" w:rsidR="008015D6" w:rsidRPr="008015D6" w:rsidRDefault="008015D6" w:rsidP="00AB3C46">
      <w:pPr>
        <w:spacing w:line="360" w:lineRule="auto"/>
        <w:ind w:firstLine="720"/>
        <w:jc w:val="both"/>
        <w:rPr>
          <w:color w:val="000000"/>
        </w:rPr>
      </w:pPr>
      <w:r w:rsidRPr="008015D6">
        <w:rPr>
          <w:color w:val="000000"/>
        </w:rPr>
        <w:t>The coefficient of determination (R²) reveals that 20.8% of the variance in subjective well-being and 1.1% of the variance in social integration are explained by the model, suggesting modest but statistically relevant effects.</w:t>
      </w:r>
    </w:p>
    <w:p w14:paraId="60A46F63" w14:textId="77777777" w:rsidR="00AB3C46" w:rsidRPr="00AB3C46" w:rsidRDefault="008015D6" w:rsidP="00AB3C46">
      <w:pPr>
        <w:spacing w:before="100" w:beforeAutospacing="1" w:line="360" w:lineRule="auto"/>
        <w:rPr>
          <w:b/>
          <w:bCs/>
          <w:color w:val="000000"/>
        </w:rPr>
      </w:pPr>
      <w:r w:rsidRPr="00AB3C46">
        <w:rPr>
          <w:b/>
          <w:bCs/>
          <w:color w:val="000000"/>
        </w:rPr>
        <w:t>Table 4</w:t>
      </w:r>
    </w:p>
    <w:p w14:paraId="1C8CC3C0" w14:textId="4017805E" w:rsidR="008015D6" w:rsidRPr="00AB3C46" w:rsidRDefault="008015D6" w:rsidP="00AB3C46">
      <w:pPr>
        <w:spacing w:line="360" w:lineRule="auto"/>
        <w:rPr>
          <w:i/>
          <w:iCs/>
          <w:color w:val="000000"/>
          <w:sz w:val="22"/>
          <w:szCs w:val="22"/>
          <w:lang w:val="en-US"/>
        </w:rPr>
      </w:pPr>
      <w:r w:rsidRPr="00AB3C46">
        <w:rPr>
          <w:i/>
          <w:iCs/>
          <w:color w:val="000000"/>
        </w:rPr>
        <w:t>Regression results for mediation</w:t>
      </w:r>
    </w:p>
    <w:tbl>
      <w:tblPr>
        <w:tblW w:w="9214" w:type="dxa"/>
        <w:jc w:val="center"/>
        <w:tblLayout w:type="fixed"/>
        <w:tblCellMar>
          <w:left w:w="0" w:type="dxa"/>
          <w:right w:w="0" w:type="dxa"/>
        </w:tblCellMar>
        <w:tblLook w:val="0600" w:firstRow="0" w:lastRow="0" w:firstColumn="0" w:lastColumn="0" w:noHBand="1" w:noVBand="1"/>
      </w:tblPr>
      <w:tblGrid>
        <w:gridCol w:w="3402"/>
        <w:gridCol w:w="1417"/>
        <w:gridCol w:w="1702"/>
        <w:gridCol w:w="1133"/>
        <w:gridCol w:w="1134"/>
        <w:gridCol w:w="426"/>
      </w:tblGrid>
      <w:tr w:rsidR="008015D6" w:rsidRPr="00F64ED6" w14:paraId="64D15EB3" w14:textId="77777777" w:rsidTr="00AB3C46">
        <w:trPr>
          <w:trHeight w:val="51"/>
          <w:jc w:val="center"/>
        </w:trPr>
        <w:tc>
          <w:tcPr>
            <w:tcW w:w="8788" w:type="dxa"/>
            <w:gridSpan w:val="5"/>
            <w:tcBorders>
              <w:top w:val="single" w:sz="18" w:space="0" w:color="000000" w:themeColor="text1"/>
              <w:bottom w:val="single" w:sz="18" w:space="0" w:color="000000" w:themeColor="text1"/>
            </w:tcBorders>
            <w:tcMar>
              <w:top w:w="15" w:type="dxa"/>
              <w:left w:w="93" w:type="dxa"/>
              <w:bottom w:w="0" w:type="dxa"/>
              <w:right w:w="93" w:type="dxa"/>
            </w:tcMar>
            <w:vAlign w:val="bottom"/>
            <w:hideMark/>
          </w:tcPr>
          <w:p w14:paraId="5F3E5C5D" w14:textId="77777777" w:rsidR="008015D6" w:rsidRPr="00F64ED6" w:rsidRDefault="008015D6" w:rsidP="00845DE7">
            <w:pPr>
              <w:spacing w:before="40"/>
              <w:jc w:val="center"/>
              <w:rPr>
                <w:sz w:val="22"/>
                <w:szCs w:val="22"/>
              </w:rPr>
            </w:pPr>
          </w:p>
        </w:tc>
        <w:tc>
          <w:tcPr>
            <w:tcW w:w="426" w:type="dxa"/>
            <w:tcBorders>
              <w:top w:val="single" w:sz="18" w:space="0" w:color="000000" w:themeColor="text1"/>
              <w:bottom w:val="single" w:sz="18" w:space="0" w:color="000000" w:themeColor="text1"/>
            </w:tcBorders>
            <w:vAlign w:val="center"/>
          </w:tcPr>
          <w:p w14:paraId="766A3DCA" w14:textId="77777777" w:rsidR="008015D6" w:rsidRPr="00F64ED6" w:rsidRDefault="008015D6" w:rsidP="00845DE7">
            <w:pPr>
              <w:spacing w:before="40"/>
              <w:jc w:val="center"/>
              <w:rPr>
                <w:sz w:val="22"/>
                <w:szCs w:val="22"/>
                <w:lang w:val="en-US"/>
              </w:rPr>
            </w:pPr>
            <w:r w:rsidRPr="00F64ED6">
              <w:rPr>
                <w:sz w:val="22"/>
                <w:szCs w:val="22"/>
              </w:rPr>
              <w:t>R2</w:t>
            </w:r>
          </w:p>
        </w:tc>
      </w:tr>
      <w:tr w:rsidR="008015D6" w:rsidRPr="00F64ED6" w14:paraId="525AED13" w14:textId="77777777" w:rsidTr="00AB3C46">
        <w:trPr>
          <w:trHeight w:val="21"/>
          <w:jc w:val="center"/>
        </w:trPr>
        <w:tc>
          <w:tcPr>
            <w:tcW w:w="3402" w:type="dxa"/>
            <w:tcBorders>
              <w:top w:val="single" w:sz="18" w:space="0" w:color="000000" w:themeColor="text1"/>
            </w:tcBorders>
            <w:tcMar>
              <w:top w:w="15" w:type="dxa"/>
              <w:left w:w="93" w:type="dxa"/>
              <w:bottom w:w="0" w:type="dxa"/>
              <w:right w:w="93" w:type="dxa"/>
            </w:tcMar>
            <w:vAlign w:val="center"/>
          </w:tcPr>
          <w:p w14:paraId="4F2ADDA8" w14:textId="77777777" w:rsidR="008015D6" w:rsidRPr="00F64ED6" w:rsidRDefault="008015D6" w:rsidP="00845DE7">
            <w:pPr>
              <w:rPr>
                <w:iCs/>
                <w:sz w:val="22"/>
                <w:szCs w:val="22"/>
              </w:rPr>
            </w:pPr>
            <w:r w:rsidRPr="00F64ED6">
              <w:rPr>
                <w:iCs/>
                <w:sz w:val="22"/>
                <w:szCs w:val="22"/>
              </w:rPr>
              <w:t xml:space="preserve">Model 1: Mediating variable </w:t>
            </w:r>
          </w:p>
        </w:tc>
        <w:tc>
          <w:tcPr>
            <w:tcW w:w="4252" w:type="dxa"/>
            <w:gridSpan w:val="3"/>
            <w:tcBorders>
              <w:top w:val="single" w:sz="18" w:space="0" w:color="000000" w:themeColor="text1"/>
            </w:tcBorders>
            <w:tcMar>
              <w:top w:w="15" w:type="dxa"/>
              <w:left w:w="93" w:type="dxa"/>
              <w:bottom w:w="0" w:type="dxa"/>
              <w:right w:w="93" w:type="dxa"/>
            </w:tcMar>
            <w:vAlign w:val="center"/>
          </w:tcPr>
          <w:p w14:paraId="3A864DB3" w14:textId="77777777" w:rsidR="008015D6" w:rsidRPr="00F64ED6" w:rsidRDefault="008015D6" w:rsidP="00845DE7">
            <w:pPr>
              <w:rPr>
                <w:sz w:val="22"/>
                <w:szCs w:val="22"/>
              </w:rPr>
            </w:pPr>
            <w:r w:rsidRPr="00F64ED6">
              <w:rPr>
                <w:color w:val="000000"/>
                <w:sz w:val="22"/>
                <w:szCs w:val="22"/>
              </w:rPr>
              <w:t>Subjective well-being</w:t>
            </w:r>
          </w:p>
        </w:tc>
        <w:tc>
          <w:tcPr>
            <w:tcW w:w="1134" w:type="dxa"/>
            <w:tcBorders>
              <w:top w:val="single" w:sz="4" w:space="0" w:color="auto"/>
            </w:tcBorders>
            <w:vAlign w:val="center"/>
          </w:tcPr>
          <w:p w14:paraId="4D5F936F" w14:textId="77777777" w:rsidR="008015D6" w:rsidRPr="00F64ED6" w:rsidRDefault="008015D6" w:rsidP="00845DE7">
            <w:pPr>
              <w:jc w:val="center"/>
              <w:rPr>
                <w:sz w:val="22"/>
                <w:szCs w:val="22"/>
              </w:rPr>
            </w:pPr>
          </w:p>
        </w:tc>
        <w:tc>
          <w:tcPr>
            <w:tcW w:w="426" w:type="dxa"/>
            <w:tcBorders>
              <w:top w:val="single" w:sz="18" w:space="0" w:color="000000" w:themeColor="text1"/>
            </w:tcBorders>
          </w:tcPr>
          <w:p w14:paraId="66A7E722" w14:textId="77777777" w:rsidR="008015D6" w:rsidRPr="00F64ED6" w:rsidRDefault="008015D6" w:rsidP="00845DE7">
            <w:pPr>
              <w:spacing w:before="120"/>
              <w:jc w:val="center"/>
              <w:rPr>
                <w:sz w:val="22"/>
                <w:szCs w:val="22"/>
              </w:rPr>
            </w:pPr>
            <w:r w:rsidRPr="00F64ED6">
              <w:rPr>
                <w:sz w:val="22"/>
                <w:szCs w:val="22"/>
              </w:rPr>
              <w:t>.208</w:t>
            </w:r>
          </w:p>
        </w:tc>
      </w:tr>
      <w:tr w:rsidR="008015D6" w:rsidRPr="00F64ED6" w14:paraId="4021A520" w14:textId="77777777" w:rsidTr="00AB3C46">
        <w:trPr>
          <w:trHeight w:val="338"/>
          <w:jc w:val="center"/>
        </w:trPr>
        <w:tc>
          <w:tcPr>
            <w:tcW w:w="3402" w:type="dxa"/>
            <w:tcMar>
              <w:top w:w="15" w:type="dxa"/>
              <w:left w:w="93" w:type="dxa"/>
              <w:bottom w:w="0" w:type="dxa"/>
              <w:right w:w="93" w:type="dxa"/>
            </w:tcMar>
            <w:vAlign w:val="center"/>
          </w:tcPr>
          <w:p w14:paraId="0545D70F" w14:textId="77777777" w:rsidR="008015D6" w:rsidRPr="00F64ED6" w:rsidRDefault="008015D6" w:rsidP="00845DE7">
            <w:pPr>
              <w:rPr>
                <w:iCs/>
                <w:sz w:val="22"/>
                <w:szCs w:val="22"/>
              </w:rPr>
            </w:pPr>
          </w:p>
        </w:tc>
        <w:tc>
          <w:tcPr>
            <w:tcW w:w="1417" w:type="dxa"/>
            <w:tcMar>
              <w:top w:w="15" w:type="dxa"/>
              <w:left w:w="93" w:type="dxa"/>
              <w:bottom w:w="0" w:type="dxa"/>
              <w:right w:w="93" w:type="dxa"/>
            </w:tcMar>
            <w:vAlign w:val="center"/>
          </w:tcPr>
          <w:p w14:paraId="6358162A" w14:textId="77777777" w:rsidR="008015D6" w:rsidRPr="00F64ED6" w:rsidRDefault="008015D6" w:rsidP="00845DE7">
            <w:pPr>
              <w:spacing w:before="120"/>
              <w:jc w:val="center"/>
              <w:rPr>
                <w:sz w:val="22"/>
                <w:szCs w:val="22"/>
              </w:rPr>
            </w:pPr>
            <w:r w:rsidRPr="00F64ED6">
              <w:rPr>
                <w:sz w:val="22"/>
                <w:szCs w:val="22"/>
              </w:rPr>
              <w:t>Coef.</w:t>
            </w:r>
          </w:p>
        </w:tc>
        <w:tc>
          <w:tcPr>
            <w:tcW w:w="1702" w:type="dxa"/>
            <w:vAlign w:val="center"/>
          </w:tcPr>
          <w:p w14:paraId="4557408B" w14:textId="77777777" w:rsidR="008015D6" w:rsidRPr="00F64ED6" w:rsidRDefault="008015D6" w:rsidP="00845DE7">
            <w:pPr>
              <w:spacing w:before="120"/>
              <w:jc w:val="center"/>
              <w:rPr>
                <w:sz w:val="22"/>
                <w:szCs w:val="22"/>
              </w:rPr>
            </w:pPr>
            <w:r w:rsidRPr="00F64ED6">
              <w:rPr>
                <w:sz w:val="22"/>
                <w:szCs w:val="22"/>
              </w:rPr>
              <w:t>Standard error</w:t>
            </w:r>
          </w:p>
        </w:tc>
        <w:tc>
          <w:tcPr>
            <w:tcW w:w="1133" w:type="dxa"/>
            <w:vAlign w:val="center"/>
          </w:tcPr>
          <w:p w14:paraId="3F53F4EE" w14:textId="77777777" w:rsidR="008015D6" w:rsidRPr="00F64ED6" w:rsidRDefault="008015D6" w:rsidP="00845DE7">
            <w:pPr>
              <w:jc w:val="center"/>
              <w:rPr>
                <w:i/>
                <w:iCs/>
                <w:sz w:val="22"/>
                <w:szCs w:val="22"/>
              </w:rPr>
            </w:pPr>
            <w:r w:rsidRPr="00F64ED6">
              <w:rPr>
                <w:i/>
                <w:iCs/>
                <w:sz w:val="22"/>
                <w:szCs w:val="22"/>
              </w:rPr>
              <w:t>Z</w:t>
            </w:r>
          </w:p>
        </w:tc>
        <w:tc>
          <w:tcPr>
            <w:tcW w:w="1134" w:type="dxa"/>
            <w:vAlign w:val="center"/>
          </w:tcPr>
          <w:p w14:paraId="12E81F89" w14:textId="77777777" w:rsidR="008015D6" w:rsidRPr="00F64ED6" w:rsidRDefault="008015D6" w:rsidP="00845DE7">
            <w:pPr>
              <w:jc w:val="center"/>
              <w:rPr>
                <w:i/>
                <w:iCs/>
                <w:sz w:val="22"/>
                <w:szCs w:val="22"/>
              </w:rPr>
            </w:pPr>
            <w:r w:rsidRPr="00F64ED6">
              <w:rPr>
                <w:i/>
                <w:iCs/>
                <w:sz w:val="22"/>
                <w:szCs w:val="22"/>
              </w:rPr>
              <w:t>p</w:t>
            </w:r>
          </w:p>
        </w:tc>
        <w:tc>
          <w:tcPr>
            <w:tcW w:w="426" w:type="dxa"/>
          </w:tcPr>
          <w:p w14:paraId="6E0E92C6" w14:textId="77777777" w:rsidR="008015D6" w:rsidRPr="00F64ED6" w:rsidRDefault="008015D6" w:rsidP="00845DE7">
            <w:pPr>
              <w:jc w:val="center"/>
              <w:rPr>
                <w:sz w:val="22"/>
                <w:szCs w:val="22"/>
              </w:rPr>
            </w:pPr>
          </w:p>
        </w:tc>
      </w:tr>
      <w:tr w:rsidR="008015D6" w:rsidRPr="00F64ED6" w14:paraId="780246A6" w14:textId="77777777" w:rsidTr="00AB3C46">
        <w:trPr>
          <w:trHeight w:val="349"/>
          <w:jc w:val="center"/>
        </w:trPr>
        <w:tc>
          <w:tcPr>
            <w:tcW w:w="3402" w:type="dxa"/>
            <w:tcMar>
              <w:top w:w="15" w:type="dxa"/>
              <w:left w:w="93" w:type="dxa"/>
              <w:bottom w:w="0" w:type="dxa"/>
              <w:right w:w="93" w:type="dxa"/>
            </w:tcMar>
            <w:vAlign w:val="center"/>
          </w:tcPr>
          <w:p w14:paraId="65C88561" w14:textId="77777777" w:rsidR="008015D6" w:rsidRPr="00F64ED6" w:rsidRDefault="008015D6" w:rsidP="00845DE7">
            <w:pPr>
              <w:spacing w:before="60"/>
              <w:ind w:firstLine="191"/>
              <w:jc w:val="right"/>
              <w:rPr>
                <w:sz w:val="22"/>
                <w:szCs w:val="22"/>
                <w:lang w:val="en-US"/>
              </w:rPr>
            </w:pPr>
            <w:r w:rsidRPr="00F64ED6">
              <w:rPr>
                <w:color w:val="000000"/>
                <w:sz w:val="22"/>
                <w:szCs w:val="22"/>
              </w:rPr>
              <w:t>Social support</w:t>
            </w:r>
          </w:p>
        </w:tc>
        <w:tc>
          <w:tcPr>
            <w:tcW w:w="1417" w:type="dxa"/>
            <w:tcMar>
              <w:top w:w="15" w:type="dxa"/>
              <w:left w:w="93" w:type="dxa"/>
              <w:bottom w:w="0" w:type="dxa"/>
              <w:right w:w="93" w:type="dxa"/>
            </w:tcMar>
            <w:vAlign w:val="center"/>
          </w:tcPr>
          <w:p w14:paraId="58B1C263" w14:textId="77777777" w:rsidR="008015D6" w:rsidRPr="00F64ED6" w:rsidRDefault="008015D6" w:rsidP="00845DE7">
            <w:pPr>
              <w:spacing w:before="60"/>
              <w:jc w:val="center"/>
              <w:rPr>
                <w:sz w:val="22"/>
                <w:szCs w:val="22"/>
              </w:rPr>
            </w:pPr>
            <w:r w:rsidRPr="00F64ED6">
              <w:rPr>
                <w:sz w:val="22"/>
                <w:szCs w:val="22"/>
              </w:rPr>
              <w:t>0.003</w:t>
            </w:r>
          </w:p>
        </w:tc>
        <w:tc>
          <w:tcPr>
            <w:tcW w:w="1702" w:type="dxa"/>
            <w:vAlign w:val="center"/>
          </w:tcPr>
          <w:p w14:paraId="367B3C3D" w14:textId="77777777" w:rsidR="008015D6" w:rsidRPr="00F64ED6" w:rsidRDefault="008015D6" w:rsidP="00845DE7">
            <w:pPr>
              <w:spacing w:before="60"/>
              <w:jc w:val="center"/>
              <w:rPr>
                <w:sz w:val="22"/>
                <w:szCs w:val="22"/>
              </w:rPr>
            </w:pPr>
            <w:r w:rsidRPr="00F64ED6">
              <w:rPr>
                <w:sz w:val="22"/>
                <w:szCs w:val="22"/>
              </w:rPr>
              <w:t>0.020</w:t>
            </w:r>
          </w:p>
        </w:tc>
        <w:tc>
          <w:tcPr>
            <w:tcW w:w="1133" w:type="dxa"/>
          </w:tcPr>
          <w:p w14:paraId="30C2B5B2" w14:textId="77777777" w:rsidR="008015D6" w:rsidRPr="00F64ED6" w:rsidRDefault="008015D6" w:rsidP="00845DE7">
            <w:pPr>
              <w:tabs>
                <w:tab w:val="decimal" w:pos="572"/>
              </w:tabs>
              <w:spacing w:before="60"/>
              <w:rPr>
                <w:sz w:val="22"/>
                <w:szCs w:val="22"/>
              </w:rPr>
            </w:pPr>
            <w:r w:rsidRPr="00F64ED6">
              <w:rPr>
                <w:sz w:val="22"/>
                <w:szCs w:val="22"/>
              </w:rPr>
              <w:t>0.158</w:t>
            </w:r>
          </w:p>
        </w:tc>
        <w:tc>
          <w:tcPr>
            <w:tcW w:w="1134" w:type="dxa"/>
          </w:tcPr>
          <w:p w14:paraId="38C136B8" w14:textId="77777777" w:rsidR="008015D6" w:rsidRPr="00F64ED6" w:rsidRDefault="008015D6" w:rsidP="00845DE7">
            <w:pPr>
              <w:tabs>
                <w:tab w:val="decimal" w:pos="707"/>
              </w:tabs>
              <w:spacing w:before="60"/>
              <w:rPr>
                <w:sz w:val="22"/>
                <w:szCs w:val="22"/>
              </w:rPr>
            </w:pPr>
            <w:r w:rsidRPr="00F64ED6">
              <w:rPr>
                <w:sz w:val="22"/>
                <w:szCs w:val="22"/>
              </w:rPr>
              <w:t>.874</w:t>
            </w:r>
          </w:p>
        </w:tc>
        <w:tc>
          <w:tcPr>
            <w:tcW w:w="426" w:type="dxa"/>
          </w:tcPr>
          <w:p w14:paraId="675D0E81" w14:textId="77777777" w:rsidR="008015D6" w:rsidRPr="00F64ED6" w:rsidRDefault="008015D6" w:rsidP="00845DE7">
            <w:pPr>
              <w:spacing w:before="60"/>
              <w:jc w:val="center"/>
              <w:rPr>
                <w:sz w:val="22"/>
                <w:szCs w:val="22"/>
              </w:rPr>
            </w:pPr>
          </w:p>
        </w:tc>
      </w:tr>
      <w:tr w:rsidR="008015D6" w:rsidRPr="00F64ED6" w14:paraId="62A48B36" w14:textId="77777777" w:rsidTr="00AB3C46">
        <w:trPr>
          <w:trHeight w:val="349"/>
          <w:jc w:val="center"/>
        </w:trPr>
        <w:tc>
          <w:tcPr>
            <w:tcW w:w="3402" w:type="dxa"/>
            <w:tcMar>
              <w:top w:w="15" w:type="dxa"/>
              <w:left w:w="93" w:type="dxa"/>
              <w:bottom w:w="0" w:type="dxa"/>
              <w:right w:w="93" w:type="dxa"/>
            </w:tcMar>
            <w:vAlign w:val="center"/>
          </w:tcPr>
          <w:p w14:paraId="0A5D3BB4" w14:textId="77777777" w:rsidR="008015D6" w:rsidRPr="00F64ED6" w:rsidRDefault="008015D6" w:rsidP="00845DE7">
            <w:pPr>
              <w:rPr>
                <w:i/>
                <w:sz w:val="22"/>
                <w:szCs w:val="22"/>
              </w:rPr>
            </w:pPr>
            <w:r w:rsidRPr="00F64ED6">
              <w:rPr>
                <w:iCs/>
                <w:sz w:val="22"/>
                <w:szCs w:val="22"/>
              </w:rPr>
              <w:t xml:space="preserve">Model 2: Outcome variable in the model </w:t>
            </w:r>
          </w:p>
        </w:tc>
        <w:tc>
          <w:tcPr>
            <w:tcW w:w="4252" w:type="dxa"/>
            <w:gridSpan w:val="3"/>
            <w:tcMar>
              <w:top w:w="15" w:type="dxa"/>
              <w:left w:w="93" w:type="dxa"/>
              <w:bottom w:w="0" w:type="dxa"/>
              <w:right w:w="93" w:type="dxa"/>
            </w:tcMar>
            <w:vAlign w:val="center"/>
          </w:tcPr>
          <w:p w14:paraId="35C8235C" w14:textId="77777777" w:rsidR="008015D6" w:rsidRPr="00F64ED6" w:rsidRDefault="008015D6" w:rsidP="00845DE7">
            <w:pPr>
              <w:tabs>
                <w:tab w:val="decimal" w:pos="413"/>
              </w:tabs>
              <w:rPr>
                <w:sz w:val="22"/>
                <w:szCs w:val="22"/>
              </w:rPr>
            </w:pPr>
            <w:r w:rsidRPr="00F64ED6">
              <w:rPr>
                <w:color w:val="000000"/>
                <w:sz w:val="22"/>
                <w:szCs w:val="22"/>
              </w:rPr>
              <w:t>Social integration</w:t>
            </w:r>
          </w:p>
        </w:tc>
        <w:tc>
          <w:tcPr>
            <w:tcW w:w="1134" w:type="dxa"/>
          </w:tcPr>
          <w:p w14:paraId="5A015863" w14:textId="77777777" w:rsidR="008015D6" w:rsidRPr="00F64ED6" w:rsidRDefault="008015D6" w:rsidP="00845DE7">
            <w:pPr>
              <w:tabs>
                <w:tab w:val="decimal" w:pos="413"/>
              </w:tabs>
              <w:spacing w:before="60"/>
              <w:rPr>
                <w:sz w:val="22"/>
                <w:szCs w:val="22"/>
              </w:rPr>
            </w:pPr>
          </w:p>
        </w:tc>
        <w:tc>
          <w:tcPr>
            <w:tcW w:w="426" w:type="dxa"/>
            <w:vAlign w:val="center"/>
          </w:tcPr>
          <w:p w14:paraId="00A8B140" w14:textId="77777777" w:rsidR="008015D6" w:rsidRPr="00F64ED6" w:rsidRDefault="008015D6" w:rsidP="00845DE7">
            <w:pPr>
              <w:spacing w:before="120"/>
              <w:jc w:val="center"/>
              <w:rPr>
                <w:sz w:val="22"/>
                <w:szCs w:val="22"/>
              </w:rPr>
            </w:pPr>
            <w:r w:rsidRPr="00F64ED6">
              <w:rPr>
                <w:sz w:val="22"/>
                <w:szCs w:val="22"/>
              </w:rPr>
              <w:t>.011</w:t>
            </w:r>
          </w:p>
        </w:tc>
      </w:tr>
      <w:tr w:rsidR="008015D6" w:rsidRPr="00F64ED6" w14:paraId="1F6D9E15" w14:textId="77777777" w:rsidTr="00AB3C46">
        <w:trPr>
          <w:trHeight w:val="349"/>
          <w:jc w:val="center"/>
        </w:trPr>
        <w:tc>
          <w:tcPr>
            <w:tcW w:w="3402" w:type="dxa"/>
            <w:tcMar>
              <w:top w:w="15" w:type="dxa"/>
              <w:left w:w="93" w:type="dxa"/>
              <w:bottom w:w="0" w:type="dxa"/>
              <w:right w:w="93" w:type="dxa"/>
            </w:tcMar>
            <w:vAlign w:val="center"/>
          </w:tcPr>
          <w:p w14:paraId="5D7D81D7" w14:textId="77777777" w:rsidR="008015D6" w:rsidRPr="00F64ED6" w:rsidRDefault="008015D6" w:rsidP="00845DE7">
            <w:pPr>
              <w:spacing w:before="60"/>
              <w:rPr>
                <w:iCs/>
                <w:sz w:val="22"/>
                <w:szCs w:val="22"/>
              </w:rPr>
            </w:pPr>
          </w:p>
        </w:tc>
        <w:tc>
          <w:tcPr>
            <w:tcW w:w="1417" w:type="dxa"/>
            <w:tcMar>
              <w:top w:w="15" w:type="dxa"/>
              <w:left w:w="93" w:type="dxa"/>
              <w:bottom w:w="0" w:type="dxa"/>
              <w:right w:w="93" w:type="dxa"/>
            </w:tcMar>
            <w:vAlign w:val="center"/>
          </w:tcPr>
          <w:p w14:paraId="32EAF7A3" w14:textId="77777777" w:rsidR="008015D6" w:rsidRPr="00F64ED6" w:rsidRDefault="008015D6" w:rsidP="00845DE7">
            <w:pPr>
              <w:spacing w:before="120"/>
              <w:jc w:val="center"/>
              <w:rPr>
                <w:sz w:val="22"/>
                <w:szCs w:val="22"/>
              </w:rPr>
            </w:pPr>
            <w:r w:rsidRPr="00F64ED6">
              <w:rPr>
                <w:sz w:val="22"/>
                <w:szCs w:val="22"/>
              </w:rPr>
              <w:t>Coef.</w:t>
            </w:r>
          </w:p>
        </w:tc>
        <w:tc>
          <w:tcPr>
            <w:tcW w:w="1702" w:type="dxa"/>
            <w:vAlign w:val="center"/>
          </w:tcPr>
          <w:p w14:paraId="7B2AFC95" w14:textId="77777777" w:rsidR="008015D6" w:rsidRPr="00F64ED6" w:rsidRDefault="008015D6" w:rsidP="00845DE7">
            <w:pPr>
              <w:spacing w:before="120"/>
              <w:jc w:val="center"/>
              <w:rPr>
                <w:sz w:val="22"/>
                <w:szCs w:val="22"/>
              </w:rPr>
            </w:pPr>
            <w:r w:rsidRPr="00F64ED6">
              <w:rPr>
                <w:sz w:val="22"/>
                <w:szCs w:val="22"/>
              </w:rPr>
              <w:t>Standard error</w:t>
            </w:r>
          </w:p>
        </w:tc>
        <w:tc>
          <w:tcPr>
            <w:tcW w:w="1133" w:type="dxa"/>
            <w:vAlign w:val="center"/>
          </w:tcPr>
          <w:p w14:paraId="3B28CE33" w14:textId="77777777" w:rsidR="008015D6" w:rsidRPr="00F64ED6" w:rsidRDefault="008015D6" w:rsidP="00845DE7">
            <w:pPr>
              <w:jc w:val="center"/>
              <w:rPr>
                <w:sz w:val="22"/>
                <w:szCs w:val="22"/>
              </w:rPr>
            </w:pPr>
            <w:r w:rsidRPr="00F64ED6">
              <w:rPr>
                <w:i/>
                <w:iCs/>
                <w:sz w:val="22"/>
                <w:szCs w:val="22"/>
              </w:rPr>
              <w:t>Z</w:t>
            </w:r>
          </w:p>
        </w:tc>
        <w:tc>
          <w:tcPr>
            <w:tcW w:w="1134" w:type="dxa"/>
            <w:vAlign w:val="center"/>
          </w:tcPr>
          <w:p w14:paraId="277B4DED" w14:textId="77777777" w:rsidR="008015D6" w:rsidRPr="00F64ED6" w:rsidRDefault="008015D6" w:rsidP="00845DE7">
            <w:pPr>
              <w:jc w:val="center"/>
              <w:rPr>
                <w:sz w:val="22"/>
                <w:szCs w:val="22"/>
              </w:rPr>
            </w:pPr>
            <w:r w:rsidRPr="00F64ED6">
              <w:rPr>
                <w:i/>
                <w:iCs/>
                <w:sz w:val="22"/>
                <w:szCs w:val="22"/>
              </w:rPr>
              <w:t>p</w:t>
            </w:r>
          </w:p>
        </w:tc>
        <w:tc>
          <w:tcPr>
            <w:tcW w:w="426" w:type="dxa"/>
          </w:tcPr>
          <w:p w14:paraId="406936F1" w14:textId="77777777" w:rsidR="008015D6" w:rsidRPr="00F64ED6" w:rsidRDefault="008015D6" w:rsidP="00845DE7">
            <w:pPr>
              <w:spacing w:before="60"/>
              <w:jc w:val="center"/>
              <w:rPr>
                <w:sz w:val="22"/>
                <w:szCs w:val="22"/>
              </w:rPr>
            </w:pPr>
          </w:p>
        </w:tc>
      </w:tr>
      <w:tr w:rsidR="008015D6" w:rsidRPr="00F64ED6" w14:paraId="7821A5B0" w14:textId="77777777" w:rsidTr="00AB3C46">
        <w:trPr>
          <w:trHeight w:val="349"/>
          <w:jc w:val="center"/>
        </w:trPr>
        <w:tc>
          <w:tcPr>
            <w:tcW w:w="3402" w:type="dxa"/>
            <w:tcMar>
              <w:top w:w="15" w:type="dxa"/>
              <w:left w:w="93" w:type="dxa"/>
              <w:bottom w:w="0" w:type="dxa"/>
              <w:right w:w="93" w:type="dxa"/>
            </w:tcMar>
            <w:vAlign w:val="center"/>
          </w:tcPr>
          <w:p w14:paraId="4B565FFF" w14:textId="77777777" w:rsidR="008015D6" w:rsidRPr="00F64ED6" w:rsidRDefault="008015D6" w:rsidP="00845DE7">
            <w:pPr>
              <w:spacing w:before="120"/>
              <w:jc w:val="right"/>
              <w:rPr>
                <w:sz w:val="22"/>
                <w:szCs w:val="22"/>
                <w:lang w:val="en-US"/>
              </w:rPr>
            </w:pPr>
            <w:r w:rsidRPr="00F64ED6">
              <w:rPr>
                <w:sz w:val="22"/>
                <w:szCs w:val="22"/>
              </w:rPr>
              <w:t>Subjective well-being</w:t>
            </w:r>
          </w:p>
        </w:tc>
        <w:tc>
          <w:tcPr>
            <w:tcW w:w="1417" w:type="dxa"/>
            <w:tcMar>
              <w:top w:w="15" w:type="dxa"/>
              <w:left w:w="93" w:type="dxa"/>
              <w:bottom w:w="0" w:type="dxa"/>
              <w:right w:w="93" w:type="dxa"/>
            </w:tcMar>
            <w:vAlign w:val="center"/>
          </w:tcPr>
          <w:p w14:paraId="4BADA7B5" w14:textId="77777777" w:rsidR="008015D6" w:rsidRPr="00F64ED6" w:rsidRDefault="008015D6" w:rsidP="00845DE7">
            <w:pPr>
              <w:spacing w:before="60"/>
              <w:jc w:val="center"/>
              <w:rPr>
                <w:sz w:val="22"/>
                <w:szCs w:val="22"/>
              </w:rPr>
            </w:pPr>
            <w:r w:rsidRPr="00F64ED6">
              <w:rPr>
                <w:sz w:val="22"/>
                <w:szCs w:val="22"/>
              </w:rPr>
              <w:t>-0.537</w:t>
            </w:r>
          </w:p>
        </w:tc>
        <w:tc>
          <w:tcPr>
            <w:tcW w:w="1702" w:type="dxa"/>
            <w:vAlign w:val="center"/>
          </w:tcPr>
          <w:p w14:paraId="60079E13" w14:textId="77777777" w:rsidR="008015D6" w:rsidRPr="00F64ED6" w:rsidRDefault="008015D6" w:rsidP="00845DE7">
            <w:pPr>
              <w:spacing w:before="60"/>
              <w:jc w:val="center"/>
              <w:rPr>
                <w:sz w:val="22"/>
                <w:szCs w:val="22"/>
              </w:rPr>
            </w:pPr>
            <w:r w:rsidRPr="00F64ED6">
              <w:rPr>
                <w:sz w:val="22"/>
                <w:szCs w:val="22"/>
              </w:rPr>
              <w:t>0.025</w:t>
            </w:r>
          </w:p>
        </w:tc>
        <w:tc>
          <w:tcPr>
            <w:tcW w:w="1133" w:type="dxa"/>
            <w:vAlign w:val="center"/>
          </w:tcPr>
          <w:p w14:paraId="1F481825" w14:textId="77777777" w:rsidR="008015D6" w:rsidRPr="00F64ED6" w:rsidRDefault="008015D6" w:rsidP="00845DE7">
            <w:pPr>
              <w:tabs>
                <w:tab w:val="decimal" w:pos="572"/>
              </w:tabs>
              <w:spacing w:before="60"/>
              <w:rPr>
                <w:sz w:val="22"/>
                <w:szCs w:val="22"/>
              </w:rPr>
            </w:pPr>
            <w:r w:rsidRPr="00F64ED6">
              <w:rPr>
                <w:sz w:val="22"/>
                <w:szCs w:val="22"/>
              </w:rPr>
              <w:t>-21.175</w:t>
            </w:r>
          </w:p>
        </w:tc>
        <w:tc>
          <w:tcPr>
            <w:tcW w:w="1134" w:type="dxa"/>
            <w:vAlign w:val="center"/>
          </w:tcPr>
          <w:p w14:paraId="2BD303BB" w14:textId="77777777" w:rsidR="008015D6" w:rsidRPr="00F64ED6" w:rsidRDefault="008015D6" w:rsidP="00845DE7">
            <w:pPr>
              <w:tabs>
                <w:tab w:val="decimal" w:pos="707"/>
              </w:tabs>
              <w:spacing w:before="60"/>
              <w:rPr>
                <w:sz w:val="22"/>
                <w:szCs w:val="22"/>
              </w:rPr>
            </w:pPr>
            <w:r w:rsidRPr="00F64ED6">
              <w:rPr>
                <w:sz w:val="22"/>
                <w:szCs w:val="22"/>
              </w:rPr>
              <w:t>&lt;.001</w:t>
            </w:r>
          </w:p>
        </w:tc>
        <w:tc>
          <w:tcPr>
            <w:tcW w:w="426" w:type="dxa"/>
          </w:tcPr>
          <w:p w14:paraId="5942F0ED" w14:textId="77777777" w:rsidR="008015D6" w:rsidRPr="00F64ED6" w:rsidRDefault="008015D6" w:rsidP="00845DE7">
            <w:pPr>
              <w:spacing w:before="60"/>
              <w:jc w:val="center"/>
              <w:rPr>
                <w:sz w:val="22"/>
                <w:szCs w:val="22"/>
              </w:rPr>
            </w:pPr>
          </w:p>
        </w:tc>
      </w:tr>
      <w:tr w:rsidR="008015D6" w:rsidRPr="00F64ED6" w14:paraId="324D45A0" w14:textId="77777777" w:rsidTr="00AB3C46">
        <w:trPr>
          <w:trHeight w:val="349"/>
          <w:jc w:val="center"/>
        </w:trPr>
        <w:tc>
          <w:tcPr>
            <w:tcW w:w="3402" w:type="dxa"/>
            <w:tcMar>
              <w:top w:w="15" w:type="dxa"/>
              <w:left w:w="93" w:type="dxa"/>
              <w:bottom w:w="0" w:type="dxa"/>
              <w:right w:w="93" w:type="dxa"/>
            </w:tcMar>
            <w:vAlign w:val="center"/>
          </w:tcPr>
          <w:p w14:paraId="3DDE38DD" w14:textId="77777777" w:rsidR="008015D6" w:rsidRPr="00F64ED6" w:rsidRDefault="008015D6" w:rsidP="00845DE7">
            <w:pPr>
              <w:spacing w:before="60"/>
              <w:ind w:firstLine="191"/>
              <w:jc w:val="right"/>
              <w:rPr>
                <w:sz w:val="22"/>
                <w:szCs w:val="22"/>
              </w:rPr>
            </w:pPr>
            <w:r w:rsidRPr="00F64ED6">
              <w:rPr>
                <w:sz w:val="22"/>
                <w:szCs w:val="22"/>
              </w:rPr>
              <w:t>Social support</w:t>
            </w:r>
          </w:p>
        </w:tc>
        <w:tc>
          <w:tcPr>
            <w:tcW w:w="1417" w:type="dxa"/>
            <w:tcMar>
              <w:top w:w="15" w:type="dxa"/>
              <w:left w:w="93" w:type="dxa"/>
              <w:bottom w:w="0" w:type="dxa"/>
              <w:right w:w="93" w:type="dxa"/>
            </w:tcMar>
            <w:vAlign w:val="center"/>
          </w:tcPr>
          <w:p w14:paraId="11384DBB" w14:textId="77777777" w:rsidR="008015D6" w:rsidRPr="00F64ED6" w:rsidRDefault="008015D6" w:rsidP="00845DE7">
            <w:pPr>
              <w:spacing w:before="60"/>
              <w:jc w:val="center"/>
              <w:rPr>
                <w:sz w:val="22"/>
                <w:szCs w:val="22"/>
              </w:rPr>
            </w:pPr>
            <w:r w:rsidRPr="00F64ED6">
              <w:rPr>
                <w:sz w:val="22"/>
                <w:szCs w:val="22"/>
              </w:rPr>
              <w:t>0.080</w:t>
            </w:r>
          </w:p>
        </w:tc>
        <w:tc>
          <w:tcPr>
            <w:tcW w:w="1702" w:type="dxa"/>
            <w:vAlign w:val="center"/>
          </w:tcPr>
          <w:p w14:paraId="380AB170" w14:textId="77777777" w:rsidR="008015D6" w:rsidRPr="00F64ED6" w:rsidRDefault="008015D6" w:rsidP="00845DE7">
            <w:pPr>
              <w:spacing w:before="60"/>
              <w:jc w:val="center"/>
              <w:rPr>
                <w:sz w:val="22"/>
                <w:szCs w:val="22"/>
              </w:rPr>
            </w:pPr>
            <w:r w:rsidRPr="00F64ED6">
              <w:rPr>
                <w:sz w:val="22"/>
                <w:szCs w:val="22"/>
              </w:rPr>
              <w:t>0.019</w:t>
            </w:r>
          </w:p>
        </w:tc>
        <w:tc>
          <w:tcPr>
            <w:tcW w:w="1133" w:type="dxa"/>
          </w:tcPr>
          <w:p w14:paraId="0D45D980" w14:textId="77777777" w:rsidR="008015D6" w:rsidRPr="00F64ED6" w:rsidRDefault="008015D6" w:rsidP="00845DE7">
            <w:pPr>
              <w:tabs>
                <w:tab w:val="decimal" w:pos="572"/>
              </w:tabs>
              <w:spacing w:before="60"/>
              <w:rPr>
                <w:sz w:val="22"/>
                <w:szCs w:val="22"/>
              </w:rPr>
            </w:pPr>
            <w:r w:rsidRPr="00F64ED6">
              <w:rPr>
                <w:sz w:val="22"/>
                <w:szCs w:val="22"/>
              </w:rPr>
              <w:t>4.310</w:t>
            </w:r>
          </w:p>
        </w:tc>
        <w:tc>
          <w:tcPr>
            <w:tcW w:w="1134" w:type="dxa"/>
          </w:tcPr>
          <w:p w14:paraId="4BB5C5BC" w14:textId="77777777" w:rsidR="008015D6" w:rsidRPr="00F64ED6" w:rsidRDefault="008015D6" w:rsidP="00845DE7">
            <w:pPr>
              <w:tabs>
                <w:tab w:val="decimal" w:pos="707"/>
              </w:tabs>
              <w:spacing w:before="60"/>
              <w:rPr>
                <w:sz w:val="22"/>
                <w:szCs w:val="22"/>
              </w:rPr>
            </w:pPr>
            <w:r w:rsidRPr="00F64ED6">
              <w:rPr>
                <w:sz w:val="22"/>
                <w:szCs w:val="22"/>
              </w:rPr>
              <w:t>&lt;.001</w:t>
            </w:r>
          </w:p>
        </w:tc>
        <w:tc>
          <w:tcPr>
            <w:tcW w:w="426" w:type="dxa"/>
          </w:tcPr>
          <w:p w14:paraId="176FAD05" w14:textId="77777777" w:rsidR="008015D6" w:rsidRPr="00F64ED6" w:rsidRDefault="008015D6" w:rsidP="00845DE7">
            <w:pPr>
              <w:spacing w:before="60"/>
              <w:jc w:val="center"/>
              <w:rPr>
                <w:sz w:val="22"/>
                <w:szCs w:val="22"/>
              </w:rPr>
            </w:pPr>
          </w:p>
        </w:tc>
      </w:tr>
      <w:tr w:rsidR="008015D6" w:rsidRPr="00F64ED6" w14:paraId="6D6247B5" w14:textId="77777777" w:rsidTr="00AB3C46">
        <w:trPr>
          <w:trHeight w:val="349"/>
          <w:jc w:val="center"/>
        </w:trPr>
        <w:tc>
          <w:tcPr>
            <w:tcW w:w="3402" w:type="dxa"/>
            <w:tcMar>
              <w:top w:w="15" w:type="dxa"/>
              <w:left w:w="93" w:type="dxa"/>
              <w:bottom w:w="0" w:type="dxa"/>
              <w:right w:w="93" w:type="dxa"/>
            </w:tcMar>
            <w:vAlign w:val="center"/>
          </w:tcPr>
          <w:p w14:paraId="5974D66D" w14:textId="77777777" w:rsidR="008015D6" w:rsidRPr="00F64ED6" w:rsidRDefault="008015D6" w:rsidP="00845DE7">
            <w:pPr>
              <w:spacing w:before="60"/>
              <w:rPr>
                <w:i/>
                <w:kern w:val="24"/>
                <w:sz w:val="22"/>
                <w:szCs w:val="22"/>
              </w:rPr>
            </w:pPr>
          </w:p>
        </w:tc>
        <w:tc>
          <w:tcPr>
            <w:tcW w:w="4252" w:type="dxa"/>
            <w:gridSpan w:val="3"/>
            <w:tcMar>
              <w:top w:w="15" w:type="dxa"/>
              <w:left w:w="93" w:type="dxa"/>
              <w:bottom w:w="0" w:type="dxa"/>
              <w:right w:w="93" w:type="dxa"/>
            </w:tcMar>
            <w:vAlign w:val="center"/>
          </w:tcPr>
          <w:p w14:paraId="7253027D" w14:textId="77777777" w:rsidR="008015D6" w:rsidRPr="00F64ED6" w:rsidRDefault="008015D6" w:rsidP="00845DE7">
            <w:pPr>
              <w:tabs>
                <w:tab w:val="decimal" w:pos="413"/>
              </w:tabs>
              <w:spacing w:before="120"/>
              <w:rPr>
                <w:sz w:val="22"/>
                <w:szCs w:val="22"/>
              </w:rPr>
            </w:pPr>
            <w:r w:rsidRPr="00F64ED6">
              <w:rPr>
                <w:i/>
                <w:iCs/>
                <w:sz w:val="22"/>
                <w:szCs w:val="22"/>
              </w:rPr>
              <w:t>Bootstrapping for indirect effect</w:t>
            </w:r>
          </w:p>
        </w:tc>
        <w:tc>
          <w:tcPr>
            <w:tcW w:w="1134" w:type="dxa"/>
          </w:tcPr>
          <w:p w14:paraId="75936F04" w14:textId="77777777" w:rsidR="008015D6" w:rsidRPr="00F64ED6" w:rsidRDefault="008015D6" w:rsidP="00845DE7">
            <w:pPr>
              <w:tabs>
                <w:tab w:val="decimal" w:pos="413"/>
              </w:tabs>
              <w:spacing w:before="60"/>
              <w:rPr>
                <w:sz w:val="22"/>
                <w:szCs w:val="22"/>
              </w:rPr>
            </w:pPr>
          </w:p>
        </w:tc>
        <w:tc>
          <w:tcPr>
            <w:tcW w:w="426" w:type="dxa"/>
          </w:tcPr>
          <w:p w14:paraId="3416E52A" w14:textId="77777777" w:rsidR="008015D6" w:rsidRPr="00F64ED6" w:rsidRDefault="008015D6" w:rsidP="00845DE7">
            <w:pPr>
              <w:spacing w:before="60"/>
              <w:jc w:val="center"/>
              <w:rPr>
                <w:sz w:val="22"/>
                <w:szCs w:val="22"/>
              </w:rPr>
            </w:pPr>
          </w:p>
        </w:tc>
      </w:tr>
      <w:tr w:rsidR="008015D6" w:rsidRPr="00F64ED6" w14:paraId="73F21A96" w14:textId="77777777" w:rsidTr="00AB3C46">
        <w:trPr>
          <w:trHeight w:val="349"/>
          <w:jc w:val="center"/>
        </w:trPr>
        <w:tc>
          <w:tcPr>
            <w:tcW w:w="3402" w:type="dxa"/>
            <w:tcMar>
              <w:top w:w="15" w:type="dxa"/>
              <w:left w:w="93" w:type="dxa"/>
              <w:bottom w:w="0" w:type="dxa"/>
              <w:right w:w="93" w:type="dxa"/>
            </w:tcMar>
            <w:vAlign w:val="center"/>
          </w:tcPr>
          <w:p w14:paraId="6E65E795" w14:textId="77777777" w:rsidR="008015D6" w:rsidRPr="00F64ED6" w:rsidRDefault="008015D6" w:rsidP="00845DE7">
            <w:pPr>
              <w:spacing w:before="60"/>
              <w:rPr>
                <w:sz w:val="22"/>
                <w:szCs w:val="22"/>
              </w:rPr>
            </w:pPr>
          </w:p>
        </w:tc>
        <w:tc>
          <w:tcPr>
            <w:tcW w:w="1417" w:type="dxa"/>
            <w:tcMar>
              <w:top w:w="15" w:type="dxa"/>
              <w:left w:w="93" w:type="dxa"/>
              <w:bottom w:w="0" w:type="dxa"/>
              <w:right w:w="93" w:type="dxa"/>
            </w:tcMar>
            <w:vAlign w:val="center"/>
          </w:tcPr>
          <w:p w14:paraId="5672307F" w14:textId="77777777" w:rsidR="008015D6" w:rsidRPr="00F64ED6" w:rsidRDefault="008015D6" w:rsidP="00845DE7">
            <w:pPr>
              <w:spacing w:before="120"/>
              <w:jc w:val="center"/>
              <w:rPr>
                <w:sz w:val="22"/>
                <w:szCs w:val="22"/>
              </w:rPr>
            </w:pPr>
            <w:r w:rsidRPr="00F64ED6">
              <w:rPr>
                <w:sz w:val="22"/>
                <w:szCs w:val="22"/>
              </w:rPr>
              <w:t>Effect</w:t>
            </w:r>
          </w:p>
        </w:tc>
        <w:tc>
          <w:tcPr>
            <w:tcW w:w="1702" w:type="dxa"/>
            <w:vAlign w:val="center"/>
          </w:tcPr>
          <w:p w14:paraId="75BB4B3B" w14:textId="77777777" w:rsidR="008015D6" w:rsidRPr="00F64ED6" w:rsidRDefault="008015D6" w:rsidP="00845DE7">
            <w:pPr>
              <w:spacing w:before="120"/>
              <w:jc w:val="center"/>
              <w:rPr>
                <w:sz w:val="22"/>
                <w:szCs w:val="22"/>
              </w:rPr>
            </w:pPr>
            <w:r w:rsidRPr="00F64ED6">
              <w:rPr>
                <w:sz w:val="22"/>
                <w:szCs w:val="22"/>
              </w:rPr>
              <w:t>Standard error</w:t>
            </w:r>
          </w:p>
        </w:tc>
        <w:tc>
          <w:tcPr>
            <w:tcW w:w="1133" w:type="dxa"/>
          </w:tcPr>
          <w:p w14:paraId="2D420122" w14:textId="77777777" w:rsidR="008015D6" w:rsidRPr="00F64ED6" w:rsidRDefault="008015D6" w:rsidP="00845DE7">
            <w:pPr>
              <w:tabs>
                <w:tab w:val="decimal" w:pos="413"/>
              </w:tabs>
              <w:spacing w:before="120"/>
              <w:jc w:val="center"/>
              <w:rPr>
                <w:sz w:val="22"/>
                <w:szCs w:val="22"/>
              </w:rPr>
            </w:pPr>
            <w:r w:rsidRPr="00F64ED6">
              <w:rPr>
                <w:sz w:val="22"/>
                <w:szCs w:val="22"/>
              </w:rPr>
              <w:t>LL 95% CI</w:t>
            </w:r>
          </w:p>
        </w:tc>
        <w:tc>
          <w:tcPr>
            <w:tcW w:w="1134" w:type="dxa"/>
          </w:tcPr>
          <w:p w14:paraId="58324201" w14:textId="77777777" w:rsidR="008015D6" w:rsidRPr="00F64ED6" w:rsidRDefault="008015D6" w:rsidP="00845DE7">
            <w:pPr>
              <w:tabs>
                <w:tab w:val="decimal" w:pos="413"/>
              </w:tabs>
              <w:spacing w:before="120"/>
              <w:jc w:val="center"/>
              <w:rPr>
                <w:sz w:val="22"/>
                <w:szCs w:val="22"/>
              </w:rPr>
            </w:pPr>
            <w:r w:rsidRPr="00F64ED6">
              <w:rPr>
                <w:sz w:val="22"/>
                <w:szCs w:val="22"/>
              </w:rPr>
              <w:t>UL 95% CI</w:t>
            </w:r>
          </w:p>
        </w:tc>
        <w:tc>
          <w:tcPr>
            <w:tcW w:w="426" w:type="dxa"/>
          </w:tcPr>
          <w:p w14:paraId="1B1AF33D" w14:textId="77777777" w:rsidR="008015D6" w:rsidRPr="00F64ED6" w:rsidRDefault="008015D6" w:rsidP="00845DE7">
            <w:pPr>
              <w:spacing w:before="60"/>
              <w:jc w:val="center"/>
              <w:rPr>
                <w:sz w:val="22"/>
                <w:szCs w:val="22"/>
              </w:rPr>
            </w:pPr>
          </w:p>
        </w:tc>
      </w:tr>
      <w:tr w:rsidR="008015D6" w:rsidRPr="00F64ED6" w14:paraId="19B8EDD3" w14:textId="77777777" w:rsidTr="00AB3C46">
        <w:trPr>
          <w:trHeight w:val="349"/>
          <w:jc w:val="center"/>
        </w:trPr>
        <w:tc>
          <w:tcPr>
            <w:tcW w:w="3402" w:type="dxa"/>
            <w:tcBorders>
              <w:bottom w:val="single" w:sz="18" w:space="0" w:color="000000" w:themeColor="text1"/>
            </w:tcBorders>
            <w:tcMar>
              <w:top w:w="15" w:type="dxa"/>
              <w:left w:w="93" w:type="dxa"/>
              <w:bottom w:w="0" w:type="dxa"/>
              <w:right w:w="93" w:type="dxa"/>
            </w:tcMar>
            <w:vAlign w:val="center"/>
          </w:tcPr>
          <w:p w14:paraId="29F2EBDF" w14:textId="77777777" w:rsidR="008015D6" w:rsidRPr="00F64ED6" w:rsidRDefault="008015D6" w:rsidP="00845DE7">
            <w:pPr>
              <w:spacing w:before="60"/>
              <w:rPr>
                <w:sz w:val="22"/>
                <w:szCs w:val="22"/>
                <w:lang w:val="en-US"/>
              </w:rPr>
            </w:pPr>
            <w:r w:rsidRPr="00F64ED6">
              <w:rPr>
                <w:color w:val="000000"/>
                <w:sz w:val="22"/>
                <w:szCs w:val="22"/>
              </w:rPr>
              <w:lastRenderedPageBreak/>
              <w:t>Indirect effect of social support on social integration via subjective well-being</w:t>
            </w:r>
          </w:p>
        </w:tc>
        <w:tc>
          <w:tcPr>
            <w:tcW w:w="1417" w:type="dxa"/>
            <w:tcBorders>
              <w:bottom w:val="single" w:sz="18" w:space="0" w:color="000000" w:themeColor="text1"/>
            </w:tcBorders>
            <w:tcMar>
              <w:top w:w="15" w:type="dxa"/>
              <w:left w:w="93" w:type="dxa"/>
              <w:bottom w:w="0" w:type="dxa"/>
              <w:right w:w="93" w:type="dxa"/>
            </w:tcMar>
            <w:vAlign w:val="center"/>
          </w:tcPr>
          <w:p w14:paraId="674F9BC2" w14:textId="77777777" w:rsidR="008015D6" w:rsidRPr="00F64ED6" w:rsidRDefault="008015D6" w:rsidP="00845DE7">
            <w:pPr>
              <w:spacing w:before="60"/>
              <w:jc w:val="center"/>
              <w:rPr>
                <w:sz w:val="22"/>
                <w:szCs w:val="22"/>
                <w:lang w:val="en-US"/>
              </w:rPr>
            </w:pPr>
            <w:r w:rsidRPr="00F64ED6">
              <w:rPr>
                <w:sz w:val="22"/>
                <w:szCs w:val="22"/>
              </w:rPr>
              <w:t>0.043</w:t>
            </w:r>
          </w:p>
        </w:tc>
        <w:tc>
          <w:tcPr>
            <w:tcW w:w="1702" w:type="dxa"/>
            <w:tcBorders>
              <w:bottom w:val="single" w:sz="18" w:space="0" w:color="000000" w:themeColor="text1"/>
            </w:tcBorders>
            <w:vAlign w:val="center"/>
          </w:tcPr>
          <w:p w14:paraId="741741D5" w14:textId="77777777" w:rsidR="008015D6" w:rsidRPr="00F64ED6" w:rsidRDefault="008015D6" w:rsidP="00845DE7">
            <w:pPr>
              <w:spacing w:before="60"/>
              <w:jc w:val="center"/>
              <w:rPr>
                <w:sz w:val="22"/>
                <w:szCs w:val="22"/>
                <w:lang w:val="en-US"/>
              </w:rPr>
            </w:pPr>
            <w:r w:rsidRPr="00F64ED6">
              <w:rPr>
                <w:sz w:val="22"/>
                <w:szCs w:val="22"/>
              </w:rPr>
              <w:t>0.010</w:t>
            </w:r>
          </w:p>
        </w:tc>
        <w:tc>
          <w:tcPr>
            <w:tcW w:w="1133" w:type="dxa"/>
            <w:tcBorders>
              <w:bottom w:val="single" w:sz="18" w:space="0" w:color="000000" w:themeColor="text1"/>
            </w:tcBorders>
            <w:vAlign w:val="center"/>
          </w:tcPr>
          <w:p w14:paraId="3B4578D9" w14:textId="77777777" w:rsidR="008015D6" w:rsidRPr="00F64ED6" w:rsidRDefault="008015D6" w:rsidP="00845DE7">
            <w:pPr>
              <w:spacing w:before="60"/>
              <w:jc w:val="center"/>
              <w:rPr>
                <w:sz w:val="22"/>
                <w:szCs w:val="22"/>
                <w:lang w:val="en-GB"/>
              </w:rPr>
            </w:pPr>
            <w:r w:rsidRPr="00F64ED6">
              <w:rPr>
                <w:sz w:val="22"/>
                <w:szCs w:val="22"/>
              </w:rPr>
              <w:t>-0.068</w:t>
            </w:r>
          </w:p>
        </w:tc>
        <w:tc>
          <w:tcPr>
            <w:tcW w:w="1134" w:type="dxa"/>
            <w:tcBorders>
              <w:bottom w:val="single" w:sz="18" w:space="0" w:color="000000" w:themeColor="text1"/>
            </w:tcBorders>
            <w:vAlign w:val="center"/>
          </w:tcPr>
          <w:p w14:paraId="7339E908" w14:textId="77777777" w:rsidR="008015D6" w:rsidRPr="00F64ED6" w:rsidRDefault="008015D6" w:rsidP="00845DE7">
            <w:pPr>
              <w:spacing w:before="60"/>
              <w:jc w:val="center"/>
              <w:rPr>
                <w:sz w:val="22"/>
                <w:szCs w:val="22"/>
                <w:lang w:val="en-GB"/>
              </w:rPr>
            </w:pPr>
            <w:r w:rsidRPr="00F64ED6">
              <w:rPr>
                <w:sz w:val="22"/>
                <w:szCs w:val="22"/>
              </w:rPr>
              <w:t>-0.018</w:t>
            </w:r>
          </w:p>
        </w:tc>
        <w:tc>
          <w:tcPr>
            <w:tcW w:w="426" w:type="dxa"/>
            <w:tcBorders>
              <w:bottom w:val="single" w:sz="4" w:space="0" w:color="auto"/>
            </w:tcBorders>
          </w:tcPr>
          <w:p w14:paraId="0FADCDB2" w14:textId="77777777" w:rsidR="008015D6" w:rsidRPr="00F64ED6" w:rsidRDefault="008015D6" w:rsidP="00845DE7">
            <w:pPr>
              <w:spacing w:before="60"/>
              <w:jc w:val="center"/>
              <w:rPr>
                <w:sz w:val="22"/>
                <w:szCs w:val="22"/>
                <w:lang w:val="en-GB"/>
              </w:rPr>
            </w:pPr>
          </w:p>
        </w:tc>
      </w:tr>
      <w:tr w:rsidR="008015D6" w:rsidRPr="00F64ED6" w14:paraId="1A0CC7F7" w14:textId="77777777" w:rsidTr="00AB3C46">
        <w:trPr>
          <w:trHeight w:val="349"/>
          <w:jc w:val="center"/>
        </w:trPr>
        <w:tc>
          <w:tcPr>
            <w:tcW w:w="9214" w:type="dxa"/>
            <w:gridSpan w:val="6"/>
            <w:tcBorders>
              <w:top w:val="single" w:sz="18" w:space="0" w:color="000000" w:themeColor="text1"/>
            </w:tcBorders>
            <w:tcMar>
              <w:top w:w="15" w:type="dxa"/>
              <w:left w:w="93" w:type="dxa"/>
              <w:bottom w:w="0" w:type="dxa"/>
              <w:right w:w="93" w:type="dxa"/>
            </w:tcMar>
            <w:vAlign w:val="center"/>
          </w:tcPr>
          <w:p w14:paraId="6688680E" w14:textId="77777777" w:rsidR="008015D6" w:rsidRPr="00F64ED6" w:rsidRDefault="008015D6" w:rsidP="00AB3C46">
            <w:pPr>
              <w:ind w:firstLine="51"/>
              <w:jc w:val="both"/>
              <w:rPr>
                <w:sz w:val="22"/>
                <w:szCs w:val="22"/>
                <w:lang w:val="pt-PT"/>
              </w:rPr>
            </w:pPr>
            <w:r w:rsidRPr="00F64ED6">
              <w:rPr>
                <w:sz w:val="22"/>
                <w:szCs w:val="22"/>
              </w:rPr>
              <w:t>Valid N = 1723. Non-standardized coefficients are reported. 5000 bootstrap samples. IC – Confidence interval. LL – Lower Limit. USL– Upper Limit.</w:t>
            </w:r>
          </w:p>
        </w:tc>
      </w:tr>
      <w:tr w:rsidR="008015D6" w:rsidRPr="00F64ED6" w14:paraId="3B8342EF" w14:textId="77777777" w:rsidTr="00AB3C46">
        <w:trPr>
          <w:trHeight w:val="66"/>
          <w:jc w:val="center"/>
        </w:trPr>
        <w:tc>
          <w:tcPr>
            <w:tcW w:w="9214" w:type="dxa"/>
            <w:gridSpan w:val="6"/>
            <w:tcMar>
              <w:top w:w="15" w:type="dxa"/>
              <w:left w:w="93" w:type="dxa"/>
              <w:bottom w:w="0" w:type="dxa"/>
              <w:right w:w="93" w:type="dxa"/>
            </w:tcMar>
            <w:vAlign w:val="center"/>
          </w:tcPr>
          <w:p w14:paraId="77601144" w14:textId="77777777" w:rsidR="008015D6" w:rsidRPr="00F64ED6" w:rsidRDefault="008015D6" w:rsidP="00845DE7">
            <w:pPr>
              <w:rPr>
                <w:sz w:val="22"/>
                <w:szCs w:val="22"/>
              </w:rPr>
            </w:pPr>
            <w:r w:rsidRPr="00F64ED6">
              <w:rPr>
                <w:sz w:val="22"/>
                <w:szCs w:val="22"/>
              </w:rPr>
              <w:t>Source: ISSP Round 2017 (GESIS, 2019). Own calculations.</w:t>
            </w:r>
          </w:p>
        </w:tc>
      </w:tr>
    </w:tbl>
    <w:p w14:paraId="0D0721F6" w14:textId="76963E69" w:rsidR="003A3413" w:rsidRDefault="003A3413">
      <w:pPr>
        <w:pBdr>
          <w:top w:val="nil"/>
          <w:left w:val="nil"/>
          <w:bottom w:val="nil"/>
          <w:right w:val="nil"/>
          <w:between w:val="nil"/>
        </w:pBdr>
        <w:spacing w:line="360" w:lineRule="auto"/>
        <w:jc w:val="both"/>
        <w:rPr>
          <w:color w:val="000000"/>
        </w:rPr>
      </w:pPr>
    </w:p>
    <w:p w14:paraId="65AE85D3" w14:textId="0373A589" w:rsidR="003A3413" w:rsidRDefault="00000000" w:rsidP="00AB3C46">
      <w:pPr>
        <w:pBdr>
          <w:top w:val="nil"/>
          <w:left w:val="nil"/>
          <w:bottom w:val="nil"/>
          <w:right w:val="nil"/>
          <w:between w:val="nil"/>
        </w:pBdr>
        <w:spacing w:line="360" w:lineRule="auto"/>
        <w:jc w:val="center"/>
        <w:rPr>
          <w:b/>
          <w:color w:val="000000"/>
        </w:rPr>
      </w:pPr>
      <w:r>
        <w:rPr>
          <w:b/>
          <w:color w:val="000000"/>
        </w:rPr>
        <w:t>Discussion</w:t>
      </w:r>
      <w:r w:rsidR="00AB3C46">
        <w:rPr>
          <w:b/>
          <w:color w:val="000000"/>
        </w:rPr>
        <w:t xml:space="preserve"> </w:t>
      </w:r>
      <w:r w:rsidR="00AB3C46" w:rsidRPr="00AB3C46">
        <w:rPr>
          <w:b/>
          <w:color w:val="000000"/>
        </w:rPr>
        <w:t>and</w:t>
      </w:r>
      <w:r w:rsidR="00AB3C46">
        <w:rPr>
          <w:b/>
          <w:color w:val="000000"/>
        </w:rPr>
        <w:t xml:space="preserve"> Conclusions</w:t>
      </w:r>
    </w:p>
    <w:p w14:paraId="35B20761" w14:textId="3B4784DE" w:rsidR="00AB3C46" w:rsidRPr="00AB3C46" w:rsidRDefault="00AB3C46" w:rsidP="00AB3C46">
      <w:pPr>
        <w:pBdr>
          <w:top w:val="nil"/>
          <w:left w:val="nil"/>
          <w:bottom w:val="nil"/>
          <w:right w:val="nil"/>
          <w:between w:val="nil"/>
        </w:pBdr>
        <w:spacing w:line="360" w:lineRule="auto"/>
        <w:ind w:firstLine="708"/>
        <w:jc w:val="both"/>
        <w:rPr>
          <w:color w:val="000000"/>
        </w:rPr>
      </w:pPr>
      <w:r w:rsidRPr="00AB3C46">
        <w:rPr>
          <w:color w:val="000000"/>
        </w:rPr>
        <w:t>The present study sought to deepen the understanding of the dynamics between the perception of social inequalities, social integration, social support, and subjective well-being in the Spanish context, using a robust statistical analysis theoretically anchored in the social sciences. The results revealed some critical insights about the psychosocial mechanisms that operate at the interface between social structures and subjective experiences.</w:t>
      </w:r>
    </w:p>
    <w:p w14:paraId="09D1E7A3" w14:textId="77777777" w:rsidR="00AB3C46" w:rsidRPr="00AB3C46" w:rsidRDefault="00AB3C46" w:rsidP="00AB3C46">
      <w:pPr>
        <w:pBdr>
          <w:top w:val="nil"/>
          <w:left w:val="nil"/>
          <w:bottom w:val="nil"/>
          <w:right w:val="nil"/>
          <w:between w:val="nil"/>
        </w:pBdr>
        <w:spacing w:line="360" w:lineRule="auto"/>
        <w:ind w:firstLine="708"/>
        <w:jc w:val="both"/>
        <w:rPr>
          <w:color w:val="000000"/>
        </w:rPr>
      </w:pPr>
      <w:r w:rsidRPr="00AB3C46">
        <w:rPr>
          <w:color w:val="000000"/>
        </w:rPr>
        <w:t>The hypothesis that the perception of social inequalities compromises social integration (H1) was confirmed, reinforcing the thesis that inequalities, perceived as unfair, illegitimate, and structurally determined, erode the bonds of belonging and social cohesion. This finding corroborates the classical and contemporary approaches of social theory that point to the relational and symbolic character of social exclusion, where the feeling of marginalization does not result only from material scarcity, but from the erosion of social recognition and legitimation.</w:t>
      </w:r>
    </w:p>
    <w:p w14:paraId="54B0120F" w14:textId="77777777" w:rsidR="00AB3C46" w:rsidRPr="00AB3C46" w:rsidRDefault="00AB3C46" w:rsidP="00AB3C46">
      <w:pPr>
        <w:pBdr>
          <w:top w:val="nil"/>
          <w:left w:val="nil"/>
          <w:bottom w:val="nil"/>
          <w:right w:val="nil"/>
          <w:between w:val="nil"/>
        </w:pBdr>
        <w:spacing w:line="360" w:lineRule="auto"/>
        <w:ind w:firstLine="708"/>
        <w:jc w:val="both"/>
        <w:rPr>
          <w:color w:val="000000"/>
        </w:rPr>
      </w:pPr>
      <w:r w:rsidRPr="00AB3C46">
        <w:rPr>
          <w:color w:val="000000"/>
        </w:rPr>
        <w:t>The moderation hypothesis (H2) was confirmed. Still, the simple effects indicate that this moderation acts asymmetrically: the perception of social inequalities strongly compromises social integration among individuals with low subjective well-being, and this effect is attenuated at medium levels and practically non-existent at high levels. This finding indicates that well-being works as a psychosocial buffer, although its protective capacity varies according to its level. This finding is particularly relevant as it suggests that, as indicated by the literature (Zhang &amp; Churchill, 2020; Ge et al., 2021; He et al., 2022), well-being acts as a resilient psychological resource, capable of partially mitigating the disaggregating effects of social inequalities. This is empirical evidence that contributes to the literature on protective factors in contexts of structural vulnerability, reinforcing the role of the subjective dimensions of quality of life in the maintenance of the social fabric.</w:t>
      </w:r>
    </w:p>
    <w:p w14:paraId="01B1ABFC" w14:textId="77777777" w:rsidR="00AB3C46" w:rsidRPr="00AB3C46" w:rsidRDefault="00AB3C46" w:rsidP="00AB3C46">
      <w:pPr>
        <w:pBdr>
          <w:top w:val="nil"/>
          <w:left w:val="nil"/>
          <w:bottom w:val="nil"/>
          <w:right w:val="nil"/>
          <w:between w:val="nil"/>
        </w:pBdr>
        <w:spacing w:line="360" w:lineRule="auto"/>
        <w:ind w:firstLine="708"/>
        <w:jc w:val="both"/>
        <w:rPr>
          <w:color w:val="000000"/>
        </w:rPr>
      </w:pPr>
      <w:r w:rsidRPr="00AB3C46">
        <w:rPr>
          <w:color w:val="000000"/>
        </w:rPr>
        <w:t xml:space="preserve">Regarding the second part of the research, no empirical support was found for the existence of a direct effect between social support on social networks and subjective well-being (H3), which contradicts part of the classical literature on the direct impact of support networks, although there </w:t>
      </w:r>
      <w:r w:rsidRPr="00AB3C46">
        <w:rPr>
          <w:color w:val="000000"/>
        </w:rPr>
        <w:lastRenderedPageBreak/>
        <w:t>was a total effect. However, the mediation hypothesis (H4) was confirmed: the data indicates that social integration significantly mediates this relationship, revealing that the impact of social support is only manifested on subjective well-being to the extent that this support is incorporated into meaningful social relationships, capable of generating a sense of belonging and interpersonal appreciation.</w:t>
      </w:r>
    </w:p>
    <w:p w14:paraId="181F908E" w14:textId="77777777" w:rsidR="00AB3C46" w:rsidRPr="00AB3C46" w:rsidRDefault="00AB3C46" w:rsidP="00AB3C46">
      <w:pPr>
        <w:pBdr>
          <w:top w:val="nil"/>
          <w:left w:val="nil"/>
          <w:bottom w:val="nil"/>
          <w:right w:val="nil"/>
          <w:between w:val="nil"/>
        </w:pBdr>
        <w:spacing w:line="360" w:lineRule="auto"/>
        <w:ind w:firstLine="708"/>
        <w:jc w:val="both"/>
        <w:rPr>
          <w:color w:val="000000"/>
        </w:rPr>
      </w:pPr>
      <w:r w:rsidRPr="00AB3C46">
        <w:rPr>
          <w:color w:val="000000"/>
        </w:rPr>
        <w:t>This mediation – in the absence of a direct effect – accounts for a more complex relational dynamic, in which social support is not, by itself, sufficient to promote subjective well-being, unless it is contextualized in a network of integrated relationships. This is a result that corroborates the perspective of Deelstra et al. (2003), as it forces us to rethink the one-dimensional models of support and well-being, underlining the relevance of social recognition structures as indispensable mediators in the subjective experience of quality of life.</w:t>
      </w:r>
    </w:p>
    <w:p w14:paraId="32C9AA92" w14:textId="32355AB7" w:rsidR="00AB3C46" w:rsidRPr="00AB3C46" w:rsidRDefault="00AB3C46" w:rsidP="00AB3C46">
      <w:pPr>
        <w:pBdr>
          <w:top w:val="nil"/>
          <w:left w:val="nil"/>
          <w:bottom w:val="nil"/>
          <w:right w:val="nil"/>
          <w:between w:val="nil"/>
        </w:pBdr>
        <w:spacing w:line="360" w:lineRule="auto"/>
        <w:ind w:firstLine="708"/>
        <w:jc w:val="both"/>
        <w:rPr>
          <w:color w:val="000000"/>
        </w:rPr>
      </w:pPr>
      <w:r w:rsidRPr="00AB3C46">
        <w:rPr>
          <w:color w:val="000000"/>
        </w:rPr>
        <w:t>Taken together, the results point to the need for a more holistic approach developed at different levels of analysis of subjective well-being, which takes into account both subjective and relational resources and the structural constraints of social life (Yu &amp; Chen, 2016; Arrondo et al., 2021). Social integration emerges as a critical link between support and well-being, as well as between inequality and exclusion, functioning sometimes as a mediator, as a direct product of the social contexts experienced.</w:t>
      </w:r>
    </w:p>
    <w:p w14:paraId="7DA17335" w14:textId="77777777" w:rsidR="00AB3C46" w:rsidRPr="00AB3C46" w:rsidRDefault="00AB3C46" w:rsidP="00AB3C46">
      <w:pPr>
        <w:pBdr>
          <w:top w:val="nil"/>
          <w:left w:val="nil"/>
          <w:bottom w:val="nil"/>
          <w:right w:val="nil"/>
          <w:between w:val="nil"/>
        </w:pBdr>
        <w:spacing w:line="360" w:lineRule="auto"/>
        <w:ind w:firstLine="708"/>
        <w:jc w:val="both"/>
        <w:rPr>
          <w:color w:val="000000"/>
        </w:rPr>
      </w:pPr>
      <w:r w:rsidRPr="00AB3C46">
        <w:rPr>
          <w:color w:val="000000"/>
        </w:rPr>
        <w:t>This study thus provides a relevant contribution to the field of applied social sciences, particularly in understanding psychosocial vulnerabilities in societies marked by social inequalities. In terms of practical implications, the results suggest that public policies to combat inequality should be accompanied by strategies to strengthen community bonds and support networks, focusing not only on the redistribution of resources but also on social recognition (Honneth, 1996; Fraser &amp; Honneth, 2004) and symbolic cohesion.</w:t>
      </w:r>
    </w:p>
    <w:p w14:paraId="4AC2917C" w14:textId="77777777" w:rsidR="0052063D" w:rsidRDefault="00AB3C46" w:rsidP="00AB3C46">
      <w:pPr>
        <w:pBdr>
          <w:top w:val="nil"/>
          <w:left w:val="nil"/>
          <w:bottom w:val="nil"/>
          <w:right w:val="nil"/>
          <w:between w:val="nil"/>
        </w:pBdr>
        <w:spacing w:line="360" w:lineRule="auto"/>
        <w:ind w:firstLine="708"/>
        <w:jc w:val="both"/>
        <w:rPr>
          <w:color w:val="000000"/>
        </w:rPr>
      </w:pPr>
      <w:r w:rsidRPr="00AB3C46">
        <w:rPr>
          <w:color w:val="000000"/>
        </w:rPr>
        <w:t>Finally, the limitations regarding the cross-sectional nature of the data, the self-perception of the respondents, and the cultural specificity of the Spanish case are recognized. Therefore, future research may benefit from longitudinal and comparative analyses, integrating the broader cultural and historical dimensions, to capture the complexity and plasticity of the relationships between inequality, support, and well-being in contemporary societies.</w:t>
      </w:r>
    </w:p>
    <w:p w14:paraId="2893300F" w14:textId="77777777" w:rsidR="0052063D" w:rsidRDefault="0052063D" w:rsidP="00AB3C46">
      <w:pPr>
        <w:pBdr>
          <w:top w:val="nil"/>
          <w:left w:val="nil"/>
          <w:bottom w:val="nil"/>
          <w:right w:val="nil"/>
          <w:between w:val="nil"/>
        </w:pBdr>
        <w:spacing w:line="360" w:lineRule="auto"/>
        <w:ind w:firstLine="708"/>
        <w:jc w:val="both"/>
        <w:rPr>
          <w:color w:val="000000"/>
        </w:rPr>
      </w:pPr>
    </w:p>
    <w:p w14:paraId="004B3017" w14:textId="77777777" w:rsidR="0052063D" w:rsidRDefault="0052063D" w:rsidP="00AB3C46">
      <w:pPr>
        <w:pBdr>
          <w:top w:val="nil"/>
          <w:left w:val="nil"/>
          <w:bottom w:val="nil"/>
          <w:right w:val="nil"/>
          <w:between w:val="nil"/>
        </w:pBdr>
        <w:spacing w:line="360" w:lineRule="auto"/>
        <w:ind w:firstLine="708"/>
        <w:jc w:val="both"/>
        <w:rPr>
          <w:color w:val="000000"/>
        </w:rPr>
      </w:pPr>
    </w:p>
    <w:p w14:paraId="736D6CFE" w14:textId="77777777" w:rsidR="0052063D" w:rsidRDefault="0052063D" w:rsidP="0052063D">
      <w:pPr>
        <w:spacing w:after="240"/>
        <w:rPr>
          <w:rFonts w:ascii="Garamond" w:hAnsi="Garamond" w:cs="Arial"/>
          <w:b/>
          <w:bCs/>
        </w:rPr>
      </w:pPr>
    </w:p>
    <w:p w14:paraId="637428BC" w14:textId="77777777" w:rsidR="0052063D" w:rsidRPr="0052063D" w:rsidRDefault="0052063D" w:rsidP="0052063D">
      <w:pPr>
        <w:spacing w:line="360" w:lineRule="auto"/>
        <w:jc w:val="center"/>
        <w:rPr>
          <w:b/>
          <w:bCs/>
          <w:lang w:val="en-US"/>
        </w:rPr>
      </w:pPr>
      <w:r w:rsidRPr="0052063D">
        <w:rPr>
          <w:b/>
          <w:bCs/>
        </w:rPr>
        <w:lastRenderedPageBreak/>
        <w:t>Ethical Considerations</w:t>
      </w:r>
    </w:p>
    <w:p w14:paraId="51C73CCB" w14:textId="78D15560" w:rsidR="0052063D" w:rsidRPr="0052063D" w:rsidRDefault="0052063D" w:rsidP="0052063D">
      <w:pPr>
        <w:spacing w:after="240" w:line="360" w:lineRule="auto"/>
        <w:ind w:firstLine="720"/>
        <w:jc w:val="both"/>
        <w:rPr>
          <w:lang w:val="en-US"/>
        </w:rPr>
      </w:pPr>
      <w:r w:rsidRPr="0052063D">
        <w:t>In this study, the ethical principles established for research involving individuals were followed, in accordance with the legal and institutional norms in force in Portugal. All the guidelines of the Universal Declaration of Ethical Principles for Psychologists (IAAP &amp; IUPsyS, 2008) and the International Ethical Guidelines for Biomedical Studies with Human Participation (CIOMS, WHO &amp; PAHO, 2016) were fully respected. In addition, the guidelines of the International Union of Psychological Science (ISP, 1978, 2008a, 2008b, 2014, 2016, 2018, 2019) regarding ethical conduct in research were considered.</w:t>
      </w:r>
    </w:p>
    <w:p w14:paraId="44B666CA" w14:textId="77AD15AC" w:rsidR="0052063D" w:rsidRPr="0052063D" w:rsidRDefault="0052063D" w:rsidP="0052063D">
      <w:pPr>
        <w:spacing w:line="360" w:lineRule="auto"/>
        <w:jc w:val="center"/>
        <w:rPr>
          <w:b/>
          <w:bCs/>
          <w:lang w:val="en-US"/>
        </w:rPr>
      </w:pPr>
      <w:r w:rsidRPr="0052063D">
        <w:rPr>
          <w:b/>
          <w:bCs/>
        </w:rPr>
        <w:t>Conflict of Interest</w:t>
      </w:r>
    </w:p>
    <w:p w14:paraId="249238EA" w14:textId="77777777" w:rsidR="0052063D" w:rsidRPr="0052063D" w:rsidRDefault="0052063D" w:rsidP="0052063D">
      <w:pPr>
        <w:spacing w:after="240" w:line="360" w:lineRule="auto"/>
        <w:ind w:firstLine="720"/>
        <w:jc w:val="both"/>
        <w:rPr>
          <w:lang w:val="en-PT"/>
        </w:rPr>
      </w:pPr>
      <w:r w:rsidRPr="0052063D">
        <w:t>I declare that I have no conflicts of interest related to the creation and dissemination of this work. All analyses, interpretations, and conclusions accurately represent my academic and intellectual responsibility.</w:t>
      </w:r>
    </w:p>
    <w:p w14:paraId="189E2135" w14:textId="25426F92" w:rsidR="0052063D" w:rsidRPr="0052063D" w:rsidRDefault="0052063D" w:rsidP="0052063D">
      <w:pPr>
        <w:spacing w:line="360" w:lineRule="auto"/>
        <w:jc w:val="center"/>
        <w:rPr>
          <w:b/>
          <w:bCs/>
          <w:lang w:val="en-US"/>
        </w:rPr>
      </w:pPr>
      <w:r w:rsidRPr="0052063D">
        <w:rPr>
          <w:b/>
          <w:bCs/>
        </w:rPr>
        <w:t>Statement on the Availability of the Survey Base</w:t>
      </w:r>
    </w:p>
    <w:p w14:paraId="056CAA93" w14:textId="77777777" w:rsidR="0052063D" w:rsidRPr="0052063D" w:rsidRDefault="0052063D" w:rsidP="0052063D">
      <w:pPr>
        <w:spacing w:after="240" w:line="360" w:lineRule="auto"/>
        <w:ind w:firstLine="720"/>
        <w:jc w:val="both"/>
        <w:rPr>
          <w:lang w:val="en-US"/>
        </w:rPr>
      </w:pPr>
      <w:r w:rsidRPr="0052063D">
        <w:t>I agree to make the processed data supporting the conclusions in this article available, without unnecessary restrictions. The original raw data (originals) are already accessible for consultation and download (</w:t>
      </w:r>
      <w:hyperlink r:id="rId11" w:history="1">
        <w:r w:rsidRPr="0052063D">
          <w:rPr>
            <w:rStyle w:val="Hyperlink"/>
            <w:rFonts w:eastAsiaTheme="majorEastAsia"/>
          </w:rPr>
          <w:t>Datasets</w:t>
        </w:r>
      </w:hyperlink>
      <w:r w:rsidRPr="0052063D">
        <w:t>).</w:t>
      </w:r>
    </w:p>
    <w:p w14:paraId="34D88559" w14:textId="23B25EB0" w:rsidR="0052063D" w:rsidRPr="0052063D" w:rsidRDefault="0052063D" w:rsidP="0052063D">
      <w:pPr>
        <w:spacing w:line="360" w:lineRule="auto"/>
        <w:jc w:val="center"/>
        <w:rPr>
          <w:b/>
          <w:bCs/>
          <w:lang w:val="en-US"/>
        </w:rPr>
      </w:pPr>
      <w:r w:rsidRPr="0052063D">
        <w:rPr>
          <w:b/>
          <w:bCs/>
        </w:rPr>
        <w:t>Acknowledgments</w:t>
      </w:r>
    </w:p>
    <w:p w14:paraId="718066CB" w14:textId="77777777" w:rsidR="0052063D" w:rsidRPr="0052063D" w:rsidRDefault="0052063D" w:rsidP="0052063D">
      <w:pPr>
        <w:spacing w:line="360" w:lineRule="auto"/>
        <w:ind w:firstLine="720"/>
        <w:jc w:val="both"/>
      </w:pPr>
      <w:r w:rsidRPr="0052063D">
        <w:t>I express my deepest gratitude to Professor Helena Carvalho, whose admirable expertise in data analysis, methodological rigor, and academic sensitivity was crucial in this journey. Her generous availability, attentive appreciation, and ability to identify areas of analytical silence proved essential for the development of this article.</w:t>
      </w:r>
    </w:p>
    <w:p w14:paraId="65F4742D" w14:textId="77777777" w:rsidR="0052063D" w:rsidRPr="0052063D" w:rsidRDefault="0052063D" w:rsidP="0052063D">
      <w:pPr>
        <w:spacing w:after="240" w:line="360" w:lineRule="auto"/>
        <w:ind w:firstLine="720"/>
        <w:jc w:val="both"/>
        <w:rPr>
          <w:i/>
          <w:iCs/>
          <w:lang w:val="en-US"/>
        </w:rPr>
      </w:pPr>
      <w:r w:rsidRPr="0052063D">
        <w:rPr>
          <w:color w:val="000000"/>
        </w:rPr>
        <w:t>I also want to thank my friend, researcher Elizabeth Challinor, for her generous revision of the text and her valuable contributions to improving the use of the English language, especially in areas that require native-level linguistic mastery.</w:t>
      </w:r>
    </w:p>
    <w:p w14:paraId="00ADFFA3" w14:textId="5F80892B" w:rsidR="003A3413" w:rsidRPr="0052063D" w:rsidRDefault="00000000" w:rsidP="0052063D">
      <w:pPr>
        <w:pBdr>
          <w:top w:val="nil"/>
          <w:left w:val="nil"/>
          <w:bottom w:val="nil"/>
          <w:right w:val="nil"/>
          <w:between w:val="nil"/>
        </w:pBdr>
        <w:spacing w:line="360" w:lineRule="auto"/>
        <w:ind w:firstLine="708"/>
        <w:jc w:val="both"/>
        <w:rPr>
          <w:color w:val="000000"/>
        </w:rPr>
      </w:pPr>
      <w:r w:rsidRPr="0052063D">
        <w:br w:type="page"/>
      </w:r>
    </w:p>
    <w:p w14:paraId="2E34CEDB" w14:textId="6BF113CF" w:rsidR="003A3413" w:rsidRDefault="00000000">
      <w:pPr>
        <w:pBdr>
          <w:top w:val="nil"/>
          <w:left w:val="nil"/>
          <w:bottom w:val="nil"/>
          <w:right w:val="nil"/>
          <w:between w:val="nil"/>
        </w:pBdr>
        <w:jc w:val="center"/>
        <w:rPr>
          <w:b/>
          <w:color w:val="000000"/>
        </w:rPr>
      </w:pPr>
      <w:r>
        <w:rPr>
          <w:b/>
          <w:color w:val="000000"/>
        </w:rPr>
        <w:lastRenderedPageBreak/>
        <w:t>References</w:t>
      </w:r>
    </w:p>
    <w:p w14:paraId="5E34FEC5" w14:textId="77777777" w:rsidR="0089064A" w:rsidRPr="0089064A" w:rsidRDefault="0089064A" w:rsidP="0089064A">
      <w:pPr>
        <w:ind w:left="426" w:hanging="426"/>
        <w:jc w:val="both"/>
        <w:rPr>
          <w:rFonts w:eastAsiaTheme="majorEastAsia"/>
          <w:lang w:val="en-US"/>
        </w:rPr>
      </w:pPr>
      <w:r w:rsidRPr="0089064A">
        <w:rPr>
          <w:lang w:val="en-US"/>
        </w:rPr>
        <w:t>Acoba, E. F. (2024).</w:t>
      </w:r>
      <w:r w:rsidRPr="0089064A">
        <w:rPr>
          <w:rFonts w:eastAsiaTheme="majorEastAsia"/>
          <w:lang w:val="en-US"/>
        </w:rPr>
        <w:t> Social support and mental health: The mediating role of perceived stress. </w:t>
      </w:r>
      <w:r w:rsidRPr="0089064A">
        <w:rPr>
          <w:rFonts w:eastAsiaTheme="majorEastAsia"/>
          <w:i/>
          <w:iCs/>
          <w:lang w:val="en-US"/>
        </w:rPr>
        <w:t>Frontiers in Psychology, 15</w:t>
      </w:r>
      <w:r w:rsidRPr="0089064A">
        <w:rPr>
          <w:rFonts w:eastAsiaTheme="majorEastAsia"/>
          <w:lang w:val="en-US"/>
        </w:rPr>
        <w:t xml:space="preserve">, 1330720. DOI: </w:t>
      </w:r>
      <w:hyperlink r:id="rId12" w:history="1">
        <w:r w:rsidRPr="0089064A">
          <w:rPr>
            <w:rStyle w:val="Hyperlink"/>
            <w:lang w:val="en-US"/>
          </w:rPr>
          <w:t>https://doi.org/10.3389/fpsyg.2024.1330720</w:t>
        </w:r>
      </w:hyperlink>
    </w:p>
    <w:p w14:paraId="321EBC69" w14:textId="77777777" w:rsidR="0089064A" w:rsidRPr="0089064A" w:rsidRDefault="0089064A" w:rsidP="0089064A">
      <w:pPr>
        <w:ind w:left="426" w:hanging="426"/>
        <w:jc w:val="both"/>
        <w:rPr>
          <w:lang w:val="de-DE"/>
        </w:rPr>
      </w:pPr>
      <w:r w:rsidRPr="0089064A">
        <w:rPr>
          <w:lang w:val="en-US"/>
        </w:rPr>
        <w:t xml:space="preserve">Arrondo, R., Cárcaba, A. &amp; González, E. (2021). Drivers of Subjective Well-Being Under Different Economic Scenarios. </w:t>
      </w:r>
      <w:r w:rsidRPr="0089064A">
        <w:rPr>
          <w:i/>
          <w:iCs/>
          <w:lang w:val="de-DE"/>
        </w:rPr>
        <w:t>Frontiers in Psychol</w:t>
      </w:r>
      <w:r w:rsidRPr="0089064A">
        <w:rPr>
          <w:lang w:val="de-DE"/>
        </w:rPr>
        <w:t xml:space="preserve">ogy, 12: 696184. DOI: </w:t>
      </w:r>
      <w:hyperlink r:id="rId13" w:history="1">
        <w:r w:rsidRPr="0089064A">
          <w:rPr>
            <w:rStyle w:val="Hyperlink"/>
            <w:lang w:val="de-DE"/>
          </w:rPr>
          <w:t>https://doi.org/10.3389/fpsyg.2021.696184</w:t>
        </w:r>
      </w:hyperlink>
      <w:r w:rsidRPr="0089064A">
        <w:rPr>
          <w:lang w:val="de-DE"/>
        </w:rPr>
        <w:t xml:space="preserve"> </w:t>
      </w:r>
    </w:p>
    <w:p w14:paraId="602ED0C0" w14:textId="77777777" w:rsidR="0089064A" w:rsidRPr="0089064A" w:rsidRDefault="0089064A" w:rsidP="0089064A">
      <w:pPr>
        <w:ind w:left="426" w:hanging="426"/>
        <w:jc w:val="both"/>
        <w:rPr>
          <w:lang w:val="en-US"/>
        </w:rPr>
      </w:pPr>
      <w:r w:rsidRPr="0089064A">
        <w:rPr>
          <w:lang w:val="de-DE"/>
        </w:rPr>
        <w:t xml:space="preserve">Baron, R. M., &amp; Kenny, D. A. (1986). </w:t>
      </w:r>
      <w:r w:rsidRPr="0089064A">
        <w:rPr>
          <w:lang w:val="en-US"/>
        </w:rPr>
        <w:t xml:space="preserve">The moderator-mediator variable distinction in social psychological research: Conceptual, strategic, and statistical considerations. </w:t>
      </w:r>
      <w:r w:rsidRPr="0089064A">
        <w:rPr>
          <w:i/>
          <w:iCs/>
          <w:lang w:val="en-US"/>
        </w:rPr>
        <w:t>Journal of Personality and Social Psychology</w:t>
      </w:r>
      <w:r w:rsidRPr="0089064A">
        <w:rPr>
          <w:lang w:val="en-US"/>
        </w:rPr>
        <w:t xml:space="preserve">, 51(6), 1173–1182. DOI: </w:t>
      </w:r>
      <w:hyperlink r:id="rId14" w:history="1">
        <w:r w:rsidRPr="0089064A">
          <w:rPr>
            <w:rStyle w:val="Hyperlink"/>
            <w:lang w:val="en-US"/>
          </w:rPr>
          <w:t>https://doi.org/10.1037/0022-3514.51.6.1173</w:t>
        </w:r>
      </w:hyperlink>
      <w:r w:rsidRPr="0089064A">
        <w:rPr>
          <w:lang w:val="en-US"/>
        </w:rPr>
        <w:t xml:space="preserve"> </w:t>
      </w:r>
    </w:p>
    <w:p w14:paraId="7F0B2FF6" w14:textId="77777777" w:rsidR="0089064A" w:rsidRPr="0089064A" w:rsidRDefault="0089064A" w:rsidP="0089064A">
      <w:pPr>
        <w:ind w:left="426" w:hanging="426"/>
        <w:jc w:val="both"/>
        <w:rPr>
          <w:lang w:val="pt-PT"/>
        </w:rPr>
      </w:pPr>
      <w:r w:rsidRPr="0089064A">
        <w:rPr>
          <w:lang w:val="pt-PT"/>
        </w:rPr>
        <w:t xml:space="preserve">Baronio, G. (2019). </w:t>
      </w:r>
      <w:r w:rsidRPr="0089064A">
        <w:rPr>
          <w:i/>
          <w:iCs/>
          <w:lang w:val="pt-PT"/>
        </w:rPr>
        <w:t>Apoio social, bem-estar subjetivo e solidão em idosos: Estudo comparativo entre Brasil e Portugal</w:t>
      </w:r>
      <w:r w:rsidRPr="0089064A">
        <w:rPr>
          <w:lang w:val="pt-PT"/>
        </w:rPr>
        <w:t>. Dissertação de Mestrado apresentado na Universidade do Porto. Acesso (</w:t>
      </w:r>
      <w:hyperlink r:id="rId15" w:history="1">
        <w:r w:rsidRPr="0089064A">
          <w:rPr>
            <w:rStyle w:val="Hyperlink"/>
            <w:lang w:val="pt-PT"/>
          </w:rPr>
          <w:t>PDF</w:t>
        </w:r>
      </w:hyperlink>
      <w:r w:rsidRPr="0089064A">
        <w:rPr>
          <w:lang w:val="pt-PT"/>
        </w:rPr>
        <w:t>), 22.03.25</w:t>
      </w:r>
    </w:p>
    <w:p w14:paraId="6B3BE4E1" w14:textId="77777777" w:rsidR="0089064A" w:rsidRPr="0089064A" w:rsidRDefault="0089064A" w:rsidP="0089064A">
      <w:pPr>
        <w:ind w:left="426" w:hanging="426"/>
        <w:jc w:val="both"/>
      </w:pPr>
      <w:r w:rsidRPr="0089064A">
        <w:rPr>
          <w:lang w:val="en-US"/>
        </w:rPr>
        <w:t xml:space="preserve">Baruffol, E., Gisle, L. &amp; Corten, P. (1995). Life satisfaction as a mediator between distressing events and neurotic impairment in a general population. </w:t>
      </w:r>
      <w:r w:rsidRPr="0089064A">
        <w:rPr>
          <w:i/>
          <w:iCs/>
          <w:lang w:val="en-US"/>
        </w:rPr>
        <w:t>Acta Psychiatr Scand</w:t>
      </w:r>
      <w:r w:rsidRPr="0089064A">
        <w:rPr>
          <w:lang w:val="en-US"/>
        </w:rPr>
        <w:t xml:space="preserve">, 92, 56-62. DOI: </w:t>
      </w:r>
      <w:hyperlink r:id="rId16" w:history="1">
        <w:r w:rsidRPr="0089064A">
          <w:rPr>
            <w:rStyle w:val="Hyperlink"/>
            <w:lang w:val="en-US"/>
          </w:rPr>
          <w:t>10.1111/j.1600-0447.1995.tb09543.x</w:t>
        </w:r>
      </w:hyperlink>
    </w:p>
    <w:p w14:paraId="73C876F5" w14:textId="77777777" w:rsidR="0089064A" w:rsidRPr="0089064A" w:rsidRDefault="0089064A" w:rsidP="0089064A">
      <w:pPr>
        <w:ind w:left="426" w:hanging="426"/>
        <w:jc w:val="both"/>
        <w:rPr>
          <w:lang w:val="en-US"/>
        </w:rPr>
      </w:pPr>
      <w:r w:rsidRPr="0089064A">
        <w:rPr>
          <w:lang w:val="en-US"/>
        </w:rPr>
        <w:t xml:space="preserve">Benson, R., Duffy, B., Hewlett, K., Hesketh, R. &amp; Hewlett, K. (2024). Attitudes to inequality. </w:t>
      </w:r>
      <w:r w:rsidRPr="0089064A">
        <w:rPr>
          <w:i/>
          <w:iCs/>
          <w:lang w:val="en-US"/>
        </w:rPr>
        <w:t>Oxford Open Economics</w:t>
      </w:r>
      <w:r w:rsidRPr="0089064A">
        <w:rPr>
          <w:lang w:val="en-US"/>
        </w:rPr>
        <w:t xml:space="preserve">, 3(1), i39–i63. DOI: </w:t>
      </w:r>
      <w:hyperlink r:id="rId17" w:history="1">
        <w:r w:rsidRPr="0089064A">
          <w:rPr>
            <w:rStyle w:val="Hyperlink"/>
            <w:lang w:val="en-US"/>
          </w:rPr>
          <w:t>https://doi.org/10.1093/ooec/odad069</w:t>
        </w:r>
      </w:hyperlink>
      <w:r w:rsidRPr="0089064A">
        <w:rPr>
          <w:lang w:val="en-US"/>
        </w:rPr>
        <w:t xml:space="preserve"> </w:t>
      </w:r>
    </w:p>
    <w:p w14:paraId="6C889282" w14:textId="77777777" w:rsidR="0089064A" w:rsidRPr="0089064A" w:rsidRDefault="0089064A" w:rsidP="0089064A">
      <w:pPr>
        <w:ind w:left="426" w:hanging="426"/>
        <w:jc w:val="both"/>
      </w:pPr>
      <w:r w:rsidRPr="0089064A">
        <w:t xml:space="preserve">Bourdieu, P. (1986). The Forms of Capital. In Richardson, J. G. (Ed.), </w:t>
      </w:r>
      <w:r w:rsidRPr="0089064A">
        <w:rPr>
          <w:i/>
          <w:iCs/>
        </w:rPr>
        <w:t>Handbook of Theory and Research for the Sociology of Education</w:t>
      </w:r>
      <w:r w:rsidRPr="0089064A">
        <w:t>, pp. 241–258. Greenwood. Acesso (</w:t>
      </w:r>
      <w:hyperlink r:id="rId18" w:history="1">
        <w:r w:rsidRPr="0089064A">
          <w:rPr>
            <w:rStyle w:val="Hyperlink"/>
          </w:rPr>
          <w:t>PDF</w:t>
        </w:r>
      </w:hyperlink>
      <w:r w:rsidRPr="0089064A">
        <w:t>), 11.03.25</w:t>
      </w:r>
    </w:p>
    <w:p w14:paraId="4E6968A8" w14:textId="77777777" w:rsidR="0089064A" w:rsidRPr="0089064A" w:rsidRDefault="0089064A" w:rsidP="0089064A">
      <w:pPr>
        <w:ind w:left="426" w:hanging="426"/>
        <w:jc w:val="both"/>
        <w:rPr>
          <w:lang w:val="en-US"/>
        </w:rPr>
      </w:pPr>
      <w:r w:rsidRPr="0089064A">
        <w:t xml:space="preserve">Cappelen, A. W., Eichele, T., Hugdahl, K., Specht, K., Sørensen, E. &amp; Tungodden, B. (2014). </w:t>
      </w:r>
      <w:r w:rsidRPr="0089064A">
        <w:rPr>
          <w:lang w:val="en-US"/>
        </w:rPr>
        <w:t xml:space="preserve">Equity theory and fair inequality: a neuroeconomic study. </w:t>
      </w:r>
      <w:r w:rsidRPr="0089064A">
        <w:rPr>
          <w:i/>
          <w:iCs/>
          <w:lang w:val="en-US"/>
        </w:rPr>
        <w:t>Proc. Natl. Acad. Sci.,</w:t>
      </w:r>
      <w:r w:rsidRPr="0089064A">
        <w:rPr>
          <w:lang w:val="en-US"/>
        </w:rPr>
        <w:t xml:space="preserve"> 111(43):15368-72. DOI: </w:t>
      </w:r>
      <w:hyperlink r:id="rId19" w:history="1">
        <w:r w:rsidRPr="0089064A">
          <w:rPr>
            <w:rStyle w:val="Hyperlink"/>
            <w:lang w:val="en-US"/>
          </w:rPr>
          <w:t>10.1073/pnas.1414602111</w:t>
        </w:r>
      </w:hyperlink>
      <w:r w:rsidRPr="0089064A">
        <w:rPr>
          <w:lang w:val="en-US"/>
        </w:rPr>
        <w:t xml:space="preserve"> </w:t>
      </w:r>
    </w:p>
    <w:p w14:paraId="3CE0D05F" w14:textId="77777777" w:rsidR="0089064A" w:rsidRPr="0089064A" w:rsidRDefault="0089064A" w:rsidP="0089064A">
      <w:pPr>
        <w:ind w:left="426" w:hanging="426"/>
        <w:jc w:val="both"/>
        <w:rPr>
          <w:lang w:val="en-US"/>
        </w:rPr>
      </w:pPr>
      <w:r w:rsidRPr="0089064A">
        <w:rPr>
          <w:lang w:val="en-US"/>
        </w:rPr>
        <w:t xml:space="preserve">Charness, G., Frechette, G. R., &amp; Kagel, J. H. (2004). How robust is laboratory gift exchange? </w:t>
      </w:r>
      <w:r w:rsidRPr="0089064A">
        <w:rPr>
          <w:i/>
          <w:iCs/>
          <w:lang w:val="en-US"/>
        </w:rPr>
        <w:t>Exp. Econ</w:t>
      </w:r>
      <w:r w:rsidRPr="0089064A">
        <w:rPr>
          <w:lang w:val="en-US"/>
        </w:rPr>
        <w:t xml:space="preserve">., 7, 189–205. DOI: </w:t>
      </w:r>
      <w:hyperlink r:id="rId20" w:history="1">
        <w:r w:rsidRPr="0089064A">
          <w:rPr>
            <w:rStyle w:val="Hyperlink"/>
            <w:lang w:val="en-US"/>
          </w:rPr>
          <w:t>10.1023/B:EXEC.0000026979.14590.3c</w:t>
        </w:r>
      </w:hyperlink>
      <w:r w:rsidRPr="0089064A">
        <w:rPr>
          <w:lang w:val="en-US"/>
        </w:rPr>
        <w:t xml:space="preserve">  </w:t>
      </w:r>
    </w:p>
    <w:p w14:paraId="17A6901A" w14:textId="77777777" w:rsidR="0089064A" w:rsidRPr="0089064A" w:rsidRDefault="0089064A" w:rsidP="0089064A">
      <w:pPr>
        <w:ind w:left="426" w:hanging="426"/>
        <w:jc w:val="both"/>
        <w:rPr>
          <w:lang w:val="de-DE"/>
        </w:rPr>
      </w:pPr>
      <w:r w:rsidRPr="0089064A">
        <w:rPr>
          <w:lang w:val="en-US"/>
        </w:rPr>
        <w:t xml:space="preserve">Chen, C. &amp; Hu, L. (2022). Self-esteem mediated relations between loneliness and social anxiety in Chinese adolescents with left-behind experience. </w:t>
      </w:r>
      <w:r w:rsidRPr="0089064A">
        <w:rPr>
          <w:i/>
          <w:iCs/>
          <w:lang w:val="de-DE"/>
        </w:rPr>
        <w:t>Frontiers in Psychol</w:t>
      </w:r>
      <w:r w:rsidRPr="0089064A">
        <w:rPr>
          <w:lang w:val="de-DE"/>
        </w:rPr>
        <w:t xml:space="preserve">ogy, 13: 1014794. DOI: </w:t>
      </w:r>
      <w:hyperlink r:id="rId21" w:history="1">
        <w:r w:rsidRPr="0089064A">
          <w:rPr>
            <w:rStyle w:val="Hyperlink"/>
            <w:lang w:val="de-DE"/>
          </w:rPr>
          <w:t>10.3389/fpsyg.2022.1014794</w:t>
        </w:r>
      </w:hyperlink>
      <w:r w:rsidRPr="0089064A">
        <w:rPr>
          <w:lang w:val="de-DE"/>
        </w:rPr>
        <w:t xml:space="preserve"> </w:t>
      </w:r>
    </w:p>
    <w:p w14:paraId="6BF2E2C6" w14:textId="77777777" w:rsidR="0089064A" w:rsidRPr="0089064A" w:rsidRDefault="0089064A" w:rsidP="0089064A">
      <w:pPr>
        <w:ind w:left="426" w:hanging="426"/>
        <w:jc w:val="both"/>
        <w:rPr>
          <w:lang w:val="en-US"/>
        </w:rPr>
      </w:pPr>
      <w:r w:rsidRPr="0089064A">
        <w:rPr>
          <w:lang w:val="de-DE"/>
        </w:rPr>
        <w:t xml:space="preserve">Cheung, F. &amp; Lucas, R. E. (2016). </w:t>
      </w:r>
      <w:r w:rsidRPr="0089064A">
        <w:rPr>
          <w:lang w:val="en-US"/>
        </w:rPr>
        <w:t xml:space="preserve">Income inequality is associated with stronger social comparison eﬀects: the eﬀect of relative income on life satisfaction. </w:t>
      </w:r>
      <w:r w:rsidRPr="0089064A">
        <w:rPr>
          <w:i/>
          <w:iCs/>
          <w:lang w:val="en-US"/>
        </w:rPr>
        <w:t>Journal of Personality and Social Psychology</w:t>
      </w:r>
      <w:r w:rsidRPr="0089064A">
        <w:rPr>
          <w:lang w:val="en-US"/>
        </w:rPr>
        <w:t xml:space="preserve">, 110(2), 332–341. DOI: </w:t>
      </w:r>
      <w:hyperlink r:id="rId22" w:history="1">
        <w:r w:rsidRPr="0089064A">
          <w:rPr>
            <w:rStyle w:val="Hyperlink"/>
            <w:lang w:val="en-US"/>
          </w:rPr>
          <w:t>10.1037/pspp0000059</w:t>
        </w:r>
      </w:hyperlink>
    </w:p>
    <w:p w14:paraId="5FF2C202" w14:textId="77777777" w:rsidR="0089064A" w:rsidRPr="0089064A" w:rsidRDefault="0089064A" w:rsidP="0089064A">
      <w:pPr>
        <w:ind w:left="426" w:hanging="426"/>
        <w:jc w:val="both"/>
        <w:rPr>
          <w:lang w:val="en-US"/>
        </w:rPr>
      </w:pPr>
      <w:r w:rsidRPr="0089064A">
        <w:rPr>
          <w:lang w:val="en-US"/>
        </w:rPr>
        <w:t xml:space="preserve">Clark, L. A., &amp; Watson, D. (1995). Constructing validity: Basic issues in objective scale development. </w:t>
      </w:r>
      <w:r w:rsidRPr="0089064A">
        <w:rPr>
          <w:i/>
          <w:iCs/>
          <w:lang w:val="en-US"/>
        </w:rPr>
        <w:t>Psychological Assessment</w:t>
      </w:r>
      <w:r w:rsidRPr="0089064A">
        <w:rPr>
          <w:lang w:val="en-US"/>
        </w:rPr>
        <w:t xml:space="preserve">, 7(3), 309–319. DOI: </w:t>
      </w:r>
      <w:hyperlink r:id="rId23" w:history="1">
        <w:r w:rsidRPr="0089064A">
          <w:rPr>
            <w:rStyle w:val="Hyperlink"/>
            <w:lang w:val="en-US"/>
          </w:rPr>
          <w:t>10.1037/1040-3590.7.3.309</w:t>
        </w:r>
      </w:hyperlink>
      <w:r w:rsidRPr="0089064A">
        <w:rPr>
          <w:lang w:val="en-US"/>
        </w:rPr>
        <w:t xml:space="preserve"> </w:t>
      </w:r>
    </w:p>
    <w:p w14:paraId="7F09BF22" w14:textId="77777777" w:rsidR="0089064A" w:rsidRPr="0089064A" w:rsidRDefault="0089064A" w:rsidP="0089064A">
      <w:pPr>
        <w:ind w:left="426" w:hanging="426"/>
        <w:jc w:val="both"/>
      </w:pPr>
      <w:r w:rsidRPr="0089064A">
        <w:t xml:space="preserve">Cohen, S., &amp; Wills, T. A. (1985). Stress, social support, and the buffering hypothesis. </w:t>
      </w:r>
      <w:r w:rsidRPr="0089064A">
        <w:rPr>
          <w:i/>
          <w:iCs/>
        </w:rPr>
        <w:t>Psychological Bulletin</w:t>
      </w:r>
      <w:r w:rsidRPr="0089064A">
        <w:t xml:space="preserve">, 98, 310–357. DOI: </w:t>
      </w:r>
      <w:hyperlink r:id="rId24" w:history="1">
        <w:r w:rsidRPr="0089064A">
          <w:rPr>
            <w:rStyle w:val="Hyperlink"/>
          </w:rPr>
          <w:t>http://dx.doi.org/10.1037/0033-2909.98.2.310</w:t>
        </w:r>
      </w:hyperlink>
      <w:r w:rsidRPr="0089064A">
        <w:t xml:space="preserve"> </w:t>
      </w:r>
    </w:p>
    <w:p w14:paraId="33F67795" w14:textId="77777777" w:rsidR="0089064A" w:rsidRPr="0089064A" w:rsidRDefault="0089064A" w:rsidP="0089064A">
      <w:pPr>
        <w:ind w:left="426" w:hanging="426"/>
        <w:jc w:val="both"/>
      </w:pPr>
      <w:r w:rsidRPr="0089064A">
        <w:t xml:space="preserve">Deelstra, J. T., Peeters, M. C. W., Schaufeli, W. B., Stroebe, W., Zijlstra, F. R. H., &amp; van Doornen, L. P. (2003). Receiving instrumental support at work: when help is not welcome. </w:t>
      </w:r>
      <w:r w:rsidRPr="0089064A">
        <w:rPr>
          <w:i/>
          <w:iCs/>
        </w:rPr>
        <w:t>J. Appl. Psychol</w:t>
      </w:r>
      <w:r w:rsidRPr="0089064A">
        <w:t xml:space="preserve">., 88, 324–331. DOI: </w:t>
      </w:r>
      <w:hyperlink r:id="rId25" w:history="1">
        <w:r w:rsidRPr="0089064A">
          <w:rPr>
            <w:rStyle w:val="Hyperlink"/>
          </w:rPr>
          <w:t>10.1037/0021-9010.88.2.324</w:t>
        </w:r>
      </w:hyperlink>
      <w:r w:rsidRPr="0089064A">
        <w:t xml:space="preserve"> </w:t>
      </w:r>
    </w:p>
    <w:p w14:paraId="11566F1D" w14:textId="77777777" w:rsidR="0089064A" w:rsidRPr="0089064A" w:rsidRDefault="0089064A" w:rsidP="0089064A">
      <w:pPr>
        <w:ind w:left="426" w:hanging="426"/>
        <w:jc w:val="both"/>
        <w:rPr>
          <w:lang w:val="en-US"/>
        </w:rPr>
      </w:pPr>
      <w:r w:rsidRPr="0089064A">
        <w:rPr>
          <w:lang w:val="de-DE"/>
        </w:rPr>
        <w:t xml:space="preserve">Diener, E., Emmons, R. A., Larsen, R. J., &amp; Griffin, S. (1985). </w:t>
      </w:r>
      <w:r w:rsidRPr="0089064A">
        <w:rPr>
          <w:lang w:val="en-US"/>
        </w:rPr>
        <w:t xml:space="preserve">The Satisfaction With Life Scale. </w:t>
      </w:r>
      <w:r w:rsidRPr="0089064A">
        <w:rPr>
          <w:i/>
          <w:iCs/>
          <w:lang w:val="en-US"/>
        </w:rPr>
        <w:t>Journal of Personality Assessment</w:t>
      </w:r>
      <w:r w:rsidRPr="0089064A">
        <w:rPr>
          <w:lang w:val="en-US"/>
        </w:rPr>
        <w:t xml:space="preserve">, 49(1), 71–75. DOI: </w:t>
      </w:r>
      <w:hyperlink r:id="rId26" w:history="1">
        <w:r w:rsidRPr="0089064A">
          <w:rPr>
            <w:rStyle w:val="Hyperlink"/>
            <w:lang w:val="en-US"/>
          </w:rPr>
          <w:t>https://doi.org/10.1207/s15327752jpa4901_13</w:t>
        </w:r>
      </w:hyperlink>
      <w:r w:rsidRPr="0089064A">
        <w:rPr>
          <w:lang w:val="en-US"/>
        </w:rPr>
        <w:t xml:space="preserve"> </w:t>
      </w:r>
    </w:p>
    <w:p w14:paraId="3BF17929" w14:textId="77777777" w:rsidR="0089064A" w:rsidRPr="0089064A" w:rsidRDefault="0089064A" w:rsidP="0089064A">
      <w:pPr>
        <w:ind w:left="426" w:hanging="426"/>
        <w:jc w:val="both"/>
        <w:rPr>
          <w:lang w:val="en-US"/>
        </w:rPr>
      </w:pPr>
      <w:r w:rsidRPr="0089064A">
        <w:rPr>
          <w:lang w:val="en-US"/>
        </w:rPr>
        <w:t xml:space="preserve">Dunbar, M., Ford, G., &amp; Hunt, K. (1998). Why is the receipt of social support associated with increased psychological distress? An examination of three hypotheses. </w:t>
      </w:r>
      <w:r w:rsidRPr="0089064A">
        <w:rPr>
          <w:i/>
          <w:iCs/>
          <w:lang w:val="en-US"/>
        </w:rPr>
        <w:t>Psychology &amp; Health</w:t>
      </w:r>
      <w:r w:rsidRPr="0089064A">
        <w:rPr>
          <w:lang w:val="en-US"/>
        </w:rPr>
        <w:t xml:space="preserve">, 13(3), 527–544. DOI: </w:t>
      </w:r>
      <w:hyperlink r:id="rId27" w:history="1">
        <w:r w:rsidRPr="0089064A">
          <w:rPr>
            <w:rStyle w:val="Hyperlink"/>
            <w:lang w:val="en-US"/>
          </w:rPr>
          <w:t>https://doi.org/10.1080/08870449808407308</w:t>
        </w:r>
      </w:hyperlink>
      <w:r w:rsidRPr="0089064A">
        <w:rPr>
          <w:lang w:val="en-US"/>
        </w:rPr>
        <w:t xml:space="preserve"> </w:t>
      </w:r>
    </w:p>
    <w:p w14:paraId="39C1FAA1" w14:textId="77777777" w:rsidR="0089064A" w:rsidRPr="0089064A" w:rsidRDefault="0089064A" w:rsidP="0089064A">
      <w:pPr>
        <w:ind w:left="426" w:hanging="426"/>
        <w:jc w:val="both"/>
        <w:rPr>
          <w:lang w:val="de-DE"/>
        </w:rPr>
      </w:pPr>
      <w:r w:rsidRPr="0089064A">
        <w:rPr>
          <w:lang w:val="en-US"/>
        </w:rPr>
        <w:t xml:space="preserve">Durkheim, E. (2006). </w:t>
      </w:r>
      <w:r w:rsidRPr="0089064A">
        <w:rPr>
          <w:i/>
          <w:iCs/>
          <w:lang w:val="en-US"/>
        </w:rPr>
        <w:t>On Suicide</w:t>
      </w:r>
      <w:r w:rsidRPr="0089064A">
        <w:rPr>
          <w:lang w:val="en-US"/>
        </w:rPr>
        <w:t xml:space="preserve">. Translated by Buss, R. London. </w:t>
      </w:r>
      <w:r w:rsidRPr="0089064A">
        <w:rPr>
          <w:lang w:val="de-DE"/>
        </w:rPr>
        <w:t>Penguin Books.</w:t>
      </w:r>
    </w:p>
    <w:p w14:paraId="61B8B912" w14:textId="77777777" w:rsidR="0089064A" w:rsidRPr="0089064A" w:rsidRDefault="0089064A" w:rsidP="0089064A">
      <w:pPr>
        <w:ind w:left="426" w:hanging="426"/>
        <w:jc w:val="both"/>
        <w:rPr>
          <w:lang w:val="en-US"/>
        </w:rPr>
      </w:pPr>
      <w:r w:rsidRPr="0089064A">
        <w:rPr>
          <w:lang w:val="de-DE"/>
        </w:rPr>
        <w:lastRenderedPageBreak/>
        <w:t xml:space="preserve">Fehr, E., Gächter, S., &amp; Kirchsteiger, G. (1997). </w:t>
      </w:r>
      <w:r w:rsidRPr="0089064A">
        <w:rPr>
          <w:lang w:val="en-US"/>
        </w:rPr>
        <w:t xml:space="preserve">Reciprocity as a contract enforcement device: experimental evidence. </w:t>
      </w:r>
      <w:r w:rsidRPr="0089064A">
        <w:rPr>
          <w:i/>
          <w:iCs/>
          <w:lang w:val="en-US"/>
        </w:rPr>
        <w:t>Econometrica</w:t>
      </w:r>
      <w:r w:rsidRPr="0089064A">
        <w:rPr>
          <w:lang w:val="en-US"/>
        </w:rPr>
        <w:t xml:space="preserve"> 65(4), 833–860. DOI: </w:t>
      </w:r>
      <w:hyperlink r:id="rId28" w:history="1">
        <w:r w:rsidRPr="0089064A">
          <w:rPr>
            <w:rStyle w:val="Hyperlink"/>
            <w:lang w:val="en-US"/>
          </w:rPr>
          <w:t>https://doi.org/10.2307/2171941</w:t>
        </w:r>
      </w:hyperlink>
      <w:r w:rsidRPr="0089064A">
        <w:rPr>
          <w:lang w:val="en-US"/>
        </w:rPr>
        <w:t xml:space="preserve">   </w:t>
      </w:r>
    </w:p>
    <w:p w14:paraId="06A0C56E" w14:textId="77777777" w:rsidR="0089064A" w:rsidRPr="0089064A" w:rsidRDefault="0089064A" w:rsidP="0089064A">
      <w:pPr>
        <w:ind w:left="426" w:hanging="426"/>
        <w:jc w:val="both"/>
        <w:rPr>
          <w:lang w:val="en-US"/>
        </w:rPr>
      </w:pPr>
      <w:r w:rsidRPr="0089064A">
        <w:rPr>
          <w:lang w:val="en-US"/>
        </w:rPr>
        <w:t xml:space="preserve">Field, A. (2024). </w:t>
      </w:r>
      <w:r w:rsidRPr="0089064A">
        <w:rPr>
          <w:i/>
          <w:iCs/>
          <w:lang w:val="en-US"/>
        </w:rPr>
        <w:t>Discovering statistics using IBM SPSS statistics</w:t>
      </w:r>
      <w:r w:rsidRPr="0089064A">
        <w:rPr>
          <w:lang w:val="en-US"/>
        </w:rPr>
        <w:t xml:space="preserve"> (6th ed.). SAGE Publications.</w:t>
      </w:r>
    </w:p>
    <w:p w14:paraId="60C2B0ED" w14:textId="77777777" w:rsidR="0089064A" w:rsidRPr="0089064A" w:rsidRDefault="0089064A" w:rsidP="0089064A">
      <w:pPr>
        <w:ind w:left="426" w:hanging="426"/>
        <w:jc w:val="both"/>
        <w:rPr>
          <w:lang w:val="en-US"/>
        </w:rPr>
      </w:pPr>
      <w:r w:rsidRPr="0089064A">
        <w:rPr>
          <w:lang w:val="en-US"/>
        </w:rPr>
        <w:t xml:space="preserve">Fraser, N. &amp; Honneth, A. (2003). </w:t>
      </w:r>
      <w:r w:rsidRPr="0089064A">
        <w:rPr>
          <w:i/>
          <w:iCs/>
          <w:lang w:val="en-US"/>
        </w:rPr>
        <w:t>Redistribution or Recognition? A Political‑Philosophical Exchange</w:t>
      </w:r>
      <w:r w:rsidRPr="0089064A">
        <w:rPr>
          <w:lang w:val="en-US"/>
        </w:rPr>
        <w:t>. Verso.</w:t>
      </w:r>
    </w:p>
    <w:p w14:paraId="280A5522" w14:textId="77777777" w:rsidR="0089064A" w:rsidRPr="0089064A" w:rsidRDefault="0089064A" w:rsidP="0089064A">
      <w:pPr>
        <w:ind w:left="426" w:hanging="426"/>
        <w:jc w:val="both"/>
        <w:rPr>
          <w:lang w:val="en-US"/>
        </w:rPr>
      </w:pPr>
      <w:r w:rsidRPr="0089064A">
        <w:rPr>
          <w:lang w:val="en-US"/>
        </w:rPr>
        <w:t xml:space="preserve">French, K. A., Dumani, S., Allen, T. D., &amp; Shockley, K. M. (2018). A meta-analysis of work–family conflict and social support. </w:t>
      </w:r>
      <w:r w:rsidRPr="0089064A">
        <w:rPr>
          <w:i/>
          <w:iCs/>
          <w:lang w:val="en-US"/>
        </w:rPr>
        <w:t>Psychological Bulletin</w:t>
      </w:r>
      <w:r w:rsidRPr="0089064A">
        <w:rPr>
          <w:lang w:val="en-US"/>
        </w:rPr>
        <w:t xml:space="preserve">, 144(3), 284–314. DOI: </w:t>
      </w:r>
      <w:hyperlink r:id="rId29" w:history="1">
        <w:r w:rsidRPr="0089064A">
          <w:rPr>
            <w:rStyle w:val="Hyperlink"/>
            <w:lang w:val="en-US"/>
          </w:rPr>
          <w:t>https://doi.org/10.1037/bul0000120</w:t>
        </w:r>
      </w:hyperlink>
      <w:r w:rsidRPr="0089064A">
        <w:rPr>
          <w:lang w:val="en-US"/>
        </w:rPr>
        <w:t xml:space="preserve"> </w:t>
      </w:r>
    </w:p>
    <w:p w14:paraId="2F70B572" w14:textId="77777777" w:rsidR="0089064A" w:rsidRPr="0089064A" w:rsidRDefault="0089064A" w:rsidP="0089064A">
      <w:pPr>
        <w:ind w:left="426" w:hanging="426"/>
        <w:jc w:val="both"/>
      </w:pPr>
      <w:r w:rsidRPr="0089064A">
        <w:t xml:space="preserve">Gao, L., Sun, B., Du, Z. &amp; Lv, G. (2022). How Wealth Inequality Affects Happiness: The Perspective of Social Comparison. </w:t>
      </w:r>
      <w:r w:rsidRPr="0089064A">
        <w:rPr>
          <w:i/>
          <w:iCs/>
        </w:rPr>
        <w:t>Frontiers in Psychol</w:t>
      </w:r>
      <w:r w:rsidRPr="0089064A">
        <w:t xml:space="preserve">ogy, 13:829707. DOI: </w:t>
      </w:r>
      <w:hyperlink r:id="rId30" w:history="1">
        <w:r w:rsidRPr="0089064A">
          <w:rPr>
            <w:rStyle w:val="Hyperlink"/>
          </w:rPr>
          <w:t>10.3389/fpsyg.2022.829707</w:t>
        </w:r>
      </w:hyperlink>
      <w:r w:rsidRPr="0089064A">
        <w:t xml:space="preserve"> </w:t>
      </w:r>
    </w:p>
    <w:p w14:paraId="11EDA3D1" w14:textId="77777777" w:rsidR="0089064A" w:rsidRPr="0089064A" w:rsidRDefault="0089064A" w:rsidP="0089064A">
      <w:pPr>
        <w:ind w:left="426" w:hanging="426"/>
        <w:jc w:val="both"/>
        <w:rPr>
          <w:lang w:val="en-US"/>
        </w:rPr>
      </w:pPr>
      <w:r w:rsidRPr="0089064A">
        <w:t xml:space="preserve">García-Sánchez, E., Willis, G.B., Rodríguez-Bailón, R., García-Castro, J.D., Palacio-Sañudo, J., Polo, J. &amp; Rentería-Pérez, E. (2018). </w:t>
      </w:r>
      <w:r w:rsidRPr="0089064A">
        <w:rPr>
          <w:lang w:val="en-US"/>
        </w:rPr>
        <w:t xml:space="preserve">Perceptions of Economic Inequality in Colombian Daily Life: More Than Unequal Distribution of Economic Resources. </w:t>
      </w:r>
      <w:r w:rsidRPr="0089064A">
        <w:rPr>
          <w:i/>
          <w:iCs/>
          <w:lang w:val="en-US"/>
        </w:rPr>
        <w:t>Frontiers in Psychol</w:t>
      </w:r>
      <w:r w:rsidRPr="0089064A">
        <w:rPr>
          <w:lang w:val="en-US"/>
        </w:rPr>
        <w:t xml:space="preserve">ogy, 9:1660. DOI: </w:t>
      </w:r>
      <w:hyperlink r:id="rId31" w:history="1">
        <w:r w:rsidRPr="0089064A">
          <w:rPr>
            <w:rStyle w:val="Hyperlink"/>
            <w:lang w:val="en-US"/>
          </w:rPr>
          <w:t>10.3389/fpsyg.2018.01660</w:t>
        </w:r>
      </w:hyperlink>
      <w:r w:rsidRPr="0089064A">
        <w:rPr>
          <w:lang w:val="en-US"/>
        </w:rPr>
        <w:t xml:space="preserve"> </w:t>
      </w:r>
    </w:p>
    <w:p w14:paraId="64B254C0" w14:textId="77777777" w:rsidR="0089064A" w:rsidRPr="0089064A" w:rsidRDefault="0089064A" w:rsidP="0089064A">
      <w:pPr>
        <w:ind w:left="426" w:hanging="426"/>
        <w:jc w:val="both"/>
        <w:rPr>
          <w:lang w:val="en-US"/>
        </w:rPr>
      </w:pPr>
      <w:r w:rsidRPr="0089064A">
        <w:rPr>
          <w:lang w:val="en-US"/>
        </w:rPr>
        <w:t xml:space="preserve">García-Sánchez, E., Castillo, J.C., Rodríguez-Bailón, R. &amp; Willis, G.B. (2022). The Two Faces of Support for Redistribution in Colombia: Taxing the Wealthy or Assisting People in Need. </w:t>
      </w:r>
      <w:r w:rsidRPr="0089064A">
        <w:rPr>
          <w:i/>
          <w:iCs/>
          <w:lang w:val="en-US"/>
        </w:rPr>
        <w:t>Frontiers in Sociology</w:t>
      </w:r>
      <w:r w:rsidRPr="0089064A">
        <w:rPr>
          <w:lang w:val="en-US"/>
        </w:rPr>
        <w:t xml:space="preserve">, 7:773378. DOI: </w:t>
      </w:r>
      <w:hyperlink r:id="rId32" w:history="1">
        <w:r w:rsidRPr="0089064A">
          <w:rPr>
            <w:rStyle w:val="Hyperlink"/>
            <w:lang w:val="en-US"/>
          </w:rPr>
          <w:t>10.3389/fsoc.2022.773378</w:t>
        </w:r>
      </w:hyperlink>
    </w:p>
    <w:p w14:paraId="286A4310" w14:textId="77777777" w:rsidR="0089064A" w:rsidRPr="0089064A" w:rsidRDefault="0089064A" w:rsidP="0089064A">
      <w:pPr>
        <w:ind w:left="426" w:hanging="426"/>
        <w:jc w:val="both"/>
        <w:rPr>
          <w:lang w:val="en-US"/>
        </w:rPr>
      </w:pPr>
      <w:r w:rsidRPr="0089064A">
        <w:rPr>
          <w:lang w:val="en-US"/>
        </w:rPr>
        <w:t>Ge, Y. B., Zhai, K., and Zhao, G. Q. (2021). How does opportunity inequality a</w:t>
      </w:r>
      <w:r w:rsidRPr="0089064A">
        <w:rPr>
          <w:lang w:val="pt-PT"/>
        </w:rPr>
        <w:t>ﬀ</w:t>
      </w:r>
      <w:r w:rsidRPr="0089064A">
        <w:rPr>
          <w:lang w:val="en-US"/>
        </w:rPr>
        <w:t xml:space="preserve">ect household wealth inequality: an empirical analysis from CHFS data. </w:t>
      </w:r>
      <w:r w:rsidRPr="0089064A">
        <w:rPr>
          <w:i/>
          <w:iCs/>
          <w:lang w:val="en-US"/>
        </w:rPr>
        <w:t>Dong Yue Tribune,</w:t>
      </w:r>
      <w:r w:rsidRPr="0089064A">
        <w:rPr>
          <w:lang w:val="en-US"/>
        </w:rPr>
        <w:t xml:space="preserve"> 42, 23–32. DOI: </w:t>
      </w:r>
      <w:hyperlink r:id="rId33" w:history="1">
        <w:r w:rsidRPr="0089064A">
          <w:rPr>
            <w:rStyle w:val="Hyperlink"/>
            <w:lang w:val="en-US"/>
          </w:rPr>
          <w:t xml:space="preserve">10.15981/j.cnki.dongyueluncong.2021.05.003  </w:t>
        </w:r>
      </w:hyperlink>
      <w:r w:rsidRPr="0089064A">
        <w:rPr>
          <w:lang w:val="en-US"/>
        </w:rPr>
        <w:t xml:space="preserve"> </w:t>
      </w:r>
    </w:p>
    <w:p w14:paraId="0F9B7337" w14:textId="77777777" w:rsidR="0089064A" w:rsidRPr="0089064A" w:rsidRDefault="0089064A" w:rsidP="0089064A">
      <w:pPr>
        <w:ind w:left="426" w:hanging="426"/>
        <w:jc w:val="both"/>
        <w:rPr>
          <w:lang w:val="en-US"/>
        </w:rPr>
      </w:pPr>
      <w:r w:rsidRPr="0089064A">
        <w:rPr>
          <w:lang w:val="en-US"/>
        </w:rPr>
        <w:t xml:space="preserve">González, P.A., Dussaillant, F. &amp; Calvo, E. (2021). Social and Individual Subjective Wellbeing and Capabilities in Chile. </w:t>
      </w:r>
      <w:r w:rsidRPr="0089064A">
        <w:rPr>
          <w:i/>
          <w:iCs/>
          <w:lang w:val="en-US"/>
        </w:rPr>
        <w:t>Front. Psychol</w:t>
      </w:r>
      <w:r w:rsidRPr="0089064A">
        <w:rPr>
          <w:lang w:val="en-US"/>
        </w:rPr>
        <w:t xml:space="preserve">., 11: 628785. DOI: </w:t>
      </w:r>
      <w:hyperlink r:id="rId34" w:history="1">
        <w:r w:rsidRPr="0089064A">
          <w:rPr>
            <w:rStyle w:val="Hyperlink"/>
            <w:lang w:val="en-US"/>
          </w:rPr>
          <w:t>10.3389/fpsyg.2020.628785</w:t>
        </w:r>
      </w:hyperlink>
      <w:r w:rsidRPr="0089064A">
        <w:rPr>
          <w:lang w:val="en-US"/>
        </w:rPr>
        <w:t xml:space="preserve"> </w:t>
      </w:r>
    </w:p>
    <w:p w14:paraId="599FB382" w14:textId="77777777" w:rsidR="0089064A" w:rsidRPr="0089064A" w:rsidRDefault="0089064A" w:rsidP="0089064A">
      <w:pPr>
        <w:ind w:left="426" w:hanging="426"/>
        <w:jc w:val="both"/>
        <w:rPr>
          <w:lang w:val="en-US"/>
        </w:rPr>
      </w:pPr>
      <w:r w:rsidRPr="0089064A">
        <w:rPr>
          <w:lang w:val="en-US"/>
        </w:rPr>
        <w:t xml:space="preserve">Greenaway, K. H., Cruwys, T., Haslam, S. A. &amp; Jetten, J. (2016). Social identities promote well-being because they satisfy global psychological needs. </w:t>
      </w:r>
      <w:r w:rsidRPr="0089064A">
        <w:rPr>
          <w:i/>
          <w:iCs/>
          <w:lang w:val="en-US"/>
        </w:rPr>
        <w:t>Eur. J. Soc. Psychol</w:t>
      </w:r>
      <w:r w:rsidRPr="0089064A">
        <w:rPr>
          <w:lang w:val="en-US"/>
        </w:rPr>
        <w:t xml:space="preserve">., 46(3), 294–307. DOI: </w:t>
      </w:r>
      <w:hyperlink r:id="rId35" w:history="1">
        <w:r w:rsidRPr="0089064A">
          <w:rPr>
            <w:rStyle w:val="Hyperlink"/>
            <w:lang w:val="en-US"/>
          </w:rPr>
          <w:t>10.1002/ejsp.2169</w:t>
        </w:r>
      </w:hyperlink>
      <w:r w:rsidRPr="0089064A">
        <w:rPr>
          <w:lang w:val="en-US"/>
        </w:rPr>
        <w:t xml:space="preserve"> </w:t>
      </w:r>
    </w:p>
    <w:p w14:paraId="5EB67AB6" w14:textId="77777777" w:rsidR="0089064A" w:rsidRPr="0089064A" w:rsidRDefault="0089064A" w:rsidP="0089064A">
      <w:pPr>
        <w:ind w:left="426" w:hanging="426"/>
        <w:jc w:val="both"/>
      </w:pPr>
      <w:r w:rsidRPr="0089064A">
        <w:t xml:space="preserve">Hammer, L. B., Kossek, E. E., Yragui, N. L., Bodner, T. E., &amp; Hanson, G. C. (2009). Development and validation of a multidimensional measure of family supportive supervisor behaviors (FSSB). </w:t>
      </w:r>
      <w:r w:rsidRPr="0089064A">
        <w:rPr>
          <w:i/>
          <w:iCs/>
        </w:rPr>
        <w:t>Journal of Management</w:t>
      </w:r>
      <w:r w:rsidRPr="0089064A">
        <w:t xml:space="preserve">, 35, 837–856. DOI: </w:t>
      </w:r>
      <w:hyperlink r:id="rId36" w:history="1">
        <w:r w:rsidRPr="0089064A">
          <w:rPr>
            <w:rStyle w:val="Hyperlink"/>
          </w:rPr>
          <w:t>http://dx.doi.org/10.1177/0149206308328510</w:t>
        </w:r>
      </w:hyperlink>
      <w:r w:rsidRPr="0089064A">
        <w:t xml:space="preserve"> </w:t>
      </w:r>
    </w:p>
    <w:p w14:paraId="198E74F5" w14:textId="77777777" w:rsidR="0089064A" w:rsidRPr="0089064A" w:rsidRDefault="0089064A" w:rsidP="0089064A">
      <w:pPr>
        <w:ind w:left="426" w:hanging="426"/>
        <w:jc w:val="both"/>
      </w:pPr>
      <w:r w:rsidRPr="0089064A">
        <w:t xml:space="preserve">Halbesleben, J. B., Wheeler, A. R., &amp; Rossi, A. M. (2012). The costs and benefits of working with one’s spouse: A two-sample examination of spousal support, work–family conflict, and emotional exhaustion in work-linked relationships. </w:t>
      </w:r>
      <w:r w:rsidRPr="0089064A">
        <w:rPr>
          <w:i/>
          <w:iCs/>
        </w:rPr>
        <w:t>Journal of Organizational Behavior</w:t>
      </w:r>
      <w:r w:rsidRPr="0089064A">
        <w:t xml:space="preserve">, 33, 597–615. DOI: </w:t>
      </w:r>
      <w:hyperlink r:id="rId37" w:history="1">
        <w:r w:rsidRPr="0089064A">
          <w:rPr>
            <w:rStyle w:val="Hyperlink"/>
          </w:rPr>
          <w:t>http://dx.doi.org/10.1002/job.771</w:t>
        </w:r>
      </w:hyperlink>
      <w:r w:rsidRPr="0089064A">
        <w:t xml:space="preserve"> </w:t>
      </w:r>
    </w:p>
    <w:p w14:paraId="09299082" w14:textId="77777777" w:rsidR="0089064A" w:rsidRPr="0089064A" w:rsidRDefault="0089064A" w:rsidP="0089064A">
      <w:pPr>
        <w:ind w:left="426" w:hanging="426"/>
        <w:jc w:val="both"/>
      </w:pPr>
      <w:r w:rsidRPr="0089064A">
        <w:t xml:space="preserve">Haslam, S. A., Jetten, J., Postmes, T., &amp; Haslam, C. (2009). Social identity, health and well-being: an emerging agenda for applied psychology. </w:t>
      </w:r>
      <w:r w:rsidRPr="0089064A">
        <w:rPr>
          <w:i/>
          <w:iCs/>
        </w:rPr>
        <w:t>Appl. Psychol</w:t>
      </w:r>
      <w:r w:rsidRPr="0089064A">
        <w:t xml:space="preserve">., 58(1), 1–23. DOI: </w:t>
      </w:r>
      <w:hyperlink r:id="rId38" w:history="1">
        <w:r w:rsidRPr="0089064A">
          <w:rPr>
            <w:rStyle w:val="Hyperlink"/>
          </w:rPr>
          <w:t xml:space="preserve">10.1111/j.1464-0597.2008.00379.x </w:t>
        </w:r>
      </w:hyperlink>
      <w:r w:rsidRPr="0089064A">
        <w:t xml:space="preserve"> </w:t>
      </w:r>
    </w:p>
    <w:p w14:paraId="1A9972DE" w14:textId="77777777" w:rsidR="0089064A" w:rsidRPr="0089064A" w:rsidRDefault="0089064A" w:rsidP="0089064A">
      <w:pPr>
        <w:ind w:left="426" w:hanging="426"/>
        <w:jc w:val="both"/>
        <w:rPr>
          <w:lang w:val="en-US"/>
        </w:rPr>
      </w:pPr>
      <w:r w:rsidRPr="0089064A">
        <w:rPr>
          <w:lang w:val="en-US"/>
        </w:rPr>
        <w:t xml:space="preserve">Hayes, A. F. (2018). </w:t>
      </w:r>
      <w:r w:rsidRPr="0089064A">
        <w:rPr>
          <w:i/>
          <w:iCs/>
          <w:lang w:val="en-US"/>
        </w:rPr>
        <w:t>Introduction to mediation, moderation, and conditional process analysis: A regression-based approach</w:t>
      </w:r>
      <w:r w:rsidRPr="0089064A">
        <w:rPr>
          <w:lang w:val="en-US"/>
        </w:rPr>
        <w:t xml:space="preserve"> (2nd ed.). Guilford Press.</w:t>
      </w:r>
    </w:p>
    <w:p w14:paraId="0BD86580" w14:textId="77777777" w:rsidR="0089064A" w:rsidRPr="0089064A" w:rsidRDefault="0089064A" w:rsidP="0089064A">
      <w:pPr>
        <w:ind w:left="426" w:hanging="426"/>
        <w:jc w:val="both"/>
        <w:rPr>
          <w:lang w:val="en-US"/>
        </w:rPr>
      </w:pPr>
      <w:r w:rsidRPr="0089064A">
        <w:rPr>
          <w:lang w:val="en-US"/>
        </w:rPr>
        <w:t xml:space="preserve">He, Q., Tong, H. &amp; Liu, J-B. (2022). How Does Inequality Affect the Residents’ Subjective Well-Being: Inequality of Opportunity and Inequality of Effort. </w:t>
      </w:r>
      <w:r w:rsidRPr="0089064A">
        <w:rPr>
          <w:i/>
          <w:iCs/>
          <w:lang w:val="en-US"/>
        </w:rPr>
        <w:t>Frontiers in Psychol</w:t>
      </w:r>
      <w:r w:rsidRPr="0089064A">
        <w:rPr>
          <w:lang w:val="en-US"/>
        </w:rPr>
        <w:t xml:space="preserve">ogy, 13:843854. DOI: </w:t>
      </w:r>
      <w:hyperlink r:id="rId39" w:history="1">
        <w:r w:rsidRPr="0089064A">
          <w:rPr>
            <w:rStyle w:val="Hyperlink"/>
            <w:lang w:val="en-US"/>
          </w:rPr>
          <w:t>10.3389/fpsyg.2022.843854</w:t>
        </w:r>
      </w:hyperlink>
      <w:r w:rsidRPr="0089064A">
        <w:rPr>
          <w:lang w:val="en-US"/>
        </w:rPr>
        <w:t xml:space="preserve">   </w:t>
      </w:r>
    </w:p>
    <w:p w14:paraId="07BA917B" w14:textId="77777777" w:rsidR="0089064A" w:rsidRPr="0089064A" w:rsidRDefault="0089064A" w:rsidP="0089064A">
      <w:pPr>
        <w:ind w:left="426" w:hanging="426"/>
        <w:jc w:val="both"/>
        <w:rPr>
          <w:lang w:val="de-DE"/>
        </w:rPr>
      </w:pPr>
      <w:r w:rsidRPr="0089064A">
        <w:rPr>
          <w:lang w:val="en-US"/>
        </w:rPr>
        <w:t xml:space="preserve">Hobfoll, S. E. (1989). Conservation of resources. A new attempt at conceptualizing stress. </w:t>
      </w:r>
      <w:r w:rsidRPr="0089064A">
        <w:rPr>
          <w:i/>
          <w:iCs/>
          <w:lang w:val="de-DE"/>
        </w:rPr>
        <w:t>American Psychologist</w:t>
      </w:r>
      <w:r w:rsidRPr="0089064A">
        <w:rPr>
          <w:lang w:val="de-DE"/>
        </w:rPr>
        <w:t xml:space="preserve">, 44, 513–524. DOI: </w:t>
      </w:r>
      <w:hyperlink r:id="rId40" w:history="1">
        <w:r w:rsidRPr="0089064A">
          <w:rPr>
            <w:rStyle w:val="Hyperlink"/>
            <w:lang w:val="de-DE"/>
          </w:rPr>
          <w:t>http://dx.doi.org/10.1037/0003-066X.44.3.513</w:t>
        </w:r>
      </w:hyperlink>
      <w:r w:rsidRPr="0089064A">
        <w:rPr>
          <w:lang w:val="de-DE"/>
        </w:rPr>
        <w:t xml:space="preserve"> </w:t>
      </w:r>
    </w:p>
    <w:p w14:paraId="1B6BD515" w14:textId="77777777" w:rsidR="0089064A" w:rsidRPr="0089064A" w:rsidRDefault="0089064A" w:rsidP="0089064A">
      <w:pPr>
        <w:ind w:left="426" w:hanging="426"/>
        <w:jc w:val="both"/>
        <w:rPr>
          <w:lang w:val="en-US"/>
        </w:rPr>
      </w:pPr>
      <w:r w:rsidRPr="0089064A">
        <w:rPr>
          <w:lang w:val="de-DE"/>
        </w:rPr>
        <w:t xml:space="preserve">Honneth, A. (1996). </w:t>
      </w:r>
      <w:r w:rsidRPr="0089064A">
        <w:rPr>
          <w:i/>
          <w:iCs/>
          <w:lang w:val="en-US"/>
        </w:rPr>
        <w:t>The Struggle for Recognition: The Moral Grammar of Social Conflicts</w:t>
      </w:r>
      <w:r w:rsidRPr="0089064A">
        <w:rPr>
          <w:lang w:val="en-US"/>
        </w:rPr>
        <w:t>. MIT Press.</w:t>
      </w:r>
    </w:p>
    <w:p w14:paraId="12DA3F5A" w14:textId="77777777" w:rsidR="0089064A" w:rsidRPr="0089064A" w:rsidRDefault="0089064A" w:rsidP="0089064A">
      <w:pPr>
        <w:ind w:left="426" w:hanging="426"/>
        <w:jc w:val="both"/>
      </w:pPr>
      <w:r w:rsidRPr="0089064A">
        <w:lastRenderedPageBreak/>
        <w:t xml:space="preserve">House, J. S. (1981). </w:t>
      </w:r>
      <w:r w:rsidRPr="0089064A">
        <w:rPr>
          <w:i/>
          <w:iCs/>
        </w:rPr>
        <w:t>Work stress and social support</w:t>
      </w:r>
      <w:r w:rsidRPr="0089064A">
        <w:t>. Addison Wesley.</w:t>
      </w:r>
    </w:p>
    <w:p w14:paraId="59BD266D" w14:textId="77777777" w:rsidR="0089064A" w:rsidRPr="0089064A" w:rsidRDefault="0089064A" w:rsidP="0089064A">
      <w:pPr>
        <w:ind w:left="426" w:hanging="426"/>
        <w:jc w:val="both"/>
        <w:rPr>
          <w:lang w:val="en-US"/>
        </w:rPr>
      </w:pPr>
      <w:r w:rsidRPr="0089064A">
        <w:rPr>
          <w:lang w:val="en-US"/>
        </w:rPr>
        <w:t xml:space="preserve">ISSP Research Group (2019). </w:t>
      </w:r>
      <w:r w:rsidRPr="0089064A">
        <w:rPr>
          <w:i/>
          <w:iCs/>
          <w:lang w:val="en-US"/>
        </w:rPr>
        <w:t>International Social Survey Programme: Social Networks and Social Resources - ISSP 2017</w:t>
      </w:r>
      <w:r w:rsidRPr="0089064A">
        <w:rPr>
          <w:lang w:val="en-US"/>
        </w:rPr>
        <w:t xml:space="preserve">. GESIS Data Archive, Cologne. ZA6980 Data file Version 2.0.0, DOI: </w:t>
      </w:r>
      <w:hyperlink r:id="rId41" w:history="1">
        <w:r w:rsidRPr="0089064A">
          <w:rPr>
            <w:rStyle w:val="Hyperlink"/>
            <w:lang w:val="en-US"/>
          </w:rPr>
          <w:t>https://doi.org/10.4232/1.13322</w:t>
        </w:r>
      </w:hyperlink>
      <w:r w:rsidRPr="0089064A">
        <w:rPr>
          <w:lang w:val="en-US"/>
        </w:rPr>
        <w:t xml:space="preserve"> </w:t>
      </w:r>
    </w:p>
    <w:p w14:paraId="48780F6B" w14:textId="77777777" w:rsidR="0089064A" w:rsidRPr="0089064A" w:rsidRDefault="0089064A" w:rsidP="0089064A">
      <w:pPr>
        <w:ind w:left="426" w:hanging="426"/>
        <w:jc w:val="both"/>
        <w:rPr>
          <w:lang w:val="en-US"/>
        </w:rPr>
      </w:pPr>
      <w:r w:rsidRPr="0089064A">
        <w:rPr>
          <w:lang w:val="en-US"/>
        </w:rPr>
        <w:t xml:space="preserve">King, L. A., Mattimore, L. K., King, D. W., &amp; Adams, G. A. (1995). Family support inventory for workers: A new measure of perceived social support from family members. </w:t>
      </w:r>
      <w:r w:rsidRPr="0089064A">
        <w:rPr>
          <w:i/>
          <w:iCs/>
          <w:lang w:val="en-US"/>
        </w:rPr>
        <w:t>Journal of Organizational Behavior</w:t>
      </w:r>
      <w:r w:rsidRPr="0089064A">
        <w:rPr>
          <w:lang w:val="en-US"/>
        </w:rPr>
        <w:t xml:space="preserve">, 16(3), 235–258. DOI: </w:t>
      </w:r>
      <w:hyperlink r:id="rId42" w:history="1">
        <w:r w:rsidRPr="0089064A">
          <w:rPr>
            <w:rStyle w:val="Hyperlink"/>
            <w:lang w:val="en-US"/>
          </w:rPr>
          <w:t>https://doi.org/10.1002/job.4030160306</w:t>
        </w:r>
      </w:hyperlink>
      <w:r w:rsidRPr="0089064A">
        <w:rPr>
          <w:lang w:val="en-US"/>
        </w:rPr>
        <w:t xml:space="preserve"> </w:t>
      </w:r>
    </w:p>
    <w:p w14:paraId="40F46452" w14:textId="77777777" w:rsidR="0089064A" w:rsidRPr="0089064A" w:rsidRDefault="0089064A" w:rsidP="0089064A">
      <w:pPr>
        <w:ind w:left="426" w:hanging="426"/>
        <w:jc w:val="both"/>
        <w:rPr>
          <w:lang w:val="en-US"/>
        </w:rPr>
      </w:pPr>
      <w:r w:rsidRPr="0089064A">
        <w:rPr>
          <w:lang w:val="en-US"/>
        </w:rPr>
        <w:t xml:space="preserve">Kline, R. B. (2011). </w:t>
      </w:r>
      <w:r w:rsidRPr="0089064A">
        <w:rPr>
          <w:i/>
          <w:iCs/>
          <w:lang w:val="en-US"/>
        </w:rPr>
        <w:t>Principles and practice of structural equation modeling</w:t>
      </w:r>
      <w:r w:rsidRPr="0089064A">
        <w:rPr>
          <w:lang w:val="en-US"/>
        </w:rPr>
        <w:t xml:space="preserve">. (3th ed). New York: Guilford Press. Acesso </w:t>
      </w:r>
      <w:hyperlink r:id="rId43" w:history="1">
        <w:r w:rsidRPr="0089064A">
          <w:rPr>
            <w:rStyle w:val="Hyperlink"/>
            <w:lang w:val="en-US"/>
          </w:rPr>
          <w:t>aqui</w:t>
        </w:r>
      </w:hyperlink>
      <w:r w:rsidRPr="0089064A">
        <w:rPr>
          <w:lang w:val="en-US"/>
        </w:rPr>
        <w:t>, 19.04.2025.</w:t>
      </w:r>
    </w:p>
    <w:p w14:paraId="7AB97F91" w14:textId="77777777" w:rsidR="0089064A" w:rsidRPr="0089064A" w:rsidRDefault="0089064A" w:rsidP="0089064A">
      <w:pPr>
        <w:ind w:left="426" w:hanging="426"/>
        <w:jc w:val="both"/>
      </w:pPr>
      <w:r w:rsidRPr="0089064A">
        <w:t xml:space="preserve">Kushner, H. I. &amp; Sterk, C. E. (2005). The limits of social capital: Durkheim, suicide, and social cohesion. </w:t>
      </w:r>
      <w:r w:rsidRPr="0089064A">
        <w:rPr>
          <w:i/>
          <w:iCs/>
        </w:rPr>
        <w:t>American Journal of Public Health,</w:t>
      </w:r>
      <w:r w:rsidRPr="0089064A">
        <w:t xml:space="preserve"> 95(7), 1139–1143. DOI: </w:t>
      </w:r>
      <w:hyperlink r:id="rId44" w:history="1">
        <w:r w:rsidRPr="0089064A">
          <w:rPr>
            <w:rStyle w:val="Hyperlink"/>
          </w:rPr>
          <w:t>10.2105/AJPH.2004.053314</w:t>
        </w:r>
      </w:hyperlink>
      <w:r w:rsidRPr="0089064A">
        <w:t xml:space="preserve"> </w:t>
      </w:r>
    </w:p>
    <w:p w14:paraId="395FDF74" w14:textId="77777777" w:rsidR="0089064A" w:rsidRPr="0089064A" w:rsidRDefault="0089064A" w:rsidP="0089064A">
      <w:pPr>
        <w:ind w:left="426" w:hanging="426"/>
        <w:jc w:val="both"/>
      </w:pPr>
      <w:r w:rsidRPr="0089064A">
        <w:t xml:space="preserve">Layte, R. (2012). The association between income inequality and mental health: Testing status anxiety, social capital, and neo-materialist explanations. </w:t>
      </w:r>
      <w:r w:rsidRPr="0089064A">
        <w:rPr>
          <w:i/>
          <w:iCs/>
        </w:rPr>
        <w:t>European Sociological Review</w:t>
      </w:r>
      <w:r w:rsidRPr="0089064A">
        <w:t xml:space="preserve">, 28(4), 498–511. </w:t>
      </w:r>
      <w:hyperlink r:id="rId45" w:history="1">
        <w:r w:rsidRPr="0089064A">
          <w:rPr>
            <w:rStyle w:val="Hyperlink"/>
          </w:rPr>
          <w:t>https://doi.org/10.1093/esr/jcr012</w:t>
        </w:r>
      </w:hyperlink>
      <w:r w:rsidRPr="0089064A">
        <w:t xml:space="preserve"> </w:t>
      </w:r>
    </w:p>
    <w:p w14:paraId="2E0C2FB2" w14:textId="77777777" w:rsidR="0089064A" w:rsidRPr="0089064A" w:rsidRDefault="0089064A" w:rsidP="0089064A">
      <w:pPr>
        <w:ind w:left="426" w:hanging="426"/>
        <w:jc w:val="both"/>
      </w:pPr>
      <w:r w:rsidRPr="0089064A">
        <w:rPr>
          <w:lang w:val="en-US"/>
        </w:rPr>
        <w:t>Loayza-Rivas, J. &amp; Fernández-Castro, J.</w:t>
      </w:r>
      <w:r w:rsidRPr="0089064A">
        <w:t xml:space="preserve"> (2020). Perceived stress and well-being: The role of social support as a protective factor among Peruvian immigrants in Spain. </w:t>
      </w:r>
      <w:r w:rsidRPr="0089064A">
        <w:rPr>
          <w:i/>
          <w:iCs/>
        </w:rPr>
        <w:t>Ansiedad y Estrés</w:t>
      </w:r>
      <w:r w:rsidRPr="0089064A">
        <w:t xml:space="preserve">, 26(2-3), 67-72. DOI: </w:t>
      </w:r>
      <w:hyperlink r:id="rId46" w:history="1">
        <w:r w:rsidRPr="0089064A">
          <w:rPr>
            <w:rStyle w:val="Hyperlink"/>
          </w:rPr>
          <w:t>https://doi.org/10.1016/j.anyes.2020.03.002</w:t>
        </w:r>
      </w:hyperlink>
      <w:r w:rsidRPr="0089064A">
        <w:t xml:space="preserve"> </w:t>
      </w:r>
    </w:p>
    <w:p w14:paraId="248E8F3D" w14:textId="77777777" w:rsidR="0089064A" w:rsidRPr="0089064A" w:rsidRDefault="0089064A" w:rsidP="0089064A">
      <w:pPr>
        <w:ind w:left="426" w:hanging="426"/>
        <w:jc w:val="both"/>
        <w:rPr>
          <w:lang w:val="pt-PT"/>
        </w:rPr>
      </w:pPr>
      <w:r w:rsidRPr="0089064A">
        <w:rPr>
          <w:lang w:val="pt-PT"/>
        </w:rPr>
        <w:t xml:space="preserve">Macdonald, B. &amp; Hülür, G. (2020). </w:t>
      </w:r>
      <w:r w:rsidRPr="0089064A">
        <w:rPr>
          <w:lang w:val="en-US"/>
        </w:rPr>
        <w:t xml:space="preserve">Well-Being and Loneliness in Swiss Older Adults During the COVID-19 Pandemic: The Role of Social Relationships. </w:t>
      </w:r>
      <w:r w:rsidRPr="0089064A">
        <w:rPr>
          <w:i/>
          <w:iCs/>
          <w:lang w:val="pt-PT"/>
        </w:rPr>
        <w:t>The Gerontologist</w:t>
      </w:r>
      <w:r w:rsidRPr="0089064A">
        <w:rPr>
          <w:lang w:val="pt-PT"/>
        </w:rPr>
        <w:t xml:space="preserve">, 61(2), 240–250. DOI: </w:t>
      </w:r>
      <w:hyperlink r:id="rId47" w:history="1">
        <w:r w:rsidRPr="0089064A">
          <w:rPr>
            <w:rStyle w:val="Hyperlink"/>
            <w:lang w:val="pt-PT"/>
          </w:rPr>
          <w:t xml:space="preserve">10.1093/geront/gnaa194 </w:t>
        </w:r>
      </w:hyperlink>
      <w:r w:rsidRPr="0089064A">
        <w:rPr>
          <w:lang w:val="pt-PT"/>
        </w:rPr>
        <w:t xml:space="preserve"> </w:t>
      </w:r>
    </w:p>
    <w:p w14:paraId="0C19ED42" w14:textId="77777777" w:rsidR="0089064A" w:rsidRPr="0089064A" w:rsidRDefault="0089064A" w:rsidP="0089064A">
      <w:pPr>
        <w:ind w:left="426" w:hanging="426"/>
        <w:jc w:val="both"/>
        <w:rPr>
          <w:lang w:val="pt-PT"/>
        </w:rPr>
      </w:pPr>
      <w:r w:rsidRPr="0089064A">
        <w:rPr>
          <w:lang w:val="pt-PT"/>
        </w:rPr>
        <w:t xml:space="preserve">Machado, F. L. (2015). Desigualdades sociais no mundo atual: teoria e ilustrações empíricas. </w:t>
      </w:r>
      <w:r w:rsidRPr="0089064A">
        <w:rPr>
          <w:i/>
          <w:iCs/>
          <w:lang w:val="pt-PT"/>
        </w:rPr>
        <w:t>Mulemba - Revista Angolana de Ciências Sociais</w:t>
      </w:r>
      <w:r w:rsidRPr="0089064A">
        <w:rPr>
          <w:lang w:val="pt-PT"/>
        </w:rPr>
        <w:t xml:space="preserve">, 9, 297–318. URI: </w:t>
      </w:r>
      <w:hyperlink r:id="rId48" w:history="1">
        <w:r w:rsidRPr="0089064A">
          <w:rPr>
            <w:rStyle w:val="Hyperlink"/>
            <w:lang w:val="pt-PT"/>
          </w:rPr>
          <w:t>https://repositorio.iscte-iul.pt/handle/10071/13301</w:t>
        </w:r>
      </w:hyperlink>
      <w:r w:rsidRPr="0089064A">
        <w:rPr>
          <w:lang w:val="pt-PT"/>
        </w:rPr>
        <w:t xml:space="preserve"> </w:t>
      </w:r>
    </w:p>
    <w:p w14:paraId="59AFA523" w14:textId="77777777" w:rsidR="0089064A" w:rsidRPr="0089064A" w:rsidRDefault="0089064A" w:rsidP="0089064A">
      <w:pPr>
        <w:ind w:left="426" w:hanging="426"/>
        <w:jc w:val="both"/>
      </w:pPr>
      <w:r w:rsidRPr="0089064A">
        <w:rPr>
          <w:lang w:val="pt-PT"/>
        </w:rPr>
        <w:t xml:space="preserve">Mauritti, R. (Coord.), Craveiro, D., Cabrita, L., Botelho, M.C., Nunes, N. &amp; Silva, S. F. (2022). </w:t>
      </w:r>
      <w:r w:rsidRPr="0089064A">
        <w:rPr>
          <w:i/>
          <w:iCs/>
          <w:lang w:val="pt-PT"/>
        </w:rPr>
        <w:t>Territórios de bem-estar: Assimetrias nos municípios portugueses</w:t>
      </w:r>
      <w:r w:rsidRPr="0089064A">
        <w:rPr>
          <w:lang w:val="pt-PT"/>
        </w:rPr>
        <w:t xml:space="preserve">. Fundação Francisco Manuel dos Santos. </w:t>
      </w:r>
      <w:r w:rsidRPr="0089064A">
        <w:rPr>
          <w:lang w:val="de-DE"/>
        </w:rPr>
        <w:t xml:space="preserve">URI: </w:t>
      </w:r>
      <w:hyperlink r:id="rId49" w:history="1">
        <w:r w:rsidRPr="0089064A">
          <w:rPr>
            <w:rStyle w:val="Hyperlink"/>
            <w:lang w:val="de-DE"/>
          </w:rPr>
          <w:t>https://www.ffms.pt/pt-pt/estudos/territorios-de-bem-estar-assimetrias-nos-municipios-portugueses</w:t>
        </w:r>
      </w:hyperlink>
    </w:p>
    <w:p w14:paraId="425F1757" w14:textId="77777777" w:rsidR="0089064A" w:rsidRPr="0089064A" w:rsidRDefault="0089064A" w:rsidP="0089064A">
      <w:pPr>
        <w:ind w:left="426" w:hanging="426"/>
        <w:jc w:val="both"/>
        <w:rPr>
          <w:lang w:val="de-DE"/>
        </w:rPr>
      </w:pPr>
      <w:r w:rsidRPr="0089064A">
        <w:rPr>
          <w:lang w:val="pt-PT"/>
        </w:rPr>
        <w:t xml:space="preserve">Melita, D., Willis, G. B., &amp; Rodríguez-Bailón, R. (2021). </w:t>
      </w:r>
      <w:r w:rsidRPr="0089064A">
        <w:rPr>
          <w:lang w:val="en-US"/>
        </w:rPr>
        <w:t xml:space="preserve">Economic inequality increases status anxiety through perceived contextual competitiveness. </w:t>
      </w:r>
      <w:r w:rsidRPr="0089064A">
        <w:rPr>
          <w:i/>
          <w:iCs/>
          <w:lang w:val="de-DE"/>
        </w:rPr>
        <w:t>Frontiers in Psychol</w:t>
      </w:r>
      <w:r w:rsidRPr="0089064A">
        <w:rPr>
          <w:lang w:val="de-DE"/>
        </w:rPr>
        <w:t xml:space="preserve">ogy, 12:637365. DOI: </w:t>
      </w:r>
      <w:hyperlink r:id="rId50" w:history="1">
        <w:r w:rsidRPr="0089064A">
          <w:rPr>
            <w:rStyle w:val="Hyperlink"/>
            <w:lang w:val="de-DE"/>
          </w:rPr>
          <w:t>10.3389/fpsyg.2021.637365</w:t>
        </w:r>
      </w:hyperlink>
      <w:r w:rsidRPr="0089064A">
        <w:rPr>
          <w:lang w:val="de-DE"/>
        </w:rPr>
        <w:t xml:space="preserve"> </w:t>
      </w:r>
    </w:p>
    <w:p w14:paraId="550F4676" w14:textId="77777777" w:rsidR="0089064A" w:rsidRPr="0089064A" w:rsidRDefault="0089064A" w:rsidP="0089064A">
      <w:pPr>
        <w:ind w:left="426" w:hanging="426"/>
        <w:jc w:val="both"/>
        <w:rPr>
          <w:lang w:val="en-US"/>
        </w:rPr>
      </w:pPr>
      <w:r w:rsidRPr="0089064A">
        <w:rPr>
          <w:lang w:val="de-DE"/>
        </w:rPr>
        <w:t xml:space="preserve">Milner, A., McClure, R., &amp; De Leo, D. (2012). </w:t>
      </w:r>
      <w:r w:rsidRPr="0089064A">
        <w:rPr>
          <w:lang w:val="en-US"/>
        </w:rPr>
        <w:t xml:space="preserve">Socio-economic determinants of suicide: an ecological analysis of 35 countries. </w:t>
      </w:r>
      <w:r w:rsidRPr="0089064A">
        <w:rPr>
          <w:i/>
          <w:iCs/>
          <w:lang w:val="en-US"/>
        </w:rPr>
        <w:t>Soc. Psychiatry Psychiatr. Epidemiol</w:t>
      </w:r>
      <w:r w:rsidRPr="0089064A">
        <w:rPr>
          <w:lang w:val="en-US"/>
        </w:rPr>
        <w:t xml:space="preserve">. 47, 19–27. DOI: </w:t>
      </w:r>
      <w:hyperlink r:id="rId51" w:history="1">
        <w:r w:rsidRPr="0089064A">
          <w:rPr>
            <w:rStyle w:val="Hyperlink"/>
            <w:lang w:val="en-US"/>
          </w:rPr>
          <w:t>10.1007/s00127-010-0316-x</w:t>
        </w:r>
      </w:hyperlink>
      <w:r w:rsidRPr="0089064A">
        <w:rPr>
          <w:lang w:val="en-US"/>
        </w:rPr>
        <w:t xml:space="preserve"> </w:t>
      </w:r>
    </w:p>
    <w:p w14:paraId="460EFF3F" w14:textId="77777777" w:rsidR="0089064A" w:rsidRPr="0089064A" w:rsidRDefault="0089064A" w:rsidP="0089064A">
      <w:pPr>
        <w:ind w:left="426" w:hanging="426"/>
        <w:jc w:val="both"/>
        <w:rPr>
          <w:lang w:val="en-US"/>
        </w:rPr>
      </w:pPr>
      <w:r w:rsidRPr="0089064A">
        <w:rPr>
          <w:lang w:val="en-US"/>
        </w:rPr>
        <w:t xml:space="preserve">OCDE. (2017). </w:t>
      </w:r>
      <w:r w:rsidRPr="0089064A">
        <w:rPr>
          <w:i/>
          <w:iCs/>
          <w:lang w:val="en-US"/>
        </w:rPr>
        <w:t>How's Life? 2017: Measuring Well-being</w:t>
      </w:r>
      <w:r w:rsidRPr="0089064A">
        <w:rPr>
          <w:lang w:val="en-US"/>
        </w:rPr>
        <w:t xml:space="preserve">. OECD Publishing. </w:t>
      </w:r>
      <w:hyperlink r:id="rId52" w:history="1">
        <w:r w:rsidRPr="0089064A">
          <w:rPr>
            <w:rStyle w:val="Hyperlink"/>
            <w:lang w:val="en-US"/>
          </w:rPr>
          <w:t>https://doi.org/10.1787/how_life-2017-en</w:t>
        </w:r>
      </w:hyperlink>
      <w:r w:rsidRPr="0089064A">
        <w:rPr>
          <w:lang w:val="en-US"/>
        </w:rPr>
        <w:t xml:space="preserve"> </w:t>
      </w:r>
    </w:p>
    <w:p w14:paraId="486300AF" w14:textId="77777777" w:rsidR="0089064A" w:rsidRPr="0089064A" w:rsidRDefault="0089064A" w:rsidP="0089064A">
      <w:pPr>
        <w:ind w:left="426" w:hanging="426"/>
        <w:jc w:val="both"/>
        <w:rPr>
          <w:lang w:val="en-US"/>
        </w:rPr>
      </w:pPr>
      <w:r w:rsidRPr="0089064A">
        <w:rPr>
          <w:lang w:val="en-US"/>
        </w:rPr>
        <w:t xml:space="preserve">OCDE. (2020). </w:t>
      </w:r>
      <w:r w:rsidRPr="0089064A">
        <w:rPr>
          <w:i/>
          <w:iCs/>
          <w:lang w:val="en-US"/>
        </w:rPr>
        <w:t>How's Life? 2020: Measuring Well-being</w:t>
      </w:r>
      <w:r w:rsidRPr="0089064A">
        <w:rPr>
          <w:lang w:val="en-US"/>
        </w:rPr>
        <w:t xml:space="preserve">. OECD Publishing. </w:t>
      </w:r>
      <w:hyperlink r:id="rId53" w:history="1">
        <w:r w:rsidRPr="0089064A">
          <w:rPr>
            <w:rStyle w:val="Hyperlink"/>
            <w:lang w:val="en-US"/>
          </w:rPr>
          <w:t>https://doi.org/10.1787/9870c393-en</w:t>
        </w:r>
      </w:hyperlink>
      <w:r w:rsidRPr="0089064A">
        <w:rPr>
          <w:lang w:val="en-US"/>
        </w:rPr>
        <w:t xml:space="preserve"> </w:t>
      </w:r>
    </w:p>
    <w:p w14:paraId="191E0987" w14:textId="77777777" w:rsidR="0089064A" w:rsidRPr="0089064A" w:rsidRDefault="0089064A" w:rsidP="0089064A">
      <w:pPr>
        <w:ind w:left="426" w:hanging="426"/>
        <w:jc w:val="both"/>
      </w:pPr>
      <w:r w:rsidRPr="0089064A">
        <w:t xml:space="preserve">Odle-Dusseau, H. N., Britt, T. W., &amp; Greene-Shortridge, T. M. (2012). Organizational work–family resources as predictors of job performance and attitudes: The process of work–family conflict and enrichment. Journal of Occupational Health Psychology, 17, 28–40. DOI: </w:t>
      </w:r>
      <w:hyperlink r:id="rId54" w:history="1">
        <w:r w:rsidRPr="0089064A">
          <w:rPr>
            <w:rStyle w:val="Hyperlink"/>
          </w:rPr>
          <w:t>http://dx.doi.org/10.1037/a0026428</w:t>
        </w:r>
      </w:hyperlink>
      <w:r w:rsidRPr="0089064A">
        <w:t xml:space="preserve"> </w:t>
      </w:r>
    </w:p>
    <w:p w14:paraId="30602C40" w14:textId="77777777" w:rsidR="0089064A" w:rsidRPr="0089064A" w:rsidRDefault="0089064A" w:rsidP="0089064A">
      <w:pPr>
        <w:ind w:left="426" w:hanging="426"/>
        <w:jc w:val="both"/>
        <w:rPr>
          <w:lang w:val="en-US"/>
        </w:rPr>
      </w:pPr>
      <w:r w:rsidRPr="0089064A">
        <w:rPr>
          <w:lang w:val="en-US"/>
        </w:rPr>
        <w:t xml:space="preserve">Pavot, W. &amp; Diener, E. (2008) The Satisfaction With Life Scale and the emerging construct of life satisfaction, </w:t>
      </w:r>
      <w:r w:rsidRPr="0089064A">
        <w:rPr>
          <w:i/>
          <w:iCs/>
          <w:lang w:val="en-US"/>
        </w:rPr>
        <w:t>The Journal of Positive Psychology</w:t>
      </w:r>
      <w:r w:rsidRPr="0089064A">
        <w:rPr>
          <w:lang w:val="en-US"/>
        </w:rPr>
        <w:t xml:space="preserve">, 3(2), 137-152. DOI: </w:t>
      </w:r>
      <w:hyperlink r:id="rId55" w:history="1">
        <w:r w:rsidRPr="0089064A">
          <w:rPr>
            <w:rStyle w:val="Hyperlink"/>
            <w:lang w:val="en-US"/>
          </w:rPr>
          <w:t>10.1080/17439760701756946</w:t>
        </w:r>
      </w:hyperlink>
      <w:r w:rsidRPr="0089064A">
        <w:rPr>
          <w:lang w:val="en-US"/>
        </w:rPr>
        <w:t xml:space="preserve"> </w:t>
      </w:r>
    </w:p>
    <w:p w14:paraId="748E7388" w14:textId="77777777" w:rsidR="0089064A" w:rsidRPr="0089064A" w:rsidRDefault="0089064A" w:rsidP="0089064A">
      <w:pPr>
        <w:ind w:left="426" w:hanging="426"/>
        <w:jc w:val="both"/>
        <w:rPr>
          <w:lang w:val="pt-PT"/>
        </w:rPr>
      </w:pPr>
      <w:r w:rsidRPr="0089064A">
        <w:rPr>
          <w:lang w:val="en-US"/>
        </w:rPr>
        <w:lastRenderedPageBreak/>
        <w:t xml:space="preserve">Rajkumar RP (2023) The association between nation-level social and economic indices and suicide rates: A pilot study. </w:t>
      </w:r>
      <w:r w:rsidRPr="0089064A">
        <w:rPr>
          <w:i/>
          <w:iCs/>
          <w:lang w:val="pt-PT"/>
        </w:rPr>
        <w:t>Frontiers in Sociology,</w:t>
      </w:r>
      <w:r w:rsidRPr="0089064A">
        <w:rPr>
          <w:lang w:val="pt-PT"/>
        </w:rPr>
        <w:t xml:space="preserve"> 8:1123284. DOI: </w:t>
      </w:r>
      <w:hyperlink r:id="rId56" w:history="1">
        <w:r w:rsidRPr="0089064A">
          <w:rPr>
            <w:rStyle w:val="Hyperlink"/>
            <w:lang w:val="pt-PT"/>
          </w:rPr>
          <w:t>10.3389/fsoc.2023.1123284</w:t>
        </w:r>
      </w:hyperlink>
      <w:r w:rsidRPr="0089064A">
        <w:rPr>
          <w:lang w:val="pt-PT"/>
        </w:rPr>
        <w:t xml:space="preserve"> </w:t>
      </w:r>
    </w:p>
    <w:p w14:paraId="17F311E8" w14:textId="77777777" w:rsidR="0089064A" w:rsidRPr="0089064A" w:rsidRDefault="0089064A" w:rsidP="0089064A">
      <w:pPr>
        <w:ind w:left="426" w:hanging="426"/>
        <w:jc w:val="both"/>
      </w:pPr>
      <w:r w:rsidRPr="0089064A">
        <w:rPr>
          <w:lang w:val="pt-PT"/>
        </w:rPr>
        <w:t xml:space="preserve">Ribeiro, J. L. P. (1999). Escala de satisfação com o suporte social (ESSS). </w:t>
      </w:r>
      <w:r w:rsidRPr="0089064A">
        <w:rPr>
          <w:i/>
          <w:iCs/>
          <w:lang w:val="pt-PT"/>
        </w:rPr>
        <w:t>Análise Psicológica</w:t>
      </w:r>
      <w:r w:rsidRPr="0089064A">
        <w:rPr>
          <w:lang w:val="pt-PT"/>
        </w:rPr>
        <w:t xml:space="preserve">, 17(3), 547–558. DOI: </w:t>
      </w:r>
      <w:hyperlink r:id="rId57" w:history="1">
        <w:r w:rsidRPr="0089064A">
          <w:rPr>
            <w:rStyle w:val="Hyperlink"/>
            <w:lang w:val="pt-PT"/>
          </w:rPr>
          <w:t>https://repositorio-aberto.up.pt/bitstream/10216/5544/2/81718.pdf</w:t>
        </w:r>
      </w:hyperlink>
    </w:p>
    <w:p w14:paraId="6302C187" w14:textId="77777777" w:rsidR="0089064A" w:rsidRPr="0089064A" w:rsidRDefault="0089064A" w:rsidP="0089064A">
      <w:pPr>
        <w:ind w:left="426" w:hanging="426"/>
        <w:jc w:val="both"/>
        <w:rPr>
          <w:lang w:val="en-US"/>
        </w:rPr>
      </w:pPr>
      <w:r w:rsidRPr="0089064A">
        <w:rPr>
          <w:lang w:val="pt-PT"/>
        </w:rPr>
        <w:t xml:space="preserve">Roemer, J. E. (1998). </w:t>
      </w:r>
      <w:r w:rsidRPr="0089064A">
        <w:rPr>
          <w:i/>
          <w:iCs/>
          <w:lang w:val="en-US"/>
        </w:rPr>
        <w:t>Equality of Opportunity</w:t>
      </w:r>
      <w:r w:rsidRPr="0089064A">
        <w:rPr>
          <w:lang w:val="en-US"/>
        </w:rPr>
        <w:t>. Harvard University Press.</w:t>
      </w:r>
    </w:p>
    <w:p w14:paraId="7BC7467C" w14:textId="77777777" w:rsidR="0089064A" w:rsidRPr="0089064A" w:rsidRDefault="0089064A" w:rsidP="0089064A">
      <w:pPr>
        <w:ind w:left="426" w:hanging="426"/>
        <w:jc w:val="both"/>
      </w:pPr>
      <w:r w:rsidRPr="0089064A">
        <w:rPr>
          <w:lang w:val="en-US"/>
        </w:rPr>
        <w:t xml:space="preserve">Rui, J. R., &amp; Guo, J. (2022). The buffering effects of perceived and received social support on stress during the COVID-19 pandemic. </w:t>
      </w:r>
      <w:r w:rsidRPr="0089064A">
        <w:rPr>
          <w:i/>
          <w:iCs/>
          <w:lang w:val="en-US"/>
        </w:rPr>
        <w:t>International Journal of Environmental Research and Public Health</w:t>
      </w:r>
      <w:r w:rsidRPr="0089064A">
        <w:rPr>
          <w:lang w:val="en-US"/>
        </w:rPr>
        <w:t xml:space="preserve">, 19(2), 1-11. DOI: </w:t>
      </w:r>
      <w:hyperlink r:id="rId58" w:history="1">
        <w:r w:rsidRPr="0089064A">
          <w:rPr>
            <w:rStyle w:val="Hyperlink"/>
            <w:lang w:val="en-US"/>
          </w:rPr>
          <w:t>10.1007/s12144-021-02606-6</w:t>
        </w:r>
      </w:hyperlink>
    </w:p>
    <w:p w14:paraId="26E7F936" w14:textId="77777777" w:rsidR="0089064A" w:rsidRPr="0089064A" w:rsidRDefault="0089064A" w:rsidP="0089064A">
      <w:pPr>
        <w:ind w:left="426" w:hanging="426"/>
        <w:jc w:val="both"/>
      </w:pPr>
      <w:r w:rsidRPr="0089064A">
        <w:t xml:space="preserve">Sánchez-Moreno, E., Gallardo-Peralta, L., López de Roda, A. B. &amp; Álvarez, J. M. R. (2024). Socioeconomic status, loneliness, and depression among older adults: a cross-sectional study in Spain. </w:t>
      </w:r>
      <w:r w:rsidRPr="0089064A">
        <w:rPr>
          <w:i/>
          <w:iCs/>
        </w:rPr>
        <w:t>BMC Geriatr</w:t>
      </w:r>
      <w:r w:rsidRPr="0089064A">
        <w:t xml:space="preserve"> 24, 361. </w:t>
      </w:r>
      <w:hyperlink r:id="rId59" w:history="1">
        <w:r w:rsidRPr="0089064A">
          <w:rPr>
            <w:rStyle w:val="Hyperlink"/>
          </w:rPr>
          <w:t>https://doi.org/10.1186/s12877-024-04978-3</w:t>
        </w:r>
      </w:hyperlink>
      <w:r w:rsidRPr="0089064A">
        <w:t xml:space="preserve"> </w:t>
      </w:r>
    </w:p>
    <w:p w14:paraId="2C505154" w14:textId="77777777" w:rsidR="0089064A" w:rsidRPr="0089064A" w:rsidRDefault="0089064A" w:rsidP="0089064A">
      <w:pPr>
        <w:ind w:left="426" w:hanging="426"/>
        <w:jc w:val="both"/>
        <w:rPr>
          <w:lang w:val="en-US"/>
        </w:rPr>
      </w:pPr>
      <w:r w:rsidRPr="0089064A">
        <w:rPr>
          <w:lang w:val="en-US"/>
        </w:rPr>
        <w:t xml:space="preserve">Sen, A. (1992). </w:t>
      </w:r>
      <w:r w:rsidRPr="0089064A">
        <w:rPr>
          <w:i/>
          <w:iCs/>
          <w:lang w:val="en-US"/>
        </w:rPr>
        <w:t>Inequality Reexamined</w:t>
      </w:r>
      <w:r w:rsidRPr="0089064A">
        <w:rPr>
          <w:lang w:val="en-US"/>
        </w:rPr>
        <w:t>. Harvard University Press.</w:t>
      </w:r>
    </w:p>
    <w:p w14:paraId="204CCCA6" w14:textId="77777777" w:rsidR="0089064A" w:rsidRPr="0089064A" w:rsidRDefault="0089064A" w:rsidP="0089064A">
      <w:pPr>
        <w:ind w:left="426" w:hanging="426"/>
        <w:jc w:val="both"/>
        <w:rPr>
          <w:lang w:val="en-US"/>
        </w:rPr>
      </w:pPr>
      <w:r w:rsidRPr="0089064A">
        <w:rPr>
          <w:lang w:val="en-US"/>
        </w:rPr>
        <w:t xml:space="preserve">Shin, H. &amp; Park, C. (2022). Social support and psychological well-being in younger and older adults: The mediating effects of basic psychological need satisfaction. </w:t>
      </w:r>
      <w:r w:rsidRPr="0089064A">
        <w:rPr>
          <w:i/>
          <w:iCs/>
          <w:lang w:val="en-US"/>
        </w:rPr>
        <w:t>Frontiers in Psychol</w:t>
      </w:r>
      <w:r w:rsidRPr="0089064A">
        <w:rPr>
          <w:lang w:val="en-US"/>
        </w:rPr>
        <w:t xml:space="preserve">ogy, 13:1051968. DOI: </w:t>
      </w:r>
      <w:hyperlink r:id="rId60" w:history="1">
        <w:r w:rsidRPr="0089064A">
          <w:rPr>
            <w:rStyle w:val="Hyperlink"/>
            <w:lang w:val="en-US"/>
          </w:rPr>
          <w:t>doi: 10.3389/fpsyg.2022.1051968</w:t>
        </w:r>
      </w:hyperlink>
    </w:p>
    <w:p w14:paraId="3D53BA92" w14:textId="77777777" w:rsidR="0089064A" w:rsidRPr="0089064A" w:rsidRDefault="0089064A" w:rsidP="0089064A">
      <w:pPr>
        <w:ind w:left="426" w:hanging="426"/>
        <w:jc w:val="both"/>
        <w:rPr>
          <w:lang w:val="pt-PT"/>
        </w:rPr>
      </w:pPr>
      <w:r w:rsidRPr="0089064A">
        <w:rPr>
          <w:lang w:val="en-US"/>
        </w:rPr>
        <w:t xml:space="preserve">Silva, E. C., &amp; Heleno, M. G. (2012). </w:t>
      </w:r>
      <w:r w:rsidRPr="0089064A">
        <w:rPr>
          <w:lang w:val="pt-PT"/>
        </w:rPr>
        <w:t xml:space="preserve">Qualidade de Vida e Bem-Estar Subjetivo de Estudantes Universitários. </w:t>
      </w:r>
      <w:r w:rsidRPr="0089064A">
        <w:rPr>
          <w:i/>
          <w:iCs/>
          <w:lang w:val="pt-PT"/>
        </w:rPr>
        <w:t>Revista Psicologia e Saúde</w:t>
      </w:r>
      <w:r w:rsidRPr="0089064A">
        <w:rPr>
          <w:lang w:val="pt-PT"/>
        </w:rPr>
        <w:t xml:space="preserve">, 4(1), 69-76. DOI: </w:t>
      </w:r>
      <w:hyperlink r:id="rId61" w:history="1">
        <w:r w:rsidRPr="0089064A">
          <w:rPr>
            <w:rStyle w:val="Hyperlink"/>
            <w:lang w:val="pt-PT"/>
          </w:rPr>
          <w:t>https://doi.org/10.20435/pssa.v4i1.126</w:t>
        </w:r>
      </w:hyperlink>
      <w:r w:rsidRPr="0089064A">
        <w:rPr>
          <w:lang w:val="pt-PT"/>
        </w:rPr>
        <w:t xml:space="preserve">   </w:t>
      </w:r>
    </w:p>
    <w:p w14:paraId="50294AB4" w14:textId="77777777" w:rsidR="0089064A" w:rsidRPr="0089064A" w:rsidRDefault="0089064A" w:rsidP="0089064A">
      <w:pPr>
        <w:ind w:left="426" w:hanging="426"/>
        <w:jc w:val="both"/>
        <w:rPr>
          <w:lang w:val="pt-PT"/>
        </w:rPr>
      </w:pPr>
      <w:r w:rsidRPr="0089064A">
        <w:rPr>
          <w:lang w:val="pt-PT"/>
        </w:rPr>
        <w:t xml:space="preserve">Silva, C. F. da, &amp; Dutra &amp; Silva, J. P. (2014). Apoio social, bem-estar subjetivo e qualidade de vida em estudantes universitários. </w:t>
      </w:r>
      <w:r w:rsidRPr="0089064A">
        <w:rPr>
          <w:i/>
          <w:iCs/>
          <w:lang w:val="pt-PT"/>
        </w:rPr>
        <w:t>Estudos Interdisciplinares sobre o Envelhecimento-UFRGS</w:t>
      </w:r>
      <w:r w:rsidRPr="0089064A">
        <w:rPr>
          <w:lang w:val="pt-PT"/>
        </w:rPr>
        <w:t xml:space="preserve">, 19(3), 775–791. DOI: </w:t>
      </w:r>
      <w:hyperlink r:id="rId62" w:history="1">
        <w:r w:rsidRPr="0089064A">
          <w:rPr>
            <w:rStyle w:val="Hyperlink"/>
            <w:lang w:val="pt-PT"/>
          </w:rPr>
          <w:t>https://doi.org/10.22456/2316-2171.43389</w:t>
        </w:r>
      </w:hyperlink>
      <w:r w:rsidRPr="0089064A">
        <w:rPr>
          <w:lang w:val="pt-PT"/>
        </w:rPr>
        <w:t xml:space="preserve"> </w:t>
      </w:r>
    </w:p>
    <w:p w14:paraId="5B23C929" w14:textId="77777777" w:rsidR="0089064A" w:rsidRPr="0089064A" w:rsidRDefault="0089064A" w:rsidP="0089064A">
      <w:pPr>
        <w:ind w:left="426" w:hanging="426"/>
        <w:jc w:val="both"/>
      </w:pPr>
      <w:r w:rsidRPr="0089064A">
        <w:t xml:space="preserve">Smith, N. D. L. &amp; Kawachi, I. (2014). State-level social capital and suicide mortality in the 50 U.S. States. </w:t>
      </w:r>
      <w:r w:rsidRPr="0089064A">
        <w:rPr>
          <w:i/>
          <w:iCs/>
        </w:rPr>
        <w:t>Soc. Sci. Med.</w:t>
      </w:r>
      <w:r w:rsidRPr="0089064A">
        <w:t xml:space="preserve">, 120, 269–277. DOI: </w:t>
      </w:r>
      <w:hyperlink r:id="rId63" w:history="1">
        <w:r w:rsidRPr="0089064A">
          <w:rPr>
            <w:rStyle w:val="Hyperlink"/>
          </w:rPr>
          <w:t>10.1016/j.socscimed.2014.09.007</w:t>
        </w:r>
      </w:hyperlink>
    </w:p>
    <w:p w14:paraId="06E907B5" w14:textId="77777777" w:rsidR="0089064A" w:rsidRPr="0089064A" w:rsidRDefault="0089064A" w:rsidP="0089064A">
      <w:pPr>
        <w:ind w:left="426" w:hanging="426"/>
        <w:jc w:val="both"/>
      </w:pPr>
      <w:r w:rsidRPr="0089064A">
        <w:t xml:space="preserve">Sörensen, K., Rzeszutek, M., &amp; Gasik, R. (2019). Post-traumatic growth among patients with rheumatoid arthritis: The role of social support and illness perception. </w:t>
      </w:r>
      <w:r w:rsidRPr="0089064A">
        <w:rPr>
          <w:i/>
          <w:iCs/>
        </w:rPr>
        <w:t>Current Psychology</w:t>
      </w:r>
      <w:r w:rsidRPr="0089064A">
        <w:t xml:space="preserve">, 38, 2017–2025. DOI: </w:t>
      </w:r>
      <w:hyperlink r:id="rId64" w:history="1">
        <w:r w:rsidRPr="0089064A">
          <w:rPr>
            <w:rStyle w:val="Hyperlink"/>
          </w:rPr>
          <w:t>https://doi.org/10.1007/s12144-019-0131-9</w:t>
        </w:r>
      </w:hyperlink>
      <w:r w:rsidRPr="0089064A">
        <w:t xml:space="preserve"> </w:t>
      </w:r>
    </w:p>
    <w:p w14:paraId="34D96E1E" w14:textId="77777777" w:rsidR="0089064A" w:rsidRPr="0089064A" w:rsidRDefault="0089064A" w:rsidP="0089064A">
      <w:pPr>
        <w:ind w:left="426" w:hanging="426"/>
        <w:jc w:val="both"/>
      </w:pPr>
      <w:r w:rsidRPr="0089064A">
        <w:t xml:space="preserve">Straub, C. (2012). Antecedents and organizational consequences of family supportive supervisor behavior: a multilevel conceptual framework for research. </w:t>
      </w:r>
      <w:r w:rsidRPr="0089064A">
        <w:rPr>
          <w:i/>
          <w:iCs/>
        </w:rPr>
        <w:t>Hum. Resour. Manag. Rev..</w:t>
      </w:r>
      <w:r w:rsidRPr="0089064A">
        <w:t xml:space="preserve">, 22(1), 15–26. DOI: </w:t>
      </w:r>
      <w:hyperlink r:id="rId65" w:history="1">
        <w:r w:rsidRPr="0089064A">
          <w:rPr>
            <w:rStyle w:val="Hyperlink"/>
          </w:rPr>
          <w:t>10.1016/j.hrmr.2011.08.001</w:t>
        </w:r>
      </w:hyperlink>
      <w:r w:rsidRPr="0089064A">
        <w:t xml:space="preserve"> </w:t>
      </w:r>
    </w:p>
    <w:p w14:paraId="146233B1" w14:textId="77777777" w:rsidR="0089064A" w:rsidRPr="0089064A" w:rsidRDefault="0089064A" w:rsidP="0089064A">
      <w:pPr>
        <w:ind w:left="426" w:hanging="426"/>
        <w:jc w:val="both"/>
        <w:rPr>
          <w:lang w:val="en-US"/>
        </w:rPr>
      </w:pPr>
      <w:r w:rsidRPr="0089064A">
        <w:rPr>
          <w:lang w:val="en-US"/>
        </w:rPr>
        <w:t>Sultana, R. (2019). The incentive and e</w:t>
      </w:r>
      <w:r w:rsidRPr="0089064A">
        <w:rPr>
          <w:lang w:val="pt-PT"/>
        </w:rPr>
        <w:t>ﬃ</w:t>
      </w:r>
      <w:r w:rsidRPr="0089064A">
        <w:rPr>
          <w:lang w:val="en-US"/>
        </w:rPr>
        <w:t>ciency e</w:t>
      </w:r>
      <w:r w:rsidRPr="0089064A">
        <w:rPr>
          <w:lang w:val="pt-PT"/>
        </w:rPr>
        <w:t>ﬀ</w:t>
      </w:r>
      <w:r w:rsidRPr="0089064A">
        <w:rPr>
          <w:lang w:val="en-US"/>
        </w:rPr>
        <w:t>ects of a</w:t>
      </w:r>
      <w:r w:rsidRPr="0089064A">
        <w:rPr>
          <w:lang w:val="pt-PT"/>
        </w:rPr>
        <w:t>ﬃ</w:t>
      </w:r>
      <w:r w:rsidRPr="0089064A">
        <w:rPr>
          <w:lang w:val="en-US"/>
        </w:rPr>
        <w:t xml:space="preserve">rmative action: does envy matter? Oxford Economic Papers, 71(4), 930–951. DOI: </w:t>
      </w:r>
      <w:hyperlink r:id="rId66" w:history="1">
        <w:r w:rsidRPr="0089064A">
          <w:rPr>
            <w:rStyle w:val="Hyperlink"/>
            <w:lang w:val="en-US"/>
          </w:rPr>
          <w:t>https://doi.org/10.1093/oep/gpy070</w:t>
        </w:r>
      </w:hyperlink>
    </w:p>
    <w:p w14:paraId="1665C906" w14:textId="77777777" w:rsidR="0089064A" w:rsidRPr="0089064A" w:rsidRDefault="0089064A" w:rsidP="0089064A">
      <w:pPr>
        <w:ind w:left="426" w:hanging="426"/>
        <w:jc w:val="both"/>
      </w:pPr>
      <w:r w:rsidRPr="0089064A">
        <w:rPr>
          <w:lang w:val="en-US"/>
        </w:rPr>
        <w:t xml:space="preserve">Tannous-Haddad, L., Barel, E., and Tzischinsky, O. (2024). Perceived social support and psychological wellbeing: testing the moderated mediation model of self-compassion and culture. </w:t>
      </w:r>
      <w:r w:rsidRPr="0089064A">
        <w:rPr>
          <w:i/>
          <w:iCs/>
          <w:lang w:val="en-US"/>
        </w:rPr>
        <w:t>Frontiers in Psychol</w:t>
      </w:r>
      <w:r w:rsidRPr="0089064A">
        <w:rPr>
          <w:lang w:val="en-US"/>
        </w:rPr>
        <w:t xml:space="preserve">ogy, 15: 1474177. DOI: </w:t>
      </w:r>
      <w:hyperlink r:id="rId67" w:history="1">
        <w:r w:rsidRPr="0089064A">
          <w:rPr>
            <w:rStyle w:val="Hyperlink"/>
            <w:lang w:val="en-US"/>
          </w:rPr>
          <w:t>https://doi.org/10.3389/fpsyg.2024.1474177</w:t>
        </w:r>
      </w:hyperlink>
    </w:p>
    <w:p w14:paraId="59DD95BD" w14:textId="77777777" w:rsidR="0089064A" w:rsidRPr="0089064A" w:rsidRDefault="0089064A" w:rsidP="0089064A">
      <w:pPr>
        <w:ind w:left="426" w:hanging="426"/>
        <w:jc w:val="both"/>
      </w:pPr>
      <w:r w:rsidRPr="0089064A">
        <w:t xml:space="preserve">Thoits, P. A. (1995). Stress, coping, and social support processes: Where are we? What next? </w:t>
      </w:r>
      <w:r w:rsidRPr="0089064A">
        <w:rPr>
          <w:i/>
          <w:iCs/>
        </w:rPr>
        <w:t>Journal of Health and Social Behavior</w:t>
      </w:r>
      <w:r w:rsidRPr="0089064A">
        <w:t xml:space="preserve">, 35, 53–79. DOI: </w:t>
      </w:r>
      <w:hyperlink r:id="rId68" w:history="1">
        <w:r w:rsidRPr="0089064A">
          <w:rPr>
            <w:rStyle w:val="Hyperlink"/>
          </w:rPr>
          <w:t>http://dx.doi.org/10.2307/2626957</w:t>
        </w:r>
      </w:hyperlink>
      <w:r w:rsidRPr="0089064A">
        <w:t xml:space="preserve"> </w:t>
      </w:r>
    </w:p>
    <w:p w14:paraId="24C65418" w14:textId="77777777" w:rsidR="0089064A" w:rsidRPr="0089064A" w:rsidRDefault="0089064A" w:rsidP="0089064A">
      <w:pPr>
        <w:ind w:left="426" w:hanging="426"/>
        <w:jc w:val="both"/>
        <w:rPr>
          <w:lang w:val="en-US"/>
        </w:rPr>
      </w:pPr>
      <w:r w:rsidRPr="0089064A">
        <w:rPr>
          <w:lang w:val="pt-PT"/>
        </w:rPr>
        <w:t xml:space="preserve">Tomás, J.M., Pinazo‐Hernandis, S., Oliver, A., Donio‐Bellegarde, M. &amp; Tomás‐Aguirre, F. (2019). </w:t>
      </w:r>
      <w:r w:rsidRPr="0089064A">
        <w:rPr>
          <w:lang w:val="en-US"/>
        </w:rPr>
        <w:t xml:space="preserve">Loneliness and social support: Differential predictive power on depression and satisfaction in senior citizens. </w:t>
      </w:r>
      <w:r w:rsidRPr="0089064A">
        <w:rPr>
          <w:i/>
          <w:iCs/>
          <w:lang w:val="en-US"/>
        </w:rPr>
        <w:t>Journal of Community Psychology</w:t>
      </w:r>
      <w:r w:rsidRPr="0089064A">
        <w:rPr>
          <w:lang w:val="en-US"/>
        </w:rPr>
        <w:t xml:space="preserve">, 47(5), 1225-1234. DOI: </w:t>
      </w:r>
      <w:hyperlink r:id="rId69" w:history="1">
        <w:r w:rsidRPr="0089064A">
          <w:rPr>
            <w:rStyle w:val="Hyperlink"/>
            <w:lang w:val="en-US"/>
          </w:rPr>
          <w:t>https://doi.org/10.1002/jcop.22184</w:t>
        </w:r>
      </w:hyperlink>
      <w:r w:rsidRPr="0089064A">
        <w:rPr>
          <w:lang w:val="en-US"/>
        </w:rPr>
        <w:t xml:space="preserve"> </w:t>
      </w:r>
    </w:p>
    <w:p w14:paraId="6794EDCA" w14:textId="77777777" w:rsidR="0089064A" w:rsidRPr="0089064A" w:rsidRDefault="0089064A" w:rsidP="0089064A">
      <w:pPr>
        <w:ind w:left="426" w:hanging="426"/>
        <w:jc w:val="both"/>
        <w:rPr>
          <w:lang w:val="en-US"/>
        </w:rPr>
      </w:pPr>
      <w:r w:rsidRPr="0089064A">
        <w:rPr>
          <w:lang w:val="en-US"/>
        </w:rPr>
        <w:t xml:space="preserve">Vaux, A., Phillips, J., Holly, L., Thomson, B., Williams, D., &amp; Stewart, D. (1986). The Social Support Appraisals (SS-A) scale: Studies of reliability and validity. </w:t>
      </w:r>
      <w:r w:rsidRPr="0089064A">
        <w:rPr>
          <w:i/>
          <w:iCs/>
          <w:lang w:val="en-US"/>
        </w:rPr>
        <w:t>American Journal of Community Psychology</w:t>
      </w:r>
      <w:r w:rsidRPr="0089064A">
        <w:rPr>
          <w:lang w:val="en-US"/>
        </w:rPr>
        <w:t xml:space="preserve">, 14(2), 195–218. DOI: </w:t>
      </w:r>
      <w:hyperlink r:id="rId70" w:history="1">
        <w:r w:rsidRPr="0089064A">
          <w:rPr>
            <w:rStyle w:val="Hyperlink"/>
            <w:lang w:val="en-US"/>
          </w:rPr>
          <w:t>https://doi.org/10.1007/BF00911821</w:t>
        </w:r>
      </w:hyperlink>
      <w:r w:rsidRPr="0089064A">
        <w:rPr>
          <w:lang w:val="en-US"/>
        </w:rPr>
        <w:t xml:space="preserve"> </w:t>
      </w:r>
    </w:p>
    <w:p w14:paraId="57734CC0" w14:textId="77777777" w:rsidR="0089064A" w:rsidRPr="0089064A" w:rsidRDefault="0089064A" w:rsidP="0089064A">
      <w:pPr>
        <w:ind w:left="426" w:hanging="426"/>
        <w:jc w:val="both"/>
        <w:rPr>
          <w:lang w:val="en-US"/>
        </w:rPr>
      </w:pPr>
      <w:r w:rsidRPr="0089064A">
        <w:rPr>
          <w:lang w:val="en-US"/>
        </w:rPr>
        <w:lastRenderedPageBreak/>
        <w:t xml:space="preserve">Watson, D., Clark, L. A., &amp; Tellegen, A. (1988). Development and validation of brief measures of positive and negative affect: The PANAS scales. </w:t>
      </w:r>
      <w:r w:rsidRPr="0089064A">
        <w:rPr>
          <w:i/>
          <w:iCs/>
          <w:lang w:val="en-US"/>
        </w:rPr>
        <w:t>Journal of Personality and Social Psychology</w:t>
      </w:r>
      <w:r w:rsidRPr="0089064A">
        <w:rPr>
          <w:lang w:val="en-US"/>
        </w:rPr>
        <w:t xml:space="preserve">, 54(6), 1063–1070. </w:t>
      </w:r>
      <w:hyperlink r:id="rId71" w:history="1">
        <w:r w:rsidRPr="0089064A">
          <w:rPr>
            <w:rStyle w:val="Hyperlink"/>
            <w:lang w:val="en-US"/>
          </w:rPr>
          <w:t>https://doi.org/10.1037/0022-3514.54.6.1063</w:t>
        </w:r>
      </w:hyperlink>
      <w:r w:rsidRPr="0089064A">
        <w:rPr>
          <w:lang w:val="en-US"/>
        </w:rPr>
        <w:t xml:space="preserve">  </w:t>
      </w:r>
    </w:p>
    <w:p w14:paraId="7D5450F1" w14:textId="77777777" w:rsidR="0089064A" w:rsidRPr="0089064A" w:rsidRDefault="0089064A" w:rsidP="0089064A">
      <w:pPr>
        <w:ind w:left="426" w:hanging="426"/>
        <w:jc w:val="both"/>
        <w:rPr>
          <w:lang w:val="en-US"/>
        </w:rPr>
      </w:pPr>
      <w:r w:rsidRPr="0089064A">
        <w:rPr>
          <w:lang w:val="en-US"/>
        </w:rPr>
        <w:t xml:space="preserve">Whelan, C. T., &amp; Maître, B. (2010). Welfare regime and social class variation in poverty and economic vulnerability in Europe: An analysis of EU-SILC. </w:t>
      </w:r>
      <w:r w:rsidRPr="0089064A">
        <w:rPr>
          <w:i/>
          <w:iCs/>
          <w:lang w:val="en-US"/>
        </w:rPr>
        <w:t>Journal of European Social Policy</w:t>
      </w:r>
      <w:r w:rsidRPr="0089064A">
        <w:rPr>
          <w:lang w:val="en-US"/>
        </w:rPr>
        <w:t xml:space="preserve">, 20(4), 316–332. DOI: </w:t>
      </w:r>
      <w:hyperlink r:id="rId72" w:history="1">
        <w:r w:rsidRPr="0089064A">
          <w:rPr>
            <w:rStyle w:val="Hyperlink"/>
            <w:lang w:val="en-US"/>
          </w:rPr>
          <w:t>https://doi.org/10.1177/0958928710374378</w:t>
        </w:r>
      </w:hyperlink>
      <w:r w:rsidRPr="0089064A">
        <w:rPr>
          <w:lang w:val="en-US"/>
        </w:rPr>
        <w:t xml:space="preserve"> </w:t>
      </w:r>
    </w:p>
    <w:p w14:paraId="26B21CAC" w14:textId="77777777" w:rsidR="0089064A" w:rsidRPr="0089064A" w:rsidRDefault="0089064A" w:rsidP="0089064A">
      <w:pPr>
        <w:ind w:left="426" w:hanging="426"/>
        <w:jc w:val="both"/>
        <w:rPr>
          <w:lang w:val="en-US"/>
        </w:rPr>
      </w:pPr>
      <w:r w:rsidRPr="0089064A">
        <w:rPr>
          <w:lang w:val="en-US"/>
        </w:rPr>
        <w:t xml:space="preserve">Xu, S., Zhang, Y., Zhang, B., Qing, T. &amp; Jin, J. (2020) Does Inconsistent Social Support Matter? The Effects of Social Support on Work Absorption Through Relaxation at Work. </w:t>
      </w:r>
      <w:r w:rsidRPr="0089064A">
        <w:rPr>
          <w:i/>
          <w:iCs/>
          <w:lang w:val="en-US"/>
        </w:rPr>
        <w:t>Frontiers in Psychology</w:t>
      </w:r>
      <w:r w:rsidRPr="0089064A">
        <w:rPr>
          <w:lang w:val="en-US"/>
        </w:rPr>
        <w:t xml:space="preserve">, 11:555501. DOI: </w:t>
      </w:r>
      <w:hyperlink r:id="rId73" w:history="1">
        <w:r w:rsidRPr="0089064A">
          <w:rPr>
            <w:rStyle w:val="Hyperlink"/>
            <w:lang w:val="en-US"/>
          </w:rPr>
          <w:t>10.3389/fpsyg.2020.555501</w:t>
        </w:r>
      </w:hyperlink>
      <w:r w:rsidRPr="0089064A">
        <w:rPr>
          <w:lang w:val="en-US"/>
        </w:rPr>
        <w:t xml:space="preserve"> </w:t>
      </w:r>
    </w:p>
    <w:p w14:paraId="1A02B459" w14:textId="77777777" w:rsidR="0089064A" w:rsidRPr="0089064A" w:rsidRDefault="0089064A" w:rsidP="0089064A">
      <w:pPr>
        <w:ind w:left="426" w:hanging="426"/>
        <w:jc w:val="both"/>
      </w:pPr>
      <w:r w:rsidRPr="0089064A">
        <w:t xml:space="preserve">Yu, Z. &amp; Chen, L. (2016). Income and Well-Being: Relative Income and Absolute Income Weaken Negative Emotion, but Only Relative Income Improves Positive Emotion. </w:t>
      </w:r>
      <w:r w:rsidRPr="0089064A">
        <w:rPr>
          <w:i/>
          <w:iCs/>
          <w:lang w:val="en-US"/>
        </w:rPr>
        <w:t>Frontiers in Psychol</w:t>
      </w:r>
      <w:r w:rsidRPr="0089064A">
        <w:rPr>
          <w:lang w:val="en-US"/>
        </w:rPr>
        <w:t>ogy,</w:t>
      </w:r>
      <w:r w:rsidRPr="0089064A">
        <w:t xml:space="preserve"> 7:2012. DOI: </w:t>
      </w:r>
      <w:hyperlink r:id="rId74" w:history="1">
        <w:r w:rsidRPr="0089064A">
          <w:rPr>
            <w:rStyle w:val="Hyperlink"/>
          </w:rPr>
          <w:t>10.3389/fpsyg.2016.02012</w:t>
        </w:r>
      </w:hyperlink>
      <w:r w:rsidRPr="0089064A">
        <w:t xml:space="preserve"> </w:t>
      </w:r>
    </w:p>
    <w:p w14:paraId="74CD8735" w14:textId="77777777" w:rsidR="0089064A" w:rsidRPr="0089064A" w:rsidRDefault="0089064A" w:rsidP="0089064A">
      <w:pPr>
        <w:ind w:left="426" w:hanging="426"/>
        <w:jc w:val="both"/>
        <w:rPr>
          <w:lang w:val="en-US"/>
        </w:rPr>
      </w:pPr>
      <w:r w:rsidRPr="0089064A">
        <w:rPr>
          <w:lang w:val="en-US"/>
        </w:rPr>
        <w:t xml:space="preserve">Zhang, Q. &amp; Churchill, S. A. (2020). Income inequality and subjective wellbeing: Panel data evidence from China. </w:t>
      </w:r>
      <w:r w:rsidRPr="0089064A">
        <w:rPr>
          <w:i/>
          <w:iCs/>
          <w:lang w:val="en-US"/>
        </w:rPr>
        <w:t>China Economic Review</w:t>
      </w:r>
      <w:r w:rsidRPr="0089064A">
        <w:rPr>
          <w:lang w:val="en-US"/>
        </w:rPr>
        <w:t xml:space="preserve">, 60, 101392. DOI: </w:t>
      </w:r>
      <w:hyperlink r:id="rId75" w:history="1">
        <w:r w:rsidRPr="0089064A">
          <w:rPr>
            <w:rStyle w:val="Hyperlink"/>
            <w:lang w:val="en-US"/>
          </w:rPr>
          <w:t>https://doi.org/10.1016/j.chieco.2019.101392</w:t>
        </w:r>
      </w:hyperlink>
      <w:r w:rsidRPr="0089064A">
        <w:rPr>
          <w:lang w:val="en-US"/>
        </w:rPr>
        <w:t xml:space="preserve"> </w:t>
      </w:r>
    </w:p>
    <w:p w14:paraId="0BC8E408" w14:textId="77777777" w:rsidR="0089064A" w:rsidRPr="006C12FE" w:rsidRDefault="0089064A" w:rsidP="0089064A">
      <w:pPr>
        <w:ind w:left="426" w:hanging="426"/>
        <w:jc w:val="both"/>
        <w:rPr>
          <w:rFonts w:ascii="Garamond" w:hAnsi="Garamond" w:cs="Arial"/>
        </w:rPr>
      </w:pPr>
      <w:r w:rsidRPr="0089064A">
        <w:rPr>
          <w:lang w:val="en-US"/>
        </w:rPr>
        <w:t xml:space="preserve">Zhang, Y. &amp; Sun, L. (2024). The health status, social support, and subjective well-being of older individuals: evidence from the Chinese General Social Survey. </w:t>
      </w:r>
      <w:r w:rsidRPr="0089064A">
        <w:rPr>
          <w:i/>
          <w:iCs/>
          <w:lang w:val="en-US"/>
        </w:rPr>
        <w:t>Frontiers in Public Health</w:t>
      </w:r>
      <w:r w:rsidRPr="0089064A">
        <w:rPr>
          <w:lang w:val="en-US"/>
        </w:rPr>
        <w:t xml:space="preserve">, 12: 1312841. DOI: </w:t>
      </w:r>
      <w:hyperlink r:id="rId76" w:history="1">
        <w:r w:rsidRPr="0089064A">
          <w:rPr>
            <w:rStyle w:val="Hyperlink"/>
            <w:lang w:val="en-US"/>
          </w:rPr>
          <w:t>https://doi.org/10.3389/fpubh.2024.1312841</w:t>
        </w:r>
      </w:hyperlink>
    </w:p>
    <w:p w14:paraId="5189D6AD" w14:textId="1D3DF815" w:rsidR="003A3413" w:rsidRDefault="003A3413">
      <w:pPr>
        <w:ind w:left="720" w:hanging="720"/>
        <w:jc w:val="both"/>
      </w:pPr>
    </w:p>
    <w:p w14:paraId="2FFD7926" w14:textId="77777777" w:rsidR="003A3413" w:rsidRDefault="003A3413">
      <w:pPr>
        <w:ind w:left="720" w:hanging="720"/>
        <w:jc w:val="both"/>
      </w:pPr>
    </w:p>
    <w:p w14:paraId="2A1D7987" w14:textId="77777777" w:rsidR="003A3413" w:rsidRDefault="003A3413">
      <w:pPr>
        <w:ind w:left="720" w:hanging="720"/>
        <w:jc w:val="both"/>
      </w:pPr>
    </w:p>
    <w:p w14:paraId="47CBF7E6" w14:textId="77777777" w:rsidR="003A3413" w:rsidRDefault="003A3413">
      <w:pPr>
        <w:ind w:left="720" w:hanging="720"/>
        <w:jc w:val="both"/>
      </w:pPr>
    </w:p>
    <w:p w14:paraId="76F213CF" w14:textId="77777777" w:rsidR="003A3413" w:rsidRDefault="00000000">
      <w:pPr>
        <w:shd w:val="clear" w:color="auto" w:fill="FFFFFF"/>
        <w:jc w:val="right"/>
        <w:rPr>
          <w:i/>
          <w:sz w:val="20"/>
          <w:szCs w:val="20"/>
        </w:rPr>
      </w:pPr>
      <w:r>
        <w:rPr>
          <w:i/>
          <w:sz w:val="20"/>
          <w:szCs w:val="20"/>
        </w:rPr>
        <w:t xml:space="preserve">Received: </w:t>
      </w:r>
    </w:p>
    <w:p w14:paraId="2D93869E" w14:textId="50686347" w:rsidR="003A3413" w:rsidRPr="0089064A" w:rsidRDefault="00000000" w:rsidP="0089064A">
      <w:pPr>
        <w:shd w:val="clear" w:color="auto" w:fill="FFFFFF"/>
        <w:jc w:val="right"/>
        <w:rPr>
          <w:i/>
          <w:sz w:val="20"/>
          <w:szCs w:val="20"/>
        </w:rPr>
      </w:pPr>
      <w:r>
        <w:rPr>
          <w:i/>
          <w:sz w:val="20"/>
          <w:szCs w:val="20"/>
        </w:rPr>
        <w:t>Accepted:</w:t>
      </w:r>
    </w:p>
    <w:sectPr w:rsidR="003A3413" w:rsidRPr="0089064A">
      <w:headerReference w:type="even" r:id="rId77"/>
      <w:headerReference w:type="default" r:id="rId78"/>
      <w:footerReference w:type="even" r:id="rId79"/>
      <w:footerReference w:type="default" r:id="rId8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CF4B3" w14:textId="77777777" w:rsidR="00DC4013" w:rsidRDefault="00DC4013">
      <w:r>
        <w:separator/>
      </w:r>
    </w:p>
  </w:endnote>
  <w:endnote w:type="continuationSeparator" w:id="0">
    <w:p w14:paraId="13704030" w14:textId="77777777" w:rsidR="00DC4013" w:rsidRDefault="00DC4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FB6B9B6-90B3-1842-A132-ED1D2774F0D7}"/>
    <w:embedBold r:id="rId2" w:fontKey="{763F2731-27C0-EB4D-8488-4FDC979C4AA8}"/>
    <w:embedItalic r:id="rId3" w:fontKey="{81AFFB60-CA9E-E44E-9B54-B6694F4F535D}"/>
    <w:embedBoldItalic r:id="rId4" w:fontKey="{DC250EBC-FC47-CD43-9E8C-316EE594C7D9}"/>
  </w:font>
  <w:font w:name="Calibri Light">
    <w:panose1 w:val="020F0302020204030204"/>
    <w:charset w:val="00"/>
    <w:family w:val="swiss"/>
    <w:pitch w:val="variable"/>
    <w:sig w:usb0="E0002AFF" w:usb1="C000247B" w:usb2="00000009" w:usb3="00000000" w:csb0="000001FF" w:csb1="00000000"/>
    <w:embedRegular r:id="rId5" w:fontKey="{40B59F71-8BDD-4F43-AB5E-2C1CC862F03F}"/>
  </w:font>
  <w:font w:name="Calibri">
    <w:panose1 w:val="020F0502020204030204"/>
    <w:charset w:val="00"/>
    <w:family w:val="swiss"/>
    <w:pitch w:val="variable"/>
    <w:sig w:usb0="E0002AFF" w:usb1="C000247B" w:usb2="00000009" w:usb3="00000000" w:csb0="000001FF" w:csb1="00000000"/>
    <w:embedRegular r:id="rId6" w:fontKey="{E8952CC0-61AB-B445-B327-C98CB77D206E}"/>
    <w:embedBold r:id="rId7" w:fontKey="{BB4C7C1E-468E-CA4E-9F43-4B217B99A492}"/>
    <w:embedItalic r:id="rId8" w:fontKey="{4A40A35F-DF3D-A849-AA35-D2EE364758A0}"/>
  </w:font>
  <w:font w:name="Times">
    <w:altName w:val="Times New Roman"/>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12" w:fontKey="{7DFBA4FE-E630-584A-8F14-B30BD067413C}"/>
    <w:embedItalic r:id="rId13" w:fontKey="{D3ABCF54-E4CF-134C-ADA5-F34DB1ECBA5D}"/>
  </w:font>
  <w:font w:name="Garamond">
    <w:panose1 w:val="02020404030301010803"/>
    <w:charset w:val="00"/>
    <w:family w:val="roman"/>
    <w:pitch w:val="variable"/>
    <w:sig w:usb0="00000287" w:usb1="00000002" w:usb2="00000000" w:usb3="00000000" w:csb0="0000009F" w:csb1="00000000"/>
    <w:embedRegular r:id="rId14" w:fontKey="{987D94E1-0FB8-9E4F-BBEE-B73C11229325}"/>
    <w:embedBold r:id="rId15" w:fontKey="{37F276EA-34E4-374C-AAB1-D9702D107160}"/>
  </w:font>
  <w:font w:name="Arial">
    <w:panose1 w:val="020B0604020202020204"/>
    <w:charset w:val="00"/>
    <w:family w:val="swiss"/>
    <w:pitch w:val="variable"/>
    <w:sig w:usb0="E0002AFF" w:usb1="C0007843" w:usb2="00000009" w:usb3="00000000" w:csb0="000001FF" w:csb1="00000000"/>
    <w:embedRegular r:id="rId16" w:fontKey="{03485091-4FE1-7F42-ABF4-220AB04E21A1}"/>
    <w:embedBold r:id="rId17" w:fontKey="{3F05DE55-2AA2-8E4F-A92E-657A30AE1D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F8060" w14:textId="77777777" w:rsidR="003A3413" w:rsidRDefault="00000000">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E90F69">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7EDC95D3" w14:textId="77777777" w:rsidR="003A3413" w:rsidRDefault="003A3413">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02661" w14:textId="77777777" w:rsidR="003A3413" w:rsidRDefault="00000000">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E90F69">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330D29E3" w14:textId="77777777" w:rsidR="003A3413" w:rsidRDefault="003A3413">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29FA8" w14:textId="77777777" w:rsidR="00DC4013" w:rsidRDefault="00DC4013">
      <w:r>
        <w:separator/>
      </w:r>
    </w:p>
  </w:footnote>
  <w:footnote w:type="continuationSeparator" w:id="0">
    <w:p w14:paraId="2A8DB8F3" w14:textId="77777777" w:rsidR="00DC4013" w:rsidRDefault="00DC4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E64C0" w14:textId="0823DE4A" w:rsidR="003A3413" w:rsidRDefault="00B245DC">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r w:rsidRPr="00B245DC">
      <w:rPr>
        <w:rFonts w:ascii="Times" w:eastAsia="Times" w:hAnsi="Times" w:cs="Times"/>
        <w:smallCaps/>
        <w:color w:val="000000"/>
        <w:sz w:val="20"/>
        <w:szCs w:val="20"/>
      </w:rPr>
      <w:t>The author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6985D" w14:textId="77777777" w:rsidR="003A3413" w:rsidRDefault="00000000">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Revista Interamericana de Psicología/Interamerican Journal of Psychology</w:t>
    </w:r>
    <w:r>
      <w:rPr>
        <w:noProof/>
      </w:rPr>
      <w:drawing>
        <wp:anchor distT="0" distB="0" distL="114300" distR="114300" simplePos="0" relativeHeight="251658240" behindDoc="0" locked="0" layoutInCell="1" hidden="0" allowOverlap="1" wp14:anchorId="4AA4BD86" wp14:editId="2D07A89B">
          <wp:simplePos x="0" y="0"/>
          <wp:positionH relativeFrom="column">
            <wp:posOffset>64656</wp:posOffset>
          </wp:positionH>
          <wp:positionV relativeFrom="paragraph">
            <wp:posOffset>-253536</wp:posOffset>
          </wp:positionV>
          <wp:extent cx="681164" cy="628073"/>
          <wp:effectExtent l="0" t="0" r="0" b="0"/>
          <wp:wrapNone/>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6F400272" w14:textId="42CBC90F" w:rsidR="003A3413" w:rsidRDefault="00000000">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Times" w:eastAsia="Times" w:hAnsi="Times" w:cs="Times"/>
        <w:i/>
        <w:color w:val="000000"/>
        <w:sz w:val="18"/>
        <w:szCs w:val="18"/>
      </w:rPr>
      <w:t>Manuscript submission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212B4D"/>
    <w:multiLevelType w:val="multilevel"/>
    <w:tmpl w:val="CA3034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EDE6D2E"/>
    <w:multiLevelType w:val="multilevel"/>
    <w:tmpl w:val="84E002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731A0D90"/>
    <w:multiLevelType w:val="multilevel"/>
    <w:tmpl w:val="DFE63E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3FD0536"/>
    <w:multiLevelType w:val="multilevel"/>
    <w:tmpl w:val="4AD07F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6086BF2"/>
    <w:multiLevelType w:val="multilevel"/>
    <w:tmpl w:val="E67017D8"/>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num w:numId="1" w16cid:durableId="785152894">
    <w:abstractNumId w:val="1"/>
  </w:num>
  <w:num w:numId="2" w16cid:durableId="1378704849">
    <w:abstractNumId w:val="4"/>
  </w:num>
  <w:num w:numId="3" w16cid:durableId="589437420">
    <w:abstractNumId w:val="3"/>
  </w:num>
  <w:num w:numId="4" w16cid:durableId="1657061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58675314">
    <w:abstractNumId w:val="0"/>
  </w:num>
  <w:num w:numId="6" w16cid:durableId="18687105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413"/>
    <w:rsid w:val="00092BEB"/>
    <w:rsid w:val="00142F45"/>
    <w:rsid w:val="001B5819"/>
    <w:rsid w:val="003A3413"/>
    <w:rsid w:val="003B574D"/>
    <w:rsid w:val="0052063D"/>
    <w:rsid w:val="008015D6"/>
    <w:rsid w:val="0089064A"/>
    <w:rsid w:val="00AB3C46"/>
    <w:rsid w:val="00B245DC"/>
    <w:rsid w:val="00DC4012"/>
    <w:rsid w:val="00DC4013"/>
    <w:rsid w:val="00DD1D25"/>
    <w:rsid w:val="00DE33DA"/>
    <w:rsid w:val="00E005A9"/>
    <w:rsid w:val="00E90F69"/>
    <w:rsid w:val="00F64ED6"/>
  </w:rsids>
  <m:mathPr>
    <m:mathFont m:val="Cambria Math"/>
    <m:brkBin m:val="before"/>
    <m:brkBinSub m:val="--"/>
    <m:smallFrac m:val="0"/>
    <m:dispDef/>
    <m:lMargin m:val="0"/>
    <m:rMargin m:val="0"/>
    <m:defJc m:val="centerGroup"/>
    <m:wrapIndent m:val="1440"/>
    <m:intLim m:val="subSup"/>
    <m:naryLim m:val="undOvr"/>
  </m:mathPr>
  <w:themeFontLang w:val="en-PT"/>
  <w:clrSchemeMapping w:bg1="light1" w:t1="dark1" w:bg2="light2" w:t2="dark2" w:accent1="accent1" w:accent2="accent2" w:accent3="accent3" w:accent4="accent4" w:accent5="accent5" w:accent6="accent6" w:hyperlink="hyperlink" w:followedHyperlink="followedHyperlink"/>
  <w:decimalSymbol w:val=","/>
  <w:listSeparator w:val=","/>
  <w14:docId w14:val="7F97EFC0"/>
  <w15:docId w15:val="{6B8B6B5F-C89A-3045-BECC-0539452E1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02D"/>
    <w:rPr>
      <w:lang w:val="es-AR" w:eastAsia="es-ES_tradnl"/>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HeaderChar">
    <w:name w:val="Header Char"/>
    <w:basedOn w:val="DefaultParagraphFont"/>
    <w:link w:val="Header"/>
    <w:uiPriority w:val="99"/>
    <w:rsid w:val="00C413D4"/>
  </w:style>
  <w:style w:type="paragraph" w:styleId="Footer">
    <w:name w:val="footer"/>
    <w:basedOn w:val="Normal"/>
    <w:link w:val="Footer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uiPriority w:val="99"/>
    <w:rsid w:val="00C413D4"/>
  </w:style>
  <w:style w:type="character" w:customStyle="1" w:styleId="label3">
    <w:name w:val="label3"/>
    <w:basedOn w:val="DefaultParagraphFont"/>
    <w:rsid w:val="00C413D4"/>
  </w:style>
  <w:style w:type="paragraph" w:styleId="FootnoteText">
    <w:name w:val="footnote text"/>
    <w:basedOn w:val="Normal"/>
    <w:link w:val="FootnoteTextChar"/>
    <w:uiPriority w:val="99"/>
    <w:semiHidden/>
    <w:unhideWhenUsed/>
    <w:rsid w:val="00C413D4"/>
    <w:rPr>
      <w:sz w:val="20"/>
      <w:szCs w:val="20"/>
    </w:rPr>
  </w:style>
  <w:style w:type="character" w:customStyle="1" w:styleId="FootnoteTextChar">
    <w:name w:val="Footnote Text Char"/>
    <w:basedOn w:val="DefaultParagraphFont"/>
    <w:link w:val="FootnoteText"/>
    <w:uiPriority w:val="99"/>
    <w:semiHidden/>
    <w:rsid w:val="00C413D4"/>
    <w:rPr>
      <w:rFonts w:ascii="Times New Roman" w:eastAsia="Times New Roman" w:hAnsi="Times New Roman" w:cs="Times New Roman"/>
      <w:sz w:val="20"/>
      <w:szCs w:val="20"/>
      <w:lang w:val="es-ES_tradnl" w:eastAsia="es-ES_tradnl"/>
    </w:rPr>
  </w:style>
  <w:style w:type="character" w:styleId="FootnoteReference">
    <w:name w:val="footnote reference"/>
    <w:basedOn w:val="DefaultParagraphFont"/>
    <w:uiPriority w:val="99"/>
    <w:semiHidden/>
    <w:unhideWhenUsed/>
    <w:rsid w:val="00C413D4"/>
    <w:rPr>
      <w:vertAlign w:val="superscript"/>
    </w:rPr>
  </w:style>
  <w:style w:type="character" w:styleId="PageNumber">
    <w:name w:val="page number"/>
    <w:basedOn w:val="DefaultParagraphFont"/>
    <w:uiPriority w:val="99"/>
    <w:semiHidden/>
    <w:unhideWhenUsed/>
    <w:rsid w:val="00C413D4"/>
  </w:style>
  <w:style w:type="paragraph" w:styleId="BodyText">
    <w:name w:val="Body Text"/>
    <w:basedOn w:val="Normal"/>
    <w:link w:val="BodyTextChar"/>
    <w:rsid w:val="006F7E7E"/>
    <w:pPr>
      <w:spacing w:line="480" w:lineRule="auto"/>
      <w:ind w:firstLine="540"/>
    </w:pPr>
    <w:rPr>
      <w:szCs w:val="20"/>
      <w:lang w:val="en-US" w:eastAsia="en-US"/>
    </w:rPr>
  </w:style>
  <w:style w:type="character" w:customStyle="1" w:styleId="BodyTextChar">
    <w:name w:val="Body Text Char"/>
    <w:basedOn w:val="DefaultParagraphFont"/>
    <w:link w:val="BodyText"/>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EndnoteText">
    <w:name w:val="endnote text"/>
    <w:basedOn w:val="Normal"/>
    <w:link w:val="EndnoteTextChar"/>
    <w:uiPriority w:val="99"/>
    <w:semiHidden/>
    <w:unhideWhenUsed/>
    <w:rsid w:val="007A7C7C"/>
    <w:rPr>
      <w:sz w:val="20"/>
      <w:szCs w:val="20"/>
    </w:rPr>
  </w:style>
  <w:style w:type="character" w:customStyle="1" w:styleId="EndnoteTextChar">
    <w:name w:val="Endnote Text Char"/>
    <w:basedOn w:val="DefaultParagraphFont"/>
    <w:link w:val="EndnoteText"/>
    <w:uiPriority w:val="99"/>
    <w:semiHidden/>
    <w:rsid w:val="007A7C7C"/>
    <w:rPr>
      <w:rFonts w:ascii="Times New Roman" w:eastAsia="Times New Roman" w:hAnsi="Times New Roman" w:cs="Times New Roman"/>
      <w:sz w:val="20"/>
      <w:szCs w:val="20"/>
      <w:lang w:val="es-ES_tradnl" w:eastAsia="es-ES_tradnl"/>
    </w:rPr>
  </w:style>
  <w:style w:type="character" w:styleId="EndnoteReference">
    <w:name w:val="endnote reference"/>
    <w:basedOn w:val="DefaultParagraphFont"/>
    <w:uiPriority w:val="99"/>
    <w:semiHidden/>
    <w:unhideWhenUsed/>
    <w:rsid w:val="007A7C7C"/>
    <w:rPr>
      <w:vertAlign w:val="superscript"/>
    </w:rPr>
  </w:style>
  <w:style w:type="character" w:styleId="Hyperlink">
    <w:name w:val="Hyperlink"/>
    <w:basedOn w:val="DefaultParagraphFont"/>
    <w:uiPriority w:val="99"/>
    <w:unhideWhenUsed/>
    <w:rsid w:val="00B6522A"/>
    <w:rPr>
      <w:color w:val="0000FF"/>
      <w:u w:val="single"/>
    </w:rPr>
  </w:style>
  <w:style w:type="paragraph" w:styleId="BalloonText">
    <w:name w:val="Balloon Text"/>
    <w:basedOn w:val="Normal"/>
    <w:link w:val="BalloonTextChar"/>
    <w:uiPriority w:val="99"/>
    <w:semiHidden/>
    <w:unhideWhenUsed/>
    <w:rsid w:val="00FB0419"/>
    <w:rPr>
      <w:sz w:val="18"/>
      <w:szCs w:val="18"/>
    </w:rPr>
  </w:style>
  <w:style w:type="character" w:customStyle="1" w:styleId="BalloonTextChar">
    <w:name w:val="Balloon Text Char"/>
    <w:basedOn w:val="DefaultParagraphFont"/>
    <w:link w:val="BalloonText"/>
    <w:uiPriority w:val="99"/>
    <w:semiHidden/>
    <w:rsid w:val="00FB0419"/>
    <w:rPr>
      <w:rFonts w:ascii="Times New Roman" w:eastAsia="Times New Roman" w:hAnsi="Times New Roman" w:cs="Times New Roman"/>
      <w:sz w:val="18"/>
      <w:szCs w:val="18"/>
      <w:lang w:val="es-ES_tradnl" w:eastAsia="es-ES_tradnl"/>
    </w:rPr>
  </w:style>
  <w:style w:type="table" w:styleId="TableGrid">
    <w:name w:val="Table Grid"/>
    <w:basedOn w:val="Table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DefaultParagraphFont"/>
    <w:link w:val="Ttulosinternos"/>
    <w:rsid w:val="001516ED"/>
    <w:rPr>
      <w:rFonts w:ascii="Times New Roman" w:eastAsia="Times New Roman" w:hAnsi="Times New Roman" w:cs="Times New Roman"/>
      <w:b/>
    </w:rPr>
  </w:style>
  <w:style w:type="character" w:customStyle="1" w:styleId="Heading2Char">
    <w:name w:val="Heading 2 Char"/>
    <w:basedOn w:val="DefaultParagraphFont"/>
    <w:link w:val="Heading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DefaultParagraphFont"/>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DefaultParagraphFont"/>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DefaultParagraphFont"/>
    <w:link w:val="TtuloResumen"/>
    <w:rsid w:val="00C43335"/>
    <w:rPr>
      <w:rFonts w:ascii="Times New Roman" w:eastAsia="Times New Roman" w:hAnsi="Times New Roman" w:cs="Times New Roman"/>
      <w:b/>
      <w:smallCaps/>
      <w:sz w:val="20"/>
      <w:szCs w:val="20"/>
      <w:lang w:val="pt-BR" w:eastAsia="es-ES_tradnl"/>
    </w:rPr>
  </w:style>
  <w:style w:type="character" w:styleId="UnresolvedMention">
    <w:name w:val="Unresolved Mention"/>
    <w:basedOn w:val="DefaultParagraphFont"/>
    <w:uiPriority w:val="99"/>
    <w:semiHidden/>
    <w:unhideWhenUsed/>
    <w:rsid w:val="00EB213C"/>
    <w:rPr>
      <w:color w:val="605E5C"/>
      <w:shd w:val="clear" w:color="auto" w:fill="E1DFDD"/>
    </w:rPr>
  </w:style>
  <w:style w:type="paragraph" w:styleId="NormalWeb">
    <w:name w:val="Normal (Web)"/>
    <w:basedOn w:val="Normal"/>
    <w:uiPriority w:val="99"/>
    <w:unhideWhenUsed/>
    <w:rsid w:val="0048651A"/>
  </w:style>
  <w:style w:type="table" w:customStyle="1" w:styleId="TableNormal1">
    <w:name w:val="Table Normal1"/>
    <w:rsid w:val="00A93146"/>
    <w:pPr>
      <w:pBdr>
        <w:top w:val="nil"/>
        <w:left w:val="nil"/>
        <w:bottom w:val="nil"/>
        <w:right w:val="nil"/>
        <w:between w:val="nil"/>
        <w:bar w:val="nil"/>
      </w:pBdr>
    </w:pPr>
    <w:rPr>
      <w:rFonts w:eastAsia="Arial Unicode MS"/>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78702D"/>
    <w:pPr>
      <w:outlineLvl w:val="2"/>
    </w:pPr>
    <w:rPr>
      <w:b w:val="0"/>
      <w:lang w:val="es-AR" w:eastAsia="en-US"/>
    </w:rPr>
  </w:style>
  <w:style w:type="character" w:customStyle="1" w:styleId="SubtituloInterno1Car">
    <w:name w:val="Subtitulo Interno 1 Car"/>
    <w:basedOn w:val="DefaultParagraphFont"/>
    <w:link w:val="SubtituloInterno1"/>
    <w:rsid w:val="0078702D"/>
    <w:rPr>
      <w:rFonts w:ascii="Times New Roman" w:eastAsia="Times New Roman" w:hAnsi="Times New Roman" w:cs="Times New Roman"/>
      <w:i/>
      <w:lang w:val="es-A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rFonts w:eastAsia="Times New Roman"/>
    </w:rPr>
    <w:tblPr>
      <w:tblStyleRowBandSize w:val="1"/>
      <w:tblStyleColBandSize w:val="1"/>
    </w:tblPr>
  </w:style>
  <w:style w:type="character" w:styleId="Strong">
    <w:name w:val="Strong"/>
    <w:basedOn w:val="DefaultParagraphFont"/>
    <w:uiPriority w:val="22"/>
    <w:qFormat/>
    <w:rsid w:val="008015D6"/>
    <w:rPr>
      <w:b/>
      <w:bCs/>
    </w:rPr>
  </w:style>
  <w:style w:type="table" w:styleId="PlainTable2">
    <w:name w:val="Plain Table 2"/>
    <w:basedOn w:val="TableNormal"/>
    <w:uiPriority w:val="42"/>
    <w:rsid w:val="008015D6"/>
    <w:rPr>
      <w:rFonts w:asciiTheme="minorHAnsi" w:eastAsiaTheme="minorHAnsi" w:hAnsiTheme="minorHAnsi" w:cstheme="minorBidi"/>
      <w:kern w:val="2"/>
      <w:lang w:val="en-PT" w:eastAsia="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8015D6"/>
    <w:rPr>
      <w:i/>
      <w:iCs/>
    </w:rPr>
  </w:style>
  <w:style w:type="paragraph" w:styleId="ListParagraph">
    <w:name w:val="List Paragraph"/>
    <w:basedOn w:val="Normal"/>
    <w:uiPriority w:val="34"/>
    <w:qFormat/>
    <w:rsid w:val="0052063D"/>
    <w:pPr>
      <w:ind w:left="720"/>
      <w:contextualSpacing/>
    </w:pPr>
    <w:rPr>
      <w:lang w:val="en-PT"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1207/s15327752jpa4901_13" TargetMode="External"/><Relationship Id="rId21" Type="http://schemas.openxmlformats.org/officeDocument/2006/relationships/hyperlink" Target="https://www.frontiersin.org/journals/psychology/articles/10.3389/fpsyg.2022.1014794/full" TargetMode="External"/><Relationship Id="rId42" Type="http://schemas.openxmlformats.org/officeDocument/2006/relationships/hyperlink" Target="https://doi.org/10.1002/job.4030160306" TargetMode="External"/><Relationship Id="rId47" Type="http://schemas.openxmlformats.org/officeDocument/2006/relationships/hyperlink" Target="https://pubmed.ncbi.nlm.nih.gov/33258898/" TargetMode="External"/><Relationship Id="rId63" Type="http://schemas.openxmlformats.org/officeDocument/2006/relationships/hyperlink" Target="https://pubmed.ncbi.nlm.nih.gov/25262314/" TargetMode="External"/><Relationship Id="rId68" Type="http://schemas.openxmlformats.org/officeDocument/2006/relationships/hyperlink" Target="http://dx.doi.org/10.2307/2626957" TargetMode="External"/><Relationship Id="rId16" Type="http://schemas.openxmlformats.org/officeDocument/2006/relationships/hyperlink" Target="https://pubmed.ncbi.nlm.nih.gov/7572249/" TargetMode="External"/><Relationship Id="rId11" Type="http://schemas.openxmlformats.org/officeDocument/2006/relationships/hyperlink" Target="https://search.gesis.org/research_data/ZA6980" TargetMode="External"/><Relationship Id="rId32" Type="http://schemas.openxmlformats.org/officeDocument/2006/relationships/hyperlink" Target="https://www.frontiersin.org/journals/sociology/articles/10.3389/fsoc.2022.773378/full" TargetMode="External"/><Relationship Id="rId37" Type="http://schemas.openxmlformats.org/officeDocument/2006/relationships/hyperlink" Target="http://dx.doi.org/10.1002/job.771" TargetMode="External"/><Relationship Id="rId53" Type="http://schemas.openxmlformats.org/officeDocument/2006/relationships/hyperlink" Target="https://doi.org/10.1787/9870c393-en" TargetMode="External"/><Relationship Id="rId58" Type="http://schemas.openxmlformats.org/officeDocument/2006/relationships/hyperlink" Target="https://pubmed.ncbi.nlm.nih.gov/35043038/" TargetMode="External"/><Relationship Id="rId74" Type="http://schemas.openxmlformats.org/officeDocument/2006/relationships/hyperlink" Target="https://www.frontiersin.org/journals/psychology/articles/10.3389/fpsyg.2016.02012/full"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doi.org/10.20435/pssa.v4i1.126" TargetMode="External"/><Relationship Id="rId82" Type="http://schemas.openxmlformats.org/officeDocument/2006/relationships/theme" Target="theme/theme1.xml"/><Relationship Id="rId19" Type="http://schemas.openxmlformats.org/officeDocument/2006/relationships/hyperlink" Target="https://pubmed.ncbi.nlm.nih.gov/25313056/" TargetMode="External"/><Relationship Id="rId14" Type="http://schemas.openxmlformats.org/officeDocument/2006/relationships/hyperlink" Target="https://doi.org/10.1037/0022-3514.51.6.1173" TargetMode="External"/><Relationship Id="rId22" Type="http://schemas.openxmlformats.org/officeDocument/2006/relationships/hyperlink" Target="https://psycnet.apa.org/record/2015-32793-001" TargetMode="External"/><Relationship Id="rId27" Type="http://schemas.openxmlformats.org/officeDocument/2006/relationships/hyperlink" Target="https://doi.org/10.1080/08870449808407308" TargetMode="External"/><Relationship Id="rId30" Type="http://schemas.openxmlformats.org/officeDocument/2006/relationships/hyperlink" Target="https://www.frontiersin.org/journals/psychology/articles/10.3389/fpsyg.2022.829707/full" TargetMode="External"/><Relationship Id="rId35" Type="http://schemas.openxmlformats.org/officeDocument/2006/relationships/hyperlink" Target="https://onlinelibrary.wiley.com/doi/abs/10.1002/ejsp.2169" TargetMode="External"/><Relationship Id="rId43" Type="http://schemas.openxmlformats.org/officeDocument/2006/relationships/hyperlink" Target="https://www.ndl.ethernet.edu.et/bitstream/123456789/74702/1/35.pdf" TargetMode="External"/><Relationship Id="rId48" Type="http://schemas.openxmlformats.org/officeDocument/2006/relationships/hyperlink" Target="https://repositorio.iscte-iul.pt/handle/10071/13301" TargetMode="External"/><Relationship Id="rId56" Type="http://schemas.openxmlformats.org/officeDocument/2006/relationships/hyperlink" Target="https://www.frontiersin.org/journals/sociology/articles/10.3389/fsoc.2023.1123284/full" TargetMode="External"/><Relationship Id="rId64" Type="http://schemas.openxmlformats.org/officeDocument/2006/relationships/hyperlink" Target="https://doi.org/10.1007/s12144-019-0131-9" TargetMode="External"/><Relationship Id="rId69" Type="http://schemas.openxmlformats.org/officeDocument/2006/relationships/hyperlink" Target="https://doi.org/10.1002/jcop.22184" TargetMode="External"/><Relationship Id="rId77" Type="http://schemas.openxmlformats.org/officeDocument/2006/relationships/header" Target="header1.xml"/><Relationship Id="rId8" Type="http://schemas.openxmlformats.org/officeDocument/2006/relationships/image" Target="media/image3.png"/><Relationship Id="rId51" Type="http://schemas.openxmlformats.org/officeDocument/2006/relationships/hyperlink" Target="https://pubmed.ncbi.nlm.nih.gov/21079912/" TargetMode="External"/><Relationship Id="rId72" Type="http://schemas.openxmlformats.org/officeDocument/2006/relationships/hyperlink" Target="https://doi.org/10.1177/0958928710374378"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doi.org/10.3389/fpsyg.2024.1330720" TargetMode="External"/><Relationship Id="rId17" Type="http://schemas.openxmlformats.org/officeDocument/2006/relationships/hyperlink" Target="https://doi.org/10.1093/ooec/odad069" TargetMode="External"/><Relationship Id="rId25" Type="http://schemas.openxmlformats.org/officeDocument/2006/relationships/hyperlink" Target="https://psycnet.apa.org/record/2003-03332-016" TargetMode="External"/><Relationship Id="rId33" Type="http://schemas.openxmlformats.org/officeDocument/2006/relationships/hyperlink" Target="https://www.frontiersin.org/journals/psychology/articles/10.3389/fpsyg.2022.843854/full" TargetMode="External"/><Relationship Id="rId38" Type="http://schemas.openxmlformats.org/officeDocument/2006/relationships/hyperlink" Target="https://research.rug.nl/en/publications/social-identity-health-and-well-being-an-emerging-agenda-for-appl" TargetMode="External"/><Relationship Id="rId46" Type="http://schemas.openxmlformats.org/officeDocument/2006/relationships/hyperlink" Target="https://doi.org/10.1016/j.anyes.2020.03.002" TargetMode="External"/><Relationship Id="rId59" Type="http://schemas.openxmlformats.org/officeDocument/2006/relationships/hyperlink" Target="https://doi.org/10.1186/s12877-024-04978-3" TargetMode="External"/><Relationship Id="rId67" Type="http://schemas.openxmlformats.org/officeDocument/2006/relationships/hyperlink" Target="https://doi.org/10.3389/fpsyg.2024.1474177" TargetMode="External"/><Relationship Id="rId20" Type="http://schemas.openxmlformats.org/officeDocument/2006/relationships/hyperlink" Target="https://link.springer.com/article/10.1023/B:EXEC.0000026979.14590.3c" TargetMode="External"/><Relationship Id="rId41" Type="http://schemas.openxmlformats.org/officeDocument/2006/relationships/hyperlink" Target="https://doi.org/10.4232/1.13322" TargetMode="External"/><Relationship Id="rId54" Type="http://schemas.openxmlformats.org/officeDocument/2006/relationships/hyperlink" Target="http://dx.doi.org/10.1037/a0026428" TargetMode="External"/><Relationship Id="rId62" Type="http://schemas.openxmlformats.org/officeDocument/2006/relationships/hyperlink" Target="https://doi.org/10.22456/2316-2171.43389" TargetMode="External"/><Relationship Id="rId70" Type="http://schemas.openxmlformats.org/officeDocument/2006/relationships/hyperlink" Target="https://doi.org/10.1007/BF00911821" TargetMode="External"/><Relationship Id="rId75" Type="http://schemas.openxmlformats.org/officeDocument/2006/relationships/hyperlink" Target="https://doi.org/10.1016/j.chieco.2019.10139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epositorio-aberto.up.pt/bitstream/10216/123752/2/364658.pdf" TargetMode="External"/><Relationship Id="rId23" Type="http://schemas.openxmlformats.org/officeDocument/2006/relationships/hyperlink" Target="https://psycnet.apa.org/record/1996-93318-001" TargetMode="External"/><Relationship Id="rId28" Type="http://schemas.openxmlformats.org/officeDocument/2006/relationships/hyperlink" Target="https://doi.org/10.2307/2171941" TargetMode="External"/><Relationship Id="rId36" Type="http://schemas.openxmlformats.org/officeDocument/2006/relationships/hyperlink" Target="http://dx.doi.org/10.1177/0149206308328510" TargetMode="External"/><Relationship Id="rId49" Type="http://schemas.openxmlformats.org/officeDocument/2006/relationships/hyperlink" Target="https://www.ffms.pt/pt-pt/estudos/territorios-de-bem-estar-assimetrias-nos-municipios-portugueses" TargetMode="External"/><Relationship Id="rId57" Type="http://schemas.openxmlformats.org/officeDocument/2006/relationships/hyperlink" Target="https://repositorio-aberto.up.pt/bitstream/10216/5544/2/81718.pdf" TargetMode="External"/><Relationship Id="rId10" Type="http://schemas.openxmlformats.org/officeDocument/2006/relationships/image" Target="media/image2.png"/><Relationship Id="rId31" Type="http://schemas.openxmlformats.org/officeDocument/2006/relationships/hyperlink" Target="https://www.frontiersin.org/journals/psychology/articles/10.3389/fpsyg.2018.01660/full" TargetMode="External"/><Relationship Id="rId44" Type="http://schemas.openxmlformats.org/officeDocument/2006/relationships/hyperlink" Target="https://psycnet.apa.org/record/2005-07187-007" TargetMode="External"/><Relationship Id="rId52" Type="http://schemas.openxmlformats.org/officeDocument/2006/relationships/hyperlink" Target="https://doi.org/10.1787/how_life-2017-en" TargetMode="External"/><Relationship Id="rId60" Type="http://schemas.openxmlformats.org/officeDocument/2006/relationships/hyperlink" Target="https://www.frontiersin.org/journals/psychology/articles/10.3389/fpsyg.2022.1051968/full" TargetMode="External"/><Relationship Id="rId65" Type="http://schemas.openxmlformats.org/officeDocument/2006/relationships/hyperlink" Target="https://psycnet.apa.org/record/2011-28378-003" TargetMode="External"/><Relationship Id="rId73" Type="http://schemas.openxmlformats.org/officeDocument/2006/relationships/hyperlink" Target="https://www.frontiersin.org/journals/psychology/articles/10.3389/fpsyg.2020.555501/full" TargetMode="External"/><Relationship Id="rId78" Type="http://schemas.openxmlformats.org/officeDocument/2006/relationships/header" Target="header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doi.org/10.3389/fpsyg.2021.696184" TargetMode="External"/><Relationship Id="rId18" Type="http://schemas.openxmlformats.org/officeDocument/2006/relationships/hyperlink" Target="https://jan.ucc.nau.edu/~sj6/Bourdieu,%20The%20Forms%20of%20Capital.pdf" TargetMode="External"/><Relationship Id="rId39" Type="http://schemas.openxmlformats.org/officeDocument/2006/relationships/hyperlink" Target="https://www.frontiersin.org/journals/psychology/articles/10.3389/fpsyg.2022.843854/full" TargetMode="External"/><Relationship Id="rId34" Type="http://schemas.openxmlformats.org/officeDocument/2006/relationships/hyperlink" Target="https://www.frontiersin.org/journals/psychology/articles/10.3389/fpsyg.2020.628785/full" TargetMode="External"/><Relationship Id="rId50" Type="http://schemas.openxmlformats.org/officeDocument/2006/relationships/hyperlink" Target="https://psycnet.apa.org/record/2021-54853-001" TargetMode="External"/><Relationship Id="rId55" Type="http://schemas.openxmlformats.org/officeDocument/2006/relationships/hyperlink" Target="https://www.tandfonline.com/doi/abs/10.1080/17439760701756946" TargetMode="External"/><Relationship Id="rId76" Type="http://schemas.openxmlformats.org/officeDocument/2006/relationships/hyperlink" Target="https://doi.org/10.3389/fpubh.2024.1312841" TargetMode="External"/><Relationship Id="rId7" Type="http://schemas.openxmlformats.org/officeDocument/2006/relationships/endnotes" Target="endnotes.xml"/><Relationship Id="rId71" Type="http://schemas.openxmlformats.org/officeDocument/2006/relationships/hyperlink" Target="https://doi.org/10.1037/0022-3514.54.6.1063" TargetMode="External"/><Relationship Id="rId2" Type="http://schemas.openxmlformats.org/officeDocument/2006/relationships/numbering" Target="numbering.xml"/><Relationship Id="rId29" Type="http://schemas.openxmlformats.org/officeDocument/2006/relationships/hyperlink" Target="https://doi.org/10.1037/bul0000120" TargetMode="External"/><Relationship Id="rId24" Type="http://schemas.openxmlformats.org/officeDocument/2006/relationships/hyperlink" Target="http://dx.doi.org/10.1037/0033-2909.98.2.310" TargetMode="External"/><Relationship Id="rId40" Type="http://schemas.openxmlformats.org/officeDocument/2006/relationships/hyperlink" Target="http://dx.doi.org/10.1037/0003-066X.44.3.513" TargetMode="External"/><Relationship Id="rId45" Type="http://schemas.openxmlformats.org/officeDocument/2006/relationships/hyperlink" Target="https://doi.org/10.1093/esr/jcr012" TargetMode="External"/><Relationship Id="rId66" Type="http://schemas.openxmlformats.org/officeDocument/2006/relationships/hyperlink" Target="https://doi.org/10.1093/oep/gpy07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DB7jxeItVJQAOk4Q53wZV98C/A==">CgMxLjA4AHIhMThXSEhrTHhka3lCdDdiendoYnA4RHZ2a1lQVHpKeGl3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23</Pages>
  <Words>9103</Words>
  <Characters>51889</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Manuel Chilela Saliulo</cp:lastModifiedBy>
  <cp:revision>8</cp:revision>
  <dcterms:created xsi:type="dcterms:W3CDTF">2020-09-09T19:59:00Z</dcterms:created>
  <dcterms:modified xsi:type="dcterms:W3CDTF">2025-10-20T19:05:00Z</dcterms:modified>
</cp:coreProperties>
</file>