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Background: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The present study examined the effectiveness of a transdiagnostic prevention programme, Super Skills for Life (SSL), in children with clinical anxiety. SSL,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addition to the principles of cognitive and behavioral therapy, also incorporates video feedback and cognitive preparation as essential components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of the treatment.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Methods: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The program was implemented in a clinical population in an NHS community child mental health unit. The sample consisted of 23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Greek–speaking elementary school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children diagnosed with at least one anxiety disorder (AD). Each session was held once a week for 1 hour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program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consisted 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 8 sessions.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Children were video-recorded during a 2-min speech task in sessions 1 and 8. All the children completed a large battery of self-reported questionnaires targeting emotional and behavioral difficulties before and after participating in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intervention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Results: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was an overall immediate improvement in participants after the completion of the intervention. Regarding the behavioral indicators of anxiety during the 2-minute speech task, an improvement was observed and recorded by both the children themselves and external observer assessments. Thus, behavioral improvement was detected regarding children's social competence and self-concept from pre-treatment to post-treatment.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Limitations: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present study used an open clinical trial design, had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sample size, and did not provide evidence regarding the long-term sustainability of the program's beneficial effects after the intervention's completion.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Conclusions: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This study provides preliminary empirical support regarding the effect of video feedback on the improvement of social anxiety and self-perception of children with pathological anxiety. Additionally, it constitutes a useful therapeutic tool within the framework of applying SSL to this population.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firstLine="0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FmfIPmbrBu6yhyi3hEoUM/CQw==">CgMxLjA4AHIhMXp0ZzRvcGk0V1dqZXJDX01fS1pDSEJBeGk5NDB0aTNQ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