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8C1B8" w14:textId="77777777" w:rsidR="005A2CCB" w:rsidRPr="004E0A04" w:rsidRDefault="00B50022" w:rsidP="004E0A04">
      <w:pPr>
        <w:jc w:val="center"/>
        <w:rPr>
          <w:b/>
          <w:lang w:val="en-US"/>
        </w:rPr>
      </w:pPr>
      <w:r>
        <w:rPr>
          <w:b/>
          <w:color w:val="000000"/>
          <w:sz w:val="36"/>
          <w:szCs w:val="36"/>
          <w:lang w:val="en-US"/>
        </w:rPr>
        <w:t>Prejudice and Violence Experienced by Transsexuals and Transvestites: the Path to Mental Ill</w:t>
      </w:r>
      <w:r w:rsidR="004E0A04" w:rsidRPr="004E0A04">
        <w:rPr>
          <w:b/>
          <w:color w:val="000000"/>
          <w:sz w:val="36"/>
          <w:szCs w:val="36"/>
          <w:lang w:val="en-US"/>
        </w:rPr>
        <w:t>ness</w:t>
      </w:r>
    </w:p>
    <w:p w14:paraId="38EC8B7B" w14:textId="77777777" w:rsidR="005A2CCB" w:rsidRPr="004E0A04" w:rsidRDefault="005A2CCB">
      <w:pPr>
        <w:rPr>
          <w:i/>
          <w:sz w:val="28"/>
          <w:szCs w:val="28"/>
          <w:lang w:val="en-US"/>
        </w:rPr>
      </w:pPr>
    </w:p>
    <w:p w14:paraId="65AFCD24" w14:textId="77777777" w:rsidR="005A2CCB" w:rsidRPr="004E0A04" w:rsidRDefault="0030548B">
      <w:pPr>
        <w:rPr>
          <w:rFonts w:ascii="Times" w:eastAsia="Times" w:hAnsi="Times" w:cs="Times"/>
          <w:i/>
          <w:sz w:val="28"/>
          <w:szCs w:val="28"/>
          <w:lang w:val="en-US"/>
        </w:rPr>
      </w:pPr>
      <w:r>
        <w:rPr>
          <w:noProof/>
          <w:lang w:val="pt-BR" w:eastAsia="pt-BR"/>
        </w:rPr>
        <mc:AlternateContent>
          <mc:Choice Requires="wps">
            <w:drawing>
              <wp:anchor distT="4294967295" distB="4294967295" distL="114300" distR="114300" simplePos="0" relativeHeight="251658240" behindDoc="0" locked="0" layoutInCell="1" hidden="0" allowOverlap="1" wp14:anchorId="461A4EF2" wp14:editId="7A5385E2">
                <wp:simplePos x="0" y="0"/>
                <wp:positionH relativeFrom="margin">
                  <wp:align>left</wp:align>
                </wp:positionH>
                <wp:positionV relativeFrom="paragraph">
                  <wp:posOffset>55896</wp:posOffset>
                </wp:positionV>
                <wp:extent cx="5976000" cy="25400"/>
                <wp:effectExtent l="0" t="0" r="24765" b="31750"/>
                <wp:wrapNone/>
                <wp:docPr id="23" name="Conector de seta reta 23"/>
                <wp:cNvGraphicFramePr/>
                <a:graphic xmlns:a="http://schemas.openxmlformats.org/drawingml/2006/main">
                  <a:graphicData uri="http://schemas.microsoft.com/office/word/2010/wordprocessingShape">
                    <wps:wsp>
                      <wps:cNvCnPr/>
                      <wps:spPr>
                        <a:xfrm>
                          <a:off x="0" y="0"/>
                          <a:ext cx="5976000" cy="25400"/>
                        </a:xfrm>
                        <a:prstGeom prst="straightConnector1">
                          <a:avLst/>
                        </a:prstGeom>
                        <a:noFill/>
                        <a:ln w="2540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943ABD5" id="_x0000_t32" coordsize="21600,21600" o:spt="32" o:oned="t" path="m,l21600,21600e" filled="f">
                <v:path arrowok="t" fillok="f" o:connecttype="none"/>
                <o:lock v:ext="edit" shapetype="t"/>
              </v:shapetype>
              <v:shape id="Conector de seta reta 23" o:spid="_x0000_s1026" type="#_x0000_t32" style="position:absolute;margin-left:0;margin-top:4.4pt;width:470.55pt;height:2pt;z-index:2516582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" strokeweight="2pt">
                <v:stroke startarrowwidth="narrow" startarrowlength="short" endarrowwidth="narrow" endarrowlength="short"/>
                <w10:wrap anchorx="margin"/>
              </v:shape>
            </w:pict>
          </mc:Fallback>
        </mc:AlternateContent>
      </w:r>
    </w:p>
    <w:p w14:paraId="245DC7A7" w14:textId="77777777" w:rsidR="005A2CCB" w:rsidRPr="004E0A04" w:rsidRDefault="005A2CCB">
      <w:pPr>
        <w:rPr>
          <w:b/>
          <w:sz w:val="20"/>
          <w:szCs w:val="20"/>
          <w:lang w:val="en-US"/>
        </w:rPr>
      </w:pPr>
    </w:p>
    <w:p w14:paraId="3CC128E3" w14:textId="77777777" w:rsidR="005A2CCB" w:rsidRPr="004E0A04" w:rsidRDefault="0030548B">
      <w:pPr>
        <w:pBdr>
          <w:top w:val="nil"/>
          <w:left w:val="nil"/>
          <w:bottom w:val="nil"/>
          <w:right w:val="nil"/>
          <w:between w:val="nil"/>
        </w:pBdr>
        <w:spacing w:after="120"/>
        <w:jc w:val="center"/>
        <w:rPr>
          <w:b/>
          <w:smallCaps/>
          <w:color w:val="000000"/>
          <w:sz w:val="20"/>
          <w:szCs w:val="20"/>
          <w:lang w:val="en-US"/>
        </w:rPr>
      </w:pPr>
      <w:r w:rsidRPr="004E0A04">
        <w:rPr>
          <w:b/>
          <w:smallCaps/>
          <w:color w:val="000000"/>
          <w:sz w:val="20"/>
          <w:szCs w:val="20"/>
          <w:lang w:val="en-US"/>
        </w:rPr>
        <w:t>Abstract</w:t>
      </w:r>
    </w:p>
    <w:p w14:paraId="594A506C" w14:textId="77777777" w:rsidR="005A2CCB" w:rsidRPr="004E0A04" w:rsidRDefault="004E0A04" w:rsidP="00707ED8">
      <w:pPr>
        <w:jc w:val="both"/>
        <w:rPr>
          <w:sz w:val="20"/>
          <w:szCs w:val="20"/>
          <w:lang w:val="en-US"/>
        </w:rPr>
      </w:pPr>
      <w:r w:rsidRPr="004E0A04">
        <w:rPr>
          <w:sz w:val="20"/>
          <w:szCs w:val="20"/>
          <w:lang w:val="en-US"/>
        </w:rPr>
        <w:t xml:space="preserve">The LGBTQIAP+ population suffers daily with situations of prejudice and violence, being transvestites and transsexuals the most impacted by this reality. Suffering transits through contexts of family and social vulnerability. The research aimed to analyze the prevalence of stress, depressive disorders and anxiety in transsexuals and transvestites who experience situations of prejudice and violence. It was an analytical, descriptive and quantitative study, conducted with transsexual and transvestite people, older than 18 years, through the self-application of Beck’s Anxiety and Depression Inventory, and the Perceived Stress Scale. The data were analyzed by ANOVA one-way parametric tests for bivariate analysis of stress, anxiety and depression scores. In </w:t>
      </w:r>
      <w:r w:rsidR="00707ED8" w:rsidRPr="004E0A04">
        <w:rPr>
          <w:sz w:val="20"/>
          <w:szCs w:val="20"/>
          <w:lang w:val="en-US"/>
        </w:rPr>
        <w:t>total,</w:t>
      </w:r>
      <w:r w:rsidRPr="004E0A04">
        <w:rPr>
          <w:sz w:val="20"/>
          <w:szCs w:val="20"/>
          <w:lang w:val="en-US"/>
        </w:rPr>
        <w:t xml:space="preserve"> there were 25 interviews, of which 48% were trans women. In the BDI the moderate level was what appeared most and in the BAI, the severe one. On the perceived stress scale, the average was 33.2 points. The study revealed a high prevalence of anxiety and depression among trans people and transvestites, highlighting their greater social vulnerability and the need for inclusive and intersectoral public policies to reduce the impacts of prejudice and ensure equitable access to health.</w:t>
      </w:r>
    </w:p>
    <w:p w14:paraId="12FC35C6" w14:textId="77777777" w:rsidR="00707ED8" w:rsidRDefault="00707ED8">
      <w:pPr>
        <w:rPr>
          <w:b/>
          <w:sz w:val="20"/>
          <w:szCs w:val="20"/>
          <w:lang w:val="en-US"/>
        </w:rPr>
      </w:pPr>
    </w:p>
    <w:p w14:paraId="70A7AE0A" w14:textId="77777777" w:rsidR="005A2CCB" w:rsidRPr="004E0A04" w:rsidRDefault="0030548B">
      <w:pPr>
        <w:rPr>
          <w:b/>
          <w:sz w:val="20"/>
          <w:szCs w:val="20"/>
          <w:lang w:val="en-US"/>
        </w:rPr>
      </w:pPr>
      <w:r w:rsidRPr="004E0A04">
        <w:rPr>
          <w:b/>
          <w:sz w:val="20"/>
          <w:szCs w:val="20"/>
          <w:lang w:val="en-US"/>
        </w:rPr>
        <w:t>Keywords</w:t>
      </w:r>
    </w:p>
    <w:p w14:paraId="6BCCAFEA" w14:textId="77777777" w:rsidR="005A2CCB" w:rsidRDefault="00707ED8">
      <w:pPr>
        <w:jc w:val="both"/>
        <w:rPr>
          <w:sz w:val="20"/>
          <w:szCs w:val="20"/>
          <w:lang w:val="en-US"/>
        </w:rPr>
      </w:pPr>
      <w:r w:rsidRPr="00707ED8">
        <w:rPr>
          <w:sz w:val="20"/>
          <w:szCs w:val="20"/>
          <w:lang w:val="en-US"/>
        </w:rPr>
        <w:t>Mental health; Prejudice; Vulnerable populations; Trans population; Transvestites.</w:t>
      </w:r>
    </w:p>
    <w:p w14:paraId="26858EA2" w14:textId="77777777" w:rsidR="00707ED8" w:rsidRPr="004E0A04" w:rsidRDefault="00707ED8">
      <w:pPr>
        <w:jc w:val="both"/>
        <w:rPr>
          <w:sz w:val="20"/>
          <w:szCs w:val="20"/>
          <w:lang w:val="en-US"/>
        </w:rPr>
      </w:pPr>
    </w:p>
    <w:p w14:paraId="6CBDA29B" w14:textId="77777777" w:rsidR="005A2CCB" w:rsidRPr="00B50022" w:rsidRDefault="00B50022">
      <w:pPr>
        <w:pBdr>
          <w:top w:val="nil"/>
          <w:left w:val="nil"/>
          <w:bottom w:val="nil"/>
          <w:right w:val="nil"/>
          <w:between w:val="nil"/>
        </w:pBdr>
        <w:spacing w:after="120"/>
        <w:jc w:val="center"/>
        <w:rPr>
          <w:b/>
          <w:smallCaps/>
          <w:color w:val="000000"/>
          <w:sz w:val="20"/>
          <w:szCs w:val="20"/>
          <w:lang w:val="pt-BR"/>
        </w:rPr>
      </w:pPr>
      <w:r w:rsidRPr="00B50022">
        <w:rPr>
          <w:b/>
          <w:smallCaps/>
          <w:color w:val="000000"/>
          <w:sz w:val="20"/>
          <w:szCs w:val="20"/>
          <w:lang w:val="pt-BR"/>
        </w:rPr>
        <w:t>Resumo</w:t>
      </w:r>
    </w:p>
    <w:p w14:paraId="421418A2" w14:textId="77777777" w:rsidR="005A2CCB" w:rsidRPr="00B50022" w:rsidRDefault="00B50022">
      <w:pPr>
        <w:jc w:val="both"/>
        <w:rPr>
          <w:i/>
          <w:sz w:val="20"/>
          <w:szCs w:val="20"/>
          <w:lang w:val="pt-BR"/>
        </w:rPr>
      </w:pPr>
      <w:r w:rsidRPr="00B50022">
        <w:rPr>
          <w:sz w:val="20"/>
          <w:szCs w:val="20"/>
          <w:lang w:val="pt-BR"/>
        </w:rPr>
        <w:t>A população LGBTQIAP+ sofre cotidianamente com situações de preconceito e violência, sendo os travestis e transexuais os mais impactados com essa realidade. O sofrimento transita por contextos de vulnerabilidade familiar e social. A pesquisa teve como objetivo analisar a prevalência de estresse, transtornos depressivos e de ansiedade em pessoas transexuais e travestis que vivenciam situações de preconceito e violência. Tratou-se de um estudo analítico, descritivo e quantitativo, realizado com pessoas transexuais e travestis, maiores de 18 anos, através da autoaplicação do Inventário de Ansiedade e de Depressão de Beck, e a Escala de Estresse Percebido. Os dados foram analisados pelos testes paramétricos ANOVA oneway para análise bivariada dos escores de estresse, ansiedade e depressão das escalas. No total foram 25 entrevistas, sendo 48% mulheres trans. No BDI o nível moderado foi o que mais apareceu e no BAI, o severo. Na Escala de Estresse percebido, a média foi de 33,2 pontos. O estudo revelou alta prevalência de ansiedade e depressão entre pessoas trans e travestis, destacando sua maior vulnerabilidade social e a necessidade de políticas públicas inclusivas e intersetoriais para reduzir os impactos do preconceito e garantir acesso equitativo à saúde.</w:t>
      </w:r>
    </w:p>
    <w:p w14:paraId="1801D04D" w14:textId="77777777" w:rsidR="005A2CCB" w:rsidRPr="00B50022" w:rsidRDefault="005A2CCB">
      <w:pPr>
        <w:rPr>
          <w:sz w:val="20"/>
          <w:szCs w:val="20"/>
          <w:lang w:val="pt-BR"/>
        </w:rPr>
      </w:pPr>
    </w:p>
    <w:p w14:paraId="18A0DE76" w14:textId="77777777" w:rsidR="005A2CCB" w:rsidRPr="00B50022" w:rsidRDefault="00B50022">
      <w:pPr>
        <w:jc w:val="both"/>
        <w:rPr>
          <w:b/>
          <w:sz w:val="20"/>
          <w:szCs w:val="20"/>
          <w:lang w:val="pt-BR"/>
        </w:rPr>
      </w:pPr>
      <w:r w:rsidRPr="00B50022">
        <w:rPr>
          <w:b/>
          <w:sz w:val="20"/>
          <w:szCs w:val="20"/>
          <w:lang w:val="pt-BR"/>
        </w:rPr>
        <w:t xml:space="preserve">Palavras-chave </w:t>
      </w:r>
    </w:p>
    <w:p w14:paraId="6E830917" w14:textId="77777777" w:rsidR="005A2CCB" w:rsidRPr="004E0A04" w:rsidRDefault="00B50022">
      <w:pPr>
        <w:jc w:val="both"/>
        <w:rPr>
          <w:sz w:val="20"/>
          <w:szCs w:val="20"/>
          <w:lang w:val="pt-BR"/>
        </w:rPr>
      </w:pPr>
      <w:r>
        <w:rPr>
          <w:sz w:val="20"/>
          <w:szCs w:val="20"/>
          <w:lang w:val="pt-BR"/>
        </w:rPr>
        <w:t>Saúde mental; Preconceito; Populações Vulneráveis; População Trans;</w:t>
      </w:r>
      <w:r w:rsidRPr="00B50022">
        <w:rPr>
          <w:sz w:val="20"/>
          <w:szCs w:val="20"/>
          <w:lang w:val="pt-BR"/>
        </w:rPr>
        <w:t xml:space="preserve"> Travestis.</w:t>
      </w:r>
      <w:r w:rsidR="0030548B" w:rsidRPr="004E0A04">
        <w:rPr>
          <w:sz w:val="20"/>
          <w:szCs w:val="20"/>
          <w:lang w:val="pt-BR"/>
        </w:rPr>
        <w:t xml:space="preserve"> </w:t>
      </w:r>
      <w:r w:rsidR="0030548B">
        <w:rPr>
          <w:noProof/>
          <w:lang w:val="pt-BR" w:eastAsia="pt-BR"/>
        </w:rPr>
        <w:drawing>
          <wp:anchor distT="0" distB="0" distL="114300" distR="114300" simplePos="0" relativeHeight="251659264" behindDoc="0" locked="0" layoutInCell="1" hidden="0" allowOverlap="1" wp14:anchorId="7144257C" wp14:editId="5E5F05F3">
            <wp:simplePos x="0" y="0"/>
            <wp:positionH relativeFrom="column">
              <wp:posOffset>5400675</wp:posOffset>
            </wp:positionH>
            <wp:positionV relativeFrom="paragraph">
              <wp:posOffset>0</wp:posOffset>
            </wp:positionV>
            <wp:extent cx="396000" cy="259200"/>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6000" cy="259200"/>
                    </a:xfrm>
                    <a:prstGeom prst="rect">
                      <a:avLst/>
                    </a:prstGeom>
                    <a:ln/>
                  </pic:spPr>
                </pic:pic>
              </a:graphicData>
            </a:graphic>
          </wp:anchor>
        </w:drawing>
      </w:r>
    </w:p>
    <w:p w14:paraId="3400A859" w14:textId="77777777" w:rsidR="005A2CCB" w:rsidRPr="004E0A04" w:rsidRDefault="005A2CCB">
      <w:pPr>
        <w:rPr>
          <w:b/>
          <w:lang w:val="pt-BR"/>
        </w:rPr>
      </w:pPr>
    </w:p>
    <w:p w14:paraId="184734E1" w14:textId="77777777" w:rsidR="005A2CCB" w:rsidRDefault="0030548B">
      <w:pPr>
        <w:pBdr>
          <w:top w:val="nil"/>
          <w:left w:val="nil"/>
          <w:bottom w:val="nil"/>
          <w:right w:val="nil"/>
          <w:between w:val="nil"/>
        </w:pBdr>
        <w:jc w:val="center"/>
        <w:rPr>
          <w:color w:val="000000"/>
          <w:lang w:val="pt-BR"/>
        </w:rPr>
      </w:pPr>
      <w:r w:rsidRPr="00B50022">
        <w:rPr>
          <w:lang w:val="pt-BR"/>
        </w:rPr>
        <w:br w:type="page"/>
      </w:r>
      <w:r w:rsidR="00B50022">
        <w:rPr>
          <w:color w:val="000000"/>
          <w:lang w:val="pt-BR"/>
        </w:rPr>
        <w:lastRenderedPageBreak/>
        <w:t>Preconceito e Violência Vivenciados por Pessoas Transexuais e Travestis: o Caminho para o Adoecimento M</w:t>
      </w:r>
      <w:r w:rsidR="00B50022" w:rsidRPr="00B50022">
        <w:rPr>
          <w:color w:val="000000"/>
          <w:lang w:val="pt-BR"/>
        </w:rPr>
        <w:t>ental</w:t>
      </w:r>
    </w:p>
    <w:p w14:paraId="7EC44758" w14:textId="77777777" w:rsidR="00B50022" w:rsidRPr="00B50022" w:rsidRDefault="00B50022">
      <w:pPr>
        <w:pBdr>
          <w:top w:val="nil"/>
          <w:left w:val="nil"/>
          <w:bottom w:val="nil"/>
          <w:right w:val="nil"/>
          <w:between w:val="nil"/>
        </w:pBdr>
        <w:jc w:val="center"/>
        <w:rPr>
          <w:color w:val="000000"/>
          <w:lang w:val="pt-BR"/>
        </w:rPr>
      </w:pPr>
    </w:p>
    <w:p w14:paraId="4AF1F03B" w14:textId="77777777" w:rsidR="005A2CCB" w:rsidRDefault="0030548B">
      <w:pPr>
        <w:pBdr>
          <w:top w:val="nil"/>
          <w:left w:val="nil"/>
          <w:bottom w:val="nil"/>
          <w:right w:val="nil"/>
          <w:between w:val="nil"/>
        </w:pBdr>
        <w:jc w:val="center"/>
        <w:rPr>
          <w:b/>
          <w:color w:val="000000"/>
          <w:lang w:val="en-US"/>
        </w:rPr>
      </w:pPr>
      <w:r w:rsidRPr="004E0A04">
        <w:rPr>
          <w:b/>
          <w:color w:val="000000"/>
          <w:lang w:val="en-US"/>
        </w:rPr>
        <w:t>Introduction</w:t>
      </w:r>
    </w:p>
    <w:p w14:paraId="3E99EB9D" w14:textId="77777777" w:rsidR="00B50022" w:rsidRPr="004E0A04" w:rsidRDefault="00B50022">
      <w:pPr>
        <w:pBdr>
          <w:top w:val="nil"/>
          <w:left w:val="nil"/>
          <w:bottom w:val="nil"/>
          <w:right w:val="nil"/>
          <w:between w:val="nil"/>
        </w:pBdr>
        <w:jc w:val="center"/>
        <w:rPr>
          <w:b/>
          <w:color w:val="000000"/>
          <w:lang w:val="en-US"/>
        </w:rPr>
      </w:pPr>
    </w:p>
    <w:p w14:paraId="31F0BA41" w14:textId="77777777" w:rsidR="00B50022" w:rsidRPr="00B50022" w:rsidRDefault="00B50022" w:rsidP="00B50022">
      <w:pPr>
        <w:pBdr>
          <w:top w:val="nil"/>
          <w:left w:val="nil"/>
          <w:bottom w:val="nil"/>
          <w:right w:val="nil"/>
          <w:between w:val="nil"/>
        </w:pBdr>
        <w:spacing w:line="360" w:lineRule="auto"/>
        <w:ind w:firstLine="708"/>
        <w:jc w:val="both"/>
        <w:rPr>
          <w:color w:val="000000"/>
          <w:lang w:val="en-US"/>
        </w:rPr>
      </w:pPr>
      <w:r w:rsidRPr="00B50022">
        <w:rPr>
          <w:color w:val="000000"/>
          <w:lang w:val="en-US"/>
        </w:rPr>
        <w:t>The movement formed by Lesbians, Gays, Bisexuals, Transgender (transvestites and transsexuals), Queer, Intersex, Asexual and Pansexual (LGBTQIA+) has a very extensive history, marked by periods of greater or lesser visibility, and a scarce bibliographical demand on this process, that has been historically neglected (Bortoletto, 2019). Last century, in Europe, a movement emerged that fought for the rights of homosexuals, aiming to combat the criminalization of homosexuality and transsexuality, and the recognition of their civil rights.</w:t>
      </w:r>
    </w:p>
    <w:p w14:paraId="7B262FBE" w14:textId="77777777" w:rsidR="00B50022" w:rsidRPr="00B50022" w:rsidRDefault="00B50022" w:rsidP="00B50022">
      <w:pPr>
        <w:pBdr>
          <w:top w:val="nil"/>
          <w:left w:val="nil"/>
          <w:bottom w:val="nil"/>
          <w:right w:val="nil"/>
          <w:between w:val="nil"/>
        </w:pBdr>
        <w:spacing w:line="360" w:lineRule="auto"/>
        <w:ind w:firstLine="708"/>
        <w:jc w:val="both"/>
        <w:rPr>
          <w:color w:val="000000"/>
          <w:lang w:val="en-US"/>
        </w:rPr>
      </w:pPr>
      <w:r w:rsidRPr="00B50022">
        <w:rPr>
          <w:color w:val="000000"/>
          <w:lang w:val="en-US"/>
        </w:rPr>
        <w:t>When approaching transsexuality and its implications, it is understood that it is necessary to discuss what it means to be a man and to be a woman in the construction of each person’s identit</w:t>
      </w:r>
      <w:r w:rsidR="006166E2">
        <w:rPr>
          <w:color w:val="000000"/>
          <w:lang w:val="en-US"/>
        </w:rPr>
        <w:t>ies (Cerqueira et al.</w:t>
      </w:r>
      <w:r w:rsidRPr="00B50022">
        <w:rPr>
          <w:color w:val="000000"/>
          <w:lang w:val="en-US"/>
        </w:rPr>
        <w:t xml:space="preserve">, 2020). The current hegemonic interpretation that there are two radically opposite bodies, based on genitals and thus determining the appropriate behaviors and feelings for each one is something that dates approximately from the nineteenth century (Bento, 2008). </w:t>
      </w:r>
    </w:p>
    <w:p w14:paraId="03028DF4" w14:textId="77777777" w:rsidR="00B50022" w:rsidRPr="00B50022" w:rsidRDefault="00B50022" w:rsidP="00B50022">
      <w:pPr>
        <w:pBdr>
          <w:top w:val="nil"/>
          <w:left w:val="nil"/>
          <w:bottom w:val="nil"/>
          <w:right w:val="nil"/>
          <w:between w:val="nil"/>
        </w:pBdr>
        <w:spacing w:line="360" w:lineRule="auto"/>
        <w:ind w:firstLine="708"/>
        <w:jc w:val="both"/>
        <w:rPr>
          <w:color w:val="000000"/>
          <w:lang w:val="en-US"/>
        </w:rPr>
      </w:pPr>
      <w:r w:rsidRPr="00B50022">
        <w:rPr>
          <w:color w:val="000000"/>
          <w:lang w:val="en-US"/>
        </w:rPr>
        <w:t>The term trans is used to designate all people with gender variability. Thus, transgender refers to a diverse group of people whose gender identities differ in several layers from the sex with which they were assigned at birth (Rosa et al., 2019). In addition, with regard to expression, identity and gender, based on femininity, people who consider themselves as transvestites may assume practices of body modification in the matter of choosing what best suits their bodies to which they feel they belong. They guide a construction of a singular female image, which is own and individual, subjecting the meaning of what is in fact beautiful for them (Oliveira et al., 2019).</w:t>
      </w:r>
    </w:p>
    <w:p w14:paraId="140C7BEC" w14:textId="77777777" w:rsidR="00B50022" w:rsidRPr="00B50022" w:rsidRDefault="00B50022" w:rsidP="00B50022">
      <w:pPr>
        <w:pBdr>
          <w:top w:val="nil"/>
          <w:left w:val="nil"/>
          <w:bottom w:val="nil"/>
          <w:right w:val="nil"/>
          <w:between w:val="nil"/>
        </w:pBdr>
        <w:spacing w:line="360" w:lineRule="auto"/>
        <w:ind w:firstLine="708"/>
        <w:jc w:val="both"/>
        <w:rPr>
          <w:color w:val="000000"/>
          <w:lang w:val="en-US"/>
        </w:rPr>
      </w:pPr>
      <w:r w:rsidRPr="00B50022">
        <w:rPr>
          <w:color w:val="000000"/>
          <w:lang w:val="en-US"/>
        </w:rPr>
        <w:t xml:space="preserve">Transvestites and transsexuals have always suffered the most prejudice and discrimination within </w:t>
      </w:r>
      <w:r w:rsidR="00065E9B">
        <w:rPr>
          <w:color w:val="000000"/>
          <w:lang w:val="en-US"/>
        </w:rPr>
        <w:t xml:space="preserve">the LGBTQIAP+ population in </w:t>
      </w:r>
      <w:proofErr w:type="spellStart"/>
      <w:r w:rsidR="00065E9B">
        <w:rPr>
          <w:color w:val="000000"/>
          <w:lang w:val="en-US"/>
        </w:rPr>
        <w:t>Bras</w:t>
      </w:r>
      <w:r w:rsidRPr="00B50022">
        <w:rPr>
          <w:color w:val="000000"/>
          <w:lang w:val="en-US"/>
        </w:rPr>
        <w:t>il</w:t>
      </w:r>
      <w:proofErr w:type="spellEnd"/>
      <w:r w:rsidRPr="00B50022">
        <w:rPr>
          <w:color w:val="000000"/>
          <w:lang w:val="en-US"/>
        </w:rPr>
        <w:t>. This is due to the fact that these people have a gender identity different from that expressed in the heteronormative pattern. Therefore, any idea that meets these "standards" is seen as so</w:t>
      </w:r>
      <w:r w:rsidR="00065E9B">
        <w:rPr>
          <w:color w:val="000000"/>
          <w:lang w:val="en-US"/>
        </w:rPr>
        <w:t>mething strange (</w:t>
      </w:r>
      <w:proofErr w:type="spellStart"/>
      <w:r w:rsidR="00065E9B">
        <w:rPr>
          <w:color w:val="000000"/>
          <w:lang w:val="en-US"/>
        </w:rPr>
        <w:t>Brasil</w:t>
      </w:r>
      <w:proofErr w:type="spellEnd"/>
      <w:r w:rsidR="00065E9B">
        <w:rPr>
          <w:color w:val="000000"/>
          <w:lang w:val="en-US"/>
        </w:rPr>
        <w:t xml:space="preserve">, 2015a; </w:t>
      </w:r>
      <w:proofErr w:type="spellStart"/>
      <w:r w:rsidR="00065E9B">
        <w:rPr>
          <w:color w:val="000000"/>
          <w:lang w:val="en-US"/>
        </w:rPr>
        <w:t>Bras</w:t>
      </w:r>
      <w:r w:rsidR="006166E2">
        <w:rPr>
          <w:color w:val="000000"/>
          <w:lang w:val="en-US"/>
        </w:rPr>
        <w:t>il</w:t>
      </w:r>
      <w:proofErr w:type="spellEnd"/>
      <w:r w:rsidR="006166E2">
        <w:rPr>
          <w:color w:val="000000"/>
          <w:lang w:val="en-US"/>
        </w:rPr>
        <w:t xml:space="preserve">, </w:t>
      </w:r>
      <w:r w:rsidRPr="00B50022">
        <w:rPr>
          <w:color w:val="000000"/>
          <w:lang w:val="en-US"/>
        </w:rPr>
        <w:t>2015b). According to the "Dossier of murders and violence against Brazilian transvestites and transsexuals in 2019", there is an increase in the number of suicides among the trans population, being considered a historical-cultural phenomenon that gro</w:t>
      </w:r>
      <w:r w:rsidR="00065E9B">
        <w:rPr>
          <w:color w:val="000000"/>
          <w:lang w:val="en-US"/>
        </w:rPr>
        <w:t xml:space="preserve">ws continuously not only in </w:t>
      </w:r>
      <w:proofErr w:type="spellStart"/>
      <w:r w:rsidR="00065E9B">
        <w:rPr>
          <w:color w:val="000000"/>
          <w:lang w:val="en-US"/>
        </w:rPr>
        <w:t>Bras</w:t>
      </w:r>
      <w:r w:rsidRPr="00B50022">
        <w:rPr>
          <w:color w:val="000000"/>
          <w:lang w:val="en-US"/>
        </w:rPr>
        <w:t>il</w:t>
      </w:r>
      <w:proofErr w:type="spellEnd"/>
      <w:r w:rsidRPr="00B50022">
        <w:rPr>
          <w:color w:val="000000"/>
          <w:lang w:val="en-US"/>
        </w:rPr>
        <w:t xml:space="preserve"> but </w:t>
      </w:r>
      <w:r w:rsidR="006166E2">
        <w:rPr>
          <w:color w:val="000000"/>
          <w:lang w:val="en-US"/>
        </w:rPr>
        <w:t>throughout the world (Benevides &amp;</w:t>
      </w:r>
      <w:r w:rsidRPr="00B50022">
        <w:rPr>
          <w:color w:val="000000"/>
          <w:lang w:val="en-US"/>
        </w:rPr>
        <w:t xml:space="preserve"> Nogueira, 2021).</w:t>
      </w:r>
    </w:p>
    <w:p w14:paraId="3DFABBA4" w14:textId="77777777" w:rsidR="00B50022" w:rsidRPr="00B50022" w:rsidRDefault="00B50022" w:rsidP="00B50022">
      <w:pPr>
        <w:pBdr>
          <w:top w:val="nil"/>
          <w:left w:val="nil"/>
          <w:bottom w:val="nil"/>
          <w:right w:val="nil"/>
          <w:between w:val="nil"/>
        </w:pBdr>
        <w:spacing w:line="360" w:lineRule="auto"/>
        <w:ind w:firstLine="708"/>
        <w:jc w:val="both"/>
        <w:rPr>
          <w:color w:val="000000"/>
          <w:lang w:val="en-US"/>
        </w:rPr>
      </w:pPr>
      <w:r w:rsidRPr="00B50022">
        <w:rPr>
          <w:color w:val="000000"/>
          <w:lang w:val="en-US"/>
        </w:rPr>
        <w:t xml:space="preserve">Even after the social, political and humanitarian advances that the LGBTQIAP+ population has been gaining, it is noticeable that part of this progress is intended only for some members of </w:t>
      </w:r>
      <w:r w:rsidRPr="00B50022">
        <w:rPr>
          <w:color w:val="000000"/>
          <w:lang w:val="en-US"/>
        </w:rPr>
        <w:lastRenderedPageBreak/>
        <w:t xml:space="preserve">the community and not for </w:t>
      </w:r>
      <w:proofErr w:type="gramStart"/>
      <w:r w:rsidRPr="00B50022">
        <w:rPr>
          <w:color w:val="000000"/>
          <w:lang w:val="en-US"/>
        </w:rPr>
        <w:t>all the more</w:t>
      </w:r>
      <w:proofErr w:type="gramEnd"/>
      <w:r w:rsidRPr="00B50022">
        <w:rPr>
          <w:color w:val="000000"/>
          <w:lang w:val="en-US"/>
        </w:rPr>
        <w:t xml:space="preserve"> diverse minorities that the acronym represents. People who self-declare themselves trans (mainly women) and transvestites are those who suffer the most prejud</w:t>
      </w:r>
      <w:r w:rsidR="00CA1977">
        <w:rPr>
          <w:color w:val="000000"/>
          <w:lang w:val="en-US"/>
        </w:rPr>
        <w:t>ice and stigma. In the year 2024</w:t>
      </w:r>
      <w:r w:rsidRPr="00B50022">
        <w:rPr>
          <w:color w:val="000000"/>
          <w:lang w:val="en-US"/>
        </w:rPr>
        <w:t xml:space="preserve">, in </w:t>
      </w:r>
      <w:proofErr w:type="spellStart"/>
      <w:r w:rsidR="006375EB">
        <w:rPr>
          <w:color w:val="000000"/>
          <w:lang w:val="en-US"/>
        </w:rPr>
        <w:t>Bras</w:t>
      </w:r>
      <w:r w:rsidR="00463327">
        <w:rPr>
          <w:color w:val="000000"/>
          <w:lang w:val="en-US"/>
        </w:rPr>
        <w:t>il</w:t>
      </w:r>
      <w:proofErr w:type="spellEnd"/>
      <w:r w:rsidR="00463327">
        <w:rPr>
          <w:color w:val="000000"/>
          <w:lang w:val="en-US"/>
        </w:rPr>
        <w:t>, there were 122</w:t>
      </w:r>
      <w:r w:rsidRPr="00B50022">
        <w:rPr>
          <w:color w:val="000000"/>
          <w:lang w:val="en-US"/>
        </w:rPr>
        <w:t xml:space="preserve"> murders of trans people</w:t>
      </w:r>
      <w:r w:rsidR="007C237E">
        <w:rPr>
          <w:color w:val="000000"/>
          <w:lang w:val="en-US"/>
        </w:rPr>
        <w:t>.</w:t>
      </w:r>
      <w:r w:rsidR="00463327">
        <w:rPr>
          <w:color w:val="000000"/>
          <w:lang w:val="en-US"/>
        </w:rPr>
        <w:t xml:space="preserve"> </w:t>
      </w:r>
      <w:r w:rsidR="00463327" w:rsidRPr="00463327">
        <w:rPr>
          <w:color w:val="000000"/>
          <w:lang w:val="en-US"/>
        </w:rPr>
        <w:t xml:space="preserve">Of these cases, five were committed against transgender human rights defenders, one of whom was a city council substitute and another a former candidate for political office. Furthermore, 117 of the victims were </w:t>
      </w:r>
      <w:r w:rsidR="007C237E" w:rsidRPr="007C237E">
        <w:rPr>
          <w:color w:val="000000"/>
          <w:lang w:val="en-US"/>
        </w:rPr>
        <w:t>transvestites and transsexual women</w:t>
      </w:r>
      <w:r w:rsidR="00463327" w:rsidRPr="00463327">
        <w:rPr>
          <w:color w:val="000000"/>
          <w:lang w:val="en-US"/>
        </w:rPr>
        <w:t>, while five were trans men and transmasculine individuals</w:t>
      </w:r>
      <w:r w:rsidR="007C237E">
        <w:rPr>
          <w:color w:val="000000"/>
          <w:lang w:val="en-US"/>
        </w:rPr>
        <w:t xml:space="preserve"> (Benevides, 2025)</w:t>
      </w:r>
      <w:r w:rsidR="00463327" w:rsidRPr="00463327">
        <w:rPr>
          <w:color w:val="000000"/>
          <w:lang w:val="en-US"/>
        </w:rPr>
        <w:t>.</w:t>
      </w:r>
      <w:r w:rsidR="007C237E">
        <w:rPr>
          <w:color w:val="000000"/>
          <w:lang w:val="en-US"/>
        </w:rPr>
        <w:t xml:space="preserve">  </w:t>
      </w:r>
    </w:p>
    <w:p w14:paraId="56FD682E" w14:textId="77777777" w:rsidR="00B50022" w:rsidRPr="00B50022" w:rsidRDefault="00B50022" w:rsidP="00B50022">
      <w:pPr>
        <w:pBdr>
          <w:top w:val="nil"/>
          <w:left w:val="nil"/>
          <w:bottom w:val="nil"/>
          <w:right w:val="nil"/>
          <w:between w:val="nil"/>
        </w:pBdr>
        <w:spacing w:line="360" w:lineRule="auto"/>
        <w:ind w:firstLine="708"/>
        <w:jc w:val="both"/>
        <w:rPr>
          <w:color w:val="000000"/>
          <w:lang w:val="en-US"/>
        </w:rPr>
      </w:pPr>
      <w:r w:rsidRPr="00B50022">
        <w:rPr>
          <w:color w:val="000000"/>
          <w:lang w:val="en-US"/>
        </w:rPr>
        <w:t>The average of murders of trans and transvestite people from 2008 to 2020 i</w:t>
      </w:r>
      <w:r w:rsidR="006166E2">
        <w:rPr>
          <w:color w:val="000000"/>
          <w:lang w:val="en-US"/>
        </w:rPr>
        <w:t>s 122.5 murders/year (Benevides &amp;</w:t>
      </w:r>
      <w:r w:rsidRPr="00B50022">
        <w:rPr>
          <w:color w:val="000000"/>
          <w:lang w:val="en-US"/>
        </w:rPr>
        <w:t xml:space="preserve"> Nogueira, 2021), w</w:t>
      </w:r>
      <w:r w:rsidR="006375EB">
        <w:rPr>
          <w:color w:val="000000"/>
          <w:lang w:val="en-US"/>
        </w:rPr>
        <w:t xml:space="preserve">hich demonstrates both that </w:t>
      </w:r>
      <w:proofErr w:type="spellStart"/>
      <w:r w:rsidR="006375EB">
        <w:rPr>
          <w:color w:val="000000"/>
          <w:lang w:val="en-US"/>
        </w:rPr>
        <w:t>Bras</w:t>
      </w:r>
      <w:r w:rsidRPr="00B50022">
        <w:rPr>
          <w:color w:val="000000"/>
          <w:lang w:val="en-US"/>
        </w:rPr>
        <w:t>il</w:t>
      </w:r>
      <w:proofErr w:type="spellEnd"/>
      <w:r w:rsidRPr="00B50022">
        <w:rPr>
          <w:color w:val="000000"/>
          <w:lang w:val="en-US"/>
        </w:rPr>
        <w:t xml:space="preserve"> is not a safe place for this population, but also that LGBTphobia is a public health issue (Machado et al., 2022). In addition, although homosexuality was taken from the International Statistical Classification of Diseases and Health-Related Problems (CID) as a disease in 1990, only in 2018 did transsexuality leave the CID category of mental disorders to integrate "conditions related to sexual health" and is classified as "gender incongruity" (</w:t>
      </w:r>
      <w:proofErr w:type="spellStart"/>
      <w:r w:rsidR="006375EB">
        <w:rPr>
          <w:color w:val="000000"/>
          <w:lang w:val="en-US"/>
        </w:rPr>
        <w:t>Conselho</w:t>
      </w:r>
      <w:proofErr w:type="spellEnd"/>
      <w:r w:rsidR="006375EB">
        <w:rPr>
          <w:color w:val="000000"/>
          <w:lang w:val="en-US"/>
        </w:rPr>
        <w:t xml:space="preserve"> Federal de </w:t>
      </w:r>
      <w:proofErr w:type="spellStart"/>
      <w:r w:rsidR="006375EB">
        <w:rPr>
          <w:color w:val="000000"/>
          <w:lang w:val="en-US"/>
        </w:rPr>
        <w:t>Psicologia</w:t>
      </w:r>
      <w:proofErr w:type="spellEnd"/>
      <w:r w:rsidRPr="00B50022">
        <w:rPr>
          <w:color w:val="000000"/>
          <w:lang w:val="en-US"/>
        </w:rPr>
        <w:t>, 2019).</w:t>
      </w:r>
    </w:p>
    <w:p w14:paraId="5292923D" w14:textId="77777777" w:rsidR="00B50022" w:rsidRPr="00757BCD" w:rsidRDefault="00B50022" w:rsidP="00B50022">
      <w:pPr>
        <w:pBdr>
          <w:top w:val="nil"/>
          <w:left w:val="nil"/>
          <w:bottom w:val="nil"/>
          <w:right w:val="nil"/>
          <w:between w:val="nil"/>
        </w:pBdr>
        <w:spacing w:line="360" w:lineRule="auto"/>
        <w:ind w:firstLine="708"/>
        <w:jc w:val="both"/>
        <w:rPr>
          <w:color w:val="000000"/>
          <w:lang w:val="en-US"/>
        </w:rPr>
      </w:pPr>
      <w:r w:rsidRPr="00B50022">
        <w:rPr>
          <w:color w:val="000000"/>
          <w:lang w:val="en-US"/>
        </w:rPr>
        <w:t>Mental illness, which can also be defined by psychic suffering, causes several symptoms, the most common being restriction of freedom, autonomy and functionality. Treatment goes beyond the use of drugs. Thus, there is a need for therapeutic activities: psychotherapy, social interaction, leisure, sport, socio-political engagement, religiosity, complementary practices in health, among others listed by the</w:t>
      </w:r>
      <w:r w:rsidR="006166E2">
        <w:rPr>
          <w:color w:val="000000"/>
          <w:lang w:val="en-US"/>
        </w:rPr>
        <w:t xml:space="preserve"> support network itself (Morais &amp;</w:t>
      </w:r>
      <w:r w:rsidRPr="00B50022">
        <w:rPr>
          <w:color w:val="000000"/>
          <w:lang w:val="en-US"/>
        </w:rPr>
        <w:t xml:space="preserve"> Leão, 2017). The suffering of </w:t>
      </w:r>
      <w:r w:rsidR="0062072B">
        <w:rPr>
          <w:color w:val="000000"/>
          <w:lang w:val="en-US"/>
        </w:rPr>
        <w:t>t</w:t>
      </w:r>
      <w:r w:rsidR="0062072B" w:rsidRPr="00B50022">
        <w:rPr>
          <w:color w:val="000000"/>
          <w:lang w:val="en-US"/>
        </w:rPr>
        <w:t>rans</w:t>
      </w:r>
      <w:r w:rsidRPr="00B50022">
        <w:rPr>
          <w:color w:val="000000"/>
          <w:lang w:val="en-US"/>
        </w:rPr>
        <w:t xml:space="preserve"> women and men transits through contexts of family and social vulnerability that results in lack of assistance, trauma and physical and especially mental illness. This is a result of the various violence they suffer, including disrespect for the social name and the right to free expression of gender identity. The person has access, seeks the service, is discriminated against and raped. </w:t>
      </w:r>
      <w:r w:rsidRPr="00757BCD">
        <w:rPr>
          <w:color w:val="000000"/>
          <w:lang w:val="en-US"/>
        </w:rPr>
        <w:t>This leaves them psychologically vulnerable (Silva et al., 2020).</w:t>
      </w:r>
    </w:p>
    <w:p w14:paraId="5C010CB8" w14:textId="77777777" w:rsidR="00B50022" w:rsidRPr="00B50022" w:rsidRDefault="00B50022" w:rsidP="00B50022">
      <w:pPr>
        <w:pBdr>
          <w:top w:val="nil"/>
          <w:left w:val="nil"/>
          <w:bottom w:val="nil"/>
          <w:right w:val="nil"/>
          <w:between w:val="nil"/>
        </w:pBdr>
        <w:spacing w:line="360" w:lineRule="auto"/>
        <w:ind w:firstLine="708"/>
        <w:jc w:val="both"/>
        <w:rPr>
          <w:color w:val="000000"/>
          <w:lang w:val="en-US"/>
        </w:rPr>
      </w:pPr>
      <w:r w:rsidRPr="00B50022">
        <w:rPr>
          <w:color w:val="000000"/>
          <w:lang w:val="en-US"/>
        </w:rPr>
        <w:t>It is noticeable that there is the production of a picture of illness among people of this population segment, marked by the use of hormones without medical follow-up (self-hormonization), mental illness, complications arising from the use of industrial silicone, Self-mutilation o</w:t>
      </w:r>
      <w:r w:rsidR="0062072B">
        <w:rPr>
          <w:color w:val="000000"/>
          <w:lang w:val="en-US"/>
        </w:rPr>
        <w:t xml:space="preserve">f the genitals and death itself </w:t>
      </w:r>
      <w:r w:rsidRPr="00B50022">
        <w:rPr>
          <w:color w:val="000000"/>
          <w:lang w:val="en-US"/>
        </w:rPr>
        <w:t xml:space="preserve">(Santos, 2019). </w:t>
      </w:r>
      <w:r w:rsidR="00CA1977" w:rsidRPr="00B50022">
        <w:rPr>
          <w:color w:val="000000"/>
          <w:lang w:val="en-US"/>
        </w:rPr>
        <w:t>In addition</w:t>
      </w:r>
      <w:r w:rsidRPr="00B50022">
        <w:rPr>
          <w:color w:val="000000"/>
          <w:lang w:val="en-US"/>
        </w:rPr>
        <w:t xml:space="preserve">, despite many social advances, transsexuals and transvestites still experience various types of prejudice and are victimized by the most varied forms of violence, which directly interferes with the exercise of their citizenship, having their basic rights, such as health and freedom of choice, violated. </w:t>
      </w:r>
    </w:p>
    <w:p w14:paraId="2F51D187" w14:textId="77777777" w:rsidR="005A2CCB" w:rsidRDefault="00B50022" w:rsidP="00B50022">
      <w:pPr>
        <w:pBdr>
          <w:top w:val="nil"/>
          <w:left w:val="nil"/>
          <w:bottom w:val="nil"/>
          <w:right w:val="nil"/>
          <w:between w:val="nil"/>
        </w:pBdr>
        <w:spacing w:line="360" w:lineRule="auto"/>
        <w:ind w:firstLine="708"/>
        <w:jc w:val="both"/>
        <w:rPr>
          <w:color w:val="000000"/>
          <w:lang w:val="en-US"/>
        </w:rPr>
      </w:pPr>
      <w:r w:rsidRPr="00B50022">
        <w:rPr>
          <w:color w:val="000000"/>
          <w:lang w:val="en-US"/>
        </w:rPr>
        <w:lastRenderedPageBreak/>
        <w:t>Thus, these forms of violence that these individuals suffer daily has the potential to make them more conducive to disorders and mental illness. It is known that the consequences of violence, linked to stress, anxiety and depression, materialize in biological, psychological, moral and social (Rocon et al., 2016). Thus, the study aimed to analyze the prevalence of stress, depressive disorders and anxiety in transsexuals and transvestites who experience situations of prejudice and violence.</w:t>
      </w:r>
    </w:p>
    <w:p w14:paraId="70DFE3FC" w14:textId="77777777" w:rsidR="007C237E" w:rsidRPr="004E0A04" w:rsidRDefault="007C237E" w:rsidP="00B50022">
      <w:pPr>
        <w:pBdr>
          <w:top w:val="nil"/>
          <w:left w:val="nil"/>
          <w:bottom w:val="nil"/>
          <w:right w:val="nil"/>
          <w:between w:val="nil"/>
        </w:pBdr>
        <w:spacing w:line="360" w:lineRule="auto"/>
        <w:ind w:firstLine="708"/>
        <w:jc w:val="both"/>
        <w:rPr>
          <w:color w:val="000000"/>
          <w:lang w:val="en-US"/>
        </w:rPr>
      </w:pPr>
    </w:p>
    <w:p w14:paraId="583A2060" w14:textId="77777777" w:rsidR="005A2CCB" w:rsidRDefault="0030548B">
      <w:pPr>
        <w:pBdr>
          <w:top w:val="nil"/>
          <w:left w:val="nil"/>
          <w:bottom w:val="nil"/>
          <w:right w:val="nil"/>
          <w:between w:val="nil"/>
        </w:pBdr>
        <w:jc w:val="center"/>
        <w:rPr>
          <w:b/>
          <w:color w:val="000000"/>
          <w:lang w:val="en-US"/>
        </w:rPr>
      </w:pPr>
      <w:r w:rsidRPr="004E0A04">
        <w:rPr>
          <w:b/>
          <w:color w:val="000000"/>
          <w:lang w:val="en-US"/>
        </w:rPr>
        <w:t>Method</w:t>
      </w:r>
    </w:p>
    <w:p w14:paraId="48F8D705" w14:textId="77777777" w:rsidR="007C237E" w:rsidRPr="004E0A04" w:rsidRDefault="007C237E">
      <w:pPr>
        <w:pBdr>
          <w:top w:val="nil"/>
          <w:left w:val="nil"/>
          <w:bottom w:val="nil"/>
          <w:right w:val="nil"/>
          <w:between w:val="nil"/>
        </w:pBdr>
        <w:jc w:val="center"/>
        <w:rPr>
          <w:b/>
          <w:color w:val="000000"/>
          <w:lang w:val="en-US"/>
        </w:rPr>
      </w:pPr>
    </w:p>
    <w:p w14:paraId="0D5DB3FC" w14:textId="77777777" w:rsidR="007C237E" w:rsidRPr="007C237E" w:rsidRDefault="007C237E" w:rsidP="007C237E">
      <w:pPr>
        <w:pBdr>
          <w:top w:val="nil"/>
          <w:left w:val="nil"/>
          <w:bottom w:val="nil"/>
          <w:right w:val="nil"/>
          <w:between w:val="nil"/>
        </w:pBdr>
        <w:spacing w:line="360" w:lineRule="auto"/>
        <w:ind w:firstLine="720"/>
        <w:jc w:val="both"/>
        <w:rPr>
          <w:color w:val="000000"/>
          <w:lang w:val="en-US"/>
        </w:rPr>
      </w:pPr>
      <w:r w:rsidRPr="007C237E">
        <w:rPr>
          <w:color w:val="000000"/>
          <w:lang w:val="en-US"/>
        </w:rPr>
        <w:t xml:space="preserve">This is an analytical and descriptive research, with a quantitative approach. The quantitative approach uses mathematical language to describe the causes of a phenomenon, the relationships between variables, among others. </w:t>
      </w:r>
    </w:p>
    <w:p w14:paraId="5ECE83DE" w14:textId="77777777" w:rsidR="007C237E" w:rsidRDefault="007C237E" w:rsidP="007C237E">
      <w:pPr>
        <w:pBdr>
          <w:top w:val="nil"/>
          <w:left w:val="nil"/>
          <w:bottom w:val="nil"/>
          <w:right w:val="nil"/>
          <w:between w:val="nil"/>
        </w:pBdr>
        <w:spacing w:line="360" w:lineRule="auto"/>
        <w:ind w:firstLine="708"/>
        <w:jc w:val="both"/>
        <w:rPr>
          <w:color w:val="000000"/>
          <w:lang w:val="en-US"/>
        </w:rPr>
      </w:pPr>
      <w:r w:rsidRPr="007C237E">
        <w:rPr>
          <w:color w:val="000000"/>
          <w:lang w:val="en-US"/>
        </w:rPr>
        <w:t>The research was developed in the period from March to June 2024, in publi</w:t>
      </w:r>
      <w:r>
        <w:rPr>
          <w:color w:val="000000"/>
          <w:lang w:val="en-US"/>
        </w:rPr>
        <w:t xml:space="preserve">c spaces of the municipality of </w:t>
      </w:r>
      <w:r w:rsidRPr="007C237E">
        <w:rPr>
          <w:color w:val="000000"/>
          <w:lang w:val="en-US"/>
        </w:rPr>
        <w:t>Petrolina-PE and Juazeiro-BA, in which transsexual people and transvestites were found. The methodological snowball sampling technique, known as snowball, was applied, which consists of a non-probabilistic sample form, where the initial participants of the research indicate new participants and so on, until the proposed objectives or satur</w:t>
      </w:r>
      <w:r>
        <w:rPr>
          <w:color w:val="000000"/>
          <w:lang w:val="en-US"/>
        </w:rPr>
        <w:t>ation point are reached (Baldin &amp;</w:t>
      </w:r>
      <w:r w:rsidRPr="007C237E">
        <w:rPr>
          <w:color w:val="000000"/>
          <w:lang w:val="en-US"/>
        </w:rPr>
        <w:t xml:space="preserve"> Munhoz, 2011). </w:t>
      </w:r>
    </w:p>
    <w:p w14:paraId="33A5B3C4" w14:textId="77777777" w:rsidR="007C237E" w:rsidRPr="00C262FD" w:rsidRDefault="007C237E" w:rsidP="007C237E">
      <w:pPr>
        <w:pBdr>
          <w:top w:val="nil"/>
          <w:left w:val="nil"/>
          <w:bottom w:val="nil"/>
          <w:right w:val="nil"/>
          <w:between w:val="nil"/>
        </w:pBdr>
        <w:spacing w:line="360" w:lineRule="auto"/>
        <w:ind w:firstLine="708"/>
        <w:jc w:val="both"/>
        <w:rPr>
          <w:color w:val="000000"/>
          <w:lang w:val="en-US"/>
        </w:rPr>
      </w:pPr>
    </w:p>
    <w:p w14:paraId="76EE310E" w14:textId="77777777" w:rsidR="005A2CCB" w:rsidRPr="004E0A04" w:rsidRDefault="0030548B" w:rsidP="007C237E">
      <w:pPr>
        <w:pBdr>
          <w:top w:val="nil"/>
          <w:left w:val="nil"/>
          <w:bottom w:val="nil"/>
          <w:right w:val="nil"/>
          <w:between w:val="nil"/>
        </w:pBdr>
        <w:spacing w:line="360" w:lineRule="auto"/>
        <w:jc w:val="both"/>
        <w:rPr>
          <w:b/>
          <w:i/>
          <w:color w:val="000000"/>
          <w:lang w:val="en-US"/>
        </w:rPr>
      </w:pPr>
      <w:r w:rsidRPr="004E0A04">
        <w:rPr>
          <w:b/>
          <w:i/>
          <w:color w:val="000000"/>
          <w:lang w:val="en-US"/>
        </w:rPr>
        <w:t>Participants</w:t>
      </w:r>
    </w:p>
    <w:p w14:paraId="2ADCD189" w14:textId="77777777" w:rsidR="005A2CCB" w:rsidRDefault="007C237E">
      <w:pPr>
        <w:pBdr>
          <w:top w:val="nil"/>
          <w:left w:val="nil"/>
          <w:bottom w:val="nil"/>
          <w:right w:val="nil"/>
          <w:between w:val="nil"/>
        </w:pBdr>
        <w:spacing w:line="360" w:lineRule="auto"/>
        <w:ind w:firstLine="708"/>
        <w:jc w:val="both"/>
        <w:rPr>
          <w:color w:val="000000"/>
          <w:lang w:val="en-US"/>
        </w:rPr>
      </w:pPr>
      <w:r w:rsidRPr="007C237E">
        <w:rPr>
          <w:color w:val="000000"/>
          <w:lang w:val="en-US"/>
        </w:rPr>
        <w:t xml:space="preserve">The </w:t>
      </w:r>
      <w:r>
        <w:rPr>
          <w:color w:val="000000"/>
          <w:lang w:val="en-US"/>
        </w:rPr>
        <w:t xml:space="preserve">study population was made up of </w:t>
      </w:r>
      <w:r w:rsidR="00BE6B7F">
        <w:rPr>
          <w:color w:val="000000"/>
          <w:lang w:val="en-US"/>
        </w:rPr>
        <w:t xml:space="preserve">25 </w:t>
      </w:r>
      <w:r w:rsidR="0062072B">
        <w:rPr>
          <w:color w:val="000000"/>
          <w:lang w:val="en-US"/>
        </w:rPr>
        <w:t>individuals</w:t>
      </w:r>
      <w:r w:rsidRPr="007C237E">
        <w:rPr>
          <w:color w:val="000000"/>
          <w:lang w:val="en-US"/>
        </w:rPr>
        <w:t xml:space="preserve">, who met the following inclusion criteria: people who self-declared as </w:t>
      </w:r>
      <w:r w:rsidR="0062072B">
        <w:rPr>
          <w:color w:val="000000"/>
          <w:lang w:val="en-US"/>
        </w:rPr>
        <w:t>transsexual or transvestite; were over 18 years of age; did</w:t>
      </w:r>
      <w:r w:rsidRPr="007C237E">
        <w:rPr>
          <w:color w:val="000000"/>
          <w:lang w:val="en-US"/>
        </w:rPr>
        <w:t xml:space="preserve"> not have any cognitive limitations that prevent</w:t>
      </w:r>
      <w:r w:rsidR="0062072B">
        <w:rPr>
          <w:color w:val="000000"/>
          <w:lang w:val="en-US"/>
        </w:rPr>
        <w:t>ed</w:t>
      </w:r>
      <w:r w:rsidRPr="007C237E">
        <w:rPr>
          <w:color w:val="000000"/>
          <w:lang w:val="en-US"/>
        </w:rPr>
        <w:t xml:space="preserve"> them from answering the questionnaires and data collection scales; and who agreed to participate in the research by signing the Informed Consent Form.</w:t>
      </w:r>
      <w:r>
        <w:rPr>
          <w:color w:val="000000"/>
          <w:lang w:val="en-US"/>
        </w:rPr>
        <w:t xml:space="preserve"> </w:t>
      </w:r>
      <w:r w:rsidR="00FA7A62">
        <w:rPr>
          <w:color w:val="000000"/>
          <w:lang w:val="en-US"/>
        </w:rPr>
        <w:t xml:space="preserve"> </w:t>
      </w:r>
    </w:p>
    <w:p w14:paraId="745F3A86" w14:textId="77777777" w:rsidR="007C237E" w:rsidRPr="004E0A04" w:rsidRDefault="007C237E">
      <w:pPr>
        <w:pBdr>
          <w:top w:val="nil"/>
          <w:left w:val="nil"/>
          <w:bottom w:val="nil"/>
          <w:right w:val="nil"/>
          <w:between w:val="nil"/>
        </w:pBdr>
        <w:spacing w:line="360" w:lineRule="auto"/>
        <w:ind w:firstLine="708"/>
        <w:jc w:val="both"/>
        <w:rPr>
          <w:color w:val="000000"/>
          <w:lang w:val="en-US"/>
        </w:rPr>
      </w:pPr>
    </w:p>
    <w:p w14:paraId="04552B02" w14:textId="77777777" w:rsidR="005A2CCB" w:rsidRPr="004E0A04" w:rsidRDefault="007C237E">
      <w:pPr>
        <w:pBdr>
          <w:top w:val="nil"/>
          <w:left w:val="nil"/>
          <w:bottom w:val="nil"/>
          <w:right w:val="nil"/>
          <w:between w:val="nil"/>
        </w:pBdr>
        <w:spacing w:line="360" w:lineRule="auto"/>
        <w:jc w:val="both"/>
        <w:rPr>
          <w:b/>
          <w:i/>
          <w:color w:val="000000"/>
          <w:lang w:val="en-US"/>
        </w:rPr>
      </w:pPr>
      <w:r>
        <w:rPr>
          <w:b/>
          <w:i/>
          <w:color w:val="000000"/>
          <w:lang w:val="en-US"/>
        </w:rPr>
        <w:t>Instruments</w:t>
      </w:r>
    </w:p>
    <w:p w14:paraId="525F96CF" w14:textId="77777777" w:rsidR="007C237E" w:rsidRPr="007C237E" w:rsidRDefault="007C237E" w:rsidP="007C237E">
      <w:pPr>
        <w:pBdr>
          <w:top w:val="nil"/>
          <w:left w:val="nil"/>
          <w:bottom w:val="nil"/>
          <w:right w:val="nil"/>
          <w:between w:val="nil"/>
        </w:pBdr>
        <w:spacing w:line="360" w:lineRule="auto"/>
        <w:ind w:firstLine="720"/>
        <w:jc w:val="both"/>
        <w:rPr>
          <w:color w:val="000000"/>
          <w:lang w:val="en-US"/>
        </w:rPr>
      </w:pPr>
      <w:r w:rsidRPr="007C237E">
        <w:rPr>
          <w:color w:val="000000"/>
          <w:lang w:val="en-US"/>
        </w:rPr>
        <w:t>Four structured collection instruments were used with the study participants. The first, a semi-structured questionnaire, in order to raise the sociodemographic profile of participants. In addition, the following instruments were used:</w:t>
      </w:r>
    </w:p>
    <w:p w14:paraId="38296E0C" w14:textId="77777777" w:rsidR="007C237E" w:rsidRPr="007C237E" w:rsidRDefault="007C237E" w:rsidP="007C237E">
      <w:pPr>
        <w:pStyle w:val="PargrafodaLista"/>
        <w:numPr>
          <w:ilvl w:val="0"/>
          <w:numId w:val="4"/>
        </w:numPr>
        <w:pBdr>
          <w:top w:val="nil"/>
          <w:left w:val="nil"/>
          <w:bottom w:val="nil"/>
          <w:right w:val="nil"/>
          <w:between w:val="nil"/>
        </w:pBdr>
        <w:spacing w:line="360" w:lineRule="auto"/>
        <w:jc w:val="both"/>
        <w:rPr>
          <w:color w:val="000000"/>
          <w:lang w:val="en-US"/>
        </w:rPr>
      </w:pPr>
      <w:r w:rsidRPr="007C237E">
        <w:rPr>
          <w:color w:val="000000"/>
          <w:lang w:val="en-US"/>
        </w:rPr>
        <w:t>Beck Anxiety Inventory (BAI);</w:t>
      </w:r>
    </w:p>
    <w:p w14:paraId="286F9CF3" w14:textId="77777777" w:rsidR="007C237E" w:rsidRPr="007C237E" w:rsidRDefault="007C237E" w:rsidP="007C237E">
      <w:pPr>
        <w:pStyle w:val="PargrafodaLista"/>
        <w:numPr>
          <w:ilvl w:val="0"/>
          <w:numId w:val="4"/>
        </w:numPr>
        <w:pBdr>
          <w:top w:val="nil"/>
          <w:left w:val="nil"/>
          <w:bottom w:val="nil"/>
          <w:right w:val="nil"/>
          <w:between w:val="nil"/>
        </w:pBdr>
        <w:spacing w:line="360" w:lineRule="auto"/>
        <w:jc w:val="both"/>
        <w:rPr>
          <w:color w:val="000000"/>
          <w:lang w:val="en-US"/>
        </w:rPr>
      </w:pPr>
      <w:r w:rsidRPr="007C237E">
        <w:rPr>
          <w:color w:val="000000"/>
          <w:lang w:val="en-US"/>
        </w:rPr>
        <w:t>Beck Depression Inventory (BDI);</w:t>
      </w:r>
    </w:p>
    <w:p w14:paraId="5CE4E0E8" w14:textId="77777777" w:rsidR="007C237E" w:rsidRPr="007C237E" w:rsidRDefault="007C237E" w:rsidP="007C237E">
      <w:pPr>
        <w:pStyle w:val="PargrafodaLista"/>
        <w:numPr>
          <w:ilvl w:val="0"/>
          <w:numId w:val="4"/>
        </w:numPr>
        <w:pBdr>
          <w:top w:val="nil"/>
          <w:left w:val="nil"/>
          <w:bottom w:val="nil"/>
          <w:right w:val="nil"/>
          <w:between w:val="nil"/>
        </w:pBdr>
        <w:spacing w:line="360" w:lineRule="auto"/>
        <w:jc w:val="both"/>
        <w:rPr>
          <w:color w:val="000000"/>
          <w:lang w:val="en-US"/>
        </w:rPr>
      </w:pPr>
      <w:r w:rsidRPr="007C237E">
        <w:rPr>
          <w:color w:val="000000"/>
          <w:lang w:val="en-US"/>
        </w:rPr>
        <w:t>Perceived Stress Scale (PSS).</w:t>
      </w:r>
    </w:p>
    <w:p w14:paraId="5394FAD3" w14:textId="77777777" w:rsidR="007C237E" w:rsidRPr="007C237E" w:rsidRDefault="007C237E" w:rsidP="007C237E">
      <w:pPr>
        <w:pBdr>
          <w:top w:val="nil"/>
          <w:left w:val="nil"/>
          <w:bottom w:val="nil"/>
          <w:right w:val="nil"/>
          <w:between w:val="nil"/>
        </w:pBdr>
        <w:spacing w:line="360" w:lineRule="auto"/>
        <w:ind w:firstLine="720"/>
        <w:jc w:val="both"/>
        <w:rPr>
          <w:color w:val="000000"/>
          <w:lang w:val="en-US"/>
        </w:rPr>
      </w:pPr>
      <w:r w:rsidRPr="007C237E">
        <w:rPr>
          <w:color w:val="000000"/>
          <w:lang w:val="en-US"/>
        </w:rPr>
        <w:lastRenderedPageBreak/>
        <w:t xml:space="preserve">The BAI and BDI instruments have the same structure, which is formed by self-report scales that aim to measure the intensity of anxiety symptoms (BAI) and depression (BDI). </w:t>
      </w:r>
    </w:p>
    <w:p w14:paraId="156742A0" w14:textId="77777777" w:rsidR="007C237E" w:rsidRPr="007C237E" w:rsidRDefault="007C237E" w:rsidP="007C237E">
      <w:pPr>
        <w:pBdr>
          <w:top w:val="nil"/>
          <w:left w:val="nil"/>
          <w:bottom w:val="nil"/>
          <w:right w:val="nil"/>
          <w:between w:val="nil"/>
        </w:pBdr>
        <w:spacing w:line="360" w:lineRule="auto"/>
        <w:ind w:firstLine="720"/>
        <w:jc w:val="both"/>
        <w:rPr>
          <w:color w:val="000000"/>
          <w:lang w:val="en-US"/>
        </w:rPr>
      </w:pPr>
      <w:r w:rsidRPr="007C237E">
        <w:rPr>
          <w:color w:val="000000"/>
          <w:lang w:val="en-US"/>
        </w:rPr>
        <w:t xml:space="preserve">The BAI is distributed in 21 descriptive items on anxiety symptoms, which are assigned values from 0 to 3 and have alternatives delimited in 4 premises: 0 corresponds to "absolutely not"; 1 corresponds to "slightly, does not bother me much"; 2 equals  "moderately, it was very unpleasant but bearable" and 3 is equivalent to "severely, I could hardly bear". The sum of the scores varies from 0 to 63 points, being classified by Beck in four levels of anxiety: from 0 to 10, minimum anxiety level; from 11 to 19, mild anxiety level; from 20 to 30 moderate anxiety level and from 31 to 63 severe anxiety level (Beck et al., 1988). </w:t>
      </w:r>
    </w:p>
    <w:p w14:paraId="3573C307" w14:textId="77777777" w:rsidR="007C237E" w:rsidRPr="007C237E" w:rsidRDefault="007C237E" w:rsidP="007C237E">
      <w:pPr>
        <w:pBdr>
          <w:top w:val="nil"/>
          <w:left w:val="nil"/>
          <w:bottom w:val="nil"/>
          <w:right w:val="nil"/>
          <w:between w:val="nil"/>
        </w:pBdr>
        <w:spacing w:line="360" w:lineRule="auto"/>
        <w:ind w:firstLine="720"/>
        <w:jc w:val="both"/>
        <w:rPr>
          <w:color w:val="000000"/>
          <w:lang w:val="en-US"/>
        </w:rPr>
      </w:pPr>
      <w:r w:rsidRPr="007C237E">
        <w:rPr>
          <w:color w:val="000000"/>
          <w:lang w:val="en-US"/>
        </w:rPr>
        <w:t>The BDI structure consists of 21 items, which include symptoms and attitudes. For each item are assigned four statements (0, 1, 2 and 3) that indicate the degrees of intensity. The level of depression intensity is measured by the total sum of scores, being: 0 to 11, minimum depression level; 12 to 19 mild depression level; 20 to 35 moderate depression level and 36 to 63 severe depression level (Beck et al., 1961).</w:t>
      </w:r>
    </w:p>
    <w:p w14:paraId="350DA149" w14:textId="77777777" w:rsidR="007C237E" w:rsidRPr="007C237E" w:rsidRDefault="007C237E" w:rsidP="007C237E">
      <w:pPr>
        <w:pBdr>
          <w:top w:val="nil"/>
          <w:left w:val="nil"/>
          <w:bottom w:val="nil"/>
          <w:right w:val="nil"/>
          <w:between w:val="nil"/>
        </w:pBdr>
        <w:spacing w:line="360" w:lineRule="auto"/>
        <w:ind w:firstLine="720"/>
        <w:jc w:val="both"/>
        <w:rPr>
          <w:color w:val="000000"/>
          <w:lang w:val="en-US"/>
        </w:rPr>
      </w:pPr>
      <w:r w:rsidRPr="007C237E">
        <w:rPr>
          <w:color w:val="000000"/>
          <w:lang w:val="en-US"/>
        </w:rPr>
        <w:t xml:space="preserve">The Perceived Stress Scale (PSS) was developed by Cohen and </w:t>
      </w:r>
      <w:proofErr w:type="spellStart"/>
      <w:r w:rsidRPr="007C237E">
        <w:rPr>
          <w:color w:val="000000"/>
          <w:lang w:val="en-US"/>
        </w:rPr>
        <w:t>Mermelstein</w:t>
      </w:r>
      <w:proofErr w:type="spellEnd"/>
      <w:r w:rsidRPr="007C237E">
        <w:rPr>
          <w:color w:val="000000"/>
          <w:lang w:val="en-US"/>
        </w:rPr>
        <w:t xml:space="preserve"> (1983), and is an instrument used to evaluate the perception of stress, having been validated in more than 20 countries including Brazil. The PSS has 14 questions with answer options ranging from zero to four (0=never; 1=almost never; 2=sometimes; 3=almost always 4=always). The questions with positive connotation (4, 5, 6, 7, 9, 10 and 13) have their summed score inverted as follows, 0=4, 1=3, 2=2, 3=1 and 4=0. The other questions are negative and are calculated directly. The total of the scale is the sum of the scores of the 14 questions and the scores can vary from zero to 56.</w:t>
      </w:r>
    </w:p>
    <w:p w14:paraId="66F13AC5" w14:textId="77777777" w:rsidR="007C237E" w:rsidRPr="007C237E" w:rsidRDefault="007C237E" w:rsidP="007C237E">
      <w:pPr>
        <w:pBdr>
          <w:top w:val="nil"/>
          <w:left w:val="nil"/>
          <w:bottom w:val="nil"/>
          <w:right w:val="nil"/>
          <w:between w:val="nil"/>
        </w:pBdr>
        <w:spacing w:line="360" w:lineRule="auto"/>
        <w:ind w:firstLine="720"/>
        <w:jc w:val="both"/>
        <w:rPr>
          <w:color w:val="000000"/>
          <w:lang w:val="en-US"/>
        </w:rPr>
      </w:pPr>
      <w:r w:rsidRPr="007C237E">
        <w:rPr>
          <w:color w:val="000000"/>
          <w:lang w:val="en-US"/>
        </w:rPr>
        <w:t>The sociodemographic and economic variables that were collected in the survey are: age (in years); color/race (yellow, white, brown, black); gender identity (cisgender man, cisgender woman, transsexual woman, transvestite, transsexual man, non-binary, others) (gay, lesbian, bisexual, heterosexual, pansexual, asexual); fixed partner (yes/no); Level of education:  (never studied, literate, old primary, elementary or incomplete 1st grade, elementary or full 1st grade, high school or incomplete 2nd grade, high school or complete 2nd grade, incomplete higher, complete upper).</w:t>
      </w:r>
    </w:p>
    <w:p w14:paraId="4F687BD2" w14:textId="77777777" w:rsidR="007C237E" w:rsidRPr="007C237E" w:rsidRDefault="007C237E" w:rsidP="007C237E">
      <w:pPr>
        <w:pBdr>
          <w:top w:val="nil"/>
          <w:left w:val="nil"/>
          <w:bottom w:val="nil"/>
          <w:right w:val="nil"/>
          <w:between w:val="nil"/>
        </w:pBdr>
        <w:spacing w:line="360" w:lineRule="auto"/>
        <w:ind w:firstLine="720"/>
        <w:jc w:val="both"/>
        <w:rPr>
          <w:color w:val="000000"/>
          <w:lang w:val="en-US"/>
        </w:rPr>
      </w:pPr>
      <w:r w:rsidRPr="007C237E">
        <w:rPr>
          <w:color w:val="000000"/>
          <w:lang w:val="en-US"/>
        </w:rPr>
        <w:t xml:space="preserve">In addition, the other variables are those present in the other three collection instruments (BAI, BDI and PSS) The variables measured by means of the BAI are applied through twenty-one questions that address the existence or absence of anxiety symptoms, defined as: 1) dormancy; 2) </w:t>
      </w:r>
      <w:r w:rsidRPr="007C237E">
        <w:rPr>
          <w:color w:val="000000"/>
          <w:lang w:val="en-US"/>
        </w:rPr>
        <w:lastRenderedPageBreak/>
        <w:t xml:space="preserve">sensation of heat; 3) tremors in the legs; 4) unable to relax; 5) fear of the worst happening; 6) dazed or dizzy; 7) rapid heartbeat; 8) out of balance; 9) terrified; 10) nervous; 11) feeling of suffocation; 12) trembling hands; 13) shaking; 14) fear of losing control; 15) difficulty breathing; 16) fear of death; 17) scared; 18) indigestion or discomfort in the abdomen; 19) feeling of fainting; 20) full face and 21) sweat (not due to heat). </w:t>
      </w:r>
    </w:p>
    <w:p w14:paraId="76630279" w14:textId="77777777" w:rsidR="007C237E" w:rsidRPr="007C237E" w:rsidRDefault="007C237E" w:rsidP="007C237E">
      <w:pPr>
        <w:pBdr>
          <w:top w:val="nil"/>
          <w:left w:val="nil"/>
          <w:bottom w:val="nil"/>
          <w:right w:val="nil"/>
          <w:between w:val="nil"/>
        </w:pBdr>
        <w:spacing w:line="360" w:lineRule="auto"/>
        <w:ind w:firstLine="720"/>
        <w:jc w:val="both"/>
        <w:rPr>
          <w:color w:val="000000"/>
          <w:lang w:val="en-US"/>
        </w:rPr>
      </w:pPr>
      <w:r w:rsidRPr="007C237E">
        <w:rPr>
          <w:color w:val="000000"/>
          <w:lang w:val="en-US"/>
        </w:rPr>
        <w:t xml:space="preserve">The depression scale evaluates the following symptoms and attitudes: 1) sadness; 2) pessimism; 3) feeling of failure; 4) dissatisfaction; 5) guilt; 6) punishment; 7) self-aversion; 8) self-accusation; 9) suicidal ideas; 10) grief; 11) irritability; 12) social recrimination; 13) indecision; 14) change in self-image; 15) difficulty working; 16) insomnia; 17) fatigue; 18) loss of appetite; 19) weight loss; 20) somatic concerns and 21) loss of libido. </w:t>
      </w:r>
    </w:p>
    <w:p w14:paraId="4F62DE55" w14:textId="77777777" w:rsidR="007C237E" w:rsidRDefault="007C237E" w:rsidP="007C237E">
      <w:pPr>
        <w:pBdr>
          <w:top w:val="nil"/>
          <w:left w:val="nil"/>
          <w:bottom w:val="nil"/>
          <w:right w:val="nil"/>
          <w:between w:val="nil"/>
        </w:pBdr>
        <w:spacing w:line="360" w:lineRule="auto"/>
        <w:ind w:firstLine="720"/>
        <w:jc w:val="both"/>
        <w:rPr>
          <w:color w:val="000000"/>
          <w:lang w:val="en-US"/>
        </w:rPr>
      </w:pPr>
      <w:r w:rsidRPr="007C237E">
        <w:rPr>
          <w:color w:val="000000"/>
          <w:lang w:val="en-US"/>
        </w:rPr>
        <w:t>Stress will be evaluated through the Perceived Stress Scale, through the following symptoms and attitudes: 1) sadness; 2) disability; 3) nervous; 4) success; 5) perception of changes; 6) skills; 7) perception about wills; 8) perception about activities; 9) irritation; 10) control; 11) irritation and absence of control; 12) thoughts; 13) time management and 14) perception about difficulties.</w:t>
      </w:r>
    </w:p>
    <w:p w14:paraId="1EF83ED1" w14:textId="77777777" w:rsidR="007C237E" w:rsidRDefault="007C237E">
      <w:pPr>
        <w:pBdr>
          <w:top w:val="nil"/>
          <w:left w:val="nil"/>
          <w:bottom w:val="nil"/>
          <w:right w:val="nil"/>
          <w:between w:val="nil"/>
        </w:pBdr>
        <w:spacing w:line="360" w:lineRule="auto"/>
        <w:jc w:val="both"/>
        <w:rPr>
          <w:b/>
          <w:i/>
          <w:color w:val="000000"/>
          <w:lang w:val="en-US"/>
        </w:rPr>
      </w:pPr>
    </w:p>
    <w:p w14:paraId="348EACE5" w14:textId="77777777" w:rsidR="005A2CCB" w:rsidRPr="004E0A04" w:rsidRDefault="0030548B">
      <w:pPr>
        <w:pBdr>
          <w:top w:val="nil"/>
          <w:left w:val="nil"/>
          <w:bottom w:val="nil"/>
          <w:right w:val="nil"/>
          <w:between w:val="nil"/>
        </w:pBdr>
        <w:spacing w:line="360" w:lineRule="auto"/>
        <w:jc w:val="both"/>
        <w:rPr>
          <w:b/>
          <w:i/>
          <w:color w:val="000000"/>
          <w:lang w:val="en-US"/>
        </w:rPr>
      </w:pPr>
      <w:r w:rsidRPr="004E0A04">
        <w:rPr>
          <w:b/>
          <w:i/>
          <w:color w:val="000000"/>
          <w:lang w:val="en-US"/>
        </w:rPr>
        <w:t xml:space="preserve">Procedure </w:t>
      </w:r>
    </w:p>
    <w:p w14:paraId="608BA648" w14:textId="77777777" w:rsidR="00BE6B7F" w:rsidRDefault="00BD2EC2" w:rsidP="00BD2EC2">
      <w:pPr>
        <w:pBdr>
          <w:top w:val="nil"/>
          <w:left w:val="nil"/>
          <w:bottom w:val="nil"/>
          <w:right w:val="nil"/>
          <w:between w:val="nil"/>
        </w:pBdr>
        <w:spacing w:line="360" w:lineRule="auto"/>
        <w:ind w:firstLine="720"/>
        <w:jc w:val="both"/>
        <w:rPr>
          <w:color w:val="000000"/>
          <w:lang w:val="en-US"/>
        </w:rPr>
      </w:pPr>
      <w:r w:rsidRPr="00BD2EC2">
        <w:rPr>
          <w:color w:val="000000"/>
          <w:lang w:val="en-US"/>
        </w:rPr>
        <w:t xml:space="preserve">Data collection was carried out through the application of four structured instruments. </w:t>
      </w:r>
      <w:r w:rsidR="00FA7A62" w:rsidRPr="00FA7A62">
        <w:rPr>
          <w:color w:val="000000"/>
          <w:lang w:val="en-US"/>
        </w:rPr>
        <w:t>Participants were first informed about the objectives, procedures, potential risks, and benefits of the study, as well as their right to withdraw at any time without penalty. After receiving all necessary explanations and having their questions addressed, they provided written</w:t>
      </w:r>
      <w:r w:rsidR="00FB07E8">
        <w:rPr>
          <w:color w:val="000000"/>
          <w:lang w:val="en-US"/>
        </w:rPr>
        <w:t xml:space="preserve"> informed consent by signing a form</w:t>
      </w:r>
      <w:r w:rsidR="00FA7A62" w:rsidRPr="00FA7A62">
        <w:rPr>
          <w:color w:val="000000"/>
          <w:lang w:val="en-US"/>
        </w:rPr>
        <w:t xml:space="preserve">. Only after this step did they proceed to the data collection phase. </w:t>
      </w:r>
      <w:r w:rsidRPr="00BD2EC2">
        <w:rPr>
          <w:color w:val="000000"/>
          <w:lang w:val="en-US"/>
        </w:rPr>
        <w:t>Subsequently, they completed the instruments individually, under the</w:t>
      </w:r>
      <w:r w:rsidR="006375EB">
        <w:rPr>
          <w:color w:val="000000"/>
          <w:lang w:val="en-US"/>
        </w:rPr>
        <w:t xml:space="preserve"> supervision of the researchers</w:t>
      </w:r>
      <w:r w:rsidRPr="00BD2EC2">
        <w:rPr>
          <w:color w:val="000000"/>
          <w:lang w:val="en-US"/>
        </w:rPr>
        <w:t>, following standardized instructions to ensure the reliability and consistency of the data collected.</w:t>
      </w:r>
      <w:r w:rsidR="00FB07E8">
        <w:rPr>
          <w:color w:val="000000"/>
          <w:lang w:val="en-US"/>
        </w:rPr>
        <w:t xml:space="preserve"> </w:t>
      </w:r>
    </w:p>
    <w:p w14:paraId="6876F0DF" w14:textId="77777777" w:rsidR="00FB07E8" w:rsidRDefault="00FB07E8">
      <w:pPr>
        <w:pBdr>
          <w:top w:val="nil"/>
          <w:left w:val="nil"/>
          <w:bottom w:val="nil"/>
          <w:right w:val="nil"/>
          <w:between w:val="nil"/>
        </w:pBdr>
        <w:spacing w:line="360" w:lineRule="auto"/>
        <w:jc w:val="both"/>
        <w:rPr>
          <w:b/>
          <w:i/>
          <w:color w:val="000000"/>
          <w:lang w:val="en-US"/>
        </w:rPr>
      </w:pPr>
    </w:p>
    <w:p w14:paraId="36037740" w14:textId="77777777" w:rsidR="005A2CCB" w:rsidRPr="00757BCD" w:rsidRDefault="0030548B">
      <w:pPr>
        <w:pBdr>
          <w:top w:val="nil"/>
          <w:left w:val="nil"/>
          <w:bottom w:val="nil"/>
          <w:right w:val="nil"/>
          <w:between w:val="nil"/>
        </w:pBdr>
        <w:spacing w:line="360" w:lineRule="auto"/>
        <w:jc w:val="both"/>
        <w:rPr>
          <w:b/>
          <w:i/>
          <w:color w:val="000000"/>
          <w:lang w:val="en-US"/>
        </w:rPr>
      </w:pPr>
      <w:r w:rsidRPr="00757BCD">
        <w:rPr>
          <w:b/>
          <w:i/>
          <w:color w:val="000000"/>
          <w:lang w:val="en-US"/>
        </w:rPr>
        <w:t>Data analysis</w:t>
      </w:r>
    </w:p>
    <w:p w14:paraId="3E029CBB" w14:textId="77777777" w:rsidR="007C237E" w:rsidRPr="007C237E" w:rsidRDefault="007C237E" w:rsidP="00BE6B7F">
      <w:pPr>
        <w:pBdr>
          <w:top w:val="nil"/>
          <w:left w:val="nil"/>
          <w:bottom w:val="nil"/>
          <w:right w:val="nil"/>
          <w:between w:val="nil"/>
        </w:pBdr>
        <w:spacing w:line="360" w:lineRule="auto"/>
        <w:ind w:firstLine="720"/>
        <w:jc w:val="both"/>
        <w:rPr>
          <w:color w:val="000000"/>
          <w:lang w:val="en-US"/>
        </w:rPr>
      </w:pPr>
      <w:r w:rsidRPr="007C237E">
        <w:rPr>
          <w:color w:val="000000"/>
          <w:lang w:val="en-US"/>
        </w:rPr>
        <w:t xml:space="preserve">After the construction of the database, the data were transported to the statistical program Stata, version 16.0. For descriptive analysis was used the calculation of mean and standard deviation and calculation of absolute and relative frequency. To investigate the associations between levels of depression, anxiety, stress and age in the sample of transsexuals and transvestites, </w:t>
      </w:r>
      <w:r w:rsidRPr="007C237E">
        <w:rPr>
          <w:color w:val="000000"/>
          <w:lang w:val="en-US"/>
        </w:rPr>
        <w:lastRenderedPageBreak/>
        <w:t>Spearman correlation analyses were performed, considering the ordinal nature and non-parametric distribution of psychometric variables. The Spearman correlation coefficient (rho) was chosen for its robustness in front of small samples and data that do not meet the assumptions of normality. The correlations were calculated between pairs of the main variables: depression, anxiety, stress and age, and their respective values of statistical significance (p-value) were considered to evaluate the strength and relevance of the associations.</w:t>
      </w:r>
    </w:p>
    <w:p w14:paraId="05437A8B" w14:textId="77777777" w:rsidR="007C237E" w:rsidRPr="007C237E" w:rsidRDefault="007C237E" w:rsidP="00BE6B7F">
      <w:pPr>
        <w:pBdr>
          <w:top w:val="nil"/>
          <w:left w:val="nil"/>
          <w:bottom w:val="nil"/>
          <w:right w:val="nil"/>
          <w:between w:val="nil"/>
        </w:pBdr>
        <w:spacing w:line="360" w:lineRule="auto"/>
        <w:ind w:firstLine="720"/>
        <w:jc w:val="both"/>
        <w:rPr>
          <w:color w:val="000000"/>
          <w:lang w:val="en-US"/>
        </w:rPr>
      </w:pPr>
      <w:r w:rsidRPr="007C237E">
        <w:rPr>
          <w:color w:val="000000"/>
          <w:lang w:val="en-US"/>
        </w:rPr>
        <w:t xml:space="preserve">In addition to the statistical analysis, a visual correlation matrix was constructed to facilitate the interpretation of associations between the </w:t>
      </w:r>
      <w:proofErr w:type="gramStart"/>
      <w:r w:rsidRPr="007C237E">
        <w:rPr>
          <w:color w:val="000000"/>
          <w:lang w:val="en-US"/>
        </w:rPr>
        <w:t>variables</w:t>
      </w:r>
      <w:proofErr w:type="gramEnd"/>
      <w:r w:rsidRPr="007C237E">
        <w:rPr>
          <w:color w:val="000000"/>
          <w:lang w:val="en-US"/>
        </w:rPr>
        <w:t xml:space="preserve"> depression, anxiety, stress and age. This matrix was represented by a gray scale heat map, in which the colors indicate the intensity of Spearman correlations between the studied variables. Each cell of the matrix presents the numerical value of the correlation coefficient, allowing a clear visualization of the positive or negative relations and their magnitude. For all tests, a significance level of 5% and confidence of 95% was adopted. </w:t>
      </w:r>
    </w:p>
    <w:p w14:paraId="08C0DA5A" w14:textId="77777777" w:rsidR="007C237E" w:rsidRPr="007C237E" w:rsidRDefault="007C237E" w:rsidP="007C237E">
      <w:pPr>
        <w:pBdr>
          <w:top w:val="nil"/>
          <w:left w:val="nil"/>
          <w:bottom w:val="nil"/>
          <w:right w:val="nil"/>
          <w:between w:val="nil"/>
        </w:pBdr>
        <w:spacing w:line="360" w:lineRule="auto"/>
        <w:jc w:val="both"/>
        <w:rPr>
          <w:color w:val="000000"/>
          <w:lang w:val="en-US"/>
        </w:rPr>
      </w:pPr>
    </w:p>
    <w:p w14:paraId="6985567B" w14:textId="77777777" w:rsidR="005A2CCB" w:rsidRPr="004E0A04" w:rsidRDefault="0030548B" w:rsidP="007C237E">
      <w:pPr>
        <w:pBdr>
          <w:top w:val="nil"/>
          <w:left w:val="nil"/>
          <w:bottom w:val="nil"/>
          <w:right w:val="nil"/>
          <w:between w:val="nil"/>
        </w:pBdr>
        <w:spacing w:line="360" w:lineRule="auto"/>
        <w:jc w:val="both"/>
        <w:rPr>
          <w:b/>
          <w:i/>
          <w:color w:val="000000"/>
          <w:lang w:val="en-US"/>
        </w:rPr>
      </w:pPr>
      <w:r w:rsidRPr="004E0A04">
        <w:rPr>
          <w:b/>
          <w:i/>
          <w:color w:val="000000"/>
          <w:lang w:val="en-US"/>
        </w:rPr>
        <w:t>Ethical considerations</w:t>
      </w:r>
    </w:p>
    <w:p w14:paraId="3B5397D5" w14:textId="77777777" w:rsidR="00BE6B7F" w:rsidRDefault="00FB07E8">
      <w:pPr>
        <w:pBdr>
          <w:top w:val="nil"/>
          <w:left w:val="nil"/>
          <w:bottom w:val="nil"/>
          <w:right w:val="nil"/>
          <w:between w:val="nil"/>
        </w:pBdr>
        <w:spacing w:line="360" w:lineRule="auto"/>
        <w:ind w:firstLine="708"/>
        <w:jc w:val="both"/>
        <w:rPr>
          <w:color w:val="000000"/>
          <w:lang w:val="en-US"/>
        </w:rPr>
      </w:pPr>
      <w:r w:rsidRPr="00FB07E8">
        <w:rPr>
          <w:color w:val="000000"/>
          <w:lang w:val="en-US"/>
        </w:rPr>
        <w:t>The study complied with Resolutions No. 510/16 and 466/12 of the Brazilian National Health Council, which establish ethical guidelines and regulatory standards for researc</w:t>
      </w:r>
      <w:r w:rsidR="006375EB">
        <w:rPr>
          <w:color w:val="000000"/>
          <w:lang w:val="en-US"/>
        </w:rPr>
        <w:t>h involving human subjects (</w:t>
      </w:r>
      <w:proofErr w:type="spellStart"/>
      <w:r w:rsidR="006375EB">
        <w:rPr>
          <w:color w:val="000000"/>
          <w:lang w:val="en-US"/>
        </w:rPr>
        <w:t>Bras</w:t>
      </w:r>
      <w:r w:rsidRPr="00FB07E8">
        <w:rPr>
          <w:color w:val="000000"/>
          <w:lang w:val="en-US"/>
        </w:rPr>
        <w:t>il</w:t>
      </w:r>
      <w:proofErr w:type="spellEnd"/>
      <w:r w:rsidRPr="00FB07E8">
        <w:rPr>
          <w:color w:val="000000"/>
          <w:lang w:val="en-US"/>
        </w:rPr>
        <w:t>, 2012). It was approved by a Research Ethics Committee under opinion No. 6.606.964 and CAAE 76182023.7.0000. All procedures followed national and international ethical standards for research with human participants, ensuring the protection of their rights, dignity, and confidentiality throughout the study.</w:t>
      </w:r>
    </w:p>
    <w:p w14:paraId="10F4967B" w14:textId="77777777" w:rsidR="00FB07E8" w:rsidRPr="004E0A04" w:rsidRDefault="00FB07E8">
      <w:pPr>
        <w:pBdr>
          <w:top w:val="nil"/>
          <w:left w:val="nil"/>
          <w:bottom w:val="nil"/>
          <w:right w:val="nil"/>
          <w:between w:val="nil"/>
        </w:pBdr>
        <w:spacing w:line="360" w:lineRule="auto"/>
        <w:ind w:firstLine="708"/>
        <w:jc w:val="both"/>
        <w:rPr>
          <w:color w:val="000000"/>
          <w:lang w:val="en-US"/>
        </w:rPr>
      </w:pPr>
    </w:p>
    <w:p w14:paraId="123DA6D5" w14:textId="77777777" w:rsidR="005A2CCB" w:rsidRDefault="0030548B">
      <w:pPr>
        <w:pBdr>
          <w:top w:val="nil"/>
          <w:left w:val="nil"/>
          <w:bottom w:val="nil"/>
          <w:right w:val="nil"/>
          <w:between w:val="nil"/>
        </w:pBdr>
        <w:jc w:val="center"/>
        <w:rPr>
          <w:b/>
          <w:color w:val="000000"/>
          <w:lang w:val="en-US"/>
        </w:rPr>
      </w:pPr>
      <w:r w:rsidRPr="004E0A04">
        <w:rPr>
          <w:b/>
          <w:color w:val="000000"/>
          <w:lang w:val="en-US"/>
        </w:rPr>
        <w:t>Results</w:t>
      </w:r>
    </w:p>
    <w:p w14:paraId="6235EB0E" w14:textId="77777777" w:rsidR="00BD2EC2" w:rsidRPr="004E0A04" w:rsidRDefault="00BD2EC2" w:rsidP="00FA7A62">
      <w:pPr>
        <w:pBdr>
          <w:top w:val="nil"/>
          <w:left w:val="nil"/>
          <w:bottom w:val="nil"/>
          <w:right w:val="nil"/>
          <w:between w:val="nil"/>
        </w:pBdr>
        <w:spacing w:line="360" w:lineRule="auto"/>
        <w:jc w:val="center"/>
        <w:rPr>
          <w:b/>
          <w:color w:val="000000"/>
          <w:lang w:val="en-US"/>
        </w:rPr>
      </w:pPr>
    </w:p>
    <w:p w14:paraId="49876256" w14:textId="77777777" w:rsidR="00BD2EC2" w:rsidRDefault="00BD2EC2" w:rsidP="00BD2EC2">
      <w:pPr>
        <w:pBdr>
          <w:top w:val="nil"/>
          <w:left w:val="nil"/>
          <w:bottom w:val="nil"/>
          <w:right w:val="nil"/>
          <w:between w:val="nil"/>
        </w:pBdr>
        <w:spacing w:line="360" w:lineRule="auto"/>
        <w:ind w:firstLine="720"/>
        <w:jc w:val="both"/>
        <w:rPr>
          <w:color w:val="000000"/>
          <w:lang w:val="en-US"/>
        </w:rPr>
      </w:pPr>
      <w:r w:rsidRPr="00BD2EC2">
        <w:rPr>
          <w:color w:val="000000"/>
          <w:lang w:val="en-US"/>
        </w:rPr>
        <w:t>During the survey, 25 interviews were conducted with the trans and transvestite population in the municipalities of Petrolina-PE and Juazeiro-BA. Most respondents declared themselves to be brown (40%, n=10) and transgender women (48%, n=12). The most prevalent sexual orientation was heterosexual (36%, n=9). The majority of participants reported having a fixed partner (68%, n=17), and the most common level of schooling was incomplet</w:t>
      </w:r>
      <w:r>
        <w:rPr>
          <w:color w:val="000000"/>
          <w:lang w:val="en-US"/>
        </w:rPr>
        <w:t>e higher education (48%, n=12).</w:t>
      </w:r>
    </w:p>
    <w:p w14:paraId="69D44672" w14:textId="77777777" w:rsidR="005F2416" w:rsidRDefault="005F2416" w:rsidP="00BD2EC2">
      <w:pPr>
        <w:spacing w:line="360" w:lineRule="auto"/>
        <w:rPr>
          <w:b/>
          <w:color w:val="00000A"/>
          <w:lang w:val="en-US"/>
        </w:rPr>
      </w:pPr>
    </w:p>
    <w:p w14:paraId="0F9F6F04" w14:textId="77777777" w:rsidR="00BD2EC2" w:rsidRPr="00FA7A62" w:rsidRDefault="00BD2EC2" w:rsidP="00BD2EC2">
      <w:pPr>
        <w:spacing w:line="360" w:lineRule="auto"/>
        <w:rPr>
          <w:rFonts w:ascii="Arimo" w:eastAsia="Arimo" w:hAnsi="Arimo" w:cs="Arimo"/>
          <w:b/>
          <w:color w:val="00000A"/>
          <w:lang w:val="en-US"/>
        </w:rPr>
      </w:pPr>
      <w:r w:rsidRPr="00FA7A62">
        <w:rPr>
          <w:b/>
          <w:color w:val="00000A"/>
          <w:lang w:val="en-US"/>
        </w:rPr>
        <w:t>Table 1</w:t>
      </w:r>
    </w:p>
    <w:p w14:paraId="727299A2" w14:textId="77777777" w:rsidR="00BD2EC2" w:rsidRDefault="00BD2EC2" w:rsidP="00FA7A62">
      <w:pPr>
        <w:spacing w:line="360" w:lineRule="auto"/>
        <w:rPr>
          <w:i/>
          <w:color w:val="00000A"/>
          <w:lang w:val="en-US"/>
        </w:rPr>
      </w:pPr>
      <w:r w:rsidRPr="00BD2EC2">
        <w:rPr>
          <w:i/>
          <w:color w:val="00000A"/>
          <w:lang w:val="en-US"/>
        </w:rPr>
        <w:t>Sociodemographic characterization of participants. Petr</w:t>
      </w:r>
      <w:r w:rsidR="00C262FD">
        <w:rPr>
          <w:i/>
          <w:color w:val="00000A"/>
          <w:lang w:val="en-US"/>
        </w:rPr>
        <w:t>olina, Pernambuco, Brazil. 2024</w:t>
      </w:r>
    </w:p>
    <w:tbl>
      <w:tblPr>
        <w:tblpPr w:leftFromText="141" w:rightFromText="141" w:vertAnchor="text" w:horzAnchor="margin" w:tblpXSpec="center" w:tblpY="154"/>
        <w:tblW w:w="7513" w:type="dxa"/>
        <w:tblCellMar>
          <w:left w:w="70" w:type="dxa"/>
          <w:right w:w="70" w:type="dxa"/>
        </w:tblCellMar>
        <w:tblLook w:val="04A0" w:firstRow="1" w:lastRow="0" w:firstColumn="1" w:lastColumn="0" w:noHBand="0" w:noVBand="1"/>
      </w:tblPr>
      <w:tblGrid>
        <w:gridCol w:w="4820"/>
        <w:gridCol w:w="992"/>
        <w:gridCol w:w="1701"/>
      </w:tblGrid>
      <w:tr w:rsidR="00757BCD" w:rsidRPr="007132E9" w14:paraId="22C7CACA" w14:textId="77777777" w:rsidTr="00757BCD">
        <w:trPr>
          <w:trHeight w:val="241"/>
        </w:trPr>
        <w:tc>
          <w:tcPr>
            <w:tcW w:w="4820" w:type="dxa"/>
            <w:tcBorders>
              <w:top w:val="single" w:sz="4" w:space="0" w:color="auto"/>
              <w:left w:val="nil"/>
              <w:bottom w:val="single" w:sz="4" w:space="0" w:color="auto"/>
              <w:right w:val="nil"/>
            </w:tcBorders>
            <w:noWrap/>
            <w:vAlign w:val="bottom"/>
            <w:hideMark/>
          </w:tcPr>
          <w:p w14:paraId="317CC9FF" w14:textId="77777777" w:rsidR="00757BCD" w:rsidRPr="007132E9" w:rsidRDefault="00757BCD" w:rsidP="00757BCD">
            <w:pPr>
              <w:spacing w:line="276" w:lineRule="auto"/>
              <w:jc w:val="center"/>
              <w:rPr>
                <w:b/>
                <w:bCs/>
              </w:rPr>
            </w:pPr>
          </w:p>
        </w:tc>
        <w:tc>
          <w:tcPr>
            <w:tcW w:w="992" w:type="dxa"/>
            <w:tcBorders>
              <w:top w:val="single" w:sz="4" w:space="0" w:color="auto"/>
              <w:left w:val="nil"/>
              <w:bottom w:val="single" w:sz="4" w:space="0" w:color="auto"/>
              <w:right w:val="nil"/>
            </w:tcBorders>
            <w:noWrap/>
            <w:vAlign w:val="bottom"/>
            <w:hideMark/>
          </w:tcPr>
          <w:p w14:paraId="1B5E1614" w14:textId="77777777" w:rsidR="00757BCD" w:rsidRPr="007132E9" w:rsidRDefault="00757BCD" w:rsidP="00757BCD">
            <w:pPr>
              <w:spacing w:line="276" w:lineRule="auto"/>
              <w:jc w:val="center"/>
              <w:rPr>
                <w:b/>
                <w:bCs/>
              </w:rPr>
            </w:pPr>
            <w:r w:rsidRPr="007132E9">
              <w:rPr>
                <w:b/>
                <w:bCs/>
              </w:rPr>
              <w:t>n</w:t>
            </w:r>
          </w:p>
        </w:tc>
        <w:tc>
          <w:tcPr>
            <w:tcW w:w="1701" w:type="dxa"/>
            <w:tcBorders>
              <w:top w:val="single" w:sz="4" w:space="0" w:color="auto"/>
              <w:left w:val="nil"/>
              <w:bottom w:val="single" w:sz="4" w:space="0" w:color="auto"/>
              <w:right w:val="nil"/>
            </w:tcBorders>
            <w:noWrap/>
            <w:vAlign w:val="bottom"/>
            <w:hideMark/>
          </w:tcPr>
          <w:p w14:paraId="0381B9F6" w14:textId="77777777" w:rsidR="00757BCD" w:rsidRPr="007132E9" w:rsidRDefault="00757BCD" w:rsidP="00757BCD">
            <w:pPr>
              <w:spacing w:line="276" w:lineRule="auto"/>
              <w:jc w:val="center"/>
              <w:rPr>
                <w:b/>
                <w:bCs/>
              </w:rPr>
            </w:pPr>
            <w:r w:rsidRPr="007132E9">
              <w:rPr>
                <w:b/>
                <w:bCs/>
              </w:rPr>
              <w:t>%</w:t>
            </w:r>
          </w:p>
        </w:tc>
      </w:tr>
      <w:tr w:rsidR="00757BCD" w:rsidRPr="007132E9" w14:paraId="027E4266" w14:textId="77777777" w:rsidTr="00757BCD">
        <w:trPr>
          <w:trHeight w:val="241"/>
        </w:trPr>
        <w:tc>
          <w:tcPr>
            <w:tcW w:w="4820" w:type="dxa"/>
            <w:tcBorders>
              <w:top w:val="nil"/>
              <w:left w:val="nil"/>
              <w:bottom w:val="nil"/>
              <w:right w:val="nil"/>
            </w:tcBorders>
            <w:noWrap/>
            <w:vAlign w:val="bottom"/>
            <w:hideMark/>
          </w:tcPr>
          <w:p w14:paraId="65BB789A" w14:textId="77777777" w:rsidR="00757BCD" w:rsidRPr="007132E9" w:rsidRDefault="00757BCD" w:rsidP="00757BCD">
            <w:pPr>
              <w:spacing w:line="276" w:lineRule="auto"/>
              <w:jc w:val="center"/>
              <w:rPr>
                <w:b/>
                <w:bCs/>
              </w:rPr>
            </w:pPr>
            <w:proofErr w:type="spellStart"/>
            <w:r w:rsidRPr="007132E9">
              <w:rPr>
                <w:b/>
                <w:bCs/>
              </w:rPr>
              <w:t>Race</w:t>
            </w:r>
            <w:proofErr w:type="spellEnd"/>
            <w:r w:rsidRPr="007132E9">
              <w:rPr>
                <w:b/>
                <w:bCs/>
              </w:rPr>
              <w:t>/color</w:t>
            </w:r>
          </w:p>
        </w:tc>
        <w:tc>
          <w:tcPr>
            <w:tcW w:w="992" w:type="dxa"/>
            <w:tcBorders>
              <w:top w:val="nil"/>
              <w:left w:val="nil"/>
              <w:bottom w:val="nil"/>
              <w:right w:val="nil"/>
            </w:tcBorders>
            <w:noWrap/>
            <w:vAlign w:val="bottom"/>
            <w:hideMark/>
          </w:tcPr>
          <w:p w14:paraId="640EA840" w14:textId="77777777" w:rsidR="00757BCD" w:rsidRPr="007132E9" w:rsidRDefault="00757BCD" w:rsidP="00757BCD">
            <w:pPr>
              <w:spacing w:line="276" w:lineRule="auto"/>
              <w:jc w:val="center"/>
            </w:pPr>
          </w:p>
        </w:tc>
        <w:tc>
          <w:tcPr>
            <w:tcW w:w="1701" w:type="dxa"/>
            <w:tcBorders>
              <w:top w:val="nil"/>
              <w:left w:val="nil"/>
              <w:bottom w:val="nil"/>
              <w:right w:val="nil"/>
            </w:tcBorders>
            <w:noWrap/>
            <w:vAlign w:val="bottom"/>
            <w:hideMark/>
          </w:tcPr>
          <w:p w14:paraId="21598634" w14:textId="77777777" w:rsidR="00757BCD" w:rsidRPr="007132E9" w:rsidRDefault="00757BCD" w:rsidP="00757BCD">
            <w:pPr>
              <w:spacing w:line="276" w:lineRule="auto"/>
              <w:jc w:val="center"/>
            </w:pPr>
          </w:p>
        </w:tc>
      </w:tr>
      <w:tr w:rsidR="00757BCD" w:rsidRPr="007132E9" w14:paraId="181A2839" w14:textId="77777777" w:rsidTr="00757BCD">
        <w:trPr>
          <w:trHeight w:val="241"/>
        </w:trPr>
        <w:tc>
          <w:tcPr>
            <w:tcW w:w="4820" w:type="dxa"/>
            <w:tcBorders>
              <w:top w:val="nil"/>
              <w:left w:val="nil"/>
              <w:bottom w:val="nil"/>
              <w:right w:val="nil"/>
            </w:tcBorders>
            <w:noWrap/>
            <w:vAlign w:val="bottom"/>
            <w:hideMark/>
          </w:tcPr>
          <w:p w14:paraId="40C5FDCC" w14:textId="77777777" w:rsidR="00757BCD" w:rsidRPr="007132E9" w:rsidRDefault="00757BCD" w:rsidP="00757BCD">
            <w:pPr>
              <w:spacing w:line="276" w:lineRule="auto"/>
              <w:jc w:val="center"/>
            </w:pPr>
            <w:r w:rsidRPr="007132E9">
              <w:t>White</w:t>
            </w:r>
          </w:p>
        </w:tc>
        <w:tc>
          <w:tcPr>
            <w:tcW w:w="992" w:type="dxa"/>
            <w:tcBorders>
              <w:top w:val="nil"/>
              <w:left w:val="nil"/>
              <w:bottom w:val="nil"/>
              <w:right w:val="nil"/>
            </w:tcBorders>
            <w:noWrap/>
            <w:vAlign w:val="bottom"/>
            <w:hideMark/>
          </w:tcPr>
          <w:p w14:paraId="06A6648A" w14:textId="77777777" w:rsidR="00757BCD" w:rsidRPr="007132E9" w:rsidRDefault="00757BCD" w:rsidP="00757BCD">
            <w:pPr>
              <w:spacing w:line="276" w:lineRule="auto"/>
              <w:jc w:val="center"/>
            </w:pPr>
            <w:r w:rsidRPr="007132E9">
              <w:t>7</w:t>
            </w:r>
          </w:p>
        </w:tc>
        <w:tc>
          <w:tcPr>
            <w:tcW w:w="1701" w:type="dxa"/>
            <w:tcBorders>
              <w:top w:val="nil"/>
              <w:left w:val="nil"/>
              <w:bottom w:val="nil"/>
              <w:right w:val="nil"/>
            </w:tcBorders>
            <w:noWrap/>
            <w:vAlign w:val="bottom"/>
            <w:hideMark/>
          </w:tcPr>
          <w:p w14:paraId="386BBC0E" w14:textId="77777777" w:rsidR="00757BCD" w:rsidRPr="007132E9" w:rsidRDefault="00757BCD" w:rsidP="00757BCD">
            <w:pPr>
              <w:spacing w:line="276" w:lineRule="auto"/>
              <w:jc w:val="center"/>
            </w:pPr>
            <w:r w:rsidRPr="007132E9">
              <w:t>28</w:t>
            </w:r>
          </w:p>
        </w:tc>
      </w:tr>
      <w:tr w:rsidR="00757BCD" w:rsidRPr="007132E9" w14:paraId="10D42062" w14:textId="77777777" w:rsidTr="00757BCD">
        <w:trPr>
          <w:trHeight w:val="241"/>
        </w:trPr>
        <w:tc>
          <w:tcPr>
            <w:tcW w:w="4820" w:type="dxa"/>
            <w:tcBorders>
              <w:top w:val="nil"/>
              <w:left w:val="nil"/>
              <w:bottom w:val="nil"/>
              <w:right w:val="nil"/>
            </w:tcBorders>
            <w:noWrap/>
            <w:vAlign w:val="bottom"/>
            <w:hideMark/>
          </w:tcPr>
          <w:p w14:paraId="3E85E2F5" w14:textId="77777777" w:rsidR="00757BCD" w:rsidRPr="007132E9" w:rsidRDefault="00757BCD" w:rsidP="00757BCD">
            <w:pPr>
              <w:spacing w:line="276" w:lineRule="auto"/>
              <w:jc w:val="center"/>
            </w:pPr>
            <w:r w:rsidRPr="007132E9">
              <w:t>Black</w:t>
            </w:r>
          </w:p>
        </w:tc>
        <w:tc>
          <w:tcPr>
            <w:tcW w:w="992" w:type="dxa"/>
            <w:tcBorders>
              <w:top w:val="nil"/>
              <w:left w:val="nil"/>
              <w:bottom w:val="nil"/>
              <w:right w:val="nil"/>
            </w:tcBorders>
            <w:noWrap/>
            <w:vAlign w:val="bottom"/>
            <w:hideMark/>
          </w:tcPr>
          <w:p w14:paraId="31609916" w14:textId="77777777" w:rsidR="00757BCD" w:rsidRPr="007132E9" w:rsidRDefault="00757BCD" w:rsidP="00757BCD">
            <w:pPr>
              <w:spacing w:line="276" w:lineRule="auto"/>
              <w:jc w:val="center"/>
            </w:pPr>
            <w:r w:rsidRPr="007132E9">
              <w:t>7</w:t>
            </w:r>
          </w:p>
        </w:tc>
        <w:tc>
          <w:tcPr>
            <w:tcW w:w="1701" w:type="dxa"/>
            <w:tcBorders>
              <w:top w:val="nil"/>
              <w:left w:val="nil"/>
              <w:bottom w:val="nil"/>
              <w:right w:val="nil"/>
            </w:tcBorders>
            <w:noWrap/>
            <w:vAlign w:val="bottom"/>
            <w:hideMark/>
          </w:tcPr>
          <w:p w14:paraId="61DDB0CA" w14:textId="77777777" w:rsidR="00757BCD" w:rsidRPr="007132E9" w:rsidRDefault="00757BCD" w:rsidP="00757BCD">
            <w:pPr>
              <w:spacing w:line="276" w:lineRule="auto"/>
              <w:jc w:val="center"/>
            </w:pPr>
            <w:r w:rsidRPr="007132E9">
              <w:t>28</w:t>
            </w:r>
          </w:p>
        </w:tc>
      </w:tr>
      <w:tr w:rsidR="00757BCD" w:rsidRPr="007132E9" w14:paraId="791552BB" w14:textId="77777777" w:rsidTr="00757BCD">
        <w:trPr>
          <w:trHeight w:val="241"/>
        </w:trPr>
        <w:tc>
          <w:tcPr>
            <w:tcW w:w="4820" w:type="dxa"/>
            <w:tcBorders>
              <w:top w:val="nil"/>
              <w:left w:val="nil"/>
              <w:bottom w:val="nil"/>
              <w:right w:val="nil"/>
            </w:tcBorders>
            <w:noWrap/>
            <w:vAlign w:val="bottom"/>
            <w:hideMark/>
          </w:tcPr>
          <w:p w14:paraId="34EB11C4" w14:textId="77777777" w:rsidR="00757BCD" w:rsidRPr="007132E9" w:rsidRDefault="00757BCD" w:rsidP="00757BCD">
            <w:pPr>
              <w:spacing w:line="276" w:lineRule="auto"/>
              <w:jc w:val="center"/>
            </w:pPr>
            <w:proofErr w:type="spellStart"/>
            <w:r w:rsidRPr="007132E9">
              <w:t>Yellow</w:t>
            </w:r>
            <w:proofErr w:type="spellEnd"/>
          </w:p>
        </w:tc>
        <w:tc>
          <w:tcPr>
            <w:tcW w:w="992" w:type="dxa"/>
            <w:tcBorders>
              <w:top w:val="nil"/>
              <w:left w:val="nil"/>
              <w:bottom w:val="nil"/>
              <w:right w:val="nil"/>
            </w:tcBorders>
            <w:noWrap/>
            <w:vAlign w:val="bottom"/>
            <w:hideMark/>
          </w:tcPr>
          <w:p w14:paraId="39154E97" w14:textId="77777777" w:rsidR="00757BCD" w:rsidRPr="007132E9" w:rsidRDefault="00757BCD" w:rsidP="00757BCD">
            <w:pPr>
              <w:spacing w:line="276" w:lineRule="auto"/>
              <w:jc w:val="center"/>
            </w:pPr>
            <w:r w:rsidRPr="007132E9">
              <w:t>1</w:t>
            </w:r>
          </w:p>
        </w:tc>
        <w:tc>
          <w:tcPr>
            <w:tcW w:w="1701" w:type="dxa"/>
            <w:tcBorders>
              <w:top w:val="nil"/>
              <w:left w:val="nil"/>
              <w:bottom w:val="nil"/>
              <w:right w:val="nil"/>
            </w:tcBorders>
            <w:noWrap/>
            <w:vAlign w:val="bottom"/>
            <w:hideMark/>
          </w:tcPr>
          <w:p w14:paraId="0174CE27" w14:textId="77777777" w:rsidR="00757BCD" w:rsidRPr="007132E9" w:rsidRDefault="00757BCD" w:rsidP="00757BCD">
            <w:pPr>
              <w:spacing w:line="276" w:lineRule="auto"/>
              <w:jc w:val="center"/>
            </w:pPr>
            <w:r w:rsidRPr="007132E9">
              <w:t>4</w:t>
            </w:r>
          </w:p>
        </w:tc>
      </w:tr>
      <w:tr w:rsidR="00757BCD" w:rsidRPr="007132E9" w14:paraId="31CD1C07" w14:textId="77777777" w:rsidTr="00757BCD">
        <w:trPr>
          <w:trHeight w:val="241"/>
        </w:trPr>
        <w:tc>
          <w:tcPr>
            <w:tcW w:w="4820" w:type="dxa"/>
            <w:tcBorders>
              <w:top w:val="nil"/>
              <w:left w:val="nil"/>
              <w:bottom w:val="nil"/>
              <w:right w:val="nil"/>
            </w:tcBorders>
            <w:noWrap/>
            <w:vAlign w:val="bottom"/>
            <w:hideMark/>
          </w:tcPr>
          <w:p w14:paraId="4213C25A" w14:textId="77777777" w:rsidR="00757BCD" w:rsidRPr="007132E9" w:rsidRDefault="00757BCD" w:rsidP="00757BCD">
            <w:pPr>
              <w:spacing w:line="276" w:lineRule="auto"/>
              <w:jc w:val="center"/>
            </w:pPr>
            <w:r w:rsidRPr="007132E9">
              <w:t>Brown</w:t>
            </w:r>
          </w:p>
        </w:tc>
        <w:tc>
          <w:tcPr>
            <w:tcW w:w="992" w:type="dxa"/>
            <w:tcBorders>
              <w:top w:val="nil"/>
              <w:left w:val="nil"/>
              <w:bottom w:val="nil"/>
              <w:right w:val="nil"/>
            </w:tcBorders>
            <w:noWrap/>
            <w:vAlign w:val="bottom"/>
            <w:hideMark/>
          </w:tcPr>
          <w:p w14:paraId="0B13C3CD" w14:textId="77777777" w:rsidR="00757BCD" w:rsidRPr="007132E9" w:rsidRDefault="00757BCD" w:rsidP="00757BCD">
            <w:pPr>
              <w:spacing w:line="276" w:lineRule="auto"/>
              <w:jc w:val="center"/>
            </w:pPr>
            <w:r w:rsidRPr="007132E9">
              <w:t>10</w:t>
            </w:r>
          </w:p>
        </w:tc>
        <w:tc>
          <w:tcPr>
            <w:tcW w:w="1701" w:type="dxa"/>
            <w:tcBorders>
              <w:top w:val="nil"/>
              <w:left w:val="nil"/>
              <w:bottom w:val="nil"/>
              <w:right w:val="nil"/>
            </w:tcBorders>
            <w:noWrap/>
            <w:vAlign w:val="bottom"/>
            <w:hideMark/>
          </w:tcPr>
          <w:p w14:paraId="104B3F6E" w14:textId="77777777" w:rsidR="00757BCD" w:rsidRPr="007132E9" w:rsidRDefault="00757BCD" w:rsidP="00757BCD">
            <w:pPr>
              <w:spacing w:line="276" w:lineRule="auto"/>
              <w:jc w:val="center"/>
            </w:pPr>
            <w:r w:rsidRPr="007132E9">
              <w:t>40</w:t>
            </w:r>
          </w:p>
        </w:tc>
      </w:tr>
      <w:tr w:rsidR="00757BCD" w:rsidRPr="007132E9" w14:paraId="21971B5E" w14:textId="77777777" w:rsidTr="00757BCD">
        <w:trPr>
          <w:trHeight w:val="241"/>
        </w:trPr>
        <w:tc>
          <w:tcPr>
            <w:tcW w:w="4820" w:type="dxa"/>
            <w:tcBorders>
              <w:top w:val="nil"/>
              <w:left w:val="nil"/>
              <w:bottom w:val="nil"/>
              <w:right w:val="nil"/>
            </w:tcBorders>
            <w:noWrap/>
            <w:vAlign w:val="bottom"/>
            <w:hideMark/>
          </w:tcPr>
          <w:p w14:paraId="24B913CF" w14:textId="77777777" w:rsidR="00757BCD" w:rsidRPr="007132E9" w:rsidRDefault="00757BCD" w:rsidP="00757BCD">
            <w:pPr>
              <w:spacing w:line="276" w:lineRule="auto"/>
              <w:jc w:val="center"/>
              <w:rPr>
                <w:b/>
                <w:bCs/>
              </w:rPr>
            </w:pPr>
            <w:proofErr w:type="spellStart"/>
            <w:r w:rsidRPr="007132E9">
              <w:rPr>
                <w:b/>
                <w:bCs/>
              </w:rPr>
              <w:t>Gender</w:t>
            </w:r>
            <w:proofErr w:type="spellEnd"/>
          </w:p>
        </w:tc>
        <w:tc>
          <w:tcPr>
            <w:tcW w:w="992" w:type="dxa"/>
            <w:tcBorders>
              <w:top w:val="nil"/>
              <w:left w:val="nil"/>
              <w:bottom w:val="nil"/>
              <w:right w:val="nil"/>
            </w:tcBorders>
            <w:noWrap/>
            <w:vAlign w:val="bottom"/>
            <w:hideMark/>
          </w:tcPr>
          <w:p w14:paraId="6B39A8D0" w14:textId="77777777" w:rsidR="00757BCD" w:rsidRPr="007132E9" w:rsidRDefault="00757BCD" w:rsidP="00757BCD">
            <w:pPr>
              <w:spacing w:line="276" w:lineRule="auto"/>
              <w:jc w:val="center"/>
            </w:pPr>
          </w:p>
        </w:tc>
        <w:tc>
          <w:tcPr>
            <w:tcW w:w="1701" w:type="dxa"/>
            <w:tcBorders>
              <w:top w:val="nil"/>
              <w:left w:val="nil"/>
              <w:bottom w:val="nil"/>
              <w:right w:val="nil"/>
            </w:tcBorders>
            <w:noWrap/>
            <w:vAlign w:val="bottom"/>
            <w:hideMark/>
          </w:tcPr>
          <w:p w14:paraId="1E0E31BE" w14:textId="77777777" w:rsidR="00757BCD" w:rsidRPr="007132E9" w:rsidRDefault="00757BCD" w:rsidP="00757BCD">
            <w:pPr>
              <w:spacing w:line="276" w:lineRule="auto"/>
              <w:jc w:val="center"/>
            </w:pPr>
          </w:p>
        </w:tc>
      </w:tr>
      <w:tr w:rsidR="00757BCD" w:rsidRPr="007132E9" w14:paraId="6EF4C2FB" w14:textId="77777777" w:rsidTr="00757BCD">
        <w:trPr>
          <w:trHeight w:val="241"/>
        </w:trPr>
        <w:tc>
          <w:tcPr>
            <w:tcW w:w="4820" w:type="dxa"/>
            <w:tcBorders>
              <w:top w:val="nil"/>
              <w:left w:val="nil"/>
              <w:bottom w:val="nil"/>
              <w:right w:val="nil"/>
            </w:tcBorders>
            <w:noWrap/>
            <w:hideMark/>
          </w:tcPr>
          <w:p w14:paraId="3D01BAB8" w14:textId="77777777" w:rsidR="00757BCD" w:rsidRPr="007132E9" w:rsidRDefault="00757BCD" w:rsidP="00757BCD">
            <w:pPr>
              <w:spacing w:line="276" w:lineRule="auto"/>
              <w:jc w:val="center"/>
            </w:pPr>
            <w:r w:rsidRPr="007132E9">
              <w:t>Cis Man</w:t>
            </w:r>
          </w:p>
        </w:tc>
        <w:tc>
          <w:tcPr>
            <w:tcW w:w="992" w:type="dxa"/>
            <w:tcBorders>
              <w:top w:val="nil"/>
              <w:left w:val="nil"/>
              <w:bottom w:val="nil"/>
              <w:right w:val="nil"/>
            </w:tcBorders>
            <w:noWrap/>
            <w:vAlign w:val="bottom"/>
            <w:hideMark/>
          </w:tcPr>
          <w:p w14:paraId="0664E8F5" w14:textId="77777777" w:rsidR="00757BCD" w:rsidRPr="007132E9" w:rsidRDefault="00757BCD" w:rsidP="00757BCD">
            <w:pPr>
              <w:spacing w:line="276" w:lineRule="auto"/>
              <w:jc w:val="center"/>
            </w:pPr>
            <w:r w:rsidRPr="007132E9">
              <w:t>1</w:t>
            </w:r>
          </w:p>
        </w:tc>
        <w:tc>
          <w:tcPr>
            <w:tcW w:w="1701" w:type="dxa"/>
            <w:tcBorders>
              <w:top w:val="nil"/>
              <w:left w:val="nil"/>
              <w:bottom w:val="nil"/>
              <w:right w:val="nil"/>
            </w:tcBorders>
            <w:noWrap/>
            <w:vAlign w:val="bottom"/>
            <w:hideMark/>
          </w:tcPr>
          <w:p w14:paraId="6849B6C0" w14:textId="77777777" w:rsidR="00757BCD" w:rsidRPr="007132E9" w:rsidRDefault="00757BCD" w:rsidP="00757BCD">
            <w:pPr>
              <w:spacing w:line="276" w:lineRule="auto"/>
              <w:jc w:val="center"/>
            </w:pPr>
            <w:r w:rsidRPr="007132E9">
              <w:t>4</w:t>
            </w:r>
          </w:p>
        </w:tc>
      </w:tr>
      <w:tr w:rsidR="00757BCD" w:rsidRPr="007132E9" w14:paraId="0E943E54" w14:textId="77777777" w:rsidTr="00757BCD">
        <w:trPr>
          <w:trHeight w:val="241"/>
        </w:trPr>
        <w:tc>
          <w:tcPr>
            <w:tcW w:w="4820" w:type="dxa"/>
            <w:tcBorders>
              <w:top w:val="nil"/>
              <w:left w:val="nil"/>
              <w:bottom w:val="nil"/>
              <w:right w:val="nil"/>
            </w:tcBorders>
            <w:noWrap/>
            <w:hideMark/>
          </w:tcPr>
          <w:p w14:paraId="3EE91237" w14:textId="77777777" w:rsidR="00757BCD" w:rsidRPr="007132E9" w:rsidRDefault="00757BCD" w:rsidP="00757BCD">
            <w:pPr>
              <w:spacing w:line="276" w:lineRule="auto"/>
              <w:jc w:val="center"/>
            </w:pPr>
            <w:r w:rsidRPr="007132E9">
              <w:t xml:space="preserve">Cis </w:t>
            </w:r>
            <w:proofErr w:type="spellStart"/>
            <w:r w:rsidRPr="007132E9">
              <w:t>Woman</w:t>
            </w:r>
            <w:proofErr w:type="spellEnd"/>
          </w:p>
        </w:tc>
        <w:tc>
          <w:tcPr>
            <w:tcW w:w="992" w:type="dxa"/>
            <w:tcBorders>
              <w:top w:val="nil"/>
              <w:left w:val="nil"/>
              <w:bottom w:val="nil"/>
              <w:right w:val="nil"/>
            </w:tcBorders>
            <w:noWrap/>
            <w:vAlign w:val="bottom"/>
            <w:hideMark/>
          </w:tcPr>
          <w:p w14:paraId="0E6CABB7" w14:textId="77777777" w:rsidR="00757BCD" w:rsidRPr="007132E9" w:rsidRDefault="00757BCD" w:rsidP="00757BCD">
            <w:pPr>
              <w:spacing w:line="276" w:lineRule="auto"/>
              <w:jc w:val="center"/>
            </w:pPr>
            <w:r w:rsidRPr="007132E9">
              <w:t>0</w:t>
            </w:r>
          </w:p>
        </w:tc>
        <w:tc>
          <w:tcPr>
            <w:tcW w:w="1701" w:type="dxa"/>
            <w:tcBorders>
              <w:top w:val="nil"/>
              <w:left w:val="nil"/>
              <w:bottom w:val="nil"/>
              <w:right w:val="nil"/>
            </w:tcBorders>
            <w:noWrap/>
            <w:vAlign w:val="bottom"/>
            <w:hideMark/>
          </w:tcPr>
          <w:p w14:paraId="7A0435E3" w14:textId="77777777" w:rsidR="00757BCD" w:rsidRPr="007132E9" w:rsidRDefault="00757BCD" w:rsidP="00757BCD">
            <w:pPr>
              <w:spacing w:line="276" w:lineRule="auto"/>
              <w:jc w:val="center"/>
            </w:pPr>
            <w:r w:rsidRPr="007132E9">
              <w:t>0</w:t>
            </w:r>
          </w:p>
        </w:tc>
      </w:tr>
      <w:tr w:rsidR="00757BCD" w:rsidRPr="007132E9" w14:paraId="3C02DA58" w14:textId="77777777" w:rsidTr="00757BCD">
        <w:trPr>
          <w:trHeight w:val="241"/>
        </w:trPr>
        <w:tc>
          <w:tcPr>
            <w:tcW w:w="4820" w:type="dxa"/>
            <w:tcBorders>
              <w:top w:val="nil"/>
              <w:left w:val="nil"/>
              <w:bottom w:val="nil"/>
              <w:right w:val="nil"/>
            </w:tcBorders>
            <w:noWrap/>
            <w:hideMark/>
          </w:tcPr>
          <w:p w14:paraId="6827CF8A" w14:textId="77777777" w:rsidR="00757BCD" w:rsidRPr="007132E9" w:rsidRDefault="00757BCD" w:rsidP="00757BCD">
            <w:pPr>
              <w:spacing w:line="276" w:lineRule="auto"/>
              <w:jc w:val="center"/>
            </w:pPr>
            <w:r w:rsidRPr="007132E9">
              <w:t xml:space="preserve">Trans </w:t>
            </w:r>
            <w:proofErr w:type="spellStart"/>
            <w:r w:rsidRPr="007132E9">
              <w:t>Woman</w:t>
            </w:r>
            <w:proofErr w:type="spellEnd"/>
          </w:p>
        </w:tc>
        <w:tc>
          <w:tcPr>
            <w:tcW w:w="992" w:type="dxa"/>
            <w:tcBorders>
              <w:top w:val="nil"/>
              <w:left w:val="nil"/>
              <w:bottom w:val="nil"/>
              <w:right w:val="nil"/>
            </w:tcBorders>
            <w:noWrap/>
            <w:vAlign w:val="bottom"/>
            <w:hideMark/>
          </w:tcPr>
          <w:p w14:paraId="5A51D5B8" w14:textId="77777777" w:rsidR="00757BCD" w:rsidRPr="007132E9" w:rsidRDefault="00757BCD" w:rsidP="00757BCD">
            <w:pPr>
              <w:spacing w:line="276" w:lineRule="auto"/>
              <w:jc w:val="center"/>
            </w:pPr>
            <w:r w:rsidRPr="007132E9">
              <w:t>12</w:t>
            </w:r>
          </w:p>
        </w:tc>
        <w:tc>
          <w:tcPr>
            <w:tcW w:w="1701" w:type="dxa"/>
            <w:tcBorders>
              <w:top w:val="nil"/>
              <w:left w:val="nil"/>
              <w:bottom w:val="nil"/>
              <w:right w:val="nil"/>
            </w:tcBorders>
            <w:noWrap/>
            <w:vAlign w:val="bottom"/>
            <w:hideMark/>
          </w:tcPr>
          <w:p w14:paraId="1080E5F6" w14:textId="77777777" w:rsidR="00757BCD" w:rsidRPr="007132E9" w:rsidRDefault="00757BCD" w:rsidP="00757BCD">
            <w:pPr>
              <w:spacing w:line="276" w:lineRule="auto"/>
              <w:jc w:val="center"/>
            </w:pPr>
            <w:r w:rsidRPr="007132E9">
              <w:t>48</w:t>
            </w:r>
          </w:p>
        </w:tc>
      </w:tr>
      <w:tr w:rsidR="00757BCD" w:rsidRPr="007132E9" w14:paraId="190591B5" w14:textId="77777777" w:rsidTr="00757BCD">
        <w:trPr>
          <w:trHeight w:val="241"/>
        </w:trPr>
        <w:tc>
          <w:tcPr>
            <w:tcW w:w="4820" w:type="dxa"/>
            <w:tcBorders>
              <w:top w:val="nil"/>
              <w:left w:val="nil"/>
              <w:bottom w:val="nil"/>
              <w:right w:val="nil"/>
            </w:tcBorders>
            <w:noWrap/>
            <w:hideMark/>
          </w:tcPr>
          <w:p w14:paraId="547F42DA" w14:textId="77777777" w:rsidR="00757BCD" w:rsidRPr="007132E9" w:rsidRDefault="00757BCD" w:rsidP="00757BCD">
            <w:pPr>
              <w:spacing w:line="276" w:lineRule="auto"/>
              <w:jc w:val="center"/>
            </w:pPr>
            <w:proofErr w:type="spellStart"/>
            <w:r w:rsidRPr="007132E9">
              <w:t>Transvestite</w:t>
            </w:r>
            <w:proofErr w:type="spellEnd"/>
          </w:p>
        </w:tc>
        <w:tc>
          <w:tcPr>
            <w:tcW w:w="992" w:type="dxa"/>
            <w:tcBorders>
              <w:top w:val="nil"/>
              <w:left w:val="nil"/>
              <w:bottom w:val="nil"/>
              <w:right w:val="nil"/>
            </w:tcBorders>
            <w:noWrap/>
            <w:vAlign w:val="bottom"/>
            <w:hideMark/>
          </w:tcPr>
          <w:p w14:paraId="313479B7" w14:textId="77777777" w:rsidR="00757BCD" w:rsidRPr="007132E9" w:rsidRDefault="00757BCD" w:rsidP="00757BCD">
            <w:pPr>
              <w:spacing w:line="276" w:lineRule="auto"/>
              <w:jc w:val="center"/>
            </w:pPr>
            <w:r w:rsidRPr="007132E9">
              <w:t>1</w:t>
            </w:r>
          </w:p>
        </w:tc>
        <w:tc>
          <w:tcPr>
            <w:tcW w:w="1701" w:type="dxa"/>
            <w:tcBorders>
              <w:top w:val="nil"/>
              <w:left w:val="nil"/>
              <w:bottom w:val="nil"/>
              <w:right w:val="nil"/>
            </w:tcBorders>
            <w:noWrap/>
            <w:vAlign w:val="bottom"/>
            <w:hideMark/>
          </w:tcPr>
          <w:p w14:paraId="452E3720" w14:textId="77777777" w:rsidR="00757BCD" w:rsidRPr="007132E9" w:rsidRDefault="00757BCD" w:rsidP="00757BCD">
            <w:pPr>
              <w:spacing w:line="276" w:lineRule="auto"/>
              <w:jc w:val="center"/>
            </w:pPr>
            <w:r w:rsidRPr="007132E9">
              <w:t>4</w:t>
            </w:r>
          </w:p>
        </w:tc>
      </w:tr>
      <w:tr w:rsidR="00757BCD" w:rsidRPr="007132E9" w14:paraId="2A167529" w14:textId="77777777" w:rsidTr="00757BCD">
        <w:trPr>
          <w:trHeight w:val="241"/>
        </w:trPr>
        <w:tc>
          <w:tcPr>
            <w:tcW w:w="4820" w:type="dxa"/>
            <w:tcBorders>
              <w:top w:val="nil"/>
              <w:left w:val="nil"/>
              <w:bottom w:val="nil"/>
              <w:right w:val="nil"/>
            </w:tcBorders>
            <w:noWrap/>
            <w:hideMark/>
          </w:tcPr>
          <w:p w14:paraId="05B38062" w14:textId="77777777" w:rsidR="00757BCD" w:rsidRPr="007132E9" w:rsidRDefault="00757BCD" w:rsidP="00757BCD">
            <w:pPr>
              <w:spacing w:line="276" w:lineRule="auto"/>
              <w:jc w:val="center"/>
            </w:pPr>
            <w:r w:rsidRPr="007132E9">
              <w:t>Trans Man</w:t>
            </w:r>
          </w:p>
        </w:tc>
        <w:tc>
          <w:tcPr>
            <w:tcW w:w="992" w:type="dxa"/>
            <w:tcBorders>
              <w:top w:val="nil"/>
              <w:left w:val="nil"/>
              <w:bottom w:val="nil"/>
              <w:right w:val="nil"/>
            </w:tcBorders>
            <w:noWrap/>
            <w:vAlign w:val="bottom"/>
            <w:hideMark/>
          </w:tcPr>
          <w:p w14:paraId="5250E8D9" w14:textId="77777777" w:rsidR="00757BCD" w:rsidRPr="007132E9" w:rsidRDefault="00757BCD" w:rsidP="00757BCD">
            <w:pPr>
              <w:spacing w:line="276" w:lineRule="auto"/>
              <w:jc w:val="center"/>
            </w:pPr>
            <w:r w:rsidRPr="007132E9">
              <w:t>9</w:t>
            </w:r>
          </w:p>
        </w:tc>
        <w:tc>
          <w:tcPr>
            <w:tcW w:w="1701" w:type="dxa"/>
            <w:tcBorders>
              <w:top w:val="nil"/>
              <w:left w:val="nil"/>
              <w:bottom w:val="nil"/>
              <w:right w:val="nil"/>
            </w:tcBorders>
            <w:noWrap/>
            <w:vAlign w:val="bottom"/>
            <w:hideMark/>
          </w:tcPr>
          <w:p w14:paraId="05019DFC" w14:textId="77777777" w:rsidR="00757BCD" w:rsidRPr="007132E9" w:rsidRDefault="00757BCD" w:rsidP="00757BCD">
            <w:pPr>
              <w:spacing w:line="276" w:lineRule="auto"/>
              <w:jc w:val="center"/>
            </w:pPr>
            <w:r w:rsidRPr="007132E9">
              <w:t>36</w:t>
            </w:r>
          </w:p>
        </w:tc>
      </w:tr>
      <w:tr w:rsidR="00757BCD" w:rsidRPr="007132E9" w14:paraId="5CDB4117" w14:textId="77777777" w:rsidTr="00757BCD">
        <w:trPr>
          <w:trHeight w:val="241"/>
        </w:trPr>
        <w:tc>
          <w:tcPr>
            <w:tcW w:w="4820" w:type="dxa"/>
            <w:tcBorders>
              <w:top w:val="nil"/>
              <w:left w:val="nil"/>
              <w:bottom w:val="nil"/>
              <w:right w:val="nil"/>
            </w:tcBorders>
            <w:noWrap/>
            <w:hideMark/>
          </w:tcPr>
          <w:p w14:paraId="3A996A9B" w14:textId="77777777" w:rsidR="00757BCD" w:rsidRPr="007132E9" w:rsidRDefault="00757BCD" w:rsidP="00757BCD">
            <w:pPr>
              <w:spacing w:line="276" w:lineRule="auto"/>
              <w:jc w:val="center"/>
            </w:pPr>
            <w:r w:rsidRPr="007132E9">
              <w:t>Non-</w:t>
            </w:r>
            <w:proofErr w:type="spellStart"/>
            <w:r w:rsidRPr="007132E9">
              <w:t>Binary</w:t>
            </w:r>
            <w:proofErr w:type="spellEnd"/>
          </w:p>
        </w:tc>
        <w:tc>
          <w:tcPr>
            <w:tcW w:w="992" w:type="dxa"/>
            <w:tcBorders>
              <w:top w:val="nil"/>
              <w:left w:val="nil"/>
              <w:bottom w:val="nil"/>
              <w:right w:val="nil"/>
            </w:tcBorders>
            <w:noWrap/>
            <w:vAlign w:val="bottom"/>
            <w:hideMark/>
          </w:tcPr>
          <w:p w14:paraId="2A9B8571" w14:textId="77777777" w:rsidR="00757BCD" w:rsidRPr="007132E9" w:rsidRDefault="00757BCD" w:rsidP="00757BCD">
            <w:pPr>
              <w:spacing w:line="276" w:lineRule="auto"/>
              <w:jc w:val="center"/>
            </w:pPr>
            <w:r w:rsidRPr="007132E9">
              <w:t>1</w:t>
            </w:r>
          </w:p>
        </w:tc>
        <w:tc>
          <w:tcPr>
            <w:tcW w:w="1701" w:type="dxa"/>
            <w:tcBorders>
              <w:top w:val="nil"/>
              <w:left w:val="nil"/>
              <w:bottom w:val="nil"/>
              <w:right w:val="nil"/>
            </w:tcBorders>
            <w:noWrap/>
            <w:vAlign w:val="bottom"/>
            <w:hideMark/>
          </w:tcPr>
          <w:p w14:paraId="2B5AFE51" w14:textId="77777777" w:rsidR="00757BCD" w:rsidRPr="007132E9" w:rsidRDefault="00757BCD" w:rsidP="00757BCD">
            <w:pPr>
              <w:spacing w:line="276" w:lineRule="auto"/>
              <w:jc w:val="center"/>
            </w:pPr>
            <w:r w:rsidRPr="007132E9">
              <w:t>4</w:t>
            </w:r>
          </w:p>
        </w:tc>
      </w:tr>
      <w:tr w:rsidR="00757BCD" w:rsidRPr="007132E9" w14:paraId="51AE2F83" w14:textId="77777777" w:rsidTr="00757BCD">
        <w:trPr>
          <w:trHeight w:val="241"/>
        </w:trPr>
        <w:tc>
          <w:tcPr>
            <w:tcW w:w="4820" w:type="dxa"/>
            <w:tcBorders>
              <w:top w:val="nil"/>
              <w:left w:val="nil"/>
              <w:bottom w:val="nil"/>
              <w:right w:val="nil"/>
            </w:tcBorders>
            <w:noWrap/>
            <w:hideMark/>
          </w:tcPr>
          <w:p w14:paraId="625CFD20" w14:textId="77777777" w:rsidR="00757BCD" w:rsidRPr="007132E9" w:rsidRDefault="00757BCD" w:rsidP="00757BCD">
            <w:pPr>
              <w:spacing w:line="276" w:lineRule="auto"/>
              <w:jc w:val="center"/>
            </w:pPr>
            <w:proofErr w:type="spellStart"/>
            <w:r w:rsidRPr="007132E9">
              <w:t>Other</w:t>
            </w:r>
            <w:proofErr w:type="spellEnd"/>
          </w:p>
        </w:tc>
        <w:tc>
          <w:tcPr>
            <w:tcW w:w="992" w:type="dxa"/>
            <w:tcBorders>
              <w:top w:val="nil"/>
              <w:left w:val="nil"/>
              <w:bottom w:val="nil"/>
              <w:right w:val="nil"/>
            </w:tcBorders>
            <w:noWrap/>
            <w:vAlign w:val="bottom"/>
            <w:hideMark/>
          </w:tcPr>
          <w:p w14:paraId="24679270" w14:textId="77777777" w:rsidR="00757BCD" w:rsidRPr="007132E9" w:rsidRDefault="00757BCD" w:rsidP="00757BCD">
            <w:pPr>
              <w:spacing w:line="276" w:lineRule="auto"/>
              <w:jc w:val="center"/>
            </w:pPr>
            <w:r w:rsidRPr="007132E9">
              <w:t>1</w:t>
            </w:r>
          </w:p>
        </w:tc>
        <w:tc>
          <w:tcPr>
            <w:tcW w:w="1701" w:type="dxa"/>
            <w:tcBorders>
              <w:top w:val="nil"/>
              <w:left w:val="nil"/>
              <w:bottom w:val="nil"/>
              <w:right w:val="nil"/>
            </w:tcBorders>
            <w:noWrap/>
            <w:vAlign w:val="bottom"/>
            <w:hideMark/>
          </w:tcPr>
          <w:p w14:paraId="3469960D" w14:textId="77777777" w:rsidR="00757BCD" w:rsidRPr="007132E9" w:rsidRDefault="00757BCD" w:rsidP="00757BCD">
            <w:pPr>
              <w:spacing w:line="276" w:lineRule="auto"/>
              <w:jc w:val="center"/>
            </w:pPr>
            <w:r w:rsidRPr="007132E9">
              <w:t>4</w:t>
            </w:r>
          </w:p>
        </w:tc>
      </w:tr>
      <w:tr w:rsidR="00757BCD" w:rsidRPr="007132E9" w14:paraId="30CF6A0E" w14:textId="77777777" w:rsidTr="00757BCD">
        <w:trPr>
          <w:trHeight w:val="241"/>
        </w:trPr>
        <w:tc>
          <w:tcPr>
            <w:tcW w:w="4820" w:type="dxa"/>
            <w:tcBorders>
              <w:top w:val="nil"/>
              <w:left w:val="nil"/>
              <w:bottom w:val="nil"/>
              <w:right w:val="nil"/>
            </w:tcBorders>
            <w:noWrap/>
            <w:vAlign w:val="bottom"/>
            <w:hideMark/>
          </w:tcPr>
          <w:p w14:paraId="226196AC" w14:textId="77777777" w:rsidR="00757BCD" w:rsidRPr="007132E9" w:rsidRDefault="00757BCD" w:rsidP="00757BCD">
            <w:pPr>
              <w:spacing w:line="276" w:lineRule="auto"/>
              <w:jc w:val="center"/>
              <w:rPr>
                <w:b/>
                <w:bCs/>
              </w:rPr>
            </w:pPr>
            <w:r w:rsidRPr="007132E9">
              <w:rPr>
                <w:b/>
                <w:bCs/>
              </w:rPr>
              <w:t xml:space="preserve">Sexual </w:t>
            </w:r>
            <w:proofErr w:type="spellStart"/>
            <w:r w:rsidRPr="007132E9">
              <w:rPr>
                <w:b/>
                <w:bCs/>
              </w:rPr>
              <w:t>orientation</w:t>
            </w:r>
            <w:proofErr w:type="spellEnd"/>
          </w:p>
        </w:tc>
        <w:tc>
          <w:tcPr>
            <w:tcW w:w="992" w:type="dxa"/>
            <w:tcBorders>
              <w:top w:val="nil"/>
              <w:left w:val="nil"/>
              <w:bottom w:val="nil"/>
              <w:right w:val="nil"/>
            </w:tcBorders>
            <w:noWrap/>
            <w:vAlign w:val="bottom"/>
            <w:hideMark/>
          </w:tcPr>
          <w:p w14:paraId="14DE1569" w14:textId="77777777" w:rsidR="00757BCD" w:rsidRPr="007132E9" w:rsidRDefault="00757BCD" w:rsidP="00757BCD">
            <w:pPr>
              <w:spacing w:line="276" w:lineRule="auto"/>
              <w:jc w:val="center"/>
            </w:pPr>
          </w:p>
        </w:tc>
        <w:tc>
          <w:tcPr>
            <w:tcW w:w="1701" w:type="dxa"/>
            <w:tcBorders>
              <w:top w:val="nil"/>
              <w:left w:val="nil"/>
              <w:bottom w:val="nil"/>
              <w:right w:val="nil"/>
            </w:tcBorders>
            <w:noWrap/>
            <w:vAlign w:val="bottom"/>
            <w:hideMark/>
          </w:tcPr>
          <w:p w14:paraId="26E81737" w14:textId="77777777" w:rsidR="00757BCD" w:rsidRPr="007132E9" w:rsidRDefault="00757BCD" w:rsidP="00757BCD">
            <w:pPr>
              <w:spacing w:line="276" w:lineRule="auto"/>
              <w:jc w:val="center"/>
            </w:pPr>
          </w:p>
        </w:tc>
      </w:tr>
      <w:tr w:rsidR="00757BCD" w:rsidRPr="007132E9" w14:paraId="5CA11BF8" w14:textId="77777777" w:rsidTr="00757BCD">
        <w:trPr>
          <w:trHeight w:val="241"/>
        </w:trPr>
        <w:tc>
          <w:tcPr>
            <w:tcW w:w="4820" w:type="dxa"/>
            <w:tcBorders>
              <w:top w:val="nil"/>
              <w:left w:val="nil"/>
              <w:bottom w:val="nil"/>
              <w:right w:val="nil"/>
            </w:tcBorders>
            <w:noWrap/>
            <w:hideMark/>
          </w:tcPr>
          <w:p w14:paraId="20246318" w14:textId="77777777" w:rsidR="00757BCD" w:rsidRPr="007132E9" w:rsidRDefault="00757BCD" w:rsidP="00757BCD">
            <w:pPr>
              <w:spacing w:line="276" w:lineRule="auto"/>
              <w:jc w:val="center"/>
            </w:pPr>
            <w:r w:rsidRPr="007132E9">
              <w:t>Gay</w:t>
            </w:r>
          </w:p>
        </w:tc>
        <w:tc>
          <w:tcPr>
            <w:tcW w:w="992" w:type="dxa"/>
            <w:tcBorders>
              <w:top w:val="nil"/>
              <w:left w:val="nil"/>
              <w:bottom w:val="nil"/>
              <w:right w:val="nil"/>
            </w:tcBorders>
            <w:noWrap/>
            <w:vAlign w:val="bottom"/>
            <w:hideMark/>
          </w:tcPr>
          <w:p w14:paraId="2EFA588D" w14:textId="77777777" w:rsidR="00757BCD" w:rsidRPr="007132E9" w:rsidRDefault="00757BCD" w:rsidP="00757BCD">
            <w:pPr>
              <w:spacing w:line="276" w:lineRule="auto"/>
              <w:jc w:val="center"/>
            </w:pPr>
            <w:r w:rsidRPr="007132E9">
              <w:t>4</w:t>
            </w:r>
          </w:p>
        </w:tc>
        <w:tc>
          <w:tcPr>
            <w:tcW w:w="1701" w:type="dxa"/>
            <w:tcBorders>
              <w:top w:val="nil"/>
              <w:left w:val="nil"/>
              <w:bottom w:val="nil"/>
              <w:right w:val="nil"/>
            </w:tcBorders>
            <w:noWrap/>
            <w:vAlign w:val="bottom"/>
            <w:hideMark/>
          </w:tcPr>
          <w:p w14:paraId="5523E1FA" w14:textId="77777777" w:rsidR="00757BCD" w:rsidRPr="007132E9" w:rsidRDefault="00757BCD" w:rsidP="00757BCD">
            <w:pPr>
              <w:spacing w:line="276" w:lineRule="auto"/>
              <w:jc w:val="center"/>
            </w:pPr>
            <w:r w:rsidRPr="007132E9">
              <w:t>16</w:t>
            </w:r>
          </w:p>
        </w:tc>
      </w:tr>
      <w:tr w:rsidR="00757BCD" w:rsidRPr="007132E9" w14:paraId="5FF02426" w14:textId="77777777" w:rsidTr="00757BCD">
        <w:trPr>
          <w:trHeight w:val="241"/>
        </w:trPr>
        <w:tc>
          <w:tcPr>
            <w:tcW w:w="4820" w:type="dxa"/>
            <w:tcBorders>
              <w:top w:val="nil"/>
              <w:left w:val="nil"/>
              <w:bottom w:val="nil"/>
              <w:right w:val="nil"/>
            </w:tcBorders>
            <w:noWrap/>
            <w:hideMark/>
          </w:tcPr>
          <w:p w14:paraId="2BBAE55E" w14:textId="77777777" w:rsidR="00757BCD" w:rsidRPr="007132E9" w:rsidRDefault="00757BCD" w:rsidP="00757BCD">
            <w:pPr>
              <w:spacing w:line="276" w:lineRule="auto"/>
              <w:jc w:val="center"/>
            </w:pPr>
            <w:proofErr w:type="spellStart"/>
            <w:r w:rsidRPr="007132E9">
              <w:t>Lesbian</w:t>
            </w:r>
            <w:proofErr w:type="spellEnd"/>
          </w:p>
        </w:tc>
        <w:tc>
          <w:tcPr>
            <w:tcW w:w="992" w:type="dxa"/>
            <w:tcBorders>
              <w:top w:val="nil"/>
              <w:left w:val="nil"/>
              <w:bottom w:val="nil"/>
              <w:right w:val="nil"/>
            </w:tcBorders>
            <w:noWrap/>
            <w:vAlign w:val="bottom"/>
            <w:hideMark/>
          </w:tcPr>
          <w:p w14:paraId="3BFE0CAF" w14:textId="77777777" w:rsidR="00757BCD" w:rsidRPr="007132E9" w:rsidRDefault="00757BCD" w:rsidP="00757BCD">
            <w:pPr>
              <w:spacing w:line="276" w:lineRule="auto"/>
              <w:jc w:val="center"/>
            </w:pPr>
            <w:r w:rsidRPr="007132E9">
              <w:t>2</w:t>
            </w:r>
          </w:p>
        </w:tc>
        <w:tc>
          <w:tcPr>
            <w:tcW w:w="1701" w:type="dxa"/>
            <w:tcBorders>
              <w:top w:val="nil"/>
              <w:left w:val="nil"/>
              <w:bottom w:val="nil"/>
              <w:right w:val="nil"/>
            </w:tcBorders>
            <w:noWrap/>
            <w:vAlign w:val="bottom"/>
            <w:hideMark/>
          </w:tcPr>
          <w:p w14:paraId="1C395EA2" w14:textId="77777777" w:rsidR="00757BCD" w:rsidRPr="007132E9" w:rsidRDefault="00757BCD" w:rsidP="00757BCD">
            <w:pPr>
              <w:spacing w:line="276" w:lineRule="auto"/>
              <w:jc w:val="center"/>
            </w:pPr>
            <w:r w:rsidRPr="007132E9">
              <w:t>8</w:t>
            </w:r>
          </w:p>
        </w:tc>
      </w:tr>
      <w:tr w:rsidR="00757BCD" w:rsidRPr="007132E9" w14:paraId="76EB6717" w14:textId="77777777" w:rsidTr="00757BCD">
        <w:trPr>
          <w:trHeight w:val="241"/>
        </w:trPr>
        <w:tc>
          <w:tcPr>
            <w:tcW w:w="4820" w:type="dxa"/>
            <w:tcBorders>
              <w:top w:val="nil"/>
              <w:left w:val="nil"/>
              <w:bottom w:val="nil"/>
              <w:right w:val="nil"/>
            </w:tcBorders>
            <w:noWrap/>
            <w:hideMark/>
          </w:tcPr>
          <w:p w14:paraId="1AA7A198" w14:textId="77777777" w:rsidR="00757BCD" w:rsidRPr="007132E9" w:rsidRDefault="00757BCD" w:rsidP="00757BCD">
            <w:pPr>
              <w:spacing w:line="276" w:lineRule="auto"/>
              <w:jc w:val="center"/>
            </w:pPr>
            <w:r w:rsidRPr="007132E9">
              <w:t>Bisexual</w:t>
            </w:r>
          </w:p>
        </w:tc>
        <w:tc>
          <w:tcPr>
            <w:tcW w:w="992" w:type="dxa"/>
            <w:tcBorders>
              <w:top w:val="nil"/>
              <w:left w:val="nil"/>
              <w:bottom w:val="nil"/>
              <w:right w:val="nil"/>
            </w:tcBorders>
            <w:noWrap/>
            <w:vAlign w:val="bottom"/>
            <w:hideMark/>
          </w:tcPr>
          <w:p w14:paraId="2BEF0B41" w14:textId="77777777" w:rsidR="00757BCD" w:rsidRPr="007132E9" w:rsidRDefault="00757BCD" w:rsidP="00757BCD">
            <w:pPr>
              <w:spacing w:line="276" w:lineRule="auto"/>
              <w:jc w:val="center"/>
            </w:pPr>
            <w:r w:rsidRPr="007132E9">
              <w:t>6</w:t>
            </w:r>
          </w:p>
        </w:tc>
        <w:tc>
          <w:tcPr>
            <w:tcW w:w="1701" w:type="dxa"/>
            <w:tcBorders>
              <w:top w:val="nil"/>
              <w:left w:val="nil"/>
              <w:bottom w:val="nil"/>
              <w:right w:val="nil"/>
            </w:tcBorders>
            <w:noWrap/>
            <w:vAlign w:val="bottom"/>
            <w:hideMark/>
          </w:tcPr>
          <w:p w14:paraId="0C8F7796" w14:textId="77777777" w:rsidR="00757BCD" w:rsidRPr="007132E9" w:rsidRDefault="00757BCD" w:rsidP="00757BCD">
            <w:pPr>
              <w:spacing w:line="276" w:lineRule="auto"/>
              <w:jc w:val="center"/>
            </w:pPr>
            <w:r w:rsidRPr="007132E9">
              <w:t>24</w:t>
            </w:r>
          </w:p>
        </w:tc>
      </w:tr>
      <w:tr w:rsidR="00757BCD" w:rsidRPr="007132E9" w14:paraId="11522AD6" w14:textId="77777777" w:rsidTr="00757BCD">
        <w:trPr>
          <w:trHeight w:val="241"/>
        </w:trPr>
        <w:tc>
          <w:tcPr>
            <w:tcW w:w="4820" w:type="dxa"/>
            <w:tcBorders>
              <w:top w:val="nil"/>
              <w:left w:val="nil"/>
              <w:bottom w:val="nil"/>
              <w:right w:val="nil"/>
            </w:tcBorders>
            <w:noWrap/>
            <w:hideMark/>
          </w:tcPr>
          <w:p w14:paraId="3FDEE700" w14:textId="77777777" w:rsidR="00757BCD" w:rsidRPr="007132E9" w:rsidRDefault="00757BCD" w:rsidP="00757BCD">
            <w:pPr>
              <w:spacing w:line="276" w:lineRule="auto"/>
              <w:jc w:val="center"/>
            </w:pPr>
            <w:r w:rsidRPr="007132E9">
              <w:t>Heterosexual</w:t>
            </w:r>
          </w:p>
        </w:tc>
        <w:tc>
          <w:tcPr>
            <w:tcW w:w="992" w:type="dxa"/>
            <w:tcBorders>
              <w:top w:val="nil"/>
              <w:left w:val="nil"/>
              <w:bottom w:val="nil"/>
              <w:right w:val="nil"/>
            </w:tcBorders>
            <w:noWrap/>
            <w:vAlign w:val="bottom"/>
            <w:hideMark/>
          </w:tcPr>
          <w:p w14:paraId="6550B866" w14:textId="77777777" w:rsidR="00757BCD" w:rsidRPr="007132E9" w:rsidRDefault="00757BCD" w:rsidP="00757BCD">
            <w:pPr>
              <w:spacing w:line="276" w:lineRule="auto"/>
              <w:jc w:val="center"/>
            </w:pPr>
            <w:r w:rsidRPr="007132E9">
              <w:t>9</w:t>
            </w:r>
          </w:p>
        </w:tc>
        <w:tc>
          <w:tcPr>
            <w:tcW w:w="1701" w:type="dxa"/>
            <w:tcBorders>
              <w:top w:val="nil"/>
              <w:left w:val="nil"/>
              <w:bottom w:val="nil"/>
              <w:right w:val="nil"/>
            </w:tcBorders>
            <w:noWrap/>
            <w:vAlign w:val="bottom"/>
            <w:hideMark/>
          </w:tcPr>
          <w:p w14:paraId="64BF133E" w14:textId="77777777" w:rsidR="00757BCD" w:rsidRPr="007132E9" w:rsidRDefault="00757BCD" w:rsidP="00757BCD">
            <w:pPr>
              <w:spacing w:line="276" w:lineRule="auto"/>
              <w:jc w:val="center"/>
            </w:pPr>
            <w:r w:rsidRPr="007132E9">
              <w:t>36</w:t>
            </w:r>
          </w:p>
        </w:tc>
      </w:tr>
      <w:tr w:rsidR="00757BCD" w:rsidRPr="007132E9" w14:paraId="78E35799" w14:textId="77777777" w:rsidTr="00757BCD">
        <w:trPr>
          <w:trHeight w:val="241"/>
        </w:trPr>
        <w:tc>
          <w:tcPr>
            <w:tcW w:w="4820" w:type="dxa"/>
            <w:tcBorders>
              <w:top w:val="nil"/>
              <w:left w:val="nil"/>
              <w:bottom w:val="nil"/>
              <w:right w:val="nil"/>
            </w:tcBorders>
            <w:noWrap/>
            <w:hideMark/>
          </w:tcPr>
          <w:p w14:paraId="18420A25" w14:textId="77777777" w:rsidR="00757BCD" w:rsidRPr="007132E9" w:rsidRDefault="00757BCD" w:rsidP="00757BCD">
            <w:pPr>
              <w:spacing w:line="276" w:lineRule="auto"/>
              <w:jc w:val="center"/>
            </w:pPr>
            <w:r w:rsidRPr="007132E9">
              <w:t>Pansexual</w:t>
            </w:r>
          </w:p>
        </w:tc>
        <w:tc>
          <w:tcPr>
            <w:tcW w:w="992" w:type="dxa"/>
            <w:tcBorders>
              <w:top w:val="nil"/>
              <w:left w:val="nil"/>
              <w:bottom w:val="nil"/>
              <w:right w:val="nil"/>
            </w:tcBorders>
            <w:noWrap/>
            <w:vAlign w:val="bottom"/>
            <w:hideMark/>
          </w:tcPr>
          <w:p w14:paraId="388BDBF9" w14:textId="77777777" w:rsidR="00757BCD" w:rsidRPr="007132E9" w:rsidRDefault="00757BCD" w:rsidP="00757BCD">
            <w:pPr>
              <w:spacing w:line="276" w:lineRule="auto"/>
              <w:jc w:val="center"/>
            </w:pPr>
            <w:r w:rsidRPr="007132E9">
              <w:t>3</w:t>
            </w:r>
          </w:p>
        </w:tc>
        <w:tc>
          <w:tcPr>
            <w:tcW w:w="1701" w:type="dxa"/>
            <w:tcBorders>
              <w:top w:val="nil"/>
              <w:left w:val="nil"/>
              <w:bottom w:val="nil"/>
              <w:right w:val="nil"/>
            </w:tcBorders>
            <w:noWrap/>
            <w:vAlign w:val="bottom"/>
            <w:hideMark/>
          </w:tcPr>
          <w:p w14:paraId="6882B194" w14:textId="77777777" w:rsidR="00757BCD" w:rsidRPr="007132E9" w:rsidRDefault="00757BCD" w:rsidP="00757BCD">
            <w:pPr>
              <w:spacing w:line="276" w:lineRule="auto"/>
              <w:jc w:val="center"/>
            </w:pPr>
            <w:r w:rsidRPr="007132E9">
              <w:t>12</w:t>
            </w:r>
          </w:p>
        </w:tc>
      </w:tr>
      <w:tr w:rsidR="00757BCD" w:rsidRPr="007132E9" w14:paraId="178538EF" w14:textId="77777777" w:rsidTr="00757BCD">
        <w:trPr>
          <w:trHeight w:val="241"/>
        </w:trPr>
        <w:tc>
          <w:tcPr>
            <w:tcW w:w="4820" w:type="dxa"/>
            <w:tcBorders>
              <w:top w:val="nil"/>
              <w:left w:val="nil"/>
              <w:bottom w:val="nil"/>
              <w:right w:val="nil"/>
            </w:tcBorders>
            <w:noWrap/>
            <w:hideMark/>
          </w:tcPr>
          <w:p w14:paraId="44A48ACF" w14:textId="77777777" w:rsidR="00757BCD" w:rsidRPr="007132E9" w:rsidRDefault="00757BCD" w:rsidP="00757BCD">
            <w:pPr>
              <w:spacing w:line="276" w:lineRule="auto"/>
              <w:jc w:val="center"/>
            </w:pPr>
            <w:r w:rsidRPr="007132E9">
              <w:t>Asexual</w:t>
            </w:r>
          </w:p>
        </w:tc>
        <w:tc>
          <w:tcPr>
            <w:tcW w:w="992" w:type="dxa"/>
            <w:tcBorders>
              <w:top w:val="nil"/>
              <w:left w:val="nil"/>
              <w:bottom w:val="nil"/>
              <w:right w:val="nil"/>
            </w:tcBorders>
            <w:noWrap/>
            <w:vAlign w:val="bottom"/>
            <w:hideMark/>
          </w:tcPr>
          <w:p w14:paraId="776DF559" w14:textId="77777777" w:rsidR="00757BCD" w:rsidRPr="007132E9" w:rsidRDefault="00757BCD" w:rsidP="00757BCD">
            <w:pPr>
              <w:spacing w:line="276" w:lineRule="auto"/>
              <w:jc w:val="center"/>
            </w:pPr>
            <w:r w:rsidRPr="007132E9">
              <w:t>1</w:t>
            </w:r>
          </w:p>
        </w:tc>
        <w:tc>
          <w:tcPr>
            <w:tcW w:w="1701" w:type="dxa"/>
            <w:tcBorders>
              <w:top w:val="nil"/>
              <w:left w:val="nil"/>
              <w:bottom w:val="nil"/>
              <w:right w:val="nil"/>
            </w:tcBorders>
            <w:noWrap/>
            <w:vAlign w:val="bottom"/>
            <w:hideMark/>
          </w:tcPr>
          <w:p w14:paraId="506A427B" w14:textId="77777777" w:rsidR="00757BCD" w:rsidRPr="007132E9" w:rsidRDefault="00757BCD" w:rsidP="00757BCD">
            <w:pPr>
              <w:spacing w:line="276" w:lineRule="auto"/>
              <w:jc w:val="center"/>
            </w:pPr>
            <w:r w:rsidRPr="007132E9">
              <w:t>4</w:t>
            </w:r>
          </w:p>
        </w:tc>
      </w:tr>
      <w:tr w:rsidR="00757BCD" w:rsidRPr="007132E9" w14:paraId="453AB8BC" w14:textId="77777777" w:rsidTr="00757BCD">
        <w:trPr>
          <w:trHeight w:val="241"/>
        </w:trPr>
        <w:tc>
          <w:tcPr>
            <w:tcW w:w="4820" w:type="dxa"/>
            <w:tcBorders>
              <w:top w:val="nil"/>
              <w:left w:val="nil"/>
              <w:bottom w:val="nil"/>
              <w:right w:val="nil"/>
            </w:tcBorders>
            <w:noWrap/>
            <w:vAlign w:val="bottom"/>
            <w:hideMark/>
          </w:tcPr>
          <w:p w14:paraId="6CE5F0E7" w14:textId="77777777" w:rsidR="00757BCD" w:rsidRPr="007132E9" w:rsidRDefault="00757BCD" w:rsidP="00757BCD">
            <w:pPr>
              <w:spacing w:line="276" w:lineRule="auto"/>
              <w:jc w:val="center"/>
              <w:rPr>
                <w:b/>
                <w:bCs/>
              </w:rPr>
            </w:pPr>
            <w:proofErr w:type="spellStart"/>
            <w:r w:rsidRPr="007132E9">
              <w:rPr>
                <w:b/>
                <w:bCs/>
              </w:rPr>
              <w:t>Fixed</w:t>
            </w:r>
            <w:proofErr w:type="spellEnd"/>
            <w:r w:rsidRPr="007132E9">
              <w:rPr>
                <w:b/>
                <w:bCs/>
              </w:rPr>
              <w:t xml:space="preserve"> </w:t>
            </w:r>
            <w:proofErr w:type="spellStart"/>
            <w:r w:rsidRPr="007132E9">
              <w:rPr>
                <w:b/>
                <w:bCs/>
              </w:rPr>
              <w:t>partner</w:t>
            </w:r>
            <w:proofErr w:type="spellEnd"/>
          </w:p>
        </w:tc>
        <w:tc>
          <w:tcPr>
            <w:tcW w:w="992" w:type="dxa"/>
            <w:tcBorders>
              <w:top w:val="nil"/>
              <w:left w:val="nil"/>
              <w:bottom w:val="nil"/>
              <w:right w:val="nil"/>
            </w:tcBorders>
            <w:noWrap/>
            <w:vAlign w:val="bottom"/>
            <w:hideMark/>
          </w:tcPr>
          <w:p w14:paraId="4C57C414" w14:textId="77777777" w:rsidR="00757BCD" w:rsidRPr="007132E9" w:rsidRDefault="00757BCD" w:rsidP="00757BCD">
            <w:pPr>
              <w:spacing w:line="276" w:lineRule="auto"/>
              <w:jc w:val="center"/>
            </w:pPr>
          </w:p>
        </w:tc>
        <w:tc>
          <w:tcPr>
            <w:tcW w:w="1701" w:type="dxa"/>
            <w:tcBorders>
              <w:top w:val="nil"/>
              <w:left w:val="nil"/>
              <w:bottom w:val="nil"/>
              <w:right w:val="nil"/>
            </w:tcBorders>
            <w:noWrap/>
            <w:vAlign w:val="bottom"/>
            <w:hideMark/>
          </w:tcPr>
          <w:p w14:paraId="5E0A1E56" w14:textId="77777777" w:rsidR="00757BCD" w:rsidRPr="007132E9" w:rsidRDefault="00757BCD" w:rsidP="00757BCD">
            <w:pPr>
              <w:spacing w:line="276" w:lineRule="auto"/>
              <w:jc w:val="center"/>
            </w:pPr>
          </w:p>
        </w:tc>
      </w:tr>
      <w:tr w:rsidR="00757BCD" w:rsidRPr="007132E9" w14:paraId="1D89C73A" w14:textId="77777777" w:rsidTr="00757BCD">
        <w:trPr>
          <w:trHeight w:val="241"/>
        </w:trPr>
        <w:tc>
          <w:tcPr>
            <w:tcW w:w="4820" w:type="dxa"/>
            <w:tcBorders>
              <w:top w:val="nil"/>
              <w:left w:val="nil"/>
              <w:bottom w:val="nil"/>
              <w:right w:val="nil"/>
            </w:tcBorders>
            <w:noWrap/>
            <w:vAlign w:val="bottom"/>
            <w:hideMark/>
          </w:tcPr>
          <w:p w14:paraId="78CDE8EC" w14:textId="77777777" w:rsidR="00757BCD" w:rsidRPr="007132E9" w:rsidRDefault="00757BCD" w:rsidP="00757BCD">
            <w:pPr>
              <w:spacing w:line="276" w:lineRule="auto"/>
              <w:jc w:val="center"/>
            </w:pPr>
            <w:r w:rsidRPr="007132E9">
              <w:t>Yes</w:t>
            </w:r>
          </w:p>
        </w:tc>
        <w:tc>
          <w:tcPr>
            <w:tcW w:w="992" w:type="dxa"/>
            <w:tcBorders>
              <w:top w:val="nil"/>
              <w:left w:val="nil"/>
              <w:bottom w:val="nil"/>
              <w:right w:val="nil"/>
            </w:tcBorders>
            <w:noWrap/>
            <w:vAlign w:val="bottom"/>
            <w:hideMark/>
          </w:tcPr>
          <w:p w14:paraId="0E6DA3C4" w14:textId="77777777" w:rsidR="00757BCD" w:rsidRPr="007132E9" w:rsidRDefault="00757BCD" w:rsidP="00757BCD">
            <w:pPr>
              <w:spacing w:line="276" w:lineRule="auto"/>
              <w:jc w:val="center"/>
            </w:pPr>
            <w:r w:rsidRPr="007132E9">
              <w:t>17</w:t>
            </w:r>
          </w:p>
        </w:tc>
        <w:tc>
          <w:tcPr>
            <w:tcW w:w="1701" w:type="dxa"/>
            <w:tcBorders>
              <w:top w:val="nil"/>
              <w:left w:val="nil"/>
              <w:bottom w:val="nil"/>
              <w:right w:val="nil"/>
            </w:tcBorders>
            <w:noWrap/>
            <w:vAlign w:val="bottom"/>
            <w:hideMark/>
          </w:tcPr>
          <w:p w14:paraId="1F305DC3" w14:textId="77777777" w:rsidR="00757BCD" w:rsidRPr="007132E9" w:rsidRDefault="00757BCD" w:rsidP="00757BCD">
            <w:pPr>
              <w:spacing w:line="276" w:lineRule="auto"/>
              <w:jc w:val="center"/>
            </w:pPr>
            <w:r w:rsidRPr="007132E9">
              <w:t>68</w:t>
            </w:r>
          </w:p>
        </w:tc>
      </w:tr>
      <w:tr w:rsidR="00757BCD" w:rsidRPr="007132E9" w14:paraId="407DFE05" w14:textId="77777777" w:rsidTr="00757BCD">
        <w:trPr>
          <w:trHeight w:val="241"/>
        </w:trPr>
        <w:tc>
          <w:tcPr>
            <w:tcW w:w="4820" w:type="dxa"/>
            <w:tcBorders>
              <w:top w:val="nil"/>
              <w:left w:val="nil"/>
              <w:bottom w:val="nil"/>
              <w:right w:val="nil"/>
            </w:tcBorders>
            <w:noWrap/>
            <w:vAlign w:val="bottom"/>
            <w:hideMark/>
          </w:tcPr>
          <w:p w14:paraId="49ACB730" w14:textId="77777777" w:rsidR="00757BCD" w:rsidRPr="007132E9" w:rsidRDefault="00757BCD" w:rsidP="00757BCD">
            <w:pPr>
              <w:spacing w:line="276" w:lineRule="auto"/>
              <w:jc w:val="center"/>
            </w:pPr>
            <w:r w:rsidRPr="007132E9">
              <w:t>No</w:t>
            </w:r>
          </w:p>
        </w:tc>
        <w:tc>
          <w:tcPr>
            <w:tcW w:w="992" w:type="dxa"/>
            <w:tcBorders>
              <w:top w:val="nil"/>
              <w:left w:val="nil"/>
              <w:bottom w:val="nil"/>
              <w:right w:val="nil"/>
            </w:tcBorders>
            <w:noWrap/>
            <w:vAlign w:val="bottom"/>
            <w:hideMark/>
          </w:tcPr>
          <w:p w14:paraId="01FC9258" w14:textId="77777777" w:rsidR="00757BCD" w:rsidRPr="007132E9" w:rsidRDefault="00757BCD" w:rsidP="00757BCD">
            <w:pPr>
              <w:spacing w:line="276" w:lineRule="auto"/>
              <w:jc w:val="center"/>
            </w:pPr>
            <w:r w:rsidRPr="007132E9">
              <w:t>8</w:t>
            </w:r>
          </w:p>
        </w:tc>
        <w:tc>
          <w:tcPr>
            <w:tcW w:w="1701" w:type="dxa"/>
            <w:tcBorders>
              <w:top w:val="nil"/>
              <w:left w:val="nil"/>
              <w:bottom w:val="nil"/>
              <w:right w:val="nil"/>
            </w:tcBorders>
            <w:noWrap/>
            <w:vAlign w:val="bottom"/>
            <w:hideMark/>
          </w:tcPr>
          <w:p w14:paraId="5186EEA5" w14:textId="77777777" w:rsidR="00757BCD" w:rsidRPr="007132E9" w:rsidRDefault="00757BCD" w:rsidP="00757BCD">
            <w:pPr>
              <w:spacing w:line="276" w:lineRule="auto"/>
              <w:jc w:val="center"/>
            </w:pPr>
            <w:r w:rsidRPr="007132E9">
              <w:t>32</w:t>
            </w:r>
          </w:p>
        </w:tc>
      </w:tr>
      <w:tr w:rsidR="00757BCD" w:rsidRPr="007132E9" w14:paraId="3E09DC4C" w14:textId="77777777" w:rsidTr="00757BCD">
        <w:trPr>
          <w:trHeight w:val="241"/>
        </w:trPr>
        <w:tc>
          <w:tcPr>
            <w:tcW w:w="4820" w:type="dxa"/>
            <w:tcBorders>
              <w:top w:val="nil"/>
              <w:left w:val="nil"/>
              <w:bottom w:val="nil"/>
              <w:right w:val="nil"/>
            </w:tcBorders>
            <w:noWrap/>
            <w:vAlign w:val="bottom"/>
            <w:hideMark/>
          </w:tcPr>
          <w:p w14:paraId="3C86DAA3" w14:textId="77777777" w:rsidR="00757BCD" w:rsidRPr="007132E9" w:rsidRDefault="00757BCD" w:rsidP="00757BCD">
            <w:pPr>
              <w:spacing w:line="276" w:lineRule="auto"/>
              <w:jc w:val="center"/>
              <w:rPr>
                <w:b/>
                <w:bCs/>
              </w:rPr>
            </w:pPr>
            <w:proofErr w:type="spellStart"/>
            <w:r w:rsidRPr="007132E9">
              <w:rPr>
                <w:b/>
                <w:bCs/>
              </w:rPr>
              <w:t>Education</w:t>
            </w:r>
            <w:proofErr w:type="spellEnd"/>
          </w:p>
        </w:tc>
        <w:tc>
          <w:tcPr>
            <w:tcW w:w="992" w:type="dxa"/>
            <w:tcBorders>
              <w:top w:val="nil"/>
              <w:left w:val="nil"/>
              <w:bottom w:val="nil"/>
              <w:right w:val="nil"/>
            </w:tcBorders>
            <w:noWrap/>
            <w:vAlign w:val="bottom"/>
            <w:hideMark/>
          </w:tcPr>
          <w:p w14:paraId="1C7E6A5F" w14:textId="77777777" w:rsidR="00757BCD" w:rsidRPr="007132E9" w:rsidRDefault="00757BCD" w:rsidP="00757BCD">
            <w:pPr>
              <w:spacing w:line="276" w:lineRule="auto"/>
              <w:jc w:val="center"/>
            </w:pPr>
          </w:p>
        </w:tc>
        <w:tc>
          <w:tcPr>
            <w:tcW w:w="1701" w:type="dxa"/>
            <w:tcBorders>
              <w:top w:val="nil"/>
              <w:left w:val="nil"/>
              <w:bottom w:val="nil"/>
              <w:right w:val="nil"/>
            </w:tcBorders>
            <w:noWrap/>
            <w:vAlign w:val="bottom"/>
            <w:hideMark/>
          </w:tcPr>
          <w:p w14:paraId="38C3791B" w14:textId="77777777" w:rsidR="00757BCD" w:rsidRPr="007132E9" w:rsidRDefault="00757BCD" w:rsidP="00757BCD">
            <w:pPr>
              <w:spacing w:line="276" w:lineRule="auto"/>
              <w:jc w:val="center"/>
            </w:pPr>
          </w:p>
        </w:tc>
      </w:tr>
      <w:tr w:rsidR="00757BCD" w:rsidRPr="007132E9" w14:paraId="06EB1C58" w14:textId="77777777" w:rsidTr="00757BCD">
        <w:trPr>
          <w:trHeight w:val="241"/>
        </w:trPr>
        <w:tc>
          <w:tcPr>
            <w:tcW w:w="4820" w:type="dxa"/>
            <w:tcBorders>
              <w:top w:val="nil"/>
              <w:left w:val="nil"/>
              <w:bottom w:val="nil"/>
              <w:right w:val="nil"/>
            </w:tcBorders>
            <w:noWrap/>
            <w:hideMark/>
          </w:tcPr>
          <w:p w14:paraId="1B552122" w14:textId="77777777" w:rsidR="00757BCD" w:rsidRPr="007132E9" w:rsidRDefault="00757BCD" w:rsidP="00757BCD">
            <w:pPr>
              <w:spacing w:line="276" w:lineRule="auto"/>
              <w:jc w:val="center"/>
            </w:pPr>
            <w:proofErr w:type="spellStart"/>
            <w:r w:rsidRPr="007132E9">
              <w:t>Never</w:t>
            </w:r>
            <w:proofErr w:type="spellEnd"/>
            <w:r w:rsidRPr="007132E9">
              <w:t xml:space="preserve"> </w:t>
            </w:r>
            <w:proofErr w:type="spellStart"/>
            <w:r w:rsidRPr="007132E9">
              <w:t>studied</w:t>
            </w:r>
            <w:proofErr w:type="spellEnd"/>
          </w:p>
        </w:tc>
        <w:tc>
          <w:tcPr>
            <w:tcW w:w="992" w:type="dxa"/>
            <w:tcBorders>
              <w:top w:val="nil"/>
              <w:left w:val="nil"/>
              <w:bottom w:val="nil"/>
              <w:right w:val="nil"/>
            </w:tcBorders>
            <w:noWrap/>
            <w:vAlign w:val="bottom"/>
            <w:hideMark/>
          </w:tcPr>
          <w:p w14:paraId="2BE4E0CE" w14:textId="77777777" w:rsidR="00757BCD" w:rsidRPr="007132E9" w:rsidRDefault="00757BCD" w:rsidP="00757BCD">
            <w:pPr>
              <w:spacing w:line="276" w:lineRule="auto"/>
              <w:jc w:val="center"/>
            </w:pPr>
            <w:r w:rsidRPr="007132E9">
              <w:t>0</w:t>
            </w:r>
          </w:p>
        </w:tc>
        <w:tc>
          <w:tcPr>
            <w:tcW w:w="1701" w:type="dxa"/>
            <w:tcBorders>
              <w:top w:val="nil"/>
              <w:left w:val="nil"/>
              <w:bottom w:val="nil"/>
              <w:right w:val="nil"/>
            </w:tcBorders>
            <w:noWrap/>
            <w:vAlign w:val="bottom"/>
            <w:hideMark/>
          </w:tcPr>
          <w:p w14:paraId="0691154F" w14:textId="77777777" w:rsidR="00757BCD" w:rsidRPr="007132E9" w:rsidRDefault="00757BCD" w:rsidP="00757BCD">
            <w:pPr>
              <w:spacing w:line="276" w:lineRule="auto"/>
              <w:jc w:val="center"/>
            </w:pPr>
            <w:r w:rsidRPr="007132E9">
              <w:t>0</w:t>
            </w:r>
          </w:p>
        </w:tc>
      </w:tr>
      <w:tr w:rsidR="00757BCD" w:rsidRPr="007132E9" w14:paraId="786B165F" w14:textId="77777777" w:rsidTr="00757BCD">
        <w:trPr>
          <w:trHeight w:val="241"/>
        </w:trPr>
        <w:tc>
          <w:tcPr>
            <w:tcW w:w="4820" w:type="dxa"/>
            <w:tcBorders>
              <w:top w:val="nil"/>
              <w:left w:val="nil"/>
              <w:bottom w:val="nil"/>
              <w:right w:val="nil"/>
            </w:tcBorders>
            <w:noWrap/>
            <w:hideMark/>
          </w:tcPr>
          <w:p w14:paraId="04AB08A1" w14:textId="77777777" w:rsidR="00757BCD" w:rsidRPr="007132E9" w:rsidRDefault="00757BCD" w:rsidP="00757BCD">
            <w:pPr>
              <w:spacing w:line="276" w:lineRule="auto"/>
              <w:jc w:val="center"/>
            </w:pPr>
            <w:r w:rsidRPr="007132E9">
              <w:t>Literate</w:t>
            </w:r>
          </w:p>
        </w:tc>
        <w:tc>
          <w:tcPr>
            <w:tcW w:w="992" w:type="dxa"/>
            <w:tcBorders>
              <w:top w:val="nil"/>
              <w:left w:val="nil"/>
              <w:bottom w:val="nil"/>
              <w:right w:val="nil"/>
            </w:tcBorders>
            <w:noWrap/>
            <w:vAlign w:val="bottom"/>
            <w:hideMark/>
          </w:tcPr>
          <w:p w14:paraId="3076C5DB" w14:textId="77777777" w:rsidR="00757BCD" w:rsidRPr="007132E9" w:rsidRDefault="00757BCD" w:rsidP="00757BCD">
            <w:pPr>
              <w:spacing w:line="276" w:lineRule="auto"/>
              <w:jc w:val="center"/>
            </w:pPr>
            <w:r w:rsidRPr="007132E9">
              <w:t>2</w:t>
            </w:r>
          </w:p>
        </w:tc>
        <w:tc>
          <w:tcPr>
            <w:tcW w:w="1701" w:type="dxa"/>
            <w:tcBorders>
              <w:top w:val="nil"/>
              <w:left w:val="nil"/>
              <w:bottom w:val="nil"/>
              <w:right w:val="nil"/>
            </w:tcBorders>
            <w:noWrap/>
            <w:vAlign w:val="bottom"/>
            <w:hideMark/>
          </w:tcPr>
          <w:p w14:paraId="57913355" w14:textId="77777777" w:rsidR="00757BCD" w:rsidRPr="007132E9" w:rsidRDefault="00757BCD" w:rsidP="00757BCD">
            <w:pPr>
              <w:spacing w:line="276" w:lineRule="auto"/>
              <w:jc w:val="center"/>
            </w:pPr>
            <w:r w:rsidRPr="007132E9">
              <w:t>8</w:t>
            </w:r>
          </w:p>
        </w:tc>
      </w:tr>
      <w:tr w:rsidR="00757BCD" w:rsidRPr="007132E9" w14:paraId="522A27C1" w14:textId="77777777" w:rsidTr="00757BCD">
        <w:trPr>
          <w:trHeight w:val="241"/>
        </w:trPr>
        <w:tc>
          <w:tcPr>
            <w:tcW w:w="4820" w:type="dxa"/>
            <w:tcBorders>
              <w:top w:val="nil"/>
              <w:left w:val="nil"/>
              <w:bottom w:val="nil"/>
              <w:right w:val="nil"/>
            </w:tcBorders>
            <w:noWrap/>
            <w:hideMark/>
          </w:tcPr>
          <w:p w14:paraId="3F463A31" w14:textId="77777777" w:rsidR="00757BCD" w:rsidRPr="007132E9" w:rsidRDefault="00757BCD" w:rsidP="00757BCD">
            <w:pPr>
              <w:spacing w:line="276" w:lineRule="auto"/>
              <w:jc w:val="center"/>
            </w:pPr>
            <w:proofErr w:type="spellStart"/>
            <w:r w:rsidRPr="007132E9">
              <w:t>Formerly</w:t>
            </w:r>
            <w:proofErr w:type="spellEnd"/>
            <w:r w:rsidRPr="007132E9">
              <w:t xml:space="preserve"> </w:t>
            </w:r>
            <w:proofErr w:type="spellStart"/>
            <w:r w:rsidRPr="007132E9">
              <w:t>primary</w:t>
            </w:r>
            <w:proofErr w:type="spellEnd"/>
            <w:r w:rsidRPr="007132E9">
              <w:t xml:space="preserve"> </w:t>
            </w:r>
            <w:proofErr w:type="spellStart"/>
            <w:r w:rsidRPr="007132E9">
              <w:t>school</w:t>
            </w:r>
            <w:proofErr w:type="spellEnd"/>
          </w:p>
        </w:tc>
        <w:tc>
          <w:tcPr>
            <w:tcW w:w="992" w:type="dxa"/>
            <w:tcBorders>
              <w:top w:val="nil"/>
              <w:left w:val="nil"/>
              <w:bottom w:val="nil"/>
              <w:right w:val="nil"/>
            </w:tcBorders>
            <w:noWrap/>
            <w:vAlign w:val="bottom"/>
            <w:hideMark/>
          </w:tcPr>
          <w:p w14:paraId="04333110" w14:textId="77777777" w:rsidR="00757BCD" w:rsidRPr="007132E9" w:rsidRDefault="00757BCD" w:rsidP="00757BCD">
            <w:pPr>
              <w:spacing w:line="276" w:lineRule="auto"/>
              <w:jc w:val="center"/>
            </w:pPr>
            <w:r w:rsidRPr="007132E9">
              <w:t>0</w:t>
            </w:r>
          </w:p>
        </w:tc>
        <w:tc>
          <w:tcPr>
            <w:tcW w:w="1701" w:type="dxa"/>
            <w:tcBorders>
              <w:top w:val="nil"/>
              <w:left w:val="nil"/>
              <w:bottom w:val="nil"/>
              <w:right w:val="nil"/>
            </w:tcBorders>
            <w:noWrap/>
            <w:vAlign w:val="bottom"/>
            <w:hideMark/>
          </w:tcPr>
          <w:p w14:paraId="3AEDDC53" w14:textId="77777777" w:rsidR="00757BCD" w:rsidRPr="007132E9" w:rsidRDefault="00757BCD" w:rsidP="00757BCD">
            <w:pPr>
              <w:spacing w:line="276" w:lineRule="auto"/>
              <w:jc w:val="center"/>
            </w:pPr>
            <w:r w:rsidRPr="007132E9">
              <w:t>0</w:t>
            </w:r>
          </w:p>
        </w:tc>
      </w:tr>
      <w:tr w:rsidR="00757BCD" w:rsidRPr="007132E9" w14:paraId="53E3BCF4" w14:textId="77777777" w:rsidTr="00757BCD">
        <w:trPr>
          <w:trHeight w:val="241"/>
        </w:trPr>
        <w:tc>
          <w:tcPr>
            <w:tcW w:w="4820" w:type="dxa"/>
            <w:tcBorders>
              <w:top w:val="nil"/>
              <w:left w:val="nil"/>
              <w:bottom w:val="nil"/>
              <w:right w:val="nil"/>
            </w:tcBorders>
            <w:noWrap/>
            <w:hideMark/>
          </w:tcPr>
          <w:p w14:paraId="3643FB85" w14:textId="77777777" w:rsidR="00757BCD" w:rsidRPr="007132E9" w:rsidRDefault="00757BCD" w:rsidP="00757BCD">
            <w:pPr>
              <w:spacing w:line="276" w:lineRule="auto"/>
              <w:jc w:val="center"/>
              <w:rPr>
                <w:lang w:val="en-US"/>
              </w:rPr>
            </w:pPr>
            <w:r w:rsidRPr="007132E9">
              <w:rPr>
                <w:lang w:val="en-US"/>
              </w:rPr>
              <w:t>Incomplete elementary school or primary school</w:t>
            </w:r>
          </w:p>
        </w:tc>
        <w:tc>
          <w:tcPr>
            <w:tcW w:w="992" w:type="dxa"/>
            <w:tcBorders>
              <w:top w:val="nil"/>
              <w:left w:val="nil"/>
              <w:bottom w:val="nil"/>
              <w:right w:val="nil"/>
            </w:tcBorders>
            <w:noWrap/>
            <w:vAlign w:val="bottom"/>
            <w:hideMark/>
          </w:tcPr>
          <w:p w14:paraId="6914E013" w14:textId="77777777" w:rsidR="00757BCD" w:rsidRPr="007132E9" w:rsidRDefault="00757BCD" w:rsidP="00757BCD">
            <w:pPr>
              <w:spacing w:line="276" w:lineRule="auto"/>
              <w:jc w:val="center"/>
            </w:pPr>
            <w:r w:rsidRPr="007132E9">
              <w:t>0</w:t>
            </w:r>
          </w:p>
        </w:tc>
        <w:tc>
          <w:tcPr>
            <w:tcW w:w="1701" w:type="dxa"/>
            <w:tcBorders>
              <w:top w:val="nil"/>
              <w:left w:val="nil"/>
              <w:bottom w:val="nil"/>
              <w:right w:val="nil"/>
            </w:tcBorders>
            <w:noWrap/>
            <w:vAlign w:val="bottom"/>
            <w:hideMark/>
          </w:tcPr>
          <w:p w14:paraId="60E53309" w14:textId="77777777" w:rsidR="00757BCD" w:rsidRPr="007132E9" w:rsidRDefault="00757BCD" w:rsidP="00757BCD">
            <w:pPr>
              <w:spacing w:line="276" w:lineRule="auto"/>
              <w:jc w:val="center"/>
            </w:pPr>
            <w:r w:rsidRPr="007132E9">
              <w:t>0</w:t>
            </w:r>
          </w:p>
        </w:tc>
      </w:tr>
      <w:tr w:rsidR="00757BCD" w:rsidRPr="007132E9" w14:paraId="2A807B95" w14:textId="77777777" w:rsidTr="00757BCD">
        <w:trPr>
          <w:trHeight w:val="241"/>
        </w:trPr>
        <w:tc>
          <w:tcPr>
            <w:tcW w:w="4820" w:type="dxa"/>
            <w:tcBorders>
              <w:top w:val="nil"/>
              <w:left w:val="nil"/>
              <w:bottom w:val="nil"/>
              <w:right w:val="nil"/>
            </w:tcBorders>
            <w:noWrap/>
            <w:hideMark/>
          </w:tcPr>
          <w:p w14:paraId="62D4D0ED" w14:textId="77777777" w:rsidR="00757BCD" w:rsidRPr="007132E9" w:rsidRDefault="00757BCD" w:rsidP="00757BCD">
            <w:pPr>
              <w:spacing w:line="276" w:lineRule="auto"/>
              <w:jc w:val="center"/>
              <w:rPr>
                <w:lang w:val="en-US"/>
              </w:rPr>
            </w:pPr>
            <w:r w:rsidRPr="007132E9">
              <w:rPr>
                <w:lang w:val="en-US"/>
              </w:rPr>
              <w:t>Complete elementary school or primary school</w:t>
            </w:r>
          </w:p>
        </w:tc>
        <w:tc>
          <w:tcPr>
            <w:tcW w:w="992" w:type="dxa"/>
            <w:tcBorders>
              <w:top w:val="nil"/>
              <w:left w:val="nil"/>
              <w:bottom w:val="nil"/>
              <w:right w:val="nil"/>
            </w:tcBorders>
            <w:noWrap/>
            <w:vAlign w:val="bottom"/>
            <w:hideMark/>
          </w:tcPr>
          <w:p w14:paraId="196010B5" w14:textId="77777777" w:rsidR="00757BCD" w:rsidRPr="007132E9" w:rsidRDefault="00757BCD" w:rsidP="00757BCD">
            <w:pPr>
              <w:spacing w:line="276" w:lineRule="auto"/>
              <w:jc w:val="center"/>
            </w:pPr>
            <w:r w:rsidRPr="007132E9">
              <w:t>0</w:t>
            </w:r>
          </w:p>
        </w:tc>
        <w:tc>
          <w:tcPr>
            <w:tcW w:w="1701" w:type="dxa"/>
            <w:tcBorders>
              <w:top w:val="nil"/>
              <w:left w:val="nil"/>
              <w:bottom w:val="nil"/>
              <w:right w:val="nil"/>
            </w:tcBorders>
            <w:noWrap/>
            <w:vAlign w:val="bottom"/>
            <w:hideMark/>
          </w:tcPr>
          <w:p w14:paraId="156DA5DB" w14:textId="77777777" w:rsidR="00757BCD" w:rsidRPr="007132E9" w:rsidRDefault="00757BCD" w:rsidP="00757BCD">
            <w:pPr>
              <w:spacing w:line="276" w:lineRule="auto"/>
              <w:jc w:val="center"/>
            </w:pPr>
            <w:r w:rsidRPr="007132E9">
              <w:t>0</w:t>
            </w:r>
          </w:p>
        </w:tc>
      </w:tr>
      <w:tr w:rsidR="00757BCD" w:rsidRPr="007132E9" w14:paraId="0AD08C5B" w14:textId="77777777" w:rsidTr="00757BCD">
        <w:trPr>
          <w:trHeight w:val="241"/>
        </w:trPr>
        <w:tc>
          <w:tcPr>
            <w:tcW w:w="4820" w:type="dxa"/>
            <w:tcBorders>
              <w:top w:val="nil"/>
              <w:left w:val="nil"/>
              <w:bottom w:val="nil"/>
              <w:right w:val="nil"/>
            </w:tcBorders>
            <w:noWrap/>
            <w:hideMark/>
          </w:tcPr>
          <w:p w14:paraId="1E11BF60" w14:textId="77777777" w:rsidR="00757BCD" w:rsidRPr="007132E9" w:rsidRDefault="00757BCD" w:rsidP="00757BCD">
            <w:pPr>
              <w:spacing w:line="276" w:lineRule="auto"/>
              <w:jc w:val="center"/>
              <w:rPr>
                <w:lang w:val="en-US"/>
              </w:rPr>
            </w:pPr>
            <w:r w:rsidRPr="007132E9">
              <w:rPr>
                <w:lang w:val="en-US"/>
              </w:rPr>
              <w:t>Incomplete high school or secondary school</w:t>
            </w:r>
          </w:p>
        </w:tc>
        <w:tc>
          <w:tcPr>
            <w:tcW w:w="992" w:type="dxa"/>
            <w:tcBorders>
              <w:top w:val="nil"/>
              <w:left w:val="nil"/>
              <w:bottom w:val="nil"/>
              <w:right w:val="nil"/>
            </w:tcBorders>
            <w:noWrap/>
            <w:vAlign w:val="bottom"/>
            <w:hideMark/>
          </w:tcPr>
          <w:p w14:paraId="29E77ADA" w14:textId="77777777" w:rsidR="00757BCD" w:rsidRPr="007132E9" w:rsidRDefault="00757BCD" w:rsidP="00757BCD">
            <w:pPr>
              <w:spacing w:line="276" w:lineRule="auto"/>
              <w:jc w:val="center"/>
            </w:pPr>
            <w:r w:rsidRPr="007132E9">
              <w:t>1</w:t>
            </w:r>
          </w:p>
        </w:tc>
        <w:tc>
          <w:tcPr>
            <w:tcW w:w="1701" w:type="dxa"/>
            <w:tcBorders>
              <w:top w:val="nil"/>
              <w:left w:val="nil"/>
              <w:bottom w:val="nil"/>
              <w:right w:val="nil"/>
            </w:tcBorders>
            <w:noWrap/>
            <w:vAlign w:val="bottom"/>
            <w:hideMark/>
          </w:tcPr>
          <w:p w14:paraId="3060C0C8" w14:textId="77777777" w:rsidR="00757BCD" w:rsidRPr="007132E9" w:rsidRDefault="00757BCD" w:rsidP="00757BCD">
            <w:pPr>
              <w:spacing w:line="276" w:lineRule="auto"/>
              <w:jc w:val="center"/>
            </w:pPr>
            <w:r w:rsidRPr="007132E9">
              <w:t>4</w:t>
            </w:r>
          </w:p>
        </w:tc>
      </w:tr>
      <w:tr w:rsidR="00757BCD" w:rsidRPr="007132E9" w14:paraId="376AE4FF" w14:textId="77777777" w:rsidTr="00757BCD">
        <w:trPr>
          <w:trHeight w:val="241"/>
        </w:trPr>
        <w:tc>
          <w:tcPr>
            <w:tcW w:w="4820" w:type="dxa"/>
            <w:tcBorders>
              <w:top w:val="nil"/>
              <w:left w:val="nil"/>
              <w:bottom w:val="nil"/>
              <w:right w:val="nil"/>
            </w:tcBorders>
            <w:noWrap/>
            <w:hideMark/>
          </w:tcPr>
          <w:p w14:paraId="7DA52E69" w14:textId="77777777" w:rsidR="00757BCD" w:rsidRPr="007132E9" w:rsidRDefault="00757BCD" w:rsidP="00757BCD">
            <w:pPr>
              <w:spacing w:line="276" w:lineRule="auto"/>
              <w:jc w:val="center"/>
              <w:rPr>
                <w:lang w:val="en-US"/>
              </w:rPr>
            </w:pPr>
            <w:r w:rsidRPr="007132E9">
              <w:rPr>
                <w:lang w:val="en-US"/>
              </w:rPr>
              <w:t>Complete high school or secondary school</w:t>
            </w:r>
          </w:p>
        </w:tc>
        <w:tc>
          <w:tcPr>
            <w:tcW w:w="992" w:type="dxa"/>
            <w:tcBorders>
              <w:top w:val="nil"/>
              <w:left w:val="nil"/>
              <w:bottom w:val="nil"/>
              <w:right w:val="nil"/>
            </w:tcBorders>
            <w:noWrap/>
            <w:vAlign w:val="bottom"/>
            <w:hideMark/>
          </w:tcPr>
          <w:p w14:paraId="44F26A8E" w14:textId="77777777" w:rsidR="00757BCD" w:rsidRPr="007132E9" w:rsidRDefault="00757BCD" w:rsidP="00757BCD">
            <w:pPr>
              <w:spacing w:line="276" w:lineRule="auto"/>
              <w:jc w:val="center"/>
            </w:pPr>
            <w:r w:rsidRPr="007132E9">
              <w:t>8</w:t>
            </w:r>
          </w:p>
        </w:tc>
        <w:tc>
          <w:tcPr>
            <w:tcW w:w="1701" w:type="dxa"/>
            <w:tcBorders>
              <w:top w:val="nil"/>
              <w:left w:val="nil"/>
              <w:bottom w:val="nil"/>
              <w:right w:val="nil"/>
            </w:tcBorders>
            <w:noWrap/>
            <w:vAlign w:val="bottom"/>
            <w:hideMark/>
          </w:tcPr>
          <w:p w14:paraId="22EE9F88" w14:textId="77777777" w:rsidR="00757BCD" w:rsidRPr="007132E9" w:rsidRDefault="00757BCD" w:rsidP="00757BCD">
            <w:pPr>
              <w:spacing w:line="276" w:lineRule="auto"/>
              <w:jc w:val="center"/>
            </w:pPr>
            <w:r w:rsidRPr="007132E9">
              <w:t>32</w:t>
            </w:r>
          </w:p>
        </w:tc>
      </w:tr>
      <w:tr w:rsidR="00757BCD" w:rsidRPr="007132E9" w14:paraId="009DB5C9" w14:textId="77777777" w:rsidTr="00757BCD">
        <w:trPr>
          <w:trHeight w:val="241"/>
        </w:trPr>
        <w:tc>
          <w:tcPr>
            <w:tcW w:w="4820" w:type="dxa"/>
            <w:tcBorders>
              <w:top w:val="nil"/>
              <w:left w:val="nil"/>
              <w:bottom w:val="nil"/>
              <w:right w:val="nil"/>
            </w:tcBorders>
            <w:noWrap/>
            <w:hideMark/>
          </w:tcPr>
          <w:p w14:paraId="1ADFD425" w14:textId="77777777" w:rsidR="00757BCD" w:rsidRPr="007132E9" w:rsidRDefault="00757BCD" w:rsidP="00757BCD">
            <w:pPr>
              <w:spacing w:line="276" w:lineRule="auto"/>
              <w:jc w:val="center"/>
            </w:pPr>
            <w:r w:rsidRPr="007132E9">
              <w:t xml:space="preserve">Incomplete </w:t>
            </w:r>
            <w:proofErr w:type="spellStart"/>
            <w:r w:rsidRPr="007132E9">
              <w:t>higher</w:t>
            </w:r>
            <w:proofErr w:type="spellEnd"/>
            <w:r w:rsidRPr="007132E9">
              <w:t xml:space="preserve"> </w:t>
            </w:r>
            <w:proofErr w:type="spellStart"/>
            <w:r w:rsidRPr="007132E9">
              <w:t>education</w:t>
            </w:r>
            <w:proofErr w:type="spellEnd"/>
          </w:p>
        </w:tc>
        <w:tc>
          <w:tcPr>
            <w:tcW w:w="992" w:type="dxa"/>
            <w:tcBorders>
              <w:top w:val="nil"/>
              <w:left w:val="nil"/>
              <w:bottom w:val="nil"/>
              <w:right w:val="nil"/>
            </w:tcBorders>
            <w:noWrap/>
            <w:vAlign w:val="bottom"/>
            <w:hideMark/>
          </w:tcPr>
          <w:p w14:paraId="17DA4A30" w14:textId="77777777" w:rsidR="00757BCD" w:rsidRPr="007132E9" w:rsidRDefault="00757BCD" w:rsidP="00757BCD">
            <w:pPr>
              <w:spacing w:line="276" w:lineRule="auto"/>
              <w:jc w:val="center"/>
            </w:pPr>
            <w:r w:rsidRPr="007132E9">
              <w:t>12</w:t>
            </w:r>
          </w:p>
        </w:tc>
        <w:tc>
          <w:tcPr>
            <w:tcW w:w="1701" w:type="dxa"/>
            <w:tcBorders>
              <w:top w:val="nil"/>
              <w:left w:val="nil"/>
              <w:bottom w:val="nil"/>
              <w:right w:val="nil"/>
            </w:tcBorders>
            <w:noWrap/>
            <w:vAlign w:val="bottom"/>
            <w:hideMark/>
          </w:tcPr>
          <w:p w14:paraId="2C5CD680" w14:textId="77777777" w:rsidR="00757BCD" w:rsidRPr="007132E9" w:rsidRDefault="00757BCD" w:rsidP="00757BCD">
            <w:pPr>
              <w:spacing w:line="276" w:lineRule="auto"/>
              <w:jc w:val="center"/>
            </w:pPr>
            <w:r w:rsidRPr="007132E9">
              <w:t>48</w:t>
            </w:r>
          </w:p>
        </w:tc>
      </w:tr>
      <w:tr w:rsidR="00757BCD" w:rsidRPr="007132E9" w14:paraId="032E1C65" w14:textId="77777777" w:rsidTr="00757BCD">
        <w:trPr>
          <w:trHeight w:val="241"/>
        </w:trPr>
        <w:tc>
          <w:tcPr>
            <w:tcW w:w="4820" w:type="dxa"/>
            <w:tcBorders>
              <w:top w:val="nil"/>
              <w:left w:val="nil"/>
              <w:bottom w:val="single" w:sz="4" w:space="0" w:color="auto"/>
              <w:right w:val="nil"/>
            </w:tcBorders>
            <w:noWrap/>
            <w:hideMark/>
          </w:tcPr>
          <w:p w14:paraId="3D5385DC" w14:textId="77777777" w:rsidR="00757BCD" w:rsidRPr="007132E9" w:rsidRDefault="00757BCD" w:rsidP="00757BCD">
            <w:pPr>
              <w:spacing w:line="276" w:lineRule="auto"/>
              <w:jc w:val="center"/>
            </w:pPr>
            <w:r w:rsidRPr="007132E9">
              <w:t xml:space="preserve">Complete </w:t>
            </w:r>
            <w:proofErr w:type="spellStart"/>
            <w:r w:rsidRPr="007132E9">
              <w:t>higher</w:t>
            </w:r>
            <w:proofErr w:type="spellEnd"/>
            <w:r w:rsidRPr="007132E9">
              <w:t xml:space="preserve"> education</w:t>
            </w:r>
          </w:p>
        </w:tc>
        <w:tc>
          <w:tcPr>
            <w:tcW w:w="992" w:type="dxa"/>
            <w:tcBorders>
              <w:top w:val="nil"/>
              <w:left w:val="nil"/>
              <w:bottom w:val="single" w:sz="4" w:space="0" w:color="auto"/>
              <w:right w:val="nil"/>
            </w:tcBorders>
            <w:noWrap/>
            <w:vAlign w:val="bottom"/>
            <w:hideMark/>
          </w:tcPr>
          <w:p w14:paraId="48431859" w14:textId="77777777" w:rsidR="00757BCD" w:rsidRPr="007132E9" w:rsidRDefault="00757BCD" w:rsidP="00757BCD">
            <w:pPr>
              <w:spacing w:line="276" w:lineRule="auto"/>
              <w:jc w:val="center"/>
            </w:pPr>
            <w:r w:rsidRPr="007132E9">
              <w:t>2</w:t>
            </w:r>
          </w:p>
        </w:tc>
        <w:tc>
          <w:tcPr>
            <w:tcW w:w="1701" w:type="dxa"/>
            <w:tcBorders>
              <w:top w:val="nil"/>
              <w:left w:val="nil"/>
              <w:bottom w:val="single" w:sz="4" w:space="0" w:color="auto"/>
              <w:right w:val="nil"/>
            </w:tcBorders>
            <w:noWrap/>
            <w:vAlign w:val="bottom"/>
            <w:hideMark/>
          </w:tcPr>
          <w:p w14:paraId="5109E1F4" w14:textId="77777777" w:rsidR="00757BCD" w:rsidRPr="007132E9" w:rsidRDefault="00757BCD" w:rsidP="00757BCD">
            <w:pPr>
              <w:spacing w:line="276" w:lineRule="auto"/>
              <w:jc w:val="center"/>
            </w:pPr>
            <w:r w:rsidRPr="007132E9">
              <w:t>8</w:t>
            </w:r>
          </w:p>
        </w:tc>
      </w:tr>
    </w:tbl>
    <w:p w14:paraId="1B03FE80" w14:textId="77777777" w:rsidR="00BD2EC2" w:rsidRPr="00BD2EC2" w:rsidRDefault="00BD2EC2" w:rsidP="00BD2EC2">
      <w:pPr>
        <w:spacing w:line="360" w:lineRule="auto"/>
        <w:rPr>
          <w:lang w:val="en-US"/>
        </w:rPr>
      </w:pPr>
    </w:p>
    <w:p w14:paraId="034723A3" w14:textId="77777777" w:rsidR="00BD2EC2" w:rsidRPr="00BD2EC2" w:rsidRDefault="00BD2EC2">
      <w:pPr>
        <w:spacing w:line="360" w:lineRule="auto"/>
        <w:jc w:val="both"/>
        <w:rPr>
          <w:lang w:val="en-US"/>
        </w:rPr>
      </w:pPr>
    </w:p>
    <w:p w14:paraId="5B2ED1FF" w14:textId="77777777" w:rsidR="00BD2EC2" w:rsidRPr="00BD2EC2" w:rsidRDefault="00BD2EC2">
      <w:pPr>
        <w:spacing w:line="360" w:lineRule="auto"/>
        <w:jc w:val="both"/>
        <w:rPr>
          <w:lang w:val="en-US"/>
        </w:rPr>
      </w:pPr>
    </w:p>
    <w:p w14:paraId="2E3AFCCE" w14:textId="77777777" w:rsidR="00BD2EC2" w:rsidRPr="00BD2EC2" w:rsidRDefault="00BD2EC2">
      <w:pPr>
        <w:spacing w:line="360" w:lineRule="auto"/>
        <w:jc w:val="both"/>
        <w:rPr>
          <w:lang w:val="en-US"/>
        </w:rPr>
      </w:pPr>
    </w:p>
    <w:p w14:paraId="28013B29" w14:textId="77777777" w:rsidR="00BD2EC2" w:rsidRDefault="00BD2EC2">
      <w:pPr>
        <w:spacing w:line="360" w:lineRule="auto"/>
        <w:jc w:val="both"/>
        <w:rPr>
          <w:lang w:val="en-US"/>
        </w:rPr>
      </w:pPr>
    </w:p>
    <w:p w14:paraId="524762F1" w14:textId="77777777" w:rsidR="00BD2EC2" w:rsidRDefault="00BD2EC2">
      <w:pPr>
        <w:spacing w:line="360" w:lineRule="auto"/>
        <w:jc w:val="both"/>
        <w:rPr>
          <w:lang w:val="en-US"/>
        </w:rPr>
      </w:pPr>
    </w:p>
    <w:p w14:paraId="17ABA998" w14:textId="77777777" w:rsidR="00BD2EC2" w:rsidRDefault="00BD2EC2">
      <w:pPr>
        <w:spacing w:line="360" w:lineRule="auto"/>
        <w:jc w:val="both"/>
        <w:rPr>
          <w:lang w:val="en-US"/>
        </w:rPr>
      </w:pPr>
    </w:p>
    <w:p w14:paraId="2F95F13B" w14:textId="77777777" w:rsidR="00BD2EC2" w:rsidRDefault="00BD2EC2">
      <w:pPr>
        <w:spacing w:line="360" w:lineRule="auto"/>
        <w:jc w:val="both"/>
        <w:rPr>
          <w:lang w:val="en-US"/>
        </w:rPr>
      </w:pPr>
    </w:p>
    <w:p w14:paraId="26542313" w14:textId="77777777" w:rsidR="00BD2EC2" w:rsidRDefault="00BD2EC2">
      <w:pPr>
        <w:spacing w:line="360" w:lineRule="auto"/>
        <w:jc w:val="both"/>
        <w:rPr>
          <w:lang w:val="en-US"/>
        </w:rPr>
      </w:pPr>
    </w:p>
    <w:p w14:paraId="04D2640D" w14:textId="77777777" w:rsidR="00BD2EC2" w:rsidRDefault="00BD2EC2">
      <w:pPr>
        <w:spacing w:line="360" w:lineRule="auto"/>
        <w:jc w:val="both"/>
        <w:rPr>
          <w:lang w:val="en-US"/>
        </w:rPr>
      </w:pPr>
    </w:p>
    <w:p w14:paraId="1654F987" w14:textId="77777777" w:rsidR="00BD2EC2" w:rsidRDefault="00BD2EC2">
      <w:pPr>
        <w:spacing w:line="360" w:lineRule="auto"/>
        <w:jc w:val="both"/>
        <w:rPr>
          <w:lang w:val="en-US"/>
        </w:rPr>
      </w:pPr>
    </w:p>
    <w:p w14:paraId="54F5695D" w14:textId="77777777" w:rsidR="00BD2EC2" w:rsidRDefault="00BD2EC2">
      <w:pPr>
        <w:spacing w:line="360" w:lineRule="auto"/>
        <w:jc w:val="both"/>
        <w:rPr>
          <w:lang w:val="en-US"/>
        </w:rPr>
      </w:pPr>
    </w:p>
    <w:p w14:paraId="65D7ECE6" w14:textId="77777777" w:rsidR="00BD2EC2" w:rsidRDefault="00BD2EC2">
      <w:pPr>
        <w:spacing w:line="360" w:lineRule="auto"/>
        <w:jc w:val="both"/>
        <w:rPr>
          <w:lang w:val="en-US"/>
        </w:rPr>
      </w:pPr>
    </w:p>
    <w:p w14:paraId="27A824C6" w14:textId="77777777" w:rsidR="00BD2EC2" w:rsidRDefault="00BD2EC2">
      <w:pPr>
        <w:spacing w:line="360" w:lineRule="auto"/>
        <w:jc w:val="both"/>
        <w:rPr>
          <w:lang w:val="en-US"/>
        </w:rPr>
      </w:pPr>
    </w:p>
    <w:p w14:paraId="78978503" w14:textId="77777777" w:rsidR="00BD2EC2" w:rsidRDefault="00BD2EC2">
      <w:pPr>
        <w:spacing w:line="360" w:lineRule="auto"/>
        <w:jc w:val="both"/>
        <w:rPr>
          <w:lang w:val="en-US"/>
        </w:rPr>
      </w:pPr>
    </w:p>
    <w:p w14:paraId="67D6B00F" w14:textId="77777777" w:rsidR="00BD2EC2" w:rsidRDefault="00BD2EC2">
      <w:pPr>
        <w:spacing w:line="360" w:lineRule="auto"/>
        <w:jc w:val="both"/>
        <w:rPr>
          <w:lang w:val="en-US"/>
        </w:rPr>
      </w:pPr>
    </w:p>
    <w:p w14:paraId="322D25E9" w14:textId="77777777" w:rsidR="00BD2EC2" w:rsidRDefault="00BD2EC2">
      <w:pPr>
        <w:spacing w:line="360" w:lineRule="auto"/>
        <w:jc w:val="both"/>
        <w:rPr>
          <w:lang w:val="en-US"/>
        </w:rPr>
      </w:pPr>
    </w:p>
    <w:p w14:paraId="09143C28" w14:textId="77777777" w:rsidR="00BD2EC2" w:rsidRDefault="00BD2EC2">
      <w:pPr>
        <w:spacing w:line="360" w:lineRule="auto"/>
        <w:jc w:val="both"/>
        <w:rPr>
          <w:lang w:val="en-US"/>
        </w:rPr>
      </w:pPr>
    </w:p>
    <w:p w14:paraId="68547C35" w14:textId="77777777" w:rsidR="00BD2EC2" w:rsidRDefault="00BD2EC2">
      <w:pPr>
        <w:spacing w:line="360" w:lineRule="auto"/>
        <w:jc w:val="both"/>
        <w:rPr>
          <w:lang w:val="en-US"/>
        </w:rPr>
      </w:pPr>
    </w:p>
    <w:p w14:paraId="0C2DE781" w14:textId="77777777" w:rsidR="00BD2EC2" w:rsidRDefault="00BD2EC2">
      <w:pPr>
        <w:spacing w:line="360" w:lineRule="auto"/>
        <w:jc w:val="both"/>
        <w:rPr>
          <w:lang w:val="en-US"/>
        </w:rPr>
      </w:pPr>
    </w:p>
    <w:p w14:paraId="58170911" w14:textId="77777777" w:rsidR="00BD2EC2" w:rsidRDefault="00BD2EC2">
      <w:pPr>
        <w:spacing w:line="360" w:lineRule="auto"/>
        <w:jc w:val="both"/>
        <w:rPr>
          <w:lang w:val="en-US"/>
        </w:rPr>
      </w:pPr>
    </w:p>
    <w:p w14:paraId="06C3BCC7" w14:textId="77777777" w:rsidR="00BD2EC2" w:rsidRDefault="00BD2EC2" w:rsidP="00FB07E8">
      <w:pPr>
        <w:spacing w:line="480" w:lineRule="auto"/>
        <w:jc w:val="both"/>
        <w:rPr>
          <w:lang w:val="en-US"/>
        </w:rPr>
      </w:pPr>
    </w:p>
    <w:p w14:paraId="1E2DCB7A" w14:textId="77777777" w:rsidR="00757BCD" w:rsidRDefault="00757BCD">
      <w:pPr>
        <w:spacing w:line="360" w:lineRule="auto"/>
        <w:jc w:val="both"/>
        <w:rPr>
          <w:lang w:val="en-US"/>
        </w:rPr>
      </w:pPr>
    </w:p>
    <w:p w14:paraId="5DE3CF1A" w14:textId="77777777" w:rsidR="00757BCD" w:rsidRPr="00FA7A62" w:rsidRDefault="00757BCD" w:rsidP="007132E9">
      <w:pPr>
        <w:spacing w:before="240" w:line="360" w:lineRule="auto"/>
        <w:ind w:firstLine="720"/>
        <w:jc w:val="both"/>
        <w:rPr>
          <w:lang w:val="en-US"/>
        </w:rPr>
      </w:pPr>
      <w:r w:rsidRPr="00757BCD">
        <w:rPr>
          <w:lang w:val="en-US"/>
        </w:rPr>
        <w:t xml:space="preserve">In the sample, most participants presented severe levels of anxiety, corresponding to 44% (n=11) of the total. In relation to depression, the most prevalent level was moderate, representing 56% (n=14) of the individuals evaluated. The stress level showed an average of 33.2 (SD 6.9). </w:t>
      </w:r>
      <w:r w:rsidRPr="00757BCD">
        <w:rPr>
          <w:lang w:val="en-US"/>
        </w:rPr>
        <w:lastRenderedPageBreak/>
        <w:t>These findings indicate that the studied population predominantly presents with elevated symptoms of anxiety and depression. (Table 2).</w:t>
      </w:r>
    </w:p>
    <w:p w14:paraId="078CF2BD" w14:textId="77777777" w:rsidR="00FB07E8" w:rsidRDefault="00FB07E8" w:rsidP="00757BCD">
      <w:pPr>
        <w:spacing w:line="360" w:lineRule="auto"/>
        <w:rPr>
          <w:b/>
          <w:color w:val="00000A"/>
          <w:lang w:val="en-US"/>
        </w:rPr>
      </w:pPr>
    </w:p>
    <w:p w14:paraId="4548EB6A" w14:textId="77777777" w:rsidR="00757BCD" w:rsidRPr="00FA7A62" w:rsidRDefault="00757BCD" w:rsidP="00757BCD">
      <w:pPr>
        <w:spacing w:line="360" w:lineRule="auto"/>
        <w:rPr>
          <w:rFonts w:ascii="Arimo" w:eastAsia="Arimo" w:hAnsi="Arimo" w:cs="Arimo"/>
          <w:b/>
          <w:color w:val="00000A"/>
          <w:lang w:val="en-US"/>
        </w:rPr>
      </w:pPr>
      <w:r w:rsidRPr="00FA7A62">
        <w:rPr>
          <w:b/>
          <w:color w:val="00000A"/>
          <w:lang w:val="en-US"/>
        </w:rPr>
        <w:t>Table 2</w:t>
      </w:r>
    </w:p>
    <w:p w14:paraId="197C2889" w14:textId="77777777" w:rsidR="00757BCD" w:rsidRDefault="00757BCD" w:rsidP="00DB1EC2">
      <w:pPr>
        <w:spacing w:line="360" w:lineRule="auto"/>
        <w:jc w:val="both"/>
        <w:rPr>
          <w:i/>
          <w:color w:val="00000A"/>
          <w:lang w:val="en-US"/>
        </w:rPr>
      </w:pPr>
      <w:r w:rsidRPr="00757BCD">
        <w:rPr>
          <w:i/>
          <w:color w:val="00000A"/>
          <w:lang w:val="en-US"/>
        </w:rPr>
        <w:t>Scores and classification of anxiety, depression and stress in tran</w:t>
      </w:r>
      <w:r w:rsidR="00C262FD">
        <w:rPr>
          <w:i/>
          <w:color w:val="00000A"/>
          <w:lang w:val="en-US"/>
        </w:rPr>
        <w:t>ssexual and transvestite people</w:t>
      </w:r>
    </w:p>
    <w:tbl>
      <w:tblPr>
        <w:tblW w:w="9404" w:type="dxa"/>
        <w:tblCellMar>
          <w:left w:w="70" w:type="dxa"/>
          <w:right w:w="70" w:type="dxa"/>
        </w:tblCellMar>
        <w:tblLook w:val="04A0" w:firstRow="1" w:lastRow="0" w:firstColumn="1" w:lastColumn="0" w:noHBand="0" w:noVBand="1"/>
      </w:tblPr>
      <w:tblGrid>
        <w:gridCol w:w="1304"/>
        <w:gridCol w:w="392"/>
        <w:gridCol w:w="697"/>
        <w:gridCol w:w="1006"/>
        <w:gridCol w:w="1169"/>
        <w:gridCol w:w="523"/>
        <w:gridCol w:w="543"/>
        <w:gridCol w:w="810"/>
        <w:gridCol w:w="1101"/>
        <w:gridCol w:w="758"/>
        <w:gridCol w:w="1101"/>
      </w:tblGrid>
      <w:tr w:rsidR="00757BCD" w:rsidRPr="007132E9" w14:paraId="0F22A1F0" w14:textId="77777777" w:rsidTr="007132E9">
        <w:trPr>
          <w:trHeight w:val="310"/>
        </w:trPr>
        <w:tc>
          <w:tcPr>
            <w:tcW w:w="1306" w:type="dxa"/>
            <w:vMerge w:val="restart"/>
            <w:tcBorders>
              <w:top w:val="single" w:sz="4" w:space="0" w:color="auto"/>
              <w:left w:val="nil"/>
              <w:bottom w:val="single" w:sz="4" w:space="0" w:color="000000"/>
              <w:right w:val="nil"/>
            </w:tcBorders>
            <w:noWrap/>
            <w:vAlign w:val="bottom"/>
            <w:hideMark/>
          </w:tcPr>
          <w:p w14:paraId="4B2BE03E" w14:textId="77777777" w:rsidR="00757BCD" w:rsidRPr="007132E9" w:rsidRDefault="00757BCD" w:rsidP="00427CA9">
            <w:pPr>
              <w:jc w:val="center"/>
              <w:rPr>
                <w:lang w:val="en-US"/>
              </w:rPr>
            </w:pPr>
            <w:r w:rsidRPr="007132E9">
              <w:rPr>
                <w:lang w:val="en-US"/>
              </w:rPr>
              <w:t> </w:t>
            </w:r>
          </w:p>
        </w:tc>
        <w:tc>
          <w:tcPr>
            <w:tcW w:w="3266" w:type="dxa"/>
            <w:gridSpan w:val="4"/>
            <w:tcBorders>
              <w:top w:val="single" w:sz="4" w:space="0" w:color="auto"/>
              <w:left w:val="nil"/>
              <w:bottom w:val="single" w:sz="4" w:space="0" w:color="auto"/>
              <w:right w:val="nil"/>
            </w:tcBorders>
            <w:noWrap/>
            <w:vAlign w:val="bottom"/>
            <w:hideMark/>
          </w:tcPr>
          <w:p w14:paraId="6D468782" w14:textId="77777777" w:rsidR="00757BCD" w:rsidRPr="007132E9" w:rsidRDefault="00757BCD" w:rsidP="00427CA9">
            <w:pPr>
              <w:jc w:val="center"/>
              <w:rPr>
                <w:b/>
                <w:bCs/>
              </w:rPr>
            </w:pPr>
            <w:proofErr w:type="spellStart"/>
            <w:r w:rsidRPr="007132E9">
              <w:rPr>
                <w:b/>
                <w:bCs/>
              </w:rPr>
              <w:t>Anxiety</w:t>
            </w:r>
            <w:proofErr w:type="spellEnd"/>
          </w:p>
        </w:tc>
        <w:tc>
          <w:tcPr>
            <w:tcW w:w="2975" w:type="dxa"/>
            <w:gridSpan w:val="4"/>
            <w:tcBorders>
              <w:top w:val="single" w:sz="4" w:space="0" w:color="auto"/>
              <w:left w:val="nil"/>
              <w:bottom w:val="single" w:sz="4" w:space="0" w:color="auto"/>
              <w:right w:val="nil"/>
            </w:tcBorders>
            <w:vAlign w:val="center"/>
            <w:hideMark/>
          </w:tcPr>
          <w:p w14:paraId="45C97006" w14:textId="77777777" w:rsidR="00757BCD" w:rsidRPr="007132E9" w:rsidRDefault="00757BCD" w:rsidP="00427CA9">
            <w:pPr>
              <w:jc w:val="center"/>
              <w:rPr>
                <w:b/>
                <w:bCs/>
              </w:rPr>
            </w:pPr>
            <w:proofErr w:type="spellStart"/>
            <w:r w:rsidRPr="007132E9">
              <w:rPr>
                <w:b/>
                <w:bCs/>
              </w:rPr>
              <w:t>Depression</w:t>
            </w:r>
            <w:proofErr w:type="spellEnd"/>
          </w:p>
        </w:tc>
        <w:tc>
          <w:tcPr>
            <w:tcW w:w="1857" w:type="dxa"/>
            <w:gridSpan w:val="2"/>
            <w:tcBorders>
              <w:top w:val="single" w:sz="4" w:space="0" w:color="auto"/>
              <w:left w:val="nil"/>
              <w:bottom w:val="single" w:sz="4" w:space="0" w:color="auto"/>
              <w:right w:val="nil"/>
            </w:tcBorders>
            <w:noWrap/>
            <w:vAlign w:val="bottom"/>
            <w:hideMark/>
          </w:tcPr>
          <w:p w14:paraId="5BDB824D" w14:textId="77777777" w:rsidR="00757BCD" w:rsidRPr="007132E9" w:rsidRDefault="00757BCD" w:rsidP="00427CA9">
            <w:pPr>
              <w:jc w:val="center"/>
              <w:rPr>
                <w:b/>
                <w:bCs/>
              </w:rPr>
            </w:pPr>
            <w:r w:rsidRPr="007132E9">
              <w:rPr>
                <w:b/>
                <w:bCs/>
              </w:rPr>
              <w:t>Stress</w:t>
            </w:r>
          </w:p>
        </w:tc>
      </w:tr>
      <w:tr w:rsidR="00BB7053" w:rsidRPr="007132E9" w14:paraId="4F53B12F" w14:textId="77777777" w:rsidTr="007132E9">
        <w:trPr>
          <w:trHeight w:val="600"/>
        </w:trPr>
        <w:tc>
          <w:tcPr>
            <w:tcW w:w="1306" w:type="dxa"/>
            <w:vMerge/>
            <w:tcBorders>
              <w:top w:val="single" w:sz="4" w:space="0" w:color="auto"/>
              <w:left w:val="nil"/>
              <w:bottom w:val="single" w:sz="4" w:space="0" w:color="000000"/>
              <w:right w:val="nil"/>
            </w:tcBorders>
            <w:vAlign w:val="center"/>
            <w:hideMark/>
          </w:tcPr>
          <w:p w14:paraId="3EAB1F1F" w14:textId="77777777" w:rsidR="00757BCD" w:rsidRPr="007132E9" w:rsidRDefault="00757BCD" w:rsidP="00427CA9"/>
        </w:tc>
        <w:tc>
          <w:tcPr>
            <w:tcW w:w="393" w:type="dxa"/>
            <w:tcBorders>
              <w:top w:val="nil"/>
              <w:left w:val="nil"/>
              <w:bottom w:val="single" w:sz="4" w:space="0" w:color="auto"/>
              <w:right w:val="nil"/>
            </w:tcBorders>
            <w:vAlign w:val="center"/>
            <w:hideMark/>
          </w:tcPr>
          <w:p w14:paraId="45D5C52C" w14:textId="77777777" w:rsidR="00757BCD" w:rsidRPr="007132E9" w:rsidRDefault="00757BCD" w:rsidP="00427CA9">
            <w:pPr>
              <w:jc w:val="center"/>
              <w:rPr>
                <w:b/>
                <w:bCs/>
              </w:rPr>
            </w:pPr>
            <w:r w:rsidRPr="007132E9">
              <w:rPr>
                <w:b/>
                <w:bCs/>
              </w:rPr>
              <w:t>n</w:t>
            </w:r>
          </w:p>
        </w:tc>
        <w:tc>
          <w:tcPr>
            <w:tcW w:w="697" w:type="dxa"/>
            <w:tcBorders>
              <w:top w:val="nil"/>
              <w:left w:val="nil"/>
              <w:bottom w:val="single" w:sz="4" w:space="0" w:color="auto"/>
              <w:right w:val="nil"/>
            </w:tcBorders>
            <w:vAlign w:val="center"/>
            <w:hideMark/>
          </w:tcPr>
          <w:p w14:paraId="34FA0BD1" w14:textId="77777777" w:rsidR="00757BCD" w:rsidRPr="007132E9" w:rsidRDefault="00757BCD" w:rsidP="00427CA9">
            <w:pPr>
              <w:jc w:val="center"/>
              <w:rPr>
                <w:b/>
                <w:bCs/>
              </w:rPr>
            </w:pPr>
            <w:r w:rsidRPr="007132E9">
              <w:rPr>
                <w:b/>
                <w:bCs/>
              </w:rPr>
              <w:t>%</w:t>
            </w:r>
          </w:p>
        </w:tc>
        <w:tc>
          <w:tcPr>
            <w:tcW w:w="1006" w:type="dxa"/>
            <w:tcBorders>
              <w:top w:val="nil"/>
              <w:left w:val="nil"/>
              <w:bottom w:val="single" w:sz="4" w:space="0" w:color="auto"/>
              <w:right w:val="nil"/>
            </w:tcBorders>
            <w:vAlign w:val="center"/>
            <w:hideMark/>
          </w:tcPr>
          <w:p w14:paraId="77A41ACD" w14:textId="77777777" w:rsidR="00757BCD" w:rsidRPr="007132E9" w:rsidRDefault="00757BCD" w:rsidP="00427CA9">
            <w:pPr>
              <w:jc w:val="center"/>
              <w:rPr>
                <w:b/>
                <w:bCs/>
              </w:rPr>
            </w:pPr>
            <w:r w:rsidRPr="007132E9">
              <w:rPr>
                <w:b/>
                <w:bCs/>
              </w:rPr>
              <w:t>Mean</w:t>
            </w:r>
          </w:p>
        </w:tc>
        <w:tc>
          <w:tcPr>
            <w:tcW w:w="1170" w:type="dxa"/>
            <w:tcBorders>
              <w:top w:val="nil"/>
              <w:left w:val="nil"/>
              <w:bottom w:val="single" w:sz="4" w:space="0" w:color="auto"/>
              <w:right w:val="nil"/>
            </w:tcBorders>
            <w:vAlign w:val="center"/>
            <w:hideMark/>
          </w:tcPr>
          <w:p w14:paraId="6DA52E6B" w14:textId="77777777" w:rsidR="00757BCD" w:rsidRPr="007132E9" w:rsidRDefault="00757BCD" w:rsidP="00427CA9">
            <w:pPr>
              <w:jc w:val="center"/>
              <w:rPr>
                <w:b/>
                <w:bCs/>
              </w:rPr>
            </w:pPr>
            <w:r w:rsidRPr="007132E9">
              <w:rPr>
                <w:b/>
                <w:bCs/>
              </w:rPr>
              <w:t xml:space="preserve">Standard </w:t>
            </w:r>
            <w:proofErr w:type="spellStart"/>
            <w:r w:rsidRPr="007132E9">
              <w:rPr>
                <w:b/>
                <w:bCs/>
              </w:rPr>
              <w:t>deviation</w:t>
            </w:r>
            <w:proofErr w:type="spellEnd"/>
          </w:p>
        </w:tc>
        <w:tc>
          <w:tcPr>
            <w:tcW w:w="523" w:type="dxa"/>
            <w:tcBorders>
              <w:top w:val="nil"/>
              <w:left w:val="nil"/>
              <w:bottom w:val="single" w:sz="4" w:space="0" w:color="auto"/>
              <w:right w:val="nil"/>
            </w:tcBorders>
            <w:vAlign w:val="center"/>
            <w:hideMark/>
          </w:tcPr>
          <w:p w14:paraId="74F2BA20" w14:textId="77777777" w:rsidR="00757BCD" w:rsidRPr="007132E9" w:rsidRDefault="00757BCD" w:rsidP="00427CA9">
            <w:pPr>
              <w:jc w:val="center"/>
              <w:rPr>
                <w:b/>
                <w:bCs/>
              </w:rPr>
            </w:pPr>
            <w:r w:rsidRPr="007132E9">
              <w:rPr>
                <w:b/>
                <w:bCs/>
              </w:rPr>
              <w:t>n</w:t>
            </w:r>
          </w:p>
        </w:tc>
        <w:tc>
          <w:tcPr>
            <w:tcW w:w="543" w:type="dxa"/>
            <w:tcBorders>
              <w:top w:val="nil"/>
              <w:left w:val="nil"/>
              <w:bottom w:val="single" w:sz="4" w:space="0" w:color="auto"/>
              <w:right w:val="nil"/>
            </w:tcBorders>
            <w:vAlign w:val="center"/>
            <w:hideMark/>
          </w:tcPr>
          <w:p w14:paraId="1EDB5630" w14:textId="77777777" w:rsidR="00757BCD" w:rsidRPr="007132E9" w:rsidRDefault="00757BCD" w:rsidP="00427CA9">
            <w:pPr>
              <w:jc w:val="center"/>
              <w:rPr>
                <w:b/>
                <w:bCs/>
              </w:rPr>
            </w:pPr>
            <w:r w:rsidRPr="007132E9">
              <w:rPr>
                <w:b/>
                <w:bCs/>
              </w:rPr>
              <w:t>%</w:t>
            </w:r>
          </w:p>
        </w:tc>
        <w:tc>
          <w:tcPr>
            <w:tcW w:w="810" w:type="dxa"/>
            <w:tcBorders>
              <w:top w:val="nil"/>
              <w:left w:val="nil"/>
              <w:bottom w:val="single" w:sz="4" w:space="0" w:color="auto"/>
              <w:right w:val="nil"/>
            </w:tcBorders>
            <w:vAlign w:val="center"/>
            <w:hideMark/>
          </w:tcPr>
          <w:p w14:paraId="5F862CF4" w14:textId="77777777" w:rsidR="00757BCD" w:rsidRPr="007132E9" w:rsidRDefault="00757BCD" w:rsidP="00427CA9">
            <w:pPr>
              <w:jc w:val="center"/>
              <w:rPr>
                <w:b/>
                <w:bCs/>
              </w:rPr>
            </w:pPr>
            <w:r w:rsidRPr="007132E9">
              <w:rPr>
                <w:b/>
                <w:bCs/>
              </w:rPr>
              <w:t>Mean</w:t>
            </w:r>
          </w:p>
        </w:tc>
        <w:tc>
          <w:tcPr>
            <w:tcW w:w="1099" w:type="dxa"/>
            <w:tcBorders>
              <w:top w:val="nil"/>
              <w:left w:val="nil"/>
              <w:bottom w:val="single" w:sz="4" w:space="0" w:color="auto"/>
              <w:right w:val="nil"/>
            </w:tcBorders>
            <w:vAlign w:val="center"/>
            <w:hideMark/>
          </w:tcPr>
          <w:p w14:paraId="39776B5A" w14:textId="77777777" w:rsidR="00757BCD" w:rsidRPr="007132E9" w:rsidRDefault="00757BCD" w:rsidP="00427CA9">
            <w:pPr>
              <w:jc w:val="center"/>
              <w:rPr>
                <w:b/>
                <w:bCs/>
              </w:rPr>
            </w:pPr>
            <w:r w:rsidRPr="007132E9">
              <w:rPr>
                <w:b/>
                <w:bCs/>
              </w:rPr>
              <w:t xml:space="preserve">Standard </w:t>
            </w:r>
            <w:proofErr w:type="spellStart"/>
            <w:r w:rsidRPr="007132E9">
              <w:rPr>
                <w:b/>
                <w:bCs/>
              </w:rPr>
              <w:t>deviation</w:t>
            </w:r>
            <w:proofErr w:type="spellEnd"/>
          </w:p>
        </w:tc>
        <w:tc>
          <w:tcPr>
            <w:tcW w:w="758" w:type="dxa"/>
            <w:tcBorders>
              <w:top w:val="nil"/>
              <w:left w:val="nil"/>
              <w:bottom w:val="single" w:sz="4" w:space="0" w:color="auto"/>
              <w:right w:val="nil"/>
            </w:tcBorders>
            <w:vAlign w:val="center"/>
            <w:hideMark/>
          </w:tcPr>
          <w:p w14:paraId="355E25F3" w14:textId="77777777" w:rsidR="00757BCD" w:rsidRPr="007132E9" w:rsidRDefault="00757BCD" w:rsidP="00427CA9">
            <w:pPr>
              <w:jc w:val="center"/>
              <w:rPr>
                <w:b/>
                <w:bCs/>
              </w:rPr>
            </w:pPr>
            <w:r w:rsidRPr="007132E9">
              <w:rPr>
                <w:b/>
                <w:bCs/>
              </w:rPr>
              <w:t>Mean</w:t>
            </w:r>
          </w:p>
        </w:tc>
        <w:tc>
          <w:tcPr>
            <w:tcW w:w="1099" w:type="dxa"/>
            <w:tcBorders>
              <w:top w:val="nil"/>
              <w:left w:val="nil"/>
              <w:bottom w:val="single" w:sz="4" w:space="0" w:color="auto"/>
              <w:right w:val="nil"/>
            </w:tcBorders>
            <w:vAlign w:val="center"/>
            <w:hideMark/>
          </w:tcPr>
          <w:p w14:paraId="77E2B557" w14:textId="77777777" w:rsidR="00757BCD" w:rsidRPr="007132E9" w:rsidRDefault="00757BCD" w:rsidP="00427CA9">
            <w:pPr>
              <w:jc w:val="center"/>
              <w:rPr>
                <w:b/>
                <w:bCs/>
              </w:rPr>
            </w:pPr>
            <w:r w:rsidRPr="007132E9">
              <w:rPr>
                <w:b/>
                <w:bCs/>
              </w:rPr>
              <w:t xml:space="preserve">Standard </w:t>
            </w:r>
            <w:proofErr w:type="spellStart"/>
            <w:r w:rsidRPr="007132E9">
              <w:rPr>
                <w:b/>
                <w:bCs/>
              </w:rPr>
              <w:t>deviation</w:t>
            </w:r>
            <w:proofErr w:type="spellEnd"/>
          </w:p>
        </w:tc>
      </w:tr>
      <w:tr w:rsidR="00BB7053" w:rsidRPr="007132E9" w14:paraId="5AEF5897" w14:textId="77777777" w:rsidTr="007132E9">
        <w:trPr>
          <w:trHeight w:val="310"/>
        </w:trPr>
        <w:tc>
          <w:tcPr>
            <w:tcW w:w="1306" w:type="dxa"/>
            <w:tcBorders>
              <w:top w:val="nil"/>
              <w:left w:val="nil"/>
              <w:bottom w:val="nil"/>
              <w:right w:val="nil"/>
            </w:tcBorders>
            <w:noWrap/>
            <w:vAlign w:val="center"/>
            <w:hideMark/>
          </w:tcPr>
          <w:p w14:paraId="58C1252D" w14:textId="77777777" w:rsidR="00757BCD" w:rsidRPr="007132E9" w:rsidRDefault="00757BCD" w:rsidP="00427CA9">
            <w:pPr>
              <w:jc w:val="center"/>
            </w:pPr>
            <w:proofErr w:type="spellStart"/>
            <w:r w:rsidRPr="007132E9">
              <w:t>Minimum</w:t>
            </w:r>
            <w:proofErr w:type="spellEnd"/>
          </w:p>
        </w:tc>
        <w:tc>
          <w:tcPr>
            <w:tcW w:w="393" w:type="dxa"/>
            <w:tcBorders>
              <w:top w:val="nil"/>
              <w:left w:val="nil"/>
              <w:bottom w:val="nil"/>
              <w:right w:val="nil"/>
            </w:tcBorders>
            <w:noWrap/>
            <w:vAlign w:val="center"/>
            <w:hideMark/>
          </w:tcPr>
          <w:p w14:paraId="04BC05AB" w14:textId="77777777" w:rsidR="00757BCD" w:rsidRPr="007132E9" w:rsidRDefault="00757BCD" w:rsidP="00427CA9">
            <w:pPr>
              <w:jc w:val="center"/>
            </w:pPr>
            <w:r w:rsidRPr="007132E9">
              <w:t>0</w:t>
            </w:r>
          </w:p>
        </w:tc>
        <w:tc>
          <w:tcPr>
            <w:tcW w:w="697" w:type="dxa"/>
            <w:tcBorders>
              <w:top w:val="nil"/>
              <w:left w:val="nil"/>
              <w:bottom w:val="nil"/>
              <w:right w:val="nil"/>
            </w:tcBorders>
            <w:noWrap/>
            <w:vAlign w:val="center"/>
            <w:hideMark/>
          </w:tcPr>
          <w:p w14:paraId="3C322E30" w14:textId="77777777" w:rsidR="00757BCD" w:rsidRPr="007132E9" w:rsidRDefault="00757BCD" w:rsidP="00427CA9">
            <w:pPr>
              <w:jc w:val="center"/>
            </w:pPr>
            <w:r w:rsidRPr="007132E9">
              <w:t>0</w:t>
            </w:r>
          </w:p>
        </w:tc>
        <w:tc>
          <w:tcPr>
            <w:tcW w:w="1006" w:type="dxa"/>
            <w:vMerge w:val="restart"/>
            <w:tcBorders>
              <w:top w:val="nil"/>
              <w:left w:val="nil"/>
              <w:bottom w:val="nil"/>
              <w:right w:val="nil"/>
            </w:tcBorders>
            <w:noWrap/>
            <w:vAlign w:val="center"/>
            <w:hideMark/>
          </w:tcPr>
          <w:p w14:paraId="6C22C2B3" w14:textId="77777777" w:rsidR="00757BCD" w:rsidRPr="007132E9" w:rsidRDefault="00757BCD" w:rsidP="00427CA9">
            <w:pPr>
              <w:jc w:val="center"/>
            </w:pPr>
            <w:r w:rsidRPr="007132E9">
              <w:t>32</w:t>
            </w:r>
          </w:p>
        </w:tc>
        <w:tc>
          <w:tcPr>
            <w:tcW w:w="1170" w:type="dxa"/>
            <w:vMerge w:val="restart"/>
            <w:tcBorders>
              <w:top w:val="nil"/>
              <w:left w:val="nil"/>
              <w:bottom w:val="nil"/>
              <w:right w:val="nil"/>
            </w:tcBorders>
            <w:noWrap/>
            <w:vAlign w:val="center"/>
            <w:hideMark/>
          </w:tcPr>
          <w:p w14:paraId="0C943003" w14:textId="77777777" w:rsidR="00757BCD" w:rsidRPr="007132E9" w:rsidRDefault="00757BCD" w:rsidP="00427CA9">
            <w:pPr>
              <w:jc w:val="center"/>
            </w:pPr>
            <w:r w:rsidRPr="007132E9">
              <w:t>14.3</w:t>
            </w:r>
          </w:p>
        </w:tc>
        <w:tc>
          <w:tcPr>
            <w:tcW w:w="523" w:type="dxa"/>
            <w:tcBorders>
              <w:top w:val="nil"/>
              <w:left w:val="nil"/>
              <w:bottom w:val="nil"/>
              <w:right w:val="nil"/>
            </w:tcBorders>
            <w:noWrap/>
            <w:vAlign w:val="center"/>
            <w:hideMark/>
          </w:tcPr>
          <w:p w14:paraId="2C02949E" w14:textId="77777777" w:rsidR="00757BCD" w:rsidRPr="007132E9" w:rsidRDefault="00757BCD" w:rsidP="00427CA9">
            <w:pPr>
              <w:jc w:val="center"/>
            </w:pPr>
            <w:r w:rsidRPr="007132E9">
              <w:t>4</w:t>
            </w:r>
          </w:p>
        </w:tc>
        <w:tc>
          <w:tcPr>
            <w:tcW w:w="543" w:type="dxa"/>
            <w:tcBorders>
              <w:top w:val="nil"/>
              <w:left w:val="nil"/>
              <w:bottom w:val="nil"/>
              <w:right w:val="nil"/>
            </w:tcBorders>
            <w:noWrap/>
            <w:vAlign w:val="center"/>
            <w:hideMark/>
          </w:tcPr>
          <w:p w14:paraId="7A0C4DB5" w14:textId="77777777" w:rsidR="00757BCD" w:rsidRPr="007132E9" w:rsidRDefault="00757BCD" w:rsidP="00427CA9">
            <w:pPr>
              <w:jc w:val="center"/>
            </w:pPr>
            <w:r w:rsidRPr="007132E9">
              <w:t>16</w:t>
            </w:r>
          </w:p>
        </w:tc>
        <w:tc>
          <w:tcPr>
            <w:tcW w:w="810" w:type="dxa"/>
            <w:vMerge w:val="restart"/>
            <w:tcBorders>
              <w:top w:val="nil"/>
              <w:left w:val="nil"/>
              <w:bottom w:val="nil"/>
              <w:right w:val="nil"/>
            </w:tcBorders>
            <w:noWrap/>
            <w:vAlign w:val="center"/>
            <w:hideMark/>
          </w:tcPr>
          <w:p w14:paraId="450E1090" w14:textId="77777777" w:rsidR="00757BCD" w:rsidRPr="007132E9" w:rsidRDefault="00757BCD" w:rsidP="00427CA9">
            <w:pPr>
              <w:jc w:val="center"/>
            </w:pPr>
            <w:r w:rsidRPr="007132E9">
              <w:t>24.1</w:t>
            </w:r>
          </w:p>
        </w:tc>
        <w:tc>
          <w:tcPr>
            <w:tcW w:w="1099" w:type="dxa"/>
            <w:vMerge w:val="restart"/>
            <w:tcBorders>
              <w:top w:val="nil"/>
              <w:left w:val="nil"/>
              <w:bottom w:val="nil"/>
              <w:right w:val="nil"/>
            </w:tcBorders>
            <w:noWrap/>
            <w:vAlign w:val="center"/>
            <w:hideMark/>
          </w:tcPr>
          <w:p w14:paraId="479E4F3C" w14:textId="77777777" w:rsidR="00757BCD" w:rsidRPr="007132E9" w:rsidRDefault="00757BCD" w:rsidP="00427CA9">
            <w:pPr>
              <w:jc w:val="center"/>
            </w:pPr>
            <w:r w:rsidRPr="007132E9">
              <w:t>12.1</w:t>
            </w:r>
          </w:p>
        </w:tc>
        <w:tc>
          <w:tcPr>
            <w:tcW w:w="758" w:type="dxa"/>
            <w:vMerge w:val="restart"/>
            <w:tcBorders>
              <w:top w:val="nil"/>
              <w:left w:val="nil"/>
              <w:bottom w:val="single" w:sz="4" w:space="0" w:color="000000"/>
              <w:right w:val="nil"/>
            </w:tcBorders>
            <w:noWrap/>
            <w:vAlign w:val="center"/>
            <w:hideMark/>
          </w:tcPr>
          <w:p w14:paraId="1F52925B" w14:textId="77777777" w:rsidR="00757BCD" w:rsidRPr="007132E9" w:rsidRDefault="00757BCD" w:rsidP="00427CA9">
            <w:pPr>
              <w:jc w:val="center"/>
            </w:pPr>
            <w:r w:rsidRPr="007132E9">
              <w:t>33.2</w:t>
            </w:r>
          </w:p>
        </w:tc>
        <w:tc>
          <w:tcPr>
            <w:tcW w:w="1099" w:type="dxa"/>
            <w:vMerge w:val="restart"/>
            <w:tcBorders>
              <w:top w:val="nil"/>
              <w:left w:val="nil"/>
              <w:bottom w:val="single" w:sz="4" w:space="0" w:color="000000"/>
              <w:right w:val="nil"/>
            </w:tcBorders>
            <w:noWrap/>
            <w:vAlign w:val="center"/>
            <w:hideMark/>
          </w:tcPr>
          <w:p w14:paraId="3DC57391" w14:textId="77777777" w:rsidR="00757BCD" w:rsidRPr="007132E9" w:rsidRDefault="00757BCD" w:rsidP="00427CA9">
            <w:pPr>
              <w:jc w:val="center"/>
            </w:pPr>
            <w:r w:rsidRPr="007132E9">
              <w:t>6.9</w:t>
            </w:r>
          </w:p>
        </w:tc>
      </w:tr>
      <w:tr w:rsidR="00BB7053" w:rsidRPr="007132E9" w14:paraId="4F183087" w14:textId="77777777" w:rsidTr="007132E9">
        <w:trPr>
          <w:trHeight w:val="310"/>
        </w:trPr>
        <w:tc>
          <w:tcPr>
            <w:tcW w:w="1306" w:type="dxa"/>
            <w:tcBorders>
              <w:top w:val="nil"/>
              <w:left w:val="nil"/>
              <w:bottom w:val="nil"/>
              <w:right w:val="nil"/>
            </w:tcBorders>
            <w:noWrap/>
            <w:vAlign w:val="center"/>
            <w:hideMark/>
          </w:tcPr>
          <w:p w14:paraId="2B268DAC" w14:textId="77777777" w:rsidR="00757BCD" w:rsidRPr="007132E9" w:rsidRDefault="00757BCD" w:rsidP="00427CA9">
            <w:pPr>
              <w:jc w:val="center"/>
            </w:pPr>
            <w:proofErr w:type="spellStart"/>
            <w:r w:rsidRPr="007132E9">
              <w:t>Mild</w:t>
            </w:r>
            <w:proofErr w:type="spellEnd"/>
          </w:p>
        </w:tc>
        <w:tc>
          <w:tcPr>
            <w:tcW w:w="393" w:type="dxa"/>
            <w:tcBorders>
              <w:top w:val="nil"/>
              <w:left w:val="nil"/>
              <w:bottom w:val="nil"/>
              <w:right w:val="nil"/>
            </w:tcBorders>
            <w:noWrap/>
            <w:vAlign w:val="center"/>
            <w:hideMark/>
          </w:tcPr>
          <w:p w14:paraId="0115B9C8" w14:textId="77777777" w:rsidR="00757BCD" w:rsidRPr="007132E9" w:rsidRDefault="00757BCD" w:rsidP="00427CA9">
            <w:pPr>
              <w:jc w:val="center"/>
            </w:pPr>
            <w:r w:rsidRPr="007132E9">
              <w:t>8</w:t>
            </w:r>
          </w:p>
        </w:tc>
        <w:tc>
          <w:tcPr>
            <w:tcW w:w="697" w:type="dxa"/>
            <w:tcBorders>
              <w:top w:val="nil"/>
              <w:left w:val="nil"/>
              <w:bottom w:val="nil"/>
              <w:right w:val="nil"/>
            </w:tcBorders>
            <w:noWrap/>
            <w:vAlign w:val="center"/>
            <w:hideMark/>
          </w:tcPr>
          <w:p w14:paraId="3984ED45" w14:textId="77777777" w:rsidR="00757BCD" w:rsidRPr="007132E9" w:rsidRDefault="00757BCD" w:rsidP="00427CA9">
            <w:pPr>
              <w:jc w:val="center"/>
            </w:pPr>
            <w:r w:rsidRPr="007132E9">
              <w:t>32</w:t>
            </w:r>
          </w:p>
        </w:tc>
        <w:tc>
          <w:tcPr>
            <w:tcW w:w="1006" w:type="dxa"/>
            <w:vMerge/>
            <w:tcBorders>
              <w:top w:val="nil"/>
              <w:left w:val="nil"/>
              <w:bottom w:val="nil"/>
              <w:right w:val="nil"/>
            </w:tcBorders>
            <w:vAlign w:val="center"/>
            <w:hideMark/>
          </w:tcPr>
          <w:p w14:paraId="3B8F5213" w14:textId="77777777" w:rsidR="00757BCD" w:rsidRPr="007132E9" w:rsidRDefault="00757BCD" w:rsidP="00427CA9"/>
        </w:tc>
        <w:tc>
          <w:tcPr>
            <w:tcW w:w="1170" w:type="dxa"/>
            <w:vMerge/>
            <w:tcBorders>
              <w:top w:val="nil"/>
              <w:left w:val="nil"/>
              <w:bottom w:val="nil"/>
              <w:right w:val="nil"/>
            </w:tcBorders>
            <w:vAlign w:val="center"/>
            <w:hideMark/>
          </w:tcPr>
          <w:p w14:paraId="044C7853" w14:textId="77777777" w:rsidR="00757BCD" w:rsidRPr="007132E9" w:rsidRDefault="00757BCD" w:rsidP="00427CA9"/>
        </w:tc>
        <w:tc>
          <w:tcPr>
            <w:tcW w:w="523" w:type="dxa"/>
            <w:tcBorders>
              <w:top w:val="nil"/>
              <w:left w:val="nil"/>
              <w:bottom w:val="nil"/>
              <w:right w:val="nil"/>
            </w:tcBorders>
            <w:noWrap/>
            <w:vAlign w:val="center"/>
            <w:hideMark/>
          </w:tcPr>
          <w:p w14:paraId="04B0BE54" w14:textId="77777777" w:rsidR="00757BCD" w:rsidRPr="007132E9" w:rsidRDefault="00757BCD" w:rsidP="00427CA9">
            <w:pPr>
              <w:jc w:val="center"/>
            </w:pPr>
            <w:r w:rsidRPr="007132E9">
              <w:t>3</w:t>
            </w:r>
          </w:p>
        </w:tc>
        <w:tc>
          <w:tcPr>
            <w:tcW w:w="543" w:type="dxa"/>
            <w:tcBorders>
              <w:top w:val="nil"/>
              <w:left w:val="nil"/>
              <w:bottom w:val="nil"/>
              <w:right w:val="nil"/>
            </w:tcBorders>
            <w:noWrap/>
            <w:vAlign w:val="center"/>
            <w:hideMark/>
          </w:tcPr>
          <w:p w14:paraId="0B825C82" w14:textId="77777777" w:rsidR="00757BCD" w:rsidRPr="007132E9" w:rsidRDefault="00757BCD" w:rsidP="00427CA9">
            <w:pPr>
              <w:jc w:val="center"/>
            </w:pPr>
            <w:r w:rsidRPr="007132E9">
              <w:t>12</w:t>
            </w:r>
          </w:p>
        </w:tc>
        <w:tc>
          <w:tcPr>
            <w:tcW w:w="810" w:type="dxa"/>
            <w:vMerge/>
            <w:tcBorders>
              <w:top w:val="nil"/>
              <w:left w:val="nil"/>
              <w:bottom w:val="nil"/>
              <w:right w:val="nil"/>
            </w:tcBorders>
            <w:vAlign w:val="center"/>
            <w:hideMark/>
          </w:tcPr>
          <w:p w14:paraId="23239F5A" w14:textId="77777777" w:rsidR="00757BCD" w:rsidRPr="007132E9" w:rsidRDefault="00757BCD" w:rsidP="00427CA9"/>
        </w:tc>
        <w:tc>
          <w:tcPr>
            <w:tcW w:w="1099" w:type="dxa"/>
            <w:vMerge/>
            <w:tcBorders>
              <w:top w:val="nil"/>
              <w:left w:val="nil"/>
              <w:bottom w:val="nil"/>
              <w:right w:val="nil"/>
            </w:tcBorders>
            <w:vAlign w:val="center"/>
            <w:hideMark/>
          </w:tcPr>
          <w:p w14:paraId="28A4F50C" w14:textId="77777777" w:rsidR="00757BCD" w:rsidRPr="007132E9" w:rsidRDefault="00757BCD" w:rsidP="00427CA9"/>
        </w:tc>
        <w:tc>
          <w:tcPr>
            <w:tcW w:w="758" w:type="dxa"/>
            <w:vMerge/>
            <w:tcBorders>
              <w:top w:val="nil"/>
              <w:left w:val="nil"/>
              <w:bottom w:val="single" w:sz="4" w:space="0" w:color="000000"/>
              <w:right w:val="nil"/>
            </w:tcBorders>
            <w:vAlign w:val="center"/>
            <w:hideMark/>
          </w:tcPr>
          <w:p w14:paraId="5B598D6C" w14:textId="77777777" w:rsidR="00757BCD" w:rsidRPr="007132E9" w:rsidRDefault="00757BCD" w:rsidP="00427CA9"/>
        </w:tc>
        <w:tc>
          <w:tcPr>
            <w:tcW w:w="1099" w:type="dxa"/>
            <w:vMerge/>
            <w:tcBorders>
              <w:top w:val="nil"/>
              <w:left w:val="nil"/>
              <w:bottom w:val="single" w:sz="4" w:space="0" w:color="000000"/>
              <w:right w:val="nil"/>
            </w:tcBorders>
            <w:vAlign w:val="center"/>
            <w:hideMark/>
          </w:tcPr>
          <w:p w14:paraId="15934DB1" w14:textId="77777777" w:rsidR="00757BCD" w:rsidRPr="007132E9" w:rsidRDefault="00757BCD" w:rsidP="00427CA9"/>
        </w:tc>
      </w:tr>
      <w:tr w:rsidR="00BB7053" w:rsidRPr="007132E9" w14:paraId="5D49AE60" w14:textId="77777777" w:rsidTr="007132E9">
        <w:trPr>
          <w:trHeight w:val="310"/>
        </w:trPr>
        <w:tc>
          <w:tcPr>
            <w:tcW w:w="1306" w:type="dxa"/>
            <w:tcBorders>
              <w:top w:val="nil"/>
              <w:left w:val="nil"/>
              <w:bottom w:val="nil"/>
              <w:right w:val="nil"/>
            </w:tcBorders>
            <w:noWrap/>
            <w:vAlign w:val="center"/>
            <w:hideMark/>
          </w:tcPr>
          <w:p w14:paraId="6E0A91D8" w14:textId="77777777" w:rsidR="00757BCD" w:rsidRPr="007132E9" w:rsidRDefault="00757BCD" w:rsidP="00427CA9">
            <w:pPr>
              <w:jc w:val="center"/>
            </w:pPr>
            <w:proofErr w:type="spellStart"/>
            <w:r w:rsidRPr="007132E9">
              <w:t>Moderate</w:t>
            </w:r>
            <w:proofErr w:type="spellEnd"/>
          </w:p>
        </w:tc>
        <w:tc>
          <w:tcPr>
            <w:tcW w:w="393" w:type="dxa"/>
            <w:tcBorders>
              <w:top w:val="nil"/>
              <w:left w:val="nil"/>
              <w:bottom w:val="nil"/>
              <w:right w:val="nil"/>
            </w:tcBorders>
            <w:noWrap/>
            <w:vAlign w:val="center"/>
            <w:hideMark/>
          </w:tcPr>
          <w:p w14:paraId="2689ED67" w14:textId="77777777" w:rsidR="00757BCD" w:rsidRPr="007132E9" w:rsidRDefault="00757BCD" w:rsidP="00427CA9">
            <w:pPr>
              <w:jc w:val="center"/>
            </w:pPr>
            <w:r w:rsidRPr="007132E9">
              <w:t>6</w:t>
            </w:r>
          </w:p>
        </w:tc>
        <w:tc>
          <w:tcPr>
            <w:tcW w:w="697" w:type="dxa"/>
            <w:tcBorders>
              <w:top w:val="nil"/>
              <w:left w:val="nil"/>
              <w:bottom w:val="nil"/>
              <w:right w:val="nil"/>
            </w:tcBorders>
            <w:noWrap/>
            <w:vAlign w:val="center"/>
            <w:hideMark/>
          </w:tcPr>
          <w:p w14:paraId="14654B7B" w14:textId="77777777" w:rsidR="00757BCD" w:rsidRPr="007132E9" w:rsidRDefault="00757BCD" w:rsidP="00427CA9">
            <w:pPr>
              <w:jc w:val="center"/>
            </w:pPr>
            <w:r w:rsidRPr="007132E9">
              <w:t>24</w:t>
            </w:r>
          </w:p>
        </w:tc>
        <w:tc>
          <w:tcPr>
            <w:tcW w:w="1006" w:type="dxa"/>
            <w:vMerge/>
            <w:tcBorders>
              <w:top w:val="nil"/>
              <w:left w:val="nil"/>
              <w:bottom w:val="nil"/>
              <w:right w:val="nil"/>
            </w:tcBorders>
            <w:vAlign w:val="center"/>
            <w:hideMark/>
          </w:tcPr>
          <w:p w14:paraId="0D0D76F8" w14:textId="77777777" w:rsidR="00757BCD" w:rsidRPr="007132E9" w:rsidRDefault="00757BCD" w:rsidP="00427CA9"/>
        </w:tc>
        <w:tc>
          <w:tcPr>
            <w:tcW w:w="1170" w:type="dxa"/>
            <w:vMerge/>
            <w:tcBorders>
              <w:top w:val="nil"/>
              <w:left w:val="nil"/>
              <w:bottom w:val="nil"/>
              <w:right w:val="nil"/>
            </w:tcBorders>
            <w:vAlign w:val="center"/>
            <w:hideMark/>
          </w:tcPr>
          <w:p w14:paraId="5899ADEE" w14:textId="77777777" w:rsidR="00757BCD" w:rsidRPr="007132E9" w:rsidRDefault="00757BCD" w:rsidP="00427CA9"/>
        </w:tc>
        <w:tc>
          <w:tcPr>
            <w:tcW w:w="523" w:type="dxa"/>
            <w:tcBorders>
              <w:top w:val="nil"/>
              <w:left w:val="nil"/>
              <w:bottom w:val="nil"/>
              <w:right w:val="nil"/>
            </w:tcBorders>
            <w:noWrap/>
            <w:vAlign w:val="center"/>
            <w:hideMark/>
          </w:tcPr>
          <w:p w14:paraId="1AB27940" w14:textId="77777777" w:rsidR="00757BCD" w:rsidRPr="007132E9" w:rsidRDefault="00757BCD" w:rsidP="00427CA9">
            <w:pPr>
              <w:jc w:val="center"/>
            </w:pPr>
            <w:r w:rsidRPr="007132E9">
              <w:t>14</w:t>
            </w:r>
          </w:p>
        </w:tc>
        <w:tc>
          <w:tcPr>
            <w:tcW w:w="543" w:type="dxa"/>
            <w:tcBorders>
              <w:top w:val="nil"/>
              <w:left w:val="nil"/>
              <w:bottom w:val="nil"/>
              <w:right w:val="nil"/>
            </w:tcBorders>
            <w:noWrap/>
            <w:vAlign w:val="center"/>
            <w:hideMark/>
          </w:tcPr>
          <w:p w14:paraId="4BE25468" w14:textId="77777777" w:rsidR="00757BCD" w:rsidRPr="007132E9" w:rsidRDefault="00757BCD" w:rsidP="00427CA9">
            <w:pPr>
              <w:jc w:val="center"/>
            </w:pPr>
            <w:r w:rsidRPr="007132E9">
              <w:t>56</w:t>
            </w:r>
          </w:p>
        </w:tc>
        <w:tc>
          <w:tcPr>
            <w:tcW w:w="810" w:type="dxa"/>
            <w:vMerge/>
            <w:tcBorders>
              <w:top w:val="nil"/>
              <w:left w:val="nil"/>
              <w:bottom w:val="nil"/>
              <w:right w:val="nil"/>
            </w:tcBorders>
            <w:vAlign w:val="center"/>
            <w:hideMark/>
          </w:tcPr>
          <w:p w14:paraId="44CCF08C" w14:textId="77777777" w:rsidR="00757BCD" w:rsidRPr="007132E9" w:rsidRDefault="00757BCD" w:rsidP="00427CA9"/>
        </w:tc>
        <w:tc>
          <w:tcPr>
            <w:tcW w:w="1099" w:type="dxa"/>
            <w:vMerge/>
            <w:tcBorders>
              <w:top w:val="nil"/>
              <w:left w:val="nil"/>
              <w:bottom w:val="nil"/>
              <w:right w:val="nil"/>
            </w:tcBorders>
            <w:vAlign w:val="center"/>
            <w:hideMark/>
          </w:tcPr>
          <w:p w14:paraId="053511BD" w14:textId="77777777" w:rsidR="00757BCD" w:rsidRPr="007132E9" w:rsidRDefault="00757BCD" w:rsidP="00427CA9"/>
        </w:tc>
        <w:tc>
          <w:tcPr>
            <w:tcW w:w="758" w:type="dxa"/>
            <w:vMerge/>
            <w:tcBorders>
              <w:top w:val="nil"/>
              <w:left w:val="nil"/>
              <w:bottom w:val="single" w:sz="4" w:space="0" w:color="000000"/>
              <w:right w:val="nil"/>
            </w:tcBorders>
            <w:vAlign w:val="center"/>
            <w:hideMark/>
          </w:tcPr>
          <w:p w14:paraId="5FF64232" w14:textId="77777777" w:rsidR="00757BCD" w:rsidRPr="007132E9" w:rsidRDefault="00757BCD" w:rsidP="00427CA9"/>
        </w:tc>
        <w:tc>
          <w:tcPr>
            <w:tcW w:w="1099" w:type="dxa"/>
            <w:vMerge/>
            <w:tcBorders>
              <w:top w:val="nil"/>
              <w:left w:val="nil"/>
              <w:bottom w:val="single" w:sz="4" w:space="0" w:color="000000"/>
              <w:right w:val="nil"/>
            </w:tcBorders>
            <w:vAlign w:val="center"/>
            <w:hideMark/>
          </w:tcPr>
          <w:p w14:paraId="05565D65" w14:textId="77777777" w:rsidR="00757BCD" w:rsidRPr="007132E9" w:rsidRDefault="00757BCD" w:rsidP="00427CA9"/>
        </w:tc>
      </w:tr>
      <w:tr w:rsidR="00BB7053" w:rsidRPr="007132E9" w14:paraId="46FCBC80" w14:textId="77777777" w:rsidTr="007132E9">
        <w:trPr>
          <w:trHeight w:val="310"/>
        </w:trPr>
        <w:tc>
          <w:tcPr>
            <w:tcW w:w="1306" w:type="dxa"/>
            <w:tcBorders>
              <w:top w:val="nil"/>
              <w:left w:val="nil"/>
              <w:bottom w:val="single" w:sz="4" w:space="0" w:color="auto"/>
              <w:right w:val="nil"/>
            </w:tcBorders>
            <w:noWrap/>
            <w:vAlign w:val="center"/>
            <w:hideMark/>
          </w:tcPr>
          <w:p w14:paraId="6EB38C0A" w14:textId="77777777" w:rsidR="00757BCD" w:rsidRPr="007132E9" w:rsidRDefault="00757BCD" w:rsidP="00427CA9">
            <w:pPr>
              <w:jc w:val="center"/>
            </w:pPr>
            <w:r w:rsidRPr="007132E9">
              <w:t>Severe</w:t>
            </w:r>
          </w:p>
        </w:tc>
        <w:tc>
          <w:tcPr>
            <w:tcW w:w="393" w:type="dxa"/>
            <w:tcBorders>
              <w:top w:val="nil"/>
              <w:left w:val="nil"/>
              <w:bottom w:val="single" w:sz="4" w:space="0" w:color="auto"/>
              <w:right w:val="nil"/>
            </w:tcBorders>
            <w:noWrap/>
            <w:vAlign w:val="center"/>
            <w:hideMark/>
          </w:tcPr>
          <w:p w14:paraId="79103C70" w14:textId="77777777" w:rsidR="00757BCD" w:rsidRPr="007132E9" w:rsidRDefault="00757BCD" w:rsidP="00427CA9">
            <w:pPr>
              <w:jc w:val="center"/>
            </w:pPr>
            <w:r w:rsidRPr="007132E9">
              <w:t>11</w:t>
            </w:r>
          </w:p>
        </w:tc>
        <w:tc>
          <w:tcPr>
            <w:tcW w:w="697" w:type="dxa"/>
            <w:tcBorders>
              <w:top w:val="nil"/>
              <w:left w:val="nil"/>
              <w:bottom w:val="single" w:sz="4" w:space="0" w:color="auto"/>
              <w:right w:val="nil"/>
            </w:tcBorders>
            <w:noWrap/>
            <w:vAlign w:val="center"/>
            <w:hideMark/>
          </w:tcPr>
          <w:p w14:paraId="7EEB8899" w14:textId="77777777" w:rsidR="00757BCD" w:rsidRPr="007132E9" w:rsidRDefault="00757BCD" w:rsidP="00427CA9">
            <w:pPr>
              <w:jc w:val="center"/>
            </w:pPr>
            <w:r w:rsidRPr="007132E9">
              <w:t>44</w:t>
            </w:r>
          </w:p>
        </w:tc>
        <w:tc>
          <w:tcPr>
            <w:tcW w:w="1006" w:type="dxa"/>
            <w:vMerge/>
            <w:tcBorders>
              <w:top w:val="nil"/>
              <w:left w:val="nil"/>
              <w:bottom w:val="single" w:sz="4" w:space="0" w:color="auto"/>
              <w:right w:val="nil"/>
            </w:tcBorders>
            <w:vAlign w:val="center"/>
            <w:hideMark/>
          </w:tcPr>
          <w:p w14:paraId="2CE455C9" w14:textId="77777777" w:rsidR="00757BCD" w:rsidRPr="007132E9" w:rsidRDefault="00757BCD" w:rsidP="00427CA9"/>
        </w:tc>
        <w:tc>
          <w:tcPr>
            <w:tcW w:w="1170" w:type="dxa"/>
            <w:vMerge/>
            <w:tcBorders>
              <w:top w:val="nil"/>
              <w:left w:val="nil"/>
              <w:bottom w:val="single" w:sz="4" w:space="0" w:color="auto"/>
              <w:right w:val="nil"/>
            </w:tcBorders>
            <w:vAlign w:val="center"/>
            <w:hideMark/>
          </w:tcPr>
          <w:p w14:paraId="4EBBD1C4" w14:textId="77777777" w:rsidR="00757BCD" w:rsidRPr="007132E9" w:rsidRDefault="00757BCD" w:rsidP="00427CA9"/>
        </w:tc>
        <w:tc>
          <w:tcPr>
            <w:tcW w:w="523" w:type="dxa"/>
            <w:tcBorders>
              <w:top w:val="nil"/>
              <w:left w:val="nil"/>
              <w:bottom w:val="single" w:sz="4" w:space="0" w:color="auto"/>
              <w:right w:val="nil"/>
            </w:tcBorders>
            <w:noWrap/>
            <w:vAlign w:val="center"/>
            <w:hideMark/>
          </w:tcPr>
          <w:p w14:paraId="166B2C90" w14:textId="77777777" w:rsidR="00757BCD" w:rsidRPr="007132E9" w:rsidRDefault="00757BCD" w:rsidP="00427CA9">
            <w:pPr>
              <w:jc w:val="center"/>
            </w:pPr>
            <w:r w:rsidRPr="007132E9">
              <w:t>4</w:t>
            </w:r>
          </w:p>
        </w:tc>
        <w:tc>
          <w:tcPr>
            <w:tcW w:w="543" w:type="dxa"/>
            <w:tcBorders>
              <w:top w:val="nil"/>
              <w:left w:val="nil"/>
              <w:bottom w:val="single" w:sz="4" w:space="0" w:color="auto"/>
              <w:right w:val="nil"/>
            </w:tcBorders>
            <w:noWrap/>
            <w:vAlign w:val="center"/>
            <w:hideMark/>
          </w:tcPr>
          <w:p w14:paraId="28995A6B" w14:textId="77777777" w:rsidR="00757BCD" w:rsidRPr="007132E9" w:rsidRDefault="00757BCD" w:rsidP="00427CA9">
            <w:pPr>
              <w:jc w:val="center"/>
            </w:pPr>
            <w:r w:rsidRPr="007132E9">
              <w:t>16</w:t>
            </w:r>
          </w:p>
        </w:tc>
        <w:tc>
          <w:tcPr>
            <w:tcW w:w="810" w:type="dxa"/>
            <w:vMerge/>
            <w:tcBorders>
              <w:top w:val="nil"/>
              <w:left w:val="nil"/>
              <w:bottom w:val="single" w:sz="4" w:space="0" w:color="auto"/>
              <w:right w:val="nil"/>
            </w:tcBorders>
            <w:vAlign w:val="center"/>
            <w:hideMark/>
          </w:tcPr>
          <w:p w14:paraId="1E2E8700" w14:textId="77777777" w:rsidR="00757BCD" w:rsidRPr="007132E9" w:rsidRDefault="00757BCD" w:rsidP="00427CA9"/>
        </w:tc>
        <w:tc>
          <w:tcPr>
            <w:tcW w:w="1099" w:type="dxa"/>
            <w:vMerge/>
            <w:tcBorders>
              <w:top w:val="nil"/>
              <w:left w:val="nil"/>
              <w:bottom w:val="single" w:sz="4" w:space="0" w:color="auto"/>
              <w:right w:val="nil"/>
            </w:tcBorders>
            <w:vAlign w:val="center"/>
            <w:hideMark/>
          </w:tcPr>
          <w:p w14:paraId="79FDD374" w14:textId="77777777" w:rsidR="00757BCD" w:rsidRPr="007132E9" w:rsidRDefault="00757BCD" w:rsidP="00427CA9"/>
        </w:tc>
        <w:tc>
          <w:tcPr>
            <w:tcW w:w="758" w:type="dxa"/>
            <w:vMerge/>
            <w:tcBorders>
              <w:top w:val="nil"/>
              <w:left w:val="nil"/>
              <w:bottom w:val="single" w:sz="4" w:space="0" w:color="auto"/>
              <w:right w:val="nil"/>
            </w:tcBorders>
            <w:vAlign w:val="center"/>
            <w:hideMark/>
          </w:tcPr>
          <w:p w14:paraId="19A5FBC9" w14:textId="77777777" w:rsidR="00757BCD" w:rsidRPr="007132E9" w:rsidRDefault="00757BCD" w:rsidP="00427CA9"/>
        </w:tc>
        <w:tc>
          <w:tcPr>
            <w:tcW w:w="1099" w:type="dxa"/>
            <w:vMerge/>
            <w:tcBorders>
              <w:top w:val="nil"/>
              <w:left w:val="nil"/>
              <w:bottom w:val="single" w:sz="4" w:space="0" w:color="auto"/>
              <w:right w:val="nil"/>
            </w:tcBorders>
            <w:vAlign w:val="center"/>
            <w:hideMark/>
          </w:tcPr>
          <w:p w14:paraId="0FB8FE34" w14:textId="77777777" w:rsidR="00757BCD" w:rsidRPr="007132E9" w:rsidRDefault="00757BCD" w:rsidP="00427CA9"/>
        </w:tc>
      </w:tr>
    </w:tbl>
    <w:p w14:paraId="68D84966" w14:textId="77777777" w:rsidR="00BB7053" w:rsidRDefault="00BB7053" w:rsidP="00757BCD">
      <w:pPr>
        <w:spacing w:line="360" w:lineRule="auto"/>
        <w:ind w:firstLine="720"/>
        <w:jc w:val="both"/>
        <w:rPr>
          <w:lang w:val="en-US"/>
        </w:rPr>
      </w:pPr>
    </w:p>
    <w:p w14:paraId="4C84B229" w14:textId="77777777" w:rsidR="00757BCD" w:rsidRDefault="00BB7053" w:rsidP="00757BCD">
      <w:pPr>
        <w:spacing w:line="360" w:lineRule="auto"/>
        <w:ind w:firstLine="720"/>
        <w:jc w:val="both"/>
        <w:rPr>
          <w:lang w:val="en-US"/>
        </w:rPr>
      </w:pPr>
      <w:r w:rsidRPr="00BB7053">
        <w:rPr>
          <w:lang w:val="en-US"/>
        </w:rPr>
        <w:t>The correlations presented in Table 3, as well as in Figure 1, indicated moderate and statistically significant associations between depression and anxiety (rho = 0.54; p = 0.0055), depression and stress (rho = 0.69; p &lt; 0.001), and anxiety and stress (rho = 0.45; p = 0.025). On the other hand, the correlations between anxiety, depression and stress variables with age were weak and not significant. The result indicates that transsexuals and transvestites, in addition to presenting high levels of anxiety, depression and stress, these mental illness processes also correlate with each other.</w:t>
      </w:r>
    </w:p>
    <w:p w14:paraId="19B39C26" w14:textId="77777777" w:rsidR="00BD2EC2" w:rsidRDefault="00BD2EC2">
      <w:pPr>
        <w:spacing w:line="360" w:lineRule="auto"/>
        <w:jc w:val="both"/>
        <w:rPr>
          <w:lang w:val="en-US"/>
        </w:rPr>
      </w:pPr>
    </w:p>
    <w:p w14:paraId="1A7A1BB3" w14:textId="77777777" w:rsidR="00BB7053" w:rsidRPr="00BD2EC2" w:rsidRDefault="00BB7053" w:rsidP="00BB7053">
      <w:pPr>
        <w:spacing w:line="360" w:lineRule="auto"/>
        <w:rPr>
          <w:rFonts w:ascii="Arimo" w:eastAsia="Arimo" w:hAnsi="Arimo" w:cs="Arimo"/>
          <w:b/>
          <w:color w:val="00000A"/>
          <w:lang w:val="en-US"/>
        </w:rPr>
      </w:pPr>
      <w:r>
        <w:rPr>
          <w:b/>
          <w:color w:val="00000A"/>
          <w:lang w:val="en-US"/>
        </w:rPr>
        <w:t>Table 3</w:t>
      </w:r>
    </w:p>
    <w:p w14:paraId="598556DA" w14:textId="77777777" w:rsidR="00BB7053" w:rsidRDefault="00BB7053" w:rsidP="00DB1EC2">
      <w:pPr>
        <w:spacing w:line="360" w:lineRule="auto"/>
        <w:jc w:val="both"/>
        <w:rPr>
          <w:i/>
          <w:color w:val="00000A"/>
          <w:lang w:val="en-US"/>
        </w:rPr>
      </w:pPr>
      <w:r w:rsidRPr="00BB7053">
        <w:rPr>
          <w:i/>
          <w:color w:val="00000A"/>
          <w:lang w:val="en-US"/>
        </w:rPr>
        <w:t>Analysis of correlations between anxiety, depression, stress and age in tran</w:t>
      </w:r>
      <w:r w:rsidR="00C262FD">
        <w:rPr>
          <w:i/>
          <w:color w:val="00000A"/>
          <w:lang w:val="en-US"/>
        </w:rPr>
        <w:t>ssexual and transvestite people</w:t>
      </w:r>
    </w:p>
    <w:tbl>
      <w:tblPr>
        <w:tblW w:w="9356" w:type="dxa"/>
        <w:tblCellMar>
          <w:left w:w="70" w:type="dxa"/>
          <w:right w:w="70" w:type="dxa"/>
        </w:tblCellMar>
        <w:tblLook w:val="04A0" w:firstRow="1" w:lastRow="0" w:firstColumn="1" w:lastColumn="0" w:noHBand="0" w:noVBand="1"/>
      </w:tblPr>
      <w:tblGrid>
        <w:gridCol w:w="2410"/>
        <w:gridCol w:w="1843"/>
        <w:gridCol w:w="1276"/>
        <w:gridCol w:w="3827"/>
      </w:tblGrid>
      <w:tr w:rsidR="00BB7053" w:rsidRPr="007132E9" w14:paraId="0CBBF7A4" w14:textId="77777777" w:rsidTr="00BB7053">
        <w:trPr>
          <w:trHeight w:val="266"/>
        </w:trPr>
        <w:tc>
          <w:tcPr>
            <w:tcW w:w="2410" w:type="dxa"/>
            <w:tcBorders>
              <w:top w:val="single" w:sz="4" w:space="0" w:color="auto"/>
              <w:left w:val="nil"/>
              <w:bottom w:val="single" w:sz="4" w:space="0" w:color="auto"/>
              <w:right w:val="nil"/>
            </w:tcBorders>
            <w:vAlign w:val="center"/>
            <w:hideMark/>
          </w:tcPr>
          <w:p w14:paraId="6B61C534" w14:textId="77777777" w:rsidR="00BB7053" w:rsidRPr="007132E9" w:rsidRDefault="00BB7053" w:rsidP="00427CA9">
            <w:pPr>
              <w:jc w:val="center"/>
              <w:rPr>
                <w:b/>
                <w:bCs/>
              </w:rPr>
            </w:pPr>
            <w:r w:rsidRPr="007132E9">
              <w:rPr>
                <w:b/>
                <w:bCs/>
              </w:rPr>
              <w:t>Variables</w:t>
            </w:r>
          </w:p>
        </w:tc>
        <w:tc>
          <w:tcPr>
            <w:tcW w:w="1843" w:type="dxa"/>
            <w:tcBorders>
              <w:top w:val="single" w:sz="4" w:space="0" w:color="auto"/>
              <w:left w:val="nil"/>
              <w:bottom w:val="single" w:sz="4" w:space="0" w:color="auto"/>
              <w:right w:val="nil"/>
            </w:tcBorders>
            <w:vAlign w:val="center"/>
            <w:hideMark/>
          </w:tcPr>
          <w:p w14:paraId="20D75E31" w14:textId="77777777" w:rsidR="00BB7053" w:rsidRPr="007132E9" w:rsidRDefault="00BB7053" w:rsidP="00427CA9">
            <w:pPr>
              <w:jc w:val="center"/>
              <w:rPr>
                <w:b/>
                <w:bCs/>
              </w:rPr>
            </w:pPr>
            <w:proofErr w:type="spellStart"/>
            <w:r w:rsidRPr="007132E9">
              <w:rPr>
                <w:b/>
                <w:bCs/>
              </w:rPr>
              <w:t>Spearman's</w:t>
            </w:r>
            <w:proofErr w:type="spellEnd"/>
            <w:r w:rsidRPr="007132E9">
              <w:rPr>
                <w:b/>
                <w:bCs/>
              </w:rPr>
              <w:t xml:space="preserve"> rho</w:t>
            </w:r>
          </w:p>
        </w:tc>
        <w:tc>
          <w:tcPr>
            <w:tcW w:w="1276" w:type="dxa"/>
            <w:tcBorders>
              <w:top w:val="single" w:sz="4" w:space="0" w:color="auto"/>
              <w:left w:val="nil"/>
              <w:bottom w:val="single" w:sz="4" w:space="0" w:color="auto"/>
              <w:right w:val="nil"/>
            </w:tcBorders>
            <w:vAlign w:val="center"/>
            <w:hideMark/>
          </w:tcPr>
          <w:p w14:paraId="014552D9" w14:textId="77777777" w:rsidR="00BB7053" w:rsidRPr="007132E9" w:rsidRDefault="00BB7053" w:rsidP="00427CA9">
            <w:pPr>
              <w:jc w:val="center"/>
              <w:rPr>
                <w:b/>
                <w:bCs/>
              </w:rPr>
            </w:pPr>
            <w:r w:rsidRPr="007132E9">
              <w:rPr>
                <w:b/>
                <w:bCs/>
              </w:rPr>
              <w:t>p-</w:t>
            </w:r>
            <w:proofErr w:type="spellStart"/>
            <w:r w:rsidRPr="007132E9">
              <w:rPr>
                <w:b/>
                <w:bCs/>
              </w:rPr>
              <w:t>value</w:t>
            </w:r>
            <w:proofErr w:type="spellEnd"/>
          </w:p>
        </w:tc>
        <w:tc>
          <w:tcPr>
            <w:tcW w:w="3827" w:type="dxa"/>
            <w:tcBorders>
              <w:top w:val="single" w:sz="4" w:space="0" w:color="auto"/>
              <w:left w:val="nil"/>
              <w:bottom w:val="single" w:sz="4" w:space="0" w:color="auto"/>
              <w:right w:val="nil"/>
            </w:tcBorders>
            <w:vAlign w:val="center"/>
            <w:hideMark/>
          </w:tcPr>
          <w:p w14:paraId="5B880887" w14:textId="77777777" w:rsidR="00BB7053" w:rsidRPr="007132E9" w:rsidRDefault="00BB7053" w:rsidP="00427CA9">
            <w:pPr>
              <w:jc w:val="center"/>
              <w:rPr>
                <w:b/>
                <w:bCs/>
              </w:rPr>
            </w:pPr>
            <w:proofErr w:type="spellStart"/>
            <w:r w:rsidRPr="007132E9">
              <w:rPr>
                <w:b/>
                <w:bCs/>
              </w:rPr>
              <w:t>Interpretation</w:t>
            </w:r>
            <w:proofErr w:type="spellEnd"/>
          </w:p>
        </w:tc>
      </w:tr>
      <w:tr w:rsidR="00BB7053" w:rsidRPr="007132E9" w14:paraId="22E17663" w14:textId="77777777" w:rsidTr="00BB7053">
        <w:trPr>
          <w:trHeight w:val="275"/>
        </w:trPr>
        <w:tc>
          <w:tcPr>
            <w:tcW w:w="2410" w:type="dxa"/>
            <w:tcBorders>
              <w:top w:val="nil"/>
              <w:left w:val="nil"/>
              <w:bottom w:val="nil"/>
              <w:right w:val="nil"/>
            </w:tcBorders>
            <w:hideMark/>
          </w:tcPr>
          <w:p w14:paraId="2218104B" w14:textId="77777777" w:rsidR="00BB7053" w:rsidRPr="007132E9" w:rsidRDefault="00BB7053" w:rsidP="00427CA9">
            <w:proofErr w:type="spellStart"/>
            <w:r w:rsidRPr="007132E9">
              <w:t>Depression</w:t>
            </w:r>
            <w:proofErr w:type="spellEnd"/>
            <w:r w:rsidRPr="007132E9">
              <w:t xml:space="preserve"> × </w:t>
            </w:r>
            <w:proofErr w:type="spellStart"/>
            <w:r w:rsidRPr="007132E9">
              <w:t>Anxiety</w:t>
            </w:r>
            <w:proofErr w:type="spellEnd"/>
          </w:p>
        </w:tc>
        <w:tc>
          <w:tcPr>
            <w:tcW w:w="1843" w:type="dxa"/>
            <w:tcBorders>
              <w:top w:val="nil"/>
              <w:left w:val="nil"/>
              <w:bottom w:val="nil"/>
              <w:right w:val="nil"/>
            </w:tcBorders>
            <w:vAlign w:val="center"/>
            <w:hideMark/>
          </w:tcPr>
          <w:p w14:paraId="1035CC30" w14:textId="77777777" w:rsidR="00BB7053" w:rsidRPr="007132E9" w:rsidRDefault="00BB7053" w:rsidP="00427CA9">
            <w:pPr>
              <w:jc w:val="center"/>
            </w:pPr>
            <w:r w:rsidRPr="007132E9">
              <w:t>0.5384</w:t>
            </w:r>
          </w:p>
        </w:tc>
        <w:tc>
          <w:tcPr>
            <w:tcW w:w="1276" w:type="dxa"/>
            <w:tcBorders>
              <w:top w:val="nil"/>
              <w:left w:val="nil"/>
              <w:bottom w:val="nil"/>
              <w:right w:val="nil"/>
            </w:tcBorders>
            <w:vAlign w:val="center"/>
            <w:hideMark/>
          </w:tcPr>
          <w:p w14:paraId="7AE71717" w14:textId="77777777" w:rsidR="00BB7053" w:rsidRPr="007132E9" w:rsidRDefault="00BB7053" w:rsidP="00427CA9">
            <w:pPr>
              <w:jc w:val="center"/>
            </w:pPr>
            <w:r w:rsidRPr="007132E9">
              <w:t>0.0055</w:t>
            </w:r>
          </w:p>
        </w:tc>
        <w:tc>
          <w:tcPr>
            <w:tcW w:w="3827" w:type="dxa"/>
            <w:tcBorders>
              <w:top w:val="nil"/>
              <w:left w:val="nil"/>
              <w:bottom w:val="nil"/>
              <w:right w:val="nil"/>
            </w:tcBorders>
            <w:hideMark/>
          </w:tcPr>
          <w:p w14:paraId="0E6DBC67" w14:textId="77777777" w:rsidR="00BB7053" w:rsidRPr="007132E9" w:rsidRDefault="00BB7053" w:rsidP="00427CA9">
            <w:pPr>
              <w:jc w:val="center"/>
            </w:pPr>
            <w:proofErr w:type="spellStart"/>
            <w:r w:rsidRPr="007132E9">
              <w:t>Moderate</w:t>
            </w:r>
            <w:proofErr w:type="spellEnd"/>
            <w:r w:rsidRPr="007132E9">
              <w:t xml:space="preserve"> and </w:t>
            </w:r>
            <w:proofErr w:type="spellStart"/>
            <w:r w:rsidRPr="007132E9">
              <w:t>significant</w:t>
            </w:r>
            <w:proofErr w:type="spellEnd"/>
            <w:r w:rsidRPr="007132E9">
              <w:t xml:space="preserve"> </w:t>
            </w:r>
            <w:proofErr w:type="spellStart"/>
            <w:r w:rsidRPr="007132E9">
              <w:t>correlation</w:t>
            </w:r>
            <w:proofErr w:type="spellEnd"/>
          </w:p>
        </w:tc>
      </w:tr>
      <w:tr w:rsidR="00BB7053" w:rsidRPr="007132E9" w14:paraId="0217EDA8" w14:textId="77777777" w:rsidTr="00BB7053">
        <w:trPr>
          <w:trHeight w:val="275"/>
        </w:trPr>
        <w:tc>
          <w:tcPr>
            <w:tcW w:w="2410" w:type="dxa"/>
            <w:tcBorders>
              <w:top w:val="nil"/>
              <w:left w:val="nil"/>
              <w:bottom w:val="nil"/>
              <w:right w:val="nil"/>
            </w:tcBorders>
            <w:hideMark/>
          </w:tcPr>
          <w:p w14:paraId="3E878BEE" w14:textId="77777777" w:rsidR="00BB7053" w:rsidRPr="007132E9" w:rsidRDefault="00BB7053" w:rsidP="00427CA9">
            <w:proofErr w:type="spellStart"/>
            <w:r w:rsidRPr="007132E9">
              <w:t>Depression</w:t>
            </w:r>
            <w:proofErr w:type="spellEnd"/>
            <w:r w:rsidRPr="007132E9">
              <w:t xml:space="preserve"> × Stress</w:t>
            </w:r>
          </w:p>
        </w:tc>
        <w:tc>
          <w:tcPr>
            <w:tcW w:w="1843" w:type="dxa"/>
            <w:tcBorders>
              <w:top w:val="nil"/>
              <w:left w:val="nil"/>
              <w:bottom w:val="nil"/>
              <w:right w:val="nil"/>
            </w:tcBorders>
            <w:vAlign w:val="center"/>
            <w:hideMark/>
          </w:tcPr>
          <w:p w14:paraId="71100CBD" w14:textId="77777777" w:rsidR="00BB7053" w:rsidRPr="007132E9" w:rsidRDefault="00BB7053" w:rsidP="00427CA9">
            <w:pPr>
              <w:jc w:val="center"/>
            </w:pPr>
            <w:r w:rsidRPr="007132E9">
              <w:t>0.6929</w:t>
            </w:r>
          </w:p>
        </w:tc>
        <w:tc>
          <w:tcPr>
            <w:tcW w:w="1276" w:type="dxa"/>
            <w:tcBorders>
              <w:top w:val="nil"/>
              <w:left w:val="nil"/>
              <w:bottom w:val="nil"/>
              <w:right w:val="nil"/>
            </w:tcBorders>
            <w:vAlign w:val="center"/>
            <w:hideMark/>
          </w:tcPr>
          <w:p w14:paraId="0FC5A25A" w14:textId="77777777" w:rsidR="00BB7053" w:rsidRPr="007132E9" w:rsidRDefault="00BB7053" w:rsidP="00427CA9">
            <w:pPr>
              <w:jc w:val="center"/>
            </w:pPr>
            <w:r w:rsidRPr="007132E9">
              <w:t>0.0001</w:t>
            </w:r>
          </w:p>
        </w:tc>
        <w:tc>
          <w:tcPr>
            <w:tcW w:w="3827" w:type="dxa"/>
            <w:tcBorders>
              <w:top w:val="nil"/>
              <w:left w:val="nil"/>
              <w:bottom w:val="nil"/>
              <w:right w:val="nil"/>
            </w:tcBorders>
            <w:hideMark/>
          </w:tcPr>
          <w:p w14:paraId="2BF21B8E" w14:textId="77777777" w:rsidR="00BB7053" w:rsidRPr="007132E9" w:rsidRDefault="00BB7053" w:rsidP="00427CA9">
            <w:pPr>
              <w:jc w:val="center"/>
            </w:pPr>
            <w:proofErr w:type="spellStart"/>
            <w:r w:rsidRPr="007132E9">
              <w:t>Strong</w:t>
            </w:r>
            <w:proofErr w:type="spellEnd"/>
            <w:r w:rsidRPr="007132E9">
              <w:t xml:space="preserve"> and </w:t>
            </w:r>
            <w:proofErr w:type="spellStart"/>
            <w:r w:rsidRPr="007132E9">
              <w:t>significant</w:t>
            </w:r>
            <w:proofErr w:type="spellEnd"/>
            <w:r w:rsidRPr="007132E9">
              <w:t xml:space="preserve"> </w:t>
            </w:r>
            <w:proofErr w:type="spellStart"/>
            <w:r w:rsidRPr="007132E9">
              <w:t>correlation</w:t>
            </w:r>
            <w:proofErr w:type="spellEnd"/>
          </w:p>
        </w:tc>
      </w:tr>
      <w:tr w:rsidR="00BB7053" w:rsidRPr="007132E9" w14:paraId="2F1B50B4" w14:textId="77777777" w:rsidTr="00BB7053">
        <w:trPr>
          <w:trHeight w:val="275"/>
        </w:trPr>
        <w:tc>
          <w:tcPr>
            <w:tcW w:w="2410" w:type="dxa"/>
            <w:tcBorders>
              <w:top w:val="nil"/>
              <w:left w:val="nil"/>
              <w:bottom w:val="nil"/>
              <w:right w:val="nil"/>
            </w:tcBorders>
            <w:hideMark/>
          </w:tcPr>
          <w:p w14:paraId="6B04FC0D" w14:textId="77777777" w:rsidR="00BB7053" w:rsidRPr="007132E9" w:rsidRDefault="00BB7053" w:rsidP="00427CA9">
            <w:proofErr w:type="spellStart"/>
            <w:r w:rsidRPr="007132E9">
              <w:t>Depression</w:t>
            </w:r>
            <w:proofErr w:type="spellEnd"/>
            <w:r w:rsidRPr="007132E9">
              <w:t xml:space="preserve"> × Age</w:t>
            </w:r>
          </w:p>
        </w:tc>
        <w:tc>
          <w:tcPr>
            <w:tcW w:w="1843" w:type="dxa"/>
            <w:tcBorders>
              <w:top w:val="nil"/>
              <w:left w:val="nil"/>
              <w:bottom w:val="nil"/>
              <w:right w:val="nil"/>
            </w:tcBorders>
            <w:vAlign w:val="center"/>
            <w:hideMark/>
          </w:tcPr>
          <w:p w14:paraId="39467D81" w14:textId="77777777" w:rsidR="00BB7053" w:rsidRPr="007132E9" w:rsidRDefault="00BB7053" w:rsidP="00427CA9">
            <w:pPr>
              <w:jc w:val="center"/>
            </w:pPr>
            <w:r w:rsidRPr="007132E9">
              <w:t>-0.1998</w:t>
            </w:r>
          </w:p>
        </w:tc>
        <w:tc>
          <w:tcPr>
            <w:tcW w:w="1276" w:type="dxa"/>
            <w:tcBorders>
              <w:top w:val="nil"/>
              <w:left w:val="nil"/>
              <w:bottom w:val="nil"/>
              <w:right w:val="nil"/>
            </w:tcBorders>
            <w:vAlign w:val="center"/>
            <w:hideMark/>
          </w:tcPr>
          <w:p w14:paraId="6049954E" w14:textId="77777777" w:rsidR="00BB7053" w:rsidRPr="007132E9" w:rsidRDefault="00BB7053" w:rsidP="00427CA9">
            <w:pPr>
              <w:jc w:val="center"/>
            </w:pPr>
            <w:r w:rsidRPr="007132E9">
              <w:t>0.3383</w:t>
            </w:r>
          </w:p>
        </w:tc>
        <w:tc>
          <w:tcPr>
            <w:tcW w:w="3827" w:type="dxa"/>
            <w:tcBorders>
              <w:top w:val="nil"/>
              <w:left w:val="nil"/>
              <w:bottom w:val="nil"/>
              <w:right w:val="nil"/>
            </w:tcBorders>
            <w:hideMark/>
          </w:tcPr>
          <w:p w14:paraId="01F1AA34" w14:textId="77777777" w:rsidR="00BB7053" w:rsidRPr="007132E9" w:rsidRDefault="00BB7053" w:rsidP="00427CA9">
            <w:pPr>
              <w:jc w:val="center"/>
              <w:rPr>
                <w:lang w:val="en-US"/>
              </w:rPr>
            </w:pPr>
            <w:r w:rsidRPr="007132E9">
              <w:rPr>
                <w:lang w:val="en-US"/>
              </w:rPr>
              <w:t>Weak and non-significant correlation</w:t>
            </w:r>
          </w:p>
        </w:tc>
      </w:tr>
      <w:tr w:rsidR="00BB7053" w:rsidRPr="007132E9" w14:paraId="3658BBE2" w14:textId="77777777" w:rsidTr="00BB7053">
        <w:trPr>
          <w:trHeight w:val="275"/>
        </w:trPr>
        <w:tc>
          <w:tcPr>
            <w:tcW w:w="2410" w:type="dxa"/>
            <w:tcBorders>
              <w:top w:val="nil"/>
              <w:left w:val="nil"/>
              <w:bottom w:val="nil"/>
              <w:right w:val="nil"/>
            </w:tcBorders>
            <w:hideMark/>
          </w:tcPr>
          <w:p w14:paraId="45F3CBA1" w14:textId="77777777" w:rsidR="00BB7053" w:rsidRPr="007132E9" w:rsidRDefault="00BB7053" w:rsidP="00427CA9">
            <w:proofErr w:type="spellStart"/>
            <w:r w:rsidRPr="007132E9">
              <w:t>Anxiety</w:t>
            </w:r>
            <w:proofErr w:type="spellEnd"/>
            <w:r w:rsidRPr="007132E9">
              <w:t xml:space="preserve"> × Stress</w:t>
            </w:r>
          </w:p>
        </w:tc>
        <w:tc>
          <w:tcPr>
            <w:tcW w:w="1843" w:type="dxa"/>
            <w:tcBorders>
              <w:top w:val="nil"/>
              <w:left w:val="nil"/>
              <w:bottom w:val="nil"/>
              <w:right w:val="nil"/>
            </w:tcBorders>
            <w:vAlign w:val="center"/>
            <w:hideMark/>
          </w:tcPr>
          <w:p w14:paraId="34D7BFD9" w14:textId="77777777" w:rsidR="00BB7053" w:rsidRPr="007132E9" w:rsidRDefault="00BB7053" w:rsidP="00427CA9">
            <w:pPr>
              <w:jc w:val="center"/>
            </w:pPr>
            <w:r w:rsidRPr="007132E9">
              <w:t>0.4466</w:t>
            </w:r>
          </w:p>
        </w:tc>
        <w:tc>
          <w:tcPr>
            <w:tcW w:w="1276" w:type="dxa"/>
            <w:tcBorders>
              <w:top w:val="nil"/>
              <w:left w:val="nil"/>
              <w:bottom w:val="nil"/>
              <w:right w:val="nil"/>
            </w:tcBorders>
            <w:vAlign w:val="center"/>
            <w:hideMark/>
          </w:tcPr>
          <w:p w14:paraId="53E7B1EF" w14:textId="77777777" w:rsidR="00BB7053" w:rsidRPr="007132E9" w:rsidRDefault="00BB7053" w:rsidP="00427CA9">
            <w:pPr>
              <w:jc w:val="center"/>
            </w:pPr>
            <w:r w:rsidRPr="007132E9">
              <w:t>0.0252</w:t>
            </w:r>
          </w:p>
        </w:tc>
        <w:tc>
          <w:tcPr>
            <w:tcW w:w="3827" w:type="dxa"/>
            <w:tcBorders>
              <w:top w:val="nil"/>
              <w:left w:val="nil"/>
              <w:bottom w:val="nil"/>
              <w:right w:val="nil"/>
            </w:tcBorders>
            <w:hideMark/>
          </w:tcPr>
          <w:p w14:paraId="7AA21050" w14:textId="77777777" w:rsidR="00BB7053" w:rsidRPr="007132E9" w:rsidRDefault="00BB7053" w:rsidP="00427CA9">
            <w:pPr>
              <w:jc w:val="center"/>
            </w:pPr>
            <w:proofErr w:type="spellStart"/>
            <w:r w:rsidRPr="007132E9">
              <w:t>Moderate</w:t>
            </w:r>
            <w:proofErr w:type="spellEnd"/>
            <w:r w:rsidRPr="007132E9">
              <w:t xml:space="preserve"> and </w:t>
            </w:r>
            <w:proofErr w:type="spellStart"/>
            <w:r w:rsidRPr="007132E9">
              <w:t>significant</w:t>
            </w:r>
            <w:proofErr w:type="spellEnd"/>
            <w:r w:rsidRPr="007132E9">
              <w:t xml:space="preserve"> </w:t>
            </w:r>
            <w:proofErr w:type="spellStart"/>
            <w:r w:rsidRPr="007132E9">
              <w:t>correlation</w:t>
            </w:r>
            <w:proofErr w:type="spellEnd"/>
          </w:p>
        </w:tc>
      </w:tr>
      <w:tr w:rsidR="00BB7053" w:rsidRPr="007132E9" w14:paraId="167C2209" w14:textId="77777777" w:rsidTr="00BB7053">
        <w:trPr>
          <w:trHeight w:val="275"/>
        </w:trPr>
        <w:tc>
          <w:tcPr>
            <w:tcW w:w="2410" w:type="dxa"/>
            <w:tcBorders>
              <w:top w:val="nil"/>
              <w:left w:val="nil"/>
              <w:bottom w:val="nil"/>
              <w:right w:val="nil"/>
            </w:tcBorders>
            <w:hideMark/>
          </w:tcPr>
          <w:p w14:paraId="052C9975" w14:textId="77777777" w:rsidR="00BB7053" w:rsidRPr="007132E9" w:rsidRDefault="00BB7053" w:rsidP="00427CA9">
            <w:proofErr w:type="spellStart"/>
            <w:r w:rsidRPr="007132E9">
              <w:t>Anxiety</w:t>
            </w:r>
            <w:proofErr w:type="spellEnd"/>
            <w:r w:rsidRPr="007132E9">
              <w:t xml:space="preserve"> × Age</w:t>
            </w:r>
          </w:p>
        </w:tc>
        <w:tc>
          <w:tcPr>
            <w:tcW w:w="1843" w:type="dxa"/>
            <w:tcBorders>
              <w:top w:val="nil"/>
              <w:left w:val="nil"/>
              <w:bottom w:val="nil"/>
              <w:right w:val="nil"/>
            </w:tcBorders>
            <w:vAlign w:val="center"/>
            <w:hideMark/>
          </w:tcPr>
          <w:p w14:paraId="1B07D481" w14:textId="77777777" w:rsidR="00BB7053" w:rsidRPr="007132E9" w:rsidRDefault="00BB7053" w:rsidP="00427CA9">
            <w:pPr>
              <w:jc w:val="center"/>
            </w:pPr>
            <w:r w:rsidRPr="007132E9">
              <w:t>0.1892</w:t>
            </w:r>
          </w:p>
        </w:tc>
        <w:tc>
          <w:tcPr>
            <w:tcW w:w="1276" w:type="dxa"/>
            <w:tcBorders>
              <w:top w:val="nil"/>
              <w:left w:val="nil"/>
              <w:bottom w:val="nil"/>
              <w:right w:val="nil"/>
            </w:tcBorders>
            <w:vAlign w:val="center"/>
            <w:hideMark/>
          </w:tcPr>
          <w:p w14:paraId="167018C8" w14:textId="77777777" w:rsidR="00BB7053" w:rsidRPr="007132E9" w:rsidRDefault="00BB7053" w:rsidP="00427CA9">
            <w:pPr>
              <w:jc w:val="center"/>
            </w:pPr>
            <w:r w:rsidRPr="007132E9">
              <w:t>0.3651</w:t>
            </w:r>
          </w:p>
        </w:tc>
        <w:tc>
          <w:tcPr>
            <w:tcW w:w="3827" w:type="dxa"/>
            <w:tcBorders>
              <w:top w:val="nil"/>
              <w:left w:val="nil"/>
              <w:bottom w:val="nil"/>
              <w:right w:val="nil"/>
            </w:tcBorders>
            <w:hideMark/>
          </w:tcPr>
          <w:p w14:paraId="657361CF" w14:textId="77777777" w:rsidR="00BB7053" w:rsidRPr="007132E9" w:rsidRDefault="00BB7053" w:rsidP="00427CA9">
            <w:pPr>
              <w:jc w:val="center"/>
              <w:rPr>
                <w:lang w:val="en-US"/>
              </w:rPr>
            </w:pPr>
            <w:r w:rsidRPr="007132E9">
              <w:rPr>
                <w:lang w:val="en-US"/>
              </w:rPr>
              <w:t>Weak and non-significant correlation</w:t>
            </w:r>
          </w:p>
        </w:tc>
      </w:tr>
      <w:tr w:rsidR="00BB7053" w:rsidRPr="007132E9" w14:paraId="0B9A2AC8" w14:textId="77777777" w:rsidTr="00BB7053">
        <w:trPr>
          <w:trHeight w:val="275"/>
        </w:trPr>
        <w:tc>
          <w:tcPr>
            <w:tcW w:w="2410" w:type="dxa"/>
            <w:tcBorders>
              <w:top w:val="nil"/>
              <w:left w:val="nil"/>
              <w:bottom w:val="single" w:sz="4" w:space="0" w:color="auto"/>
              <w:right w:val="nil"/>
            </w:tcBorders>
            <w:hideMark/>
          </w:tcPr>
          <w:p w14:paraId="333272F6" w14:textId="77777777" w:rsidR="00BB7053" w:rsidRPr="007132E9" w:rsidRDefault="00BB7053" w:rsidP="00427CA9">
            <w:r w:rsidRPr="007132E9">
              <w:t>Stress × Age</w:t>
            </w:r>
          </w:p>
        </w:tc>
        <w:tc>
          <w:tcPr>
            <w:tcW w:w="1843" w:type="dxa"/>
            <w:tcBorders>
              <w:top w:val="nil"/>
              <w:left w:val="nil"/>
              <w:bottom w:val="single" w:sz="4" w:space="0" w:color="auto"/>
              <w:right w:val="nil"/>
            </w:tcBorders>
            <w:vAlign w:val="center"/>
            <w:hideMark/>
          </w:tcPr>
          <w:p w14:paraId="317109FB" w14:textId="77777777" w:rsidR="00BB7053" w:rsidRPr="007132E9" w:rsidRDefault="00BB7053" w:rsidP="00427CA9">
            <w:pPr>
              <w:jc w:val="center"/>
            </w:pPr>
            <w:r w:rsidRPr="007132E9">
              <w:t>-0.3065</w:t>
            </w:r>
          </w:p>
        </w:tc>
        <w:tc>
          <w:tcPr>
            <w:tcW w:w="1276" w:type="dxa"/>
            <w:tcBorders>
              <w:top w:val="nil"/>
              <w:left w:val="nil"/>
              <w:bottom w:val="single" w:sz="4" w:space="0" w:color="auto"/>
              <w:right w:val="nil"/>
            </w:tcBorders>
            <w:vAlign w:val="center"/>
            <w:hideMark/>
          </w:tcPr>
          <w:p w14:paraId="5898A804" w14:textId="77777777" w:rsidR="00BB7053" w:rsidRPr="007132E9" w:rsidRDefault="00BB7053" w:rsidP="00427CA9">
            <w:pPr>
              <w:jc w:val="center"/>
            </w:pPr>
            <w:r w:rsidRPr="007132E9">
              <w:t>0.1361</w:t>
            </w:r>
          </w:p>
        </w:tc>
        <w:tc>
          <w:tcPr>
            <w:tcW w:w="3827" w:type="dxa"/>
            <w:tcBorders>
              <w:top w:val="nil"/>
              <w:left w:val="nil"/>
              <w:bottom w:val="single" w:sz="4" w:space="0" w:color="auto"/>
              <w:right w:val="nil"/>
            </w:tcBorders>
            <w:hideMark/>
          </w:tcPr>
          <w:p w14:paraId="73728661" w14:textId="77777777" w:rsidR="00BB7053" w:rsidRPr="007132E9" w:rsidRDefault="00BB7053" w:rsidP="00427CA9">
            <w:pPr>
              <w:jc w:val="center"/>
              <w:rPr>
                <w:lang w:val="en-US"/>
              </w:rPr>
            </w:pPr>
            <w:r w:rsidRPr="007132E9">
              <w:rPr>
                <w:lang w:val="en-US"/>
              </w:rPr>
              <w:t>Moderate and non-significant correlation</w:t>
            </w:r>
          </w:p>
        </w:tc>
      </w:tr>
    </w:tbl>
    <w:p w14:paraId="3467F1BB" w14:textId="77777777" w:rsidR="00DB1EC2" w:rsidRDefault="00DB1EC2" w:rsidP="00BB7053">
      <w:pPr>
        <w:spacing w:line="360" w:lineRule="auto"/>
        <w:rPr>
          <w:lang w:val="en-US"/>
        </w:rPr>
      </w:pPr>
    </w:p>
    <w:p w14:paraId="12B159D2" w14:textId="77777777" w:rsidR="007132E9" w:rsidRDefault="007132E9" w:rsidP="00BB7053">
      <w:pPr>
        <w:spacing w:line="360" w:lineRule="auto"/>
        <w:rPr>
          <w:lang w:val="en-US"/>
        </w:rPr>
      </w:pPr>
    </w:p>
    <w:p w14:paraId="38CF7A52" w14:textId="77777777" w:rsidR="007132E9" w:rsidRDefault="007132E9" w:rsidP="00BB7053">
      <w:pPr>
        <w:spacing w:line="360" w:lineRule="auto"/>
        <w:rPr>
          <w:lang w:val="en-US"/>
        </w:rPr>
      </w:pPr>
    </w:p>
    <w:p w14:paraId="0A947C00" w14:textId="77777777" w:rsidR="00BB7053" w:rsidRPr="00BD2EC2" w:rsidRDefault="00BB7053" w:rsidP="00BB7053">
      <w:pPr>
        <w:spacing w:line="360" w:lineRule="auto"/>
        <w:rPr>
          <w:rFonts w:ascii="Arimo" w:eastAsia="Arimo" w:hAnsi="Arimo" w:cs="Arimo"/>
          <w:b/>
          <w:color w:val="00000A"/>
          <w:lang w:val="en-US"/>
        </w:rPr>
      </w:pPr>
      <w:r>
        <w:rPr>
          <w:b/>
          <w:color w:val="00000A"/>
          <w:lang w:val="en-US"/>
        </w:rPr>
        <w:lastRenderedPageBreak/>
        <w:t>Figure 1</w:t>
      </w:r>
    </w:p>
    <w:p w14:paraId="7D65C82A" w14:textId="77777777" w:rsidR="00BD2EC2" w:rsidRDefault="00BB7053" w:rsidP="00BB7053">
      <w:pPr>
        <w:jc w:val="both"/>
        <w:rPr>
          <w:lang w:val="en-US"/>
        </w:rPr>
      </w:pPr>
      <w:r w:rsidRPr="00BB7053">
        <w:rPr>
          <w:i/>
          <w:color w:val="00000A"/>
          <w:lang w:val="en-US"/>
        </w:rPr>
        <w:t>Spearman's correlation matrix between the levels of anxiety, depression, stress and age of tran</w:t>
      </w:r>
      <w:r w:rsidR="00C262FD">
        <w:rPr>
          <w:i/>
          <w:color w:val="00000A"/>
          <w:lang w:val="en-US"/>
        </w:rPr>
        <w:t>ssexual and transvestite people</w:t>
      </w:r>
    </w:p>
    <w:p w14:paraId="44BCEDFE" w14:textId="77777777" w:rsidR="00BD2EC2" w:rsidRDefault="00BD2EC2">
      <w:pPr>
        <w:spacing w:line="360" w:lineRule="auto"/>
        <w:jc w:val="both"/>
        <w:rPr>
          <w:lang w:val="en-US"/>
        </w:rPr>
      </w:pPr>
    </w:p>
    <w:p w14:paraId="1F02F122" w14:textId="77777777" w:rsidR="00BD2EC2" w:rsidRDefault="007132E9">
      <w:pPr>
        <w:spacing w:line="360" w:lineRule="auto"/>
        <w:jc w:val="both"/>
        <w:rPr>
          <w:lang w:val="en-US"/>
        </w:rPr>
      </w:pPr>
      <w:r w:rsidRPr="00AE724F">
        <w:rPr>
          <w:noProof/>
        </w:rPr>
        <w:drawing>
          <wp:anchor distT="0" distB="0" distL="114300" distR="114300" simplePos="0" relativeHeight="251661312" behindDoc="0" locked="0" layoutInCell="1" allowOverlap="1" wp14:anchorId="7E741783" wp14:editId="46B6ED6F">
            <wp:simplePos x="0" y="0"/>
            <wp:positionH relativeFrom="margin">
              <wp:align>center</wp:align>
            </wp:positionH>
            <wp:positionV relativeFrom="paragraph">
              <wp:posOffset>13970</wp:posOffset>
            </wp:positionV>
            <wp:extent cx="4657725" cy="3224576"/>
            <wp:effectExtent l="0" t="0" r="0" b="0"/>
            <wp:wrapNone/>
            <wp:docPr id="21116298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703" b="2021"/>
                    <a:stretch/>
                  </pic:blipFill>
                  <pic:spPr bwMode="auto">
                    <a:xfrm>
                      <a:off x="0" y="0"/>
                      <a:ext cx="4657725" cy="32245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E9603F" w14:textId="77777777" w:rsidR="00BD2EC2" w:rsidRDefault="00BD2EC2">
      <w:pPr>
        <w:spacing w:line="360" w:lineRule="auto"/>
        <w:jc w:val="both"/>
        <w:rPr>
          <w:lang w:val="en-US"/>
        </w:rPr>
      </w:pPr>
    </w:p>
    <w:p w14:paraId="6A1E21E2" w14:textId="77777777" w:rsidR="00BD2EC2" w:rsidRDefault="00BD2EC2">
      <w:pPr>
        <w:spacing w:line="360" w:lineRule="auto"/>
        <w:jc w:val="both"/>
        <w:rPr>
          <w:lang w:val="en-US"/>
        </w:rPr>
      </w:pPr>
    </w:p>
    <w:p w14:paraId="2106C281" w14:textId="77777777" w:rsidR="00BD2EC2" w:rsidRDefault="00BD2EC2">
      <w:pPr>
        <w:spacing w:line="360" w:lineRule="auto"/>
        <w:jc w:val="both"/>
        <w:rPr>
          <w:lang w:val="en-US"/>
        </w:rPr>
      </w:pPr>
    </w:p>
    <w:p w14:paraId="1B609BD1" w14:textId="77777777" w:rsidR="00BD2EC2" w:rsidRDefault="00BD2EC2">
      <w:pPr>
        <w:spacing w:line="360" w:lineRule="auto"/>
        <w:jc w:val="both"/>
        <w:rPr>
          <w:lang w:val="en-US"/>
        </w:rPr>
      </w:pPr>
    </w:p>
    <w:p w14:paraId="6446694E" w14:textId="77777777" w:rsidR="005F2416" w:rsidRDefault="005F2416">
      <w:pPr>
        <w:spacing w:line="360" w:lineRule="auto"/>
        <w:jc w:val="both"/>
        <w:rPr>
          <w:lang w:val="en-US"/>
        </w:rPr>
      </w:pPr>
    </w:p>
    <w:p w14:paraId="7C42C101" w14:textId="77777777" w:rsidR="005F2416" w:rsidRDefault="005F2416">
      <w:pPr>
        <w:spacing w:line="360" w:lineRule="auto"/>
        <w:jc w:val="both"/>
        <w:rPr>
          <w:lang w:val="en-US"/>
        </w:rPr>
      </w:pPr>
    </w:p>
    <w:p w14:paraId="27F3443E" w14:textId="77777777" w:rsidR="005F2416" w:rsidRDefault="005F2416">
      <w:pPr>
        <w:spacing w:line="360" w:lineRule="auto"/>
        <w:jc w:val="both"/>
        <w:rPr>
          <w:lang w:val="en-US"/>
        </w:rPr>
      </w:pPr>
    </w:p>
    <w:p w14:paraId="3A8DC22F" w14:textId="77777777" w:rsidR="005F2416" w:rsidRDefault="005F2416">
      <w:pPr>
        <w:spacing w:line="360" w:lineRule="auto"/>
        <w:jc w:val="both"/>
        <w:rPr>
          <w:lang w:val="en-US"/>
        </w:rPr>
      </w:pPr>
    </w:p>
    <w:p w14:paraId="6B5F5FBC" w14:textId="77777777" w:rsidR="00FB07E8" w:rsidRDefault="00FB07E8">
      <w:pPr>
        <w:spacing w:line="360" w:lineRule="auto"/>
        <w:jc w:val="both"/>
        <w:rPr>
          <w:lang w:val="en-US"/>
        </w:rPr>
      </w:pPr>
    </w:p>
    <w:p w14:paraId="44E8A742" w14:textId="77777777" w:rsidR="00DB1EC2" w:rsidRDefault="00DB1EC2">
      <w:pPr>
        <w:spacing w:line="360" w:lineRule="auto"/>
        <w:jc w:val="both"/>
        <w:rPr>
          <w:lang w:val="en-US"/>
        </w:rPr>
      </w:pPr>
    </w:p>
    <w:p w14:paraId="2C656179" w14:textId="77777777" w:rsidR="006375EB" w:rsidRDefault="006375EB">
      <w:pPr>
        <w:spacing w:line="360" w:lineRule="auto"/>
        <w:jc w:val="both"/>
        <w:rPr>
          <w:lang w:val="en-US"/>
        </w:rPr>
      </w:pPr>
    </w:p>
    <w:p w14:paraId="48593845" w14:textId="77777777" w:rsidR="00C262FD" w:rsidRDefault="00C262FD">
      <w:pPr>
        <w:spacing w:line="360" w:lineRule="auto"/>
        <w:jc w:val="both"/>
        <w:rPr>
          <w:lang w:val="en-US"/>
        </w:rPr>
      </w:pPr>
    </w:p>
    <w:p w14:paraId="21D09CB0" w14:textId="77777777" w:rsidR="005F2416" w:rsidRPr="005F2416" w:rsidRDefault="005F2416">
      <w:pPr>
        <w:pBdr>
          <w:top w:val="nil"/>
          <w:left w:val="nil"/>
          <w:bottom w:val="nil"/>
          <w:right w:val="nil"/>
          <w:between w:val="nil"/>
        </w:pBdr>
        <w:jc w:val="center"/>
        <w:rPr>
          <w:color w:val="000000"/>
          <w:lang w:val="en-US"/>
        </w:rPr>
      </w:pPr>
    </w:p>
    <w:p w14:paraId="5B17DBCF" w14:textId="77777777" w:rsidR="005A2CCB" w:rsidRDefault="0030548B">
      <w:pPr>
        <w:pBdr>
          <w:top w:val="nil"/>
          <w:left w:val="nil"/>
          <w:bottom w:val="nil"/>
          <w:right w:val="nil"/>
          <w:between w:val="nil"/>
        </w:pBdr>
        <w:jc w:val="center"/>
        <w:rPr>
          <w:b/>
          <w:color w:val="000000"/>
          <w:lang w:val="en-US"/>
        </w:rPr>
      </w:pPr>
      <w:r w:rsidRPr="004E0A04">
        <w:rPr>
          <w:b/>
          <w:color w:val="000000"/>
          <w:lang w:val="en-US"/>
        </w:rPr>
        <w:t>Discussion</w:t>
      </w:r>
    </w:p>
    <w:p w14:paraId="3D58862A" w14:textId="77777777" w:rsidR="00C262FD" w:rsidRDefault="00C262FD" w:rsidP="00C262FD">
      <w:pPr>
        <w:pBdr>
          <w:top w:val="nil"/>
          <w:left w:val="nil"/>
          <w:bottom w:val="nil"/>
          <w:right w:val="nil"/>
          <w:between w:val="nil"/>
        </w:pBdr>
        <w:spacing w:line="360" w:lineRule="auto"/>
        <w:jc w:val="both"/>
        <w:rPr>
          <w:color w:val="000000"/>
          <w:lang w:val="en-US"/>
        </w:rPr>
      </w:pPr>
    </w:p>
    <w:p w14:paraId="081FDDAA" w14:textId="77777777" w:rsidR="005F2416" w:rsidRPr="005F2416" w:rsidRDefault="005F2416" w:rsidP="005F2416">
      <w:pPr>
        <w:pBdr>
          <w:top w:val="nil"/>
          <w:left w:val="nil"/>
          <w:bottom w:val="nil"/>
          <w:right w:val="nil"/>
          <w:between w:val="nil"/>
        </w:pBdr>
        <w:spacing w:line="360" w:lineRule="auto"/>
        <w:ind w:firstLine="708"/>
        <w:jc w:val="both"/>
        <w:rPr>
          <w:color w:val="000000"/>
          <w:lang w:val="en-US"/>
        </w:rPr>
      </w:pPr>
      <w:r w:rsidRPr="005F2416">
        <w:rPr>
          <w:color w:val="000000"/>
          <w:lang w:val="en-US"/>
        </w:rPr>
        <w:t>The present study showed a prevalence of mild anxiety in 32% of respondents, moderate in 24% and severe in 44%. None of the individuals presented the minimum level, which demonstrates an accentuated mental suffering in this group. Cruz and collaborators (2023b), through the application of a questionnaire in an audience composed exclusively of transsexuals, identified a prevalence of minimum anxiety of 34.8%, mild of 21.7%, moderate of 28,3% and severe of 15.2%, and the marked prevalence of only mild and moderate symptoms in these individuals is attributed to the presence of support from a social network/ support, structured family bond, access to medical care for their specific demands and inclusive employment, that is shown to be effective in improving their quality of life (Cruz et al., 2023b). In addition, the manifestation of signs and symptoms of anxiety are associated with shame, isolation and lack of social and family support, which leads to high levels of mental suffering (Francisco et al., 2020).</w:t>
      </w:r>
    </w:p>
    <w:p w14:paraId="49878585" w14:textId="77777777" w:rsidR="005F2416" w:rsidRPr="005F2416" w:rsidRDefault="005F2416" w:rsidP="005F2416">
      <w:pPr>
        <w:pBdr>
          <w:top w:val="nil"/>
          <w:left w:val="nil"/>
          <w:bottom w:val="nil"/>
          <w:right w:val="nil"/>
          <w:between w:val="nil"/>
        </w:pBdr>
        <w:spacing w:line="360" w:lineRule="auto"/>
        <w:ind w:firstLine="708"/>
        <w:jc w:val="both"/>
        <w:rPr>
          <w:color w:val="000000"/>
          <w:lang w:val="en-US"/>
        </w:rPr>
      </w:pPr>
      <w:r w:rsidRPr="005F2416">
        <w:rPr>
          <w:color w:val="000000"/>
          <w:lang w:val="en-US"/>
        </w:rPr>
        <w:t xml:space="preserve">Another study, conducted through an online form applied to the LGBTQIAPN+ audience, demonstrated that levels of anxiety in trans men and women is significantly higher than in other </w:t>
      </w:r>
      <w:r w:rsidRPr="005F2416">
        <w:rPr>
          <w:color w:val="000000"/>
          <w:lang w:val="en-US"/>
        </w:rPr>
        <w:lastRenderedPageBreak/>
        <w:t xml:space="preserve">gender identities (Figueira, 2020).  In this sense, it should be noted that the high levels of anxiety identified in transsexual people are not directly caused by the nature of their identity. Rather, they are a consequence of belonging to a minority social group, stigmatized and victimized, which is exposed to prejudice and all kinds of violence in the various social institutions in which they are inserted (Gontijo et al., 2020). </w:t>
      </w:r>
    </w:p>
    <w:p w14:paraId="6F1A1315" w14:textId="77777777" w:rsidR="005F2416" w:rsidRPr="005F2416" w:rsidRDefault="005F2416" w:rsidP="005F2416">
      <w:pPr>
        <w:pBdr>
          <w:top w:val="nil"/>
          <w:left w:val="nil"/>
          <w:bottom w:val="nil"/>
          <w:right w:val="nil"/>
          <w:between w:val="nil"/>
        </w:pBdr>
        <w:spacing w:line="360" w:lineRule="auto"/>
        <w:ind w:firstLine="708"/>
        <w:jc w:val="both"/>
        <w:rPr>
          <w:color w:val="000000"/>
          <w:lang w:val="en-US"/>
        </w:rPr>
      </w:pPr>
      <w:r w:rsidRPr="005F2416">
        <w:rPr>
          <w:color w:val="000000"/>
          <w:lang w:val="en-US"/>
        </w:rPr>
        <w:t xml:space="preserve">In order to comply with the guidelines of equity, comprehensiveness and universality of SUS and promote care for a population that, until then, had not met their needs, the Ministry of Health developed the National Policy of Integral Care of the LGBT+ Population (Brazil, 2013). Although this document establishes the access of this community to quality health, it is noted the lack of effectiveness of actions and services aimed at this public, except those directed to the control and monitoring of AIDS/ HIV. As a consequence, other aspects of the health of these individuals are neglected, especially those related to mental health (Junior, 2022). </w:t>
      </w:r>
    </w:p>
    <w:p w14:paraId="565B0FAD" w14:textId="77777777" w:rsidR="005F2416" w:rsidRPr="005F2416" w:rsidRDefault="005F2416" w:rsidP="005F2416">
      <w:pPr>
        <w:pBdr>
          <w:top w:val="nil"/>
          <w:left w:val="nil"/>
          <w:bottom w:val="nil"/>
          <w:right w:val="nil"/>
          <w:between w:val="nil"/>
        </w:pBdr>
        <w:spacing w:line="360" w:lineRule="auto"/>
        <w:ind w:firstLine="708"/>
        <w:jc w:val="both"/>
        <w:rPr>
          <w:color w:val="000000"/>
          <w:lang w:val="en-US"/>
        </w:rPr>
      </w:pPr>
      <w:r w:rsidRPr="005F2416">
        <w:rPr>
          <w:color w:val="000000"/>
          <w:lang w:val="en-US"/>
        </w:rPr>
        <w:t xml:space="preserve">In addition, the violence and discrimination to which these people are exposed when seeking health services, such as disrespect for social name, care focused only on the issue of sexually transmitted diseases and transphobia, are factors that lead to increased vulnerability and lead to the emergence of mental disorders (De Melo et al., 2023). The high rates of moderate and severe depression demonstrated in this study demonstrate a pattern already reported by other research related to mental health of the LGBTQIAPN+ community. </w:t>
      </w:r>
    </w:p>
    <w:p w14:paraId="7E755435" w14:textId="77777777" w:rsidR="005F2416" w:rsidRPr="005F2416" w:rsidRDefault="005F2416" w:rsidP="005F2416">
      <w:pPr>
        <w:pBdr>
          <w:top w:val="nil"/>
          <w:left w:val="nil"/>
          <w:bottom w:val="nil"/>
          <w:right w:val="nil"/>
          <w:between w:val="nil"/>
        </w:pBdr>
        <w:spacing w:line="360" w:lineRule="auto"/>
        <w:ind w:firstLine="708"/>
        <w:jc w:val="both"/>
        <w:rPr>
          <w:color w:val="000000"/>
          <w:lang w:val="en-US"/>
        </w:rPr>
      </w:pPr>
      <w:r w:rsidRPr="005F2416">
        <w:rPr>
          <w:color w:val="000000"/>
          <w:lang w:val="en-US"/>
        </w:rPr>
        <w:t>Cruz et al. (2023a), in research aimed at transsexual men and women, showed that approximately 37% of the participants had significant depressive symptoms, while suicidal ideation was reported by 34.8% of the sample. Corroborating these findings, Silva et al. (2024) identified that transgender individuals are 1.03 times more likely to develop de</w:t>
      </w:r>
      <w:r>
        <w:rPr>
          <w:color w:val="000000"/>
          <w:lang w:val="en-US"/>
        </w:rPr>
        <w:t>pressive symptoms than cisgender</w:t>
      </w:r>
      <w:r w:rsidRPr="005F2416">
        <w:rPr>
          <w:color w:val="000000"/>
          <w:lang w:val="en-US"/>
        </w:rPr>
        <w:t xml:space="preserve"> subjects. These results reveal the pronounced psychosocial vulnerability of this population and highlight the need for interventions capable of reducing such impacts and promoting better health conditions and quality of life.</w:t>
      </w:r>
    </w:p>
    <w:p w14:paraId="762C78D3" w14:textId="77777777" w:rsidR="005F2416" w:rsidRPr="005F2416" w:rsidRDefault="005F2416" w:rsidP="005F2416">
      <w:pPr>
        <w:pBdr>
          <w:top w:val="nil"/>
          <w:left w:val="nil"/>
          <w:bottom w:val="nil"/>
          <w:right w:val="nil"/>
          <w:between w:val="nil"/>
        </w:pBdr>
        <w:spacing w:line="360" w:lineRule="auto"/>
        <w:ind w:firstLine="708"/>
        <w:jc w:val="both"/>
        <w:rPr>
          <w:color w:val="000000"/>
          <w:lang w:val="en-US"/>
        </w:rPr>
      </w:pPr>
      <w:r w:rsidRPr="005F2416">
        <w:rPr>
          <w:color w:val="000000"/>
          <w:lang w:val="en-US"/>
        </w:rPr>
        <w:t xml:space="preserve">Meyer (2003), in creating the concept of "minority stress", develops the notion that certain extrinsic and intrinsic elements of the life of certain minorities and groups can lead to the development of mental disorders. In the meantime, transsexuals face daily a wide range of stressors such as harassment, trauma, rejection, continuous vigilance to protect themselves; negative social attitudes and thoughts that are internalized and the choice </w:t>
      </w:r>
      <w:proofErr w:type="gramStart"/>
      <w:r w:rsidRPr="005F2416">
        <w:rPr>
          <w:color w:val="000000"/>
          <w:lang w:val="en-US"/>
        </w:rPr>
        <w:t>whether or not</w:t>
      </w:r>
      <w:proofErr w:type="gramEnd"/>
      <w:r w:rsidRPr="005F2416">
        <w:rPr>
          <w:color w:val="000000"/>
          <w:lang w:val="en-US"/>
        </w:rPr>
        <w:t xml:space="preserve"> to veil their sexual </w:t>
      </w:r>
      <w:r w:rsidRPr="005F2416">
        <w:rPr>
          <w:color w:val="000000"/>
          <w:lang w:val="en-US"/>
        </w:rPr>
        <w:lastRenderedPageBreak/>
        <w:t>orientation (Jesus et al., 2023). This context of constant alert, always waiting for the next violence, leads to the development of the frameworks evidenced by this study.</w:t>
      </w:r>
      <w:r w:rsidRPr="005F2416">
        <w:rPr>
          <w:color w:val="000000"/>
          <w:lang w:val="en-US"/>
        </w:rPr>
        <w:tab/>
      </w:r>
    </w:p>
    <w:p w14:paraId="2324355C" w14:textId="77777777" w:rsidR="005F2416" w:rsidRPr="005F2416" w:rsidRDefault="005F2416" w:rsidP="005F2416">
      <w:pPr>
        <w:pBdr>
          <w:top w:val="nil"/>
          <w:left w:val="nil"/>
          <w:bottom w:val="nil"/>
          <w:right w:val="nil"/>
          <w:between w:val="nil"/>
        </w:pBdr>
        <w:spacing w:line="360" w:lineRule="auto"/>
        <w:ind w:firstLine="708"/>
        <w:jc w:val="both"/>
        <w:rPr>
          <w:color w:val="000000"/>
          <w:lang w:val="en-US"/>
        </w:rPr>
      </w:pPr>
      <w:r w:rsidRPr="005F2416">
        <w:rPr>
          <w:color w:val="000000"/>
          <w:lang w:val="en-US"/>
        </w:rPr>
        <w:t>The different vulnerabilities to which individuals may be exposed are interlinked and intertwined in various areas, depending on the cultural and social context in which they are inserted. Race is a social and political construction used to differentiate and subordinate groups with distinct phenotypic characteristics. Black and other minority transsexuals face multiple discriminations, including social marginalization, difficulties in accessing basic services, violence, and barriers in education, employment, health and justice. These inequalities result from the intersection between racism and transphobia, aggravating the vulnerability of these people when considering race, clas</w:t>
      </w:r>
      <w:r>
        <w:rPr>
          <w:color w:val="000000"/>
          <w:lang w:val="en-US"/>
        </w:rPr>
        <w:t xml:space="preserve">s, gender and sexuality (Boffi &amp; Santos, 2023. Santos &amp; </w:t>
      </w:r>
      <w:r w:rsidRPr="005F2416">
        <w:rPr>
          <w:color w:val="000000"/>
          <w:lang w:val="en-US"/>
        </w:rPr>
        <w:t>Honorato, 2023). In this scenario, the present study showed that most transvestites and transsexuals self-declare themselves as brown, which may be related to the high prevalence of severe anxiety and moderate depression.</w:t>
      </w:r>
    </w:p>
    <w:p w14:paraId="3F1FC3E4" w14:textId="77777777" w:rsidR="005F2416" w:rsidRPr="005F2416" w:rsidRDefault="005F2416" w:rsidP="005F2416">
      <w:pPr>
        <w:pBdr>
          <w:top w:val="nil"/>
          <w:left w:val="nil"/>
          <w:bottom w:val="nil"/>
          <w:right w:val="nil"/>
          <w:between w:val="nil"/>
        </w:pBdr>
        <w:spacing w:line="360" w:lineRule="auto"/>
        <w:ind w:firstLine="708"/>
        <w:jc w:val="both"/>
        <w:rPr>
          <w:color w:val="000000"/>
          <w:lang w:val="en-US"/>
        </w:rPr>
      </w:pPr>
      <w:r w:rsidRPr="005F2416">
        <w:rPr>
          <w:color w:val="000000"/>
          <w:lang w:val="en-US"/>
        </w:rPr>
        <w:t>The high proportion of participants who reported having a fixed partner denotes a particular dynamic of this group, evidenced by different authors. Silva and colleagues (2024) reported the tendency of single transsexual people to develop more moderate to severe depressive symptoms when compared to those with fixed partners. The protective factor provided by the presence of a relationship is related to the difficulty of socialization faced by these people, as well as the stigma of prostitution. In addition, the absence of human affection directly af</w:t>
      </w:r>
      <w:r>
        <w:rPr>
          <w:color w:val="000000"/>
          <w:lang w:val="en-US"/>
        </w:rPr>
        <w:t xml:space="preserve">fects mental health (Costa-Val &amp; </w:t>
      </w:r>
      <w:r w:rsidRPr="005F2416">
        <w:rPr>
          <w:color w:val="000000"/>
          <w:lang w:val="en-US"/>
        </w:rPr>
        <w:t xml:space="preserve">Guerra, 2019). </w:t>
      </w:r>
    </w:p>
    <w:p w14:paraId="40AAE7E1" w14:textId="77777777" w:rsidR="005F2416" w:rsidRPr="005F2416" w:rsidRDefault="005F2416" w:rsidP="005F2416">
      <w:pPr>
        <w:pBdr>
          <w:top w:val="nil"/>
          <w:left w:val="nil"/>
          <w:bottom w:val="nil"/>
          <w:right w:val="nil"/>
          <w:between w:val="nil"/>
        </w:pBdr>
        <w:spacing w:line="360" w:lineRule="auto"/>
        <w:ind w:firstLine="708"/>
        <w:jc w:val="both"/>
        <w:rPr>
          <w:color w:val="000000"/>
          <w:lang w:val="en-US"/>
        </w:rPr>
      </w:pPr>
      <w:r w:rsidRPr="005F2416">
        <w:rPr>
          <w:color w:val="000000"/>
          <w:lang w:val="en-US"/>
        </w:rPr>
        <w:t>In the meantime, family support functions as a factor of protection against mental suffering compared to those who are socially vulnerable. In order to mitigate mental illness in this community, it is necessary to develop strategies to prevent stigma, educate family members about risk factors and train health professionals so that they have a look at the needs of this population, bringing it closer to health services (Oliveira et al., 2023). In addition, integrative and complementary practices (PICs) can be an important tool for mental health care, which would benefit the LGBTQIAPN+ community, alleviating anxiety symptoms and improving their quality of life (Francisco et al., 2020).</w:t>
      </w:r>
    </w:p>
    <w:p w14:paraId="778E8BB6" w14:textId="77777777" w:rsidR="005F2416" w:rsidRDefault="005F2416" w:rsidP="005F2416">
      <w:pPr>
        <w:pBdr>
          <w:top w:val="nil"/>
          <w:left w:val="nil"/>
          <w:bottom w:val="nil"/>
          <w:right w:val="nil"/>
          <w:between w:val="nil"/>
        </w:pBdr>
        <w:spacing w:line="360" w:lineRule="auto"/>
        <w:ind w:firstLine="708"/>
        <w:jc w:val="both"/>
        <w:rPr>
          <w:color w:val="000000"/>
          <w:lang w:val="en-US"/>
        </w:rPr>
      </w:pPr>
      <w:r w:rsidRPr="005F2416">
        <w:rPr>
          <w:color w:val="000000"/>
          <w:lang w:val="en-US"/>
        </w:rPr>
        <w:t xml:space="preserve">Thus, understanding the phenomena that revolve around the emergence of prevalent psychological disorders in the LGBTQIA+ population is an essential task. The recognition of specific stressors that lead to illness and vulnerability in this population can ensure equity, </w:t>
      </w:r>
      <w:r w:rsidRPr="005F2416">
        <w:rPr>
          <w:color w:val="000000"/>
          <w:lang w:val="en-US"/>
        </w:rPr>
        <w:lastRenderedPageBreak/>
        <w:t>strengthen their links with health services and promote public health policies more appropriate to t</w:t>
      </w:r>
      <w:r>
        <w:rPr>
          <w:color w:val="000000"/>
          <w:lang w:val="en-US"/>
        </w:rPr>
        <w:t>he needs of this population (Sá &amp;</w:t>
      </w:r>
      <w:r w:rsidRPr="005F2416">
        <w:rPr>
          <w:color w:val="000000"/>
          <w:lang w:val="en-US"/>
        </w:rPr>
        <w:t xml:space="preserve"> Camêlo, 2023).</w:t>
      </w:r>
    </w:p>
    <w:p w14:paraId="3292B151" w14:textId="77777777" w:rsidR="005F2416" w:rsidRPr="005F2416" w:rsidRDefault="005F2416" w:rsidP="005F2416">
      <w:pPr>
        <w:pBdr>
          <w:top w:val="nil"/>
          <w:left w:val="nil"/>
          <w:bottom w:val="nil"/>
          <w:right w:val="nil"/>
          <w:between w:val="nil"/>
        </w:pBdr>
        <w:spacing w:line="360" w:lineRule="auto"/>
        <w:ind w:firstLine="708"/>
        <w:jc w:val="both"/>
        <w:rPr>
          <w:color w:val="000000"/>
          <w:lang w:val="en-US"/>
        </w:rPr>
      </w:pPr>
      <w:r w:rsidRPr="005F2416">
        <w:rPr>
          <w:color w:val="000000"/>
          <w:lang w:val="en-US"/>
        </w:rPr>
        <w:t xml:space="preserve">This study showed a high prevalence of anxiety and depression among transsexual and transvestite people in Petrolina-PE and Juazeiro-BA. However, this study would still need a larger sample to understand in a more detailed way other elements that could be related to these high indices, and that by the fact of the small quantity, Due to the refusal and difficulty of finding people willing to participate in the research, it was not possible to be analyzed. </w:t>
      </w:r>
    </w:p>
    <w:p w14:paraId="40A92EFE" w14:textId="77777777" w:rsidR="005F2416" w:rsidRPr="005F2416" w:rsidRDefault="005F2416" w:rsidP="005F2416">
      <w:pPr>
        <w:pBdr>
          <w:top w:val="nil"/>
          <w:left w:val="nil"/>
          <w:bottom w:val="nil"/>
          <w:right w:val="nil"/>
          <w:between w:val="nil"/>
        </w:pBdr>
        <w:spacing w:line="360" w:lineRule="auto"/>
        <w:ind w:firstLine="708"/>
        <w:jc w:val="both"/>
        <w:rPr>
          <w:color w:val="000000"/>
          <w:lang w:val="en-US"/>
        </w:rPr>
      </w:pPr>
      <w:r w:rsidRPr="005F2416">
        <w:rPr>
          <w:color w:val="000000"/>
          <w:lang w:val="en-US"/>
        </w:rPr>
        <w:t>The ethnic-racial, cultural, and historical context unfortunately places this population at even greater vulnerability, resulting in social marginalization, difficulty accessing basic services, and increased violence and discrimination. Compared to the psychological problems experienced by trans and transvestite individuals compared to their cisgender peers, the discrepancy in this incidence is even more evident.</w:t>
      </w:r>
    </w:p>
    <w:p w14:paraId="357C9373" w14:textId="77777777" w:rsidR="005F2416" w:rsidRDefault="005F2416" w:rsidP="005F2416">
      <w:pPr>
        <w:pBdr>
          <w:top w:val="nil"/>
          <w:left w:val="nil"/>
          <w:bottom w:val="nil"/>
          <w:right w:val="nil"/>
          <w:between w:val="nil"/>
        </w:pBdr>
        <w:spacing w:line="360" w:lineRule="auto"/>
        <w:ind w:firstLine="708"/>
        <w:jc w:val="both"/>
        <w:rPr>
          <w:color w:val="000000"/>
          <w:lang w:val="en-US"/>
        </w:rPr>
      </w:pPr>
      <w:r w:rsidRPr="005F2416">
        <w:rPr>
          <w:color w:val="000000"/>
          <w:lang w:val="en-US"/>
        </w:rPr>
        <w:t>Therefore, public policies and clinical practice must be developed in an inclusive and intersectoral manner to mitigate the negative impacts of prejudice and discrimination. Only then will it be possible to promote a better quality of life and ensure equitable access to medical services for trans and transvestite people.</w:t>
      </w:r>
    </w:p>
    <w:p w14:paraId="07318011" w14:textId="77777777" w:rsidR="005F2416" w:rsidRDefault="005F2416" w:rsidP="005F2416">
      <w:pPr>
        <w:pBdr>
          <w:top w:val="nil"/>
          <w:left w:val="nil"/>
          <w:bottom w:val="nil"/>
          <w:right w:val="nil"/>
          <w:between w:val="nil"/>
        </w:pBdr>
        <w:spacing w:line="360" w:lineRule="auto"/>
        <w:jc w:val="both"/>
        <w:rPr>
          <w:lang w:val="en-US"/>
        </w:rPr>
      </w:pPr>
    </w:p>
    <w:p w14:paraId="110AC520" w14:textId="77777777" w:rsidR="00427CA9" w:rsidRDefault="00427CA9" w:rsidP="005F2416">
      <w:pPr>
        <w:pBdr>
          <w:top w:val="nil"/>
          <w:left w:val="nil"/>
          <w:bottom w:val="nil"/>
          <w:right w:val="nil"/>
          <w:between w:val="nil"/>
        </w:pBdr>
        <w:spacing w:line="360" w:lineRule="auto"/>
        <w:jc w:val="both"/>
        <w:rPr>
          <w:lang w:val="en-US"/>
        </w:rPr>
      </w:pPr>
    </w:p>
    <w:p w14:paraId="653911E6" w14:textId="77777777" w:rsidR="00427CA9" w:rsidRDefault="00427CA9" w:rsidP="005F2416">
      <w:pPr>
        <w:pBdr>
          <w:top w:val="nil"/>
          <w:left w:val="nil"/>
          <w:bottom w:val="nil"/>
          <w:right w:val="nil"/>
          <w:between w:val="nil"/>
        </w:pBdr>
        <w:spacing w:line="360" w:lineRule="auto"/>
        <w:jc w:val="both"/>
        <w:rPr>
          <w:lang w:val="en-US"/>
        </w:rPr>
      </w:pPr>
    </w:p>
    <w:p w14:paraId="59708403" w14:textId="77777777" w:rsidR="00427CA9" w:rsidRDefault="00427CA9" w:rsidP="005F2416">
      <w:pPr>
        <w:pBdr>
          <w:top w:val="nil"/>
          <w:left w:val="nil"/>
          <w:bottom w:val="nil"/>
          <w:right w:val="nil"/>
          <w:between w:val="nil"/>
        </w:pBdr>
        <w:spacing w:line="360" w:lineRule="auto"/>
        <w:jc w:val="both"/>
        <w:rPr>
          <w:lang w:val="en-US"/>
        </w:rPr>
      </w:pPr>
    </w:p>
    <w:p w14:paraId="4C8550AA" w14:textId="77777777" w:rsidR="00427CA9" w:rsidRDefault="00427CA9" w:rsidP="005F2416">
      <w:pPr>
        <w:pBdr>
          <w:top w:val="nil"/>
          <w:left w:val="nil"/>
          <w:bottom w:val="nil"/>
          <w:right w:val="nil"/>
          <w:between w:val="nil"/>
        </w:pBdr>
        <w:spacing w:line="360" w:lineRule="auto"/>
        <w:jc w:val="both"/>
        <w:rPr>
          <w:lang w:val="en-US"/>
        </w:rPr>
      </w:pPr>
    </w:p>
    <w:p w14:paraId="317460FA" w14:textId="77777777" w:rsidR="00427CA9" w:rsidRDefault="00427CA9" w:rsidP="005F2416">
      <w:pPr>
        <w:pBdr>
          <w:top w:val="nil"/>
          <w:left w:val="nil"/>
          <w:bottom w:val="nil"/>
          <w:right w:val="nil"/>
          <w:between w:val="nil"/>
        </w:pBdr>
        <w:spacing w:line="360" w:lineRule="auto"/>
        <w:jc w:val="both"/>
        <w:rPr>
          <w:lang w:val="en-US"/>
        </w:rPr>
      </w:pPr>
    </w:p>
    <w:p w14:paraId="58B91AC7" w14:textId="77777777" w:rsidR="00427CA9" w:rsidRDefault="00427CA9" w:rsidP="005F2416">
      <w:pPr>
        <w:pBdr>
          <w:top w:val="nil"/>
          <w:left w:val="nil"/>
          <w:bottom w:val="nil"/>
          <w:right w:val="nil"/>
          <w:between w:val="nil"/>
        </w:pBdr>
        <w:spacing w:line="360" w:lineRule="auto"/>
        <w:jc w:val="both"/>
        <w:rPr>
          <w:lang w:val="en-US"/>
        </w:rPr>
      </w:pPr>
    </w:p>
    <w:p w14:paraId="50453AD4" w14:textId="77777777" w:rsidR="00427CA9" w:rsidRDefault="00427CA9" w:rsidP="005F2416">
      <w:pPr>
        <w:pBdr>
          <w:top w:val="nil"/>
          <w:left w:val="nil"/>
          <w:bottom w:val="nil"/>
          <w:right w:val="nil"/>
          <w:between w:val="nil"/>
        </w:pBdr>
        <w:spacing w:line="360" w:lineRule="auto"/>
        <w:jc w:val="both"/>
        <w:rPr>
          <w:lang w:val="en-US"/>
        </w:rPr>
      </w:pPr>
    </w:p>
    <w:p w14:paraId="0AEEBE7F" w14:textId="77777777" w:rsidR="00427CA9" w:rsidRDefault="00427CA9" w:rsidP="005F2416">
      <w:pPr>
        <w:pBdr>
          <w:top w:val="nil"/>
          <w:left w:val="nil"/>
          <w:bottom w:val="nil"/>
          <w:right w:val="nil"/>
          <w:between w:val="nil"/>
        </w:pBdr>
        <w:spacing w:line="360" w:lineRule="auto"/>
        <w:jc w:val="both"/>
        <w:rPr>
          <w:lang w:val="en-US"/>
        </w:rPr>
      </w:pPr>
    </w:p>
    <w:p w14:paraId="040EBBB2" w14:textId="77777777" w:rsidR="00427CA9" w:rsidRDefault="00427CA9" w:rsidP="005F2416">
      <w:pPr>
        <w:pBdr>
          <w:top w:val="nil"/>
          <w:left w:val="nil"/>
          <w:bottom w:val="nil"/>
          <w:right w:val="nil"/>
          <w:between w:val="nil"/>
        </w:pBdr>
        <w:spacing w:line="360" w:lineRule="auto"/>
        <w:jc w:val="both"/>
        <w:rPr>
          <w:lang w:val="en-US"/>
        </w:rPr>
      </w:pPr>
    </w:p>
    <w:p w14:paraId="44435FEC" w14:textId="77777777" w:rsidR="00427CA9" w:rsidRDefault="00427CA9" w:rsidP="005F2416">
      <w:pPr>
        <w:pBdr>
          <w:top w:val="nil"/>
          <w:left w:val="nil"/>
          <w:bottom w:val="nil"/>
          <w:right w:val="nil"/>
          <w:between w:val="nil"/>
        </w:pBdr>
        <w:spacing w:line="360" w:lineRule="auto"/>
        <w:jc w:val="both"/>
        <w:rPr>
          <w:lang w:val="en-US"/>
        </w:rPr>
      </w:pPr>
    </w:p>
    <w:p w14:paraId="67C3CCC7" w14:textId="77777777" w:rsidR="00427CA9" w:rsidRDefault="00427CA9" w:rsidP="005F2416">
      <w:pPr>
        <w:pBdr>
          <w:top w:val="nil"/>
          <w:left w:val="nil"/>
          <w:bottom w:val="nil"/>
          <w:right w:val="nil"/>
          <w:between w:val="nil"/>
        </w:pBdr>
        <w:spacing w:line="360" w:lineRule="auto"/>
        <w:jc w:val="both"/>
        <w:rPr>
          <w:lang w:val="en-US"/>
        </w:rPr>
      </w:pPr>
    </w:p>
    <w:p w14:paraId="5D93EBA6" w14:textId="77777777" w:rsidR="00427CA9" w:rsidRDefault="00427CA9" w:rsidP="005F2416">
      <w:pPr>
        <w:pBdr>
          <w:top w:val="nil"/>
          <w:left w:val="nil"/>
          <w:bottom w:val="nil"/>
          <w:right w:val="nil"/>
          <w:between w:val="nil"/>
        </w:pBdr>
        <w:spacing w:line="360" w:lineRule="auto"/>
        <w:jc w:val="both"/>
        <w:rPr>
          <w:lang w:val="en-US"/>
        </w:rPr>
      </w:pPr>
    </w:p>
    <w:p w14:paraId="0EC414BA" w14:textId="77777777" w:rsidR="00C262FD" w:rsidRDefault="00C262FD" w:rsidP="005F2416">
      <w:pPr>
        <w:pBdr>
          <w:top w:val="nil"/>
          <w:left w:val="nil"/>
          <w:bottom w:val="nil"/>
          <w:right w:val="nil"/>
          <w:between w:val="nil"/>
        </w:pBdr>
        <w:spacing w:line="360" w:lineRule="auto"/>
        <w:jc w:val="both"/>
        <w:rPr>
          <w:lang w:val="en-US"/>
        </w:rPr>
      </w:pPr>
    </w:p>
    <w:p w14:paraId="135BD9BF" w14:textId="77777777" w:rsidR="007132E9" w:rsidRDefault="007132E9" w:rsidP="005F2416">
      <w:pPr>
        <w:pBdr>
          <w:top w:val="nil"/>
          <w:left w:val="nil"/>
          <w:bottom w:val="nil"/>
          <w:right w:val="nil"/>
          <w:between w:val="nil"/>
        </w:pBdr>
        <w:spacing w:line="360" w:lineRule="auto"/>
        <w:jc w:val="both"/>
        <w:rPr>
          <w:lang w:val="en-US"/>
        </w:rPr>
      </w:pPr>
    </w:p>
    <w:p w14:paraId="45BD3460" w14:textId="77777777" w:rsidR="005A2CCB" w:rsidRPr="00427CA9" w:rsidRDefault="0030548B" w:rsidP="00C262FD">
      <w:pPr>
        <w:pBdr>
          <w:top w:val="nil"/>
          <w:left w:val="nil"/>
          <w:bottom w:val="nil"/>
          <w:right w:val="nil"/>
          <w:between w:val="nil"/>
        </w:pBdr>
        <w:spacing w:line="360" w:lineRule="auto"/>
        <w:jc w:val="center"/>
        <w:rPr>
          <w:b/>
          <w:color w:val="000000"/>
          <w:lang w:val="pt-BR"/>
        </w:rPr>
      </w:pPr>
      <w:r w:rsidRPr="00427CA9">
        <w:rPr>
          <w:b/>
          <w:color w:val="000000"/>
          <w:lang w:val="pt-BR"/>
        </w:rPr>
        <w:lastRenderedPageBreak/>
        <w:t>References</w:t>
      </w:r>
    </w:p>
    <w:p w14:paraId="068F255D" w14:textId="77777777" w:rsidR="00D90F12" w:rsidRPr="00D90F12" w:rsidRDefault="00D90F12" w:rsidP="00CE45AC">
      <w:pPr>
        <w:spacing w:line="360" w:lineRule="auto"/>
        <w:ind w:left="720" w:hanging="720"/>
        <w:jc w:val="both"/>
        <w:rPr>
          <w:lang w:val="pt-BR"/>
        </w:rPr>
      </w:pPr>
      <w:r w:rsidRPr="00027E26">
        <w:rPr>
          <w:highlight w:val="yellow"/>
          <w:lang w:val="pt-BR"/>
        </w:rPr>
        <w:t xml:space="preserve">Baldin, N., &amp; Munhoz, E. M. B. (2011). </w:t>
      </w:r>
      <w:r w:rsidRPr="00027E26">
        <w:rPr>
          <w:i/>
          <w:highlight w:val="yellow"/>
          <w:lang w:val="pt-BR"/>
        </w:rPr>
        <w:t>Snowball (bola de neve): Uma técnica metodológica para pesquisa em educação ambiental comunitária</w:t>
      </w:r>
      <w:r w:rsidR="00CE45AC" w:rsidRPr="00027E26">
        <w:rPr>
          <w:highlight w:val="yellow"/>
          <w:lang w:val="pt-BR"/>
        </w:rPr>
        <w:t xml:space="preserve">. </w:t>
      </w:r>
      <w:r w:rsidR="005F03A7" w:rsidRPr="00027E26">
        <w:rPr>
          <w:highlight w:val="yellow"/>
          <w:lang w:val="pt-BR"/>
        </w:rPr>
        <w:t xml:space="preserve">In </w:t>
      </w:r>
      <w:r w:rsidRPr="00027E26">
        <w:rPr>
          <w:highlight w:val="yellow"/>
          <w:lang w:val="pt-BR"/>
        </w:rPr>
        <w:t>Congresso</w:t>
      </w:r>
      <w:r w:rsidR="00CE45AC" w:rsidRPr="00027E26">
        <w:rPr>
          <w:highlight w:val="yellow"/>
          <w:lang w:val="pt-BR"/>
        </w:rPr>
        <w:t xml:space="preserve"> Nacional de Educação</w:t>
      </w:r>
      <w:r w:rsidR="005F03A7" w:rsidRPr="00027E26">
        <w:rPr>
          <w:highlight w:val="yellow"/>
          <w:lang w:val="pt-BR"/>
        </w:rPr>
        <w:t xml:space="preserve"> (Vol. 10, pp. 329-341), </w:t>
      </w:r>
      <w:r w:rsidR="00CE45AC" w:rsidRPr="00027E26">
        <w:rPr>
          <w:highlight w:val="yellow"/>
          <w:lang w:val="pt-BR"/>
        </w:rPr>
        <w:t>PUC-PR, Curitiba, Paraná.</w:t>
      </w:r>
      <w:r w:rsidR="00CE45AC">
        <w:rPr>
          <w:lang w:val="pt-BR"/>
        </w:rPr>
        <w:t xml:space="preserve"> </w:t>
      </w:r>
    </w:p>
    <w:p w14:paraId="3C991622" w14:textId="77777777" w:rsidR="00D90F12" w:rsidRPr="00876986" w:rsidRDefault="00D90F12" w:rsidP="00D90F12">
      <w:pPr>
        <w:spacing w:line="360" w:lineRule="auto"/>
        <w:ind w:left="720" w:hanging="720"/>
        <w:jc w:val="both"/>
        <w:rPr>
          <w:lang w:val="en-US"/>
        </w:rPr>
      </w:pPr>
      <w:r w:rsidRPr="00D90F12">
        <w:rPr>
          <w:lang w:val="en-US"/>
        </w:rPr>
        <w:t xml:space="preserve">Beck, A. T., Ward, C. H., Mendelson, M., </w:t>
      </w:r>
      <w:r w:rsidR="0099065F">
        <w:rPr>
          <w:lang w:val="en-US"/>
        </w:rPr>
        <w:t xml:space="preserve">Mock, J., &amp; </w:t>
      </w:r>
      <w:proofErr w:type="spellStart"/>
      <w:r w:rsidR="0099065F">
        <w:rPr>
          <w:lang w:val="en-US"/>
        </w:rPr>
        <w:t>Erbaugh</w:t>
      </w:r>
      <w:proofErr w:type="spellEnd"/>
      <w:r w:rsidR="0099065F">
        <w:rPr>
          <w:lang w:val="en-US"/>
        </w:rPr>
        <w:t xml:space="preserve">, J. (1961). </w:t>
      </w:r>
      <w:r w:rsidRPr="00D90F12">
        <w:rPr>
          <w:lang w:val="en-US"/>
        </w:rPr>
        <w:t xml:space="preserve">An inventory for measuring depression. </w:t>
      </w:r>
      <w:r w:rsidRPr="00D90F12">
        <w:rPr>
          <w:i/>
          <w:lang w:val="en-US"/>
        </w:rPr>
        <w:t>Archives of General Psychiatry, 4</w:t>
      </w:r>
      <w:r w:rsidRPr="00D90F12">
        <w:rPr>
          <w:lang w:val="en-US"/>
        </w:rPr>
        <w:t xml:space="preserve">, 561–571. </w:t>
      </w:r>
      <w:hyperlink r:id="rId10" w:history="1">
        <w:r w:rsidRPr="0087767D">
          <w:rPr>
            <w:rStyle w:val="Hyperlink"/>
            <w:lang w:val="en-US"/>
          </w:rPr>
          <w:t>https://doi.org/10.1001/archpsyc.1961.01710120031004</w:t>
        </w:r>
      </w:hyperlink>
      <w:r>
        <w:rPr>
          <w:lang w:val="en-US"/>
        </w:rPr>
        <w:t xml:space="preserve">  </w:t>
      </w:r>
      <w:r w:rsidRPr="00876986">
        <w:rPr>
          <w:lang w:val="en-US"/>
        </w:rPr>
        <w:t xml:space="preserve">   </w:t>
      </w:r>
    </w:p>
    <w:p w14:paraId="57F2FCC7" w14:textId="77777777" w:rsidR="00D90F12" w:rsidRPr="00D90F12" w:rsidRDefault="00D90F12" w:rsidP="00D90F12">
      <w:pPr>
        <w:spacing w:line="360" w:lineRule="auto"/>
        <w:ind w:left="720" w:hanging="720"/>
        <w:jc w:val="both"/>
        <w:rPr>
          <w:lang w:val="pt-BR"/>
        </w:rPr>
      </w:pPr>
      <w:r w:rsidRPr="00D90F12">
        <w:rPr>
          <w:lang w:val="en-US"/>
        </w:rPr>
        <w:t xml:space="preserve">Beck, A. T., Epstein, N., Brown, G., &amp; Steer, R. A. (1988). An inventory for measuring clinical anxiety: Psychometric properties. </w:t>
      </w:r>
      <w:r w:rsidRPr="005F03A7">
        <w:rPr>
          <w:i/>
          <w:lang w:val="en-US"/>
        </w:rPr>
        <w:t>Journal of Consulting and Clinical Psychology, 56</w:t>
      </w:r>
      <w:r w:rsidRPr="00D90F12">
        <w:rPr>
          <w:lang w:val="en-US"/>
        </w:rPr>
        <w:t xml:space="preserve">(6), 893–897. </w:t>
      </w:r>
      <w:hyperlink r:id="rId11" w:history="1">
        <w:r w:rsidRPr="00D90F12">
          <w:rPr>
            <w:rStyle w:val="Hyperlink"/>
            <w:lang w:val="pt-BR"/>
          </w:rPr>
          <w:t>https://doi.org/10.1037/0022-006X.56.6.893</w:t>
        </w:r>
      </w:hyperlink>
      <w:r w:rsidRPr="00D90F12">
        <w:rPr>
          <w:lang w:val="pt-BR"/>
        </w:rPr>
        <w:t xml:space="preserve"> </w:t>
      </w:r>
    </w:p>
    <w:p w14:paraId="1FD843C0" w14:textId="77777777" w:rsidR="00D90F12" w:rsidRDefault="00D90F12" w:rsidP="00D90F12">
      <w:pPr>
        <w:spacing w:line="360" w:lineRule="auto"/>
        <w:ind w:left="720" w:hanging="720"/>
        <w:jc w:val="both"/>
        <w:rPr>
          <w:lang w:val="pt-BR"/>
        </w:rPr>
      </w:pPr>
      <w:r w:rsidRPr="00876986">
        <w:rPr>
          <w:lang w:val="pt-BR"/>
        </w:rPr>
        <w:t>Benevides</w:t>
      </w:r>
      <w:r>
        <w:rPr>
          <w:lang w:val="pt-BR"/>
        </w:rPr>
        <w:t>, B. G.,</w:t>
      </w:r>
      <w:r w:rsidR="005F03A7">
        <w:rPr>
          <w:lang w:val="pt-BR"/>
        </w:rPr>
        <w:t xml:space="preserve"> &amp; </w:t>
      </w:r>
      <w:r w:rsidRPr="00876986">
        <w:rPr>
          <w:lang w:val="pt-BR"/>
        </w:rPr>
        <w:t>Nogueira</w:t>
      </w:r>
      <w:r>
        <w:rPr>
          <w:lang w:val="pt-BR"/>
        </w:rPr>
        <w:t>, S. N.</w:t>
      </w:r>
      <w:r w:rsidRPr="00876986">
        <w:rPr>
          <w:lang w:val="pt-BR"/>
        </w:rPr>
        <w:t xml:space="preserve"> B.</w:t>
      </w:r>
      <w:r>
        <w:rPr>
          <w:lang w:val="pt-BR"/>
        </w:rPr>
        <w:t xml:space="preserve"> (2021).</w:t>
      </w:r>
      <w:r w:rsidR="0099065F">
        <w:rPr>
          <w:lang w:val="pt-BR"/>
        </w:rPr>
        <w:t xml:space="preserve"> </w:t>
      </w:r>
      <w:r w:rsidRPr="00876986">
        <w:rPr>
          <w:lang w:val="pt-BR"/>
        </w:rPr>
        <w:t xml:space="preserve">Assassinatos e violência contra travestis e transexuais brasileiras em 2020. </w:t>
      </w:r>
      <w:r w:rsidRPr="005F03A7">
        <w:rPr>
          <w:i/>
          <w:lang w:val="pt-BR"/>
        </w:rPr>
        <w:t>Expressão Popular</w:t>
      </w:r>
      <w:r w:rsidR="005F03A7">
        <w:rPr>
          <w:i/>
          <w:lang w:val="pt-BR"/>
        </w:rPr>
        <w:t>; ANTRA</w:t>
      </w:r>
      <w:r w:rsidR="005F03A7">
        <w:rPr>
          <w:lang w:val="pt-BR"/>
        </w:rPr>
        <w:t xml:space="preserve">. </w:t>
      </w:r>
      <w:hyperlink r:id="rId12" w:history="1">
        <w:r w:rsidR="005F03A7" w:rsidRPr="0087767D">
          <w:rPr>
            <w:rStyle w:val="Hyperlink"/>
            <w:lang w:val="pt-BR"/>
          </w:rPr>
          <w:t>https://antrabrasil.org/wp-content/uploads/2021/01/dossie-trans-2021-29jan2021.pdf</w:t>
        </w:r>
      </w:hyperlink>
      <w:r w:rsidR="005F03A7">
        <w:rPr>
          <w:lang w:val="pt-BR"/>
        </w:rPr>
        <w:t xml:space="preserve"> </w:t>
      </w:r>
      <w:r w:rsidRPr="00876986">
        <w:rPr>
          <w:lang w:val="pt-BR"/>
        </w:rPr>
        <w:t xml:space="preserve">  </w:t>
      </w:r>
    </w:p>
    <w:p w14:paraId="46ABCDFA" w14:textId="77777777" w:rsidR="005F03A7" w:rsidRPr="00876986" w:rsidRDefault="005F03A7" w:rsidP="00D90F12">
      <w:pPr>
        <w:spacing w:line="360" w:lineRule="auto"/>
        <w:ind w:left="720" w:hanging="720"/>
        <w:jc w:val="both"/>
        <w:rPr>
          <w:lang w:val="pt-BR"/>
        </w:rPr>
      </w:pPr>
      <w:r w:rsidRPr="00876986">
        <w:rPr>
          <w:lang w:val="pt-BR"/>
        </w:rPr>
        <w:t>Benevides</w:t>
      </w:r>
      <w:r>
        <w:rPr>
          <w:lang w:val="pt-BR"/>
        </w:rPr>
        <w:t>, B. G.</w:t>
      </w:r>
      <w:r w:rsidR="0099065F">
        <w:rPr>
          <w:lang w:val="pt-BR"/>
        </w:rPr>
        <w:t xml:space="preserve"> (2025). </w:t>
      </w:r>
      <w:r w:rsidRPr="00876986">
        <w:rPr>
          <w:lang w:val="pt-BR"/>
        </w:rPr>
        <w:t>Assassinatos e violência contra travestis e transexuais brasileiras em 202</w:t>
      </w:r>
      <w:r>
        <w:rPr>
          <w:lang w:val="pt-BR"/>
        </w:rPr>
        <w:t>4</w:t>
      </w:r>
      <w:r w:rsidRPr="00876986">
        <w:rPr>
          <w:lang w:val="pt-BR"/>
        </w:rPr>
        <w:t xml:space="preserve">. </w:t>
      </w:r>
      <w:r w:rsidRPr="005F03A7">
        <w:rPr>
          <w:i/>
          <w:lang w:val="pt-BR"/>
        </w:rPr>
        <w:t>Distrito Drag; ANTRA</w:t>
      </w:r>
      <w:r>
        <w:rPr>
          <w:lang w:val="pt-BR"/>
        </w:rPr>
        <w:t xml:space="preserve">. </w:t>
      </w:r>
      <w:hyperlink r:id="rId13" w:history="1">
        <w:r w:rsidRPr="0087767D">
          <w:rPr>
            <w:rStyle w:val="Hyperlink"/>
            <w:lang w:val="pt-BR"/>
          </w:rPr>
          <w:t>https://antrabrasil.org/wp-content/uploads/2025/01/dossie-antra-2025.pdf</w:t>
        </w:r>
      </w:hyperlink>
      <w:r>
        <w:rPr>
          <w:lang w:val="pt-BR"/>
        </w:rPr>
        <w:t xml:space="preserve"> </w:t>
      </w:r>
    </w:p>
    <w:p w14:paraId="4809D69F" w14:textId="77777777" w:rsidR="00D90F12" w:rsidRPr="00876986" w:rsidRDefault="00D90F12" w:rsidP="00D90F12">
      <w:pPr>
        <w:spacing w:line="360" w:lineRule="auto"/>
        <w:ind w:left="720" w:hanging="720"/>
        <w:jc w:val="both"/>
        <w:rPr>
          <w:lang w:val="pt-BR"/>
        </w:rPr>
      </w:pPr>
      <w:r w:rsidRPr="00876986">
        <w:rPr>
          <w:lang w:val="pt-BR"/>
        </w:rPr>
        <w:t>B</w:t>
      </w:r>
      <w:r w:rsidR="00991998" w:rsidRPr="00876986">
        <w:rPr>
          <w:lang w:val="pt-BR"/>
        </w:rPr>
        <w:t>ento</w:t>
      </w:r>
      <w:r w:rsidR="00991998">
        <w:rPr>
          <w:lang w:val="pt-BR"/>
        </w:rPr>
        <w:t>, B</w:t>
      </w:r>
      <w:r w:rsidRPr="00876986">
        <w:rPr>
          <w:lang w:val="pt-BR"/>
        </w:rPr>
        <w:t xml:space="preserve">. </w:t>
      </w:r>
      <w:r w:rsidRPr="00991998">
        <w:rPr>
          <w:i/>
          <w:lang w:val="pt-BR"/>
        </w:rPr>
        <w:t>O que é transexualidade</w:t>
      </w:r>
      <w:r w:rsidRPr="00876986">
        <w:rPr>
          <w:lang w:val="pt-BR"/>
        </w:rPr>
        <w:t>.</w:t>
      </w:r>
      <w:r w:rsidR="00991998">
        <w:rPr>
          <w:lang w:val="pt-BR"/>
        </w:rPr>
        <w:t xml:space="preserve"> (2008). Brasiliense</w:t>
      </w:r>
      <w:r w:rsidRPr="00876986">
        <w:rPr>
          <w:lang w:val="pt-BR"/>
        </w:rPr>
        <w:t>.</w:t>
      </w:r>
    </w:p>
    <w:p w14:paraId="3C7B73B2" w14:textId="77777777" w:rsidR="00991998" w:rsidRDefault="00D90F12" w:rsidP="00D90F12">
      <w:pPr>
        <w:spacing w:line="360" w:lineRule="auto"/>
        <w:ind w:left="720" w:hanging="720"/>
        <w:jc w:val="both"/>
        <w:rPr>
          <w:lang w:val="pt-BR"/>
        </w:rPr>
      </w:pPr>
      <w:r w:rsidRPr="00876986">
        <w:rPr>
          <w:lang w:val="pt-BR"/>
        </w:rPr>
        <w:t>B</w:t>
      </w:r>
      <w:r w:rsidR="00991998" w:rsidRPr="00876986">
        <w:rPr>
          <w:lang w:val="pt-BR"/>
        </w:rPr>
        <w:t>offi</w:t>
      </w:r>
      <w:r w:rsidR="00991998">
        <w:rPr>
          <w:lang w:val="pt-BR"/>
        </w:rPr>
        <w:t>, L.</w:t>
      </w:r>
      <w:r w:rsidRPr="00876986">
        <w:rPr>
          <w:lang w:val="pt-BR"/>
        </w:rPr>
        <w:t xml:space="preserve"> C</w:t>
      </w:r>
      <w:r w:rsidR="00991998">
        <w:rPr>
          <w:lang w:val="pt-BR"/>
        </w:rPr>
        <w:t>., &amp;</w:t>
      </w:r>
      <w:r w:rsidRPr="00876986">
        <w:rPr>
          <w:lang w:val="pt-BR"/>
        </w:rPr>
        <w:t xml:space="preserve"> S</w:t>
      </w:r>
      <w:r w:rsidR="00991998" w:rsidRPr="00876986">
        <w:rPr>
          <w:lang w:val="pt-BR"/>
        </w:rPr>
        <w:t>antos</w:t>
      </w:r>
      <w:r w:rsidRPr="00876986">
        <w:rPr>
          <w:lang w:val="pt-BR"/>
        </w:rPr>
        <w:t>, M</w:t>
      </w:r>
      <w:r w:rsidR="00991998">
        <w:rPr>
          <w:lang w:val="pt-BR"/>
        </w:rPr>
        <w:t>.</w:t>
      </w:r>
      <w:r w:rsidRPr="00876986">
        <w:rPr>
          <w:lang w:val="pt-BR"/>
        </w:rPr>
        <w:t xml:space="preserve"> A.</w:t>
      </w:r>
      <w:r w:rsidR="0099065F">
        <w:rPr>
          <w:lang w:val="pt-BR"/>
        </w:rPr>
        <w:t xml:space="preserve"> </w:t>
      </w:r>
      <w:r w:rsidR="00643A71">
        <w:rPr>
          <w:lang w:val="pt-BR"/>
        </w:rPr>
        <w:t xml:space="preserve">(2023). </w:t>
      </w:r>
      <w:r w:rsidRPr="00876986">
        <w:rPr>
          <w:lang w:val="pt-BR"/>
        </w:rPr>
        <w:t>Da transfobia ao racismo: experiências de transição de homens transexuais negros.</w:t>
      </w:r>
      <w:r w:rsidR="00991998">
        <w:rPr>
          <w:lang w:val="pt-BR"/>
        </w:rPr>
        <w:t xml:space="preserve"> </w:t>
      </w:r>
      <w:r w:rsidRPr="00991998">
        <w:rPr>
          <w:i/>
          <w:lang w:val="pt-BR"/>
        </w:rPr>
        <w:t>Psicologia USP</w:t>
      </w:r>
      <w:r w:rsidR="00991998">
        <w:rPr>
          <w:lang w:val="pt-BR"/>
        </w:rPr>
        <w:t xml:space="preserve">, </w:t>
      </w:r>
      <w:r w:rsidR="00991998" w:rsidRPr="00991998">
        <w:rPr>
          <w:i/>
          <w:lang w:val="pt-BR"/>
        </w:rPr>
        <w:t>34</w:t>
      </w:r>
      <w:r w:rsidR="00991998">
        <w:rPr>
          <w:lang w:val="pt-BR"/>
        </w:rPr>
        <w:t>, e200212</w:t>
      </w:r>
      <w:r w:rsidRPr="00876986">
        <w:rPr>
          <w:lang w:val="pt-BR"/>
        </w:rPr>
        <w:t xml:space="preserve">. </w:t>
      </w:r>
      <w:hyperlink r:id="rId14" w:history="1">
        <w:r w:rsidR="00991998" w:rsidRPr="0087767D">
          <w:rPr>
            <w:rStyle w:val="Hyperlink"/>
            <w:lang w:val="pt-BR"/>
          </w:rPr>
          <w:t>https://doi.org/10.1590/0103-6564e200212</w:t>
        </w:r>
      </w:hyperlink>
      <w:r w:rsidR="00991998">
        <w:rPr>
          <w:lang w:val="pt-BR"/>
        </w:rPr>
        <w:t xml:space="preserve">  </w:t>
      </w:r>
      <w:r w:rsidRPr="00876986">
        <w:rPr>
          <w:lang w:val="pt-BR"/>
        </w:rPr>
        <w:t xml:space="preserve"> </w:t>
      </w:r>
    </w:p>
    <w:p w14:paraId="671236A6" w14:textId="77777777" w:rsidR="00D90F12" w:rsidRPr="00876986" w:rsidRDefault="00D90F12" w:rsidP="00D90F12">
      <w:pPr>
        <w:spacing w:line="360" w:lineRule="auto"/>
        <w:ind w:left="720" w:hanging="720"/>
        <w:jc w:val="both"/>
        <w:rPr>
          <w:lang w:val="pt-BR"/>
        </w:rPr>
      </w:pPr>
      <w:r w:rsidRPr="00876986">
        <w:rPr>
          <w:lang w:val="pt-BR"/>
        </w:rPr>
        <w:t>B</w:t>
      </w:r>
      <w:r w:rsidR="00991998" w:rsidRPr="00876986">
        <w:rPr>
          <w:lang w:val="pt-BR"/>
        </w:rPr>
        <w:t>ortoletto</w:t>
      </w:r>
      <w:r w:rsidR="00991998">
        <w:rPr>
          <w:lang w:val="pt-BR"/>
        </w:rPr>
        <w:t>, G. E</w:t>
      </w:r>
      <w:r w:rsidRPr="00876986">
        <w:rPr>
          <w:lang w:val="pt-BR"/>
        </w:rPr>
        <w:t>.</w:t>
      </w:r>
      <w:r w:rsidR="00991998">
        <w:rPr>
          <w:lang w:val="pt-BR"/>
        </w:rPr>
        <w:t xml:space="preserve"> (</w:t>
      </w:r>
      <w:r w:rsidR="00991998" w:rsidRPr="00876986">
        <w:rPr>
          <w:lang w:val="pt-BR"/>
        </w:rPr>
        <w:t>2019</w:t>
      </w:r>
      <w:r w:rsidR="00991998">
        <w:rPr>
          <w:lang w:val="pt-BR"/>
        </w:rPr>
        <w:t xml:space="preserve">). </w:t>
      </w:r>
      <w:r w:rsidRPr="00991998">
        <w:rPr>
          <w:i/>
          <w:lang w:val="pt-BR"/>
        </w:rPr>
        <w:t>LGBTQIA+: identidade e alteridade na comunidade</w:t>
      </w:r>
      <w:r w:rsidR="00991998">
        <w:rPr>
          <w:lang w:val="pt-BR"/>
        </w:rPr>
        <w:t xml:space="preserve"> [Trabalho de Conclusão de Curso, </w:t>
      </w:r>
      <w:r w:rsidRPr="00876986">
        <w:rPr>
          <w:lang w:val="pt-BR"/>
        </w:rPr>
        <w:t>Especialista e</w:t>
      </w:r>
      <w:r w:rsidR="00991998">
        <w:rPr>
          <w:lang w:val="pt-BR"/>
        </w:rPr>
        <w:t>m Gestão de Produção Cultural,</w:t>
      </w:r>
      <w:r w:rsidR="00027E26">
        <w:rPr>
          <w:lang w:val="pt-BR"/>
        </w:rPr>
        <w:t xml:space="preserve"> </w:t>
      </w:r>
      <w:r w:rsidRPr="00876986">
        <w:rPr>
          <w:lang w:val="pt-BR"/>
        </w:rPr>
        <w:t>Universidade de São Paulo</w:t>
      </w:r>
      <w:r w:rsidR="00027E26">
        <w:rPr>
          <w:lang w:val="pt-BR"/>
        </w:rPr>
        <w:t>].</w:t>
      </w:r>
      <w:r w:rsidRPr="00876986">
        <w:rPr>
          <w:lang w:val="pt-BR"/>
        </w:rPr>
        <w:t xml:space="preserve"> </w:t>
      </w:r>
      <w:r w:rsidR="00027E26">
        <w:rPr>
          <w:lang w:val="pt-BR"/>
        </w:rPr>
        <w:t xml:space="preserve">Repositório da Universidade de </w:t>
      </w:r>
      <w:r w:rsidRPr="00876986">
        <w:rPr>
          <w:lang w:val="pt-BR"/>
        </w:rPr>
        <w:t>São Paulo</w:t>
      </w:r>
      <w:r w:rsidR="00027E26">
        <w:rPr>
          <w:lang w:val="pt-BR"/>
        </w:rPr>
        <w:t xml:space="preserve"> (USP)</w:t>
      </w:r>
      <w:r w:rsidRPr="00876986">
        <w:rPr>
          <w:lang w:val="pt-BR"/>
        </w:rPr>
        <w:t>.</w:t>
      </w:r>
      <w:r w:rsidR="00027E26">
        <w:rPr>
          <w:lang w:val="pt-BR"/>
        </w:rPr>
        <w:t xml:space="preserve"> </w:t>
      </w:r>
      <w:hyperlink r:id="rId15" w:history="1">
        <w:r w:rsidR="00027E26" w:rsidRPr="0087767D">
          <w:rPr>
            <w:rStyle w:val="Hyperlink"/>
            <w:lang w:val="pt-BR"/>
          </w:rPr>
          <w:t>https://paineira.usp.br/celacc/sites/default/files/media/tcc/guilherme_engelman_bortoletto.pdf</w:t>
        </w:r>
      </w:hyperlink>
      <w:r w:rsidR="00027E26">
        <w:rPr>
          <w:lang w:val="pt-BR"/>
        </w:rPr>
        <w:t xml:space="preserve"> </w:t>
      </w:r>
    </w:p>
    <w:p w14:paraId="40C766FB" w14:textId="77777777" w:rsidR="00D90F12" w:rsidRPr="00027E26" w:rsidRDefault="00D90F12" w:rsidP="00D90F12">
      <w:pPr>
        <w:spacing w:line="360" w:lineRule="auto"/>
        <w:ind w:left="720" w:hanging="720"/>
        <w:jc w:val="both"/>
        <w:rPr>
          <w:highlight w:val="yellow"/>
          <w:lang w:val="pt-BR"/>
        </w:rPr>
      </w:pPr>
      <w:r w:rsidRPr="00027E26">
        <w:rPr>
          <w:highlight w:val="yellow"/>
          <w:lang w:val="pt-BR"/>
        </w:rPr>
        <w:t>B</w:t>
      </w:r>
      <w:r w:rsidR="00027E26" w:rsidRPr="00027E26">
        <w:rPr>
          <w:highlight w:val="yellow"/>
          <w:lang w:val="pt-BR"/>
        </w:rPr>
        <w:t>rasil</w:t>
      </w:r>
      <w:r w:rsidRPr="00027E26">
        <w:rPr>
          <w:highlight w:val="yellow"/>
          <w:lang w:val="pt-BR"/>
        </w:rPr>
        <w:t>. Ministério da Saúde. Conselho Nacional de Saúde. Resolução nº 466, de 12 de dezembro de 2012. Diretrizes e normas regulamentadoras de pesquisas envolvendo seres humanos. Diário Oficial [da] União: Seção 1, Brasília, DF, v. 150, n. 112, p. 59-62, 13 jun. 2013.</w:t>
      </w:r>
    </w:p>
    <w:p w14:paraId="3CC67B82" w14:textId="77777777" w:rsidR="00D90F12" w:rsidRPr="00876986" w:rsidRDefault="00D90F12" w:rsidP="00D90F12">
      <w:pPr>
        <w:spacing w:line="360" w:lineRule="auto"/>
        <w:ind w:left="720" w:hanging="720"/>
        <w:jc w:val="both"/>
        <w:rPr>
          <w:lang w:val="pt-BR"/>
        </w:rPr>
      </w:pPr>
      <w:r w:rsidRPr="00027E26">
        <w:rPr>
          <w:highlight w:val="yellow"/>
          <w:lang w:val="pt-BR"/>
        </w:rPr>
        <w:t>BRASIL. Ministério da Saúde. Secretaria de Gestão Estratégica e Participativa. Departamento de Apoio à Gestão Participativa. Política Nacional de Saúde Integral de Lésbicas, Gays, Bissexuais, Travestis e Transexuais. 1. ed. Brasília, DF: Ministério da Saúde, 2013.</w:t>
      </w:r>
    </w:p>
    <w:p w14:paraId="257CF947" w14:textId="77777777" w:rsidR="00D90F12" w:rsidRPr="00027E26" w:rsidRDefault="00D90F12" w:rsidP="00D90F12">
      <w:pPr>
        <w:spacing w:line="360" w:lineRule="auto"/>
        <w:ind w:left="720" w:hanging="720"/>
        <w:jc w:val="both"/>
        <w:rPr>
          <w:highlight w:val="yellow"/>
          <w:lang w:val="pt-BR"/>
        </w:rPr>
      </w:pPr>
      <w:r w:rsidRPr="00027E26">
        <w:rPr>
          <w:highlight w:val="yellow"/>
          <w:lang w:val="pt-BR"/>
        </w:rPr>
        <w:lastRenderedPageBreak/>
        <w:t xml:space="preserve">BRASIL. Conselho Nacional de Combate à Discriminação e Promoção dos Direitos de Lésbicas, Gays, Bissexuais, Travestis e Transexuais. Resolução n° 12, de janeiro de 2015. Estabelece parâmetros para a garantia das condições de acesso e permanência de pessoas travestis e transexuais nos sistemas e instituições de ensino. Brasília, DF: CNCD/LGBT, 2015a. </w:t>
      </w:r>
    </w:p>
    <w:p w14:paraId="4673E478" w14:textId="77777777" w:rsidR="00D90F12" w:rsidRPr="00D90F12" w:rsidRDefault="00D90F12" w:rsidP="00D90F12">
      <w:pPr>
        <w:spacing w:line="360" w:lineRule="auto"/>
        <w:ind w:left="720" w:hanging="720"/>
        <w:jc w:val="both"/>
        <w:rPr>
          <w:lang w:val="pt-BR"/>
        </w:rPr>
      </w:pPr>
      <w:r w:rsidRPr="00027E26">
        <w:rPr>
          <w:highlight w:val="yellow"/>
          <w:lang w:val="pt-BR"/>
        </w:rPr>
        <w:t>BRASIL. Ministério da Saúde. Secretaria de Gestão Estratégica e Participativa. Departamento de Apoio à Gestão Participativa. Transexualidade e travestilidade na saúde. Brasília, DF: Ministério da Saúde, 2015b.</w:t>
      </w:r>
      <w:r w:rsidRPr="00D90F12">
        <w:rPr>
          <w:lang w:val="pt-BR"/>
        </w:rPr>
        <w:t xml:space="preserve"> </w:t>
      </w:r>
    </w:p>
    <w:p w14:paraId="6710BAF7" w14:textId="77777777" w:rsidR="00D90F12" w:rsidRPr="00643A71" w:rsidRDefault="00D90F12" w:rsidP="00D90F12">
      <w:pPr>
        <w:spacing w:line="360" w:lineRule="auto"/>
        <w:ind w:left="720" w:hanging="720"/>
        <w:jc w:val="both"/>
        <w:rPr>
          <w:lang w:val="en-US"/>
        </w:rPr>
      </w:pPr>
      <w:r w:rsidRPr="00D90F12">
        <w:rPr>
          <w:lang w:val="pt-BR"/>
        </w:rPr>
        <w:t>C</w:t>
      </w:r>
      <w:r w:rsidR="00027E26" w:rsidRPr="00D90F12">
        <w:rPr>
          <w:lang w:val="pt-BR"/>
        </w:rPr>
        <w:t>erqueira</w:t>
      </w:r>
      <w:r w:rsidR="00027E26">
        <w:rPr>
          <w:lang w:val="pt-BR"/>
        </w:rPr>
        <w:t>, T. D.,</w:t>
      </w:r>
      <w:r w:rsidRPr="00D90F12">
        <w:rPr>
          <w:lang w:val="pt-BR"/>
        </w:rPr>
        <w:t xml:space="preserve"> D</w:t>
      </w:r>
      <w:r w:rsidR="00643A71" w:rsidRPr="00D90F12">
        <w:rPr>
          <w:lang w:val="pt-BR"/>
        </w:rPr>
        <w:t>enega</w:t>
      </w:r>
      <w:r w:rsidRPr="00D90F12">
        <w:rPr>
          <w:lang w:val="pt-BR"/>
        </w:rPr>
        <w:t>, A</w:t>
      </w:r>
      <w:r w:rsidR="00643A71">
        <w:rPr>
          <w:lang w:val="pt-BR"/>
        </w:rPr>
        <w:t>.</w:t>
      </w:r>
      <w:r w:rsidRPr="00D90F12">
        <w:rPr>
          <w:lang w:val="pt-BR"/>
        </w:rPr>
        <w:t xml:space="preserve"> M</w:t>
      </w:r>
      <w:r w:rsidR="00643A71">
        <w:rPr>
          <w:lang w:val="pt-BR"/>
        </w:rPr>
        <w:t>., &amp;</w:t>
      </w:r>
      <w:r w:rsidRPr="00D90F12">
        <w:rPr>
          <w:lang w:val="pt-BR"/>
        </w:rPr>
        <w:t xml:space="preserve"> P</w:t>
      </w:r>
      <w:r w:rsidR="00643A71" w:rsidRPr="00D90F12">
        <w:rPr>
          <w:lang w:val="pt-BR"/>
        </w:rPr>
        <w:t>adovani</w:t>
      </w:r>
      <w:r w:rsidRPr="00D90F12">
        <w:rPr>
          <w:lang w:val="pt-BR"/>
        </w:rPr>
        <w:t>, A</w:t>
      </w:r>
      <w:r w:rsidR="00643A71">
        <w:rPr>
          <w:lang w:val="pt-BR"/>
        </w:rPr>
        <w:t>.</w:t>
      </w:r>
      <w:r w:rsidRPr="00D90F12">
        <w:rPr>
          <w:lang w:val="pt-BR"/>
        </w:rPr>
        <w:t xml:space="preserve"> S.</w:t>
      </w:r>
      <w:r w:rsidR="00643A71">
        <w:rPr>
          <w:lang w:val="pt-BR"/>
        </w:rPr>
        <w:t xml:space="preserve"> (2020). </w:t>
      </w:r>
      <w:r w:rsidRPr="00D90F12">
        <w:rPr>
          <w:lang w:val="pt-BR"/>
        </w:rPr>
        <w:t>A Importância do Nome Social para Autoaceitação e Respeito das Pessoas “Trans”.</w:t>
      </w:r>
      <w:r w:rsidR="00643A71">
        <w:rPr>
          <w:lang w:val="pt-BR"/>
        </w:rPr>
        <w:t xml:space="preserve"> </w:t>
      </w:r>
      <w:r w:rsidR="00643A71" w:rsidRPr="00643A71">
        <w:rPr>
          <w:i/>
          <w:lang w:val="pt-BR"/>
        </w:rPr>
        <w:t>Revista Feminismos</w:t>
      </w:r>
      <w:r w:rsidR="00643A71">
        <w:rPr>
          <w:lang w:val="pt-BR"/>
        </w:rPr>
        <w:t>,</w:t>
      </w:r>
      <w:r w:rsidRPr="00D90F12">
        <w:rPr>
          <w:lang w:val="pt-BR"/>
        </w:rPr>
        <w:t xml:space="preserve"> </w:t>
      </w:r>
      <w:r w:rsidRPr="00643A71">
        <w:rPr>
          <w:i/>
          <w:lang w:val="pt-BR"/>
        </w:rPr>
        <w:t>8</w:t>
      </w:r>
      <w:r w:rsidR="00643A71">
        <w:rPr>
          <w:lang w:val="pt-BR"/>
        </w:rPr>
        <w:t>(</w:t>
      </w:r>
      <w:r w:rsidRPr="00D90F12">
        <w:rPr>
          <w:lang w:val="pt-BR"/>
        </w:rPr>
        <w:t>2</w:t>
      </w:r>
      <w:r w:rsidR="00643A71">
        <w:rPr>
          <w:lang w:val="pt-BR"/>
        </w:rPr>
        <w:t>)</w:t>
      </w:r>
      <w:r w:rsidRPr="00D90F12">
        <w:rPr>
          <w:lang w:val="pt-BR"/>
        </w:rPr>
        <w:t xml:space="preserve">. </w:t>
      </w:r>
      <w:hyperlink r:id="rId16" w:history="1">
        <w:r w:rsidR="00643A71" w:rsidRPr="00643A71">
          <w:rPr>
            <w:rStyle w:val="Hyperlink"/>
            <w:lang w:val="en-US"/>
          </w:rPr>
          <w:t>https://periodicos.ufba.br/index.php/feminismos/article/view/34894</w:t>
        </w:r>
      </w:hyperlink>
      <w:r w:rsidR="00643A71" w:rsidRPr="00643A71">
        <w:rPr>
          <w:lang w:val="en-US"/>
        </w:rPr>
        <w:t xml:space="preserve"> </w:t>
      </w:r>
    </w:p>
    <w:p w14:paraId="07E17ABD" w14:textId="77777777" w:rsidR="00D90F12" w:rsidRPr="00D90F12" w:rsidRDefault="00D90F12" w:rsidP="00D90F12">
      <w:pPr>
        <w:spacing w:line="360" w:lineRule="auto"/>
        <w:ind w:left="720" w:hanging="720"/>
        <w:jc w:val="both"/>
        <w:rPr>
          <w:lang w:val="pt-BR"/>
        </w:rPr>
      </w:pPr>
      <w:r w:rsidRPr="00643A71">
        <w:rPr>
          <w:lang w:val="en-US"/>
        </w:rPr>
        <w:t>C</w:t>
      </w:r>
      <w:r w:rsidR="00643A71" w:rsidRPr="00643A71">
        <w:rPr>
          <w:lang w:val="en-US"/>
        </w:rPr>
        <w:t>ohen</w:t>
      </w:r>
      <w:r w:rsidRPr="00643A71">
        <w:rPr>
          <w:lang w:val="en-US"/>
        </w:rPr>
        <w:t>, S</w:t>
      </w:r>
      <w:r w:rsidR="00643A71">
        <w:rPr>
          <w:lang w:val="en-US"/>
        </w:rPr>
        <w:t>., &amp;</w:t>
      </w:r>
      <w:r w:rsidRPr="00D90F12">
        <w:rPr>
          <w:lang w:val="en-US"/>
        </w:rPr>
        <w:t xml:space="preserve"> </w:t>
      </w:r>
      <w:proofErr w:type="spellStart"/>
      <w:r w:rsidRPr="00D90F12">
        <w:rPr>
          <w:lang w:val="en-US"/>
        </w:rPr>
        <w:t>M</w:t>
      </w:r>
      <w:r w:rsidR="00643A71" w:rsidRPr="00D90F12">
        <w:rPr>
          <w:lang w:val="en-US"/>
        </w:rPr>
        <w:t>ermelstein</w:t>
      </w:r>
      <w:proofErr w:type="spellEnd"/>
      <w:r w:rsidR="00643A71">
        <w:rPr>
          <w:lang w:val="en-US"/>
        </w:rPr>
        <w:t>, R</w:t>
      </w:r>
      <w:r w:rsidRPr="00D90F12">
        <w:rPr>
          <w:lang w:val="en-US"/>
        </w:rPr>
        <w:t>.</w:t>
      </w:r>
      <w:r w:rsidR="00643A71" w:rsidRPr="00643A71">
        <w:rPr>
          <w:lang w:val="en-US"/>
        </w:rPr>
        <w:t xml:space="preserve"> </w:t>
      </w:r>
      <w:r w:rsidR="00643A71">
        <w:rPr>
          <w:lang w:val="en-US"/>
        </w:rPr>
        <w:t>(</w:t>
      </w:r>
      <w:r w:rsidR="00643A71" w:rsidRPr="00D90F12">
        <w:rPr>
          <w:lang w:val="en-US"/>
        </w:rPr>
        <w:t>1983</w:t>
      </w:r>
      <w:r w:rsidR="00643A71">
        <w:rPr>
          <w:lang w:val="en-US"/>
        </w:rPr>
        <w:t xml:space="preserve">). </w:t>
      </w:r>
      <w:r w:rsidRPr="00D90F12">
        <w:rPr>
          <w:lang w:val="en-US"/>
        </w:rPr>
        <w:t>A Global Measure of Perceived Stress.</w:t>
      </w:r>
      <w:r w:rsidR="00643A71">
        <w:rPr>
          <w:lang w:val="en-US"/>
        </w:rPr>
        <w:t xml:space="preserve"> </w:t>
      </w:r>
      <w:r w:rsidRPr="00643A71">
        <w:rPr>
          <w:i/>
          <w:lang w:val="en-US"/>
        </w:rPr>
        <w:t>Journal of Health and Social Behavior</w:t>
      </w:r>
      <w:r w:rsidRPr="00D90F12">
        <w:rPr>
          <w:lang w:val="en-US"/>
        </w:rPr>
        <w:t>, 24</w:t>
      </w:r>
      <w:r w:rsidR="00643A71">
        <w:rPr>
          <w:lang w:val="en-US"/>
        </w:rPr>
        <w:t>(</w:t>
      </w:r>
      <w:r w:rsidRPr="00D90F12">
        <w:rPr>
          <w:lang w:val="en-US"/>
        </w:rPr>
        <w:t>4</w:t>
      </w:r>
      <w:r w:rsidR="00643A71">
        <w:rPr>
          <w:lang w:val="en-US"/>
        </w:rPr>
        <w:t xml:space="preserve">), 385-396. </w:t>
      </w:r>
      <w:hyperlink r:id="rId17" w:history="1">
        <w:r w:rsidR="00643A71" w:rsidRPr="0087767D">
          <w:rPr>
            <w:rStyle w:val="Hyperlink"/>
            <w:lang w:val="pt-BR"/>
          </w:rPr>
          <w:t>https://doi.org/10.2307/2136404</w:t>
        </w:r>
      </w:hyperlink>
      <w:r w:rsidR="00643A71">
        <w:rPr>
          <w:lang w:val="pt-BR"/>
        </w:rPr>
        <w:t xml:space="preserve"> </w:t>
      </w:r>
    </w:p>
    <w:p w14:paraId="702E5270" w14:textId="77777777" w:rsidR="00643A71" w:rsidRDefault="00643A71" w:rsidP="00D90F12">
      <w:pPr>
        <w:spacing w:line="360" w:lineRule="auto"/>
        <w:ind w:left="720" w:hanging="720"/>
        <w:jc w:val="both"/>
        <w:rPr>
          <w:lang w:val="pt-BR"/>
        </w:rPr>
      </w:pPr>
      <w:r>
        <w:rPr>
          <w:highlight w:val="yellow"/>
          <w:lang w:val="pt-BR"/>
        </w:rPr>
        <w:t>Conselho Federal de P</w:t>
      </w:r>
      <w:r w:rsidRPr="00643A71">
        <w:rPr>
          <w:highlight w:val="yellow"/>
          <w:lang w:val="pt-BR"/>
        </w:rPr>
        <w:t>sicologia</w:t>
      </w:r>
      <w:r w:rsidR="00D90F12" w:rsidRPr="00643A71">
        <w:rPr>
          <w:highlight w:val="yellow"/>
          <w:lang w:val="pt-BR"/>
        </w:rPr>
        <w:t>.</w:t>
      </w:r>
      <w:r>
        <w:rPr>
          <w:highlight w:val="yellow"/>
          <w:lang w:val="pt-BR"/>
        </w:rPr>
        <w:t xml:space="preserve"> (</w:t>
      </w:r>
      <w:r w:rsidRPr="00643A71">
        <w:rPr>
          <w:highlight w:val="yellow"/>
          <w:lang w:val="pt-BR"/>
        </w:rPr>
        <w:t>2019</w:t>
      </w:r>
      <w:r>
        <w:rPr>
          <w:highlight w:val="yellow"/>
          <w:lang w:val="pt-BR"/>
        </w:rPr>
        <w:t xml:space="preserve">, </w:t>
      </w:r>
      <w:r w:rsidRPr="00643A71">
        <w:rPr>
          <w:highlight w:val="yellow"/>
          <w:lang w:val="pt-BR"/>
        </w:rPr>
        <w:t>22</w:t>
      </w:r>
      <w:r>
        <w:rPr>
          <w:highlight w:val="yellow"/>
          <w:lang w:val="pt-BR"/>
        </w:rPr>
        <w:t xml:space="preserve"> de </w:t>
      </w:r>
      <w:r w:rsidRPr="00643A71">
        <w:rPr>
          <w:highlight w:val="yellow"/>
          <w:lang w:val="pt-BR"/>
        </w:rPr>
        <w:t>maio</w:t>
      </w:r>
      <w:r>
        <w:rPr>
          <w:highlight w:val="yellow"/>
          <w:lang w:val="pt-BR"/>
        </w:rPr>
        <w:t>).</w:t>
      </w:r>
      <w:r w:rsidR="00D90F12" w:rsidRPr="00643A71">
        <w:rPr>
          <w:highlight w:val="yellow"/>
          <w:lang w:val="pt-BR"/>
        </w:rPr>
        <w:t xml:space="preserve"> </w:t>
      </w:r>
      <w:r w:rsidR="00D90F12" w:rsidRPr="00643A71">
        <w:rPr>
          <w:i/>
          <w:highlight w:val="yellow"/>
          <w:lang w:val="pt-BR"/>
        </w:rPr>
        <w:t>Transexualidade não é transtorno m</w:t>
      </w:r>
      <w:r w:rsidRPr="00643A71">
        <w:rPr>
          <w:i/>
          <w:highlight w:val="yellow"/>
          <w:lang w:val="pt-BR"/>
        </w:rPr>
        <w:t>ental, oficializa OMS</w:t>
      </w:r>
      <w:r>
        <w:rPr>
          <w:highlight w:val="yellow"/>
          <w:lang w:val="pt-BR"/>
        </w:rPr>
        <w:t xml:space="preserve">. </w:t>
      </w:r>
      <w:hyperlink r:id="rId18" w:history="1">
        <w:r w:rsidRPr="00643A71">
          <w:rPr>
            <w:rStyle w:val="Hyperlink"/>
            <w:highlight w:val="yellow"/>
            <w:lang w:val="pt-BR"/>
          </w:rPr>
          <w:t>https://site.cfp.org.br/tag/resolucao-01-2018/</w:t>
        </w:r>
      </w:hyperlink>
      <w:r>
        <w:rPr>
          <w:lang w:val="pt-BR"/>
        </w:rPr>
        <w:t xml:space="preserve"> </w:t>
      </w:r>
    </w:p>
    <w:p w14:paraId="3C1D9237" w14:textId="77777777" w:rsidR="00D90F12" w:rsidRPr="00D90F12" w:rsidRDefault="00D90F12" w:rsidP="00643A71">
      <w:pPr>
        <w:spacing w:line="360" w:lineRule="auto"/>
        <w:ind w:left="720" w:hanging="720"/>
        <w:jc w:val="both"/>
        <w:rPr>
          <w:lang w:val="pt-BR"/>
        </w:rPr>
      </w:pPr>
      <w:r w:rsidRPr="00D90F12">
        <w:rPr>
          <w:lang w:val="pt-BR"/>
        </w:rPr>
        <w:t>C</w:t>
      </w:r>
      <w:r w:rsidR="00643A71">
        <w:rPr>
          <w:lang w:val="pt-BR"/>
        </w:rPr>
        <w:t>osta-V</w:t>
      </w:r>
      <w:r w:rsidR="00643A71" w:rsidRPr="00D90F12">
        <w:rPr>
          <w:lang w:val="pt-BR"/>
        </w:rPr>
        <w:t>al</w:t>
      </w:r>
      <w:r w:rsidR="00643A71">
        <w:rPr>
          <w:lang w:val="pt-BR"/>
        </w:rPr>
        <w:t xml:space="preserve">, A., &amp; </w:t>
      </w:r>
      <w:r w:rsidRPr="00D90F12">
        <w:rPr>
          <w:lang w:val="pt-BR"/>
        </w:rPr>
        <w:t>G</w:t>
      </w:r>
      <w:r w:rsidR="00643A71" w:rsidRPr="00D90F12">
        <w:rPr>
          <w:lang w:val="pt-BR"/>
        </w:rPr>
        <w:t>uerra</w:t>
      </w:r>
      <w:r w:rsidR="00643A71">
        <w:rPr>
          <w:lang w:val="pt-BR"/>
        </w:rPr>
        <w:t>, A.</w:t>
      </w:r>
      <w:r w:rsidR="00643A71" w:rsidRPr="00643A71">
        <w:rPr>
          <w:lang w:val="pt-BR"/>
        </w:rPr>
        <w:t xml:space="preserve"> </w:t>
      </w:r>
      <w:r w:rsidR="00643A71">
        <w:rPr>
          <w:lang w:val="pt-BR"/>
        </w:rPr>
        <w:t>(</w:t>
      </w:r>
      <w:r w:rsidR="00643A71" w:rsidRPr="00D90F12">
        <w:rPr>
          <w:lang w:val="pt-BR"/>
        </w:rPr>
        <w:t>2019</w:t>
      </w:r>
      <w:r w:rsidR="00643A71">
        <w:rPr>
          <w:lang w:val="pt-BR"/>
        </w:rPr>
        <w:t xml:space="preserve">). </w:t>
      </w:r>
      <w:r w:rsidRPr="00D90F12">
        <w:rPr>
          <w:lang w:val="pt-BR"/>
        </w:rPr>
        <w:t>Corpos trans: um ensaio sobre normas, singularidades e acontecimen</w:t>
      </w:r>
      <w:r w:rsidR="00643A71">
        <w:rPr>
          <w:lang w:val="pt-BR"/>
        </w:rPr>
        <w:t xml:space="preserve">to político. </w:t>
      </w:r>
      <w:r w:rsidR="00643A71" w:rsidRPr="00643A71">
        <w:rPr>
          <w:i/>
          <w:lang w:val="pt-BR"/>
        </w:rPr>
        <w:t xml:space="preserve">Saúde e Sociedade, </w:t>
      </w:r>
      <w:r w:rsidRPr="00643A71">
        <w:rPr>
          <w:i/>
          <w:lang w:val="pt-BR"/>
        </w:rPr>
        <w:t>28</w:t>
      </w:r>
      <w:r w:rsidR="00643A71">
        <w:rPr>
          <w:lang w:val="pt-BR"/>
        </w:rPr>
        <w:t>(</w:t>
      </w:r>
      <w:r w:rsidRPr="00D90F12">
        <w:rPr>
          <w:lang w:val="pt-BR"/>
        </w:rPr>
        <w:t>1</w:t>
      </w:r>
      <w:r w:rsidR="00643A71">
        <w:rPr>
          <w:lang w:val="pt-BR"/>
        </w:rPr>
        <w:t xml:space="preserve">), </w:t>
      </w:r>
      <w:r w:rsidRPr="00D90F12">
        <w:rPr>
          <w:lang w:val="pt-BR"/>
        </w:rPr>
        <w:t>121–134</w:t>
      </w:r>
      <w:r w:rsidR="00643A71">
        <w:rPr>
          <w:lang w:val="pt-BR"/>
        </w:rPr>
        <w:t xml:space="preserve">. </w:t>
      </w:r>
      <w:hyperlink r:id="rId19" w:history="1">
        <w:r w:rsidR="00643A71" w:rsidRPr="0087767D">
          <w:rPr>
            <w:rStyle w:val="Hyperlink"/>
            <w:lang w:val="pt-BR"/>
          </w:rPr>
          <w:t>https://doi.org/10.1590/S0104-12902019170251</w:t>
        </w:r>
      </w:hyperlink>
      <w:r w:rsidR="00643A71">
        <w:rPr>
          <w:lang w:val="pt-BR"/>
        </w:rPr>
        <w:t xml:space="preserve"> </w:t>
      </w:r>
    </w:p>
    <w:p w14:paraId="557F27D0" w14:textId="77777777" w:rsidR="00D90F12" w:rsidRPr="00D90F12" w:rsidRDefault="0099065F" w:rsidP="00D90F12">
      <w:pPr>
        <w:spacing w:line="360" w:lineRule="auto"/>
        <w:ind w:left="720" w:hanging="720"/>
        <w:jc w:val="both"/>
        <w:rPr>
          <w:lang w:val="pt-BR"/>
        </w:rPr>
      </w:pPr>
      <w:r w:rsidRPr="0099065F">
        <w:rPr>
          <w:lang w:val="pt-BR"/>
        </w:rPr>
        <w:t>Cruz, P. N., Ramos, A. S. M. B., Alves, B. D., Alencar, R. F. C., Veras, V. J., Nunes, A. K. A., S</w:t>
      </w:r>
      <w:r>
        <w:rPr>
          <w:lang w:val="pt-BR"/>
        </w:rPr>
        <w:t>ilva, J. T. P., &amp; Lacerda, E. P</w:t>
      </w:r>
      <w:r w:rsidR="00D90F12" w:rsidRPr="00D90F12">
        <w:rPr>
          <w:lang w:val="pt-BR"/>
        </w:rPr>
        <w:t>.</w:t>
      </w:r>
      <w:r>
        <w:rPr>
          <w:lang w:val="pt-BR"/>
        </w:rPr>
        <w:t xml:space="preserve"> (</w:t>
      </w:r>
      <w:r w:rsidRPr="00D90F12">
        <w:rPr>
          <w:lang w:val="pt-BR"/>
        </w:rPr>
        <w:t>2023</w:t>
      </w:r>
      <w:r>
        <w:rPr>
          <w:lang w:val="pt-BR"/>
        </w:rPr>
        <w:t>a).</w:t>
      </w:r>
      <w:r w:rsidR="00D90F12" w:rsidRPr="00D90F12">
        <w:rPr>
          <w:lang w:val="pt-BR"/>
        </w:rPr>
        <w:t xml:space="preserve"> Depressão Em Indivíduos Transgêneros Atendidos Em Um Hospital Universitário. </w:t>
      </w:r>
      <w:r w:rsidR="00D90F12" w:rsidRPr="0099065F">
        <w:rPr>
          <w:i/>
          <w:lang w:val="pt-BR"/>
        </w:rPr>
        <w:t>Arquivos de Ciências da Saúde da UNIPAR, 27</w:t>
      </w:r>
      <w:r>
        <w:rPr>
          <w:lang w:val="pt-BR"/>
        </w:rPr>
        <w:t>(</w:t>
      </w:r>
      <w:r w:rsidR="00D90F12" w:rsidRPr="00D90F12">
        <w:rPr>
          <w:lang w:val="pt-BR"/>
        </w:rPr>
        <w:t>5</w:t>
      </w:r>
      <w:r>
        <w:rPr>
          <w:lang w:val="pt-BR"/>
        </w:rPr>
        <w:t>)</w:t>
      </w:r>
      <w:r w:rsidR="00D90F12" w:rsidRPr="00D90F12">
        <w:rPr>
          <w:lang w:val="pt-BR"/>
        </w:rPr>
        <w:t xml:space="preserve">, </w:t>
      </w:r>
      <w:r>
        <w:rPr>
          <w:lang w:val="pt-BR"/>
        </w:rPr>
        <w:t xml:space="preserve">2612–2629. </w:t>
      </w:r>
      <w:hyperlink r:id="rId20" w:history="1">
        <w:r w:rsidRPr="0087767D">
          <w:rPr>
            <w:rStyle w:val="Hyperlink"/>
            <w:lang w:val="pt-BR"/>
          </w:rPr>
          <w:t>https://doi.org/10.25110/arqsaude.v27i5.2023-030</w:t>
        </w:r>
      </w:hyperlink>
      <w:r>
        <w:rPr>
          <w:lang w:val="pt-BR"/>
        </w:rPr>
        <w:t xml:space="preserve"> </w:t>
      </w:r>
    </w:p>
    <w:p w14:paraId="0A273C9E" w14:textId="77777777" w:rsidR="00D90F12" w:rsidRPr="00D90F12" w:rsidRDefault="0099065F" w:rsidP="00D90F12">
      <w:pPr>
        <w:spacing w:line="360" w:lineRule="auto"/>
        <w:ind w:left="720" w:hanging="720"/>
        <w:jc w:val="both"/>
        <w:rPr>
          <w:lang w:val="pt-BR"/>
        </w:rPr>
      </w:pPr>
      <w:r w:rsidRPr="0099065F">
        <w:rPr>
          <w:lang w:val="pt-BR"/>
        </w:rPr>
        <w:t>Cruz, P. N., Ramos, A. S. M. B., Penha, J. S., Alencar, R. F. C., Veras, V. J., Silva, J. T. P., Lacerda, E. P., Gomes, D. S. A., Vilanova, R. F., &amp; Lima, R. S.</w:t>
      </w:r>
      <w:r>
        <w:rPr>
          <w:lang w:val="pt-BR"/>
        </w:rPr>
        <w:t xml:space="preserve"> (2023b). </w:t>
      </w:r>
      <w:r w:rsidR="00D90F12" w:rsidRPr="00D90F12">
        <w:rPr>
          <w:lang w:val="pt-BR"/>
        </w:rPr>
        <w:t xml:space="preserve">Ansiedade em transgêneros acompanhados em um ambulatório de sexualidade maranhense. </w:t>
      </w:r>
      <w:r w:rsidR="00D90F12" w:rsidRPr="0099065F">
        <w:rPr>
          <w:i/>
          <w:lang w:val="pt-BR"/>
        </w:rPr>
        <w:t xml:space="preserve">Arquivos de Ciências da Saúde da UNIPAR, </w:t>
      </w:r>
      <w:r w:rsidRPr="0099065F">
        <w:rPr>
          <w:i/>
          <w:lang w:val="pt-BR"/>
        </w:rPr>
        <w:t>2</w:t>
      </w:r>
      <w:r w:rsidR="00D90F12" w:rsidRPr="0099065F">
        <w:rPr>
          <w:i/>
          <w:lang w:val="pt-BR"/>
        </w:rPr>
        <w:t>7</w:t>
      </w:r>
      <w:r>
        <w:rPr>
          <w:lang w:val="pt-BR"/>
        </w:rPr>
        <w:t xml:space="preserve">(7), </w:t>
      </w:r>
      <w:r w:rsidR="00D90F12" w:rsidRPr="00D90F12">
        <w:rPr>
          <w:lang w:val="pt-BR"/>
        </w:rPr>
        <w:t>4006–4026</w:t>
      </w:r>
      <w:r>
        <w:rPr>
          <w:lang w:val="pt-BR"/>
        </w:rPr>
        <w:t xml:space="preserve">. </w:t>
      </w:r>
      <w:hyperlink r:id="rId21" w:history="1">
        <w:r w:rsidRPr="0087767D">
          <w:rPr>
            <w:rStyle w:val="Hyperlink"/>
            <w:lang w:val="pt-BR"/>
          </w:rPr>
          <w:t>https://doi.org/10.25110/arqsaude.v27i7.2023-049</w:t>
        </w:r>
      </w:hyperlink>
      <w:r>
        <w:rPr>
          <w:lang w:val="pt-BR"/>
        </w:rPr>
        <w:t xml:space="preserve"> </w:t>
      </w:r>
    </w:p>
    <w:p w14:paraId="1E4D3C03" w14:textId="77777777" w:rsidR="00D90F12" w:rsidRPr="00D90F12" w:rsidRDefault="0099065F" w:rsidP="00D90F12">
      <w:pPr>
        <w:spacing w:line="360" w:lineRule="auto"/>
        <w:ind w:left="720" w:hanging="720"/>
        <w:jc w:val="both"/>
        <w:rPr>
          <w:lang w:val="pt-BR"/>
        </w:rPr>
      </w:pPr>
      <w:r w:rsidRPr="0099065F">
        <w:rPr>
          <w:lang w:val="pt-BR"/>
        </w:rPr>
        <w:t>Melo, R. A., Silva, A. L. G., Costa, D. R. R. S., Guimarães, M. C., Coqueiro, L.</w:t>
      </w:r>
      <w:r>
        <w:rPr>
          <w:lang w:val="pt-BR"/>
        </w:rPr>
        <w:t xml:space="preserve"> S. R., &amp; Fernandes, F. E. C. V</w:t>
      </w:r>
      <w:r w:rsidR="00DF450C">
        <w:rPr>
          <w:lang w:val="pt-BR"/>
        </w:rPr>
        <w:t xml:space="preserve">. (2023). </w:t>
      </w:r>
      <w:r w:rsidR="00D90F12" w:rsidRPr="00D90F12">
        <w:rPr>
          <w:lang w:val="pt-BR"/>
        </w:rPr>
        <w:t>Situações de vulnerabilidade vivenciadas por pessoas transexuais.</w:t>
      </w:r>
      <w:r w:rsidR="00DF450C">
        <w:rPr>
          <w:lang w:val="pt-BR"/>
        </w:rPr>
        <w:t xml:space="preserve"> </w:t>
      </w:r>
      <w:r w:rsidR="00D90F12" w:rsidRPr="00DF450C">
        <w:rPr>
          <w:i/>
          <w:lang w:val="pt-BR"/>
        </w:rPr>
        <w:t xml:space="preserve">Revista Psicologia, Diversidade e Saúde, </w:t>
      </w:r>
      <w:r w:rsidR="00DF450C" w:rsidRPr="00DF450C">
        <w:rPr>
          <w:i/>
          <w:lang w:val="pt-BR"/>
        </w:rPr>
        <w:t>12</w:t>
      </w:r>
      <w:r w:rsidR="00DF450C">
        <w:rPr>
          <w:lang w:val="pt-BR"/>
        </w:rPr>
        <w:t xml:space="preserve">, </w:t>
      </w:r>
      <w:r w:rsidR="00D90F12" w:rsidRPr="00D90F12">
        <w:rPr>
          <w:lang w:val="pt-BR"/>
        </w:rPr>
        <w:t>e5109-e5109</w:t>
      </w:r>
      <w:r w:rsidR="00DF450C">
        <w:rPr>
          <w:lang w:val="pt-BR"/>
        </w:rPr>
        <w:t xml:space="preserve">. </w:t>
      </w:r>
      <w:hyperlink r:id="rId22" w:history="1">
        <w:r w:rsidR="00DF450C" w:rsidRPr="0087767D">
          <w:rPr>
            <w:rStyle w:val="Hyperlink"/>
            <w:lang w:val="pt-BR"/>
          </w:rPr>
          <w:t>https://doi.org/10.17267/2317-3394rpds.2023.e5109</w:t>
        </w:r>
      </w:hyperlink>
      <w:r w:rsidR="00DF450C">
        <w:rPr>
          <w:lang w:val="pt-BR"/>
        </w:rPr>
        <w:t xml:space="preserve"> </w:t>
      </w:r>
    </w:p>
    <w:p w14:paraId="140404ED" w14:textId="77777777" w:rsidR="00D90F12" w:rsidRPr="00D90F12" w:rsidRDefault="00D90F12" w:rsidP="00D90F12">
      <w:pPr>
        <w:spacing w:line="360" w:lineRule="auto"/>
        <w:ind w:left="720" w:hanging="720"/>
        <w:jc w:val="both"/>
        <w:rPr>
          <w:lang w:val="pt-BR"/>
        </w:rPr>
      </w:pPr>
      <w:r w:rsidRPr="00D90F12">
        <w:rPr>
          <w:lang w:val="pt-BR"/>
        </w:rPr>
        <w:t>F</w:t>
      </w:r>
      <w:r w:rsidR="00DF450C" w:rsidRPr="00D90F12">
        <w:rPr>
          <w:lang w:val="pt-BR"/>
        </w:rPr>
        <w:t>igueira</w:t>
      </w:r>
      <w:r w:rsidR="00DF450C">
        <w:rPr>
          <w:lang w:val="pt-BR"/>
        </w:rPr>
        <w:t>, M. D</w:t>
      </w:r>
      <w:r w:rsidRPr="00D90F12">
        <w:rPr>
          <w:lang w:val="pt-BR"/>
        </w:rPr>
        <w:t xml:space="preserve">. </w:t>
      </w:r>
      <w:r w:rsidRPr="00DF450C">
        <w:rPr>
          <w:i/>
          <w:lang w:val="pt-BR"/>
        </w:rPr>
        <w:t>Identidade, Autoestima, Saúde Mental e Vinculação em Pessoas LGBT</w:t>
      </w:r>
      <w:r w:rsidRPr="00D90F12">
        <w:rPr>
          <w:lang w:val="pt-BR"/>
        </w:rPr>
        <w:t xml:space="preserve">. </w:t>
      </w:r>
      <w:r w:rsidR="00DF450C">
        <w:rPr>
          <w:lang w:val="pt-BR"/>
        </w:rPr>
        <w:t>(</w:t>
      </w:r>
      <w:r w:rsidRPr="00D90F12">
        <w:rPr>
          <w:lang w:val="pt-BR"/>
        </w:rPr>
        <w:t>2020</w:t>
      </w:r>
      <w:r w:rsidR="00DF450C">
        <w:rPr>
          <w:lang w:val="pt-BR"/>
        </w:rPr>
        <w:t>)</w:t>
      </w:r>
      <w:r w:rsidRPr="00D90F12">
        <w:rPr>
          <w:lang w:val="pt-BR"/>
        </w:rPr>
        <w:t xml:space="preserve">. </w:t>
      </w:r>
      <w:r w:rsidR="00DF450C">
        <w:rPr>
          <w:lang w:val="pt-BR"/>
        </w:rPr>
        <w:t xml:space="preserve">[Dissertação, </w:t>
      </w:r>
      <w:r w:rsidRPr="00D90F12">
        <w:rPr>
          <w:lang w:val="pt-BR"/>
        </w:rPr>
        <w:t>Mestrado em Ps</w:t>
      </w:r>
      <w:r w:rsidR="00DF450C">
        <w:rPr>
          <w:lang w:val="pt-BR"/>
        </w:rPr>
        <w:t xml:space="preserve">icologia Clínica e da Saúde, </w:t>
      </w:r>
      <w:r w:rsidRPr="00D90F12">
        <w:rPr>
          <w:lang w:val="pt-BR"/>
        </w:rPr>
        <w:t>Universidade da Beira Interior</w:t>
      </w:r>
      <w:r w:rsidR="00DF450C">
        <w:rPr>
          <w:lang w:val="pt-BR"/>
        </w:rPr>
        <w:t>]</w:t>
      </w:r>
      <w:r w:rsidRPr="00D90F12">
        <w:rPr>
          <w:lang w:val="pt-BR"/>
        </w:rPr>
        <w:t>.</w:t>
      </w:r>
      <w:r w:rsidR="00DF450C">
        <w:rPr>
          <w:lang w:val="pt-BR"/>
        </w:rPr>
        <w:t xml:space="preserve"> </w:t>
      </w:r>
      <w:hyperlink r:id="rId23" w:history="1">
        <w:r w:rsidR="00DF450C" w:rsidRPr="0087767D">
          <w:rPr>
            <w:rStyle w:val="Hyperlink"/>
            <w:lang w:val="pt-BR"/>
          </w:rPr>
          <w:t>https://www.proquest.com/openview/9a70dd39af2ad2c20f334f83fae9d9d0/1?pq-origsite=gscholar&amp;cbl=2026366&amp;diss=y</w:t>
        </w:r>
      </w:hyperlink>
      <w:r w:rsidR="00DF450C">
        <w:rPr>
          <w:lang w:val="pt-BR"/>
        </w:rPr>
        <w:t xml:space="preserve"> </w:t>
      </w:r>
    </w:p>
    <w:p w14:paraId="793DB6A9" w14:textId="77777777" w:rsidR="00D90F12" w:rsidRPr="00D90F12" w:rsidRDefault="00DF450C" w:rsidP="00D90F12">
      <w:pPr>
        <w:spacing w:line="360" w:lineRule="auto"/>
        <w:ind w:left="720" w:hanging="720"/>
        <w:jc w:val="both"/>
        <w:rPr>
          <w:lang w:val="pt-BR"/>
        </w:rPr>
      </w:pPr>
      <w:r>
        <w:rPr>
          <w:lang w:val="pt-BR"/>
        </w:rPr>
        <w:t xml:space="preserve">Francisco, L. C. F. </w:t>
      </w:r>
      <w:r w:rsidRPr="00DF450C">
        <w:rPr>
          <w:lang w:val="pt-BR"/>
        </w:rPr>
        <w:t xml:space="preserve">L., Barros, A. C., Pacheco, M. D. S., Nardi, A. E., &amp; Alves, V. D. M. (2020). Ansiedade em minorias sexuais e de gênero: uma revisão integrativa. </w:t>
      </w:r>
      <w:r w:rsidRPr="00DF450C">
        <w:rPr>
          <w:i/>
          <w:lang w:val="pt-BR"/>
        </w:rPr>
        <w:t>Jornal Brasileiro de Psiquiatria, 69</w:t>
      </w:r>
      <w:r w:rsidRPr="00DF450C">
        <w:rPr>
          <w:lang w:val="pt-BR"/>
        </w:rPr>
        <w:t>(1), 48-56.</w:t>
      </w:r>
      <w:r>
        <w:rPr>
          <w:lang w:val="pt-BR"/>
        </w:rPr>
        <w:t xml:space="preserve"> </w:t>
      </w:r>
      <w:hyperlink r:id="rId24" w:history="1">
        <w:r w:rsidRPr="0087767D">
          <w:rPr>
            <w:rStyle w:val="Hyperlink"/>
            <w:lang w:val="pt-BR"/>
          </w:rPr>
          <w:t>https://doi.org/10.1590/0047-2085000000255</w:t>
        </w:r>
      </w:hyperlink>
      <w:r>
        <w:rPr>
          <w:lang w:val="pt-BR"/>
        </w:rPr>
        <w:t xml:space="preserve"> </w:t>
      </w:r>
    </w:p>
    <w:p w14:paraId="4F9564EF" w14:textId="77777777" w:rsidR="00D90F12" w:rsidRPr="00D90F12" w:rsidRDefault="00DF450C" w:rsidP="00D90F12">
      <w:pPr>
        <w:spacing w:line="360" w:lineRule="auto"/>
        <w:ind w:left="720" w:hanging="720"/>
        <w:jc w:val="both"/>
        <w:rPr>
          <w:lang w:val="pt-BR"/>
        </w:rPr>
      </w:pPr>
      <w:r w:rsidRPr="00DF450C">
        <w:rPr>
          <w:lang w:val="pt-BR"/>
        </w:rPr>
        <w:t>Gontijo, G. C. S., Souto, H. Z. D., Baptista, C. V., Moreira, J. V. S., Pestana, G. M. M., Mor</w:t>
      </w:r>
      <w:r>
        <w:rPr>
          <w:lang w:val="pt-BR"/>
        </w:rPr>
        <w:t>aes, A. G. M., &amp; Ferreira, C. A</w:t>
      </w:r>
      <w:r w:rsidR="00D90F12" w:rsidRPr="00D90F12">
        <w:rPr>
          <w:lang w:val="pt-BR"/>
        </w:rPr>
        <w:t>.</w:t>
      </w:r>
      <w:r>
        <w:rPr>
          <w:lang w:val="pt-BR"/>
        </w:rPr>
        <w:t xml:space="preserve"> (2024).</w:t>
      </w:r>
      <w:r w:rsidR="00D90F12" w:rsidRPr="00D90F12">
        <w:rPr>
          <w:lang w:val="pt-BR"/>
        </w:rPr>
        <w:t xml:space="preserve"> Saúde mental da po</w:t>
      </w:r>
      <w:r>
        <w:rPr>
          <w:lang w:val="pt-BR"/>
        </w:rPr>
        <w:t xml:space="preserve">pulação LGBTQIA+. </w:t>
      </w:r>
      <w:r w:rsidRPr="00DF450C">
        <w:rPr>
          <w:i/>
          <w:lang w:val="pt-BR"/>
        </w:rPr>
        <w:t xml:space="preserve">REVISTA FOCO, </w:t>
      </w:r>
      <w:r w:rsidR="00D90F12" w:rsidRPr="00DF450C">
        <w:rPr>
          <w:i/>
          <w:lang w:val="pt-BR"/>
        </w:rPr>
        <w:t>17</w:t>
      </w:r>
      <w:r>
        <w:rPr>
          <w:lang w:val="pt-BR"/>
        </w:rPr>
        <w:t>(</w:t>
      </w:r>
      <w:r w:rsidR="00D90F12" w:rsidRPr="00D90F12">
        <w:rPr>
          <w:lang w:val="pt-BR"/>
        </w:rPr>
        <w:t>4</w:t>
      </w:r>
      <w:r>
        <w:rPr>
          <w:lang w:val="pt-BR"/>
        </w:rPr>
        <w:t>)</w:t>
      </w:r>
      <w:r w:rsidR="00D90F12" w:rsidRPr="00D90F12">
        <w:rPr>
          <w:lang w:val="pt-BR"/>
        </w:rPr>
        <w:t>, e4960</w:t>
      </w:r>
      <w:r>
        <w:rPr>
          <w:lang w:val="pt-BR"/>
        </w:rPr>
        <w:t xml:space="preserve">. </w:t>
      </w:r>
      <w:hyperlink r:id="rId25" w:history="1">
        <w:r w:rsidRPr="0087767D">
          <w:rPr>
            <w:rStyle w:val="Hyperlink"/>
            <w:lang w:val="pt-BR"/>
          </w:rPr>
          <w:t>https://doi.org/10.54751/revistafoco.v17n4-135</w:t>
        </w:r>
      </w:hyperlink>
      <w:r>
        <w:rPr>
          <w:lang w:val="pt-BR"/>
        </w:rPr>
        <w:t xml:space="preserve"> </w:t>
      </w:r>
    </w:p>
    <w:p w14:paraId="314E0243" w14:textId="77777777" w:rsidR="00DF450C" w:rsidRDefault="00DF450C" w:rsidP="00D90F12">
      <w:pPr>
        <w:spacing w:line="360" w:lineRule="auto"/>
        <w:ind w:left="720" w:hanging="720"/>
        <w:jc w:val="both"/>
        <w:rPr>
          <w:lang w:val="pt-BR"/>
        </w:rPr>
      </w:pPr>
      <w:r w:rsidRPr="00DF450C">
        <w:rPr>
          <w:lang w:val="pt-BR"/>
        </w:rPr>
        <w:t>Jesus, M. K. M. R., Moré, I. A. A., Q</w:t>
      </w:r>
      <w:r>
        <w:rPr>
          <w:lang w:val="pt-BR"/>
        </w:rPr>
        <w:t>uerino, R. A., &amp; Oliveira, V. H</w:t>
      </w:r>
      <w:r w:rsidR="00D90F12" w:rsidRPr="00D90F12">
        <w:rPr>
          <w:lang w:val="pt-BR"/>
        </w:rPr>
        <w:t>.</w:t>
      </w:r>
      <w:r>
        <w:rPr>
          <w:lang w:val="pt-BR"/>
        </w:rPr>
        <w:t xml:space="preserve"> (2023).</w:t>
      </w:r>
      <w:r w:rsidR="00D90F12" w:rsidRPr="00D90F12">
        <w:rPr>
          <w:lang w:val="pt-BR"/>
        </w:rPr>
        <w:t xml:space="preserve"> Experiências de mulheres transexuais no sistema de saúde: visibilidade em direção à equidade. </w:t>
      </w:r>
      <w:r w:rsidR="00D90F12" w:rsidRPr="00DF450C">
        <w:rPr>
          <w:i/>
          <w:lang w:val="pt-BR"/>
        </w:rPr>
        <w:t>Interface-Comunica</w:t>
      </w:r>
      <w:r w:rsidRPr="00DF450C">
        <w:rPr>
          <w:i/>
          <w:lang w:val="pt-BR"/>
        </w:rPr>
        <w:t xml:space="preserve">ção, Saúde, Educação, Botucatu, </w:t>
      </w:r>
      <w:r w:rsidR="00D90F12" w:rsidRPr="00DF450C">
        <w:rPr>
          <w:i/>
          <w:lang w:val="pt-BR"/>
        </w:rPr>
        <w:t>27</w:t>
      </w:r>
      <w:r>
        <w:rPr>
          <w:lang w:val="pt-BR"/>
        </w:rPr>
        <w:t xml:space="preserve">, </w:t>
      </w:r>
      <w:r w:rsidR="00D90F12" w:rsidRPr="00D90F12">
        <w:rPr>
          <w:lang w:val="pt-BR"/>
        </w:rPr>
        <w:t>e220369</w:t>
      </w:r>
      <w:r>
        <w:rPr>
          <w:lang w:val="pt-BR"/>
        </w:rPr>
        <w:t xml:space="preserve">. </w:t>
      </w:r>
      <w:hyperlink r:id="rId26" w:history="1">
        <w:r w:rsidRPr="0087767D">
          <w:rPr>
            <w:rStyle w:val="Hyperlink"/>
            <w:lang w:val="pt-BR"/>
          </w:rPr>
          <w:t>https://doi.org/10.1590/interface.220369</w:t>
        </w:r>
      </w:hyperlink>
      <w:r>
        <w:rPr>
          <w:lang w:val="pt-BR"/>
        </w:rPr>
        <w:t xml:space="preserve"> </w:t>
      </w:r>
    </w:p>
    <w:p w14:paraId="18B98B3A" w14:textId="77777777" w:rsidR="00D90F12" w:rsidRPr="00D90F12" w:rsidRDefault="00D90F12" w:rsidP="00D90F12">
      <w:pPr>
        <w:spacing w:line="360" w:lineRule="auto"/>
        <w:ind w:left="720" w:hanging="720"/>
        <w:jc w:val="both"/>
        <w:rPr>
          <w:lang w:val="pt-BR"/>
        </w:rPr>
      </w:pPr>
      <w:r w:rsidRPr="00D90F12">
        <w:rPr>
          <w:lang w:val="pt-BR"/>
        </w:rPr>
        <w:t>JU</w:t>
      </w:r>
      <w:r w:rsidR="003B29AC">
        <w:rPr>
          <w:lang w:val="pt-BR"/>
        </w:rPr>
        <w:t>NIOR, M. A. G. (2022).</w:t>
      </w:r>
      <w:r w:rsidRPr="00D90F12">
        <w:rPr>
          <w:lang w:val="pt-BR"/>
        </w:rPr>
        <w:t xml:space="preserve"> </w:t>
      </w:r>
      <w:r w:rsidRPr="003B29AC">
        <w:rPr>
          <w:i/>
          <w:lang w:val="pt-BR"/>
        </w:rPr>
        <w:t>Saúde mental da população LGBT no SUS: problematizações a partir da experiência do Centro de Referência em Saúde Mental (CERSAM) - Pampulha, Belo Horizonte, Minas Gerais</w:t>
      </w:r>
      <w:r w:rsidR="003B29AC">
        <w:rPr>
          <w:lang w:val="pt-BR"/>
        </w:rPr>
        <w:t xml:space="preserve"> [Dissertação, Mestrado em Antropologia, </w:t>
      </w:r>
      <w:r w:rsidRPr="00D90F12">
        <w:rPr>
          <w:lang w:val="pt-BR"/>
        </w:rPr>
        <w:t>Universidade Federal de Minas Gerais</w:t>
      </w:r>
      <w:r w:rsidR="003B29AC">
        <w:rPr>
          <w:lang w:val="pt-BR"/>
        </w:rPr>
        <w:t xml:space="preserve">]. Repositório </w:t>
      </w:r>
      <w:r w:rsidR="003B29AC" w:rsidRPr="003B29AC">
        <w:rPr>
          <w:lang w:val="pt-BR"/>
        </w:rPr>
        <w:t>Institucional da Univ</w:t>
      </w:r>
      <w:r w:rsidR="003B29AC">
        <w:rPr>
          <w:lang w:val="pt-BR"/>
        </w:rPr>
        <w:t xml:space="preserve">ersidade Federal de Minas Gerais. </w:t>
      </w:r>
      <w:hyperlink r:id="rId27" w:history="1">
        <w:r w:rsidR="003B29AC" w:rsidRPr="0087767D">
          <w:rPr>
            <w:rStyle w:val="Hyperlink"/>
            <w:lang w:val="pt-BR"/>
          </w:rPr>
          <w:t>https://hdl.handle.net/1843/63796</w:t>
        </w:r>
      </w:hyperlink>
      <w:r w:rsidR="003B29AC">
        <w:rPr>
          <w:lang w:val="pt-BR"/>
        </w:rPr>
        <w:t xml:space="preserve"> </w:t>
      </w:r>
      <w:r w:rsidRPr="00D90F12">
        <w:rPr>
          <w:lang w:val="pt-BR"/>
        </w:rPr>
        <w:t xml:space="preserve"> </w:t>
      </w:r>
    </w:p>
    <w:p w14:paraId="211EDD1B" w14:textId="77777777" w:rsidR="00D90F12" w:rsidRPr="003B29AC" w:rsidRDefault="003B29AC" w:rsidP="00D90F12">
      <w:pPr>
        <w:spacing w:line="360" w:lineRule="auto"/>
        <w:ind w:left="720" w:hanging="720"/>
        <w:jc w:val="both"/>
        <w:rPr>
          <w:lang w:val="pt-BR"/>
        </w:rPr>
      </w:pPr>
      <w:r w:rsidRPr="003B29AC">
        <w:rPr>
          <w:lang w:val="pt-BR"/>
        </w:rPr>
        <w:t>Machado, R. B. J. N., Legar, E. N. R. P., Silva, C. V. S., Palermo, M. V. A., Silva, R. M. G., Nunes, L. A., Ferreira, P. H. T., Silva, R. F., San</w:t>
      </w:r>
      <w:r>
        <w:rPr>
          <w:lang w:val="pt-BR"/>
        </w:rPr>
        <w:t xml:space="preserve">tos, J. L., &amp; </w:t>
      </w:r>
      <w:proofErr w:type="spellStart"/>
      <w:r>
        <w:rPr>
          <w:lang w:val="pt-BR"/>
        </w:rPr>
        <w:t>Knupp</w:t>
      </w:r>
      <w:proofErr w:type="spellEnd"/>
      <w:r>
        <w:rPr>
          <w:lang w:val="pt-BR"/>
        </w:rPr>
        <w:t>, V. M. A. O</w:t>
      </w:r>
      <w:r w:rsidR="00D90F12" w:rsidRPr="00D90F12">
        <w:rPr>
          <w:lang w:val="pt-BR"/>
        </w:rPr>
        <w:t>.</w:t>
      </w:r>
      <w:r>
        <w:rPr>
          <w:lang w:val="pt-BR"/>
        </w:rPr>
        <w:t xml:space="preserve"> (2022).</w:t>
      </w:r>
      <w:r w:rsidR="00D90F12" w:rsidRPr="00D90F12">
        <w:rPr>
          <w:lang w:val="pt-BR"/>
        </w:rPr>
        <w:t xml:space="preserve"> Acesso da população travesti e transexual aos serviços de saúde. Pesquisa, Sociedade e Desenvolvimento, 11</w:t>
      </w:r>
      <w:r>
        <w:rPr>
          <w:lang w:val="pt-BR"/>
        </w:rPr>
        <w:t>(</w:t>
      </w:r>
      <w:r w:rsidR="00D90F12" w:rsidRPr="00D90F12">
        <w:rPr>
          <w:lang w:val="pt-BR"/>
        </w:rPr>
        <w:t>11</w:t>
      </w:r>
      <w:r>
        <w:rPr>
          <w:lang w:val="pt-BR"/>
        </w:rPr>
        <w:t>)</w:t>
      </w:r>
      <w:r w:rsidR="00D90F12" w:rsidRPr="00D90F12">
        <w:rPr>
          <w:lang w:val="pt-BR"/>
        </w:rPr>
        <w:t>,</w:t>
      </w:r>
      <w:r>
        <w:rPr>
          <w:lang w:val="pt-BR"/>
        </w:rPr>
        <w:t xml:space="preserve"> </w:t>
      </w:r>
      <w:r w:rsidR="00D90F12" w:rsidRPr="00D90F12">
        <w:rPr>
          <w:lang w:val="pt-BR"/>
        </w:rPr>
        <w:t>e216111133501-e216111133501.</w:t>
      </w:r>
      <w:r>
        <w:rPr>
          <w:lang w:val="pt-BR"/>
        </w:rPr>
        <w:t xml:space="preserve"> </w:t>
      </w:r>
      <w:hyperlink r:id="rId28" w:history="1">
        <w:r w:rsidRPr="0087767D">
          <w:rPr>
            <w:rStyle w:val="Hyperlink"/>
            <w:lang w:val="pt-BR"/>
          </w:rPr>
          <w:t>https://doi.org/10.33448/rsd-v11i11.33501</w:t>
        </w:r>
      </w:hyperlink>
      <w:r>
        <w:rPr>
          <w:lang w:val="pt-BR"/>
        </w:rPr>
        <w:t xml:space="preserve">  </w:t>
      </w:r>
    </w:p>
    <w:p w14:paraId="38150EA7" w14:textId="77777777" w:rsidR="00D90F12" w:rsidRPr="00D90F12" w:rsidRDefault="003B29AC" w:rsidP="00D90F12">
      <w:pPr>
        <w:spacing w:line="360" w:lineRule="auto"/>
        <w:ind w:left="720" w:hanging="720"/>
        <w:jc w:val="both"/>
        <w:rPr>
          <w:lang w:val="pt-BR"/>
        </w:rPr>
      </w:pPr>
      <w:r w:rsidRPr="003B29AC">
        <w:rPr>
          <w:lang w:val="en-US"/>
        </w:rPr>
        <w:t xml:space="preserve">Meyer, I. H. (2003). Prejudice, social stress, and mental health in lesbian, gay, and bisexual populations: Conceptual issues and research evidence. </w:t>
      </w:r>
      <w:proofErr w:type="spellStart"/>
      <w:r w:rsidRPr="003B29AC">
        <w:rPr>
          <w:i/>
          <w:lang w:val="pt-BR"/>
        </w:rPr>
        <w:t>Psychological</w:t>
      </w:r>
      <w:proofErr w:type="spellEnd"/>
      <w:r w:rsidRPr="003B29AC">
        <w:rPr>
          <w:i/>
          <w:lang w:val="pt-BR"/>
        </w:rPr>
        <w:t xml:space="preserve"> Bulletin, 129</w:t>
      </w:r>
      <w:r w:rsidRPr="003B29AC">
        <w:rPr>
          <w:lang w:val="pt-BR"/>
        </w:rPr>
        <w:t xml:space="preserve">(5), 674–697. </w:t>
      </w:r>
      <w:hyperlink r:id="rId29" w:history="1">
        <w:r w:rsidRPr="0087767D">
          <w:rPr>
            <w:rStyle w:val="Hyperlink"/>
            <w:lang w:val="pt-BR"/>
          </w:rPr>
          <w:t>https://doi.org/10.1037/0033-2909.129.5.674</w:t>
        </w:r>
      </w:hyperlink>
      <w:r>
        <w:rPr>
          <w:lang w:val="pt-BR"/>
        </w:rPr>
        <w:t xml:space="preserve">  </w:t>
      </w:r>
    </w:p>
    <w:p w14:paraId="1ADFFF34" w14:textId="77777777" w:rsidR="00D90F12" w:rsidRPr="00D90F12" w:rsidRDefault="00D90F12" w:rsidP="00D90F12">
      <w:pPr>
        <w:spacing w:line="360" w:lineRule="auto"/>
        <w:ind w:left="720" w:hanging="720"/>
        <w:jc w:val="both"/>
        <w:rPr>
          <w:lang w:val="pt-BR"/>
        </w:rPr>
      </w:pPr>
      <w:r w:rsidRPr="00D90F12">
        <w:rPr>
          <w:lang w:val="pt-BR"/>
        </w:rPr>
        <w:t>M</w:t>
      </w:r>
      <w:r w:rsidR="003B29AC" w:rsidRPr="00D90F12">
        <w:rPr>
          <w:lang w:val="pt-BR"/>
        </w:rPr>
        <w:t>orais</w:t>
      </w:r>
      <w:r w:rsidRPr="00D90F12">
        <w:rPr>
          <w:lang w:val="pt-BR"/>
        </w:rPr>
        <w:t>, S</w:t>
      </w:r>
      <w:r w:rsidR="003B29AC">
        <w:rPr>
          <w:lang w:val="pt-BR"/>
        </w:rPr>
        <w:t>.</w:t>
      </w:r>
      <w:r w:rsidRPr="00D90F12">
        <w:rPr>
          <w:lang w:val="pt-BR"/>
        </w:rPr>
        <w:t xml:space="preserve"> R</w:t>
      </w:r>
      <w:r w:rsidR="003B29AC">
        <w:rPr>
          <w:lang w:val="pt-BR"/>
        </w:rPr>
        <w:t>.</w:t>
      </w:r>
      <w:r w:rsidRPr="00D90F12">
        <w:rPr>
          <w:lang w:val="pt-BR"/>
        </w:rPr>
        <w:t xml:space="preserve"> S</w:t>
      </w:r>
      <w:r w:rsidR="003B29AC">
        <w:rPr>
          <w:lang w:val="pt-BR"/>
        </w:rPr>
        <w:t>., &amp;</w:t>
      </w:r>
      <w:r w:rsidRPr="00D90F12">
        <w:rPr>
          <w:lang w:val="pt-BR"/>
        </w:rPr>
        <w:t xml:space="preserve"> L</w:t>
      </w:r>
      <w:r w:rsidR="003B29AC" w:rsidRPr="00D90F12">
        <w:rPr>
          <w:lang w:val="pt-BR"/>
        </w:rPr>
        <w:t>eão</w:t>
      </w:r>
      <w:r w:rsidRPr="00D90F12">
        <w:rPr>
          <w:lang w:val="pt-BR"/>
        </w:rPr>
        <w:t>, G</w:t>
      </w:r>
      <w:r w:rsidR="003B29AC">
        <w:rPr>
          <w:lang w:val="pt-BR"/>
        </w:rPr>
        <w:t>.</w:t>
      </w:r>
      <w:r w:rsidRPr="00D90F12">
        <w:rPr>
          <w:lang w:val="pt-BR"/>
        </w:rPr>
        <w:t xml:space="preserve"> D</w:t>
      </w:r>
      <w:r w:rsidR="003B29AC">
        <w:rPr>
          <w:lang w:val="pt-BR"/>
        </w:rPr>
        <w:t>.</w:t>
      </w:r>
      <w:r w:rsidRPr="00D90F12">
        <w:rPr>
          <w:lang w:val="pt-BR"/>
        </w:rPr>
        <w:t xml:space="preserve"> B.</w:t>
      </w:r>
      <w:r w:rsidR="003B29AC">
        <w:rPr>
          <w:lang w:val="pt-BR"/>
        </w:rPr>
        <w:t xml:space="preserve"> (2017). </w:t>
      </w:r>
      <w:r w:rsidRPr="00D90F12">
        <w:rPr>
          <w:lang w:val="pt-BR"/>
        </w:rPr>
        <w:t xml:space="preserve">Compreensões de adoecimento psíquico segundo educadora afastada do trabalho em Juazeiro-BA. </w:t>
      </w:r>
      <w:r w:rsidRPr="003B29AC">
        <w:rPr>
          <w:i/>
          <w:lang w:val="pt-BR"/>
        </w:rPr>
        <w:t>Revista de Educação da Universidade Fe</w:t>
      </w:r>
      <w:r w:rsidR="003B29AC" w:rsidRPr="003B29AC">
        <w:rPr>
          <w:i/>
          <w:lang w:val="pt-BR"/>
        </w:rPr>
        <w:t>deral do Vale do São Francisco, 7</w:t>
      </w:r>
      <w:r w:rsidR="003B29AC">
        <w:rPr>
          <w:lang w:val="pt-BR"/>
        </w:rPr>
        <w:t>(</w:t>
      </w:r>
      <w:r w:rsidRPr="00D90F12">
        <w:rPr>
          <w:lang w:val="pt-BR"/>
        </w:rPr>
        <w:t>12</w:t>
      </w:r>
      <w:r w:rsidR="003B29AC">
        <w:rPr>
          <w:lang w:val="pt-BR"/>
        </w:rPr>
        <w:t>)</w:t>
      </w:r>
      <w:r w:rsidRPr="00D90F12">
        <w:rPr>
          <w:lang w:val="pt-BR"/>
        </w:rPr>
        <w:t xml:space="preserve">. </w:t>
      </w:r>
      <w:hyperlink r:id="rId30" w:history="1">
        <w:r w:rsidR="003B29AC" w:rsidRPr="0087767D">
          <w:rPr>
            <w:rStyle w:val="Hyperlink"/>
            <w:lang w:val="pt-BR"/>
          </w:rPr>
          <w:t>https://www.periodicos.univasf.edu.br/index.php/revasf/article/view/24</w:t>
        </w:r>
      </w:hyperlink>
      <w:r w:rsidR="003B29AC">
        <w:rPr>
          <w:lang w:val="pt-BR"/>
        </w:rPr>
        <w:t xml:space="preserve"> </w:t>
      </w:r>
    </w:p>
    <w:p w14:paraId="1E4E1BE6" w14:textId="77777777" w:rsidR="003B29AC" w:rsidRDefault="003B29AC" w:rsidP="00D90F12">
      <w:pPr>
        <w:spacing w:line="360" w:lineRule="auto"/>
        <w:ind w:left="720" w:hanging="720"/>
        <w:jc w:val="both"/>
        <w:rPr>
          <w:lang w:val="pt-BR"/>
        </w:rPr>
      </w:pPr>
      <w:r w:rsidRPr="003B29AC">
        <w:rPr>
          <w:lang w:val="pt-BR"/>
        </w:rPr>
        <w:t xml:space="preserve">Oliveira, E. M., Oliveira, J. F., Porcino, C., Campos, L. C. M., </w:t>
      </w:r>
      <w:proofErr w:type="spellStart"/>
      <w:r w:rsidRPr="003B29AC">
        <w:rPr>
          <w:lang w:val="pt-BR"/>
        </w:rPr>
        <w:t>Reale</w:t>
      </w:r>
      <w:proofErr w:type="spellEnd"/>
      <w:r w:rsidRPr="003B29AC">
        <w:rPr>
          <w:lang w:val="pt-BR"/>
        </w:rPr>
        <w:t>, M. J. O. U., &amp; Souza, M. R. R.</w:t>
      </w:r>
      <w:r>
        <w:rPr>
          <w:lang w:val="pt-BR"/>
        </w:rPr>
        <w:t xml:space="preserve"> (2019). “Corpo de homem com (</w:t>
      </w:r>
      <w:proofErr w:type="spellStart"/>
      <w:r>
        <w:rPr>
          <w:lang w:val="pt-BR"/>
        </w:rPr>
        <w:t>tre</w:t>
      </w:r>
      <w:proofErr w:type="spellEnd"/>
      <w:r>
        <w:rPr>
          <w:lang w:val="pt-BR"/>
        </w:rPr>
        <w:t>)</w:t>
      </w:r>
      <w:r w:rsidR="00D90F12" w:rsidRPr="00D90F12">
        <w:rPr>
          <w:lang w:val="pt-BR"/>
        </w:rPr>
        <w:t xml:space="preserve">jeitos de mulher?”: imagem da travesti por </w:t>
      </w:r>
      <w:r w:rsidR="00D90F12" w:rsidRPr="00D90F12">
        <w:rPr>
          <w:lang w:val="pt-BR"/>
        </w:rPr>
        <w:lastRenderedPageBreak/>
        <w:t xml:space="preserve">enfermeiras. </w:t>
      </w:r>
      <w:r w:rsidR="00D90F12" w:rsidRPr="003B29AC">
        <w:rPr>
          <w:i/>
          <w:lang w:val="pt-BR"/>
        </w:rPr>
        <w:t>Interfac</w:t>
      </w:r>
      <w:r w:rsidRPr="003B29AC">
        <w:rPr>
          <w:i/>
          <w:lang w:val="pt-BR"/>
        </w:rPr>
        <w:t xml:space="preserve">e-Comunicação, Saúde, Educação, </w:t>
      </w:r>
      <w:r w:rsidR="00D90F12" w:rsidRPr="003B29AC">
        <w:rPr>
          <w:i/>
          <w:lang w:val="pt-BR"/>
        </w:rPr>
        <w:t>23</w:t>
      </w:r>
      <w:r w:rsidR="00D90F12" w:rsidRPr="00D90F12">
        <w:rPr>
          <w:lang w:val="pt-BR"/>
        </w:rPr>
        <w:t xml:space="preserve">. </w:t>
      </w:r>
      <w:hyperlink r:id="rId31" w:history="1">
        <w:r w:rsidR="00B90D8A" w:rsidRPr="0087767D">
          <w:rPr>
            <w:rStyle w:val="Hyperlink"/>
            <w:lang w:val="pt-BR"/>
          </w:rPr>
          <w:t>https://doi.org/10.1590/Interface.170562</w:t>
        </w:r>
      </w:hyperlink>
      <w:r w:rsidR="00B90D8A">
        <w:rPr>
          <w:lang w:val="pt-BR"/>
        </w:rPr>
        <w:t xml:space="preserve"> </w:t>
      </w:r>
    </w:p>
    <w:p w14:paraId="35910E43" w14:textId="77777777" w:rsidR="00D90F12" w:rsidRPr="00D90F12" w:rsidRDefault="00B90D8A" w:rsidP="00D90F12">
      <w:pPr>
        <w:spacing w:line="360" w:lineRule="auto"/>
        <w:ind w:left="720" w:hanging="720"/>
        <w:jc w:val="both"/>
        <w:rPr>
          <w:lang w:val="pt-BR"/>
        </w:rPr>
      </w:pPr>
      <w:r w:rsidRPr="00B90D8A">
        <w:rPr>
          <w:lang w:val="pt-BR"/>
        </w:rPr>
        <w:t>Oliveira, V. S., Madureira, L. G., Rodrigues, M. L. P</w:t>
      </w:r>
      <w:r>
        <w:rPr>
          <w:lang w:val="pt-BR"/>
        </w:rPr>
        <w:t>., Lima, S. S., &amp; Avelino, T. F</w:t>
      </w:r>
      <w:r w:rsidR="00D90F12" w:rsidRPr="00D90F12">
        <w:rPr>
          <w:lang w:val="pt-BR"/>
        </w:rPr>
        <w:t>.</w:t>
      </w:r>
      <w:r>
        <w:rPr>
          <w:lang w:val="pt-BR"/>
        </w:rPr>
        <w:t xml:space="preserve"> (2023).</w:t>
      </w:r>
      <w:r w:rsidR="00D90F12" w:rsidRPr="00D90F12">
        <w:rPr>
          <w:lang w:val="pt-BR"/>
        </w:rPr>
        <w:t xml:space="preserve"> </w:t>
      </w:r>
      <w:r w:rsidR="00D90F12" w:rsidRPr="00B90D8A">
        <w:rPr>
          <w:i/>
          <w:lang w:val="pt-BR"/>
        </w:rPr>
        <w:t>Uma revisão sobre saúde mental e autoestima de lésbicas, gays, bissexuais e transexuais</w:t>
      </w:r>
      <w:r>
        <w:rPr>
          <w:lang w:val="pt-BR"/>
        </w:rPr>
        <w:t xml:space="preserve"> [Trabalho de Conclusão de Curso, </w:t>
      </w:r>
      <w:r w:rsidR="00D90F12" w:rsidRPr="00D90F12">
        <w:rPr>
          <w:lang w:val="pt-BR"/>
        </w:rPr>
        <w:t>Bacha</w:t>
      </w:r>
      <w:r>
        <w:rPr>
          <w:lang w:val="pt-BR"/>
        </w:rPr>
        <w:t xml:space="preserve">relado em Medicina, </w:t>
      </w:r>
      <w:r w:rsidRPr="00B90D8A">
        <w:rPr>
          <w:lang w:val="pt-BR"/>
        </w:rPr>
        <w:t>Centro Universitário de Brasília</w:t>
      </w:r>
      <w:r>
        <w:rPr>
          <w:lang w:val="pt-BR"/>
        </w:rPr>
        <w:t xml:space="preserve">]. Repositório Institucional do Centro Universitário de Brasília. </w:t>
      </w:r>
      <w:hyperlink r:id="rId32" w:history="1">
        <w:r w:rsidRPr="0087767D">
          <w:rPr>
            <w:rStyle w:val="Hyperlink"/>
            <w:lang w:val="pt-BR"/>
          </w:rPr>
          <w:t>https://repositorio.uniceub.br/jspui/handle/prefix/17042</w:t>
        </w:r>
      </w:hyperlink>
      <w:r>
        <w:rPr>
          <w:lang w:val="pt-BR"/>
        </w:rPr>
        <w:t xml:space="preserve"> </w:t>
      </w:r>
      <w:r w:rsidR="00D90F12" w:rsidRPr="00D90F12">
        <w:rPr>
          <w:lang w:val="pt-BR"/>
        </w:rPr>
        <w:t xml:space="preserve">  </w:t>
      </w:r>
    </w:p>
    <w:p w14:paraId="18DCF3AA" w14:textId="77777777" w:rsidR="00D90F12" w:rsidRPr="00B90D8A" w:rsidRDefault="00B90D8A" w:rsidP="00D90F12">
      <w:pPr>
        <w:spacing w:line="360" w:lineRule="auto"/>
        <w:ind w:left="720" w:hanging="720"/>
        <w:jc w:val="both"/>
        <w:rPr>
          <w:lang w:val="pt-BR"/>
        </w:rPr>
      </w:pPr>
      <w:r w:rsidRPr="00B90D8A">
        <w:rPr>
          <w:lang w:val="pt-BR"/>
        </w:rPr>
        <w:t xml:space="preserve">Rocon, P. C., Rodrigues, A., Zamboni, J., &amp; Pedrini, M. D. (2016). Dificuldades vividas por pessoas trans no acesso ao Sistema Único de Saúde. </w:t>
      </w:r>
      <w:r w:rsidRPr="00B90D8A">
        <w:rPr>
          <w:i/>
          <w:lang w:val="pt-BR"/>
        </w:rPr>
        <w:t>Ciência &amp; Saúde Coletiva, 21</w:t>
      </w:r>
      <w:r w:rsidRPr="00B90D8A">
        <w:rPr>
          <w:lang w:val="pt-BR"/>
        </w:rPr>
        <w:t xml:space="preserve">, 2517-2526. </w:t>
      </w:r>
      <w:hyperlink r:id="rId33" w:history="1">
        <w:r w:rsidRPr="00B90D8A">
          <w:rPr>
            <w:rStyle w:val="Hyperlink"/>
            <w:lang w:val="pt-BR"/>
          </w:rPr>
          <w:t>https://doi.org/10.1590/1413-81232015218.14362015</w:t>
        </w:r>
      </w:hyperlink>
      <w:r w:rsidRPr="00B90D8A">
        <w:rPr>
          <w:lang w:val="pt-BR"/>
        </w:rPr>
        <w:t xml:space="preserve"> </w:t>
      </w:r>
    </w:p>
    <w:p w14:paraId="6F7C73A2" w14:textId="77777777" w:rsidR="00D90F12" w:rsidRPr="00D90F12" w:rsidRDefault="00B90D8A" w:rsidP="00D90F12">
      <w:pPr>
        <w:spacing w:line="360" w:lineRule="auto"/>
        <w:ind w:left="720" w:hanging="720"/>
        <w:jc w:val="both"/>
        <w:rPr>
          <w:lang w:val="pt-BR"/>
        </w:rPr>
      </w:pPr>
      <w:r w:rsidRPr="00B90D8A">
        <w:rPr>
          <w:lang w:val="pt-BR"/>
        </w:rPr>
        <w:t xml:space="preserve">Rosa, D. F., Carvalho, M. V. D. F., Pereira, N. R., Rocha, N. T., Neves, V. R., &amp; Rosa, A. D. S. (2019). Assistência de Enfermagem à população trans: gêneros na perspectiva da prática profissional. </w:t>
      </w:r>
      <w:r w:rsidRPr="00B90D8A">
        <w:rPr>
          <w:i/>
          <w:lang w:val="pt-BR"/>
        </w:rPr>
        <w:t>Revista Brasileira de Enfermagem, 72</w:t>
      </w:r>
      <w:r w:rsidRPr="00B90D8A">
        <w:rPr>
          <w:lang w:val="pt-BR"/>
        </w:rPr>
        <w:t>, 299-306.</w:t>
      </w:r>
      <w:r>
        <w:rPr>
          <w:lang w:val="pt-BR"/>
        </w:rPr>
        <w:t xml:space="preserve"> </w:t>
      </w:r>
      <w:hyperlink r:id="rId34" w:history="1">
        <w:r w:rsidRPr="0087767D">
          <w:rPr>
            <w:rStyle w:val="Hyperlink"/>
            <w:lang w:val="pt-BR"/>
          </w:rPr>
          <w:t>https://doi.org/10.1590/0034-7167-2017-0644</w:t>
        </w:r>
      </w:hyperlink>
      <w:r>
        <w:rPr>
          <w:lang w:val="pt-BR"/>
        </w:rPr>
        <w:t xml:space="preserve"> </w:t>
      </w:r>
    </w:p>
    <w:p w14:paraId="146CF482" w14:textId="77777777" w:rsidR="007132E9" w:rsidRDefault="00D90F12" w:rsidP="00D90F12">
      <w:pPr>
        <w:spacing w:line="360" w:lineRule="auto"/>
        <w:ind w:left="720" w:hanging="720"/>
        <w:jc w:val="both"/>
        <w:rPr>
          <w:lang w:val="pt-BR"/>
        </w:rPr>
      </w:pPr>
      <w:r w:rsidRPr="00D90F12">
        <w:rPr>
          <w:lang w:val="pt-BR"/>
        </w:rPr>
        <w:t>S</w:t>
      </w:r>
      <w:r w:rsidR="00B90D8A">
        <w:rPr>
          <w:lang w:val="pt-BR"/>
        </w:rPr>
        <w:t>á</w:t>
      </w:r>
      <w:r w:rsidRPr="00D90F12">
        <w:rPr>
          <w:lang w:val="pt-BR"/>
        </w:rPr>
        <w:t>, A</w:t>
      </w:r>
      <w:r w:rsidR="00B90D8A">
        <w:rPr>
          <w:lang w:val="pt-BR"/>
        </w:rPr>
        <w:t>.</w:t>
      </w:r>
      <w:r w:rsidRPr="00D90F12">
        <w:rPr>
          <w:lang w:val="pt-BR"/>
        </w:rPr>
        <w:t xml:space="preserve"> A</w:t>
      </w:r>
      <w:r w:rsidR="00B90D8A">
        <w:rPr>
          <w:lang w:val="pt-BR"/>
        </w:rPr>
        <w:t xml:space="preserve">. </w:t>
      </w:r>
      <w:r w:rsidRPr="00D90F12">
        <w:rPr>
          <w:lang w:val="pt-BR"/>
        </w:rPr>
        <w:t>A</w:t>
      </w:r>
      <w:r w:rsidR="00B90D8A">
        <w:rPr>
          <w:lang w:val="pt-BR"/>
        </w:rPr>
        <w:t>., &amp;</w:t>
      </w:r>
      <w:r w:rsidRPr="00D90F12">
        <w:rPr>
          <w:lang w:val="pt-BR"/>
        </w:rPr>
        <w:t xml:space="preserve"> C</w:t>
      </w:r>
      <w:r w:rsidR="00B90D8A" w:rsidRPr="00D90F12">
        <w:rPr>
          <w:lang w:val="pt-BR"/>
        </w:rPr>
        <w:t>amêlo</w:t>
      </w:r>
      <w:r w:rsidRPr="00D90F12">
        <w:rPr>
          <w:lang w:val="pt-BR"/>
        </w:rPr>
        <w:t>, E</w:t>
      </w:r>
      <w:r w:rsidR="00B90D8A">
        <w:rPr>
          <w:lang w:val="pt-BR"/>
        </w:rPr>
        <w:t>.</w:t>
      </w:r>
      <w:r w:rsidRPr="00D90F12">
        <w:rPr>
          <w:lang w:val="pt-BR"/>
        </w:rPr>
        <w:t xml:space="preserve"> L</w:t>
      </w:r>
      <w:r w:rsidR="00B90D8A">
        <w:rPr>
          <w:lang w:val="pt-BR"/>
        </w:rPr>
        <w:t>.</w:t>
      </w:r>
      <w:r w:rsidRPr="00D90F12">
        <w:rPr>
          <w:lang w:val="pt-BR"/>
        </w:rPr>
        <w:t xml:space="preserve"> S.</w:t>
      </w:r>
      <w:r w:rsidR="007132E9">
        <w:rPr>
          <w:lang w:val="pt-BR"/>
        </w:rPr>
        <w:t xml:space="preserve"> (2023).</w:t>
      </w:r>
      <w:r w:rsidRPr="00D90F12">
        <w:rPr>
          <w:lang w:val="pt-BR"/>
        </w:rPr>
        <w:t xml:space="preserve"> Depressão, Ansiedade, Estresse Entre Pessoas LGBTQIA+ e Heterossexuais: Um Estudo com Universitários no Sertão Paraibano. </w:t>
      </w:r>
      <w:r w:rsidRPr="007132E9">
        <w:rPr>
          <w:i/>
          <w:lang w:val="pt-BR"/>
        </w:rPr>
        <w:t xml:space="preserve">HOLOS, </w:t>
      </w:r>
      <w:r w:rsidR="007132E9" w:rsidRPr="007132E9">
        <w:rPr>
          <w:i/>
          <w:lang w:val="pt-BR"/>
        </w:rPr>
        <w:t>5</w:t>
      </w:r>
      <w:r w:rsidR="007132E9">
        <w:rPr>
          <w:lang w:val="pt-BR"/>
        </w:rPr>
        <w:t>,</w:t>
      </w:r>
      <w:r w:rsidRPr="00D90F12">
        <w:rPr>
          <w:lang w:val="pt-BR"/>
        </w:rPr>
        <w:t xml:space="preserve"> e15842</w:t>
      </w:r>
      <w:r w:rsidR="007132E9">
        <w:rPr>
          <w:lang w:val="pt-BR"/>
        </w:rPr>
        <w:t xml:space="preserve">. </w:t>
      </w:r>
      <w:hyperlink r:id="rId35" w:history="1">
        <w:r w:rsidR="007132E9" w:rsidRPr="0087767D">
          <w:rPr>
            <w:rStyle w:val="Hyperlink"/>
            <w:lang w:val="pt-BR"/>
          </w:rPr>
          <w:t>https://doi.org/10.15628/holos.2023.15842</w:t>
        </w:r>
      </w:hyperlink>
      <w:r w:rsidR="007132E9">
        <w:rPr>
          <w:lang w:val="pt-BR"/>
        </w:rPr>
        <w:t xml:space="preserve"> </w:t>
      </w:r>
    </w:p>
    <w:p w14:paraId="32ECCD02" w14:textId="77777777" w:rsidR="00D90F12" w:rsidRPr="00D90F12" w:rsidRDefault="00D90F12" w:rsidP="00D90F12">
      <w:pPr>
        <w:spacing w:line="360" w:lineRule="auto"/>
        <w:ind w:left="720" w:hanging="720"/>
        <w:jc w:val="both"/>
        <w:rPr>
          <w:lang w:val="pt-BR"/>
        </w:rPr>
      </w:pPr>
      <w:r w:rsidRPr="007132E9">
        <w:rPr>
          <w:highlight w:val="yellow"/>
          <w:lang w:val="pt-BR"/>
        </w:rPr>
        <w:t>S</w:t>
      </w:r>
      <w:r w:rsidR="007132E9" w:rsidRPr="007132E9">
        <w:rPr>
          <w:highlight w:val="yellow"/>
          <w:lang w:val="pt-BR"/>
        </w:rPr>
        <w:t>antos</w:t>
      </w:r>
      <w:r w:rsidRPr="007132E9">
        <w:rPr>
          <w:highlight w:val="yellow"/>
          <w:lang w:val="pt-BR"/>
        </w:rPr>
        <w:t>, L</w:t>
      </w:r>
      <w:r w:rsidR="007132E9" w:rsidRPr="007132E9">
        <w:rPr>
          <w:highlight w:val="yellow"/>
          <w:lang w:val="pt-BR"/>
        </w:rPr>
        <w:t>.</w:t>
      </w:r>
      <w:r w:rsidRPr="007132E9">
        <w:rPr>
          <w:highlight w:val="yellow"/>
          <w:lang w:val="pt-BR"/>
        </w:rPr>
        <w:t xml:space="preserve"> M</w:t>
      </w:r>
      <w:r w:rsidR="007132E9" w:rsidRPr="007132E9">
        <w:rPr>
          <w:highlight w:val="yellow"/>
          <w:lang w:val="pt-BR"/>
        </w:rPr>
        <w:t>.</w:t>
      </w:r>
      <w:r w:rsidRPr="007132E9">
        <w:rPr>
          <w:highlight w:val="yellow"/>
          <w:lang w:val="pt-BR"/>
        </w:rPr>
        <w:t xml:space="preserve"> S. Notas sobre a violência contra a população trans e travesti nos serviços públicos de saúde no Brasil. In: Congresso Brasileiro De Assistentes Sociais, 16., 2019. Brasília (DF). Anais do 16º Congresso Brasileiro de Assistentes Sociais. Brasília (DF): ABEPSS; CFESS; ENESSO; CRESS-DF, 2019, p. 1-12. Disponível em: https://broseguini.bonino.com.br/ojs/index.php/CBAS/article/download/1709/1670.</w:t>
      </w:r>
      <w:r w:rsidRPr="00D90F12">
        <w:rPr>
          <w:lang w:val="pt-BR"/>
        </w:rPr>
        <w:t xml:space="preserve"> </w:t>
      </w:r>
    </w:p>
    <w:p w14:paraId="41819EE4" w14:textId="77777777" w:rsidR="00D90F12" w:rsidRPr="00D90F12" w:rsidRDefault="00D90F12" w:rsidP="00D90F12">
      <w:pPr>
        <w:spacing w:line="360" w:lineRule="auto"/>
        <w:ind w:left="720" w:hanging="720"/>
        <w:jc w:val="both"/>
        <w:rPr>
          <w:lang w:val="pt-BR"/>
        </w:rPr>
      </w:pPr>
      <w:r w:rsidRPr="00D90F12">
        <w:rPr>
          <w:lang w:val="pt-BR"/>
        </w:rPr>
        <w:t>S</w:t>
      </w:r>
      <w:r w:rsidR="007132E9" w:rsidRPr="00D90F12">
        <w:rPr>
          <w:lang w:val="pt-BR"/>
        </w:rPr>
        <w:t>antos</w:t>
      </w:r>
      <w:r w:rsidRPr="00D90F12">
        <w:rPr>
          <w:lang w:val="pt-BR"/>
        </w:rPr>
        <w:t>, T</w:t>
      </w:r>
      <w:r w:rsidR="007132E9">
        <w:rPr>
          <w:lang w:val="pt-BR"/>
        </w:rPr>
        <w:t>.</w:t>
      </w:r>
      <w:r w:rsidRPr="00D90F12">
        <w:rPr>
          <w:lang w:val="pt-BR"/>
        </w:rPr>
        <w:t xml:space="preserve"> A</w:t>
      </w:r>
      <w:r w:rsidR="007132E9">
        <w:rPr>
          <w:lang w:val="pt-BR"/>
        </w:rPr>
        <w:t>.</w:t>
      </w:r>
      <w:r w:rsidRPr="00D90F12">
        <w:rPr>
          <w:lang w:val="pt-BR"/>
        </w:rPr>
        <w:t xml:space="preserve"> A</w:t>
      </w:r>
      <w:r w:rsidR="007132E9">
        <w:rPr>
          <w:lang w:val="pt-BR"/>
        </w:rPr>
        <w:t>., &amp;</w:t>
      </w:r>
      <w:r w:rsidRPr="00D90F12">
        <w:rPr>
          <w:lang w:val="pt-BR"/>
        </w:rPr>
        <w:t xml:space="preserve"> H</w:t>
      </w:r>
      <w:r w:rsidR="007132E9" w:rsidRPr="00D90F12">
        <w:rPr>
          <w:lang w:val="pt-BR"/>
        </w:rPr>
        <w:t>onorato</w:t>
      </w:r>
      <w:r w:rsidRPr="00D90F12">
        <w:rPr>
          <w:lang w:val="pt-BR"/>
        </w:rPr>
        <w:t>, A</w:t>
      </w:r>
      <w:r w:rsidR="007132E9">
        <w:rPr>
          <w:lang w:val="pt-BR"/>
        </w:rPr>
        <w:t>.</w:t>
      </w:r>
      <w:r w:rsidRPr="00D90F12">
        <w:rPr>
          <w:lang w:val="pt-BR"/>
        </w:rPr>
        <w:t xml:space="preserve"> A</w:t>
      </w:r>
      <w:r w:rsidR="007132E9">
        <w:rPr>
          <w:lang w:val="pt-BR"/>
        </w:rPr>
        <w:t>.</w:t>
      </w:r>
      <w:r w:rsidRPr="00D90F12">
        <w:rPr>
          <w:lang w:val="pt-BR"/>
        </w:rPr>
        <w:t xml:space="preserve"> S.</w:t>
      </w:r>
      <w:r w:rsidR="007132E9">
        <w:rPr>
          <w:lang w:val="pt-BR"/>
        </w:rPr>
        <w:t xml:space="preserve"> (2023).</w:t>
      </w:r>
      <w:r w:rsidRPr="00D90F12">
        <w:rPr>
          <w:lang w:val="pt-BR"/>
        </w:rPr>
        <w:t xml:space="preserve"> Intersecção gênero, classe e raça: reflexões sobre racismo e a população transexual na perspectiva do serviço social brasileiro. </w:t>
      </w:r>
      <w:r w:rsidRPr="007132E9">
        <w:rPr>
          <w:i/>
          <w:lang w:val="pt-BR"/>
        </w:rPr>
        <w:t>Gestã</w:t>
      </w:r>
      <w:r w:rsidR="007132E9">
        <w:rPr>
          <w:i/>
          <w:lang w:val="pt-BR"/>
        </w:rPr>
        <w:t xml:space="preserve">o e Desenvolvimento em Revista, </w:t>
      </w:r>
      <w:r w:rsidRPr="007132E9">
        <w:rPr>
          <w:i/>
          <w:lang w:val="pt-BR"/>
        </w:rPr>
        <w:t>9</w:t>
      </w:r>
      <w:r w:rsidR="007132E9">
        <w:rPr>
          <w:lang w:val="pt-BR"/>
        </w:rPr>
        <w:t>(</w:t>
      </w:r>
      <w:r w:rsidRPr="00D90F12">
        <w:rPr>
          <w:lang w:val="pt-BR"/>
        </w:rPr>
        <w:t>2</w:t>
      </w:r>
      <w:r w:rsidR="007132E9">
        <w:rPr>
          <w:lang w:val="pt-BR"/>
        </w:rPr>
        <w:t>),</w:t>
      </w:r>
      <w:r w:rsidRPr="00D90F12">
        <w:rPr>
          <w:lang w:val="pt-BR"/>
        </w:rPr>
        <w:t xml:space="preserve"> 140-153. </w:t>
      </w:r>
      <w:hyperlink r:id="rId36" w:history="1">
        <w:r w:rsidR="007132E9" w:rsidRPr="0087767D">
          <w:rPr>
            <w:rStyle w:val="Hyperlink"/>
            <w:lang w:val="pt-BR"/>
          </w:rPr>
          <w:t>https://dialnet.unirioja.es/servlet/articulo?codigo=9495321</w:t>
        </w:r>
      </w:hyperlink>
      <w:r w:rsidR="007132E9">
        <w:rPr>
          <w:lang w:val="pt-BR"/>
        </w:rPr>
        <w:t xml:space="preserve"> </w:t>
      </w:r>
    </w:p>
    <w:p w14:paraId="24B97083" w14:textId="77777777" w:rsidR="00D90F12" w:rsidRPr="00D90F12" w:rsidRDefault="007132E9" w:rsidP="00D90F12">
      <w:pPr>
        <w:spacing w:line="360" w:lineRule="auto"/>
        <w:ind w:left="720" w:hanging="720"/>
        <w:jc w:val="both"/>
        <w:rPr>
          <w:lang w:val="pt-BR"/>
        </w:rPr>
      </w:pPr>
      <w:r w:rsidRPr="007132E9">
        <w:rPr>
          <w:lang w:val="pt-BR"/>
        </w:rPr>
        <w:t xml:space="preserve">Silva, A. D. C. A. D., Alcântara, A. M., Oliveira, D. C. D., &amp; </w:t>
      </w:r>
      <w:proofErr w:type="spellStart"/>
      <w:r w:rsidRPr="007132E9">
        <w:rPr>
          <w:lang w:val="pt-BR"/>
        </w:rPr>
        <w:t>Signorelli</w:t>
      </w:r>
      <w:proofErr w:type="spellEnd"/>
      <w:r w:rsidRPr="007132E9">
        <w:rPr>
          <w:lang w:val="pt-BR"/>
        </w:rPr>
        <w:t xml:space="preserve">, M. C. (2020). Implementação da política nacional de saúde integral de lésbicas, gays, bissexuais, travestis e transexuais (PNSI LGBT) no Paraná, Brasil. </w:t>
      </w:r>
      <w:r w:rsidRPr="007132E9">
        <w:rPr>
          <w:i/>
          <w:lang w:val="pt-BR"/>
        </w:rPr>
        <w:t>Interface-Comunicação, Saúde, Educação, 24</w:t>
      </w:r>
      <w:r w:rsidRPr="007132E9">
        <w:rPr>
          <w:lang w:val="pt-BR"/>
        </w:rPr>
        <w:t>, e190568.</w:t>
      </w:r>
      <w:r>
        <w:rPr>
          <w:lang w:val="pt-BR"/>
        </w:rPr>
        <w:t xml:space="preserve"> </w:t>
      </w:r>
      <w:hyperlink r:id="rId37" w:history="1">
        <w:r w:rsidRPr="0087767D">
          <w:rPr>
            <w:rStyle w:val="Hyperlink"/>
            <w:lang w:val="pt-BR"/>
          </w:rPr>
          <w:t>https://doi.org/10.1590/Interface.190568</w:t>
        </w:r>
      </w:hyperlink>
      <w:r>
        <w:rPr>
          <w:lang w:val="pt-BR"/>
        </w:rPr>
        <w:t xml:space="preserve"> </w:t>
      </w:r>
    </w:p>
    <w:p w14:paraId="791E29B4" w14:textId="77777777" w:rsidR="00D90F12" w:rsidRPr="00876986" w:rsidRDefault="007132E9" w:rsidP="00D90F12">
      <w:pPr>
        <w:spacing w:line="360" w:lineRule="auto"/>
        <w:ind w:left="720" w:hanging="720"/>
        <w:jc w:val="both"/>
        <w:rPr>
          <w:lang w:val="en-US"/>
        </w:rPr>
      </w:pPr>
      <w:r w:rsidRPr="007132E9">
        <w:rPr>
          <w:lang w:val="pt-BR"/>
        </w:rPr>
        <w:lastRenderedPageBreak/>
        <w:t xml:space="preserve">Silva, G. W. D. S., Meira, K. C., Dantas, E. S. O., Gomes, S. M., Pedrosa, I. M. B., &amp; Miranda, F. A. N. D. (2024). Sintomas depressivos e fatores associados entre travestis e transexuais: estudo transversal. </w:t>
      </w:r>
      <w:r w:rsidRPr="007132E9">
        <w:rPr>
          <w:i/>
          <w:lang w:val="pt-BR"/>
        </w:rPr>
        <w:t>Revista Brasileira de Enfermagem, 77</w:t>
      </w:r>
      <w:r w:rsidRPr="007132E9">
        <w:rPr>
          <w:lang w:val="pt-BR"/>
        </w:rPr>
        <w:t xml:space="preserve">, e20230071. </w:t>
      </w:r>
      <w:hyperlink r:id="rId38" w:history="1">
        <w:r w:rsidRPr="0087767D">
          <w:rPr>
            <w:rStyle w:val="Hyperlink"/>
            <w:lang w:val="pt-BR"/>
          </w:rPr>
          <w:t>https://doi.org/10.1590/0034-7167-2023-0071pt</w:t>
        </w:r>
      </w:hyperlink>
      <w:r>
        <w:rPr>
          <w:lang w:val="pt-BR"/>
        </w:rPr>
        <w:t xml:space="preserve"> </w:t>
      </w:r>
    </w:p>
    <w:p w14:paraId="1532CF9C" w14:textId="77777777" w:rsidR="00427CA9" w:rsidRPr="00427CA9" w:rsidRDefault="00427CA9" w:rsidP="00065E9B">
      <w:pPr>
        <w:spacing w:line="360" w:lineRule="auto"/>
        <w:jc w:val="both"/>
        <w:rPr>
          <w:lang w:val="en-US" w:eastAsia="pt-BR"/>
        </w:rPr>
      </w:pPr>
      <w:r w:rsidRPr="00427CA9">
        <w:rPr>
          <w:color w:val="222222"/>
          <w:shd w:val="clear" w:color="auto" w:fill="FFFFFF"/>
          <w:lang w:val="en-US" w:eastAsia="pt-BR"/>
        </w:rPr>
        <w:t xml:space="preserve">   </w:t>
      </w:r>
    </w:p>
    <w:p w14:paraId="595358D4" w14:textId="77777777" w:rsidR="005A2CCB" w:rsidRPr="004E0A04" w:rsidRDefault="005A2CCB">
      <w:pPr>
        <w:ind w:left="720" w:hanging="720"/>
        <w:jc w:val="both"/>
        <w:rPr>
          <w:lang w:val="en-US"/>
        </w:rPr>
      </w:pPr>
    </w:p>
    <w:p w14:paraId="6D83AFF4" w14:textId="77777777" w:rsidR="005A2CCB" w:rsidRPr="004E0A04" w:rsidRDefault="005A2CCB">
      <w:pPr>
        <w:ind w:left="720" w:hanging="720"/>
        <w:jc w:val="both"/>
        <w:rPr>
          <w:lang w:val="en-US"/>
        </w:rPr>
      </w:pPr>
    </w:p>
    <w:p w14:paraId="700215E7" w14:textId="77777777" w:rsidR="005A2CCB" w:rsidRPr="004E0A04" w:rsidRDefault="005A2CCB">
      <w:pPr>
        <w:ind w:left="720" w:hanging="720"/>
        <w:jc w:val="both"/>
        <w:rPr>
          <w:lang w:val="en-US"/>
        </w:rPr>
      </w:pPr>
    </w:p>
    <w:p w14:paraId="1B0F3F46" w14:textId="77777777" w:rsidR="005A2CCB" w:rsidRPr="004E0A04" w:rsidRDefault="005A2CCB">
      <w:pPr>
        <w:ind w:left="720" w:hanging="720"/>
        <w:jc w:val="both"/>
        <w:rPr>
          <w:lang w:val="en-US"/>
        </w:rPr>
      </w:pPr>
    </w:p>
    <w:p w14:paraId="32FB19C0" w14:textId="77777777" w:rsidR="005A2CCB" w:rsidRPr="004E0A04" w:rsidRDefault="0030548B">
      <w:pPr>
        <w:shd w:val="clear" w:color="auto" w:fill="FFFFFF"/>
        <w:jc w:val="right"/>
        <w:rPr>
          <w:i/>
          <w:sz w:val="20"/>
          <w:szCs w:val="20"/>
          <w:lang w:val="en-US"/>
        </w:rPr>
      </w:pPr>
      <w:r w:rsidRPr="004E0A04">
        <w:rPr>
          <w:i/>
          <w:sz w:val="20"/>
          <w:szCs w:val="20"/>
          <w:lang w:val="en-US"/>
        </w:rPr>
        <w:t xml:space="preserve">Received: </w:t>
      </w:r>
    </w:p>
    <w:p w14:paraId="6617B2DD" w14:textId="77777777" w:rsidR="005A2CCB" w:rsidRPr="004E0A04" w:rsidRDefault="0030548B">
      <w:pPr>
        <w:shd w:val="clear" w:color="auto" w:fill="FFFFFF"/>
        <w:jc w:val="right"/>
        <w:rPr>
          <w:i/>
          <w:sz w:val="20"/>
          <w:szCs w:val="20"/>
          <w:lang w:val="en-US"/>
        </w:rPr>
      </w:pPr>
      <w:r w:rsidRPr="004E0A04">
        <w:rPr>
          <w:i/>
          <w:sz w:val="20"/>
          <w:szCs w:val="20"/>
          <w:lang w:val="en-US"/>
        </w:rPr>
        <w:t>Accepted:</w:t>
      </w:r>
      <w:r w:rsidRPr="004E0A04">
        <w:rPr>
          <w:rFonts w:ascii="Quattrocento Sans" w:eastAsia="Quattrocento Sans" w:hAnsi="Quattrocento Sans" w:cs="Quattrocento Sans"/>
          <w:sz w:val="21"/>
          <w:szCs w:val="21"/>
          <w:highlight w:val="white"/>
          <w:lang w:val="en-US"/>
        </w:rPr>
        <w:t xml:space="preserve"> </w:t>
      </w:r>
    </w:p>
    <w:p w14:paraId="3635B981" w14:textId="77777777" w:rsidR="005A2CCB" w:rsidRPr="00427CA9" w:rsidRDefault="005A2CCB" w:rsidP="00427CA9">
      <w:pPr>
        <w:rPr>
          <w:i/>
          <w:sz w:val="28"/>
          <w:szCs w:val="28"/>
          <w:lang w:val="en-US"/>
        </w:rPr>
      </w:pPr>
    </w:p>
    <w:sectPr w:rsidR="005A2CCB" w:rsidRPr="00427CA9" w:rsidSect="005F2416">
      <w:headerReference w:type="even" r:id="rId39"/>
      <w:headerReference w:type="default" r:id="rId40"/>
      <w:footerReference w:type="even" r:id="rId41"/>
      <w:footerReference w:type="default" r:id="rId42"/>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FBCB4" w14:textId="77777777" w:rsidR="0034790E" w:rsidRDefault="0034790E">
      <w:r>
        <w:separator/>
      </w:r>
    </w:p>
  </w:endnote>
  <w:endnote w:type="continuationSeparator" w:id="0">
    <w:p w14:paraId="0F54622B" w14:textId="77777777" w:rsidR="0034790E" w:rsidRDefault="0034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mo">
    <w:altName w:val="Times New Roman"/>
    <w:panose1 w:val="020B0604020202020204"/>
    <w:charset w:val="00"/>
    <w:family w:val="auto"/>
    <w:pitch w:val="default"/>
  </w:font>
  <w:font w:name="Quattrocento Sans">
    <w:panose1 w:val="020B0502050000020003"/>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41643" w14:textId="77777777" w:rsidR="00427CA9" w:rsidRDefault="00427CA9">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7132E9">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2646E22E" w14:textId="77777777" w:rsidR="00427CA9" w:rsidRDefault="00427CA9">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A18FD" w14:textId="77777777" w:rsidR="00427CA9" w:rsidRDefault="00427CA9">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7132E9">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0A2D9681" w14:textId="77777777" w:rsidR="00427CA9" w:rsidRDefault="00427CA9">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441D1" w14:textId="77777777" w:rsidR="0034790E" w:rsidRDefault="0034790E">
      <w:r>
        <w:separator/>
      </w:r>
    </w:p>
  </w:footnote>
  <w:footnote w:type="continuationSeparator" w:id="0">
    <w:p w14:paraId="2352B6BC" w14:textId="77777777" w:rsidR="0034790E" w:rsidRDefault="00347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A33F0" w14:textId="77777777" w:rsidR="00427CA9" w:rsidRDefault="00427CA9">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proofErr w:type="spellStart"/>
    <w:r>
      <w:rPr>
        <w:rFonts w:ascii="Times" w:eastAsia="Times" w:hAnsi="Times" w:cs="Times"/>
        <w:smallCaps/>
        <w:color w:val="000000"/>
        <w:sz w:val="20"/>
        <w:szCs w:val="20"/>
      </w:rPr>
      <w:t>Manuscript</w:t>
    </w:r>
    <w:proofErr w:type="spellEnd"/>
    <w:r>
      <w:rPr>
        <w:rFonts w:ascii="Times" w:eastAsia="Times" w:hAnsi="Times" w:cs="Times"/>
        <w:smallCaps/>
        <w:color w:val="000000"/>
        <w:sz w:val="20"/>
        <w:szCs w:val="20"/>
      </w:rPr>
      <w:t xml:space="preserve"> </w:t>
    </w:r>
    <w:proofErr w:type="spellStart"/>
    <w:r>
      <w:rPr>
        <w:rFonts w:ascii="Times" w:eastAsia="Times" w:hAnsi="Times" w:cs="Times"/>
        <w:smallCaps/>
        <w:color w:val="000000"/>
        <w:sz w:val="20"/>
        <w:szCs w:val="20"/>
      </w:rPr>
      <w:t>submission</w:t>
    </w:r>
    <w:proofErr w:type="spellEnd"/>
    <w:r>
      <w:rPr>
        <w:rFonts w:ascii="Times" w:eastAsia="Times" w:hAnsi="Times" w:cs="Times"/>
        <w:smallCaps/>
        <w:color w:val="000000"/>
        <w:sz w:val="20"/>
        <w:szCs w:val="20"/>
      </w:rPr>
      <w:t xml:space="preserve"> </w:t>
    </w:r>
    <w:proofErr w:type="spellStart"/>
    <w:r>
      <w:rPr>
        <w:rFonts w:ascii="Times" w:eastAsia="Times" w:hAnsi="Times" w:cs="Times"/>
        <w:smallCaps/>
        <w:color w:val="000000"/>
        <w:sz w:val="20"/>
        <w:szCs w:val="20"/>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FA398" w14:textId="77777777" w:rsidR="00427CA9" w:rsidRDefault="00427CA9">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lang w:val="pt-BR" w:eastAsia="pt-BR"/>
      </w:rPr>
      <w:drawing>
        <wp:anchor distT="0" distB="0" distL="114300" distR="114300" simplePos="0" relativeHeight="251658240" behindDoc="0" locked="0" layoutInCell="1" hidden="0" allowOverlap="1" wp14:anchorId="2A6A7EBD" wp14:editId="528CED2E">
          <wp:simplePos x="0" y="0"/>
          <wp:positionH relativeFrom="column">
            <wp:posOffset>64656</wp:posOffset>
          </wp:positionH>
          <wp:positionV relativeFrom="paragraph">
            <wp:posOffset>-253536</wp:posOffset>
          </wp:positionV>
          <wp:extent cx="681164" cy="628073"/>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2023DA62" w14:textId="77777777" w:rsidR="00427CA9" w:rsidRDefault="00427CA9">
    <w:pPr>
      <w:pBdr>
        <w:top w:val="nil"/>
        <w:left w:val="nil"/>
        <w:bottom w:val="nil"/>
        <w:right w:val="nil"/>
        <w:between w:val="nil"/>
      </w:pBdr>
      <w:tabs>
        <w:tab w:val="center" w:pos="4680"/>
        <w:tab w:val="right" w:pos="9360"/>
      </w:tabs>
      <w:jc w:val="right"/>
      <w:rPr>
        <w:rFonts w:ascii="Calibri" w:eastAsia="Calibri" w:hAnsi="Calibri" w:cs="Calibri"/>
        <w:color w:val="000000"/>
      </w:rPr>
    </w:pPr>
    <w:proofErr w:type="spellStart"/>
    <w:r>
      <w:rPr>
        <w:rFonts w:ascii="Times" w:eastAsia="Times" w:hAnsi="Times" w:cs="Times"/>
        <w:i/>
        <w:color w:val="000000"/>
        <w:sz w:val="18"/>
        <w:szCs w:val="18"/>
      </w:rPr>
      <w:t>Manuscript</w:t>
    </w:r>
    <w:proofErr w:type="spellEnd"/>
    <w:r>
      <w:rPr>
        <w:rFonts w:ascii="Times" w:eastAsia="Times" w:hAnsi="Times" w:cs="Times"/>
        <w:i/>
        <w:color w:val="000000"/>
        <w:sz w:val="18"/>
        <w:szCs w:val="18"/>
      </w:rPr>
      <w:t xml:space="preserve"> </w:t>
    </w:r>
    <w:proofErr w:type="spellStart"/>
    <w:r>
      <w:rPr>
        <w:rFonts w:ascii="Times" w:eastAsia="Times" w:hAnsi="Times" w:cs="Times"/>
        <w:i/>
        <w:color w:val="000000"/>
        <w:sz w:val="18"/>
        <w:szCs w:val="18"/>
      </w:rPr>
      <w:t>submission</w:t>
    </w:r>
    <w:proofErr w:type="spellEnd"/>
    <w:r>
      <w:rPr>
        <w:rFonts w:ascii="Times" w:eastAsia="Times" w:hAnsi="Times" w:cs="Times"/>
        <w:i/>
        <w:color w:val="000000"/>
        <w:sz w:val="18"/>
        <w:szCs w:val="18"/>
      </w:rPr>
      <w:t xml:space="preserve"> </w:t>
    </w:r>
    <w:proofErr w:type="spellStart"/>
    <w:r>
      <w:rPr>
        <w:rFonts w:ascii="Times" w:eastAsia="Times" w:hAnsi="Times" w:cs="Times"/>
        <w:i/>
        <w:color w:val="000000"/>
        <w:sz w:val="18"/>
        <w:szCs w:val="18"/>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11B68"/>
    <w:multiLevelType w:val="hybridMultilevel"/>
    <w:tmpl w:val="A1E08D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C6047B7"/>
    <w:multiLevelType w:val="multilevel"/>
    <w:tmpl w:val="E7EAA48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5E861795"/>
    <w:multiLevelType w:val="multilevel"/>
    <w:tmpl w:val="B1D6F4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A0C781A"/>
    <w:multiLevelType w:val="hybridMultilevel"/>
    <w:tmpl w:val="B016AC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57591378">
    <w:abstractNumId w:val="2"/>
  </w:num>
  <w:num w:numId="2" w16cid:durableId="1342395862">
    <w:abstractNumId w:val="1"/>
  </w:num>
  <w:num w:numId="3" w16cid:durableId="1532958941">
    <w:abstractNumId w:val="3"/>
  </w:num>
  <w:num w:numId="4" w16cid:durableId="162676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CCB"/>
    <w:rsid w:val="00027B00"/>
    <w:rsid w:val="00027E26"/>
    <w:rsid w:val="00061341"/>
    <w:rsid w:val="00065E9B"/>
    <w:rsid w:val="0030548B"/>
    <w:rsid w:val="0034790E"/>
    <w:rsid w:val="003B29AC"/>
    <w:rsid w:val="00427CA9"/>
    <w:rsid w:val="00463327"/>
    <w:rsid w:val="004E0A04"/>
    <w:rsid w:val="005A2CCB"/>
    <w:rsid w:val="005B563C"/>
    <w:rsid w:val="005F03A7"/>
    <w:rsid w:val="005F2416"/>
    <w:rsid w:val="006166E2"/>
    <w:rsid w:val="0062072B"/>
    <w:rsid w:val="006375EB"/>
    <w:rsid w:val="00643A71"/>
    <w:rsid w:val="00707ED8"/>
    <w:rsid w:val="007132E9"/>
    <w:rsid w:val="00757BCD"/>
    <w:rsid w:val="007C237E"/>
    <w:rsid w:val="009016A2"/>
    <w:rsid w:val="0099065F"/>
    <w:rsid w:val="00991998"/>
    <w:rsid w:val="00B50022"/>
    <w:rsid w:val="00B90D8A"/>
    <w:rsid w:val="00BB7053"/>
    <w:rsid w:val="00BD2EC2"/>
    <w:rsid w:val="00BE6B7F"/>
    <w:rsid w:val="00C262FD"/>
    <w:rsid w:val="00CA1977"/>
    <w:rsid w:val="00CE45AC"/>
    <w:rsid w:val="00D5026A"/>
    <w:rsid w:val="00D90F12"/>
    <w:rsid w:val="00DB1EC2"/>
    <w:rsid w:val="00DF450C"/>
    <w:rsid w:val="00FA7A62"/>
    <w:rsid w:val="00FB07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1524"/>
  <w15:docId w15:val="{5D1D9BF0-8719-41F7-B2BE-3458D3EB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lang w:val="es-AR"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0">
    <w:name w:val="Table Normal"/>
    <w:rsid w:val="00A93146"/>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Pr>
      <w:rFonts w:eastAsia="Times New Roman"/>
    </w:rPr>
    <w:tblPr>
      <w:tblStyleRowBandSize w:val="1"/>
      <w:tblStyleColBandSize w:val="1"/>
    </w:tblPr>
  </w:style>
  <w:style w:type="paragraph" w:styleId="PargrafodaLista">
    <w:name w:val="List Paragraph"/>
    <w:basedOn w:val="Normal"/>
    <w:uiPriority w:val="34"/>
    <w:qFormat/>
    <w:rsid w:val="007C2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antrabrasil.org/wp-content/uploads/2025/01/dossie-antra-2025.pdf" TargetMode="External"/><Relationship Id="rId18" Type="http://schemas.openxmlformats.org/officeDocument/2006/relationships/hyperlink" Target="https://site.cfp.org.br/tag/resolucao-01-2018/" TargetMode="External"/><Relationship Id="rId26" Type="http://schemas.openxmlformats.org/officeDocument/2006/relationships/hyperlink" Target="https://doi.org/10.1590/interface.220369" TargetMode="External"/><Relationship Id="rId39" Type="http://schemas.openxmlformats.org/officeDocument/2006/relationships/header" Target="header1.xml"/><Relationship Id="rId21" Type="http://schemas.openxmlformats.org/officeDocument/2006/relationships/hyperlink" Target="https://doi.org/10.25110/arqsaude.v27i7.2023-049" TargetMode="External"/><Relationship Id="rId34" Type="http://schemas.openxmlformats.org/officeDocument/2006/relationships/hyperlink" Target="https://doi.org/10.1590/0034-7167-2017-0644"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eriodicos.ufba.br/index.php/feminismos/article/view/34894" TargetMode="External"/><Relationship Id="rId20" Type="http://schemas.openxmlformats.org/officeDocument/2006/relationships/hyperlink" Target="https://doi.org/10.25110/arqsaude.v27i5.2023-030" TargetMode="External"/><Relationship Id="rId29" Type="http://schemas.openxmlformats.org/officeDocument/2006/relationships/hyperlink" Target="https://doi.org/10.1037/0033-2909.129.5.67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0022-006X.56.6.893" TargetMode="External"/><Relationship Id="rId24" Type="http://schemas.openxmlformats.org/officeDocument/2006/relationships/hyperlink" Target="https://doi.org/10.1590/0047-2085000000255" TargetMode="External"/><Relationship Id="rId32" Type="http://schemas.openxmlformats.org/officeDocument/2006/relationships/hyperlink" Target="https://repositorio.uniceub.br/jspui/handle/prefix/17042" TargetMode="External"/><Relationship Id="rId37" Type="http://schemas.openxmlformats.org/officeDocument/2006/relationships/hyperlink" Target="https://doi.org/10.1590/Interface.190568"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aineira.usp.br/celacc/sites/default/files/media/tcc/guilherme_engelman_bortoletto.pdf" TargetMode="External"/><Relationship Id="rId23" Type="http://schemas.openxmlformats.org/officeDocument/2006/relationships/hyperlink" Target="https://www.proquest.com/openview/9a70dd39af2ad2c20f334f83fae9d9d0/1?pq-origsite=gscholar&amp;cbl=2026366&amp;diss=y" TargetMode="External"/><Relationship Id="rId28" Type="http://schemas.openxmlformats.org/officeDocument/2006/relationships/hyperlink" Target="https://doi.org/10.33448/rsd-v11i11.33501" TargetMode="External"/><Relationship Id="rId36" Type="http://schemas.openxmlformats.org/officeDocument/2006/relationships/hyperlink" Target="https://dialnet.unirioja.es/servlet/articulo?codigo=9495321" TargetMode="External"/><Relationship Id="rId10" Type="http://schemas.openxmlformats.org/officeDocument/2006/relationships/hyperlink" Target="https://doi.org/10.1001/archpsyc.1961.01710120031004" TargetMode="External"/><Relationship Id="rId19" Type="http://schemas.openxmlformats.org/officeDocument/2006/relationships/hyperlink" Target="https://doi.org/10.1590/S0104-12902019170251" TargetMode="External"/><Relationship Id="rId31" Type="http://schemas.openxmlformats.org/officeDocument/2006/relationships/hyperlink" Target="https://doi.org/10.1590/Interface.17056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1590/0103-6564e200212" TargetMode="External"/><Relationship Id="rId22" Type="http://schemas.openxmlformats.org/officeDocument/2006/relationships/hyperlink" Target="https://doi.org/10.17267/2317-3394rpds.2023.e5109" TargetMode="External"/><Relationship Id="rId27" Type="http://schemas.openxmlformats.org/officeDocument/2006/relationships/hyperlink" Target="https://hdl.handle.net/1843/63796" TargetMode="External"/><Relationship Id="rId30" Type="http://schemas.openxmlformats.org/officeDocument/2006/relationships/hyperlink" Target="https://www.periodicos.univasf.edu.br/index.php/revasf/article/view/24" TargetMode="External"/><Relationship Id="rId35" Type="http://schemas.openxmlformats.org/officeDocument/2006/relationships/hyperlink" Target="https://doi.org/10.15628/holos.2023.15842"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ntrabrasil.org/wp-content/uploads/2021/01/dossie-trans-2021-29jan2021.pdf" TargetMode="External"/><Relationship Id="rId17" Type="http://schemas.openxmlformats.org/officeDocument/2006/relationships/hyperlink" Target="https://doi.org/10.2307/2136404" TargetMode="External"/><Relationship Id="rId25" Type="http://schemas.openxmlformats.org/officeDocument/2006/relationships/hyperlink" Target="https://doi.org/10.54751/revistafoco.v17n4-135" TargetMode="External"/><Relationship Id="rId33" Type="http://schemas.openxmlformats.org/officeDocument/2006/relationships/hyperlink" Target="https://doi.org/10.1590/1413-81232015218.14362015" TargetMode="External"/><Relationship Id="rId38" Type="http://schemas.openxmlformats.org/officeDocument/2006/relationships/hyperlink" Target="https://doi.org/10.1590/0034-7167-2023-0071p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DB7jxeItVJQAOk4Q53wZV98C/A==">CgMxLjA4AHIhMThXSEhrTHhka3lCdDdiendoYnA4RHZ2a1lQVHpKeGl3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6267</Words>
  <Characters>33848</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Rosana Melo</cp:lastModifiedBy>
  <cp:revision>2</cp:revision>
  <dcterms:created xsi:type="dcterms:W3CDTF">2025-12-02T01:26:00Z</dcterms:created>
  <dcterms:modified xsi:type="dcterms:W3CDTF">2025-12-02T01:26:00Z</dcterms:modified>
</cp:coreProperties>
</file>